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951D">
      <w:pPr>
        <w:bidi w:val="0"/>
        <w:jc w:val="center"/>
        <w:rPr>
          <w:rFonts w:hint="eastAsia" w:ascii="宋体" w:hAnsi="宋体" w:cs="宋体"/>
          <w:b/>
          <w:bCs/>
          <w:color w:val="auto"/>
          <w:sz w:val="44"/>
          <w:szCs w:val="44"/>
          <w:highlight w:val="none"/>
          <w:lang w:eastAsia="zh-CN"/>
        </w:rPr>
      </w:pPr>
    </w:p>
    <w:p w14:paraId="1FA5672D">
      <w:pPr>
        <w:bidi w:val="0"/>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lang w:eastAsia="zh-CN"/>
        </w:rPr>
        <w:t>灵宝市2025年第三批农村公路养护工程</w:t>
      </w:r>
    </w:p>
    <w:p w14:paraId="01F48438">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hint="eastAsia" w:ascii="宋体" w:hAnsi="宋体"/>
          <w:b/>
          <w:bCs/>
          <w:color w:val="auto"/>
          <w:spacing w:val="20"/>
          <w:kern w:val="0"/>
          <w:sz w:val="72"/>
          <w:szCs w:val="72"/>
          <w:highlight w:val="none"/>
        </w:rPr>
      </w:pPr>
    </w:p>
    <w:p w14:paraId="7EDDF5FC">
      <w:pPr>
        <w:pStyle w:val="16"/>
        <w:rPr>
          <w:rFonts w:hint="eastAsia" w:ascii="宋体" w:hAnsi="宋体"/>
          <w:b/>
          <w:bCs/>
          <w:color w:val="auto"/>
          <w:spacing w:val="20"/>
          <w:kern w:val="0"/>
          <w:sz w:val="72"/>
          <w:szCs w:val="72"/>
          <w:highlight w:val="none"/>
        </w:rPr>
      </w:pPr>
    </w:p>
    <w:p w14:paraId="5CC366A5">
      <w:pPr>
        <w:pStyle w:val="8"/>
        <w:rPr>
          <w:rFonts w:hint="eastAsia"/>
          <w:color w:val="auto"/>
          <w:highlight w:val="none"/>
        </w:rPr>
      </w:pPr>
    </w:p>
    <w:p w14:paraId="3ACFA3C2">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ascii="宋体" w:hAnsi="宋体"/>
          <w:b/>
          <w:bCs/>
          <w:color w:val="auto"/>
          <w:sz w:val="72"/>
          <w:szCs w:val="72"/>
          <w:highlight w:val="none"/>
        </w:rPr>
      </w:pPr>
      <w:r>
        <w:rPr>
          <w:rFonts w:hint="eastAsia" w:ascii="宋体" w:hAnsi="宋体"/>
          <w:b/>
          <w:bCs/>
          <w:color w:val="auto"/>
          <w:spacing w:val="20"/>
          <w:kern w:val="0"/>
          <w:sz w:val="72"/>
          <w:szCs w:val="72"/>
          <w:highlight w:val="none"/>
        </w:rPr>
        <w:t>竞争性磋商文件</w:t>
      </w:r>
    </w:p>
    <w:p w14:paraId="0DCE23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0" w:lineRule="atLeast"/>
        <w:ind w:left="0" w:right="0"/>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lang w:val="en-US" w:eastAsia="zh-CN"/>
        </w:rPr>
        <w:t>项目</w:t>
      </w:r>
      <w:r>
        <w:rPr>
          <w:rFonts w:hint="eastAsia" w:ascii="宋体" w:hAnsi="宋体"/>
          <w:b/>
          <w:bCs/>
          <w:color w:val="auto"/>
          <w:sz w:val="32"/>
          <w:szCs w:val="32"/>
          <w:highlight w:val="none"/>
        </w:rPr>
        <w:t>编号：</w:t>
      </w:r>
      <w:r>
        <w:rPr>
          <w:rFonts w:hint="eastAsia" w:ascii="宋体" w:hAnsi="宋体"/>
          <w:b/>
          <w:bCs/>
          <w:color w:val="auto"/>
          <w:sz w:val="32"/>
          <w:szCs w:val="32"/>
          <w:highlight w:val="none"/>
          <w:lang w:eastAsia="zh-CN"/>
        </w:rPr>
        <w:t>LBGZ[2026]159-ZC122、灵宝竞磋采购-2026-90</w:t>
      </w:r>
    </w:p>
    <w:p w14:paraId="3232BE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0" w:lineRule="atLeast"/>
        <w:ind w:left="0" w:right="0"/>
        <w:jc w:val="center"/>
        <w:rPr>
          <w:rFonts w:hint="eastAsia" w:ascii="宋体" w:hAnsi="宋体"/>
          <w:b/>
          <w:bCs/>
          <w:color w:val="auto"/>
          <w:sz w:val="32"/>
          <w:szCs w:val="32"/>
          <w:highlight w:val="none"/>
        </w:rPr>
      </w:pPr>
      <w:r>
        <w:rPr>
          <w:rFonts w:hint="eastAsia" w:ascii="宋体" w:hAnsi="宋体"/>
          <w:b/>
          <w:bCs/>
          <w:color w:val="auto"/>
          <w:sz w:val="32"/>
          <w:szCs w:val="32"/>
          <w:highlight w:val="none"/>
          <w:lang w:val="en-US" w:eastAsia="zh-CN"/>
        </w:rPr>
        <w:t xml:space="preserve">    </w:t>
      </w:r>
    </w:p>
    <w:p w14:paraId="49EA0D7B">
      <w:pPr>
        <w:jc w:val="center"/>
        <w:rPr>
          <w:rFonts w:ascii="宋体" w:hAnsi="宋体"/>
          <w:color w:val="auto"/>
          <w:sz w:val="32"/>
          <w:szCs w:val="32"/>
          <w:highlight w:val="none"/>
        </w:rPr>
      </w:pPr>
    </w:p>
    <w:p w14:paraId="19BF2A52">
      <w:pPr>
        <w:pStyle w:val="34"/>
        <w:rPr>
          <w:color w:val="auto"/>
          <w:highlight w:val="none"/>
        </w:rPr>
      </w:pPr>
    </w:p>
    <w:p w14:paraId="4A468FBC">
      <w:pPr>
        <w:spacing w:line="400" w:lineRule="exact"/>
        <w:jc w:val="center"/>
        <w:rPr>
          <w:rFonts w:hint="eastAsia" w:ascii="宋体" w:hAnsi="宋体"/>
          <w:b/>
          <w:bCs/>
          <w:color w:val="auto"/>
          <w:sz w:val="32"/>
          <w:szCs w:val="32"/>
          <w:highlight w:val="none"/>
        </w:rPr>
      </w:pPr>
    </w:p>
    <w:p w14:paraId="1DABECEF">
      <w:pPr>
        <w:pStyle w:val="16"/>
        <w:rPr>
          <w:rFonts w:hint="eastAsia"/>
          <w:color w:val="auto"/>
          <w:highlight w:val="none"/>
        </w:rPr>
      </w:pPr>
    </w:p>
    <w:p w14:paraId="1E77C981">
      <w:pPr>
        <w:spacing w:line="400" w:lineRule="exact"/>
        <w:jc w:val="center"/>
        <w:rPr>
          <w:rFonts w:hint="eastAsia" w:ascii="宋体" w:hAnsi="宋体"/>
          <w:b/>
          <w:bCs/>
          <w:color w:val="auto"/>
          <w:sz w:val="32"/>
          <w:szCs w:val="32"/>
          <w:highlight w:val="none"/>
        </w:rPr>
      </w:pPr>
    </w:p>
    <w:p w14:paraId="222D6EF5">
      <w:pPr>
        <w:spacing w:line="400" w:lineRule="exact"/>
        <w:ind w:firstLine="2249" w:firstLineChars="700"/>
        <w:jc w:val="both"/>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lang w:val="en-US" w:eastAsia="zh-CN"/>
        </w:rPr>
        <w:t>采</w:t>
      </w:r>
      <w:r>
        <w:rPr>
          <w:rFonts w:hint="eastAsia" w:ascii="宋体" w:hAnsi="宋体"/>
          <w:b/>
          <w:bCs/>
          <w:color w:val="auto"/>
          <w:sz w:val="32"/>
          <w:szCs w:val="32"/>
          <w:highlight w:val="none"/>
        </w:rPr>
        <w:t xml:space="preserve"> </w:t>
      </w:r>
      <w:r>
        <w:rPr>
          <w:rFonts w:hint="eastAsia" w:ascii="宋体" w:hAnsi="宋体"/>
          <w:b/>
          <w:bCs/>
          <w:color w:val="auto"/>
          <w:sz w:val="32"/>
          <w:szCs w:val="32"/>
          <w:highlight w:val="none"/>
          <w:lang w:val="en-US" w:eastAsia="zh-CN"/>
        </w:rPr>
        <w:t>购</w:t>
      </w:r>
      <w:r>
        <w:rPr>
          <w:rFonts w:hint="eastAsia" w:ascii="宋体" w:hAnsi="宋体"/>
          <w:b/>
          <w:bCs/>
          <w:color w:val="auto"/>
          <w:sz w:val="32"/>
          <w:szCs w:val="32"/>
          <w:highlight w:val="none"/>
        </w:rPr>
        <w:t xml:space="preserve"> 人：</w:t>
      </w:r>
      <w:r>
        <w:rPr>
          <w:rFonts w:hint="eastAsia" w:ascii="宋体" w:hAnsi="宋体"/>
          <w:b/>
          <w:bCs/>
          <w:color w:val="auto"/>
          <w:sz w:val="32"/>
          <w:szCs w:val="32"/>
          <w:highlight w:val="none"/>
          <w:lang w:eastAsia="zh-CN"/>
        </w:rPr>
        <w:t>灵宝市公路事业发展中心</w:t>
      </w:r>
    </w:p>
    <w:p w14:paraId="314B8E12">
      <w:pPr>
        <w:spacing w:line="400" w:lineRule="exact"/>
        <w:ind w:firstLine="1063" w:firstLineChars="331"/>
        <w:jc w:val="center"/>
        <w:rPr>
          <w:rFonts w:ascii="宋体" w:hAnsi="宋体"/>
          <w:b/>
          <w:bCs/>
          <w:color w:val="auto"/>
          <w:sz w:val="32"/>
          <w:szCs w:val="32"/>
          <w:highlight w:val="none"/>
        </w:rPr>
      </w:pPr>
    </w:p>
    <w:p w14:paraId="43EF49F8">
      <w:pPr>
        <w:spacing w:line="400" w:lineRule="exact"/>
        <w:ind w:firstLine="2249" w:firstLineChars="700"/>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rPr>
        <w:t>招标代理：</w:t>
      </w:r>
      <w:r>
        <w:rPr>
          <w:rFonts w:hint="eastAsia" w:ascii="宋体" w:hAnsi="宋体"/>
          <w:b/>
          <w:bCs/>
          <w:color w:val="auto"/>
          <w:sz w:val="32"/>
          <w:szCs w:val="32"/>
          <w:highlight w:val="none"/>
          <w:lang w:eastAsia="zh-CN"/>
        </w:rPr>
        <w:t>河南匠之心工程咨询有限公司</w:t>
      </w:r>
    </w:p>
    <w:p w14:paraId="688001B3">
      <w:pPr>
        <w:spacing w:line="400" w:lineRule="exact"/>
        <w:ind w:firstLine="1063" w:firstLineChars="331"/>
        <w:jc w:val="center"/>
        <w:rPr>
          <w:rFonts w:ascii="宋体" w:hAnsi="宋体"/>
          <w:b/>
          <w:bCs/>
          <w:color w:val="auto"/>
          <w:sz w:val="32"/>
          <w:szCs w:val="32"/>
          <w:highlight w:val="none"/>
        </w:rPr>
      </w:pPr>
    </w:p>
    <w:p w14:paraId="7AD421C4">
      <w:pPr>
        <w:spacing w:line="400" w:lineRule="exact"/>
        <w:ind w:firstLine="2249" w:firstLineChars="700"/>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rPr>
        <w:t>日    期：</w:t>
      </w:r>
      <w:r>
        <w:rPr>
          <w:rFonts w:hint="eastAsia" w:ascii="宋体" w:hAnsi="宋体"/>
          <w:b/>
          <w:bCs/>
          <w:color w:val="auto"/>
          <w:sz w:val="32"/>
          <w:szCs w:val="32"/>
          <w:highlight w:val="none"/>
          <w:lang w:eastAsia="zh-CN"/>
        </w:rPr>
        <w:t>二〇二</w:t>
      </w:r>
      <w:r>
        <w:rPr>
          <w:rFonts w:hint="eastAsia" w:ascii="宋体" w:hAnsi="宋体"/>
          <w:b/>
          <w:bCs/>
          <w:color w:val="auto"/>
          <w:sz w:val="32"/>
          <w:szCs w:val="32"/>
          <w:highlight w:val="none"/>
          <w:lang w:val="en-US" w:eastAsia="zh-CN"/>
        </w:rPr>
        <w:t>六</w:t>
      </w:r>
      <w:r>
        <w:rPr>
          <w:rFonts w:hint="eastAsia" w:ascii="宋体" w:hAnsi="宋体"/>
          <w:b/>
          <w:bCs/>
          <w:color w:val="auto"/>
          <w:sz w:val="32"/>
          <w:szCs w:val="32"/>
          <w:highlight w:val="none"/>
          <w:lang w:eastAsia="zh-CN"/>
        </w:rPr>
        <w:t>年</w:t>
      </w:r>
      <w:r>
        <w:rPr>
          <w:rFonts w:hint="eastAsia" w:ascii="宋体" w:hAnsi="宋体"/>
          <w:b/>
          <w:bCs/>
          <w:color w:val="auto"/>
          <w:sz w:val="32"/>
          <w:szCs w:val="32"/>
          <w:highlight w:val="none"/>
          <w:lang w:val="en-US" w:eastAsia="zh-CN"/>
        </w:rPr>
        <w:t>七</w:t>
      </w:r>
      <w:r>
        <w:rPr>
          <w:rFonts w:hint="eastAsia" w:ascii="宋体" w:hAnsi="宋体"/>
          <w:b/>
          <w:bCs/>
          <w:color w:val="auto"/>
          <w:sz w:val="32"/>
          <w:szCs w:val="32"/>
          <w:highlight w:val="none"/>
          <w:lang w:eastAsia="zh-CN"/>
        </w:rPr>
        <w:t>月</w:t>
      </w:r>
    </w:p>
    <w:p w14:paraId="383B99FA">
      <w:pPr>
        <w:pStyle w:val="12"/>
        <w:widowControl/>
        <w:jc w:val="center"/>
        <w:rPr>
          <w:rFonts w:hint="eastAsia" w:ascii="宋体" w:hAnsi="宋体"/>
          <w:color w:val="auto"/>
          <w:sz w:val="44"/>
          <w:szCs w:val="44"/>
          <w:highlight w:val="none"/>
        </w:rPr>
        <w:sectPr>
          <w:headerReference r:id="rId3" w:type="default"/>
          <w:footerReference r:id="rId4" w:type="default"/>
          <w:pgSz w:w="11906" w:h="16838"/>
          <w:pgMar w:top="1418" w:right="1111" w:bottom="1418" w:left="1135" w:header="720" w:footer="720" w:gutter="0"/>
          <w:cols w:space="720" w:num="1"/>
          <w:docGrid w:type="lines" w:linePitch="312" w:charSpace="0"/>
        </w:sectPr>
      </w:pPr>
    </w:p>
    <w:p w14:paraId="29633DF9">
      <w:pPr>
        <w:pStyle w:val="12"/>
        <w:widowControl/>
        <w:jc w:val="center"/>
        <w:rPr>
          <w:rFonts w:ascii="宋体" w:hAnsi="宋体"/>
          <w:color w:val="auto"/>
          <w:sz w:val="44"/>
          <w:szCs w:val="44"/>
          <w:highlight w:val="none"/>
        </w:rPr>
      </w:pPr>
      <w:r>
        <w:rPr>
          <w:rFonts w:hint="eastAsia" w:ascii="宋体" w:hAnsi="宋体"/>
          <w:color w:val="auto"/>
          <w:sz w:val="44"/>
          <w:szCs w:val="44"/>
          <w:highlight w:val="none"/>
        </w:rPr>
        <w:t>目   录</w:t>
      </w:r>
    </w:p>
    <w:p w14:paraId="7E39D8AA">
      <w:pPr>
        <w:rPr>
          <w:color w:val="auto"/>
          <w:szCs w:val="21"/>
          <w:highlight w:val="none"/>
        </w:rPr>
      </w:pPr>
    </w:p>
    <w:p w14:paraId="18ECC2B6">
      <w:pPr>
        <w:autoSpaceDE w:val="0"/>
        <w:spacing w:line="800" w:lineRule="exact"/>
        <w:rPr>
          <w:rFonts w:ascii="宋体" w:hAnsi="宋体" w:cs="宋体"/>
          <w:color w:val="auto"/>
          <w:sz w:val="28"/>
          <w:szCs w:val="28"/>
          <w:highlight w:val="none"/>
        </w:rPr>
      </w:pPr>
      <w:r>
        <w:rPr>
          <w:rFonts w:hint="eastAsia" w:ascii="宋体" w:hAnsi="宋体"/>
          <w:color w:val="auto"/>
          <w:sz w:val="28"/>
          <w:szCs w:val="28"/>
          <w:highlight w:val="none"/>
        </w:rPr>
        <w:t>　　</w:t>
      </w:r>
      <w:r>
        <w:rPr>
          <w:rFonts w:hint="eastAsia" w:ascii="宋体" w:hAnsi="宋体" w:cs="宋体"/>
          <w:color w:val="auto"/>
          <w:sz w:val="28"/>
          <w:szCs w:val="28"/>
          <w:highlight w:val="none"/>
        </w:rPr>
        <w:t>第一章　</w:t>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s="宋体"/>
          <w:color w:val="auto"/>
          <w:sz w:val="28"/>
          <w:szCs w:val="28"/>
          <w:highlight w:val="none"/>
        </w:rPr>
        <w:t>竞</w:t>
      </w:r>
      <w:r>
        <w:rPr>
          <w:rFonts w:hint="eastAsia" w:ascii="宋体" w:hAnsi="宋体" w:cs="宋体"/>
          <w:color w:val="auto"/>
          <w:sz w:val="28"/>
          <w:szCs w:val="28"/>
          <w:highlight w:val="none"/>
        </w:rPr>
        <w:fldChar w:fldCharType="end"/>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s="宋体"/>
          <w:color w:val="auto"/>
          <w:sz w:val="28"/>
          <w:szCs w:val="28"/>
          <w:highlight w:val="none"/>
        </w:rPr>
        <w:t>争性</w:t>
      </w:r>
      <w:r>
        <w:rPr>
          <w:rFonts w:hint="eastAsia" w:ascii="宋体" w:hAnsi="宋体" w:cs="宋体"/>
          <w:color w:val="auto"/>
          <w:sz w:val="28"/>
          <w:szCs w:val="28"/>
          <w:highlight w:val="none"/>
        </w:rPr>
        <w:fldChar w:fldCharType="end"/>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s="宋体"/>
          <w:color w:val="auto"/>
          <w:sz w:val="28"/>
          <w:szCs w:val="28"/>
          <w:highlight w:val="none"/>
        </w:rPr>
        <w:t>磋</w:t>
      </w:r>
      <w:r>
        <w:rPr>
          <w:rFonts w:hint="eastAsia" w:ascii="宋体" w:hAnsi="宋体" w:cs="宋体"/>
          <w:color w:val="auto"/>
          <w:sz w:val="28"/>
          <w:szCs w:val="28"/>
          <w:highlight w:val="none"/>
        </w:rPr>
        <w:fldChar w:fldCharType="end"/>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s="宋体"/>
          <w:color w:val="auto"/>
          <w:sz w:val="28"/>
          <w:szCs w:val="28"/>
          <w:highlight w:val="none"/>
        </w:rPr>
        <w:t>商公告</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t xml:space="preserve"> …………………………………………………3</w:t>
      </w:r>
    </w:p>
    <w:p w14:paraId="29B7E271">
      <w:pPr>
        <w:autoSpaceDE w:val="0"/>
        <w:spacing w:line="800" w:lineRule="exact"/>
        <w:ind w:left="566"/>
        <w:rPr>
          <w:rFonts w:ascii="宋体" w:hAnsi="宋体" w:cs="宋体"/>
          <w:color w:val="auto"/>
          <w:sz w:val="28"/>
          <w:szCs w:val="28"/>
          <w:highlight w:val="none"/>
        </w:rPr>
      </w:pPr>
      <w:r>
        <w:rPr>
          <w:rFonts w:hint="eastAsia" w:ascii="宋体" w:hAnsi="宋体" w:cs="宋体"/>
          <w:color w:val="auto"/>
          <w:sz w:val="28"/>
          <w:szCs w:val="28"/>
          <w:highlight w:val="none"/>
        </w:rPr>
        <w:t>第二章　磋商</w:t>
      </w:r>
      <w:r>
        <w:rPr>
          <w:rFonts w:hint="eastAsia" w:ascii="宋体" w:hAnsi="宋体" w:cs="宋体"/>
          <w:color w:val="auto"/>
          <w:sz w:val="28"/>
          <w:szCs w:val="28"/>
          <w:highlight w:val="none"/>
          <w:lang w:eastAsia="zh-CN"/>
        </w:rPr>
        <w:t>供应商</w:t>
      </w:r>
      <w:r>
        <w:rPr>
          <w:rFonts w:hint="eastAsia" w:ascii="宋体" w:hAnsi="宋体" w:cs="宋体"/>
          <w:color w:val="auto"/>
          <w:sz w:val="28"/>
          <w:szCs w:val="28"/>
          <w:highlight w:val="none"/>
        </w:rPr>
        <w:t>须知 …………………………………………………7</w:t>
      </w:r>
    </w:p>
    <w:p w14:paraId="7433584B">
      <w:pPr>
        <w:autoSpaceDE w:val="0"/>
        <w:spacing w:line="800" w:lineRule="exact"/>
        <w:ind w:left="566"/>
        <w:rPr>
          <w:rFonts w:ascii="宋体" w:hAnsi="宋体" w:cs="宋体"/>
          <w:color w:val="auto"/>
          <w:sz w:val="28"/>
          <w:szCs w:val="28"/>
          <w:highlight w:val="none"/>
        </w:rPr>
      </w:pPr>
      <w:r>
        <w:rPr>
          <w:rFonts w:hint="eastAsia" w:ascii="宋体" w:hAnsi="宋体" w:cs="宋体"/>
          <w:color w:val="auto"/>
          <w:sz w:val="28"/>
          <w:szCs w:val="28"/>
          <w:highlight w:val="none"/>
        </w:rPr>
        <w:t>第三章 磋商办法（综合评分法）…………………………………………23</w:t>
      </w:r>
    </w:p>
    <w:p w14:paraId="04D249A2">
      <w:pPr>
        <w:autoSpaceDE w:val="0"/>
        <w:spacing w:line="800" w:lineRule="exact"/>
        <w:ind w:left="566"/>
        <w:rPr>
          <w:rFonts w:ascii="宋体" w:hAnsi="宋体" w:cs="宋体"/>
          <w:color w:val="auto"/>
          <w:sz w:val="28"/>
          <w:szCs w:val="28"/>
          <w:highlight w:val="none"/>
        </w:rPr>
      </w:pPr>
      <w:r>
        <w:rPr>
          <w:rFonts w:hint="eastAsia" w:ascii="宋体" w:hAnsi="宋体" w:cs="宋体"/>
          <w:color w:val="auto"/>
          <w:sz w:val="28"/>
          <w:szCs w:val="28"/>
          <w:highlight w:val="none"/>
        </w:rPr>
        <w:t>第四章 合同条款及格式……………………………………………………27</w:t>
      </w:r>
    </w:p>
    <w:p w14:paraId="3EE2D2C5">
      <w:pPr>
        <w:autoSpaceDE w:val="0"/>
        <w:spacing w:line="800" w:lineRule="exact"/>
        <w:ind w:left="566"/>
        <w:rPr>
          <w:rFonts w:ascii="宋体" w:hAnsi="宋体" w:cs="宋体"/>
          <w:color w:val="auto"/>
          <w:sz w:val="28"/>
          <w:szCs w:val="28"/>
          <w:highlight w:val="none"/>
        </w:rPr>
      </w:pPr>
      <w:r>
        <w:rPr>
          <w:rFonts w:hint="eastAsia" w:ascii="宋体" w:hAnsi="宋体" w:cs="宋体"/>
          <w:color w:val="auto"/>
          <w:sz w:val="28"/>
          <w:szCs w:val="28"/>
          <w:highlight w:val="none"/>
        </w:rPr>
        <w:t>第</w:t>
      </w:r>
      <w:r>
        <w:rPr>
          <w:rFonts w:hint="eastAsia" w:ascii="宋体" w:hAnsi="宋体" w:cs="宋体"/>
          <w:color w:val="auto"/>
          <w:sz w:val="28"/>
          <w:szCs w:val="28"/>
          <w:highlight w:val="none"/>
          <w:lang w:val="en-US" w:eastAsia="zh-CN"/>
        </w:rPr>
        <w:t>五</w:t>
      </w:r>
      <w:r>
        <w:rPr>
          <w:rFonts w:hint="eastAsia" w:ascii="宋体" w:hAnsi="宋体" w:cs="宋体"/>
          <w:color w:val="auto"/>
          <w:sz w:val="28"/>
          <w:szCs w:val="28"/>
          <w:highlight w:val="none"/>
        </w:rPr>
        <w:t>章 工程量清单</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另附</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………………………………………………7</w:t>
      </w:r>
      <w:r>
        <w:rPr>
          <w:rFonts w:hint="eastAsia" w:ascii="宋体" w:hAnsi="宋体" w:cs="宋体"/>
          <w:color w:val="auto"/>
          <w:sz w:val="28"/>
          <w:szCs w:val="28"/>
          <w:highlight w:val="none"/>
          <w:lang w:val="en-US" w:eastAsia="zh-CN"/>
        </w:rPr>
        <w:t>8</w:t>
      </w:r>
      <w:r>
        <w:rPr>
          <w:rFonts w:hint="eastAsia" w:ascii="宋体" w:hAnsi="宋体" w:cs="宋体"/>
          <w:color w:val="auto"/>
          <w:sz w:val="28"/>
          <w:szCs w:val="28"/>
          <w:highlight w:val="none"/>
        </w:rPr>
        <w:t xml:space="preserve"> </w:t>
      </w:r>
    </w:p>
    <w:p w14:paraId="40F06DF9">
      <w:pPr>
        <w:autoSpaceDE w:val="0"/>
        <w:spacing w:line="800" w:lineRule="exact"/>
        <w:ind w:left="566"/>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第</w:t>
      </w:r>
      <w:r>
        <w:rPr>
          <w:rFonts w:hint="eastAsia" w:ascii="宋体" w:hAnsi="宋体" w:cs="宋体"/>
          <w:color w:val="auto"/>
          <w:sz w:val="28"/>
          <w:szCs w:val="28"/>
          <w:highlight w:val="none"/>
          <w:lang w:val="en-US" w:eastAsia="zh-CN"/>
        </w:rPr>
        <w:t>六</w:t>
      </w:r>
      <w:r>
        <w:rPr>
          <w:rFonts w:hint="eastAsia" w:ascii="宋体" w:hAnsi="宋体" w:cs="宋体"/>
          <w:color w:val="auto"/>
          <w:sz w:val="28"/>
          <w:szCs w:val="28"/>
          <w:highlight w:val="none"/>
        </w:rPr>
        <w:t xml:space="preserve">章 </w:t>
      </w:r>
      <w:r>
        <w:rPr>
          <w:rFonts w:hint="eastAsia" w:ascii="宋体" w:hAnsi="宋体" w:cs="宋体"/>
          <w:color w:val="auto"/>
          <w:sz w:val="28"/>
          <w:szCs w:val="28"/>
          <w:highlight w:val="none"/>
          <w:lang w:val="en-US" w:eastAsia="zh-CN"/>
        </w:rPr>
        <w:t>图纸（另附）</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79</w:t>
      </w:r>
    </w:p>
    <w:p w14:paraId="5D6F1D4B">
      <w:pPr>
        <w:autoSpaceDE w:val="0"/>
        <w:spacing w:line="800" w:lineRule="exact"/>
        <w:ind w:firstLine="565" w:firstLineChars="202"/>
        <w:rPr>
          <w:rFonts w:hint="default" w:ascii="宋体" w:hAnsi="宋体" w:eastAsia="宋体" w:cs="宋体"/>
          <w:color w:val="auto"/>
          <w:spacing w:val="14"/>
          <w:sz w:val="32"/>
          <w:szCs w:val="32"/>
          <w:highlight w:val="none"/>
          <w:lang w:val="en-US" w:eastAsia="zh-CN"/>
        </w:rPr>
        <w:sectPr>
          <w:footerReference r:id="rId5" w:type="default"/>
          <w:pgSz w:w="11906" w:h="16838"/>
          <w:pgMar w:top="1418" w:right="1111" w:bottom="1418" w:left="1135" w:header="720" w:footer="720" w:gutter="0"/>
          <w:pgNumType w:start="1"/>
          <w:cols w:space="720" w:num="1"/>
          <w:docGrid w:type="lines" w:linePitch="312" w:charSpace="0"/>
        </w:sectPr>
      </w:pPr>
      <w:r>
        <w:rPr>
          <w:rFonts w:hint="eastAsia" w:ascii="宋体" w:hAnsi="宋体" w:cs="宋体"/>
          <w:color w:val="auto"/>
          <w:sz w:val="28"/>
          <w:szCs w:val="28"/>
          <w:highlight w:val="none"/>
        </w:rPr>
        <w:t>第</w:t>
      </w:r>
      <w:r>
        <w:rPr>
          <w:rFonts w:hint="eastAsia" w:ascii="宋体" w:hAnsi="宋体" w:cs="宋体"/>
          <w:color w:val="auto"/>
          <w:sz w:val="28"/>
          <w:szCs w:val="28"/>
          <w:highlight w:val="none"/>
          <w:lang w:val="en-US" w:eastAsia="zh-CN"/>
        </w:rPr>
        <w:t>七</w:t>
      </w:r>
      <w:r>
        <w:rPr>
          <w:rFonts w:hint="eastAsia" w:ascii="宋体" w:hAnsi="宋体" w:cs="宋体"/>
          <w:color w:val="auto"/>
          <w:sz w:val="28"/>
          <w:szCs w:val="28"/>
          <w:highlight w:val="none"/>
        </w:rPr>
        <w:t>章 磋商响应文件格式…………………………………………………</w:t>
      </w:r>
      <w:r>
        <w:rPr>
          <w:rFonts w:hint="eastAsia" w:ascii="宋体" w:hAnsi="宋体" w:cs="宋体"/>
          <w:color w:val="auto"/>
          <w:sz w:val="28"/>
          <w:szCs w:val="28"/>
          <w:highlight w:val="none"/>
          <w:lang w:val="en-US" w:eastAsia="zh-CN"/>
        </w:rPr>
        <w:t>80</w:t>
      </w:r>
    </w:p>
    <w:p w14:paraId="36560443">
      <w:pPr>
        <w:pStyle w:val="35"/>
        <w:numPr>
          <w:ilvl w:val="0"/>
          <w:numId w:val="1"/>
        </w:numPr>
        <w:spacing w:line="600" w:lineRule="exact"/>
        <w:ind w:firstLineChars="0"/>
        <w:jc w:val="center"/>
        <w:rPr>
          <w:rFonts w:ascii="宋体" w:hAnsi="宋体"/>
          <w:b/>
          <w:bCs/>
          <w:color w:val="auto"/>
          <w:spacing w:val="14"/>
          <w:sz w:val="32"/>
          <w:szCs w:val="32"/>
          <w:highlight w:val="none"/>
        </w:rPr>
      </w:pPr>
      <w:bookmarkStart w:id="0" w:name="_Toc23681"/>
      <w:bookmarkEnd w:id="0"/>
      <w:bookmarkStart w:id="1" w:name="_Toc184635052"/>
      <w:bookmarkEnd w:id="1"/>
      <w:bookmarkStart w:id="2" w:name="_Toc8744"/>
      <w:bookmarkEnd w:id="2"/>
      <w:bookmarkStart w:id="3" w:name="_Toc184635069"/>
      <w:bookmarkEnd w:id="3"/>
      <w:bookmarkStart w:id="4" w:name="_Toc13914"/>
      <w:bookmarkEnd w:id="4"/>
      <w:bookmarkStart w:id="5" w:name="_Toc25704"/>
      <w:bookmarkEnd w:id="5"/>
      <w:bookmarkStart w:id="6" w:name="_Toc3933"/>
      <w:r>
        <w:rPr>
          <w:rFonts w:hint="eastAsia" w:ascii="宋体" w:hAnsi="宋体"/>
          <w:b/>
          <w:bCs/>
          <w:color w:val="auto"/>
          <w:spacing w:val="14"/>
          <w:sz w:val="32"/>
          <w:szCs w:val="32"/>
          <w:highlight w:val="none"/>
        </w:rPr>
        <w:t>竞争性磋商公告</w:t>
      </w:r>
      <w:bookmarkEnd w:id="6"/>
    </w:p>
    <w:p w14:paraId="748959B5">
      <w:pPr>
        <w:spacing w:line="520" w:lineRule="exact"/>
        <w:jc w:val="center"/>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eastAsia="zh-CN"/>
        </w:rPr>
        <w:t>灵宝市2025年第三批农村公路养护工程</w:t>
      </w:r>
      <w:r>
        <w:rPr>
          <w:rFonts w:hint="eastAsia" w:ascii="宋体" w:hAnsi="宋体" w:cs="宋体"/>
          <w:b/>
          <w:bCs/>
          <w:color w:val="auto"/>
          <w:sz w:val="24"/>
          <w:szCs w:val="24"/>
          <w:highlight w:val="none"/>
          <w:lang w:val="en-US" w:eastAsia="zh-CN"/>
        </w:rPr>
        <w:t>竞争性磋商公告</w:t>
      </w:r>
    </w:p>
    <w:p w14:paraId="38384113">
      <w:pPr>
        <w:spacing w:line="52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项目概况：</w:t>
      </w:r>
    </w:p>
    <w:p w14:paraId="5244100D">
      <w:pPr>
        <w:spacing w:line="52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灵宝市2025年第三批农村公路养护工程的潜在投标人应凭CA数字证书通过三门峡市公共资源交易中心网（网址：</w:t>
      </w:r>
      <w:r>
        <w:rPr>
          <w:rStyle w:val="27"/>
          <w:rFonts w:hint="eastAsia" w:ascii="宋体" w:hAnsi="宋体" w:cs="宋体"/>
          <w:color w:val="auto"/>
          <w:sz w:val="24"/>
          <w:szCs w:val="24"/>
          <w:highlight w:val="none"/>
        </w:rPr>
        <w:t>http://gzjy.smx.gov.cn/</w:t>
      </w:r>
      <w:r>
        <w:rPr>
          <w:rFonts w:hint="eastAsia" w:ascii="宋体" w:hAnsi="宋体" w:cs="宋体"/>
          <w:color w:val="auto"/>
          <w:sz w:val="24"/>
          <w:szCs w:val="24"/>
          <w:highlight w:val="none"/>
          <w:lang w:eastAsia="zh-CN"/>
        </w:rPr>
        <w:t>），点击交易平台选择“市场主体登录”，在所参与项目右侧点击参与投标,即可直接下载本项目磋商文件，并于202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lang w:eastAsia="zh-CN"/>
        </w:rPr>
        <w:t>日08时30分（北京时间）前递交响应文件。</w:t>
      </w:r>
    </w:p>
    <w:p w14:paraId="2C31A453">
      <w:pPr>
        <w:spacing w:line="52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一、项目</w:t>
      </w:r>
      <w:r>
        <w:rPr>
          <w:rFonts w:hint="eastAsia" w:ascii="宋体" w:hAnsi="宋体" w:cs="宋体"/>
          <w:color w:val="auto"/>
          <w:sz w:val="24"/>
          <w:szCs w:val="24"/>
          <w:highlight w:val="none"/>
          <w:lang w:val="en-US" w:eastAsia="zh-CN"/>
        </w:rPr>
        <w:t>基本情况</w:t>
      </w:r>
    </w:p>
    <w:p w14:paraId="786D97F8">
      <w:pPr>
        <w:spacing w:line="52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、项目编号：LBGZ[2026]159-ZC122、灵宝竞磋采购-2026-90</w:t>
      </w:r>
    </w:p>
    <w:p w14:paraId="67888E03">
      <w:pPr>
        <w:spacing w:line="52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、项目名称：灵宝市2025年第三批农村公路养护工程</w:t>
      </w:r>
    </w:p>
    <w:p w14:paraId="76EBACCF">
      <w:pPr>
        <w:spacing w:line="52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lang w:val="en-US" w:eastAsia="zh-CN"/>
        </w:rPr>
        <w:t>采购方式：竞争性磋商</w:t>
      </w:r>
    </w:p>
    <w:p w14:paraId="7058C32A">
      <w:pPr>
        <w:spacing w:line="52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4、预算金额：374.6302万</w:t>
      </w:r>
      <w:r>
        <w:rPr>
          <w:rFonts w:hint="eastAsia" w:ascii="宋体" w:hAnsi="宋体" w:eastAsia="宋体" w:cs="宋体"/>
          <w:color w:val="auto"/>
          <w:sz w:val="24"/>
          <w:szCs w:val="24"/>
          <w:highlight w:val="none"/>
          <w:lang w:eastAsia="zh-CN"/>
        </w:rPr>
        <w:t>元</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最高限价：374.6302万元；</w:t>
      </w:r>
    </w:p>
    <w:tbl>
      <w:tblPr>
        <w:tblStyle w:val="17"/>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63"/>
        <w:gridCol w:w="2828"/>
        <w:gridCol w:w="2922"/>
        <w:gridCol w:w="1229"/>
        <w:gridCol w:w="1549"/>
      </w:tblGrid>
      <w:tr w14:paraId="377C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58" w:type="pct"/>
            <w:tcBorders>
              <w:top w:val="single" w:color="000000" w:sz="4" w:space="0"/>
              <w:left w:val="single" w:color="000000" w:sz="4" w:space="0"/>
              <w:bottom w:val="single" w:color="000000" w:sz="4" w:space="0"/>
              <w:right w:val="single" w:color="000000" w:sz="4" w:space="0"/>
            </w:tcBorders>
            <w:noWrap w:val="0"/>
            <w:vAlign w:val="center"/>
          </w:tcPr>
          <w:p w14:paraId="7ED87CBA">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序号</w:t>
            </w:r>
          </w:p>
        </w:tc>
        <w:tc>
          <w:tcPr>
            <w:tcW w:w="1572" w:type="pct"/>
            <w:tcBorders>
              <w:top w:val="single" w:color="000000" w:sz="4" w:space="0"/>
              <w:left w:val="single" w:color="000000" w:sz="4" w:space="0"/>
              <w:bottom w:val="single" w:color="000000" w:sz="4" w:space="0"/>
              <w:right w:val="single" w:color="000000" w:sz="4" w:space="0"/>
            </w:tcBorders>
            <w:noWrap w:val="0"/>
            <w:vAlign w:val="center"/>
          </w:tcPr>
          <w:p w14:paraId="497FC96F">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包号</w:t>
            </w:r>
          </w:p>
        </w:tc>
        <w:tc>
          <w:tcPr>
            <w:tcW w:w="1624" w:type="pct"/>
            <w:tcBorders>
              <w:top w:val="single" w:color="000000" w:sz="4" w:space="0"/>
              <w:left w:val="single" w:color="000000" w:sz="4" w:space="0"/>
              <w:bottom w:val="single" w:color="000000" w:sz="4" w:space="0"/>
              <w:right w:val="single" w:color="000000" w:sz="4" w:space="0"/>
            </w:tcBorders>
            <w:noWrap w:val="0"/>
            <w:vAlign w:val="center"/>
          </w:tcPr>
          <w:p w14:paraId="2D81F466">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包名称</w:t>
            </w:r>
          </w:p>
        </w:tc>
        <w:tc>
          <w:tcPr>
            <w:tcW w:w="683" w:type="pct"/>
            <w:tcBorders>
              <w:top w:val="single" w:color="000000" w:sz="4" w:space="0"/>
              <w:left w:val="single" w:color="000000" w:sz="4" w:space="0"/>
              <w:bottom w:val="single" w:color="000000" w:sz="4" w:space="0"/>
              <w:right w:val="single" w:color="000000" w:sz="4" w:space="0"/>
            </w:tcBorders>
            <w:noWrap w:val="0"/>
            <w:vAlign w:val="center"/>
          </w:tcPr>
          <w:p w14:paraId="345BE232">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包预算（</w:t>
            </w:r>
            <w:r>
              <w:rPr>
                <w:rFonts w:hint="eastAsia" w:ascii="宋体" w:hAnsi="宋体" w:cs="宋体"/>
                <w:color w:val="auto"/>
                <w:spacing w:val="14"/>
                <w:sz w:val="24"/>
                <w:szCs w:val="24"/>
                <w:highlight w:val="none"/>
                <w:lang w:val="en-US" w:eastAsia="zh-CN"/>
              </w:rPr>
              <w:t>万</w:t>
            </w:r>
            <w:r>
              <w:rPr>
                <w:rFonts w:hint="eastAsia" w:ascii="宋体" w:hAnsi="宋体" w:eastAsia="宋体" w:cs="宋体"/>
                <w:color w:val="auto"/>
                <w:spacing w:val="14"/>
                <w:sz w:val="24"/>
                <w:szCs w:val="24"/>
                <w:highlight w:val="none"/>
              </w:rPr>
              <w:t>元）</w:t>
            </w:r>
          </w:p>
        </w:tc>
        <w:tc>
          <w:tcPr>
            <w:tcW w:w="861" w:type="pct"/>
            <w:tcBorders>
              <w:top w:val="single" w:color="000000" w:sz="4" w:space="0"/>
              <w:left w:val="single" w:color="000000" w:sz="4" w:space="0"/>
              <w:bottom w:val="single" w:color="000000" w:sz="4" w:space="0"/>
              <w:right w:val="single" w:color="auto" w:sz="4" w:space="0"/>
            </w:tcBorders>
            <w:noWrap w:val="0"/>
            <w:vAlign w:val="center"/>
          </w:tcPr>
          <w:p w14:paraId="7891DF1D">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包最高限价（</w:t>
            </w:r>
            <w:r>
              <w:rPr>
                <w:rFonts w:hint="eastAsia" w:ascii="宋体" w:hAnsi="宋体" w:cs="宋体"/>
                <w:color w:val="auto"/>
                <w:spacing w:val="14"/>
                <w:sz w:val="24"/>
                <w:szCs w:val="24"/>
                <w:highlight w:val="none"/>
                <w:lang w:val="en-US" w:eastAsia="zh-CN"/>
              </w:rPr>
              <w:t>万</w:t>
            </w:r>
            <w:r>
              <w:rPr>
                <w:rFonts w:hint="eastAsia" w:ascii="宋体" w:hAnsi="宋体" w:eastAsia="宋体" w:cs="宋体"/>
                <w:color w:val="auto"/>
                <w:spacing w:val="14"/>
                <w:sz w:val="24"/>
                <w:szCs w:val="24"/>
                <w:highlight w:val="none"/>
              </w:rPr>
              <w:t>元）</w:t>
            </w:r>
          </w:p>
        </w:tc>
      </w:tr>
      <w:tr w14:paraId="1F26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58" w:type="pct"/>
            <w:tcBorders>
              <w:top w:val="single" w:color="000000" w:sz="4" w:space="0"/>
              <w:left w:val="single" w:color="000000" w:sz="4" w:space="0"/>
              <w:bottom w:val="single" w:color="000000" w:sz="4" w:space="0"/>
              <w:right w:val="single" w:color="000000" w:sz="4" w:space="0"/>
            </w:tcBorders>
            <w:noWrap w:val="0"/>
            <w:vAlign w:val="center"/>
          </w:tcPr>
          <w:p w14:paraId="673E27A7">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w:t>
            </w:r>
          </w:p>
        </w:tc>
        <w:tc>
          <w:tcPr>
            <w:tcW w:w="1572" w:type="pct"/>
            <w:tcBorders>
              <w:top w:val="single" w:color="000000" w:sz="4" w:space="0"/>
              <w:left w:val="single" w:color="000000" w:sz="4" w:space="0"/>
              <w:bottom w:val="single" w:color="000000" w:sz="4" w:space="0"/>
              <w:right w:val="single" w:color="000000" w:sz="4" w:space="0"/>
            </w:tcBorders>
            <w:noWrap w:val="0"/>
            <w:vAlign w:val="center"/>
          </w:tcPr>
          <w:p w14:paraId="0B6AAE68">
            <w:pPr>
              <w:pStyle w:val="46"/>
              <w:widowControl/>
              <w:spacing w:line="480" w:lineRule="exact"/>
              <w:jc w:val="center"/>
              <w:textAlignment w:val="baseline"/>
              <w:rPr>
                <w:rFonts w:hint="eastAsia" w:ascii="宋体" w:hAnsi="宋体" w:eastAsia="宋体" w:cs="宋体"/>
                <w:color w:val="auto"/>
                <w:spacing w:val="14"/>
                <w:sz w:val="24"/>
                <w:szCs w:val="24"/>
                <w:highlight w:val="none"/>
                <w:lang w:eastAsia="zh-CN"/>
              </w:rPr>
            </w:pPr>
            <w:r>
              <w:rPr>
                <w:rFonts w:hint="eastAsia" w:ascii="宋体" w:hAnsi="宋体" w:cs="宋体"/>
                <w:color w:val="auto"/>
                <w:spacing w:val="14"/>
                <w:sz w:val="24"/>
                <w:szCs w:val="24"/>
                <w:highlight w:val="none"/>
                <w:lang w:val="en-US" w:eastAsia="zh-CN"/>
              </w:rPr>
              <w:t>LBGZ[2026]159-ZC122-</w:t>
            </w:r>
            <w:r>
              <w:rPr>
                <w:rFonts w:hint="eastAsia" w:ascii="宋体" w:hAnsi="宋体" w:eastAsia="宋体" w:cs="宋体"/>
                <w:color w:val="auto"/>
                <w:spacing w:val="14"/>
                <w:sz w:val="24"/>
                <w:szCs w:val="24"/>
                <w:highlight w:val="none"/>
                <w:lang w:val="en-US" w:eastAsia="zh-CN"/>
              </w:rPr>
              <w:t>1</w:t>
            </w:r>
          </w:p>
        </w:tc>
        <w:tc>
          <w:tcPr>
            <w:tcW w:w="1624" w:type="pct"/>
            <w:tcBorders>
              <w:top w:val="single" w:color="000000" w:sz="4" w:space="0"/>
              <w:left w:val="single" w:color="000000" w:sz="4" w:space="0"/>
              <w:bottom w:val="single" w:color="000000" w:sz="4" w:space="0"/>
              <w:right w:val="single" w:color="000000" w:sz="4" w:space="0"/>
            </w:tcBorders>
            <w:noWrap w:val="0"/>
            <w:vAlign w:val="center"/>
          </w:tcPr>
          <w:p w14:paraId="5E14A753">
            <w:pPr>
              <w:pStyle w:val="46"/>
              <w:widowControl/>
              <w:spacing w:line="480" w:lineRule="exact"/>
              <w:jc w:val="center"/>
              <w:textAlignment w:val="baseline"/>
              <w:rPr>
                <w:rFonts w:hint="eastAsia" w:ascii="宋体" w:hAnsi="宋体" w:eastAsia="宋体" w:cs="宋体"/>
                <w:color w:val="auto"/>
                <w:spacing w:val="14"/>
                <w:sz w:val="24"/>
                <w:szCs w:val="24"/>
                <w:highlight w:val="none"/>
                <w:lang w:eastAsia="zh-CN"/>
              </w:rPr>
            </w:pPr>
            <w:r>
              <w:rPr>
                <w:rFonts w:hint="eastAsia" w:ascii="宋体" w:hAnsi="宋体" w:cs="宋体"/>
                <w:color w:val="auto"/>
                <w:spacing w:val="14"/>
                <w:sz w:val="24"/>
                <w:szCs w:val="24"/>
                <w:highlight w:val="none"/>
                <w:lang w:eastAsia="zh-CN"/>
              </w:rPr>
              <w:t>灵宝市2025年第三批农村公路养护工程</w:t>
            </w:r>
          </w:p>
        </w:tc>
        <w:tc>
          <w:tcPr>
            <w:tcW w:w="683" w:type="pct"/>
            <w:tcBorders>
              <w:top w:val="single" w:color="000000" w:sz="4" w:space="0"/>
              <w:left w:val="single" w:color="000000" w:sz="4" w:space="0"/>
              <w:bottom w:val="single" w:color="000000" w:sz="4" w:space="0"/>
              <w:right w:val="single" w:color="000000" w:sz="4" w:space="0"/>
            </w:tcBorders>
            <w:noWrap w:val="0"/>
            <w:vAlign w:val="center"/>
          </w:tcPr>
          <w:p w14:paraId="18AA7DD4">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cs="宋体"/>
                <w:color w:val="auto"/>
                <w:sz w:val="24"/>
                <w:szCs w:val="24"/>
                <w:highlight w:val="none"/>
                <w:lang w:val="en-US" w:eastAsia="zh-CN"/>
              </w:rPr>
              <w:t>374.6</w:t>
            </w:r>
            <w:bookmarkStart w:id="331" w:name="_GoBack"/>
            <w:bookmarkEnd w:id="331"/>
            <w:r>
              <w:rPr>
                <w:rFonts w:hint="eastAsia" w:ascii="宋体" w:hAnsi="宋体" w:cs="宋体"/>
                <w:color w:val="auto"/>
                <w:sz w:val="24"/>
                <w:szCs w:val="24"/>
                <w:highlight w:val="none"/>
                <w:lang w:val="en-US" w:eastAsia="zh-CN"/>
              </w:rPr>
              <w:t>302</w:t>
            </w:r>
          </w:p>
        </w:tc>
        <w:tc>
          <w:tcPr>
            <w:tcW w:w="861" w:type="pct"/>
            <w:tcBorders>
              <w:top w:val="single" w:color="000000" w:sz="4" w:space="0"/>
              <w:left w:val="single" w:color="000000" w:sz="4" w:space="0"/>
              <w:bottom w:val="single" w:color="000000" w:sz="4" w:space="0"/>
              <w:right w:val="single" w:color="auto" w:sz="4" w:space="0"/>
            </w:tcBorders>
            <w:noWrap w:val="0"/>
            <w:vAlign w:val="center"/>
          </w:tcPr>
          <w:p w14:paraId="11D9A78F">
            <w:pPr>
              <w:pStyle w:val="46"/>
              <w:widowControl/>
              <w:spacing w:line="480" w:lineRule="exact"/>
              <w:jc w:val="center"/>
              <w:textAlignment w:val="baseline"/>
              <w:rPr>
                <w:rFonts w:hint="eastAsia" w:ascii="宋体" w:hAnsi="宋体" w:eastAsia="宋体" w:cs="宋体"/>
                <w:color w:val="auto"/>
                <w:spacing w:val="14"/>
                <w:sz w:val="24"/>
                <w:szCs w:val="24"/>
                <w:highlight w:val="none"/>
              </w:rPr>
            </w:pPr>
            <w:r>
              <w:rPr>
                <w:rFonts w:hint="eastAsia" w:ascii="宋体" w:hAnsi="宋体" w:cs="宋体"/>
                <w:color w:val="auto"/>
                <w:sz w:val="24"/>
                <w:szCs w:val="24"/>
                <w:highlight w:val="none"/>
                <w:lang w:val="en-US" w:eastAsia="zh-CN"/>
              </w:rPr>
              <w:t>374.6302</w:t>
            </w:r>
          </w:p>
        </w:tc>
      </w:tr>
    </w:tbl>
    <w:p w14:paraId="11755FE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、采购需求（包括但不限于标的的名称、数量、简要技术需求或服务要求等）</w:t>
      </w:r>
    </w:p>
    <w:p w14:paraId="3D58FF2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项目概况：</w:t>
      </w:r>
      <w:r>
        <w:rPr>
          <w:rFonts w:hint="eastAsia" w:ascii="宋体" w:hAnsi="宋体" w:cs="宋体"/>
          <w:color w:val="auto"/>
          <w:kern w:val="0"/>
          <w:sz w:val="24"/>
          <w:szCs w:val="24"/>
          <w:highlight w:val="none"/>
          <w:lang w:val="en-US" w:eastAsia="zh-CN"/>
        </w:rPr>
        <w:t>本项目为</w:t>
      </w:r>
      <w:r>
        <w:rPr>
          <w:rFonts w:hint="eastAsia" w:ascii="宋体" w:hAnsi="宋体" w:cs="宋体"/>
          <w:color w:val="auto"/>
          <w:sz w:val="24"/>
          <w:szCs w:val="24"/>
          <w:highlight w:val="none"/>
          <w:lang w:eastAsia="zh-CN"/>
        </w:rPr>
        <w:t>灵宝市2025年第三批农村公路养护工程</w:t>
      </w:r>
      <w:r>
        <w:rPr>
          <w:rFonts w:hint="eastAsia" w:ascii="宋体" w:hAnsi="宋体" w:cs="宋体"/>
          <w:color w:val="auto"/>
          <w:kern w:val="0"/>
          <w:sz w:val="24"/>
          <w:szCs w:val="24"/>
          <w:highlight w:val="none"/>
          <w:lang w:val="en-US" w:eastAsia="zh-CN"/>
        </w:rPr>
        <w:t>，包含朱阳镇X041线郑家岭至两岔河、Y043线西村北至北头，五亩乡Y021线风脉寺至风脉寺村部北、Y065线省道S246（教堂北路口）至街西加油站、杜家洼（议事路口）至庙洼（Y034）、C195线寨子坡东至南坡头，函谷关镇Y064线东寨至西寨，焦村镇C611线双目崤东至新文村南、C648线焦村至焦村西，阳平镇Y017线观音西至观音村口、Y038线马家城南至西坡、C848线东坡至涧沟，共11条线路，全长15.215km。（具体内容详见工程量清单）。</w:t>
      </w:r>
    </w:p>
    <w:p w14:paraId="64A25C1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.2磋商范围：本项目</w:t>
      </w:r>
      <w:r>
        <w:rPr>
          <w:rFonts w:hint="eastAsia" w:ascii="宋体" w:hAnsi="宋体" w:eastAsia="宋体" w:cs="宋体"/>
          <w:color w:val="auto"/>
          <w:sz w:val="24"/>
          <w:szCs w:val="24"/>
          <w:highlight w:val="none"/>
          <w:lang w:eastAsia="zh-CN"/>
        </w:rPr>
        <w:t>竞争性磋商文件、</w:t>
      </w:r>
      <w:r>
        <w:rPr>
          <w:rFonts w:hint="eastAsia" w:ascii="宋体" w:hAnsi="宋体" w:eastAsia="宋体" w:cs="宋体"/>
          <w:color w:val="auto"/>
          <w:sz w:val="24"/>
          <w:szCs w:val="24"/>
          <w:highlight w:val="none"/>
          <w:lang w:val="en-US" w:eastAsia="zh-CN"/>
        </w:rPr>
        <w:t>图纸</w:t>
      </w:r>
      <w:r>
        <w:rPr>
          <w:rFonts w:hint="eastAsia" w:ascii="宋体" w:hAnsi="宋体" w:eastAsia="宋体" w:cs="宋体"/>
          <w:color w:val="auto"/>
          <w:sz w:val="24"/>
          <w:szCs w:val="24"/>
          <w:highlight w:val="none"/>
          <w:lang w:eastAsia="zh-CN"/>
        </w:rPr>
        <w:t>及工程量清单</w:t>
      </w:r>
      <w:r>
        <w:rPr>
          <w:rFonts w:hint="eastAsia" w:ascii="宋体" w:hAnsi="宋体" w:eastAsia="宋体" w:cs="宋体"/>
          <w:color w:val="auto"/>
          <w:sz w:val="24"/>
          <w:szCs w:val="24"/>
          <w:highlight w:val="none"/>
          <w:lang w:val="en-US" w:eastAsia="zh-CN"/>
        </w:rPr>
        <w:t>范围内所有内容</w:t>
      </w:r>
      <w:r>
        <w:rPr>
          <w:rFonts w:hint="eastAsia" w:ascii="宋体" w:hAnsi="宋体" w:eastAsia="宋体" w:cs="宋体"/>
          <w:color w:val="auto"/>
          <w:sz w:val="24"/>
          <w:szCs w:val="24"/>
          <w:highlight w:val="none"/>
          <w:lang w:eastAsia="zh-CN"/>
        </w:rPr>
        <w:t>。</w:t>
      </w:r>
    </w:p>
    <w:p w14:paraId="6049624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质量要求：符合国家现行公路工程施工质量评定合格标准</w:t>
      </w:r>
    </w:p>
    <w:p w14:paraId="080CC92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计划工期：</w:t>
      </w:r>
      <w:r>
        <w:rPr>
          <w:rFonts w:hint="eastAsia" w:ascii="宋体" w:hAnsi="宋体" w:cs="宋体"/>
          <w:color w:val="auto"/>
          <w:sz w:val="24"/>
          <w:szCs w:val="24"/>
          <w:highlight w:val="none"/>
          <w:lang w:val="en-US" w:eastAsia="zh-CN"/>
        </w:rPr>
        <w:t>90日历天</w:t>
      </w:r>
      <w:r>
        <w:rPr>
          <w:rFonts w:hint="eastAsia" w:ascii="宋体" w:hAnsi="宋体" w:eastAsia="宋体" w:cs="宋体"/>
          <w:color w:val="auto"/>
          <w:sz w:val="24"/>
          <w:szCs w:val="24"/>
          <w:highlight w:val="none"/>
        </w:rPr>
        <w:t>。</w:t>
      </w:r>
    </w:p>
    <w:p w14:paraId="7EA834E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5.5资金来源：财政资金，已落实。</w:t>
      </w:r>
    </w:p>
    <w:p w14:paraId="6F48582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标段划分：本项目</w:t>
      </w:r>
      <w:r>
        <w:rPr>
          <w:rFonts w:hint="eastAsia" w:ascii="宋体" w:hAnsi="宋体" w:eastAsia="宋体" w:cs="宋体"/>
          <w:color w:val="auto"/>
          <w:sz w:val="24"/>
          <w:szCs w:val="24"/>
          <w:highlight w:val="none"/>
          <w:lang w:val="en-US" w:eastAsia="zh-CN"/>
        </w:rPr>
        <w:t>共一个</w:t>
      </w:r>
      <w:r>
        <w:rPr>
          <w:rFonts w:hint="eastAsia" w:ascii="宋体" w:hAnsi="宋体" w:eastAsia="宋体" w:cs="宋体"/>
          <w:color w:val="auto"/>
          <w:sz w:val="24"/>
          <w:szCs w:val="24"/>
          <w:highlight w:val="none"/>
        </w:rPr>
        <w:t>标段。</w:t>
      </w:r>
    </w:p>
    <w:p w14:paraId="507A167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、合同履行期限：</w:t>
      </w:r>
      <w:r>
        <w:rPr>
          <w:rFonts w:hint="eastAsia" w:ascii="宋体" w:hAnsi="宋体" w:cs="宋体"/>
          <w:color w:val="auto"/>
          <w:sz w:val="24"/>
          <w:szCs w:val="24"/>
          <w:highlight w:val="none"/>
          <w:lang w:val="en-US" w:eastAsia="zh-CN"/>
        </w:rPr>
        <w:t>90日历天</w:t>
      </w:r>
    </w:p>
    <w:p w14:paraId="5B5D833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、本项目是否接受联合体投标：否</w:t>
      </w:r>
    </w:p>
    <w:p w14:paraId="4B74B12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、是否接受进口产品：否</w:t>
      </w:r>
    </w:p>
    <w:p w14:paraId="2221353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、是否专门面向中小企业：是</w:t>
      </w:r>
    </w:p>
    <w:p w14:paraId="404ACFD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资格要求</w:t>
      </w:r>
    </w:p>
    <w:p w14:paraId="409569A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1、满足《中华人民共和国政府采购法》第二十二条规定；</w:t>
      </w:r>
    </w:p>
    <w:p w14:paraId="175EB04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2、落实政府采购政策满足的资格要求：</w:t>
      </w:r>
      <w:r>
        <w:rPr>
          <w:rFonts w:hint="eastAsia" w:ascii="宋体" w:hAnsi="宋体" w:eastAsia="宋体" w:cs="宋体"/>
          <w:color w:val="auto"/>
          <w:kern w:val="0"/>
          <w:sz w:val="24"/>
          <w:szCs w:val="24"/>
          <w:highlight w:val="none"/>
        </w:rPr>
        <w:t>根据《政府采购促进中小企业发展管理办法》（财库〔2020〕46号）规定，本项目专门面向中小企业采购,同时供应商须提供《中小企业声明函》</w:t>
      </w:r>
      <w:r>
        <w:rPr>
          <w:rFonts w:hint="eastAsia" w:ascii="宋体" w:hAnsi="宋体" w:eastAsia="宋体" w:cs="宋体"/>
          <w:color w:val="auto"/>
          <w:sz w:val="24"/>
          <w:szCs w:val="24"/>
          <w:highlight w:val="none"/>
          <w:lang w:val="en-US" w:eastAsia="zh-CN"/>
        </w:rPr>
        <w:t>。</w:t>
      </w:r>
    </w:p>
    <w:p w14:paraId="1B62A98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3、本项目的特定资格要求：</w:t>
      </w:r>
    </w:p>
    <w:p w14:paraId="65D910C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3.1供应商须具备独立承担民事责任能力，提供有效的营业执照或其他证明文件</w:t>
      </w:r>
      <w:r>
        <w:rPr>
          <w:rFonts w:hint="eastAsia" w:ascii="宋体" w:hAnsi="宋体" w:eastAsia="宋体" w:cs="宋体"/>
          <w:color w:val="auto"/>
          <w:sz w:val="24"/>
          <w:szCs w:val="24"/>
          <w:highlight w:val="none"/>
        </w:rPr>
        <w:t>；</w:t>
      </w:r>
    </w:p>
    <w:p w14:paraId="58BD062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供应商须具有主管部门颁发的路基路面养护乙级及以上资质或</w:t>
      </w:r>
      <w:r>
        <w:rPr>
          <w:rFonts w:hint="eastAsia" w:ascii="宋体" w:hAnsi="宋体" w:cs="宋体"/>
          <w:color w:val="auto"/>
          <w:sz w:val="24"/>
          <w:szCs w:val="24"/>
          <w:highlight w:val="none"/>
          <w:lang w:eastAsia="zh-CN"/>
        </w:rPr>
        <w:t>公路工程施工总承包三级及以上资质</w:t>
      </w:r>
      <w:r>
        <w:rPr>
          <w:rFonts w:hint="eastAsia" w:ascii="宋体" w:hAnsi="宋体" w:eastAsia="宋体" w:cs="宋体"/>
          <w:color w:val="auto"/>
          <w:sz w:val="24"/>
          <w:szCs w:val="24"/>
          <w:highlight w:val="none"/>
        </w:rPr>
        <w:t>，具有有效的安全生产许可证；</w:t>
      </w:r>
    </w:p>
    <w:p w14:paraId="5F7FC69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rPr>
        <w:t>拟派项目经理须具备公路工程专业贰级及以上注册建造师资格、安全生产考核合格证并出具项目经理无在建工程承诺书，拟派项目技术负责人应具备相关专业的中级及以上技术职称；</w:t>
      </w:r>
    </w:p>
    <w:p w14:paraId="7F6B0E6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供应商自行出具本单位无商业贿赂及无不正当竞争行为的承诺书；</w:t>
      </w:r>
    </w:p>
    <w:p w14:paraId="17B3AAF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供应商出具无行贿犯罪记录在中国裁判文书网自行查询或自行承诺（查询对象：企业、法定代表人、拟派项目</w:t>
      </w:r>
      <w:r>
        <w:rPr>
          <w:rFonts w:hint="eastAsia" w:ascii="宋体" w:hAnsi="宋体" w:cs="宋体"/>
          <w:color w:val="auto"/>
          <w:sz w:val="24"/>
          <w:szCs w:val="24"/>
          <w:highlight w:val="none"/>
          <w:lang w:val="en-US" w:eastAsia="zh-CN"/>
        </w:rPr>
        <w:t>经理</w:t>
      </w:r>
      <w:r>
        <w:rPr>
          <w:rFonts w:hint="eastAsia" w:ascii="宋体" w:hAnsi="宋体" w:eastAsia="宋体" w:cs="宋体"/>
          <w:color w:val="auto"/>
          <w:sz w:val="24"/>
          <w:szCs w:val="24"/>
          <w:highlight w:val="none"/>
        </w:rPr>
        <w:t>）；</w:t>
      </w:r>
    </w:p>
    <w:p w14:paraId="0873683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查询渠道：“信用中国”网站www.creditchina.gov.cn）、中国政府采购网（www.ccgp.gov.cn）】；供应商须提供查询结果截图；</w:t>
      </w:r>
    </w:p>
    <w:p w14:paraId="0A0153C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本项目不接受联合体参与；</w:t>
      </w:r>
    </w:p>
    <w:p w14:paraId="2C450E8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本次采购实行资格后审，资格审查的具体要求见竞争性磋商文件。</w:t>
      </w:r>
    </w:p>
    <w:p w14:paraId="328D93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val="en-US" w:eastAsia="zh-CN"/>
        </w:rPr>
        <w:t>获取磋商文件</w:t>
      </w:r>
      <w:r>
        <w:rPr>
          <w:rFonts w:hint="eastAsia" w:ascii="宋体" w:hAnsi="宋体" w:eastAsia="宋体" w:cs="宋体"/>
          <w:color w:val="auto"/>
          <w:sz w:val="24"/>
          <w:szCs w:val="24"/>
          <w:highlight w:val="none"/>
        </w:rPr>
        <w:t>：</w:t>
      </w:r>
    </w:p>
    <w:p w14:paraId="2519C39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日至202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rPr>
        <w:t xml:space="preserve">日08时30分（北京时间，法定节假日除外。） </w:t>
      </w:r>
    </w:p>
    <w:p w14:paraId="6A0A8D9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2.地点：三门峡市公共资源交易中心平台 </w:t>
      </w:r>
    </w:p>
    <w:p w14:paraId="16A3261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没有报名环节，投标人凭CA数字证书通过三门峡市公共资源交易中心网（网址：http://gzjy.smx.gov.cn），点击交易平台选择“市场主体登录”，在所参与项目右侧点击参与投标,即可直接下载本项目磋商文件（磋商文件中包含清单等投标所需一切内容）。</w:t>
      </w:r>
    </w:p>
    <w:p w14:paraId="6972124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办理CA证书：</w:t>
      </w:r>
    </w:p>
    <w:p w14:paraId="2FE2B52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http://gzjy.smx.gov.cn/bzzx/008001/20231102/4defc9b5-408e-47f2-9e9f-1f376a06ee1f.html</w:t>
      </w:r>
      <w:r>
        <w:rPr>
          <w:rFonts w:hint="eastAsia" w:ascii="宋体" w:hAnsi="宋体" w:cs="宋体"/>
          <w:color w:val="auto"/>
          <w:sz w:val="24"/>
          <w:szCs w:val="24"/>
          <w:highlight w:val="none"/>
          <w:lang w:val="en-US" w:eastAsia="zh-CN"/>
        </w:rPr>
        <w:t xml:space="preserve"> </w:t>
      </w:r>
    </w:p>
    <w:p w14:paraId="048EB9E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三门峡市公共资源交易平台操作手册：</w:t>
      </w:r>
    </w:p>
    <w:p w14:paraId="4A226A8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"http://gzjy.smx.gov.cn/bzzx/008001/20200325/1d4d9bd4-82a2-4284-b2f7-428c4c69ef58.html"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http://gzjy.smx.gov.cn/bzzx/008001/20200325/1d4d9bd4-82a2-4284-b2f7-428c4c69ef58.html</w:t>
      </w:r>
      <w:r>
        <w:rPr>
          <w:rFonts w:hint="eastAsia" w:ascii="宋体" w:hAnsi="宋体" w:eastAsia="宋体" w:cs="宋体"/>
          <w:color w:val="auto"/>
          <w:sz w:val="24"/>
          <w:szCs w:val="24"/>
          <w:highlight w:val="none"/>
        </w:rPr>
        <w:fldChar w:fldCharType="end"/>
      </w:r>
    </w:p>
    <w:p w14:paraId="1D05395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4.售价：0元</w:t>
      </w:r>
    </w:p>
    <w:p w14:paraId="49C8397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因投标人原因未能解密、解密失败或解密超时的将被拒绝。</w:t>
      </w:r>
    </w:p>
    <w:p w14:paraId="799850E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四、响应文件提交</w:t>
      </w:r>
    </w:p>
    <w:p w14:paraId="1BC8667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1.截止时间：202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lang w:val="en-US" w:eastAsia="zh-CN"/>
        </w:rPr>
        <w:t>日08时30分（北京时间）</w:t>
      </w:r>
    </w:p>
    <w:p w14:paraId="3F5D421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2.地点：三门峡市公共资源交易平台</w:t>
      </w:r>
    </w:p>
    <w:p w14:paraId="10087DC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五、响应文件开启</w:t>
      </w:r>
    </w:p>
    <w:p w14:paraId="22B53F2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lang w:val="en-US" w:eastAsia="zh-CN"/>
        </w:rPr>
        <w:t>日08时30分（北京时间）</w:t>
      </w:r>
    </w:p>
    <w:p w14:paraId="4EC7176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2.地点：灵宝市公共资源交易中心</w:t>
      </w:r>
      <w:r>
        <w:rPr>
          <w:rFonts w:hint="eastAsia" w:ascii="宋体" w:hAnsi="宋体" w:cs="宋体"/>
          <w:color w:val="auto"/>
          <w:sz w:val="24"/>
          <w:szCs w:val="24"/>
          <w:highlight w:val="none"/>
          <w:lang w:val="en-US" w:eastAsia="zh-CN"/>
        </w:rPr>
        <w:t>开标一室、评标一室</w:t>
      </w:r>
      <w:r>
        <w:rPr>
          <w:rFonts w:hint="eastAsia" w:ascii="宋体" w:hAnsi="宋体" w:eastAsia="宋体" w:cs="宋体"/>
          <w:color w:val="auto"/>
          <w:sz w:val="24"/>
          <w:szCs w:val="24"/>
          <w:highlight w:val="none"/>
          <w:lang w:val="en-US" w:eastAsia="zh-CN"/>
        </w:rPr>
        <w:t>（灵宝市金城大道农商银行12楼）。</w:t>
      </w:r>
    </w:p>
    <w:p w14:paraId="65D37BF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六、发布公告的媒介：</w:t>
      </w:r>
    </w:p>
    <w:p w14:paraId="02E2474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本次竞争性磋商公告同时在《河南省政府采购网》、</w:t>
      </w:r>
      <w:r>
        <w:rPr>
          <w:rFonts w:hint="eastAsia" w:ascii="宋体" w:hAnsi="宋体" w:cs="宋体"/>
          <w:color w:val="auto"/>
          <w:sz w:val="24"/>
          <w:szCs w:val="24"/>
          <w:highlight w:val="none"/>
          <w:lang w:val="en-US" w:eastAsia="zh-CN"/>
        </w:rPr>
        <w:t>《中国采购与招标网》</w:t>
      </w:r>
      <w:r>
        <w:rPr>
          <w:rFonts w:hint="eastAsia" w:ascii="宋体" w:hAnsi="宋体" w:eastAsia="宋体" w:cs="宋体"/>
          <w:color w:val="auto"/>
          <w:sz w:val="24"/>
          <w:szCs w:val="24"/>
          <w:highlight w:val="none"/>
          <w:lang w:val="en-US" w:eastAsia="zh-CN"/>
        </w:rPr>
        <w:t>、《三门峡市公共资源交易中心网》上发布。</w:t>
      </w:r>
    </w:p>
    <w:p w14:paraId="2EDB2C8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七、其他补充事宜</w:t>
      </w:r>
    </w:p>
    <w:p w14:paraId="14D9F72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按照《河南省财政厅关于优化政府采购营商环境有关问题的通知》（豫财购[2019]4号文）的要求本项目不再收取磋商保证金。</w:t>
      </w:r>
    </w:p>
    <w:p w14:paraId="4C7F5FC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2.招标代理服务费：</w:t>
      </w:r>
      <w:r>
        <w:rPr>
          <w:rFonts w:hint="eastAsia" w:ascii="宋体" w:hAnsi="宋体" w:eastAsia="宋体" w:cs="宋体"/>
          <w:color w:val="auto"/>
          <w:sz w:val="24"/>
          <w:szCs w:val="24"/>
          <w:highlight w:val="none"/>
          <w:lang w:val="en-US" w:eastAsia="zh-CN"/>
        </w:rPr>
        <w:t>本项目招标代理费由中标单位承担，收费标准参照豫招协【2023】002号文件所规定的收费标准收取，此费由投标人综合考虑到投标报价中，不再单独列项。</w:t>
      </w:r>
    </w:p>
    <w:p w14:paraId="1185713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递交的资料和响应文件不论中标与否均不予退还。</w:t>
      </w:r>
    </w:p>
    <w:p w14:paraId="76067E6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踏勘现场。</w:t>
      </w:r>
    </w:p>
    <w:p w14:paraId="41DCDBC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本项目资格评审和业绩以响应文件为准，</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可使用电子营业执照。</w:t>
      </w:r>
    </w:p>
    <w:p w14:paraId="1697445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根据优化营商环境的要求，评标时以响应文件为准：</w:t>
      </w:r>
    </w:p>
    <w:p w14:paraId="703FCF5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（1）资格评（预）审部分：资格评（预）审以响应文件为准，其资料真实性由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自行承担，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要完善主体库。</w:t>
      </w:r>
    </w:p>
    <w:p w14:paraId="7DC38F4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（2）评标打分部分：评标打分部分仍按照100分制原则进行，涉及到资格审查、企业荣誉、企业业绩等计分部分时，以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自行制作到响应文件中的相应内容为准。</w:t>
      </w:r>
    </w:p>
    <w:p w14:paraId="0C59144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（3）响应文件编制部分：在竞争性磋商文件中要求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按照响应文件格式进行响应文件编制，在响应文件编制时，应明确将</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企业基本情况、资质情况、人员情况、财务情况、业绩情况编入投标文件，便于进行资格审查及评标打分。</w:t>
      </w:r>
    </w:p>
    <w:p w14:paraId="54C9CF2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我单位（采购人）严格按三财购【2021】9号文要求的时限发布中标结果公告，发出中标通知书，签订采购合同，上传采购合同。</w:t>
      </w:r>
    </w:p>
    <w:p w14:paraId="16292F9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温馨提示：本项目为电子化、无纸化交易项目，开标时不再接受任何纸质资料，为保证您能投标成功，请需仔细阅读招标文件和三门峡市公共资源交易中心官网业务办理指南。</w:t>
      </w:r>
    </w:p>
    <w:p w14:paraId="4C4B238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八、凡对本次</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提出询问，请按照以下方式联系:</w:t>
      </w:r>
    </w:p>
    <w:p w14:paraId="77250AA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监督单位：灵宝市交通运输局</w:t>
      </w:r>
    </w:p>
    <w:p w14:paraId="653F516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联系电话：0398-8852367</w:t>
      </w:r>
    </w:p>
    <w:p w14:paraId="76F3D0C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监督单位：灵宝市财政局政府采购监督管理科</w:t>
      </w:r>
    </w:p>
    <w:p w14:paraId="515E0D4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联系电话：0398-8852670</w:t>
      </w:r>
    </w:p>
    <w:p w14:paraId="311013F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灵宝市公路事业发展中心</w:t>
      </w:r>
    </w:p>
    <w:p w14:paraId="44195AD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董先生</w:t>
      </w:r>
      <w:r>
        <w:rPr>
          <w:rFonts w:hint="eastAsia" w:ascii="宋体" w:hAnsi="宋体" w:eastAsia="宋体" w:cs="宋体"/>
          <w:color w:val="auto"/>
          <w:sz w:val="24"/>
          <w:szCs w:val="24"/>
          <w:highlight w:val="none"/>
        </w:rPr>
        <w:t xml:space="preserve"> </w:t>
      </w:r>
    </w:p>
    <w:p w14:paraId="17BD9E2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电话：</w:t>
      </w:r>
      <w:r>
        <w:rPr>
          <w:rFonts w:hint="eastAsia" w:ascii="宋体" w:hAnsi="宋体" w:cs="宋体"/>
          <w:color w:val="auto"/>
          <w:sz w:val="24"/>
          <w:szCs w:val="24"/>
          <w:highlight w:val="none"/>
          <w:lang w:eastAsia="zh-CN"/>
        </w:rPr>
        <w:t>13639830585</w:t>
      </w:r>
    </w:p>
    <w:p w14:paraId="4CB1EE2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lang w:eastAsia="zh-CN"/>
        </w:rPr>
        <w:t>灵宝市亚武路灵宝市人民政府东北侧约50米</w:t>
      </w:r>
    </w:p>
    <w:p w14:paraId="7219F6A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招标代理机构：</w:t>
      </w:r>
      <w:r>
        <w:rPr>
          <w:rFonts w:hint="eastAsia" w:ascii="宋体" w:hAnsi="宋体" w:cs="宋体"/>
          <w:color w:val="auto"/>
          <w:sz w:val="24"/>
          <w:szCs w:val="24"/>
          <w:highlight w:val="none"/>
          <w:lang w:eastAsia="zh-CN"/>
        </w:rPr>
        <w:t>河南匠之心工程咨询有限公司</w:t>
      </w:r>
    </w:p>
    <w:p w14:paraId="3AF7613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纪先生</w:t>
      </w:r>
    </w:p>
    <w:p w14:paraId="0CF5D64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电话：</w:t>
      </w:r>
      <w:r>
        <w:rPr>
          <w:rFonts w:hint="eastAsia" w:ascii="宋体" w:hAnsi="宋体" w:cs="宋体"/>
          <w:color w:val="auto"/>
          <w:sz w:val="24"/>
          <w:szCs w:val="24"/>
          <w:highlight w:val="none"/>
          <w:lang w:eastAsia="zh-CN"/>
        </w:rPr>
        <w:t>15837183802</w:t>
      </w:r>
    </w:p>
    <w:p w14:paraId="31BC032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lang w:eastAsia="zh-CN"/>
        </w:rPr>
        <w:t>河南自贸试验区郑州片区（经开）航海东路1356号商鼎大厦506、508号房间</w:t>
      </w:r>
    </w:p>
    <w:p w14:paraId="0E2178AE">
      <w:pPr>
        <w:spacing w:line="500" w:lineRule="exact"/>
        <w:rPr>
          <w:rFonts w:ascii="宋体" w:hAnsi="宋体"/>
          <w:color w:val="auto"/>
          <w:sz w:val="24"/>
          <w:szCs w:val="24"/>
          <w:highlight w:val="none"/>
        </w:rPr>
      </w:pPr>
    </w:p>
    <w:p w14:paraId="4CADC9C8">
      <w:pPr>
        <w:spacing w:line="520" w:lineRule="exact"/>
        <w:jc w:val="center"/>
        <w:rPr>
          <w:rFonts w:ascii="宋体" w:hAnsi="宋体"/>
          <w:b/>
          <w:bCs/>
          <w:color w:val="auto"/>
          <w:kern w:val="44"/>
          <w:sz w:val="32"/>
          <w:szCs w:val="32"/>
          <w:highlight w:val="none"/>
        </w:rPr>
      </w:pPr>
    </w:p>
    <w:p w14:paraId="2CF89005">
      <w:pPr>
        <w:spacing w:line="520" w:lineRule="exact"/>
        <w:jc w:val="center"/>
        <w:rPr>
          <w:rFonts w:ascii="宋体" w:hAnsi="宋体"/>
          <w:b/>
          <w:bCs/>
          <w:color w:val="auto"/>
          <w:kern w:val="44"/>
          <w:sz w:val="32"/>
          <w:szCs w:val="32"/>
          <w:highlight w:val="none"/>
        </w:rPr>
      </w:pPr>
    </w:p>
    <w:p w14:paraId="48851342">
      <w:pPr>
        <w:spacing w:line="520" w:lineRule="exact"/>
        <w:jc w:val="center"/>
        <w:rPr>
          <w:rFonts w:ascii="宋体" w:hAnsi="宋体"/>
          <w:b/>
          <w:bCs/>
          <w:color w:val="auto"/>
          <w:kern w:val="44"/>
          <w:sz w:val="32"/>
          <w:szCs w:val="32"/>
          <w:highlight w:val="none"/>
        </w:rPr>
      </w:pPr>
    </w:p>
    <w:p w14:paraId="546989D5">
      <w:pPr>
        <w:spacing w:line="520" w:lineRule="exact"/>
        <w:jc w:val="center"/>
        <w:rPr>
          <w:rFonts w:ascii="宋体" w:hAnsi="宋体"/>
          <w:b/>
          <w:bCs/>
          <w:color w:val="auto"/>
          <w:kern w:val="44"/>
          <w:sz w:val="32"/>
          <w:szCs w:val="32"/>
          <w:highlight w:val="none"/>
        </w:rPr>
      </w:pPr>
    </w:p>
    <w:p w14:paraId="753668E8">
      <w:pPr>
        <w:spacing w:line="520" w:lineRule="exact"/>
        <w:jc w:val="center"/>
        <w:rPr>
          <w:rFonts w:ascii="宋体" w:hAnsi="宋体"/>
          <w:b/>
          <w:bCs/>
          <w:color w:val="auto"/>
          <w:kern w:val="44"/>
          <w:sz w:val="32"/>
          <w:szCs w:val="32"/>
          <w:highlight w:val="none"/>
        </w:rPr>
      </w:pPr>
    </w:p>
    <w:p w14:paraId="03FC3D49">
      <w:pPr>
        <w:spacing w:line="520" w:lineRule="exact"/>
        <w:jc w:val="center"/>
        <w:rPr>
          <w:rFonts w:ascii="宋体" w:hAnsi="宋体"/>
          <w:b/>
          <w:bCs/>
          <w:color w:val="auto"/>
          <w:kern w:val="44"/>
          <w:sz w:val="32"/>
          <w:szCs w:val="32"/>
          <w:highlight w:val="none"/>
        </w:rPr>
      </w:pPr>
    </w:p>
    <w:p w14:paraId="571DD425">
      <w:pPr>
        <w:spacing w:line="520" w:lineRule="exact"/>
        <w:jc w:val="center"/>
        <w:rPr>
          <w:rFonts w:ascii="宋体" w:hAnsi="宋体"/>
          <w:b/>
          <w:bCs/>
          <w:color w:val="auto"/>
          <w:kern w:val="44"/>
          <w:sz w:val="32"/>
          <w:szCs w:val="32"/>
          <w:highlight w:val="none"/>
        </w:rPr>
      </w:pPr>
    </w:p>
    <w:p w14:paraId="56A492A3">
      <w:pPr>
        <w:spacing w:line="520" w:lineRule="exact"/>
        <w:jc w:val="center"/>
        <w:rPr>
          <w:rFonts w:ascii="宋体" w:hAnsi="宋体"/>
          <w:b/>
          <w:bCs/>
          <w:color w:val="auto"/>
          <w:kern w:val="44"/>
          <w:sz w:val="32"/>
          <w:szCs w:val="32"/>
          <w:highlight w:val="none"/>
        </w:rPr>
      </w:pPr>
    </w:p>
    <w:p w14:paraId="5F5176C0">
      <w:pPr>
        <w:spacing w:line="520" w:lineRule="exact"/>
        <w:jc w:val="center"/>
        <w:rPr>
          <w:rFonts w:ascii="宋体" w:hAnsi="宋体"/>
          <w:b/>
          <w:bCs/>
          <w:color w:val="auto"/>
          <w:kern w:val="44"/>
          <w:sz w:val="32"/>
          <w:szCs w:val="32"/>
          <w:highlight w:val="none"/>
        </w:rPr>
      </w:pPr>
    </w:p>
    <w:p w14:paraId="02E55E93">
      <w:pPr>
        <w:rPr>
          <w:rFonts w:hint="eastAsia" w:ascii="宋体" w:hAnsi="宋体"/>
          <w:b/>
          <w:bCs/>
          <w:color w:val="auto"/>
          <w:kern w:val="44"/>
          <w:sz w:val="32"/>
          <w:szCs w:val="32"/>
          <w:highlight w:val="none"/>
        </w:rPr>
      </w:pPr>
      <w:r>
        <w:rPr>
          <w:rFonts w:hint="eastAsia" w:ascii="宋体" w:hAnsi="宋体"/>
          <w:b/>
          <w:bCs/>
          <w:color w:val="auto"/>
          <w:kern w:val="44"/>
          <w:sz w:val="32"/>
          <w:szCs w:val="32"/>
          <w:highlight w:val="none"/>
        </w:rPr>
        <w:br w:type="page"/>
      </w:r>
    </w:p>
    <w:p w14:paraId="3CB2A14B">
      <w:pPr>
        <w:spacing w:line="520" w:lineRule="exact"/>
        <w:jc w:val="center"/>
        <w:rPr>
          <w:rFonts w:ascii="宋体" w:hAnsi="宋体"/>
          <w:color w:val="auto"/>
          <w:highlight w:val="none"/>
        </w:rPr>
      </w:pPr>
      <w:r>
        <w:rPr>
          <w:rFonts w:hint="eastAsia" w:ascii="宋体" w:hAnsi="宋体"/>
          <w:b/>
          <w:bCs/>
          <w:color w:val="auto"/>
          <w:kern w:val="44"/>
          <w:sz w:val="32"/>
          <w:szCs w:val="32"/>
          <w:highlight w:val="none"/>
        </w:rPr>
        <w:t>第二章磋商</w:t>
      </w:r>
      <w:r>
        <w:rPr>
          <w:rFonts w:hint="eastAsia" w:ascii="宋体" w:hAnsi="宋体"/>
          <w:b/>
          <w:bCs/>
          <w:color w:val="auto"/>
          <w:kern w:val="44"/>
          <w:sz w:val="32"/>
          <w:szCs w:val="32"/>
          <w:highlight w:val="none"/>
          <w:lang w:eastAsia="zh-CN"/>
        </w:rPr>
        <w:t>供应商</w:t>
      </w:r>
      <w:r>
        <w:rPr>
          <w:rFonts w:hint="eastAsia" w:ascii="宋体" w:hAnsi="宋体"/>
          <w:b/>
          <w:bCs/>
          <w:color w:val="auto"/>
          <w:kern w:val="44"/>
          <w:sz w:val="32"/>
          <w:szCs w:val="32"/>
          <w:highlight w:val="none"/>
        </w:rPr>
        <w:t>须知</w:t>
      </w:r>
      <w:bookmarkStart w:id="7" w:name="_Toc184635070"/>
      <w:bookmarkEnd w:id="7"/>
      <w:bookmarkStart w:id="8" w:name="_Toc12765"/>
      <w:bookmarkEnd w:id="8"/>
      <w:bookmarkStart w:id="9" w:name="_Toc25088"/>
      <w:bookmarkEnd w:id="9"/>
      <w:bookmarkStart w:id="10" w:name="_Toc28094"/>
    </w:p>
    <w:p w14:paraId="6F0E5C07">
      <w:pPr>
        <w:pStyle w:val="3"/>
        <w:keepLines w:val="0"/>
        <w:widowControl/>
        <w:spacing w:line="520" w:lineRule="exact"/>
        <w:jc w:val="center"/>
        <w:rPr>
          <w:rFonts w:ascii="宋体" w:hAnsi="宋体"/>
          <w:color w:val="auto"/>
          <w:kern w:val="2"/>
          <w:szCs w:val="24"/>
          <w:highlight w:val="none"/>
        </w:rPr>
      </w:pPr>
      <w:r>
        <w:rPr>
          <w:rFonts w:hint="eastAsia" w:ascii="宋体" w:hAnsi="宋体"/>
          <w:color w:val="auto"/>
          <w:highlight w:val="none"/>
        </w:rPr>
        <w:t>磋商</w:t>
      </w:r>
      <w:r>
        <w:rPr>
          <w:rFonts w:hint="eastAsia" w:ascii="宋体" w:hAnsi="宋体"/>
          <w:color w:val="auto"/>
          <w:highlight w:val="none"/>
          <w:lang w:eastAsia="zh-CN"/>
        </w:rPr>
        <w:t>供应商</w:t>
      </w:r>
      <w:r>
        <w:rPr>
          <w:rFonts w:hint="eastAsia" w:ascii="宋体" w:hAnsi="宋体"/>
          <w:color w:val="auto"/>
          <w:highlight w:val="none"/>
        </w:rPr>
        <w:t>须知前附表</w:t>
      </w:r>
      <w:bookmarkEnd w:id="10"/>
    </w:p>
    <w:tbl>
      <w:tblPr>
        <w:tblStyle w:val="17"/>
        <w:tblW w:w="884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984"/>
        <w:gridCol w:w="6064"/>
      </w:tblGrid>
      <w:tr w14:paraId="185B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94" w:type="dxa"/>
            <w:tcBorders>
              <w:top w:val="single" w:color="auto" w:sz="4" w:space="0"/>
              <w:left w:val="single" w:color="auto" w:sz="4" w:space="0"/>
              <w:bottom w:val="single" w:color="auto" w:sz="4" w:space="0"/>
              <w:right w:val="single" w:color="auto" w:sz="4" w:space="0"/>
            </w:tcBorders>
            <w:vAlign w:val="center"/>
          </w:tcPr>
          <w:p w14:paraId="450DEE10">
            <w:pPr>
              <w:spacing w:line="400" w:lineRule="exact"/>
              <w:jc w:val="center"/>
              <w:rPr>
                <w:rFonts w:ascii="宋体" w:hAnsi="宋体"/>
                <w:b/>
                <w:bCs/>
                <w:color w:val="auto"/>
                <w:sz w:val="22"/>
                <w:highlight w:val="none"/>
              </w:rPr>
            </w:pPr>
            <w:r>
              <w:rPr>
                <w:rFonts w:hint="eastAsia" w:ascii="宋体" w:hAnsi="宋体"/>
                <w:b/>
                <w:bCs/>
                <w:color w:val="auto"/>
                <w:sz w:val="22"/>
                <w:highlight w:val="none"/>
              </w:rPr>
              <w:t>序号</w:t>
            </w:r>
          </w:p>
        </w:tc>
        <w:tc>
          <w:tcPr>
            <w:tcW w:w="1984" w:type="dxa"/>
            <w:tcBorders>
              <w:top w:val="single" w:color="auto" w:sz="4" w:space="0"/>
              <w:left w:val="nil"/>
              <w:bottom w:val="single" w:color="auto" w:sz="4" w:space="0"/>
              <w:right w:val="single" w:color="auto" w:sz="4" w:space="0"/>
            </w:tcBorders>
            <w:vAlign w:val="center"/>
          </w:tcPr>
          <w:p w14:paraId="76EDC782">
            <w:pPr>
              <w:spacing w:line="400" w:lineRule="exact"/>
              <w:jc w:val="center"/>
              <w:rPr>
                <w:rFonts w:ascii="宋体" w:hAnsi="宋体"/>
                <w:b/>
                <w:bCs/>
                <w:color w:val="auto"/>
                <w:sz w:val="22"/>
                <w:highlight w:val="none"/>
              </w:rPr>
            </w:pPr>
            <w:r>
              <w:rPr>
                <w:rFonts w:hint="eastAsia" w:ascii="宋体" w:hAnsi="宋体"/>
                <w:b/>
                <w:bCs/>
                <w:color w:val="auto"/>
                <w:sz w:val="22"/>
                <w:highlight w:val="none"/>
              </w:rPr>
              <w:t>名 称</w:t>
            </w:r>
          </w:p>
        </w:tc>
        <w:tc>
          <w:tcPr>
            <w:tcW w:w="6064" w:type="dxa"/>
            <w:tcBorders>
              <w:top w:val="single" w:color="auto" w:sz="4" w:space="0"/>
              <w:left w:val="nil"/>
              <w:bottom w:val="single" w:color="auto" w:sz="4" w:space="0"/>
              <w:right w:val="single" w:color="auto" w:sz="4" w:space="0"/>
            </w:tcBorders>
            <w:vAlign w:val="center"/>
          </w:tcPr>
          <w:p w14:paraId="7193EF55">
            <w:pPr>
              <w:spacing w:line="400" w:lineRule="exact"/>
              <w:jc w:val="center"/>
              <w:rPr>
                <w:rFonts w:ascii="宋体" w:hAnsi="宋体"/>
                <w:b/>
                <w:bCs/>
                <w:color w:val="auto"/>
                <w:sz w:val="22"/>
                <w:highlight w:val="none"/>
              </w:rPr>
            </w:pPr>
            <w:r>
              <w:rPr>
                <w:rFonts w:hint="eastAsia" w:ascii="宋体" w:hAnsi="宋体"/>
                <w:b/>
                <w:bCs/>
                <w:color w:val="auto"/>
                <w:sz w:val="22"/>
                <w:highlight w:val="none"/>
              </w:rPr>
              <w:t>内 容</w:t>
            </w:r>
          </w:p>
        </w:tc>
      </w:tr>
      <w:tr w14:paraId="7B32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94" w:type="dxa"/>
            <w:tcBorders>
              <w:top w:val="single" w:color="auto" w:sz="4" w:space="0"/>
              <w:left w:val="single" w:color="auto" w:sz="4" w:space="0"/>
              <w:bottom w:val="single" w:color="auto" w:sz="4" w:space="0"/>
              <w:right w:val="single" w:color="auto" w:sz="4" w:space="0"/>
            </w:tcBorders>
            <w:vAlign w:val="center"/>
          </w:tcPr>
          <w:p w14:paraId="0872EEB1">
            <w:pPr>
              <w:spacing w:line="360" w:lineRule="auto"/>
              <w:jc w:val="center"/>
              <w:rPr>
                <w:rFonts w:ascii="宋体" w:hAnsi="宋体"/>
                <w:color w:val="auto"/>
                <w:sz w:val="22"/>
                <w:highlight w:val="none"/>
              </w:rPr>
            </w:pPr>
            <w:r>
              <w:rPr>
                <w:rFonts w:hint="eastAsia" w:ascii="宋体" w:hAnsi="宋体"/>
                <w:color w:val="auto"/>
                <w:sz w:val="22"/>
                <w:highlight w:val="none"/>
              </w:rPr>
              <w:t>1</w:t>
            </w:r>
          </w:p>
        </w:tc>
        <w:tc>
          <w:tcPr>
            <w:tcW w:w="1984" w:type="dxa"/>
            <w:tcBorders>
              <w:top w:val="single" w:color="auto" w:sz="4" w:space="0"/>
              <w:left w:val="nil"/>
              <w:bottom w:val="single" w:color="auto" w:sz="4" w:space="0"/>
              <w:right w:val="single" w:color="auto" w:sz="4" w:space="0"/>
            </w:tcBorders>
            <w:vAlign w:val="center"/>
          </w:tcPr>
          <w:p w14:paraId="1A5B5C75">
            <w:pPr>
              <w:spacing w:line="360" w:lineRule="auto"/>
              <w:jc w:val="center"/>
              <w:rPr>
                <w:rFonts w:hint="default" w:ascii="宋体" w:hAnsi="宋体" w:eastAsia="宋体"/>
                <w:color w:val="auto"/>
                <w:sz w:val="22"/>
                <w:highlight w:val="none"/>
                <w:lang w:val="en-US" w:eastAsia="zh-CN"/>
              </w:rPr>
            </w:pPr>
            <w:r>
              <w:rPr>
                <w:rFonts w:hint="eastAsia" w:ascii="宋体" w:hAnsi="宋体"/>
                <w:color w:val="auto"/>
                <w:sz w:val="22"/>
                <w:highlight w:val="none"/>
                <w:lang w:val="en-US" w:eastAsia="zh-CN"/>
              </w:rPr>
              <w:t>采购人</w:t>
            </w:r>
          </w:p>
        </w:tc>
        <w:tc>
          <w:tcPr>
            <w:tcW w:w="6064" w:type="dxa"/>
            <w:tcBorders>
              <w:top w:val="single" w:color="auto" w:sz="4" w:space="0"/>
              <w:left w:val="nil"/>
              <w:bottom w:val="single" w:color="auto" w:sz="4" w:space="0"/>
              <w:right w:val="single" w:color="auto" w:sz="4" w:space="0"/>
            </w:tcBorders>
            <w:vAlign w:val="center"/>
          </w:tcPr>
          <w:p w14:paraId="7BAF430A">
            <w:pPr>
              <w:spacing w:line="360" w:lineRule="auto"/>
              <w:rPr>
                <w:rFonts w:hint="eastAsia" w:ascii="宋体" w:hAnsi="宋体" w:eastAsia="宋体"/>
                <w:color w:val="auto"/>
                <w:sz w:val="22"/>
                <w:highlight w:val="none"/>
                <w:lang w:eastAsia="zh-CN"/>
              </w:rPr>
            </w:pPr>
            <w:r>
              <w:rPr>
                <w:rFonts w:hint="eastAsia" w:ascii="宋体" w:hAnsi="宋体"/>
                <w:color w:val="auto"/>
                <w:sz w:val="22"/>
                <w:highlight w:val="none"/>
              </w:rPr>
              <w:t>名称：</w:t>
            </w:r>
            <w:r>
              <w:rPr>
                <w:rFonts w:hint="eastAsia" w:ascii="宋体" w:hAnsi="宋体"/>
                <w:color w:val="auto"/>
                <w:sz w:val="22"/>
                <w:highlight w:val="none"/>
                <w:lang w:eastAsia="zh-CN"/>
              </w:rPr>
              <w:t>灵宝市公路事业发展中心</w:t>
            </w:r>
          </w:p>
          <w:p w14:paraId="0401045F">
            <w:pPr>
              <w:spacing w:line="360" w:lineRule="auto"/>
              <w:rPr>
                <w:rFonts w:hint="eastAsia" w:ascii="宋体" w:hAnsi="宋体"/>
                <w:color w:val="auto"/>
                <w:sz w:val="22"/>
                <w:highlight w:val="none"/>
              </w:rPr>
            </w:pPr>
            <w:r>
              <w:rPr>
                <w:rFonts w:hint="eastAsia" w:ascii="宋体" w:hAnsi="宋体"/>
                <w:color w:val="auto"/>
                <w:sz w:val="22"/>
                <w:highlight w:val="none"/>
              </w:rPr>
              <w:t>联系人：</w:t>
            </w:r>
            <w:r>
              <w:rPr>
                <w:rFonts w:hint="eastAsia" w:ascii="宋体" w:hAnsi="宋体"/>
                <w:color w:val="auto"/>
                <w:sz w:val="22"/>
                <w:highlight w:val="none"/>
                <w:lang w:eastAsia="zh-CN"/>
              </w:rPr>
              <w:t>董先生</w:t>
            </w:r>
            <w:r>
              <w:rPr>
                <w:rFonts w:hint="eastAsia" w:ascii="宋体" w:hAnsi="宋体"/>
                <w:color w:val="auto"/>
                <w:sz w:val="22"/>
                <w:highlight w:val="none"/>
              </w:rPr>
              <w:t xml:space="preserve"> </w:t>
            </w:r>
          </w:p>
          <w:p w14:paraId="057A8C2C">
            <w:pPr>
              <w:spacing w:line="360" w:lineRule="auto"/>
              <w:rPr>
                <w:rFonts w:hint="eastAsia" w:ascii="宋体" w:hAnsi="宋体" w:eastAsia="宋体"/>
                <w:color w:val="auto"/>
                <w:sz w:val="22"/>
                <w:highlight w:val="none"/>
                <w:lang w:eastAsia="zh-CN"/>
              </w:rPr>
            </w:pPr>
            <w:r>
              <w:rPr>
                <w:rFonts w:hint="eastAsia" w:ascii="宋体" w:hAnsi="宋体"/>
                <w:color w:val="auto"/>
                <w:sz w:val="22"/>
                <w:highlight w:val="none"/>
              </w:rPr>
              <w:t>电话：</w:t>
            </w:r>
            <w:r>
              <w:rPr>
                <w:rFonts w:hint="eastAsia" w:ascii="宋体" w:hAnsi="宋体"/>
                <w:color w:val="auto"/>
                <w:sz w:val="22"/>
                <w:highlight w:val="none"/>
                <w:lang w:eastAsia="zh-CN"/>
              </w:rPr>
              <w:t>13639830585</w:t>
            </w:r>
          </w:p>
          <w:p w14:paraId="27AC44BA">
            <w:pPr>
              <w:spacing w:line="360" w:lineRule="auto"/>
              <w:rPr>
                <w:rFonts w:hint="eastAsia" w:ascii="宋体" w:hAnsi="宋体" w:eastAsia="宋体"/>
                <w:color w:val="auto"/>
                <w:sz w:val="22"/>
                <w:highlight w:val="none"/>
                <w:lang w:eastAsia="zh-CN"/>
              </w:rPr>
            </w:pPr>
            <w:r>
              <w:rPr>
                <w:rFonts w:hint="eastAsia" w:ascii="宋体" w:hAnsi="宋体"/>
                <w:color w:val="auto"/>
                <w:sz w:val="22"/>
                <w:highlight w:val="none"/>
              </w:rPr>
              <w:t>地址：</w:t>
            </w:r>
            <w:r>
              <w:rPr>
                <w:rFonts w:hint="eastAsia" w:ascii="宋体" w:hAnsi="宋体"/>
                <w:color w:val="auto"/>
                <w:sz w:val="22"/>
                <w:highlight w:val="none"/>
                <w:lang w:eastAsia="zh-CN"/>
              </w:rPr>
              <w:t>灵宝市亚武路灵宝市人民政府东北侧约50米</w:t>
            </w:r>
          </w:p>
        </w:tc>
      </w:tr>
      <w:tr w14:paraId="7FF3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94" w:type="dxa"/>
            <w:tcBorders>
              <w:top w:val="single" w:color="auto" w:sz="4" w:space="0"/>
              <w:left w:val="single" w:color="auto" w:sz="4" w:space="0"/>
              <w:bottom w:val="single" w:color="auto" w:sz="4" w:space="0"/>
              <w:right w:val="single" w:color="auto" w:sz="4" w:space="0"/>
            </w:tcBorders>
            <w:vAlign w:val="center"/>
          </w:tcPr>
          <w:p w14:paraId="153C71C5">
            <w:pPr>
              <w:spacing w:line="360" w:lineRule="auto"/>
              <w:jc w:val="center"/>
              <w:rPr>
                <w:rFonts w:ascii="宋体" w:hAnsi="宋体"/>
                <w:color w:val="auto"/>
                <w:sz w:val="22"/>
                <w:highlight w:val="none"/>
              </w:rPr>
            </w:pPr>
            <w:r>
              <w:rPr>
                <w:rFonts w:hint="eastAsia" w:ascii="宋体" w:hAnsi="宋体"/>
                <w:color w:val="auto"/>
                <w:sz w:val="22"/>
                <w:highlight w:val="none"/>
              </w:rPr>
              <w:t>2</w:t>
            </w:r>
          </w:p>
        </w:tc>
        <w:tc>
          <w:tcPr>
            <w:tcW w:w="1984" w:type="dxa"/>
            <w:tcBorders>
              <w:top w:val="single" w:color="auto" w:sz="4" w:space="0"/>
              <w:left w:val="nil"/>
              <w:bottom w:val="single" w:color="auto" w:sz="4" w:space="0"/>
              <w:right w:val="single" w:color="auto" w:sz="4" w:space="0"/>
            </w:tcBorders>
            <w:vAlign w:val="center"/>
          </w:tcPr>
          <w:p w14:paraId="02D18EA3">
            <w:pPr>
              <w:spacing w:line="360" w:lineRule="auto"/>
              <w:jc w:val="center"/>
              <w:rPr>
                <w:rFonts w:ascii="宋体" w:hAnsi="宋体"/>
                <w:color w:val="auto"/>
                <w:sz w:val="22"/>
                <w:highlight w:val="none"/>
              </w:rPr>
            </w:pPr>
            <w:r>
              <w:rPr>
                <w:rFonts w:hint="eastAsia" w:ascii="宋体" w:hAnsi="宋体"/>
                <w:color w:val="auto"/>
                <w:sz w:val="22"/>
                <w:highlight w:val="none"/>
              </w:rPr>
              <w:t>代理机构</w:t>
            </w:r>
          </w:p>
        </w:tc>
        <w:tc>
          <w:tcPr>
            <w:tcW w:w="6064" w:type="dxa"/>
            <w:tcBorders>
              <w:top w:val="single" w:color="auto" w:sz="4" w:space="0"/>
              <w:left w:val="nil"/>
              <w:bottom w:val="single" w:color="auto" w:sz="4" w:space="0"/>
              <w:right w:val="single" w:color="auto" w:sz="4" w:space="0"/>
            </w:tcBorders>
            <w:vAlign w:val="center"/>
          </w:tcPr>
          <w:p w14:paraId="69776AE3">
            <w:pPr>
              <w:spacing w:line="360" w:lineRule="auto"/>
              <w:rPr>
                <w:rFonts w:hint="eastAsia" w:ascii="宋体" w:hAnsi="宋体"/>
                <w:color w:val="auto"/>
                <w:sz w:val="22"/>
                <w:highlight w:val="none"/>
              </w:rPr>
            </w:pPr>
            <w:r>
              <w:rPr>
                <w:rFonts w:hint="eastAsia" w:ascii="宋体" w:hAnsi="宋体"/>
                <w:color w:val="auto"/>
                <w:sz w:val="22"/>
                <w:highlight w:val="none"/>
              </w:rPr>
              <w:t>名称：</w:t>
            </w:r>
            <w:r>
              <w:rPr>
                <w:rFonts w:hint="eastAsia" w:ascii="宋体" w:hAnsi="宋体"/>
                <w:color w:val="auto"/>
                <w:sz w:val="22"/>
                <w:highlight w:val="none"/>
                <w:lang w:eastAsia="zh-CN"/>
              </w:rPr>
              <w:t>河南匠之心工程咨询有限公司</w:t>
            </w:r>
            <w:r>
              <w:rPr>
                <w:rFonts w:hint="eastAsia" w:ascii="宋体" w:hAnsi="宋体"/>
                <w:color w:val="auto"/>
                <w:sz w:val="22"/>
                <w:highlight w:val="none"/>
              </w:rPr>
              <w:t xml:space="preserve"> </w:t>
            </w:r>
          </w:p>
          <w:p w14:paraId="5FD27A4C">
            <w:pPr>
              <w:spacing w:line="360" w:lineRule="auto"/>
              <w:rPr>
                <w:rFonts w:hint="eastAsia" w:ascii="宋体" w:hAnsi="宋体" w:eastAsia="宋体"/>
                <w:color w:val="auto"/>
                <w:sz w:val="22"/>
                <w:highlight w:val="none"/>
                <w:lang w:eastAsia="zh-CN"/>
              </w:rPr>
            </w:pPr>
            <w:r>
              <w:rPr>
                <w:rFonts w:hint="eastAsia" w:ascii="宋体" w:hAnsi="宋体"/>
                <w:color w:val="auto"/>
                <w:sz w:val="22"/>
                <w:highlight w:val="none"/>
              </w:rPr>
              <w:t>联系人：</w:t>
            </w:r>
            <w:r>
              <w:rPr>
                <w:rFonts w:hint="eastAsia" w:ascii="宋体" w:hAnsi="宋体"/>
                <w:color w:val="auto"/>
                <w:sz w:val="22"/>
                <w:highlight w:val="none"/>
                <w:lang w:val="en-US" w:eastAsia="zh-CN"/>
              </w:rPr>
              <w:t>纪先生</w:t>
            </w:r>
          </w:p>
          <w:p w14:paraId="5DCDCA41">
            <w:pPr>
              <w:spacing w:line="360" w:lineRule="auto"/>
              <w:rPr>
                <w:rFonts w:hint="eastAsia" w:ascii="宋体" w:hAnsi="宋体" w:eastAsia="宋体"/>
                <w:color w:val="auto"/>
                <w:sz w:val="22"/>
                <w:highlight w:val="none"/>
                <w:lang w:eastAsia="zh-CN"/>
              </w:rPr>
            </w:pPr>
            <w:r>
              <w:rPr>
                <w:rFonts w:hint="eastAsia" w:ascii="宋体" w:hAnsi="宋体"/>
                <w:color w:val="auto"/>
                <w:sz w:val="22"/>
                <w:highlight w:val="none"/>
              </w:rPr>
              <w:t>电话：</w:t>
            </w:r>
            <w:r>
              <w:rPr>
                <w:rFonts w:hint="eastAsia" w:ascii="宋体" w:hAnsi="宋体"/>
                <w:color w:val="auto"/>
                <w:sz w:val="22"/>
                <w:highlight w:val="none"/>
                <w:lang w:eastAsia="zh-CN"/>
              </w:rPr>
              <w:t>15837183802</w:t>
            </w:r>
          </w:p>
          <w:p w14:paraId="7BEA3B8F">
            <w:pPr>
              <w:spacing w:line="360" w:lineRule="auto"/>
              <w:rPr>
                <w:rFonts w:hint="eastAsia" w:ascii="宋体" w:hAnsi="宋体" w:eastAsia="宋体"/>
                <w:color w:val="auto"/>
                <w:sz w:val="22"/>
                <w:highlight w:val="none"/>
                <w:lang w:eastAsia="zh-CN"/>
              </w:rPr>
            </w:pPr>
            <w:r>
              <w:rPr>
                <w:rFonts w:hint="eastAsia" w:ascii="宋体" w:hAnsi="宋体"/>
                <w:color w:val="auto"/>
                <w:sz w:val="22"/>
                <w:highlight w:val="none"/>
              </w:rPr>
              <w:t>地址：</w:t>
            </w:r>
            <w:r>
              <w:rPr>
                <w:rFonts w:hint="eastAsia" w:ascii="宋体" w:hAnsi="宋体"/>
                <w:color w:val="auto"/>
                <w:sz w:val="22"/>
                <w:highlight w:val="none"/>
                <w:lang w:eastAsia="zh-CN"/>
              </w:rPr>
              <w:t>河南自贸试验区郑州片区（经开）航海东路1356号商鼎大厦506、508号房间</w:t>
            </w:r>
          </w:p>
        </w:tc>
      </w:tr>
      <w:tr w14:paraId="5D68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94" w:type="dxa"/>
            <w:tcBorders>
              <w:top w:val="single" w:color="auto" w:sz="4" w:space="0"/>
              <w:left w:val="single" w:color="auto" w:sz="4" w:space="0"/>
              <w:bottom w:val="single" w:color="auto" w:sz="4" w:space="0"/>
              <w:right w:val="single" w:color="auto" w:sz="4" w:space="0"/>
            </w:tcBorders>
            <w:vAlign w:val="center"/>
          </w:tcPr>
          <w:p w14:paraId="1B1EEB5C">
            <w:pPr>
              <w:spacing w:line="360" w:lineRule="auto"/>
              <w:jc w:val="center"/>
              <w:rPr>
                <w:rFonts w:ascii="宋体" w:hAnsi="宋体"/>
                <w:color w:val="auto"/>
                <w:sz w:val="22"/>
                <w:highlight w:val="none"/>
              </w:rPr>
            </w:pPr>
            <w:r>
              <w:rPr>
                <w:rFonts w:hint="eastAsia" w:ascii="宋体" w:hAnsi="宋体"/>
                <w:color w:val="auto"/>
                <w:sz w:val="22"/>
                <w:highlight w:val="none"/>
              </w:rPr>
              <w:t>3</w:t>
            </w:r>
          </w:p>
        </w:tc>
        <w:tc>
          <w:tcPr>
            <w:tcW w:w="1984" w:type="dxa"/>
            <w:tcBorders>
              <w:top w:val="single" w:color="auto" w:sz="4" w:space="0"/>
              <w:left w:val="nil"/>
              <w:bottom w:val="single" w:color="auto" w:sz="4" w:space="0"/>
              <w:right w:val="single" w:color="auto" w:sz="4" w:space="0"/>
            </w:tcBorders>
            <w:vAlign w:val="center"/>
          </w:tcPr>
          <w:p w14:paraId="42690047">
            <w:pPr>
              <w:spacing w:line="400" w:lineRule="exact"/>
              <w:jc w:val="center"/>
              <w:rPr>
                <w:rFonts w:hint="eastAsia" w:ascii="宋体" w:hAnsi="宋体" w:cs="Times New Roman"/>
                <w:color w:val="auto"/>
                <w:sz w:val="22"/>
                <w:highlight w:val="none"/>
              </w:rPr>
            </w:pPr>
            <w:r>
              <w:rPr>
                <w:rFonts w:hint="eastAsia" w:ascii="宋体" w:hAnsi="宋体" w:cs="Times New Roman"/>
                <w:color w:val="auto"/>
                <w:sz w:val="22"/>
                <w:highlight w:val="none"/>
              </w:rPr>
              <w:t>项目名称</w:t>
            </w:r>
          </w:p>
        </w:tc>
        <w:tc>
          <w:tcPr>
            <w:tcW w:w="6064" w:type="dxa"/>
            <w:tcBorders>
              <w:top w:val="single" w:color="auto" w:sz="4" w:space="0"/>
              <w:left w:val="nil"/>
              <w:bottom w:val="single" w:color="auto" w:sz="4" w:space="0"/>
              <w:right w:val="single" w:color="auto" w:sz="4" w:space="0"/>
            </w:tcBorders>
            <w:vAlign w:val="center"/>
          </w:tcPr>
          <w:p w14:paraId="759E4AAB">
            <w:pPr>
              <w:spacing w:line="400" w:lineRule="exact"/>
              <w:rPr>
                <w:rFonts w:hint="eastAsia" w:ascii="宋体" w:hAnsi="宋体" w:cs="Times New Roman"/>
                <w:color w:val="auto"/>
                <w:sz w:val="22"/>
                <w:highlight w:val="none"/>
                <w:lang w:eastAsia="zh-CN"/>
              </w:rPr>
            </w:pPr>
            <w:r>
              <w:rPr>
                <w:rFonts w:hint="eastAsia" w:ascii="宋体" w:hAnsi="宋体" w:cs="Times New Roman"/>
                <w:color w:val="auto"/>
                <w:sz w:val="22"/>
                <w:highlight w:val="none"/>
                <w:lang w:eastAsia="zh-CN"/>
              </w:rPr>
              <w:t>灵宝市2025年第三批农村公路养护工程</w:t>
            </w:r>
          </w:p>
        </w:tc>
      </w:tr>
      <w:tr w14:paraId="2D73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713A3839">
            <w:pPr>
              <w:spacing w:line="360" w:lineRule="auto"/>
              <w:jc w:val="center"/>
              <w:rPr>
                <w:rFonts w:ascii="宋体" w:hAnsi="宋体"/>
                <w:color w:val="auto"/>
                <w:sz w:val="22"/>
                <w:highlight w:val="none"/>
              </w:rPr>
            </w:pPr>
            <w:r>
              <w:rPr>
                <w:rFonts w:hint="eastAsia" w:ascii="宋体" w:hAnsi="宋体"/>
                <w:color w:val="auto"/>
                <w:sz w:val="22"/>
                <w:highlight w:val="none"/>
              </w:rPr>
              <w:t>4</w:t>
            </w:r>
          </w:p>
        </w:tc>
        <w:tc>
          <w:tcPr>
            <w:tcW w:w="1984" w:type="dxa"/>
            <w:tcBorders>
              <w:top w:val="single" w:color="auto" w:sz="4" w:space="0"/>
              <w:left w:val="nil"/>
              <w:bottom w:val="single" w:color="auto" w:sz="4" w:space="0"/>
              <w:right w:val="single" w:color="auto" w:sz="4" w:space="0"/>
            </w:tcBorders>
            <w:vAlign w:val="center"/>
          </w:tcPr>
          <w:p w14:paraId="40366AC6">
            <w:pPr>
              <w:spacing w:line="400" w:lineRule="exact"/>
              <w:jc w:val="center"/>
              <w:rPr>
                <w:rFonts w:hint="eastAsia" w:ascii="宋体" w:hAnsi="宋体" w:cs="Times New Roman"/>
                <w:color w:val="auto"/>
                <w:sz w:val="22"/>
                <w:highlight w:val="none"/>
              </w:rPr>
            </w:pPr>
            <w:r>
              <w:rPr>
                <w:rFonts w:hint="eastAsia" w:ascii="宋体" w:hAnsi="宋体" w:cs="Times New Roman"/>
                <w:color w:val="auto"/>
                <w:sz w:val="22"/>
                <w:highlight w:val="none"/>
              </w:rPr>
              <w:t>建设地点</w:t>
            </w:r>
          </w:p>
        </w:tc>
        <w:tc>
          <w:tcPr>
            <w:tcW w:w="6064" w:type="dxa"/>
            <w:tcBorders>
              <w:top w:val="single" w:color="auto" w:sz="4" w:space="0"/>
              <w:left w:val="nil"/>
              <w:bottom w:val="single" w:color="auto" w:sz="4" w:space="0"/>
              <w:right w:val="single" w:color="auto" w:sz="4" w:space="0"/>
            </w:tcBorders>
            <w:vAlign w:val="center"/>
          </w:tcPr>
          <w:p w14:paraId="229C7076">
            <w:pPr>
              <w:spacing w:line="400" w:lineRule="exact"/>
              <w:rPr>
                <w:rFonts w:hint="eastAsia" w:ascii="宋体" w:hAnsi="宋体" w:cs="Times New Roman"/>
                <w:color w:val="auto"/>
                <w:sz w:val="22"/>
                <w:highlight w:val="none"/>
              </w:rPr>
            </w:pPr>
            <w:r>
              <w:rPr>
                <w:rFonts w:hint="eastAsia" w:ascii="宋体" w:hAnsi="宋体" w:cs="Times New Roman"/>
                <w:color w:val="auto"/>
                <w:sz w:val="22"/>
                <w:highlight w:val="none"/>
              </w:rPr>
              <w:t>灵宝市</w:t>
            </w:r>
          </w:p>
        </w:tc>
      </w:tr>
      <w:tr w14:paraId="0D9C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293DFFBD">
            <w:pPr>
              <w:spacing w:line="360" w:lineRule="auto"/>
              <w:jc w:val="center"/>
              <w:rPr>
                <w:rFonts w:ascii="宋体" w:hAnsi="宋体"/>
                <w:color w:val="auto"/>
                <w:sz w:val="22"/>
                <w:highlight w:val="none"/>
              </w:rPr>
            </w:pPr>
            <w:r>
              <w:rPr>
                <w:rFonts w:hint="eastAsia" w:ascii="宋体" w:hAnsi="宋体"/>
                <w:color w:val="auto"/>
                <w:sz w:val="22"/>
                <w:highlight w:val="none"/>
              </w:rPr>
              <w:t>5</w:t>
            </w:r>
          </w:p>
        </w:tc>
        <w:tc>
          <w:tcPr>
            <w:tcW w:w="1984" w:type="dxa"/>
            <w:tcBorders>
              <w:top w:val="single" w:color="auto" w:sz="4" w:space="0"/>
              <w:left w:val="nil"/>
              <w:bottom w:val="single" w:color="auto" w:sz="4" w:space="0"/>
              <w:right w:val="single" w:color="auto" w:sz="4" w:space="0"/>
            </w:tcBorders>
            <w:vAlign w:val="center"/>
          </w:tcPr>
          <w:p w14:paraId="22338CDC">
            <w:pPr>
              <w:spacing w:line="400" w:lineRule="exact"/>
              <w:jc w:val="center"/>
              <w:rPr>
                <w:rFonts w:hint="eastAsia" w:ascii="宋体" w:hAnsi="宋体" w:cs="Times New Roman"/>
                <w:color w:val="auto"/>
                <w:sz w:val="22"/>
                <w:highlight w:val="none"/>
              </w:rPr>
            </w:pPr>
            <w:r>
              <w:rPr>
                <w:rFonts w:hint="eastAsia" w:ascii="宋体" w:hAnsi="宋体" w:cs="Times New Roman"/>
                <w:color w:val="auto"/>
                <w:sz w:val="22"/>
                <w:highlight w:val="none"/>
              </w:rPr>
              <w:t>资金来源</w:t>
            </w:r>
          </w:p>
        </w:tc>
        <w:tc>
          <w:tcPr>
            <w:tcW w:w="6064" w:type="dxa"/>
            <w:tcBorders>
              <w:top w:val="single" w:color="auto" w:sz="4" w:space="0"/>
              <w:left w:val="nil"/>
              <w:bottom w:val="single" w:color="auto" w:sz="4" w:space="0"/>
              <w:right w:val="single" w:color="auto" w:sz="4" w:space="0"/>
            </w:tcBorders>
            <w:vAlign w:val="center"/>
          </w:tcPr>
          <w:p w14:paraId="3647D575">
            <w:pPr>
              <w:spacing w:line="400" w:lineRule="exact"/>
              <w:rPr>
                <w:rFonts w:hint="default" w:ascii="宋体" w:hAnsi="宋体" w:cs="Times New Roman"/>
                <w:color w:val="auto"/>
                <w:sz w:val="22"/>
                <w:highlight w:val="none"/>
                <w:lang w:val="en-US" w:eastAsia="zh-CN"/>
              </w:rPr>
            </w:pPr>
            <w:r>
              <w:rPr>
                <w:rFonts w:hint="eastAsia" w:ascii="宋体" w:hAnsi="宋体" w:cs="Times New Roman"/>
                <w:color w:val="auto"/>
                <w:sz w:val="22"/>
                <w:highlight w:val="none"/>
                <w:lang w:val="en-US" w:eastAsia="zh-CN"/>
              </w:rPr>
              <w:t>财政资金</w:t>
            </w:r>
          </w:p>
        </w:tc>
      </w:tr>
      <w:tr w14:paraId="75B6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5A7634BD">
            <w:pPr>
              <w:spacing w:line="360" w:lineRule="auto"/>
              <w:jc w:val="center"/>
              <w:rPr>
                <w:rFonts w:ascii="宋体" w:hAnsi="宋体"/>
                <w:color w:val="auto"/>
                <w:sz w:val="22"/>
                <w:highlight w:val="none"/>
              </w:rPr>
            </w:pPr>
            <w:r>
              <w:rPr>
                <w:rFonts w:hint="eastAsia" w:ascii="宋体" w:hAnsi="宋体"/>
                <w:color w:val="auto"/>
                <w:sz w:val="22"/>
                <w:highlight w:val="none"/>
              </w:rPr>
              <w:t>6</w:t>
            </w:r>
          </w:p>
        </w:tc>
        <w:tc>
          <w:tcPr>
            <w:tcW w:w="1984" w:type="dxa"/>
            <w:tcBorders>
              <w:top w:val="single" w:color="auto" w:sz="4" w:space="0"/>
              <w:left w:val="nil"/>
              <w:bottom w:val="single" w:color="auto" w:sz="4" w:space="0"/>
              <w:right w:val="single" w:color="auto" w:sz="4" w:space="0"/>
            </w:tcBorders>
            <w:vAlign w:val="center"/>
          </w:tcPr>
          <w:p w14:paraId="020CDF8D">
            <w:pPr>
              <w:spacing w:line="400" w:lineRule="exact"/>
              <w:jc w:val="center"/>
              <w:rPr>
                <w:rFonts w:hint="eastAsia" w:ascii="宋体" w:hAnsi="宋体" w:cs="Times New Roman"/>
                <w:color w:val="auto"/>
                <w:sz w:val="22"/>
                <w:highlight w:val="none"/>
              </w:rPr>
            </w:pPr>
            <w:r>
              <w:rPr>
                <w:rFonts w:hint="eastAsia" w:ascii="宋体" w:hAnsi="宋体" w:cs="Times New Roman"/>
                <w:color w:val="auto"/>
                <w:sz w:val="22"/>
                <w:highlight w:val="none"/>
              </w:rPr>
              <w:t>资金落实情况</w:t>
            </w:r>
          </w:p>
        </w:tc>
        <w:tc>
          <w:tcPr>
            <w:tcW w:w="6064" w:type="dxa"/>
            <w:tcBorders>
              <w:top w:val="single" w:color="auto" w:sz="4" w:space="0"/>
              <w:left w:val="nil"/>
              <w:bottom w:val="single" w:color="auto" w:sz="4" w:space="0"/>
              <w:right w:val="single" w:color="auto" w:sz="4" w:space="0"/>
            </w:tcBorders>
            <w:vAlign w:val="center"/>
          </w:tcPr>
          <w:p w14:paraId="64E620A1">
            <w:pPr>
              <w:spacing w:line="400" w:lineRule="exact"/>
              <w:rPr>
                <w:rFonts w:hint="eastAsia" w:ascii="宋体" w:hAnsi="宋体" w:cs="Times New Roman"/>
                <w:color w:val="auto"/>
                <w:sz w:val="22"/>
                <w:highlight w:val="none"/>
              </w:rPr>
            </w:pPr>
            <w:r>
              <w:rPr>
                <w:rFonts w:hint="eastAsia" w:ascii="宋体" w:hAnsi="宋体" w:cs="Times New Roman"/>
                <w:color w:val="auto"/>
                <w:sz w:val="22"/>
                <w:highlight w:val="none"/>
              </w:rPr>
              <w:t>资金已落实</w:t>
            </w:r>
          </w:p>
        </w:tc>
      </w:tr>
      <w:tr w14:paraId="2A12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04C3967F">
            <w:pPr>
              <w:spacing w:line="360" w:lineRule="auto"/>
              <w:jc w:val="center"/>
              <w:rPr>
                <w:rFonts w:ascii="宋体" w:hAnsi="宋体"/>
                <w:color w:val="auto"/>
                <w:sz w:val="22"/>
                <w:highlight w:val="none"/>
              </w:rPr>
            </w:pPr>
            <w:r>
              <w:rPr>
                <w:rFonts w:hint="eastAsia" w:ascii="宋体" w:hAnsi="宋体"/>
                <w:color w:val="auto"/>
                <w:sz w:val="22"/>
                <w:highlight w:val="none"/>
              </w:rPr>
              <w:t>7</w:t>
            </w:r>
          </w:p>
        </w:tc>
        <w:tc>
          <w:tcPr>
            <w:tcW w:w="1984" w:type="dxa"/>
            <w:tcBorders>
              <w:top w:val="single" w:color="auto" w:sz="4" w:space="0"/>
              <w:left w:val="nil"/>
              <w:bottom w:val="single" w:color="auto" w:sz="4" w:space="0"/>
              <w:right w:val="single" w:color="auto" w:sz="4" w:space="0"/>
            </w:tcBorders>
            <w:vAlign w:val="center"/>
          </w:tcPr>
          <w:p w14:paraId="2CDA38C9">
            <w:pPr>
              <w:spacing w:line="400" w:lineRule="exact"/>
              <w:jc w:val="center"/>
              <w:rPr>
                <w:rFonts w:ascii="宋体" w:hAnsi="宋体"/>
                <w:color w:val="auto"/>
                <w:sz w:val="22"/>
                <w:highlight w:val="none"/>
              </w:rPr>
            </w:pPr>
            <w:r>
              <w:rPr>
                <w:rFonts w:hint="eastAsia" w:ascii="宋体" w:hAnsi="宋体"/>
                <w:color w:val="auto"/>
                <w:sz w:val="22"/>
                <w:highlight w:val="none"/>
                <w:lang w:eastAsia="zh-CN"/>
              </w:rPr>
              <w:t>磋商</w:t>
            </w:r>
            <w:r>
              <w:rPr>
                <w:rFonts w:hint="eastAsia" w:ascii="宋体" w:hAnsi="宋体"/>
                <w:color w:val="auto"/>
                <w:sz w:val="22"/>
                <w:highlight w:val="none"/>
              </w:rPr>
              <w:t>范围</w:t>
            </w:r>
          </w:p>
        </w:tc>
        <w:tc>
          <w:tcPr>
            <w:tcW w:w="6064" w:type="dxa"/>
            <w:tcBorders>
              <w:top w:val="single" w:color="auto" w:sz="4" w:space="0"/>
              <w:left w:val="nil"/>
              <w:bottom w:val="single" w:color="auto" w:sz="4" w:space="0"/>
              <w:right w:val="single" w:color="auto" w:sz="4" w:space="0"/>
            </w:tcBorders>
            <w:vAlign w:val="center"/>
          </w:tcPr>
          <w:p w14:paraId="44365857">
            <w:pPr>
              <w:spacing w:line="400" w:lineRule="exact"/>
              <w:rPr>
                <w:rFonts w:hint="eastAsia" w:ascii="宋体" w:hAnsi="宋体" w:eastAsia="宋体"/>
                <w:color w:val="auto"/>
                <w:sz w:val="22"/>
                <w:highlight w:val="none"/>
                <w:lang w:eastAsia="zh-CN"/>
              </w:rPr>
            </w:pPr>
            <w:r>
              <w:rPr>
                <w:rFonts w:hint="eastAsia" w:ascii="宋体" w:hAnsi="宋体"/>
                <w:color w:val="auto"/>
                <w:sz w:val="22"/>
                <w:highlight w:val="none"/>
                <w:lang w:eastAsia="zh-CN"/>
              </w:rPr>
              <w:t>本项目竞争性磋商文件、图纸及工程量清单范围内所有内容</w:t>
            </w:r>
          </w:p>
        </w:tc>
      </w:tr>
      <w:tr w14:paraId="5389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76DA4AF3">
            <w:pPr>
              <w:spacing w:line="360" w:lineRule="auto"/>
              <w:jc w:val="center"/>
              <w:rPr>
                <w:rFonts w:ascii="宋体" w:hAnsi="宋体"/>
                <w:color w:val="auto"/>
                <w:sz w:val="22"/>
                <w:highlight w:val="none"/>
              </w:rPr>
            </w:pPr>
            <w:r>
              <w:rPr>
                <w:rFonts w:hint="eastAsia" w:ascii="宋体" w:hAnsi="宋体"/>
                <w:color w:val="auto"/>
                <w:sz w:val="22"/>
                <w:highlight w:val="none"/>
              </w:rPr>
              <w:t>8</w:t>
            </w:r>
          </w:p>
        </w:tc>
        <w:tc>
          <w:tcPr>
            <w:tcW w:w="1984" w:type="dxa"/>
            <w:tcBorders>
              <w:top w:val="single" w:color="auto" w:sz="4" w:space="0"/>
              <w:left w:val="nil"/>
              <w:bottom w:val="single" w:color="auto" w:sz="4" w:space="0"/>
              <w:right w:val="single" w:color="auto" w:sz="4" w:space="0"/>
            </w:tcBorders>
            <w:vAlign w:val="center"/>
          </w:tcPr>
          <w:p w14:paraId="2E262020">
            <w:pPr>
              <w:spacing w:line="400" w:lineRule="exact"/>
              <w:jc w:val="center"/>
              <w:rPr>
                <w:rFonts w:ascii="宋体" w:hAnsi="宋体"/>
                <w:color w:val="auto"/>
                <w:sz w:val="22"/>
                <w:highlight w:val="none"/>
              </w:rPr>
            </w:pPr>
            <w:r>
              <w:rPr>
                <w:rFonts w:hint="eastAsia" w:ascii="宋体" w:hAnsi="宋体"/>
                <w:color w:val="auto"/>
                <w:sz w:val="22"/>
                <w:highlight w:val="none"/>
              </w:rPr>
              <w:t>计划工期</w:t>
            </w:r>
          </w:p>
        </w:tc>
        <w:tc>
          <w:tcPr>
            <w:tcW w:w="6064" w:type="dxa"/>
            <w:tcBorders>
              <w:top w:val="single" w:color="auto" w:sz="4" w:space="0"/>
              <w:left w:val="nil"/>
              <w:bottom w:val="single" w:color="auto" w:sz="4" w:space="0"/>
              <w:right w:val="single" w:color="auto" w:sz="4" w:space="0"/>
            </w:tcBorders>
            <w:vAlign w:val="center"/>
          </w:tcPr>
          <w:p w14:paraId="35097A05">
            <w:pPr>
              <w:spacing w:line="400" w:lineRule="exact"/>
              <w:rPr>
                <w:rFonts w:hint="eastAsia" w:ascii="宋体" w:hAnsi="宋体" w:eastAsia="宋体"/>
                <w:color w:val="auto"/>
                <w:sz w:val="22"/>
                <w:highlight w:val="none"/>
                <w:lang w:eastAsia="zh-CN"/>
              </w:rPr>
            </w:pPr>
            <w:r>
              <w:rPr>
                <w:rFonts w:hint="eastAsia" w:ascii="宋体" w:hAnsi="宋体"/>
                <w:color w:val="auto"/>
                <w:sz w:val="22"/>
                <w:highlight w:val="none"/>
                <w:lang w:val="en-US" w:eastAsia="zh-CN"/>
              </w:rPr>
              <w:t>90日历天</w:t>
            </w:r>
          </w:p>
        </w:tc>
      </w:tr>
      <w:tr w14:paraId="6C52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94" w:type="dxa"/>
            <w:tcBorders>
              <w:top w:val="single" w:color="auto" w:sz="4" w:space="0"/>
              <w:left w:val="single" w:color="auto" w:sz="4" w:space="0"/>
              <w:bottom w:val="single" w:color="auto" w:sz="4" w:space="0"/>
              <w:right w:val="single" w:color="auto" w:sz="4" w:space="0"/>
            </w:tcBorders>
            <w:vAlign w:val="center"/>
          </w:tcPr>
          <w:p w14:paraId="7F22F7D1">
            <w:pPr>
              <w:spacing w:line="360" w:lineRule="auto"/>
              <w:jc w:val="center"/>
              <w:rPr>
                <w:rFonts w:ascii="宋体" w:hAnsi="宋体"/>
                <w:color w:val="auto"/>
                <w:sz w:val="22"/>
                <w:highlight w:val="none"/>
              </w:rPr>
            </w:pPr>
            <w:r>
              <w:rPr>
                <w:rFonts w:hint="eastAsia" w:ascii="宋体" w:hAnsi="宋体"/>
                <w:color w:val="auto"/>
                <w:sz w:val="22"/>
                <w:highlight w:val="none"/>
              </w:rPr>
              <w:t>9</w:t>
            </w:r>
          </w:p>
        </w:tc>
        <w:tc>
          <w:tcPr>
            <w:tcW w:w="1984" w:type="dxa"/>
            <w:tcBorders>
              <w:top w:val="single" w:color="auto" w:sz="4" w:space="0"/>
              <w:left w:val="nil"/>
              <w:bottom w:val="single" w:color="auto" w:sz="4" w:space="0"/>
              <w:right w:val="single" w:color="auto" w:sz="4" w:space="0"/>
            </w:tcBorders>
            <w:vAlign w:val="center"/>
          </w:tcPr>
          <w:p w14:paraId="260FCD3F">
            <w:pPr>
              <w:spacing w:line="400" w:lineRule="exact"/>
              <w:jc w:val="center"/>
              <w:rPr>
                <w:rFonts w:ascii="宋体" w:hAnsi="宋体"/>
                <w:color w:val="auto"/>
                <w:sz w:val="22"/>
                <w:highlight w:val="none"/>
              </w:rPr>
            </w:pPr>
            <w:r>
              <w:rPr>
                <w:rFonts w:hint="eastAsia" w:ascii="宋体" w:hAnsi="宋体"/>
                <w:color w:val="auto"/>
                <w:sz w:val="22"/>
                <w:highlight w:val="none"/>
              </w:rPr>
              <w:t>质量要求</w:t>
            </w:r>
          </w:p>
        </w:tc>
        <w:tc>
          <w:tcPr>
            <w:tcW w:w="6064" w:type="dxa"/>
            <w:tcBorders>
              <w:top w:val="single" w:color="auto" w:sz="4" w:space="0"/>
              <w:left w:val="nil"/>
              <w:bottom w:val="single" w:color="auto" w:sz="4" w:space="0"/>
              <w:right w:val="single" w:color="auto" w:sz="4" w:space="0"/>
            </w:tcBorders>
            <w:vAlign w:val="center"/>
          </w:tcPr>
          <w:p w14:paraId="3EE8B551">
            <w:pPr>
              <w:pStyle w:val="6"/>
              <w:adjustRightInd/>
              <w:spacing w:after="0" w:line="400" w:lineRule="exact"/>
              <w:ind w:left="0" w:leftChars="0" w:right="63"/>
              <w:jc w:val="both"/>
              <w:textAlignment w:val="auto"/>
              <w:rPr>
                <w:rFonts w:ascii="宋体" w:hAnsi="宋体"/>
                <w:color w:val="auto"/>
                <w:sz w:val="22"/>
                <w:highlight w:val="none"/>
              </w:rPr>
            </w:pPr>
            <w:r>
              <w:rPr>
                <w:rFonts w:hint="eastAsia" w:ascii="宋体" w:hAnsi="宋体"/>
                <w:color w:val="auto"/>
                <w:sz w:val="22"/>
                <w:highlight w:val="none"/>
              </w:rPr>
              <w:t>符合国家现行公路工程施工质量评定合格标准</w:t>
            </w:r>
          </w:p>
        </w:tc>
      </w:tr>
      <w:tr w14:paraId="584E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4" w:type="dxa"/>
            <w:tcBorders>
              <w:top w:val="single" w:color="auto" w:sz="4" w:space="0"/>
              <w:left w:val="single" w:color="auto" w:sz="4" w:space="0"/>
              <w:bottom w:val="single" w:color="auto" w:sz="4" w:space="0"/>
              <w:right w:val="single" w:color="auto" w:sz="4" w:space="0"/>
            </w:tcBorders>
            <w:vAlign w:val="center"/>
          </w:tcPr>
          <w:p w14:paraId="023E86D9">
            <w:pPr>
              <w:spacing w:line="360" w:lineRule="auto"/>
              <w:jc w:val="center"/>
              <w:rPr>
                <w:rFonts w:ascii="宋体" w:hAnsi="宋体"/>
                <w:color w:val="auto"/>
                <w:sz w:val="22"/>
                <w:highlight w:val="none"/>
              </w:rPr>
            </w:pPr>
            <w:r>
              <w:rPr>
                <w:rFonts w:hint="eastAsia" w:ascii="宋体" w:hAnsi="宋体"/>
                <w:color w:val="auto"/>
                <w:sz w:val="22"/>
                <w:highlight w:val="none"/>
              </w:rPr>
              <w:t>10</w:t>
            </w:r>
          </w:p>
        </w:tc>
        <w:tc>
          <w:tcPr>
            <w:tcW w:w="1984" w:type="dxa"/>
            <w:tcBorders>
              <w:top w:val="single" w:color="auto" w:sz="4" w:space="0"/>
              <w:left w:val="nil"/>
              <w:bottom w:val="single" w:color="auto" w:sz="4" w:space="0"/>
              <w:right w:val="single" w:color="auto" w:sz="4" w:space="0"/>
            </w:tcBorders>
            <w:vAlign w:val="center"/>
          </w:tcPr>
          <w:p w14:paraId="588A42E2">
            <w:pPr>
              <w:spacing w:line="400" w:lineRule="exact"/>
              <w:jc w:val="center"/>
              <w:rPr>
                <w:rFonts w:ascii="宋体" w:hAnsi="宋体"/>
                <w:color w:val="auto"/>
                <w:sz w:val="22"/>
                <w:highlight w:val="none"/>
              </w:rPr>
            </w:pPr>
            <w:r>
              <w:rPr>
                <w:rFonts w:hint="eastAsia" w:ascii="宋体" w:hAnsi="宋体"/>
                <w:color w:val="auto"/>
                <w:sz w:val="22"/>
                <w:highlight w:val="none"/>
              </w:rPr>
              <w:t>磋商</w:t>
            </w:r>
            <w:r>
              <w:rPr>
                <w:rFonts w:hint="eastAsia" w:ascii="宋体" w:hAnsi="宋体"/>
                <w:color w:val="auto"/>
                <w:sz w:val="22"/>
                <w:highlight w:val="none"/>
                <w:lang w:eastAsia="zh-CN"/>
              </w:rPr>
              <w:t>供应商</w:t>
            </w:r>
            <w:r>
              <w:rPr>
                <w:rFonts w:hint="eastAsia" w:ascii="宋体" w:hAnsi="宋体"/>
                <w:color w:val="auto"/>
                <w:sz w:val="22"/>
                <w:highlight w:val="none"/>
              </w:rPr>
              <w:t>资质条件和信誉</w:t>
            </w:r>
          </w:p>
        </w:tc>
        <w:tc>
          <w:tcPr>
            <w:tcW w:w="6064" w:type="dxa"/>
            <w:tcBorders>
              <w:top w:val="single" w:color="auto" w:sz="4" w:space="0"/>
              <w:left w:val="nil"/>
              <w:bottom w:val="single" w:color="auto" w:sz="4" w:space="0"/>
              <w:right w:val="single" w:color="auto" w:sz="4" w:space="0"/>
            </w:tcBorders>
            <w:vAlign w:val="center"/>
          </w:tcPr>
          <w:p w14:paraId="0CDEDA1E">
            <w:pPr>
              <w:spacing w:line="400" w:lineRule="exact"/>
              <w:rPr>
                <w:rFonts w:ascii="宋体" w:hAnsi="宋体"/>
                <w:color w:val="auto"/>
                <w:sz w:val="22"/>
                <w:highlight w:val="none"/>
              </w:rPr>
            </w:pPr>
            <w:r>
              <w:rPr>
                <w:rFonts w:hint="eastAsia"/>
                <w:color w:val="auto"/>
                <w:sz w:val="22"/>
                <w:szCs w:val="24"/>
                <w:highlight w:val="none"/>
              </w:rPr>
              <w:t>同招标公告</w:t>
            </w:r>
          </w:p>
        </w:tc>
      </w:tr>
      <w:tr w14:paraId="76ED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4" w:type="dxa"/>
            <w:tcBorders>
              <w:top w:val="single" w:color="auto" w:sz="4" w:space="0"/>
              <w:left w:val="single" w:color="auto" w:sz="4" w:space="0"/>
              <w:bottom w:val="single" w:color="auto" w:sz="4" w:space="0"/>
              <w:right w:val="single" w:color="auto" w:sz="4" w:space="0"/>
            </w:tcBorders>
            <w:vAlign w:val="center"/>
          </w:tcPr>
          <w:p w14:paraId="38C237AE">
            <w:pPr>
              <w:spacing w:line="360" w:lineRule="auto"/>
              <w:jc w:val="center"/>
              <w:rPr>
                <w:rFonts w:ascii="宋体" w:hAnsi="宋体"/>
                <w:color w:val="auto"/>
                <w:sz w:val="22"/>
                <w:highlight w:val="none"/>
              </w:rPr>
            </w:pPr>
            <w:r>
              <w:rPr>
                <w:rFonts w:hint="eastAsia" w:ascii="宋体" w:hAnsi="宋体"/>
                <w:color w:val="auto"/>
                <w:sz w:val="22"/>
                <w:highlight w:val="none"/>
              </w:rPr>
              <w:t>11</w:t>
            </w:r>
          </w:p>
        </w:tc>
        <w:tc>
          <w:tcPr>
            <w:tcW w:w="1984" w:type="dxa"/>
            <w:tcBorders>
              <w:top w:val="single" w:color="auto" w:sz="4" w:space="0"/>
              <w:left w:val="nil"/>
              <w:bottom w:val="single" w:color="auto" w:sz="4" w:space="0"/>
              <w:right w:val="single" w:color="auto" w:sz="4" w:space="0"/>
            </w:tcBorders>
            <w:vAlign w:val="center"/>
          </w:tcPr>
          <w:p w14:paraId="181294DB">
            <w:pPr>
              <w:spacing w:line="400" w:lineRule="exact"/>
              <w:jc w:val="center"/>
              <w:rPr>
                <w:rFonts w:ascii="宋体" w:hAnsi="宋体"/>
                <w:color w:val="auto"/>
                <w:sz w:val="22"/>
                <w:highlight w:val="none"/>
              </w:rPr>
            </w:pPr>
            <w:r>
              <w:rPr>
                <w:rFonts w:hint="eastAsia" w:ascii="宋体" w:hAnsi="宋体"/>
                <w:color w:val="auto"/>
                <w:sz w:val="22"/>
                <w:highlight w:val="none"/>
              </w:rPr>
              <w:t>是否接受联合体磋商</w:t>
            </w:r>
          </w:p>
        </w:tc>
        <w:tc>
          <w:tcPr>
            <w:tcW w:w="6064" w:type="dxa"/>
            <w:tcBorders>
              <w:top w:val="single" w:color="auto" w:sz="4" w:space="0"/>
              <w:left w:val="nil"/>
              <w:bottom w:val="single" w:color="auto" w:sz="4" w:space="0"/>
              <w:right w:val="single" w:color="auto" w:sz="4" w:space="0"/>
            </w:tcBorders>
            <w:vAlign w:val="center"/>
          </w:tcPr>
          <w:p w14:paraId="21E66546">
            <w:pPr>
              <w:spacing w:line="400" w:lineRule="exact"/>
              <w:rPr>
                <w:rFonts w:ascii="宋体" w:hAnsi="宋体"/>
                <w:color w:val="auto"/>
                <w:sz w:val="22"/>
                <w:highlight w:val="none"/>
              </w:rPr>
            </w:pPr>
            <w:r>
              <w:rPr>
                <w:rFonts w:hint="eastAsia" w:ascii="宋体" w:hAnsi="宋体"/>
                <w:color w:val="auto"/>
                <w:sz w:val="22"/>
                <w:highlight w:val="none"/>
              </w:rPr>
              <w:t>不接受</w:t>
            </w:r>
          </w:p>
        </w:tc>
      </w:tr>
      <w:tr w14:paraId="5C2D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794" w:type="dxa"/>
            <w:tcBorders>
              <w:top w:val="single" w:color="auto" w:sz="4" w:space="0"/>
              <w:left w:val="single" w:color="auto" w:sz="4" w:space="0"/>
              <w:bottom w:val="single" w:color="auto" w:sz="4" w:space="0"/>
              <w:right w:val="single" w:color="auto" w:sz="4" w:space="0"/>
            </w:tcBorders>
            <w:vAlign w:val="center"/>
          </w:tcPr>
          <w:p w14:paraId="5E4633A8">
            <w:pPr>
              <w:spacing w:line="360" w:lineRule="auto"/>
              <w:jc w:val="center"/>
              <w:rPr>
                <w:rFonts w:ascii="宋体" w:hAnsi="宋体"/>
                <w:color w:val="auto"/>
                <w:sz w:val="22"/>
                <w:highlight w:val="none"/>
              </w:rPr>
            </w:pPr>
            <w:r>
              <w:rPr>
                <w:rFonts w:hint="eastAsia" w:ascii="宋体" w:hAnsi="宋体"/>
                <w:color w:val="auto"/>
                <w:sz w:val="22"/>
                <w:highlight w:val="none"/>
              </w:rPr>
              <w:t>12</w:t>
            </w:r>
          </w:p>
        </w:tc>
        <w:tc>
          <w:tcPr>
            <w:tcW w:w="1984" w:type="dxa"/>
            <w:tcBorders>
              <w:top w:val="single" w:color="auto" w:sz="4" w:space="0"/>
              <w:left w:val="nil"/>
              <w:bottom w:val="single" w:color="auto" w:sz="4" w:space="0"/>
              <w:right w:val="single" w:color="auto" w:sz="4" w:space="0"/>
            </w:tcBorders>
            <w:vAlign w:val="center"/>
          </w:tcPr>
          <w:p w14:paraId="11991924">
            <w:pPr>
              <w:spacing w:line="360" w:lineRule="auto"/>
              <w:jc w:val="center"/>
              <w:rPr>
                <w:rFonts w:ascii="宋体" w:hAnsi="宋体"/>
                <w:color w:val="auto"/>
                <w:sz w:val="22"/>
                <w:highlight w:val="none"/>
              </w:rPr>
            </w:pPr>
            <w:r>
              <w:rPr>
                <w:rFonts w:hint="eastAsia" w:ascii="宋体" w:hAnsi="宋体"/>
                <w:color w:val="auto"/>
                <w:sz w:val="22"/>
                <w:highlight w:val="none"/>
              </w:rPr>
              <w:t>踏勘现场</w:t>
            </w:r>
          </w:p>
        </w:tc>
        <w:tc>
          <w:tcPr>
            <w:tcW w:w="6064" w:type="dxa"/>
            <w:tcBorders>
              <w:top w:val="single" w:color="auto" w:sz="4" w:space="0"/>
              <w:left w:val="nil"/>
              <w:bottom w:val="single" w:color="auto" w:sz="4" w:space="0"/>
              <w:right w:val="single" w:color="auto" w:sz="4" w:space="0"/>
            </w:tcBorders>
            <w:vAlign w:val="center"/>
          </w:tcPr>
          <w:p w14:paraId="17ED64FA">
            <w:pPr>
              <w:spacing w:line="360" w:lineRule="auto"/>
              <w:rPr>
                <w:rFonts w:ascii="宋体" w:hAnsi="宋体"/>
                <w:color w:val="auto"/>
                <w:sz w:val="22"/>
                <w:highlight w:val="none"/>
              </w:rPr>
            </w:pPr>
            <w:r>
              <w:rPr>
                <w:rFonts w:hint="eastAsia" w:ascii="宋体" w:hAnsi="宋体"/>
                <w:color w:val="auto"/>
                <w:sz w:val="22"/>
                <w:highlight w:val="none"/>
              </w:rPr>
              <w:t>不组织，磋商</w:t>
            </w:r>
            <w:r>
              <w:rPr>
                <w:rFonts w:hint="eastAsia" w:ascii="宋体" w:hAnsi="宋体"/>
                <w:color w:val="auto"/>
                <w:sz w:val="22"/>
                <w:highlight w:val="none"/>
                <w:lang w:eastAsia="zh-CN"/>
              </w:rPr>
              <w:t>供应商</w:t>
            </w:r>
            <w:r>
              <w:rPr>
                <w:rFonts w:hint="eastAsia" w:ascii="宋体" w:hAnsi="宋体"/>
                <w:color w:val="auto"/>
                <w:sz w:val="22"/>
                <w:highlight w:val="none"/>
              </w:rPr>
              <w:t>可自行组织踏勘现场并负责在踏勘现场中所发生的人员安全。</w:t>
            </w:r>
          </w:p>
        </w:tc>
      </w:tr>
      <w:tr w14:paraId="191D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50535547">
            <w:pPr>
              <w:spacing w:line="360" w:lineRule="auto"/>
              <w:jc w:val="center"/>
              <w:rPr>
                <w:rFonts w:ascii="宋体" w:hAnsi="宋体"/>
                <w:color w:val="auto"/>
                <w:sz w:val="22"/>
                <w:highlight w:val="none"/>
              </w:rPr>
            </w:pPr>
            <w:r>
              <w:rPr>
                <w:rFonts w:hint="eastAsia" w:ascii="宋体" w:hAnsi="宋体"/>
                <w:color w:val="auto"/>
                <w:sz w:val="22"/>
                <w:highlight w:val="none"/>
              </w:rPr>
              <w:t>13</w:t>
            </w:r>
          </w:p>
        </w:tc>
        <w:tc>
          <w:tcPr>
            <w:tcW w:w="1984" w:type="dxa"/>
            <w:tcBorders>
              <w:top w:val="single" w:color="auto" w:sz="4" w:space="0"/>
              <w:left w:val="nil"/>
              <w:bottom w:val="single" w:color="auto" w:sz="4" w:space="0"/>
              <w:right w:val="single" w:color="auto" w:sz="4" w:space="0"/>
            </w:tcBorders>
            <w:vAlign w:val="center"/>
          </w:tcPr>
          <w:p w14:paraId="350265D4">
            <w:pPr>
              <w:spacing w:line="360" w:lineRule="auto"/>
              <w:jc w:val="center"/>
              <w:rPr>
                <w:rFonts w:ascii="宋体" w:hAnsi="宋体"/>
                <w:color w:val="auto"/>
                <w:sz w:val="22"/>
                <w:highlight w:val="none"/>
              </w:rPr>
            </w:pPr>
            <w:r>
              <w:rPr>
                <w:rFonts w:hint="eastAsia" w:ascii="宋体" w:hAnsi="宋体"/>
                <w:color w:val="auto"/>
                <w:sz w:val="22"/>
                <w:highlight w:val="none"/>
              </w:rPr>
              <w:t>磋商预备会</w:t>
            </w:r>
          </w:p>
        </w:tc>
        <w:tc>
          <w:tcPr>
            <w:tcW w:w="6064" w:type="dxa"/>
            <w:tcBorders>
              <w:top w:val="single" w:color="auto" w:sz="4" w:space="0"/>
              <w:left w:val="nil"/>
              <w:bottom w:val="single" w:color="auto" w:sz="4" w:space="0"/>
              <w:right w:val="single" w:color="auto" w:sz="4" w:space="0"/>
            </w:tcBorders>
            <w:vAlign w:val="center"/>
          </w:tcPr>
          <w:p w14:paraId="27285E54">
            <w:pPr>
              <w:spacing w:line="360" w:lineRule="auto"/>
              <w:rPr>
                <w:rFonts w:ascii="宋体" w:hAnsi="宋体"/>
                <w:color w:val="auto"/>
                <w:sz w:val="22"/>
                <w:highlight w:val="none"/>
              </w:rPr>
            </w:pPr>
            <w:r>
              <w:rPr>
                <w:rFonts w:hint="eastAsia" w:ascii="宋体" w:hAnsi="宋体"/>
                <w:color w:val="auto"/>
                <w:sz w:val="22"/>
                <w:highlight w:val="none"/>
              </w:rPr>
              <w:t>不召开</w:t>
            </w:r>
          </w:p>
        </w:tc>
      </w:tr>
      <w:tr w14:paraId="6A23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6BC506AF">
            <w:pPr>
              <w:spacing w:line="360" w:lineRule="auto"/>
              <w:jc w:val="center"/>
              <w:rPr>
                <w:rFonts w:ascii="宋体" w:hAnsi="宋体"/>
                <w:color w:val="auto"/>
                <w:sz w:val="22"/>
                <w:highlight w:val="none"/>
              </w:rPr>
            </w:pPr>
            <w:r>
              <w:rPr>
                <w:rFonts w:hint="eastAsia" w:ascii="宋体" w:hAnsi="宋体"/>
                <w:color w:val="auto"/>
                <w:sz w:val="22"/>
                <w:highlight w:val="none"/>
              </w:rPr>
              <w:t>14</w:t>
            </w:r>
          </w:p>
        </w:tc>
        <w:tc>
          <w:tcPr>
            <w:tcW w:w="1984" w:type="dxa"/>
            <w:tcBorders>
              <w:top w:val="single" w:color="auto" w:sz="4" w:space="0"/>
              <w:left w:val="nil"/>
              <w:bottom w:val="single" w:color="auto" w:sz="4" w:space="0"/>
              <w:right w:val="single" w:color="auto" w:sz="4" w:space="0"/>
            </w:tcBorders>
            <w:vAlign w:val="center"/>
          </w:tcPr>
          <w:p w14:paraId="78889260">
            <w:pPr>
              <w:spacing w:line="360" w:lineRule="auto"/>
              <w:jc w:val="center"/>
              <w:rPr>
                <w:rFonts w:ascii="宋体" w:hAnsi="宋体"/>
                <w:color w:val="auto"/>
                <w:sz w:val="22"/>
                <w:highlight w:val="none"/>
              </w:rPr>
            </w:pPr>
            <w:r>
              <w:rPr>
                <w:rFonts w:hint="eastAsia" w:ascii="宋体" w:hAnsi="宋体"/>
                <w:color w:val="auto"/>
                <w:sz w:val="22"/>
                <w:highlight w:val="none"/>
              </w:rPr>
              <w:t>分包</w:t>
            </w:r>
          </w:p>
        </w:tc>
        <w:tc>
          <w:tcPr>
            <w:tcW w:w="6064" w:type="dxa"/>
            <w:tcBorders>
              <w:top w:val="single" w:color="auto" w:sz="4" w:space="0"/>
              <w:left w:val="nil"/>
              <w:bottom w:val="single" w:color="auto" w:sz="4" w:space="0"/>
              <w:right w:val="single" w:color="auto" w:sz="4" w:space="0"/>
            </w:tcBorders>
            <w:vAlign w:val="center"/>
          </w:tcPr>
          <w:p w14:paraId="24825C59">
            <w:pPr>
              <w:spacing w:line="360" w:lineRule="auto"/>
              <w:rPr>
                <w:rFonts w:ascii="宋体" w:hAnsi="宋体"/>
                <w:color w:val="auto"/>
                <w:sz w:val="22"/>
                <w:highlight w:val="none"/>
              </w:rPr>
            </w:pPr>
            <w:r>
              <w:rPr>
                <w:rFonts w:hint="eastAsia" w:ascii="宋体" w:hAnsi="宋体"/>
                <w:color w:val="auto"/>
                <w:sz w:val="22"/>
                <w:highlight w:val="none"/>
              </w:rPr>
              <w:t>不允许</w:t>
            </w:r>
          </w:p>
        </w:tc>
      </w:tr>
      <w:tr w14:paraId="7C21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3717EA02">
            <w:pPr>
              <w:spacing w:line="360" w:lineRule="auto"/>
              <w:jc w:val="center"/>
              <w:rPr>
                <w:rFonts w:ascii="宋体" w:hAnsi="宋体"/>
                <w:color w:val="auto"/>
                <w:sz w:val="22"/>
                <w:highlight w:val="none"/>
              </w:rPr>
            </w:pPr>
            <w:r>
              <w:rPr>
                <w:rFonts w:hint="eastAsia" w:ascii="宋体" w:hAnsi="宋体"/>
                <w:color w:val="auto"/>
                <w:sz w:val="22"/>
                <w:highlight w:val="none"/>
              </w:rPr>
              <w:t>15</w:t>
            </w:r>
          </w:p>
        </w:tc>
        <w:tc>
          <w:tcPr>
            <w:tcW w:w="1984" w:type="dxa"/>
            <w:tcBorders>
              <w:top w:val="single" w:color="auto" w:sz="4" w:space="0"/>
              <w:left w:val="nil"/>
              <w:bottom w:val="single" w:color="auto" w:sz="4" w:space="0"/>
              <w:right w:val="single" w:color="auto" w:sz="4" w:space="0"/>
            </w:tcBorders>
            <w:vAlign w:val="center"/>
          </w:tcPr>
          <w:p w14:paraId="318291A1">
            <w:pPr>
              <w:spacing w:line="360" w:lineRule="auto"/>
              <w:jc w:val="center"/>
              <w:rPr>
                <w:rFonts w:ascii="宋体" w:hAnsi="宋体"/>
                <w:color w:val="auto"/>
                <w:sz w:val="22"/>
                <w:highlight w:val="none"/>
              </w:rPr>
            </w:pPr>
            <w:r>
              <w:rPr>
                <w:rFonts w:hint="eastAsia" w:ascii="宋体" w:hAnsi="宋体"/>
                <w:color w:val="auto"/>
                <w:sz w:val="22"/>
                <w:highlight w:val="none"/>
              </w:rPr>
              <w:t>偏离</w:t>
            </w:r>
          </w:p>
        </w:tc>
        <w:tc>
          <w:tcPr>
            <w:tcW w:w="6064" w:type="dxa"/>
            <w:tcBorders>
              <w:top w:val="single" w:color="auto" w:sz="4" w:space="0"/>
              <w:left w:val="nil"/>
              <w:bottom w:val="single" w:color="auto" w:sz="4" w:space="0"/>
              <w:right w:val="single" w:color="auto" w:sz="4" w:space="0"/>
            </w:tcBorders>
            <w:vAlign w:val="center"/>
          </w:tcPr>
          <w:p w14:paraId="5FC826A8">
            <w:pPr>
              <w:spacing w:line="360" w:lineRule="auto"/>
              <w:rPr>
                <w:rFonts w:ascii="宋体" w:hAnsi="宋体"/>
                <w:color w:val="auto"/>
                <w:sz w:val="22"/>
                <w:highlight w:val="none"/>
              </w:rPr>
            </w:pPr>
            <w:r>
              <w:rPr>
                <w:rFonts w:hint="eastAsia" w:ascii="宋体" w:hAnsi="宋体"/>
                <w:color w:val="auto"/>
                <w:sz w:val="22"/>
                <w:highlight w:val="none"/>
              </w:rPr>
              <w:t>不允许</w:t>
            </w:r>
          </w:p>
        </w:tc>
      </w:tr>
      <w:tr w14:paraId="525F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4" w:type="dxa"/>
            <w:tcBorders>
              <w:top w:val="single" w:color="auto" w:sz="4" w:space="0"/>
              <w:left w:val="single" w:color="auto" w:sz="4" w:space="0"/>
              <w:bottom w:val="single" w:color="auto" w:sz="4" w:space="0"/>
              <w:right w:val="single" w:color="auto" w:sz="4" w:space="0"/>
            </w:tcBorders>
            <w:vAlign w:val="center"/>
          </w:tcPr>
          <w:p w14:paraId="2C76EE0C">
            <w:pPr>
              <w:spacing w:line="360" w:lineRule="auto"/>
              <w:jc w:val="center"/>
              <w:rPr>
                <w:rFonts w:ascii="宋体" w:hAnsi="宋体"/>
                <w:color w:val="auto"/>
                <w:sz w:val="22"/>
                <w:highlight w:val="none"/>
              </w:rPr>
            </w:pPr>
            <w:r>
              <w:rPr>
                <w:rFonts w:hint="eastAsia" w:ascii="宋体" w:hAnsi="宋体"/>
                <w:color w:val="auto"/>
                <w:sz w:val="22"/>
                <w:highlight w:val="none"/>
              </w:rPr>
              <w:t>16</w:t>
            </w:r>
          </w:p>
        </w:tc>
        <w:tc>
          <w:tcPr>
            <w:tcW w:w="1984" w:type="dxa"/>
            <w:tcBorders>
              <w:top w:val="single" w:color="auto" w:sz="4" w:space="0"/>
              <w:left w:val="nil"/>
              <w:bottom w:val="single" w:color="auto" w:sz="4" w:space="0"/>
              <w:right w:val="single" w:color="auto" w:sz="4" w:space="0"/>
            </w:tcBorders>
            <w:vAlign w:val="center"/>
          </w:tcPr>
          <w:p w14:paraId="59CAD79B">
            <w:pPr>
              <w:spacing w:line="360" w:lineRule="auto"/>
              <w:jc w:val="center"/>
              <w:rPr>
                <w:rFonts w:ascii="宋体" w:hAnsi="宋体"/>
                <w:color w:val="auto"/>
                <w:sz w:val="22"/>
                <w:highlight w:val="none"/>
              </w:rPr>
            </w:pPr>
            <w:r>
              <w:rPr>
                <w:rFonts w:hint="eastAsia" w:ascii="宋体" w:hAnsi="宋体"/>
                <w:color w:val="auto"/>
                <w:sz w:val="22"/>
                <w:highlight w:val="none"/>
              </w:rPr>
              <w:t>磋商</w:t>
            </w:r>
            <w:r>
              <w:rPr>
                <w:rFonts w:hint="eastAsia" w:ascii="宋体" w:hAnsi="宋体"/>
                <w:color w:val="auto"/>
                <w:sz w:val="22"/>
                <w:highlight w:val="none"/>
                <w:lang w:eastAsia="zh-CN"/>
              </w:rPr>
              <w:t>供应商</w:t>
            </w:r>
            <w:r>
              <w:rPr>
                <w:rFonts w:hint="eastAsia" w:ascii="宋体" w:hAnsi="宋体"/>
                <w:color w:val="auto"/>
                <w:sz w:val="22"/>
                <w:highlight w:val="none"/>
              </w:rPr>
              <w:t>提出问题的截止时间</w:t>
            </w:r>
          </w:p>
        </w:tc>
        <w:tc>
          <w:tcPr>
            <w:tcW w:w="6064" w:type="dxa"/>
            <w:tcBorders>
              <w:top w:val="single" w:color="auto" w:sz="4" w:space="0"/>
              <w:left w:val="nil"/>
              <w:bottom w:val="single" w:color="auto" w:sz="4" w:space="0"/>
              <w:right w:val="single" w:color="auto" w:sz="4" w:space="0"/>
            </w:tcBorders>
            <w:vAlign w:val="center"/>
          </w:tcPr>
          <w:p w14:paraId="181D6F84">
            <w:pPr>
              <w:spacing w:line="360" w:lineRule="auto"/>
              <w:rPr>
                <w:rFonts w:hint="eastAsia" w:ascii="宋体" w:hAnsi="宋体" w:eastAsia="宋体"/>
                <w:color w:val="auto"/>
                <w:sz w:val="22"/>
                <w:highlight w:val="none"/>
                <w:lang w:val="en-US" w:eastAsia="zh-CN"/>
              </w:rPr>
            </w:pPr>
            <w:r>
              <w:rPr>
                <w:rFonts w:hint="eastAsia" w:ascii="宋体" w:hAnsi="宋体" w:eastAsia="宋体"/>
                <w:color w:val="auto"/>
                <w:sz w:val="22"/>
                <w:highlight w:val="none"/>
                <w:lang w:val="en-US" w:eastAsia="zh-CN"/>
              </w:rPr>
              <w:t>递交竞争性磋商响应文件截止之日5日前</w:t>
            </w:r>
          </w:p>
        </w:tc>
      </w:tr>
      <w:tr w14:paraId="4DD4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94" w:type="dxa"/>
            <w:tcBorders>
              <w:top w:val="single" w:color="auto" w:sz="4" w:space="0"/>
              <w:left w:val="single" w:color="auto" w:sz="4" w:space="0"/>
              <w:bottom w:val="single" w:color="auto" w:sz="4" w:space="0"/>
              <w:right w:val="single" w:color="auto" w:sz="4" w:space="0"/>
            </w:tcBorders>
            <w:vAlign w:val="center"/>
          </w:tcPr>
          <w:p w14:paraId="18F60769">
            <w:pPr>
              <w:spacing w:line="360" w:lineRule="auto"/>
              <w:jc w:val="center"/>
              <w:rPr>
                <w:rFonts w:ascii="宋体" w:hAnsi="宋体"/>
                <w:color w:val="auto"/>
                <w:sz w:val="22"/>
                <w:highlight w:val="none"/>
              </w:rPr>
            </w:pPr>
            <w:r>
              <w:rPr>
                <w:rFonts w:hint="eastAsia" w:ascii="宋体" w:hAnsi="宋体"/>
                <w:color w:val="auto"/>
                <w:sz w:val="22"/>
                <w:highlight w:val="none"/>
              </w:rPr>
              <w:t>17</w:t>
            </w:r>
          </w:p>
        </w:tc>
        <w:tc>
          <w:tcPr>
            <w:tcW w:w="1984" w:type="dxa"/>
            <w:tcBorders>
              <w:top w:val="single" w:color="auto" w:sz="4" w:space="0"/>
              <w:left w:val="nil"/>
              <w:bottom w:val="single" w:color="auto" w:sz="4" w:space="0"/>
              <w:right w:val="single" w:color="auto" w:sz="4" w:space="0"/>
            </w:tcBorders>
            <w:vAlign w:val="center"/>
          </w:tcPr>
          <w:p w14:paraId="27515C25">
            <w:pPr>
              <w:spacing w:line="360" w:lineRule="auto"/>
              <w:jc w:val="center"/>
              <w:rPr>
                <w:rFonts w:ascii="宋体" w:hAnsi="宋体"/>
                <w:color w:val="auto"/>
                <w:sz w:val="22"/>
                <w:highlight w:val="none"/>
              </w:rPr>
            </w:pPr>
            <w:r>
              <w:rPr>
                <w:rFonts w:hint="eastAsia" w:ascii="宋体" w:hAnsi="宋体"/>
                <w:color w:val="auto"/>
                <w:sz w:val="22"/>
                <w:highlight w:val="none"/>
              </w:rPr>
              <w:t>构成竞争性磋商文件的其他材料</w:t>
            </w:r>
          </w:p>
        </w:tc>
        <w:tc>
          <w:tcPr>
            <w:tcW w:w="6064" w:type="dxa"/>
            <w:tcBorders>
              <w:top w:val="single" w:color="auto" w:sz="4" w:space="0"/>
              <w:left w:val="nil"/>
              <w:bottom w:val="single" w:color="auto" w:sz="4" w:space="0"/>
              <w:right w:val="single" w:color="auto" w:sz="4" w:space="0"/>
            </w:tcBorders>
            <w:vAlign w:val="center"/>
          </w:tcPr>
          <w:p w14:paraId="2F036967">
            <w:pPr>
              <w:spacing w:line="360" w:lineRule="auto"/>
              <w:rPr>
                <w:rFonts w:ascii="宋体" w:hAnsi="宋体"/>
                <w:color w:val="auto"/>
                <w:sz w:val="22"/>
                <w:highlight w:val="none"/>
              </w:rPr>
            </w:pPr>
            <w:r>
              <w:rPr>
                <w:rFonts w:hint="eastAsia" w:ascii="宋体" w:hAnsi="宋体"/>
                <w:color w:val="auto"/>
                <w:kern w:val="0"/>
                <w:sz w:val="22"/>
                <w:highlight w:val="none"/>
              </w:rPr>
              <w:t>答疑纪要、补充通知、竞争性磋商文件的补充文件、图纸等。</w:t>
            </w:r>
          </w:p>
        </w:tc>
      </w:tr>
      <w:tr w14:paraId="06B7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5DC27D69">
            <w:pPr>
              <w:spacing w:line="400" w:lineRule="exact"/>
              <w:jc w:val="center"/>
              <w:rPr>
                <w:rFonts w:ascii="宋体" w:hAnsi="宋体"/>
                <w:color w:val="auto"/>
                <w:sz w:val="22"/>
                <w:highlight w:val="none"/>
              </w:rPr>
            </w:pPr>
            <w:r>
              <w:rPr>
                <w:rFonts w:hint="eastAsia" w:ascii="宋体" w:hAnsi="宋体"/>
                <w:color w:val="auto"/>
                <w:sz w:val="22"/>
                <w:highlight w:val="none"/>
              </w:rPr>
              <w:t>18</w:t>
            </w:r>
          </w:p>
        </w:tc>
        <w:tc>
          <w:tcPr>
            <w:tcW w:w="1984" w:type="dxa"/>
            <w:tcBorders>
              <w:top w:val="single" w:color="auto" w:sz="4" w:space="0"/>
              <w:left w:val="nil"/>
              <w:bottom w:val="single" w:color="auto" w:sz="4" w:space="0"/>
              <w:right w:val="single" w:color="auto" w:sz="4" w:space="0"/>
            </w:tcBorders>
            <w:vAlign w:val="center"/>
          </w:tcPr>
          <w:p w14:paraId="13F54EC7">
            <w:pPr>
              <w:spacing w:line="400" w:lineRule="exact"/>
              <w:jc w:val="center"/>
              <w:rPr>
                <w:rFonts w:ascii="宋体" w:hAnsi="宋体"/>
                <w:color w:val="auto"/>
                <w:sz w:val="22"/>
                <w:highlight w:val="none"/>
              </w:rPr>
            </w:pPr>
            <w:r>
              <w:rPr>
                <w:rFonts w:hint="eastAsia" w:ascii="宋体" w:hAnsi="宋体"/>
                <w:color w:val="auto"/>
                <w:sz w:val="22"/>
                <w:highlight w:val="none"/>
              </w:rPr>
              <w:t>磋商截止时间</w:t>
            </w:r>
          </w:p>
        </w:tc>
        <w:tc>
          <w:tcPr>
            <w:tcW w:w="6064" w:type="dxa"/>
            <w:tcBorders>
              <w:top w:val="single" w:color="auto" w:sz="4" w:space="0"/>
              <w:left w:val="nil"/>
              <w:bottom w:val="single" w:color="auto" w:sz="4" w:space="0"/>
              <w:right w:val="single" w:color="auto" w:sz="4" w:space="0"/>
            </w:tcBorders>
            <w:vAlign w:val="center"/>
          </w:tcPr>
          <w:p w14:paraId="1C945034">
            <w:pPr>
              <w:spacing w:line="400" w:lineRule="exact"/>
              <w:rPr>
                <w:rFonts w:ascii="宋体" w:hAnsi="宋体"/>
                <w:color w:val="auto"/>
                <w:sz w:val="22"/>
                <w:highlight w:val="none"/>
              </w:rPr>
            </w:pPr>
            <w:r>
              <w:rPr>
                <w:rFonts w:hint="eastAsia" w:ascii="宋体" w:hAnsi="宋体"/>
                <w:color w:val="auto"/>
                <w:sz w:val="22"/>
                <w:highlight w:val="none"/>
              </w:rPr>
              <w:t>202</w:t>
            </w:r>
            <w:r>
              <w:rPr>
                <w:rFonts w:hint="eastAsia" w:ascii="宋体" w:hAnsi="宋体"/>
                <w:color w:val="auto"/>
                <w:sz w:val="22"/>
                <w:highlight w:val="none"/>
                <w:lang w:val="en-US" w:eastAsia="zh-CN"/>
              </w:rPr>
              <w:t>6</w:t>
            </w:r>
            <w:r>
              <w:rPr>
                <w:rFonts w:hint="eastAsia" w:ascii="宋体" w:hAnsi="宋体"/>
                <w:color w:val="auto"/>
                <w:sz w:val="22"/>
                <w:highlight w:val="none"/>
              </w:rPr>
              <w:t>年</w:t>
            </w:r>
            <w:r>
              <w:rPr>
                <w:rFonts w:hint="eastAsia" w:ascii="宋体" w:hAnsi="宋体"/>
                <w:color w:val="auto"/>
                <w:sz w:val="22"/>
                <w:highlight w:val="none"/>
                <w:lang w:val="en-US" w:eastAsia="zh-CN"/>
              </w:rPr>
              <w:t>8</w:t>
            </w:r>
            <w:r>
              <w:rPr>
                <w:rFonts w:hint="eastAsia" w:ascii="宋体" w:hAnsi="宋体"/>
                <w:color w:val="auto"/>
                <w:sz w:val="22"/>
                <w:highlight w:val="none"/>
              </w:rPr>
              <w:t>月</w:t>
            </w:r>
            <w:r>
              <w:rPr>
                <w:rFonts w:hint="eastAsia" w:ascii="宋体" w:hAnsi="宋体"/>
                <w:color w:val="auto"/>
                <w:sz w:val="22"/>
                <w:highlight w:val="none"/>
                <w:lang w:val="en-US" w:eastAsia="zh-CN"/>
              </w:rPr>
              <w:t>14</w:t>
            </w:r>
            <w:r>
              <w:rPr>
                <w:rFonts w:hint="eastAsia" w:ascii="宋体" w:hAnsi="宋体"/>
                <w:color w:val="auto"/>
                <w:sz w:val="22"/>
                <w:highlight w:val="none"/>
              </w:rPr>
              <w:t>日</w:t>
            </w:r>
            <w:r>
              <w:rPr>
                <w:rFonts w:hint="eastAsia" w:ascii="宋体" w:hAnsi="宋体"/>
                <w:color w:val="auto"/>
                <w:sz w:val="22"/>
                <w:highlight w:val="none"/>
                <w:lang w:val="en-US" w:eastAsia="zh-CN"/>
              </w:rPr>
              <w:t>8</w:t>
            </w:r>
            <w:r>
              <w:rPr>
                <w:rFonts w:hint="eastAsia" w:ascii="宋体" w:hAnsi="宋体"/>
                <w:color w:val="auto"/>
                <w:sz w:val="22"/>
                <w:highlight w:val="none"/>
              </w:rPr>
              <w:t>时</w:t>
            </w:r>
            <w:r>
              <w:rPr>
                <w:rFonts w:hint="eastAsia" w:ascii="宋体" w:hAnsi="宋体"/>
                <w:color w:val="auto"/>
                <w:sz w:val="22"/>
                <w:highlight w:val="none"/>
                <w:lang w:val="en-US" w:eastAsia="zh-CN"/>
              </w:rPr>
              <w:t>30分</w:t>
            </w:r>
          </w:p>
        </w:tc>
      </w:tr>
      <w:tr w14:paraId="1E9C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4" w:type="dxa"/>
            <w:tcBorders>
              <w:top w:val="single" w:color="auto" w:sz="4" w:space="0"/>
              <w:left w:val="single" w:color="auto" w:sz="4" w:space="0"/>
              <w:bottom w:val="single" w:color="auto" w:sz="4" w:space="0"/>
              <w:right w:val="single" w:color="auto" w:sz="4" w:space="0"/>
            </w:tcBorders>
            <w:vAlign w:val="center"/>
          </w:tcPr>
          <w:p w14:paraId="30AD116F">
            <w:pPr>
              <w:spacing w:line="360" w:lineRule="auto"/>
              <w:jc w:val="center"/>
              <w:rPr>
                <w:rFonts w:ascii="宋体" w:hAnsi="宋体"/>
                <w:color w:val="auto"/>
                <w:sz w:val="22"/>
                <w:highlight w:val="none"/>
              </w:rPr>
            </w:pPr>
            <w:r>
              <w:rPr>
                <w:rFonts w:hint="eastAsia" w:ascii="宋体" w:hAnsi="宋体"/>
                <w:color w:val="auto"/>
                <w:sz w:val="22"/>
                <w:highlight w:val="none"/>
              </w:rPr>
              <w:t>19</w:t>
            </w:r>
          </w:p>
        </w:tc>
        <w:tc>
          <w:tcPr>
            <w:tcW w:w="1984" w:type="dxa"/>
            <w:tcBorders>
              <w:top w:val="single" w:color="auto" w:sz="4" w:space="0"/>
              <w:left w:val="nil"/>
              <w:bottom w:val="single" w:color="auto" w:sz="4" w:space="0"/>
              <w:right w:val="single" w:color="auto" w:sz="4" w:space="0"/>
            </w:tcBorders>
            <w:vAlign w:val="center"/>
          </w:tcPr>
          <w:p w14:paraId="72BE2725">
            <w:pPr>
              <w:spacing w:line="360" w:lineRule="auto"/>
              <w:jc w:val="center"/>
              <w:rPr>
                <w:rFonts w:ascii="宋体" w:hAnsi="宋体"/>
                <w:color w:val="auto"/>
                <w:sz w:val="22"/>
                <w:highlight w:val="none"/>
              </w:rPr>
            </w:pPr>
            <w:r>
              <w:rPr>
                <w:rFonts w:hint="eastAsia" w:ascii="宋体" w:hAnsi="宋体"/>
                <w:color w:val="auto"/>
                <w:sz w:val="22"/>
                <w:highlight w:val="none"/>
              </w:rPr>
              <w:t>磋商</w:t>
            </w:r>
            <w:r>
              <w:rPr>
                <w:rFonts w:hint="eastAsia" w:ascii="宋体" w:hAnsi="宋体"/>
                <w:color w:val="auto"/>
                <w:sz w:val="22"/>
                <w:highlight w:val="none"/>
                <w:lang w:eastAsia="zh-CN"/>
              </w:rPr>
              <w:t>供应商</w:t>
            </w:r>
            <w:r>
              <w:rPr>
                <w:rFonts w:hint="eastAsia" w:ascii="宋体" w:hAnsi="宋体"/>
                <w:color w:val="auto"/>
                <w:sz w:val="22"/>
                <w:highlight w:val="none"/>
              </w:rPr>
              <w:t>确认收到竞争性磋商文件澄清的时间</w:t>
            </w:r>
          </w:p>
        </w:tc>
        <w:tc>
          <w:tcPr>
            <w:tcW w:w="6064" w:type="dxa"/>
            <w:tcBorders>
              <w:top w:val="single" w:color="auto" w:sz="4" w:space="0"/>
              <w:left w:val="nil"/>
              <w:bottom w:val="single" w:color="auto" w:sz="4" w:space="0"/>
              <w:right w:val="single" w:color="auto" w:sz="4" w:space="0"/>
            </w:tcBorders>
            <w:vAlign w:val="center"/>
          </w:tcPr>
          <w:p w14:paraId="2EA68A27">
            <w:pPr>
              <w:spacing w:line="360" w:lineRule="auto"/>
              <w:rPr>
                <w:rFonts w:ascii="宋体" w:hAnsi="宋体"/>
                <w:color w:val="auto"/>
                <w:sz w:val="22"/>
                <w:highlight w:val="none"/>
              </w:rPr>
            </w:pPr>
            <w:r>
              <w:rPr>
                <w:rFonts w:hint="eastAsia" w:ascii="宋体" w:hAnsi="宋体"/>
                <w:color w:val="auto"/>
                <w:sz w:val="22"/>
                <w:highlight w:val="none"/>
              </w:rPr>
              <w:t>收到澄清文件（补充文件）后24小时内</w:t>
            </w:r>
          </w:p>
        </w:tc>
      </w:tr>
      <w:tr w14:paraId="2DF5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794" w:type="dxa"/>
            <w:tcBorders>
              <w:top w:val="single" w:color="auto" w:sz="4" w:space="0"/>
              <w:left w:val="single" w:color="auto" w:sz="4" w:space="0"/>
              <w:bottom w:val="single" w:color="auto" w:sz="4" w:space="0"/>
              <w:right w:val="single" w:color="auto" w:sz="4" w:space="0"/>
            </w:tcBorders>
            <w:vAlign w:val="center"/>
          </w:tcPr>
          <w:p w14:paraId="32B513CE">
            <w:pPr>
              <w:spacing w:line="360" w:lineRule="auto"/>
              <w:jc w:val="center"/>
              <w:rPr>
                <w:rFonts w:ascii="宋体" w:hAnsi="宋体"/>
                <w:color w:val="auto"/>
                <w:sz w:val="22"/>
                <w:highlight w:val="none"/>
              </w:rPr>
            </w:pPr>
            <w:r>
              <w:rPr>
                <w:rFonts w:hint="eastAsia" w:ascii="宋体" w:hAnsi="宋体"/>
                <w:color w:val="auto"/>
                <w:sz w:val="22"/>
                <w:highlight w:val="none"/>
              </w:rPr>
              <w:t>20</w:t>
            </w:r>
          </w:p>
        </w:tc>
        <w:tc>
          <w:tcPr>
            <w:tcW w:w="1984" w:type="dxa"/>
            <w:tcBorders>
              <w:top w:val="single" w:color="auto" w:sz="4" w:space="0"/>
              <w:left w:val="nil"/>
              <w:bottom w:val="single" w:color="auto" w:sz="4" w:space="0"/>
              <w:right w:val="single" w:color="auto" w:sz="4" w:space="0"/>
            </w:tcBorders>
            <w:vAlign w:val="center"/>
          </w:tcPr>
          <w:p w14:paraId="4D55B6EB">
            <w:pPr>
              <w:spacing w:line="360" w:lineRule="auto"/>
              <w:jc w:val="center"/>
              <w:rPr>
                <w:rFonts w:ascii="宋体" w:hAnsi="宋体"/>
                <w:color w:val="auto"/>
                <w:sz w:val="22"/>
                <w:highlight w:val="none"/>
              </w:rPr>
            </w:pPr>
            <w:r>
              <w:rPr>
                <w:rFonts w:hint="eastAsia" w:ascii="宋体" w:hAnsi="宋体"/>
                <w:color w:val="auto"/>
                <w:sz w:val="22"/>
                <w:highlight w:val="none"/>
              </w:rPr>
              <w:t>磋商</w:t>
            </w:r>
            <w:r>
              <w:rPr>
                <w:rFonts w:hint="eastAsia" w:ascii="宋体" w:hAnsi="宋体"/>
                <w:color w:val="auto"/>
                <w:sz w:val="22"/>
                <w:highlight w:val="none"/>
                <w:lang w:eastAsia="zh-CN"/>
              </w:rPr>
              <w:t>供应商</w:t>
            </w:r>
            <w:r>
              <w:rPr>
                <w:rFonts w:hint="eastAsia" w:ascii="宋体" w:hAnsi="宋体"/>
                <w:color w:val="auto"/>
                <w:sz w:val="22"/>
                <w:highlight w:val="none"/>
              </w:rPr>
              <w:t>确认收到竞争性磋商文件修改的时间</w:t>
            </w:r>
          </w:p>
        </w:tc>
        <w:tc>
          <w:tcPr>
            <w:tcW w:w="6064" w:type="dxa"/>
            <w:tcBorders>
              <w:top w:val="single" w:color="auto" w:sz="4" w:space="0"/>
              <w:left w:val="nil"/>
              <w:bottom w:val="single" w:color="auto" w:sz="4" w:space="0"/>
              <w:right w:val="single" w:color="auto" w:sz="4" w:space="0"/>
            </w:tcBorders>
            <w:vAlign w:val="center"/>
          </w:tcPr>
          <w:p w14:paraId="1F0BF7F5">
            <w:pPr>
              <w:spacing w:line="360" w:lineRule="auto"/>
              <w:rPr>
                <w:rFonts w:ascii="宋体" w:hAnsi="宋体"/>
                <w:color w:val="auto"/>
                <w:sz w:val="22"/>
                <w:highlight w:val="none"/>
              </w:rPr>
            </w:pPr>
            <w:r>
              <w:rPr>
                <w:rFonts w:hint="eastAsia" w:ascii="宋体" w:hAnsi="宋体"/>
                <w:color w:val="auto"/>
                <w:sz w:val="22"/>
                <w:highlight w:val="none"/>
              </w:rPr>
              <w:t>收到修改文件（补充文件）后24小时内</w:t>
            </w:r>
          </w:p>
        </w:tc>
      </w:tr>
      <w:tr w14:paraId="4554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94" w:type="dxa"/>
            <w:tcBorders>
              <w:top w:val="single" w:color="auto" w:sz="4" w:space="0"/>
              <w:left w:val="single" w:color="auto" w:sz="4" w:space="0"/>
              <w:bottom w:val="single" w:color="auto" w:sz="4" w:space="0"/>
              <w:right w:val="single" w:color="auto" w:sz="4" w:space="0"/>
            </w:tcBorders>
            <w:vAlign w:val="center"/>
          </w:tcPr>
          <w:p w14:paraId="17FC34F3">
            <w:pPr>
              <w:spacing w:line="360" w:lineRule="auto"/>
              <w:jc w:val="center"/>
              <w:rPr>
                <w:rFonts w:ascii="宋体" w:hAnsi="宋体"/>
                <w:color w:val="auto"/>
                <w:sz w:val="22"/>
                <w:highlight w:val="none"/>
              </w:rPr>
            </w:pPr>
            <w:r>
              <w:rPr>
                <w:rFonts w:hint="eastAsia" w:ascii="宋体" w:hAnsi="宋体"/>
                <w:color w:val="auto"/>
                <w:sz w:val="22"/>
                <w:highlight w:val="none"/>
              </w:rPr>
              <w:t>21</w:t>
            </w:r>
          </w:p>
        </w:tc>
        <w:tc>
          <w:tcPr>
            <w:tcW w:w="1984" w:type="dxa"/>
            <w:tcBorders>
              <w:top w:val="single" w:color="auto" w:sz="4" w:space="0"/>
              <w:left w:val="nil"/>
              <w:bottom w:val="single" w:color="auto" w:sz="4" w:space="0"/>
              <w:right w:val="single" w:color="auto" w:sz="4" w:space="0"/>
            </w:tcBorders>
            <w:vAlign w:val="center"/>
          </w:tcPr>
          <w:p w14:paraId="20A1130F">
            <w:pPr>
              <w:spacing w:line="360" w:lineRule="auto"/>
              <w:jc w:val="center"/>
              <w:rPr>
                <w:rFonts w:ascii="宋体" w:hAnsi="宋体"/>
                <w:b/>
                <w:bCs/>
                <w:color w:val="auto"/>
                <w:sz w:val="22"/>
                <w:highlight w:val="none"/>
              </w:rPr>
            </w:pPr>
            <w:r>
              <w:rPr>
                <w:rFonts w:hint="eastAsia" w:ascii="宋体" w:hAnsi="宋体"/>
                <w:color w:val="auto"/>
                <w:sz w:val="22"/>
                <w:highlight w:val="none"/>
              </w:rPr>
              <w:t>构成竞争性磋商文件的其他材料</w:t>
            </w:r>
          </w:p>
        </w:tc>
        <w:tc>
          <w:tcPr>
            <w:tcW w:w="6064" w:type="dxa"/>
            <w:tcBorders>
              <w:top w:val="single" w:color="auto" w:sz="4" w:space="0"/>
              <w:left w:val="nil"/>
              <w:bottom w:val="single" w:color="auto" w:sz="4" w:space="0"/>
              <w:right w:val="single" w:color="auto" w:sz="4" w:space="0"/>
            </w:tcBorders>
            <w:vAlign w:val="center"/>
          </w:tcPr>
          <w:p w14:paraId="1CBD6834">
            <w:pPr>
              <w:widowControl/>
              <w:spacing w:line="360" w:lineRule="auto"/>
              <w:rPr>
                <w:rFonts w:ascii="宋体" w:hAnsi="宋体"/>
                <w:color w:val="auto"/>
                <w:sz w:val="22"/>
                <w:highlight w:val="none"/>
              </w:rPr>
            </w:pPr>
            <w:r>
              <w:rPr>
                <w:rFonts w:hint="eastAsia" w:ascii="宋体" w:hAnsi="宋体"/>
                <w:color w:val="auto"/>
                <w:sz w:val="22"/>
                <w:highlight w:val="none"/>
              </w:rPr>
              <w:t>/</w:t>
            </w:r>
          </w:p>
        </w:tc>
      </w:tr>
      <w:tr w14:paraId="69F4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94" w:type="dxa"/>
            <w:tcBorders>
              <w:top w:val="single" w:color="auto" w:sz="4" w:space="0"/>
              <w:left w:val="single" w:color="auto" w:sz="4" w:space="0"/>
              <w:bottom w:val="single" w:color="auto" w:sz="4" w:space="0"/>
              <w:right w:val="single" w:color="auto" w:sz="4" w:space="0"/>
            </w:tcBorders>
            <w:vAlign w:val="center"/>
          </w:tcPr>
          <w:p w14:paraId="7027AED9">
            <w:pPr>
              <w:spacing w:line="360" w:lineRule="auto"/>
              <w:jc w:val="center"/>
              <w:rPr>
                <w:rFonts w:ascii="宋体" w:hAnsi="宋体"/>
                <w:color w:val="auto"/>
                <w:sz w:val="22"/>
                <w:highlight w:val="none"/>
              </w:rPr>
            </w:pPr>
            <w:r>
              <w:rPr>
                <w:rFonts w:hint="eastAsia" w:ascii="宋体" w:hAnsi="宋体"/>
                <w:color w:val="auto"/>
                <w:sz w:val="22"/>
                <w:highlight w:val="none"/>
              </w:rPr>
              <w:t>22</w:t>
            </w:r>
          </w:p>
        </w:tc>
        <w:tc>
          <w:tcPr>
            <w:tcW w:w="1984" w:type="dxa"/>
            <w:tcBorders>
              <w:top w:val="single" w:color="auto" w:sz="4" w:space="0"/>
              <w:left w:val="nil"/>
              <w:bottom w:val="single" w:color="auto" w:sz="4" w:space="0"/>
              <w:right w:val="single" w:color="auto" w:sz="4" w:space="0"/>
            </w:tcBorders>
            <w:vAlign w:val="center"/>
          </w:tcPr>
          <w:p w14:paraId="607778F4">
            <w:pPr>
              <w:spacing w:line="400" w:lineRule="exact"/>
              <w:jc w:val="center"/>
              <w:rPr>
                <w:rFonts w:ascii="宋体" w:hAnsi="宋体"/>
                <w:color w:val="auto"/>
                <w:sz w:val="22"/>
                <w:highlight w:val="none"/>
              </w:rPr>
            </w:pPr>
            <w:r>
              <w:rPr>
                <w:rFonts w:hint="eastAsia" w:ascii="宋体" w:hAnsi="宋体"/>
                <w:color w:val="auto"/>
                <w:sz w:val="22"/>
                <w:highlight w:val="none"/>
              </w:rPr>
              <w:t>磋商有效期</w:t>
            </w:r>
          </w:p>
        </w:tc>
        <w:tc>
          <w:tcPr>
            <w:tcW w:w="6064" w:type="dxa"/>
            <w:tcBorders>
              <w:top w:val="single" w:color="auto" w:sz="4" w:space="0"/>
              <w:left w:val="nil"/>
              <w:bottom w:val="single" w:color="auto" w:sz="4" w:space="0"/>
              <w:right w:val="single" w:color="auto" w:sz="4" w:space="0"/>
            </w:tcBorders>
            <w:vAlign w:val="center"/>
          </w:tcPr>
          <w:p w14:paraId="276EC24C">
            <w:pPr>
              <w:spacing w:line="400" w:lineRule="exact"/>
              <w:rPr>
                <w:rFonts w:ascii="宋体" w:hAnsi="宋体"/>
                <w:color w:val="auto"/>
                <w:sz w:val="22"/>
                <w:highlight w:val="none"/>
              </w:rPr>
            </w:pPr>
            <w:r>
              <w:rPr>
                <w:rFonts w:hint="eastAsia" w:ascii="宋体" w:hAnsi="宋体"/>
                <w:color w:val="auto"/>
                <w:sz w:val="22"/>
                <w:highlight w:val="none"/>
              </w:rPr>
              <w:t>磋商截止之日起60日历天</w:t>
            </w:r>
          </w:p>
        </w:tc>
      </w:tr>
      <w:tr w14:paraId="28A9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94" w:type="dxa"/>
            <w:tcBorders>
              <w:top w:val="single" w:color="auto" w:sz="4" w:space="0"/>
              <w:left w:val="single" w:color="auto" w:sz="4" w:space="0"/>
              <w:bottom w:val="single" w:color="auto" w:sz="4" w:space="0"/>
              <w:right w:val="single" w:color="auto" w:sz="4" w:space="0"/>
            </w:tcBorders>
            <w:vAlign w:val="center"/>
          </w:tcPr>
          <w:p w14:paraId="2E95BCE6">
            <w:pPr>
              <w:spacing w:line="360" w:lineRule="auto"/>
              <w:jc w:val="center"/>
              <w:rPr>
                <w:rFonts w:ascii="宋体" w:hAnsi="宋体"/>
                <w:color w:val="auto"/>
                <w:sz w:val="22"/>
                <w:highlight w:val="none"/>
              </w:rPr>
            </w:pPr>
            <w:r>
              <w:rPr>
                <w:rFonts w:hint="eastAsia" w:ascii="宋体" w:hAnsi="宋体"/>
                <w:color w:val="auto"/>
                <w:sz w:val="22"/>
                <w:highlight w:val="none"/>
              </w:rPr>
              <w:t>23</w:t>
            </w:r>
          </w:p>
        </w:tc>
        <w:tc>
          <w:tcPr>
            <w:tcW w:w="1984" w:type="dxa"/>
            <w:tcBorders>
              <w:top w:val="single" w:color="auto" w:sz="4" w:space="0"/>
              <w:left w:val="nil"/>
              <w:bottom w:val="single" w:color="auto" w:sz="4" w:space="0"/>
              <w:right w:val="single" w:color="auto" w:sz="4" w:space="0"/>
            </w:tcBorders>
            <w:vAlign w:val="center"/>
          </w:tcPr>
          <w:p w14:paraId="263AA914">
            <w:pPr>
              <w:spacing w:line="400" w:lineRule="exact"/>
              <w:jc w:val="center"/>
              <w:rPr>
                <w:rFonts w:ascii="宋体" w:hAnsi="宋体"/>
                <w:color w:val="auto"/>
                <w:sz w:val="22"/>
                <w:highlight w:val="none"/>
              </w:rPr>
            </w:pPr>
            <w:r>
              <w:rPr>
                <w:rFonts w:hint="eastAsia" w:ascii="宋体" w:hAnsi="宋体"/>
                <w:color w:val="auto"/>
                <w:sz w:val="22"/>
                <w:highlight w:val="none"/>
              </w:rPr>
              <w:t>磋商保证金</w:t>
            </w:r>
          </w:p>
        </w:tc>
        <w:tc>
          <w:tcPr>
            <w:tcW w:w="6064" w:type="dxa"/>
            <w:tcBorders>
              <w:top w:val="single" w:color="auto" w:sz="4" w:space="0"/>
              <w:left w:val="nil"/>
              <w:bottom w:val="single" w:color="auto" w:sz="4" w:space="0"/>
              <w:right w:val="single" w:color="auto" w:sz="4" w:space="0"/>
            </w:tcBorders>
            <w:vAlign w:val="center"/>
          </w:tcPr>
          <w:p w14:paraId="297531C1">
            <w:pPr>
              <w:spacing w:line="400" w:lineRule="exact"/>
              <w:rPr>
                <w:rFonts w:ascii="宋体" w:hAnsi="宋体"/>
                <w:color w:val="auto"/>
                <w:sz w:val="22"/>
                <w:highlight w:val="none"/>
              </w:rPr>
            </w:pPr>
            <w:r>
              <w:rPr>
                <w:rFonts w:hint="eastAsia" w:ascii="宋体" w:hAnsi="宋体"/>
                <w:color w:val="auto"/>
                <w:sz w:val="22"/>
                <w:highlight w:val="none"/>
              </w:rPr>
              <w:t>同磋商公告</w:t>
            </w:r>
          </w:p>
        </w:tc>
      </w:tr>
      <w:tr w14:paraId="6BA6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794" w:type="dxa"/>
            <w:tcBorders>
              <w:top w:val="single" w:color="auto" w:sz="4" w:space="0"/>
              <w:left w:val="single" w:color="auto" w:sz="4" w:space="0"/>
              <w:bottom w:val="single" w:color="auto" w:sz="4" w:space="0"/>
              <w:right w:val="single" w:color="auto" w:sz="4" w:space="0"/>
            </w:tcBorders>
            <w:vAlign w:val="center"/>
          </w:tcPr>
          <w:p w14:paraId="24FB48E2">
            <w:pPr>
              <w:widowControl/>
              <w:spacing w:line="360" w:lineRule="auto"/>
              <w:jc w:val="center"/>
              <w:rPr>
                <w:rFonts w:ascii="宋体" w:hAnsi="宋体"/>
                <w:color w:val="auto"/>
                <w:kern w:val="0"/>
                <w:sz w:val="22"/>
                <w:highlight w:val="none"/>
              </w:rPr>
            </w:pPr>
            <w:r>
              <w:rPr>
                <w:rFonts w:hint="eastAsia" w:ascii="宋体" w:hAnsi="宋体"/>
                <w:color w:val="auto"/>
                <w:kern w:val="0"/>
                <w:sz w:val="22"/>
                <w:highlight w:val="none"/>
              </w:rPr>
              <w:t>24</w:t>
            </w:r>
          </w:p>
        </w:tc>
        <w:tc>
          <w:tcPr>
            <w:tcW w:w="1984" w:type="dxa"/>
            <w:tcBorders>
              <w:top w:val="single" w:color="auto" w:sz="4" w:space="0"/>
              <w:left w:val="nil"/>
              <w:bottom w:val="single" w:color="auto" w:sz="4" w:space="0"/>
              <w:right w:val="single" w:color="auto" w:sz="4" w:space="0"/>
            </w:tcBorders>
            <w:vAlign w:val="center"/>
          </w:tcPr>
          <w:p w14:paraId="2B207649">
            <w:pPr>
              <w:widowControl/>
              <w:spacing w:line="360" w:lineRule="auto"/>
              <w:jc w:val="center"/>
              <w:rPr>
                <w:rFonts w:ascii="宋体" w:hAnsi="宋体"/>
                <w:color w:val="auto"/>
                <w:kern w:val="0"/>
                <w:sz w:val="22"/>
                <w:highlight w:val="none"/>
              </w:rPr>
            </w:pPr>
            <w:r>
              <w:rPr>
                <w:rFonts w:hint="eastAsia" w:ascii="宋体" w:hAnsi="宋体"/>
                <w:color w:val="auto"/>
                <w:kern w:val="0"/>
                <w:sz w:val="22"/>
                <w:highlight w:val="none"/>
              </w:rPr>
              <w:t>近年财务状况的年份要求</w:t>
            </w:r>
          </w:p>
        </w:tc>
        <w:tc>
          <w:tcPr>
            <w:tcW w:w="6064" w:type="dxa"/>
            <w:tcBorders>
              <w:top w:val="single" w:color="auto" w:sz="4" w:space="0"/>
              <w:left w:val="nil"/>
              <w:bottom w:val="single" w:color="auto" w:sz="4" w:space="0"/>
              <w:right w:val="single" w:color="auto" w:sz="4" w:space="0"/>
            </w:tcBorders>
            <w:vAlign w:val="center"/>
          </w:tcPr>
          <w:p w14:paraId="0C3D364C">
            <w:pPr>
              <w:spacing w:line="360" w:lineRule="auto"/>
              <w:rPr>
                <w:rFonts w:ascii="宋体" w:hAnsi="宋体" w:cs="仿宋_GB2312"/>
                <w:color w:val="auto"/>
                <w:kern w:val="0"/>
                <w:sz w:val="22"/>
                <w:highlight w:val="none"/>
              </w:rPr>
            </w:pPr>
            <w:r>
              <w:rPr>
                <w:rFonts w:hint="eastAsia" w:ascii="宋体" w:hAnsi="宋体" w:cs="仿宋_GB2312"/>
                <w:color w:val="auto"/>
                <w:kern w:val="0"/>
                <w:sz w:val="22"/>
                <w:highlight w:val="none"/>
                <w:lang w:val="en-US" w:eastAsia="zh-CN"/>
              </w:rPr>
              <w:t>2023年以来任意一年的</w:t>
            </w:r>
            <w:r>
              <w:rPr>
                <w:rFonts w:hint="eastAsia" w:ascii="宋体" w:hAnsi="宋体" w:cs="仿宋_GB2312"/>
                <w:color w:val="auto"/>
                <w:kern w:val="0"/>
                <w:sz w:val="22"/>
                <w:highlight w:val="none"/>
              </w:rPr>
              <w:t>财务状况表</w:t>
            </w:r>
            <w:r>
              <w:rPr>
                <w:rFonts w:hint="eastAsia" w:ascii="宋体" w:hAnsi="宋体" w:cs="仿宋_GB2312"/>
                <w:color w:val="auto"/>
                <w:kern w:val="0"/>
                <w:sz w:val="22"/>
                <w:highlight w:val="none"/>
                <w:lang w:eastAsia="zh-CN"/>
              </w:rPr>
              <w:t>或财务审计报告</w:t>
            </w:r>
            <w:r>
              <w:rPr>
                <w:rFonts w:hint="eastAsia" w:ascii="宋体" w:hAnsi="宋体" w:cs="仿宋_GB2312"/>
                <w:color w:val="auto"/>
                <w:kern w:val="0"/>
                <w:sz w:val="22"/>
                <w:highlight w:val="none"/>
              </w:rPr>
              <w:t>，投标人的成立时间</w:t>
            </w:r>
            <w:r>
              <w:rPr>
                <w:rFonts w:hint="eastAsia" w:ascii="宋体" w:hAnsi="宋体" w:cs="仿宋_GB2312"/>
                <w:color w:val="auto"/>
                <w:kern w:val="0"/>
                <w:sz w:val="22"/>
                <w:highlight w:val="none"/>
                <w:lang w:val="en-US" w:eastAsia="zh-CN"/>
              </w:rPr>
              <w:t>不足一年的</w:t>
            </w:r>
            <w:r>
              <w:rPr>
                <w:rFonts w:hint="eastAsia" w:ascii="宋体" w:hAnsi="宋体" w:cs="仿宋_GB2312"/>
                <w:color w:val="auto"/>
                <w:kern w:val="0"/>
                <w:sz w:val="22"/>
                <w:highlight w:val="none"/>
              </w:rPr>
              <w:t>，应提供成立以来的财务状况表</w:t>
            </w:r>
            <w:r>
              <w:rPr>
                <w:rFonts w:hint="eastAsia" w:ascii="宋体" w:hAnsi="宋体" w:cs="仿宋_GB2312"/>
                <w:color w:val="auto"/>
                <w:kern w:val="0"/>
                <w:sz w:val="22"/>
                <w:highlight w:val="none"/>
                <w:lang w:eastAsia="zh-CN"/>
              </w:rPr>
              <w:t>或</w:t>
            </w:r>
            <w:r>
              <w:rPr>
                <w:rFonts w:hint="eastAsia" w:ascii="宋体" w:hAnsi="宋体" w:cs="仿宋_GB2312"/>
                <w:color w:val="auto"/>
                <w:kern w:val="0"/>
                <w:sz w:val="22"/>
                <w:highlight w:val="none"/>
                <w:lang w:val="en-US" w:eastAsia="zh-CN"/>
              </w:rPr>
              <w:t>银行资信证明</w:t>
            </w:r>
            <w:r>
              <w:rPr>
                <w:rFonts w:hint="eastAsia" w:ascii="宋体" w:hAnsi="宋体" w:cs="仿宋_GB2312"/>
                <w:color w:val="auto"/>
                <w:kern w:val="0"/>
                <w:sz w:val="22"/>
                <w:highlight w:val="none"/>
              </w:rPr>
              <w:t>。</w:t>
            </w:r>
          </w:p>
        </w:tc>
      </w:tr>
      <w:tr w14:paraId="5D14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94" w:type="dxa"/>
            <w:tcBorders>
              <w:top w:val="single" w:color="auto" w:sz="4" w:space="0"/>
              <w:left w:val="single" w:color="auto" w:sz="4" w:space="0"/>
              <w:bottom w:val="single" w:color="auto" w:sz="4" w:space="0"/>
              <w:right w:val="single" w:color="auto" w:sz="4" w:space="0"/>
            </w:tcBorders>
            <w:vAlign w:val="center"/>
          </w:tcPr>
          <w:p w14:paraId="6F8375AF">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2</w:t>
            </w:r>
            <w:r>
              <w:rPr>
                <w:rFonts w:hint="eastAsia" w:ascii="宋体" w:hAnsi="宋体"/>
                <w:color w:val="auto"/>
                <w:sz w:val="22"/>
                <w:highlight w:val="none"/>
                <w:lang w:val="en-US" w:eastAsia="zh-CN"/>
              </w:rPr>
              <w:t>5</w:t>
            </w:r>
          </w:p>
        </w:tc>
        <w:tc>
          <w:tcPr>
            <w:tcW w:w="1984" w:type="dxa"/>
            <w:tcBorders>
              <w:top w:val="single" w:color="auto" w:sz="4" w:space="0"/>
              <w:left w:val="nil"/>
              <w:bottom w:val="single" w:color="auto" w:sz="4" w:space="0"/>
              <w:right w:val="single" w:color="auto" w:sz="4" w:space="0"/>
            </w:tcBorders>
            <w:vAlign w:val="center"/>
          </w:tcPr>
          <w:p w14:paraId="6166097C">
            <w:pPr>
              <w:spacing w:line="400" w:lineRule="exact"/>
              <w:jc w:val="center"/>
              <w:rPr>
                <w:rFonts w:ascii="宋体" w:hAnsi="宋体"/>
                <w:color w:val="auto"/>
                <w:sz w:val="22"/>
                <w:highlight w:val="none"/>
              </w:rPr>
            </w:pPr>
            <w:r>
              <w:rPr>
                <w:rFonts w:hint="eastAsia" w:ascii="宋体" w:hAnsi="宋体"/>
                <w:color w:val="auto"/>
                <w:sz w:val="22"/>
                <w:highlight w:val="none"/>
              </w:rPr>
              <w:t>近年完成的项目情况表</w:t>
            </w:r>
          </w:p>
        </w:tc>
        <w:tc>
          <w:tcPr>
            <w:tcW w:w="6064" w:type="dxa"/>
            <w:tcBorders>
              <w:top w:val="single" w:color="auto" w:sz="4" w:space="0"/>
              <w:left w:val="nil"/>
              <w:bottom w:val="single" w:color="auto" w:sz="4" w:space="0"/>
              <w:right w:val="single" w:color="auto" w:sz="4" w:space="0"/>
            </w:tcBorders>
            <w:vAlign w:val="center"/>
          </w:tcPr>
          <w:p w14:paraId="548174F7">
            <w:pPr>
              <w:spacing w:line="400" w:lineRule="exact"/>
              <w:jc w:val="left"/>
              <w:rPr>
                <w:rFonts w:ascii="宋体" w:hAnsi="宋体"/>
                <w:color w:val="auto"/>
                <w:sz w:val="22"/>
                <w:highlight w:val="none"/>
              </w:rPr>
            </w:pPr>
            <w:r>
              <w:rPr>
                <w:rFonts w:hint="eastAsia" w:ascii="宋体" w:hAnsi="宋体" w:eastAsia="宋体" w:cs="仿宋_GB2312"/>
                <w:color w:val="auto"/>
                <w:kern w:val="0"/>
                <w:sz w:val="22"/>
                <w:highlight w:val="none"/>
                <w:lang w:eastAsia="zh-CN"/>
              </w:rPr>
              <w:t>20</w:t>
            </w:r>
            <w:r>
              <w:rPr>
                <w:rFonts w:hint="eastAsia" w:ascii="宋体" w:hAnsi="宋体" w:cs="仿宋_GB2312"/>
                <w:color w:val="auto"/>
                <w:kern w:val="0"/>
                <w:sz w:val="22"/>
                <w:highlight w:val="none"/>
                <w:lang w:val="en-US" w:eastAsia="zh-CN"/>
              </w:rPr>
              <w:t>23</w:t>
            </w:r>
            <w:r>
              <w:rPr>
                <w:rFonts w:hint="eastAsia" w:ascii="宋体" w:hAnsi="宋体" w:eastAsia="宋体" w:cs="仿宋_GB2312"/>
                <w:color w:val="auto"/>
                <w:kern w:val="0"/>
                <w:sz w:val="22"/>
                <w:highlight w:val="none"/>
                <w:lang w:eastAsia="zh-CN"/>
              </w:rPr>
              <w:t>年1月1日</w:t>
            </w:r>
            <w:r>
              <w:rPr>
                <w:rFonts w:hint="eastAsia" w:ascii="宋体" w:hAnsi="宋体" w:eastAsia="宋体" w:cs="仿宋_GB2312"/>
                <w:color w:val="auto"/>
                <w:kern w:val="0"/>
                <w:sz w:val="22"/>
                <w:highlight w:val="none"/>
              </w:rPr>
              <w:t>至今</w:t>
            </w:r>
          </w:p>
        </w:tc>
      </w:tr>
      <w:tr w14:paraId="3A7D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794" w:type="dxa"/>
            <w:tcBorders>
              <w:top w:val="single" w:color="auto" w:sz="4" w:space="0"/>
              <w:left w:val="single" w:color="auto" w:sz="4" w:space="0"/>
              <w:bottom w:val="single" w:color="auto" w:sz="4" w:space="0"/>
              <w:right w:val="single" w:color="auto" w:sz="4" w:space="0"/>
            </w:tcBorders>
            <w:vAlign w:val="center"/>
          </w:tcPr>
          <w:p w14:paraId="62202D03">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2</w:t>
            </w:r>
            <w:r>
              <w:rPr>
                <w:rFonts w:hint="eastAsia" w:ascii="宋体" w:hAnsi="宋体"/>
                <w:color w:val="auto"/>
                <w:sz w:val="22"/>
                <w:highlight w:val="none"/>
                <w:lang w:val="en-US" w:eastAsia="zh-CN"/>
              </w:rPr>
              <w:t>6</w:t>
            </w:r>
          </w:p>
        </w:tc>
        <w:tc>
          <w:tcPr>
            <w:tcW w:w="1984" w:type="dxa"/>
            <w:tcBorders>
              <w:top w:val="single" w:color="auto" w:sz="4" w:space="0"/>
              <w:left w:val="nil"/>
              <w:bottom w:val="single" w:color="auto" w:sz="4" w:space="0"/>
              <w:right w:val="single" w:color="auto" w:sz="4" w:space="0"/>
            </w:tcBorders>
            <w:vAlign w:val="center"/>
          </w:tcPr>
          <w:p w14:paraId="6633574E">
            <w:pPr>
              <w:spacing w:line="400" w:lineRule="exact"/>
              <w:jc w:val="center"/>
              <w:rPr>
                <w:rFonts w:ascii="宋体" w:hAnsi="宋体"/>
                <w:color w:val="auto"/>
                <w:sz w:val="22"/>
                <w:highlight w:val="none"/>
              </w:rPr>
            </w:pPr>
            <w:r>
              <w:rPr>
                <w:rFonts w:hint="eastAsia" w:ascii="宋体" w:hAnsi="宋体"/>
                <w:color w:val="auto"/>
                <w:sz w:val="22"/>
                <w:highlight w:val="none"/>
              </w:rPr>
              <w:t>是否允许递交备选磋商方案</w:t>
            </w:r>
          </w:p>
        </w:tc>
        <w:tc>
          <w:tcPr>
            <w:tcW w:w="6064" w:type="dxa"/>
            <w:tcBorders>
              <w:top w:val="single" w:color="auto" w:sz="4" w:space="0"/>
              <w:left w:val="nil"/>
              <w:bottom w:val="single" w:color="auto" w:sz="4" w:space="0"/>
              <w:right w:val="single" w:color="auto" w:sz="4" w:space="0"/>
            </w:tcBorders>
            <w:vAlign w:val="center"/>
          </w:tcPr>
          <w:p w14:paraId="3262CC44">
            <w:pPr>
              <w:spacing w:line="400" w:lineRule="exact"/>
              <w:rPr>
                <w:rFonts w:ascii="宋体" w:hAnsi="宋体"/>
                <w:color w:val="auto"/>
                <w:sz w:val="22"/>
                <w:highlight w:val="none"/>
              </w:rPr>
            </w:pPr>
            <w:r>
              <w:rPr>
                <w:rFonts w:hint="eastAsia" w:ascii="宋体" w:hAnsi="宋体"/>
                <w:color w:val="auto"/>
                <w:sz w:val="22"/>
                <w:highlight w:val="none"/>
              </w:rPr>
              <w:t>不允许</w:t>
            </w:r>
          </w:p>
        </w:tc>
      </w:tr>
      <w:tr w14:paraId="28B9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94" w:type="dxa"/>
            <w:tcBorders>
              <w:top w:val="single" w:color="auto" w:sz="4" w:space="0"/>
              <w:left w:val="single" w:color="auto" w:sz="4" w:space="0"/>
              <w:bottom w:val="single" w:color="auto" w:sz="4" w:space="0"/>
              <w:right w:val="single" w:color="auto" w:sz="4" w:space="0"/>
            </w:tcBorders>
            <w:vAlign w:val="center"/>
          </w:tcPr>
          <w:p w14:paraId="3F3918BC">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2</w:t>
            </w:r>
            <w:r>
              <w:rPr>
                <w:rFonts w:hint="eastAsia" w:ascii="宋体" w:hAnsi="宋体"/>
                <w:color w:val="auto"/>
                <w:sz w:val="22"/>
                <w:highlight w:val="none"/>
                <w:lang w:val="en-US" w:eastAsia="zh-CN"/>
              </w:rPr>
              <w:t>7</w:t>
            </w:r>
          </w:p>
        </w:tc>
        <w:tc>
          <w:tcPr>
            <w:tcW w:w="1984" w:type="dxa"/>
            <w:tcBorders>
              <w:top w:val="single" w:color="auto" w:sz="4" w:space="0"/>
              <w:left w:val="nil"/>
              <w:bottom w:val="single" w:color="auto" w:sz="4" w:space="0"/>
              <w:right w:val="single" w:color="auto" w:sz="4" w:space="0"/>
            </w:tcBorders>
            <w:vAlign w:val="center"/>
          </w:tcPr>
          <w:p w14:paraId="204E8246">
            <w:pPr>
              <w:spacing w:line="360" w:lineRule="auto"/>
              <w:jc w:val="center"/>
              <w:rPr>
                <w:rFonts w:ascii="宋体" w:hAnsi="宋体"/>
                <w:color w:val="auto"/>
                <w:sz w:val="22"/>
                <w:highlight w:val="none"/>
              </w:rPr>
            </w:pPr>
            <w:r>
              <w:rPr>
                <w:rFonts w:hint="eastAsia" w:ascii="宋体" w:hAnsi="宋体"/>
                <w:color w:val="auto"/>
                <w:sz w:val="22"/>
                <w:highlight w:val="none"/>
              </w:rPr>
              <w:t>签字和（或）盖章要求</w:t>
            </w:r>
          </w:p>
        </w:tc>
        <w:tc>
          <w:tcPr>
            <w:tcW w:w="6064" w:type="dxa"/>
            <w:tcBorders>
              <w:top w:val="single" w:color="auto" w:sz="4" w:space="0"/>
              <w:left w:val="nil"/>
              <w:bottom w:val="single" w:color="auto" w:sz="4" w:space="0"/>
              <w:right w:val="single" w:color="auto" w:sz="4" w:space="0"/>
            </w:tcBorders>
            <w:vAlign w:val="center"/>
          </w:tcPr>
          <w:p w14:paraId="7A35A928">
            <w:pPr>
              <w:spacing w:line="360" w:lineRule="auto"/>
              <w:rPr>
                <w:rFonts w:ascii="宋体" w:hAnsi="宋体"/>
                <w:color w:val="auto"/>
                <w:sz w:val="22"/>
                <w:highlight w:val="none"/>
              </w:rPr>
            </w:pPr>
            <w:r>
              <w:rPr>
                <w:rFonts w:hint="eastAsia" w:ascii="宋体" w:hAnsi="宋体"/>
                <w:color w:val="auto"/>
                <w:sz w:val="22"/>
                <w:highlight w:val="none"/>
              </w:rPr>
              <w:t>1、磋商</w:t>
            </w:r>
            <w:r>
              <w:rPr>
                <w:rFonts w:hint="eastAsia" w:ascii="宋体" w:hAnsi="宋体"/>
                <w:color w:val="auto"/>
                <w:sz w:val="22"/>
                <w:highlight w:val="none"/>
                <w:lang w:eastAsia="zh-CN"/>
              </w:rPr>
              <w:t>供应商</w:t>
            </w:r>
            <w:r>
              <w:rPr>
                <w:rFonts w:hint="eastAsia" w:ascii="宋体" w:hAnsi="宋体"/>
                <w:color w:val="auto"/>
                <w:sz w:val="22"/>
                <w:highlight w:val="none"/>
              </w:rPr>
              <w:t>在生成电子化磋商响应文件后，应对电子化磋商响应文件进行签章。</w:t>
            </w:r>
          </w:p>
          <w:p w14:paraId="06B838A5">
            <w:pPr>
              <w:spacing w:line="360" w:lineRule="auto"/>
              <w:rPr>
                <w:rFonts w:ascii="宋体" w:hAnsi="宋体"/>
                <w:color w:val="auto"/>
                <w:sz w:val="22"/>
                <w:highlight w:val="none"/>
              </w:rPr>
            </w:pPr>
            <w:r>
              <w:rPr>
                <w:rFonts w:hint="eastAsia" w:ascii="宋体" w:hAnsi="宋体"/>
                <w:color w:val="auto"/>
                <w:sz w:val="22"/>
                <w:highlight w:val="none"/>
              </w:rPr>
              <w:t>2、竞争性磋商文件中要求</w:t>
            </w:r>
            <w:r>
              <w:rPr>
                <w:rFonts w:hint="eastAsia" w:ascii="宋体" w:hAnsi="宋体"/>
                <w:b/>
                <w:bCs/>
                <w:color w:val="auto"/>
                <w:sz w:val="22"/>
                <w:highlight w:val="none"/>
              </w:rPr>
              <w:t>法定代表人或授权委托人签字或盖章的，磋商</w:t>
            </w:r>
            <w:r>
              <w:rPr>
                <w:rFonts w:hint="eastAsia" w:ascii="宋体" w:hAnsi="宋体"/>
                <w:b/>
                <w:bCs/>
                <w:color w:val="auto"/>
                <w:sz w:val="22"/>
                <w:highlight w:val="none"/>
                <w:lang w:eastAsia="zh-CN"/>
              </w:rPr>
              <w:t>供应商</w:t>
            </w:r>
            <w:r>
              <w:rPr>
                <w:rFonts w:hint="eastAsia" w:ascii="宋体" w:hAnsi="宋体"/>
                <w:b/>
                <w:bCs/>
                <w:color w:val="auto"/>
                <w:sz w:val="22"/>
                <w:highlight w:val="none"/>
              </w:rPr>
              <w:t>在进行电子化磋商响应文件签章时，以签盖法定代表人签章为准</w:t>
            </w:r>
            <w:r>
              <w:rPr>
                <w:rFonts w:hint="eastAsia" w:ascii="宋体" w:hAnsi="宋体"/>
                <w:color w:val="auto"/>
                <w:sz w:val="22"/>
                <w:highlight w:val="none"/>
              </w:rPr>
              <w:t>。电子化磋商响应文件具体制作教材请磋商</w:t>
            </w:r>
            <w:r>
              <w:rPr>
                <w:rFonts w:hint="eastAsia" w:ascii="宋体" w:hAnsi="宋体"/>
                <w:color w:val="auto"/>
                <w:sz w:val="22"/>
                <w:highlight w:val="none"/>
                <w:lang w:eastAsia="zh-CN"/>
              </w:rPr>
              <w:t>供应商</w:t>
            </w:r>
            <w:r>
              <w:rPr>
                <w:rFonts w:hint="eastAsia" w:ascii="宋体" w:hAnsi="宋体"/>
                <w:color w:val="auto"/>
                <w:sz w:val="22"/>
                <w:highlight w:val="none"/>
              </w:rPr>
              <w:t>通过CA证书登录三门峡市公共资源电子化交易系统在右上角“组建下载”中查看。</w:t>
            </w:r>
          </w:p>
        </w:tc>
      </w:tr>
      <w:tr w14:paraId="4D61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94" w:type="dxa"/>
            <w:tcBorders>
              <w:top w:val="single" w:color="auto" w:sz="4" w:space="0"/>
              <w:left w:val="single" w:color="auto" w:sz="4" w:space="0"/>
              <w:bottom w:val="single" w:color="auto" w:sz="4" w:space="0"/>
              <w:right w:val="single" w:color="auto" w:sz="4" w:space="0"/>
            </w:tcBorders>
            <w:vAlign w:val="center"/>
          </w:tcPr>
          <w:p w14:paraId="461DB0E0">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2</w:t>
            </w:r>
            <w:r>
              <w:rPr>
                <w:rFonts w:hint="eastAsia" w:ascii="宋体" w:hAnsi="宋体"/>
                <w:color w:val="auto"/>
                <w:sz w:val="22"/>
                <w:highlight w:val="none"/>
                <w:lang w:val="en-US" w:eastAsia="zh-CN"/>
              </w:rPr>
              <w:t>8</w:t>
            </w:r>
          </w:p>
        </w:tc>
        <w:tc>
          <w:tcPr>
            <w:tcW w:w="1984" w:type="dxa"/>
            <w:tcBorders>
              <w:top w:val="single" w:color="auto" w:sz="4" w:space="0"/>
              <w:left w:val="nil"/>
              <w:bottom w:val="single" w:color="auto" w:sz="4" w:space="0"/>
              <w:right w:val="single" w:color="auto" w:sz="4" w:space="0"/>
            </w:tcBorders>
            <w:vAlign w:val="center"/>
          </w:tcPr>
          <w:p w14:paraId="63C45BDA">
            <w:pPr>
              <w:spacing w:line="360" w:lineRule="auto"/>
              <w:jc w:val="center"/>
              <w:rPr>
                <w:rFonts w:ascii="宋体" w:hAnsi="宋体"/>
                <w:color w:val="auto"/>
                <w:sz w:val="22"/>
                <w:highlight w:val="none"/>
              </w:rPr>
            </w:pPr>
            <w:r>
              <w:rPr>
                <w:rFonts w:hint="eastAsia" w:ascii="宋体" w:hAnsi="宋体"/>
                <w:color w:val="auto"/>
                <w:sz w:val="22"/>
                <w:highlight w:val="none"/>
              </w:rPr>
              <w:t>磋商响应文件</w:t>
            </w:r>
          </w:p>
        </w:tc>
        <w:tc>
          <w:tcPr>
            <w:tcW w:w="6064" w:type="dxa"/>
            <w:tcBorders>
              <w:top w:val="single" w:color="auto" w:sz="4" w:space="0"/>
              <w:left w:val="nil"/>
              <w:bottom w:val="single" w:color="auto" w:sz="4" w:space="0"/>
              <w:right w:val="single" w:color="auto" w:sz="4" w:space="0"/>
            </w:tcBorders>
            <w:vAlign w:val="center"/>
          </w:tcPr>
          <w:p w14:paraId="2B290F45">
            <w:pPr>
              <w:spacing w:line="360" w:lineRule="auto"/>
              <w:rPr>
                <w:rFonts w:ascii="宋体" w:hAnsi="宋体" w:cs="宋体"/>
                <w:color w:val="auto"/>
                <w:kern w:val="0"/>
                <w:sz w:val="28"/>
                <w:szCs w:val="28"/>
                <w:highlight w:val="none"/>
              </w:rPr>
            </w:pPr>
            <w:r>
              <w:rPr>
                <w:rFonts w:hint="eastAsia" w:ascii="宋体" w:hAnsi="宋体"/>
                <w:color w:val="auto"/>
                <w:sz w:val="22"/>
                <w:highlight w:val="none"/>
              </w:rPr>
              <w:t>用CA在电子平台上传电子磋商响应文件，在磋商截止时间前成功上传至三门峡市公共资源电子化交易系统。本项目为电子化、无纸化交易项目。</w:t>
            </w:r>
          </w:p>
        </w:tc>
      </w:tr>
      <w:tr w14:paraId="0F0D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94" w:type="dxa"/>
            <w:tcBorders>
              <w:top w:val="single" w:color="auto" w:sz="4" w:space="0"/>
              <w:left w:val="single" w:color="auto" w:sz="4" w:space="0"/>
              <w:bottom w:val="single" w:color="auto" w:sz="4" w:space="0"/>
              <w:right w:val="single" w:color="auto" w:sz="4" w:space="0"/>
            </w:tcBorders>
            <w:vAlign w:val="center"/>
          </w:tcPr>
          <w:p w14:paraId="0AED9F01">
            <w:pPr>
              <w:spacing w:line="360" w:lineRule="auto"/>
              <w:jc w:val="center"/>
              <w:rPr>
                <w:rFonts w:hint="default" w:ascii="宋体" w:hAnsi="宋体" w:eastAsia="宋体"/>
                <w:color w:val="auto"/>
                <w:sz w:val="22"/>
                <w:highlight w:val="none"/>
                <w:lang w:val="en-US" w:eastAsia="zh-CN"/>
              </w:rPr>
            </w:pPr>
            <w:r>
              <w:rPr>
                <w:rFonts w:hint="eastAsia" w:ascii="宋体" w:hAnsi="宋体"/>
                <w:color w:val="auto"/>
                <w:sz w:val="22"/>
                <w:highlight w:val="none"/>
                <w:lang w:val="en-US" w:eastAsia="zh-CN"/>
              </w:rPr>
              <w:t>29</w:t>
            </w:r>
          </w:p>
        </w:tc>
        <w:tc>
          <w:tcPr>
            <w:tcW w:w="1984" w:type="dxa"/>
            <w:tcBorders>
              <w:top w:val="single" w:color="auto" w:sz="4" w:space="0"/>
              <w:left w:val="nil"/>
              <w:bottom w:val="single" w:color="auto" w:sz="4" w:space="0"/>
              <w:right w:val="single" w:color="auto" w:sz="4" w:space="0"/>
            </w:tcBorders>
            <w:vAlign w:val="center"/>
          </w:tcPr>
          <w:p w14:paraId="102CB339">
            <w:pPr>
              <w:spacing w:line="360" w:lineRule="auto"/>
              <w:jc w:val="center"/>
              <w:rPr>
                <w:rFonts w:ascii="宋体" w:hAnsi="宋体"/>
                <w:color w:val="auto"/>
                <w:sz w:val="22"/>
                <w:highlight w:val="none"/>
              </w:rPr>
            </w:pPr>
            <w:r>
              <w:rPr>
                <w:rFonts w:hint="eastAsia" w:ascii="宋体" w:hAnsi="宋体"/>
                <w:color w:val="auto"/>
                <w:sz w:val="22"/>
                <w:highlight w:val="none"/>
              </w:rPr>
              <w:t>磋商时间和地点</w:t>
            </w:r>
          </w:p>
        </w:tc>
        <w:tc>
          <w:tcPr>
            <w:tcW w:w="6064" w:type="dxa"/>
            <w:tcBorders>
              <w:top w:val="single" w:color="auto" w:sz="4" w:space="0"/>
              <w:left w:val="nil"/>
              <w:bottom w:val="single" w:color="auto" w:sz="4" w:space="0"/>
              <w:right w:val="single" w:color="auto" w:sz="4" w:space="0"/>
            </w:tcBorders>
            <w:vAlign w:val="center"/>
          </w:tcPr>
          <w:p w14:paraId="137DB0B8">
            <w:pPr>
              <w:spacing w:line="360" w:lineRule="auto"/>
              <w:rPr>
                <w:rFonts w:ascii="宋体" w:hAnsi="宋体"/>
                <w:color w:val="auto"/>
                <w:sz w:val="22"/>
                <w:highlight w:val="none"/>
              </w:rPr>
            </w:pPr>
            <w:r>
              <w:rPr>
                <w:rFonts w:hint="eastAsia" w:ascii="宋体" w:hAnsi="宋体"/>
                <w:color w:val="auto"/>
                <w:sz w:val="22"/>
                <w:highlight w:val="none"/>
              </w:rPr>
              <w:t>磋商时间：同磋商截止时间</w:t>
            </w:r>
          </w:p>
          <w:p w14:paraId="1ADC9E48">
            <w:pPr>
              <w:spacing w:line="360" w:lineRule="auto"/>
              <w:rPr>
                <w:rFonts w:hint="eastAsia" w:ascii="宋体" w:hAnsi="宋体" w:eastAsia="宋体"/>
                <w:color w:val="auto"/>
                <w:sz w:val="22"/>
                <w:highlight w:val="none"/>
                <w:lang w:eastAsia="zh-CN"/>
              </w:rPr>
            </w:pPr>
            <w:r>
              <w:rPr>
                <w:rFonts w:hint="eastAsia" w:ascii="宋体" w:hAnsi="宋体"/>
                <w:color w:val="auto"/>
                <w:sz w:val="22"/>
                <w:highlight w:val="none"/>
              </w:rPr>
              <w:t xml:space="preserve">磋商地点: </w:t>
            </w:r>
            <w:r>
              <w:rPr>
                <w:rFonts w:hint="eastAsia" w:ascii="宋体" w:hAnsi="宋体"/>
                <w:color w:val="auto"/>
                <w:sz w:val="22"/>
                <w:highlight w:val="none"/>
                <w:lang w:eastAsia="zh-CN"/>
              </w:rPr>
              <w:t>灵宝市公共资源交易中心开标</w:t>
            </w:r>
            <w:r>
              <w:rPr>
                <w:rFonts w:hint="eastAsia" w:ascii="宋体" w:hAnsi="宋体"/>
                <w:color w:val="auto"/>
                <w:sz w:val="22"/>
                <w:highlight w:val="none"/>
                <w:lang w:val="en-US" w:eastAsia="zh-CN"/>
              </w:rPr>
              <w:t>一</w:t>
            </w:r>
            <w:r>
              <w:rPr>
                <w:rFonts w:hint="eastAsia" w:ascii="宋体" w:hAnsi="宋体"/>
                <w:color w:val="auto"/>
                <w:sz w:val="22"/>
                <w:highlight w:val="none"/>
                <w:lang w:eastAsia="zh-CN"/>
              </w:rPr>
              <w:t>室</w:t>
            </w:r>
          </w:p>
        </w:tc>
      </w:tr>
      <w:tr w14:paraId="2628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tcBorders>
              <w:top w:val="single" w:color="auto" w:sz="4" w:space="0"/>
              <w:left w:val="single" w:color="auto" w:sz="4" w:space="0"/>
              <w:bottom w:val="single" w:color="auto" w:sz="4" w:space="0"/>
              <w:right w:val="single" w:color="auto" w:sz="4" w:space="0"/>
            </w:tcBorders>
            <w:vAlign w:val="center"/>
          </w:tcPr>
          <w:p w14:paraId="4EFBAB3E">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0</w:t>
            </w:r>
          </w:p>
        </w:tc>
        <w:tc>
          <w:tcPr>
            <w:tcW w:w="1984" w:type="dxa"/>
            <w:tcBorders>
              <w:top w:val="single" w:color="auto" w:sz="4" w:space="0"/>
              <w:left w:val="nil"/>
              <w:bottom w:val="single" w:color="auto" w:sz="4" w:space="0"/>
              <w:right w:val="single" w:color="auto" w:sz="4" w:space="0"/>
            </w:tcBorders>
            <w:vAlign w:val="center"/>
          </w:tcPr>
          <w:p w14:paraId="598BBDCA">
            <w:pPr>
              <w:spacing w:line="360" w:lineRule="auto"/>
              <w:jc w:val="center"/>
              <w:rPr>
                <w:rFonts w:ascii="宋体" w:hAnsi="宋体"/>
                <w:color w:val="auto"/>
                <w:sz w:val="22"/>
                <w:highlight w:val="none"/>
              </w:rPr>
            </w:pPr>
            <w:r>
              <w:rPr>
                <w:rFonts w:hint="eastAsia" w:ascii="宋体" w:hAnsi="宋体"/>
                <w:color w:val="auto"/>
                <w:sz w:val="22"/>
                <w:highlight w:val="none"/>
              </w:rPr>
              <w:t>磋商顺序</w:t>
            </w:r>
          </w:p>
        </w:tc>
        <w:tc>
          <w:tcPr>
            <w:tcW w:w="6064" w:type="dxa"/>
            <w:tcBorders>
              <w:top w:val="single" w:color="auto" w:sz="4" w:space="0"/>
              <w:left w:val="nil"/>
              <w:bottom w:val="single" w:color="auto" w:sz="4" w:space="0"/>
              <w:right w:val="single" w:color="auto" w:sz="4" w:space="0"/>
            </w:tcBorders>
            <w:vAlign w:val="center"/>
          </w:tcPr>
          <w:p w14:paraId="71965325">
            <w:pPr>
              <w:spacing w:line="360" w:lineRule="auto"/>
              <w:rPr>
                <w:rFonts w:ascii="宋体" w:hAnsi="宋体"/>
                <w:color w:val="auto"/>
                <w:sz w:val="22"/>
                <w:highlight w:val="none"/>
              </w:rPr>
            </w:pPr>
            <w:r>
              <w:rPr>
                <w:rFonts w:hint="eastAsia" w:ascii="宋体" w:hAnsi="宋体"/>
                <w:color w:val="auto"/>
                <w:sz w:val="22"/>
                <w:highlight w:val="none"/>
              </w:rPr>
              <w:t>按电子文件上传的顺序磋商</w:t>
            </w:r>
          </w:p>
        </w:tc>
      </w:tr>
      <w:tr w14:paraId="57C6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94" w:type="dxa"/>
            <w:tcBorders>
              <w:top w:val="single" w:color="auto" w:sz="4" w:space="0"/>
              <w:left w:val="single" w:color="auto" w:sz="4" w:space="0"/>
              <w:bottom w:val="single" w:color="auto" w:sz="4" w:space="0"/>
              <w:right w:val="single" w:color="auto" w:sz="4" w:space="0"/>
            </w:tcBorders>
            <w:vAlign w:val="center"/>
          </w:tcPr>
          <w:p w14:paraId="6F15F4D2">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1</w:t>
            </w:r>
          </w:p>
        </w:tc>
        <w:tc>
          <w:tcPr>
            <w:tcW w:w="1984" w:type="dxa"/>
            <w:tcBorders>
              <w:top w:val="single" w:color="auto" w:sz="4" w:space="0"/>
              <w:left w:val="nil"/>
              <w:bottom w:val="single" w:color="auto" w:sz="4" w:space="0"/>
              <w:right w:val="single" w:color="auto" w:sz="4" w:space="0"/>
            </w:tcBorders>
            <w:vAlign w:val="center"/>
          </w:tcPr>
          <w:p w14:paraId="1CBF4DD8">
            <w:pPr>
              <w:spacing w:line="360" w:lineRule="auto"/>
              <w:jc w:val="center"/>
              <w:rPr>
                <w:rFonts w:ascii="宋体" w:hAnsi="宋体"/>
                <w:color w:val="auto"/>
                <w:sz w:val="22"/>
                <w:highlight w:val="none"/>
              </w:rPr>
            </w:pPr>
            <w:r>
              <w:rPr>
                <w:rFonts w:hint="eastAsia" w:ascii="宋体" w:hAnsi="宋体"/>
                <w:color w:val="auto"/>
                <w:sz w:val="22"/>
                <w:highlight w:val="none"/>
              </w:rPr>
              <w:t>磋商小组的</w:t>
            </w:r>
          </w:p>
          <w:p w14:paraId="238BAC6F">
            <w:pPr>
              <w:spacing w:line="360" w:lineRule="auto"/>
              <w:jc w:val="center"/>
              <w:rPr>
                <w:rFonts w:ascii="宋体" w:hAnsi="宋体"/>
                <w:color w:val="auto"/>
                <w:sz w:val="22"/>
                <w:highlight w:val="none"/>
              </w:rPr>
            </w:pPr>
            <w:r>
              <w:rPr>
                <w:rFonts w:hint="eastAsia" w:ascii="宋体" w:hAnsi="宋体"/>
                <w:color w:val="auto"/>
                <w:sz w:val="22"/>
                <w:highlight w:val="none"/>
              </w:rPr>
              <w:t>组建</w:t>
            </w:r>
          </w:p>
        </w:tc>
        <w:tc>
          <w:tcPr>
            <w:tcW w:w="6064" w:type="dxa"/>
            <w:tcBorders>
              <w:top w:val="single" w:color="auto" w:sz="4" w:space="0"/>
              <w:left w:val="nil"/>
              <w:bottom w:val="single" w:color="auto" w:sz="4" w:space="0"/>
              <w:right w:val="single" w:color="auto" w:sz="4" w:space="0"/>
            </w:tcBorders>
            <w:vAlign w:val="center"/>
          </w:tcPr>
          <w:p w14:paraId="624ED12D">
            <w:pPr>
              <w:spacing w:line="360" w:lineRule="auto"/>
              <w:rPr>
                <w:rFonts w:ascii="宋体" w:hAnsi="宋体"/>
                <w:color w:val="auto"/>
                <w:sz w:val="22"/>
                <w:highlight w:val="none"/>
              </w:rPr>
            </w:pPr>
            <w:r>
              <w:rPr>
                <w:rFonts w:hint="eastAsia" w:ascii="宋体" w:hAnsi="宋体"/>
                <w:color w:val="auto"/>
                <w:sz w:val="22"/>
                <w:highlight w:val="none"/>
              </w:rPr>
              <w:t>磋商小组构成:磋商小组由招标人代表1人和有关技术、经济方面的专家2人共3人组成；</w:t>
            </w:r>
          </w:p>
          <w:p w14:paraId="54858B2C">
            <w:pPr>
              <w:spacing w:line="360" w:lineRule="auto"/>
              <w:rPr>
                <w:rFonts w:ascii="宋体" w:hAnsi="宋体"/>
                <w:color w:val="auto"/>
                <w:sz w:val="22"/>
                <w:highlight w:val="none"/>
              </w:rPr>
            </w:pPr>
            <w:r>
              <w:rPr>
                <w:rFonts w:hint="eastAsia" w:ascii="宋体" w:hAnsi="宋体"/>
                <w:color w:val="auto"/>
                <w:sz w:val="22"/>
                <w:highlight w:val="none"/>
              </w:rPr>
              <w:t>磋商小组确定方式：依据相关规定依法组建磋商小组，相关技术、经济方面专于开标前在评标专家库中随机抽取</w:t>
            </w:r>
          </w:p>
        </w:tc>
      </w:tr>
      <w:tr w14:paraId="45BD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94" w:type="dxa"/>
            <w:tcBorders>
              <w:top w:val="single" w:color="auto" w:sz="4" w:space="0"/>
              <w:left w:val="single" w:color="auto" w:sz="4" w:space="0"/>
              <w:bottom w:val="single" w:color="auto" w:sz="4" w:space="0"/>
              <w:right w:val="single" w:color="auto" w:sz="4" w:space="0"/>
            </w:tcBorders>
            <w:vAlign w:val="center"/>
          </w:tcPr>
          <w:p w14:paraId="17C4BB49">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2</w:t>
            </w:r>
          </w:p>
        </w:tc>
        <w:tc>
          <w:tcPr>
            <w:tcW w:w="1984" w:type="dxa"/>
            <w:tcBorders>
              <w:top w:val="single" w:color="auto" w:sz="4" w:space="0"/>
              <w:left w:val="nil"/>
              <w:bottom w:val="single" w:color="auto" w:sz="4" w:space="0"/>
              <w:right w:val="single" w:color="auto" w:sz="4" w:space="0"/>
            </w:tcBorders>
            <w:vAlign w:val="center"/>
          </w:tcPr>
          <w:p w14:paraId="72259EBA">
            <w:pPr>
              <w:spacing w:line="360" w:lineRule="auto"/>
              <w:jc w:val="center"/>
              <w:rPr>
                <w:rFonts w:ascii="宋体" w:hAnsi="宋体"/>
                <w:color w:val="auto"/>
                <w:sz w:val="22"/>
                <w:highlight w:val="none"/>
              </w:rPr>
            </w:pPr>
            <w:r>
              <w:rPr>
                <w:rFonts w:hint="eastAsia" w:ascii="宋体" w:hAnsi="宋体"/>
                <w:color w:val="auto"/>
                <w:sz w:val="22"/>
                <w:highlight w:val="none"/>
              </w:rPr>
              <w:t>是否授权磋商小组确定成交人</w:t>
            </w:r>
          </w:p>
        </w:tc>
        <w:tc>
          <w:tcPr>
            <w:tcW w:w="6064" w:type="dxa"/>
            <w:tcBorders>
              <w:top w:val="single" w:color="auto" w:sz="4" w:space="0"/>
              <w:left w:val="nil"/>
              <w:bottom w:val="single" w:color="auto" w:sz="4" w:space="0"/>
              <w:right w:val="single" w:color="auto" w:sz="4" w:space="0"/>
            </w:tcBorders>
            <w:vAlign w:val="center"/>
          </w:tcPr>
          <w:p w14:paraId="5EA05697">
            <w:pPr>
              <w:spacing w:line="360" w:lineRule="auto"/>
              <w:rPr>
                <w:rFonts w:ascii="宋体" w:hAnsi="宋体"/>
                <w:color w:val="auto"/>
                <w:sz w:val="22"/>
                <w:highlight w:val="none"/>
              </w:rPr>
            </w:pPr>
            <w:r>
              <w:rPr>
                <w:rFonts w:hint="eastAsia" w:ascii="宋体" w:hAnsi="宋体"/>
                <w:color w:val="auto"/>
                <w:sz w:val="22"/>
                <w:highlight w:val="none"/>
              </w:rPr>
              <w:t>否，按顺序推荐的成交候选人数：</w:t>
            </w:r>
            <w:r>
              <w:rPr>
                <w:rFonts w:hint="eastAsia" w:ascii="宋体" w:hAnsi="宋体"/>
                <w:color w:val="auto"/>
                <w:sz w:val="22"/>
                <w:highlight w:val="none"/>
                <w:u w:val="single"/>
              </w:rPr>
              <w:t>3名，并排序</w:t>
            </w:r>
          </w:p>
        </w:tc>
      </w:tr>
      <w:tr w14:paraId="572F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794" w:type="dxa"/>
            <w:tcBorders>
              <w:top w:val="single" w:color="auto" w:sz="4" w:space="0"/>
              <w:left w:val="single" w:color="auto" w:sz="4" w:space="0"/>
              <w:bottom w:val="single" w:color="auto" w:sz="4" w:space="0"/>
              <w:right w:val="single" w:color="auto" w:sz="4" w:space="0"/>
            </w:tcBorders>
            <w:vAlign w:val="center"/>
          </w:tcPr>
          <w:p w14:paraId="2811C113">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3</w:t>
            </w:r>
          </w:p>
        </w:tc>
        <w:tc>
          <w:tcPr>
            <w:tcW w:w="8048" w:type="dxa"/>
            <w:gridSpan w:val="2"/>
            <w:tcBorders>
              <w:top w:val="single" w:color="auto" w:sz="4" w:space="0"/>
              <w:left w:val="nil"/>
              <w:bottom w:val="single" w:color="auto" w:sz="4" w:space="0"/>
              <w:right w:val="single" w:color="auto" w:sz="4" w:space="0"/>
            </w:tcBorders>
            <w:vAlign w:val="center"/>
          </w:tcPr>
          <w:p w14:paraId="2AB33460">
            <w:pPr>
              <w:spacing w:line="360" w:lineRule="auto"/>
              <w:jc w:val="center"/>
              <w:rPr>
                <w:rFonts w:ascii="宋体" w:hAnsi="宋体"/>
                <w:color w:val="auto"/>
                <w:sz w:val="22"/>
                <w:highlight w:val="none"/>
              </w:rPr>
            </w:pPr>
            <w:r>
              <w:rPr>
                <w:rFonts w:hint="eastAsia" w:ascii="宋体" w:hAnsi="宋体"/>
                <w:color w:val="auto"/>
                <w:sz w:val="22"/>
                <w:highlight w:val="none"/>
              </w:rPr>
              <w:t>需要补充的其他内容</w:t>
            </w:r>
          </w:p>
        </w:tc>
      </w:tr>
      <w:tr w14:paraId="7B8B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94" w:type="dxa"/>
            <w:tcBorders>
              <w:top w:val="single" w:color="auto" w:sz="4" w:space="0"/>
              <w:left w:val="single" w:color="auto" w:sz="4" w:space="0"/>
              <w:bottom w:val="single" w:color="auto" w:sz="4" w:space="0"/>
              <w:right w:val="single" w:color="auto" w:sz="4" w:space="0"/>
            </w:tcBorders>
            <w:vAlign w:val="center"/>
          </w:tcPr>
          <w:p w14:paraId="32010019">
            <w:pPr>
              <w:spacing w:line="360" w:lineRule="auto"/>
              <w:jc w:val="center"/>
              <w:rPr>
                <w:rFonts w:ascii="宋体" w:hAnsi="宋体"/>
                <w:color w:val="auto"/>
                <w:sz w:val="22"/>
                <w:highlight w:val="none"/>
              </w:rPr>
            </w:pPr>
            <w:r>
              <w:rPr>
                <w:rFonts w:hint="eastAsia" w:ascii="宋体" w:hAnsi="宋体"/>
                <w:color w:val="auto"/>
                <w:sz w:val="22"/>
                <w:highlight w:val="none"/>
              </w:rPr>
              <w:t>3</w:t>
            </w:r>
            <w:r>
              <w:rPr>
                <w:rFonts w:hint="eastAsia" w:ascii="宋体" w:hAnsi="宋体"/>
                <w:color w:val="auto"/>
                <w:sz w:val="22"/>
                <w:highlight w:val="none"/>
                <w:lang w:val="en-US" w:eastAsia="zh-CN"/>
              </w:rPr>
              <w:t>3</w:t>
            </w:r>
            <w:r>
              <w:rPr>
                <w:rFonts w:hint="eastAsia" w:ascii="宋体" w:hAnsi="宋体"/>
                <w:color w:val="auto"/>
                <w:sz w:val="22"/>
                <w:highlight w:val="none"/>
              </w:rPr>
              <w:t>.1</w:t>
            </w:r>
          </w:p>
        </w:tc>
        <w:tc>
          <w:tcPr>
            <w:tcW w:w="1984" w:type="dxa"/>
            <w:tcBorders>
              <w:top w:val="single" w:color="auto" w:sz="4" w:space="0"/>
              <w:left w:val="nil"/>
              <w:bottom w:val="single" w:color="auto" w:sz="4" w:space="0"/>
              <w:right w:val="single" w:color="auto" w:sz="4" w:space="0"/>
            </w:tcBorders>
            <w:vAlign w:val="center"/>
          </w:tcPr>
          <w:p w14:paraId="15FD6693">
            <w:pPr>
              <w:spacing w:line="360" w:lineRule="auto"/>
              <w:jc w:val="center"/>
              <w:rPr>
                <w:rFonts w:ascii="宋体" w:hAnsi="宋体"/>
                <w:color w:val="auto"/>
                <w:sz w:val="22"/>
                <w:highlight w:val="none"/>
              </w:rPr>
            </w:pPr>
            <w:r>
              <w:rPr>
                <w:rFonts w:hint="eastAsia" w:ascii="宋体" w:hAnsi="宋体"/>
                <w:color w:val="auto"/>
                <w:sz w:val="22"/>
                <w:highlight w:val="none"/>
              </w:rPr>
              <w:t>招标控制价</w:t>
            </w:r>
          </w:p>
        </w:tc>
        <w:tc>
          <w:tcPr>
            <w:tcW w:w="6064" w:type="dxa"/>
            <w:tcBorders>
              <w:top w:val="single" w:color="auto" w:sz="4" w:space="0"/>
              <w:left w:val="nil"/>
              <w:bottom w:val="single" w:color="auto" w:sz="4" w:space="0"/>
              <w:right w:val="single" w:color="auto" w:sz="4" w:space="0"/>
            </w:tcBorders>
            <w:vAlign w:val="center"/>
          </w:tcPr>
          <w:p w14:paraId="04660593">
            <w:pPr>
              <w:spacing w:line="360" w:lineRule="auto"/>
              <w:rPr>
                <w:rFonts w:hint="eastAsia" w:ascii="宋体" w:hAnsi="宋体"/>
                <w:b/>
                <w:bCs/>
                <w:color w:val="auto"/>
                <w:sz w:val="22"/>
                <w:highlight w:val="none"/>
              </w:rPr>
            </w:pPr>
            <w:r>
              <w:rPr>
                <w:rFonts w:hint="eastAsia" w:ascii="宋体" w:hAnsi="宋体"/>
                <w:b/>
                <w:bCs/>
                <w:color w:val="auto"/>
                <w:sz w:val="22"/>
                <w:highlight w:val="none"/>
              </w:rPr>
              <w:t>招标控制价（小写）：</w:t>
            </w:r>
            <w:r>
              <w:rPr>
                <w:rFonts w:hint="eastAsia" w:ascii="宋体" w:hAnsi="宋体"/>
                <w:b/>
                <w:bCs/>
                <w:color w:val="auto"/>
                <w:sz w:val="22"/>
                <w:highlight w:val="none"/>
                <w:lang w:val="en-US" w:eastAsia="zh-CN"/>
              </w:rPr>
              <w:t>3746302.00</w:t>
            </w:r>
            <w:r>
              <w:rPr>
                <w:rFonts w:hint="eastAsia" w:ascii="宋体" w:hAnsi="宋体"/>
                <w:b/>
                <w:bCs/>
                <w:color w:val="auto"/>
                <w:sz w:val="22"/>
                <w:highlight w:val="none"/>
              </w:rPr>
              <w:t>元（大写）：</w:t>
            </w:r>
            <w:r>
              <w:rPr>
                <w:rFonts w:hint="eastAsia" w:ascii="宋体" w:hAnsi="宋体"/>
                <w:b/>
                <w:bCs/>
                <w:color w:val="auto"/>
                <w:sz w:val="22"/>
                <w:highlight w:val="none"/>
                <w:lang w:val="en-US" w:eastAsia="zh-CN"/>
              </w:rPr>
              <w:t>叁佰柒拾肆万陆仟叁佰零贰元零角零分</w:t>
            </w:r>
            <w:r>
              <w:rPr>
                <w:rFonts w:hint="eastAsia" w:ascii="宋体" w:hAnsi="宋体"/>
                <w:b/>
                <w:bCs/>
                <w:color w:val="auto"/>
                <w:sz w:val="22"/>
                <w:highlight w:val="none"/>
              </w:rPr>
              <w:t>。</w:t>
            </w:r>
          </w:p>
          <w:p w14:paraId="700BB6F0">
            <w:pPr>
              <w:spacing w:line="360" w:lineRule="auto"/>
              <w:rPr>
                <w:rFonts w:ascii="宋体" w:hAnsi="宋体"/>
                <w:color w:val="auto"/>
                <w:sz w:val="22"/>
                <w:highlight w:val="none"/>
              </w:rPr>
            </w:pPr>
            <w:r>
              <w:rPr>
                <w:rFonts w:hint="eastAsia" w:ascii="宋体" w:hAnsi="宋体"/>
                <w:color w:val="auto"/>
                <w:sz w:val="22"/>
                <w:highlight w:val="none"/>
              </w:rPr>
              <w:t>招标控制价是招标人控制招标工程造价的最高限价，大于招标控制价的报价视为无效报价，其投标将予否决。</w:t>
            </w:r>
          </w:p>
        </w:tc>
      </w:tr>
      <w:tr w14:paraId="09CC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94" w:type="dxa"/>
            <w:tcBorders>
              <w:top w:val="single" w:color="auto" w:sz="4" w:space="0"/>
              <w:left w:val="single" w:color="auto" w:sz="4" w:space="0"/>
              <w:bottom w:val="single" w:color="auto" w:sz="4" w:space="0"/>
              <w:right w:val="single" w:color="auto" w:sz="4" w:space="0"/>
            </w:tcBorders>
            <w:vAlign w:val="center"/>
          </w:tcPr>
          <w:p w14:paraId="7CA12F37">
            <w:pPr>
              <w:spacing w:line="360" w:lineRule="auto"/>
              <w:jc w:val="center"/>
              <w:rPr>
                <w:rFonts w:hint="default" w:ascii="宋体" w:hAnsi="宋体" w:eastAsia="宋体"/>
                <w:color w:val="auto"/>
                <w:sz w:val="22"/>
                <w:highlight w:val="none"/>
                <w:lang w:val="en-US" w:eastAsia="zh-CN"/>
              </w:rPr>
            </w:pPr>
            <w:r>
              <w:rPr>
                <w:rFonts w:hint="eastAsia" w:ascii="宋体" w:hAnsi="宋体"/>
                <w:color w:val="auto"/>
                <w:sz w:val="22"/>
                <w:highlight w:val="none"/>
                <w:lang w:val="en-US" w:eastAsia="zh-CN"/>
              </w:rPr>
              <w:t>33.2</w:t>
            </w:r>
          </w:p>
        </w:tc>
        <w:tc>
          <w:tcPr>
            <w:tcW w:w="1984" w:type="dxa"/>
            <w:tcBorders>
              <w:top w:val="single" w:color="auto" w:sz="4" w:space="0"/>
              <w:left w:val="nil"/>
              <w:bottom w:val="single" w:color="auto" w:sz="4" w:space="0"/>
              <w:right w:val="single" w:color="auto" w:sz="4" w:space="0"/>
            </w:tcBorders>
            <w:vAlign w:val="center"/>
          </w:tcPr>
          <w:p w14:paraId="270D2D76">
            <w:pPr>
              <w:spacing w:line="360" w:lineRule="auto"/>
              <w:jc w:val="center"/>
              <w:rPr>
                <w:rFonts w:hint="default" w:ascii="宋体" w:hAnsi="宋体" w:eastAsia="宋体"/>
                <w:color w:val="auto"/>
                <w:sz w:val="22"/>
                <w:highlight w:val="none"/>
                <w:lang w:val="en-US" w:eastAsia="zh-CN"/>
              </w:rPr>
            </w:pPr>
            <w:r>
              <w:rPr>
                <w:rFonts w:hint="eastAsia" w:ascii="宋体" w:hAnsi="宋体"/>
                <w:color w:val="auto"/>
                <w:sz w:val="22"/>
                <w:highlight w:val="none"/>
                <w:lang w:val="en-US" w:eastAsia="zh-CN"/>
              </w:rPr>
              <w:t>本项目所属行业</w:t>
            </w:r>
          </w:p>
        </w:tc>
        <w:tc>
          <w:tcPr>
            <w:tcW w:w="6064" w:type="dxa"/>
            <w:tcBorders>
              <w:top w:val="single" w:color="auto" w:sz="4" w:space="0"/>
              <w:left w:val="nil"/>
              <w:bottom w:val="single" w:color="auto" w:sz="4" w:space="0"/>
              <w:right w:val="single" w:color="auto" w:sz="4" w:space="0"/>
            </w:tcBorders>
            <w:vAlign w:val="center"/>
          </w:tcPr>
          <w:p w14:paraId="1D5D8C6F">
            <w:pPr>
              <w:spacing w:line="360" w:lineRule="auto"/>
              <w:rPr>
                <w:rFonts w:hint="eastAsia" w:ascii="宋体" w:hAnsi="宋体" w:eastAsia="宋体"/>
                <w:color w:val="auto"/>
                <w:sz w:val="22"/>
                <w:highlight w:val="none"/>
                <w:lang w:val="en-US" w:eastAsia="zh-CN"/>
              </w:rPr>
            </w:pPr>
            <w:r>
              <w:rPr>
                <w:rFonts w:hint="eastAsia" w:ascii="宋体" w:hAnsi="宋体"/>
                <w:color w:val="auto"/>
                <w:sz w:val="22"/>
                <w:highlight w:val="none"/>
                <w:lang w:val="en-US" w:eastAsia="zh-CN"/>
              </w:rPr>
              <w:t>建筑业</w:t>
            </w:r>
          </w:p>
        </w:tc>
      </w:tr>
      <w:tr w14:paraId="3F39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794" w:type="dxa"/>
            <w:tcBorders>
              <w:top w:val="single" w:color="auto" w:sz="4" w:space="0"/>
              <w:left w:val="single" w:color="auto" w:sz="4" w:space="0"/>
              <w:bottom w:val="single" w:color="auto" w:sz="4" w:space="0"/>
              <w:right w:val="single" w:color="auto" w:sz="4" w:space="0"/>
            </w:tcBorders>
            <w:vAlign w:val="center"/>
          </w:tcPr>
          <w:p w14:paraId="71509BC6">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3</w:t>
            </w:r>
            <w:r>
              <w:rPr>
                <w:rFonts w:hint="eastAsia" w:ascii="宋体" w:hAnsi="宋体"/>
                <w:color w:val="auto"/>
                <w:sz w:val="22"/>
                <w:highlight w:val="none"/>
              </w:rPr>
              <w:t>.</w:t>
            </w:r>
            <w:r>
              <w:rPr>
                <w:rFonts w:hint="eastAsia" w:ascii="宋体" w:hAnsi="宋体"/>
                <w:color w:val="auto"/>
                <w:sz w:val="22"/>
                <w:highlight w:val="none"/>
                <w:lang w:val="en-US" w:eastAsia="zh-CN"/>
              </w:rPr>
              <w:t>3</w:t>
            </w:r>
          </w:p>
        </w:tc>
        <w:tc>
          <w:tcPr>
            <w:tcW w:w="1984" w:type="dxa"/>
            <w:tcBorders>
              <w:top w:val="single" w:color="auto" w:sz="4" w:space="0"/>
              <w:left w:val="nil"/>
              <w:bottom w:val="single" w:color="auto" w:sz="4" w:space="0"/>
              <w:right w:val="single" w:color="auto" w:sz="4" w:space="0"/>
            </w:tcBorders>
            <w:vAlign w:val="center"/>
          </w:tcPr>
          <w:p w14:paraId="2DA48536">
            <w:pPr>
              <w:spacing w:line="360" w:lineRule="auto"/>
              <w:jc w:val="center"/>
              <w:rPr>
                <w:rFonts w:ascii="宋体" w:hAnsi="宋体"/>
                <w:color w:val="auto"/>
                <w:sz w:val="22"/>
                <w:highlight w:val="none"/>
              </w:rPr>
            </w:pPr>
            <w:r>
              <w:rPr>
                <w:rFonts w:hint="eastAsia" w:ascii="宋体" w:hAnsi="宋体"/>
                <w:color w:val="auto"/>
                <w:sz w:val="22"/>
                <w:highlight w:val="none"/>
              </w:rPr>
              <w:t>成交公示</w:t>
            </w:r>
          </w:p>
        </w:tc>
        <w:tc>
          <w:tcPr>
            <w:tcW w:w="6064" w:type="dxa"/>
            <w:tcBorders>
              <w:top w:val="single" w:color="auto" w:sz="4" w:space="0"/>
              <w:left w:val="nil"/>
              <w:bottom w:val="single" w:color="auto" w:sz="4" w:space="0"/>
              <w:right w:val="single" w:color="auto" w:sz="4" w:space="0"/>
            </w:tcBorders>
            <w:vAlign w:val="center"/>
          </w:tcPr>
          <w:p w14:paraId="0AB4A0F0">
            <w:pPr>
              <w:spacing w:line="360" w:lineRule="auto"/>
              <w:rPr>
                <w:rFonts w:ascii="宋体" w:hAnsi="宋体"/>
                <w:color w:val="auto"/>
                <w:sz w:val="22"/>
                <w:highlight w:val="none"/>
              </w:rPr>
            </w:pPr>
            <w:r>
              <w:rPr>
                <w:rFonts w:hint="eastAsia" w:ascii="宋体" w:hAnsi="宋体"/>
                <w:color w:val="auto"/>
                <w:sz w:val="22"/>
                <w:highlight w:val="none"/>
              </w:rPr>
              <w:t>在</w:t>
            </w:r>
            <w:r>
              <w:rPr>
                <w:rFonts w:hint="eastAsia" w:ascii="宋体" w:hAnsi="宋体"/>
                <w:color w:val="auto"/>
                <w:sz w:val="22"/>
                <w:highlight w:val="none"/>
                <w:lang w:eastAsia="zh-CN"/>
              </w:rPr>
              <w:t>《中国采购与招标网》</w:t>
            </w:r>
            <w:r>
              <w:rPr>
                <w:rFonts w:hint="eastAsia" w:ascii="宋体" w:hAnsi="宋体"/>
                <w:color w:val="auto"/>
                <w:sz w:val="22"/>
                <w:highlight w:val="none"/>
              </w:rPr>
              <w:t>、《河南省政府采购网》、《三门峡市公共资源交易中心网》进行公示，公示期1个工作日。</w:t>
            </w:r>
          </w:p>
        </w:tc>
      </w:tr>
      <w:tr w14:paraId="5917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1" w:hRule="atLeast"/>
        </w:trPr>
        <w:tc>
          <w:tcPr>
            <w:tcW w:w="794" w:type="dxa"/>
            <w:tcBorders>
              <w:top w:val="single" w:color="auto" w:sz="4" w:space="0"/>
              <w:left w:val="single" w:color="auto" w:sz="4" w:space="0"/>
              <w:bottom w:val="single" w:color="auto" w:sz="4" w:space="0"/>
              <w:right w:val="single" w:color="auto" w:sz="4" w:space="0"/>
            </w:tcBorders>
            <w:vAlign w:val="center"/>
          </w:tcPr>
          <w:p w14:paraId="29F7B4C5">
            <w:pPr>
              <w:spacing w:line="360" w:lineRule="auto"/>
              <w:jc w:val="center"/>
              <w:rPr>
                <w:rFonts w:hint="default" w:ascii="宋体" w:hAnsi="宋体" w:eastAsia="宋体"/>
                <w:color w:val="auto"/>
                <w:sz w:val="22"/>
                <w:highlight w:val="none"/>
                <w:lang w:val="en-US" w:eastAsia="zh-CN"/>
              </w:rPr>
            </w:pPr>
            <w:r>
              <w:rPr>
                <w:rFonts w:hint="eastAsia" w:ascii="宋体" w:hAnsi="宋体"/>
                <w:color w:val="auto"/>
                <w:sz w:val="22"/>
                <w:highlight w:val="none"/>
                <w:lang w:val="en-US" w:eastAsia="zh-CN"/>
              </w:rPr>
              <w:t>33.4</w:t>
            </w:r>
          </w:p>
        </w:tc>
        <w:tc>
          <w:tcPr>
            <w:tcW w:w="1984" w:type="dxa"/>
            <w:tcBorders>
              <w:top w:val="single" w:color="auto" w:sz="4" w:space="0"/>
              <w:left w:val="nil"/>
              <w:bottom w:val="single" w:color="auto" w:sz="4" w:space="0"/>
              <w:right w:val="single" w:color="auto" w:sz="4" w:space="0"/>
            </w:tcBorders>
            <w:vAlign w:val="center"/>
          </w:tcPr>
          <w:p w14:paraId="01427B02">
            <w:pPr>
              <w:spacing w:line="360" w:lineRule="auto"/>
              <w:jc w:val="center"/>
              <w:rPr>
                <w:rFonts w:hint="default" w:ascii="宋体" w:hAnsi="宋体" w:eastAsia="宋体"/>
                <w:color w:val="auto"/>
                <w:sz w:val="22"/>
                <w:highlight w:val="none"/>
                <w:lang w:val="en-US" w:eastAsia="zh-CN"/>
              </w:rPr>
            </w:pPr>
            <w:r>
              <w:rPr>
                <w:rFonts w:hint="eastAsia" w:ascii="宋体" w:hAnsi="宋体"/>
                <w:color w:val="auto"/>
                <w:sz w:val="22"/>
                <w:highlight w:val="none"/>
                <w:lang w:val="en-US" w:eastAsia="zh-CN"/>
              </w:rPr>
              <w:t>招标代理服务费</w:t>
            </w:r>
          </w:p>
        </w:tc>
        <w:tc>
          <w:tcPr>
            <w:tcW w:w="6064" w:type="dxa"/>
            <w:tcBorders>
              <w:top w:val="single" w:color="auto" w:sz="4" w:space="0"/>
              <w:left w:val="nil"/>
              <w:bottom w:val="single" w:color="auto" w:sz="4" w:space="0"/>
              <w:right w:val="single" w:color="auto" w:sz="4" w:space="0"/>
            </w:tcBorders>
            <w:vAlign w:val="center"/>
          </w:tcPr>
          <w:p w14:paraId="4195C338">
            <w:pPr>
              <w:rPr>
                <w:rFonts w:hint="eastAsia" w:ascii="宋体" w:hAnsi="宋体" w:eastAsia="宋体" w:cs="宋体"/>
                <w:sz w:val="22"/>
                <w:szCs w:val="22"/>
                <w:highlight w:val="none"/>
              </w:rPr>
            </w:pPr>
            <w:r>
              <w:rPr>
                <w:rFonts w:hint="eastAsia" w:ascii="宋体" w:hAnsi="宋体" w:eastAsia="宋体" w:cs="宋体"/>
                <w:sz w:val="22"/>
                <w:szCs w:val="22"/>
                <w:highlight w:val="none"/>
              </w:rPr>
              <w:t>代理费用收取方式：现金或公户转账</w:t>
            </w:r>
          </w:p>
          <w:p w14:paraId="55D04E80">
            <w:pP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代理费用收取标准：本项目招标代理费由中标单位承担，收费标准参照豫招协【2023】002号文件所规定的收费标准收取，</w:t>
            </w:r>
            <w:r>
              <w:rPr>
                <w:rFonts w:hint="eastAsia" w:ascii="宋体" w:hAnsi="宋体" w:eastAsia="宋体" w:cs="宋体"/>
                <w:sz w:val="22"/>
                <w:szCs w:val="22"/>
                <w:highlight w:val="none"/>
                <w:lang w:eastAsia="zh-CN"/>
              </w:rPr>
              <w:t>此费由投标人综合考虑到投标报价中，不再单独列项。</w:t>
            </w:r>
          </w:p>
          <w:p w14:paraId="7804C38A">
            <w:pP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代理费计算方法:100万元X1.2%=1.2万元</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lang w:eastAsia="zh-CN"/>
              </w:rPr>
              <w:t>(中标金额-100)万元X1.0%=X万元;代理费总额=1.2+X万元。</w:t>
            </w:r>
          </w:p>
          <w:p w14:paraId="6FE508CA">
            <w:pP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收取金额：12000元-</w:t>
            </w:r>
            <w:r>
              <w:rPr>
                <w:rFonts w:hint="eastAsia" w:ascii="宋体" w:hAnsi="宋体" w:cs="宋体"/>
                <w:sz w:val="22"/>
                <w:szCs w:val="22"/>
                <w:highlight w:val="none"/>
                <w:lang w:val="en-US" w:eastAsia="zh-CN"/>
              </w:rPr>
              <w:t>39463</w:t>
            </w:r>
            <w:r>
              <w:rPr>
                <w:rFonts w:hint="eastAsia" w:ascii="宋体" w:hAnsi="宋体" w:eastAsia="宋体" w:cs="宋体"/>
                <w:sz w:val="22"/>
                <w:szCs w:val="22"/>
                <w:highlight w:val="none"/>
                <w:lang w:val="en-US" w:eastAsia="zh-CN"/>
              </w:rPr>
              <w:t>元（</w:t>
            </w:r>
            <w:r>
              <w:rPr>
                <w:rFonts w:hint="eastAsia" w:ascii="宋体" w:hAnsi="宋体" w:eastAsia="宋体" w:cs="宋体"/>
                <w:sz w:val="22"/>
                <w:szCs w:val="22"/>
                <w:highlight w:val="none"/>
              </w:rPr>
              <w:t>以中标单位的中标</w:t>
            </w:r>
            <w:r>
              <w:rPr>
                <w:rFonts w:hint="eastAsia" w:ascii="宋体" w:hAnsi="宋体" w:eastAsia="宋体" w:cs="宋体"/>
                <w:sz w:val="22"/>
                <w:szCs w:val="22"/>
                <w:highlight w:val="none"/>
                <w:lang w:val="en-US" w:eastAsia="zh-CN"/>
              </w:rPr>
              <w:t>金</w:t>
            </w:r>
            <w:r>
              <w:rPr>
                <w:rFonts w:hint="eastAsia" w:ascii="宋体" w:hAnsi="宋体" w:eastAsia="宋体" w:cs="宋体"/>
                <w:sz w:val="22"/>
                <w:szCs w:val="22"/>
                <w:highlight w:val="none"/>
              </w:rPr>
              <w:t>额为基数，</w:t>
            </w:r>
            <w:r>
              <w:rPr>
                <w:rFonts w:hint="eastAsia" w:ascii="宋体" w:hAnsi="宋体" w:eastAsia="宋体" w:cs="宋体"/>
                <w:sz w:val="22"/>
                <w:szCs w:val="22"/>
                <w:highlight w:val="none"/>
                <w:lang w:val="en-US" w:eastAsia="zh-CN"/>
              </w:rPr>
              <w:t>据实结算）</w:t>
            </w:r>
          </w:p>
          <w:p w14:paraId="3C62F7D6">
            <w:pPr>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收款</w:t>
            </w:r>
            <w:r>
              <w:rPr>
                <w:rFonts w:hint="eastAsia" w:ascii="宋体" w:hAnsi="宋体" w:eastAsia="宋体" w:cs="宋体"/>
                <w:sz w:val="22"/>
                <w:szCs w:val="22"/>
                <w:highlight w:val="none"/>
              </w:rPr>
              <w:t>单位名称:河南匠之心工程咨询有限公司</w:t>
            </w:r>
          </w:p>
          <w:p w14:paraId="39382FCA">
            <w:pPr>
              <w:rPr>
                <w:rFonts w:hint="eastAsia" w:ascii="宋体" w:hAnsi="宋体" w:eastAsia="宋体" w:cs="宋体"/>
                <w:sz w:val="22"/>
                <w:szCs w:val="22"/>
                <w:highlight w:val="none"/>
              </w:rPr>
            </w:pPr>
            <w:r>
              <w:rPr>
                <w:rFonts w:hint="eastAsia" w:ascii="宋体" w:hAnsi="宋体" w:eastAsia="宋体" w:cs="宋体"/>
                <w:sz w:val="22"/>
                <w:szCs w:val="22"/>
                <w:highlight w:val="none"/>
              </w:rPr>
              <w:t>开户行:上海浦东发展银行股份有限公司郑州东风支行</w:t>
            </w:r>
          </w:p>
          <w:p w14:paraId="62A3A681">
            <w:pPr>
              <w:spacing w:line="360" w:lineRule="auto"/>
              <w:rPr>
                <w:rFonts w:hint="eastAsia" w:ascii="宋体" w:hAnsi="宋体"/>
                <w:color w:val="auto"/>
                <w:sz w:val="22"/>
                <w:highlight w:val="none"/>
              </w:rPr>
            </w:pPr>
            <w:r>
              <w:rPr>
                <w:rFonts w:hint="eastAsia" w:ascii="宋体" w:hAnsi="宋体" w:eastAsia="宋体" w:cs="宋体"/>
                <w:sz w:val="22"/>
                <w:szCs w:val="22"/>
                <w:highlight w:val="none"/>
              </w:rPr>
              <w:t>账号:76220078801600001125</w:t>
            </w:r>
          </w:p>
        </w:tc>
      </w:tr>
      <w:tr w14:paraId="182F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794" w:type="dxa"/>
            <w:tcBorders>
              <w:top w:val="single" w:color="auto" w:sz="4" w:space="0"/>
              <w:left w:val="single" w:color="auto" w:sz="4" w:space="0"/>
              <w:bottom w:val="single" w:color="auto" w:sz="4" w:space="0"/>
              <w:right w:val="single" w:color="auto" w:sz="4" w:space="0"/>
            </w:tcBorders>
            <w:vAlign w:val="center"/>
          </w:tcPr>
          <w:p w14:paraId="384EC8ED">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3</w:t>
            </w:r>
            <w:r>
              <w:rPr>
                <w:rFonts w:hint="eastAsia" w:ascii="宋体" w:hAnsi="宋体"/>
                <w:color w:val="auto"/>
                <w:sz w:val="22"/>
                <w:highlight w:val="none"/>
              </w:rPr>
              <w:t>.</w:t>
            </w:r>
            <w:r>
              <w:rPr>
                <w:rFonts w:hint="eastAsia" w:ascii="宋体" w:hAnsi="宋体"/>
                <w:color w:val="auto"/>
                <w:sz w:val="22"/>
                <w:highlight w:val="none"/>
                <w:lang w:val="en-US" w:eastAsia="zh-CN"/>
              </w:rPr>
              <w:t>5</w:t>
            </w:r>
          </w:p>
        </w:tc>
        <w:tc>
          <w:tcPr>
            <w:tcW w:w="1984" w:type="dxa"/>
            <w:tcBorders>
              <w:top w:val="single" w:color="auto" w:sz="4" w:space="0"/>
              <w:left w:val="nil"/>
              <w:bottom w:val="single" w:color="auto" w:sz="4" w:space="0"/>
              <w:right w:val="single" w:color="auto" w:sz="4" w:space="0"/>
            </w:tcBorders>
            <w:vAlign w:val="center"/>
          </w:tcPr>
          <w:p w14:paraId="018B0903">
            <w:pPr>
              <w:spacing w:line="360" w:lineRule="auto"/>
              <w:jc w:val="center"/>
              <w:rPr>
                <w:rFonts w:ascii="宋体" w:hAnsi="宋体"/>
                <w:color w:val="auto"/>
                <w:sz w:val="22"/>
                <w:highlight w:val="none"/>
              </w:rPr>
            </w:pPr>
            <w:r>
              <w:rPr>
                <w:rFonts w:hint="eastAsia" w:ascii="宋体" w:hAnsi="宋体"/>
                <w:color w:val="auto"/>
                <w:sz w:val="22"/>
                <w:highlight w:val="none"/>
              </w:rPr>
              <w:t>履约保证金</w:t>
            </w:r>
          </w:p>
        </w:tc>
        <w:tc>
          <w:tcPr>
            <w:tcW w:w="6064" w:type="dxa"/>
            <w:tcBorders>
              <w:top w:val="single" w:color="auto" w:sz="4" w:space="0"/>
              <w:left w:val="nil"/>
              <w:bottom w:val="single" w:color="auto" w:sz="4" w:space="0"/>
              <w:right w:val="single" w:color="auto" w:sz="4" w:space="0"/>
            </w:tcBorders>
            <w:vAlign w:val="center"/>
          </w:tcPr>
          <w:p w14:paraId="5C009BED">
            <w:pPr>
              <w:spacing w:line="360" w:lineRule="auto"/>
              <w:rPr>
                <w:rFonts w:hint="eastAsia" w:ascii="宋体" w:hAnsi="宋体"/>
                <w:color w:val="auto"/>
                <w:sz w:val="22"/>
                <w:highlight w:val="none"/>
                <w:lang w:eastAsia="zh-CN"/>
              </w:rPr>
            </w:pPr>
            <w:r>
              <w:rPr>
                <w:rFonts w:hint="eastAsia" w:ascii="宋体" w:hAnsi="宋体"/>
                <w:color w:val="auto"/>
                <w:sz w:val="22"/>
                <w:highlight w:val="none"/>
              </w:rPr>
              <w:t>履约担保的形式:采用转账、现金或者银行保函</w:t>
            </w:r>
            <w:r>
              <w:rPr>
                <w:rFonts w:hint="eastAsia" w:ascii="宋体" w:hAnsi="宋体"/>
                <w:color w:val="auto"/>
                <w:sz w:val="22"/>
                <w:highlight w:val="none"/>
                <w:lang w:eastAsia="zh-CN"/>
              </w:rPr>
              <w:t>；</w:t>
            </w:r>
          </w:p>
          <w:p w14:paraId="6F5AE860">
            <w:pPr>
              <w:spacing w:line="360" w:lineRule="auto"/>
              <w:rPr>
                <w:rFonts w:ascii="宋体" w:hAnsi="宋体"/>
                <w:color w:val="auto"/>
                <w:sz w:val="22"/>
                <w:highlight w:val="none"/>
              </w:rPr>
            </w:pPr>
            <w:r>
              <w:rPr>
                <w:rFonts w:hint="eastAsia" w:ascii="宋体" w:hAnsi="宋体"/>
                <w:color w:val="auto"/>
                <w:sz w:val="22"/>
                <w:highlight w:val="none"/>
              </w:rPr>
              <w:t>履约担保的金额:中标合同总价的5%</w:t>
            </w:r>
            <w:r>
              <w:rPr>
                <w:rFonts w:hint="eastAsia" w:ascii="宋体" w:hAnsi="宋体"/>
                <w:color w:val="auto"/>
                <w:sz w:val="22"/>
                <w:highlight w:val="none"/>
                <w:lang w:eastAsia="zh-CN"/>
              </w:rPr>
              <w:t>；</w:t>
            </w:r>
            <w:r>
              <w:rPr>
                <w:rFonts w:hint="eastAsia" w:ascii="宋体" w:hAnsi="宋体"/>
                <w:color w:val="auto"/>
                <w:sz w:val="22"/>
                <w:highlight w:val="none"/>
              </w:rPr>
              <w:t>履约担保的缴纳时间:在中标公示结束后签订合同前缴纳</w:t>
            </w:r>
            <w:r>
              <w:rPr>
                <w:rFonts w:hint="eastAsia" w:ascii="宋体" w:hAnsi="宋体"/>
                <w:color w:val="auto"/>
                <w:sz w:val="22"/>
                <w:highlight w:val="none"/>
                <w:lang w:eastAsia="zh-CN"/>
              </w:rPr>
              <w:t>；</w:t>
            </w:r>
            <w:r>
              <w:rPr>
                <w:rFonts w:hint="eastAsia" w:ascii="宋体" w:hAnsi="宋体"/>
                <w:color w:val="auto"/>
                <w:sz w:val="22"/>
                <w:highlight w:val="none"/>
              </w:rPr>
              <w:t>履约担保的退还:工程完工验收合格后28日内无息退还。</w:t>
            </w:r>
          </w:p>
        </w:tc>
      </w:tr>
      <w:tr w14:paraId="6C80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4" w:type="dxa"/>
            <w:tcBorders>
              <w:top w:val="single" w:color="auto" w:sz="4" w:space="0"/>
              <w:left w:val="single" w:color="auto" w:sz="4" w:space="0"/>
              <w:bottom w:val="single" w:color="auto" w:sz="4" w:space="0"/>
              <w:right w:val="single" w:color="auto" w:sz="4" w:space="0"/>
            </w:tcBorders>
            <w:vAlign w:val="center"/>
          </w:tcPr>
          <w:p w14:paraId="38C9DA04">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3</w:t>
            </w:r>
            <w:r>
              <w:rPr>
                <w:rFonts w:hint="eastAsia" w:ascii="宋体" w:hAnsi="宋体"/>
                <w:color w:val="auto"/>
                <w:sz w:val="22"/>
                <w:highlight w:val="none"/>
              </w:rPr>
              <w:t>.</w:t>
            </w:r>
            <w:r>
              <w:rPr>
                <w:rFonts w:hint="eastAsia" w:ascii="宋体" w:hAnsi="宋体"/>
                <w:color w:val="auto"/>
                <w:sz w:val="22"/>
                <w:highlight w:val="none"/>
                <w:lang w:val="en-US" w:eastAsia="zh-CN"/>
              </w:rPr>
              <w:t>6</w:t>
            </w:r>
          </w:p>
        </w:tc>
        <w:tc>
          <w:tcPr>
            <w:tcW w:w="1984" w:type="dxa"/>
            <w:tcBorders>
              <w:top w:val="single" w:color="auto" w:sz="4" w:space="0"/>
              <w:left w:val="nil"/>
              <w:bottom w:val="single" w:color="auto" w:sz="4" w:space="0"/>
              <w:right w:val="single" w:color="auto" w:sz="4" w:space="0"/>
            </w:tcBorders>
            <w:vAlign w:val="center"/>
          </w:tcPr>
          <w:p w14:paraId="60DAC84D">
            <w:pPr>
              <w:spacing w:line="360" w:lineRule="auto"/>
              <w:jc w:val="center"/>
              <w:rPr>
                <w:rFonts w:ascii="宋体" w:hAnsi="宋体"/>
                <w:color w:val="auto"/>
                <w:sz w:val="22"/>
                <w:highlight w:val="none"/>
              </w:rPr>
            </w:pPr>
            <w:r>
              <w:rPr>
                <w:rFonts w:hint="eastAsia" w:ascii="宋体" w:hAnsi="宋体"/>
                <w:color w:val="auto"/>
                <w:sz w:val="22"/>
                <w:highlight w:val="none"/>
              </w:rPr>
              <w:t>质量保证金</w:t>
            </w:r>
          </w:p>
        </w:tc>
        <w:tc>
          <w:tcPr>
            <w:tcW w:w="6064" w:type="dxa"/>
            <w:tcBorders>
              <w:top w:val="single" w:color="auto" w:sz="4" w:space="0"/>
              <w:left w:val="nil"/>
              <w:bottom w:val="single" w:color="auto" w:sz="4" w:space="0"/>
              <w:right w:val="single" w:color="auto" w:sz="4" w:space="0"/>
            </w:tcBorders>
            <w:vAlign w:val="center"/>
          </w:tcPr>
          <w:p w14:paraId="223A1EE0">
            <w:pPr>
              <w:spacing w:line="360" w:lineRule="auto"/>
              <w:rPr>
                <w:rFonts w:ascii="宋体" w:hAnsi="宋体"/>
                <w:color w:val="auto"/>
                <w:kern w:val="0"/>
                <w:sz w:val="22"/>
                <w:szCs w:val="24"/>
                <w:highlight w:val="none"/>
                <w:shd w:val="clear" w:color="auto" w:fill="FFFFFF"/>
              </w:rPr>
            </w:pPr>
            <w:r>
              <w:rPr>
                <w:rFonts w:hint="eastAsia" w:ascii="宋体" w:hAnsi="宋体"/>
                <w:color w:val="auto"/>
                <w:spacing w:val="-1"/>
                <w:sz w:val="22"/>
                <w:szCs w:val="24"/>
                <w:highlight w:val="none"/>
                <w:u w:val="single"/>
              </w:rPr>
              <w:t>3%</w:t>
            </w:r>
            <w:r>
              <w:rPr>
                <w:rFonts w:hint="eastAsia" w:ascii="宋体" w:hAnsi="宋体"/>
                <w:color w:val="auto"/>
                <w:spacing w:val="-1"/>
                <w:sz w:val="22"/>
                <w:szCs w:val="24"/>
                <w:highlight w:val="none"/>
              </w:rPr>
              <w:t>合同价格</w:t>
            </w:r>
          </w:p>
        </w:tc>
      </w:tr>
      <w:tr w14:paraId="4814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94" w:type="dxa"/>
            <w:tcBorders>
              <w:top w:val="single" w:color="auto" w:sz="4" w:space="0"/>
              <w:left w:val="single" w:color="auto" w:sz="4" w:space="0"/>
              <w:bottom w:val="single" w:color="auto" w:sz="4" w:space="0"/>
              <w:right w:val="single" w:color="auto" w:sz="4" w:space="0"/>
            </w:tcBorders>
            <w:vAlign w:val="center"/>
          </w:tcPr>
          <w:p w14:paraId="494B2EB6">
            <w:pPr>
              <w:spacing w:line="240" w:lineRule="exact"/>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3</w:t>
            </w:r>
            <w:r>
              <w:rPr>
                <w:rFonts w:hint="eastAsia" w:ascii="宋体" w:hAnsi="宋体"/>
                <w:color w:val="auto"/>
                <w:sz w:val="22"/>
                <w:highlight w:val="none"/>
              </w:rPr>
              <w:t>.</w:t>
            </w:r>
            <w:r>
              <w:rPr>
                <w:rFonts w:hint="eastAsia" w:ascii="宋体" w:hAnsi="宋体"/>
                <w:color w:val="auto"/>
                <w:sz w:val="22"/>
                <w:highlight w:val="none"/>
                <w:lang w:val="en-US" w:eastAsia="zh-CN"/>
              </w:rPr>
              <w:t>7</w:t>
            </w:r>
          </w:p>
        </w:tc>
        <w:tc>
          <w:tcPr>
            <w:tcW w:w="1984" w:type="dxa"/>
            <w:tcBorders>
              <w:top w:val="single" w:color="auto" w:sz="4" w:space="0"/>
              <w:left w:val="nil"/>
              <w:bottom w:val="single" w:color="auto" w:sz="4" w:space="0"/>
              <w:right w:val="single" w:color="auto" w:sz="4" w:space="0"/>
            </w:tcBorders>
            <w:vAlign w:val="center"/>
          </w:tcPr>
          <w:p w14:paraId="7FF6CC86">
            <w:pPr>
              <w:spacing w:line="240" w:lineRule="exact"/>
              <w:jc w:val="center"/>
              <w:rPr>
                <w:rFonts w:ascii="宋体" w:hAnsi="宋体"/>
                <w:color w:val="auto"/>
                <w:sz w:val="22"/>
                <w:highlight w:val="none"/>
              </w:rPr>
            </w:pPr>
            <w:r>
              <w:rPr>
                <w:rFonts w:hint="eastAsia" w:ascii="宋体" w:hAnsi="宋体"/>
                <w:color w:val="auto"/>
                <w:sz w:val="22"/>
                <w:highlight w:val="none"/>
              </w:rPr>
              <w:t>农民工工资保证金</w:t>
            </w:r>
          </w:p>
        </w:tc>
        <w:tc>
          <w:tcPr>
            <w:tcW w:w="6064" w:type="dxa"/>
            <w:tcBorders>
              <w:top w:val="single" w:color="auto" w:sz="4" w:space="0"/>
              <w:left w:val="nil"/>
              <w:bottom w:val="single" w:color="auto" w:sz="4" w:space="0"/>
              <w:right w:val="single" w:color="auto" w:sz="4" w:space="0"/>
            </w:tcBorders>
            <w:vAlign w:val="center"/>
          </w:tcPr>
          <w:p w14:paraId="671CB28C">
            <w:pPr>
              <w:spacing w:line="240" w:lineRule="exact"/>
              <w:rPr>
                <w:rFonts w:ascii="宋体" w:hAnsi="宋体"/>
                <w:color w:val="auto"/>
                <w:kern w:val="0"/>
                <w:sz w:val="22"/>
                <w:szCs w:val="24"/>
                <w:highlight w:val="none"/>
                <w:shd w:val="clear" w:color="auto" w:fill="FFFFFF"/>
              </w:rPr>
            </w:pPr>
            <w:r>
              <w:rPr>
                <w:rFonts w:hint="eastAsia" w:ascii="宋体" w:hAnsi="宋体"/>
                <w:color w:val="auto"/>
                <w:kern w:val="0"/>
                <w:sz w:val="22"/>
                <w:szCs w:val="24"/>
                <w:highlight w:val="none"/>
                <w:shd w:val="clear" w:color="auto" w:fill="FFFFFF"/>
              </w:rPr>
              <w:t>执行豫人社规｛2022｝4号文件</w:t>
            </w:r>
          </w:p>
        </w:tc>
      </w:tr>
      <w:tr w14:paraId="551C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94" w:type="dxa"/>
            <w:vMerge w:val="restart"/>
            <w:tcBorders>
              <w:left w:val="single" w:color="auto" w:sz="4" w:space="0"/>
              <w:right w:val="single" w:color="auto" w:sz="4" w:space="0"/>
            </w:tcBorders>
            <w:vAlign w:val="center"/>
          </w:tcPr>
          <w:p w14:paraId="4BE31D44">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4</w:t>
            </w:r>
          </w:p>
        </w:tc>
        <w:tc>
          <w:tcPr>
            <w:tcW w:w="1984" w:type="dxa"/>
            <w:vMerge w:val="restart"/>
            <w:tcBorders>
              <w:left w:val="nil"/>
              <w:right w:val="single" w:color="auto" w:sz="4" w:space="0"/>
            </w:tcBorders>
            <w:vAlign w:val="center"/>
          </w:tcPr>
          <w:p w14:paraId="61BCF880">
            <w:pPr>
              <w:spacing w:line="360" w:lineRule="auto"/>
              <w:jc w:val="center"/>
              <w:rPr>
                <w:rFonts w:ascii="宋体" w:hAnsi="宋体"/>
                <w:color w:val="auto"/>
                <w:sz w:val="22"/>
                <w:highlight w:val="none"/>
              </w:rPr>
            </w:pPr>
            <w:r>
              <w:rPr>
                <w:rFonts w:hint="eastAsia" w:ascii="宋体" w:hAnsi="宋体"/>
                <w:color w:val="auto"/>
                <w:sz w:val="22"/>
                <w:highlight w:val="none"/>
              </w:rPr>
              <w:t>其他说明</w:t>
            </w:r>
          </w:p>
        </w:tc>
        <w:tc>
          <w:tcPr>
            <w:tcW w:w="6064" w:type="dxa"/>
            <w:tcBorders>
              <w:left w:val="single" w:color="auto" w:sz="4" w:space="0"/>
              <w:bottom w:val="single" w:color="auto" w:sz="4" w:space="0"/>
              <w:right w:val="single" w:color="auto" w:sz="4" w:space="0"/>
            </w:tcBorders>
            <w:vAlign w:val="center"/>
          </w:tcPr>
          <w:p w14:paraId="61B27657">
            <w:pPr>
              <w:spacing w:line="360" w:lineRule="auto"/>
              <w:rPr>
                <w:rFonts w:ascii="宋体" w:hAnsi="宋体"/>
                <w:color w:val="auto"/>
                <w:sz w:val="22"/>
                <w:highlight w:val="none"/>
              </w:rPr>
            </w:pPr>
            <w:r>
              <w:rPr>
                <w:rFonts w:hint="eastAsia" w:ascii="宋体" w:hAnsi="宋体"/>
                <w:color w:val="auto"/>
                <w:sz w:val="22"/>
                <w:highlight w:val="none"/>
              </w:rPr>
              <w:t>磋商</w:t>
            </w:r>
            <w:r>
              <w:rPr>
                <w:rFonts w:hint="eastAsia" w:ascii="宋体" w:hAnsi="宋体"/>
                <w:color w:val="auto"/>
                <w:sz w:val="22"/>
                <w:highlight w:val="none"/>
                <w:lang w:eastAsia="zh-CN"/>
              </w:rPr>
              <w:t>供应商</w:t>
            </w:r>
            <w:r>
              <w:rPr>
                <w:rFonts w:hint="eastAsia" w:ascii="宋体" w:hAnsi="宋体"/>
                <w:color w:val="auto"/>
                <w:sz w:val="22"/>
                <w:highlight w:val="none"/>
              </w:rPr>
              <w:t>可以通过网络登录交易平台进入项目开标大厅远程在线参加磋商会议</w:t>
            </w:r>
          </w:p>
        </w:tc>
      </w:tr>
      <w:tr w14:paraId="0D33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794" w:type="dxa"/>
            <w:vMerge w:val="restart"/>
            <w:tcBorders>
              <w:top w:val="single" w:color="auto" w:sz="4" w:space="0"/>
              <w:left w:val="single" w:color="auto" w:sz="4" w:space="0"/>
              <w:right w:val="single" w:color="auto" w:sz="4" w:space="0"/>
            </w:tcBorders>
            <w:vAlign w:val="center"/>
          </w:tcPr>
          <w:p w14:paraId="4460FD15">
            <w:pPr>
              <w:spacing w:line="360" w:lineRule="auto"/>
              <w:jc w:val="center"/>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5</w:t>
            </w:r>
          </w:p>
        </w:tc>
        <w:tc>
          <w:tcPr>
            <w:tcW w:w="1984" w:type="dxa"/>
            <w:vMerge w:val="restart"/>
            <w:tcBorders>
              <w:top w:val="single" w:color="auto" w:sz="4" w:space="0"/>
              <w:left w:val="nil"/>
              <w:right w:val="single" w:color="auto" w:sz="4" w:space="0"/>
            </w:tcBorders>
            <w:vAlign w:val="center"/>
          </w:tcPr>
          <w:p w14:paraId="579AB10E">
            <w:pPr>
              <w:spacing w:line="360" w:lineRule="auto"/>
              <w:jc w:val="center"/>
              <w:rPr>
                <w:rFonts w:ascii="宋体" w:hAnsi="宋体"/>
                <w:color w:val="auto"/>
                <w:sz w:val="22"/>
                <w:highlight w:val="none"/>
              </w:rPr>
            </w:pPr>
            <w:r>
              <w:rPr>
                <w:rFonts w:hint="eastAsia" w:ascii="宋体" w:hAnsi="宋体"/>
                <w:color w:val="auto"/>
                <w:sz w:val="22"/>
                <w:highlight w:val="none"/>
              </w:rPr>
              <w:t>竞争性磋商文件的解释</w:t>
            </w:r>
          </w:p>
        </w:tc>
        <w:tc>
          <w:tcPr>
            <w:tcW w:w="6064" w:type="dxa"/>
            <w:tcBorders>
              <w:top w:val="single" w:color="auto" w:sz="4" w:space="0"/>
              <w:left w:val="nil"/>
              <w:bottom w:val="single" w:color="auto" w:sz="4" w:space="0"/>
              <w:right w:val="single" w:color="auto" w:sz="4" w:space="0"/>
            </w:tcBorders>
            <w:vAlign w:val="center"/>
          </w:tcPr>
          <w:p w14:paraId="7BF28564">
            <w:pPr>
              <w:spacing w:line="360" w:lineRule="auto"/>
              <w:rPr>
                <w:rFonts w:ascii="宋体" w:hAnsi="宋体"/>
                <w:color w:val="auto"/>
                <w:sz w:val="22"/>
                <w:highlight w:val="none"/>
              </w:rPr>
            </w:pPr>
            <w:r>
              <w:rPr>
                <w:rFonts w:hint="eastAsia" w:ascii="宋体" w:hAnsi="宋体"/>
                <w:color w:val="auto"/>
                <w:sz w:val="22"/>
                <w:highlight w:val="none"/>
              </w:rPr>
              <w:t>构成竞争性磋商文件组成部分的“通用合同条款”、“专用合同条款”、“技术标准和要求”等章节中出现的措辞“发包人”和“承包人”，在磋商投标阶段应当分别按“磋商人”和“磋商</w:t>
            </w:r>
            <w:r>
              <w:rPr>
                <w:rFonts w:hint="eastAsia" w:ascii="宋体" w:hAnsi="宋体"/>
                <w:color w:val="auto"/>
                <w:sz w:val="22"/>
                <w:highlight w:val="none"/>
                <w:lang w:eastAsia="zh-CN"/>
              </w:rPr>
              <w:t>供应商</w:t>
            </w:r>
            <w:r>
              <w:rPr>
                <w:rFonts w:hint="eastAsia" w:ascii="宋体" w:hAnsi="宋体"/>
                <w:color w:val="auto"/>
                <w:sz w:val="22"/>
                <w:highlight w:val="none"/>
              </w:rPr>
              <w:t>”进行理解。</w:t>
            </w:r>
          </w:p>
        </w:tc>
      </w:tr>
      <w:tr w14:paraId="5963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794" w:type="dxa"/>
            <w:vMerge w:val="continue"/>
            <w:tcBorders>
              <w:left w:val="single" w:color="auto" w:sz="4" w:space="0"/>
              <w:bottom w:val="single" w:color="auto" w:sz="4" w:space="0"/>
              <w:right w:val="single" w:color="auto" w:sz="4" w:space="0"/>
            </w:tcBorders>
            <w:vAlign w:val="center"/>
          </w:tcPr>
          <w:p w14:paraId="39575D71">
            <w:pPr>
              <w:spacing w:line="360" w:lineRule="auto"/>
              <w:rPr>
                <w:rFonts w:ascii="宋体" w:hAnsi="宋体"/>
                <w:color w:val="auto"/>
                <w:sz w:val="22"/>
                <w:highlight w:val="none"/>
              </w:rPr>
            </w:pPr>
          </w:p>
        </w:tc>
        <w:tc>
          <w:tcPr>
            <w:tcW w:w="1984" w:type="dxa"/>
            <w:vMerge w:val="continue"/>
            <w:tcBorders>
              <w:left w:val="nil"/>
              <w:bottom w:val="single" w:color="auto" w:sz="4" w:space="0"/>
              <w:right w:val="single" w:color="auto" w:sz="4" w:space="0"/>
            </w:tcBorders>
            <w:vAlign w:val="center"/>
          </w:tcPr>
          <w:p w14:paraId="3A74700C">
            <w:pPr>
              <w:spacing w:line="360" w:lineRule="auto"/>
              <w:rPr>
                <w:rFonts w:ascii="宋体" w:hAnsi="宋体"/>
                <w:color w:val="auto"/>
                <w:sz w:val="22"/>
                <w:highlight w:val="none"/>
              </w:rPr>
            </w:pPr>
          </w:p>
        </w:tc>
        <w:tc>
          <w:tcPr>
            <w:tcW w:w="6064" w:type="dxa"/>
            <w:tcBorders>
              <w:top w:val="single" w:color="auto" w:sz="4" w:space="0"/>
              <w:left w:val="nil"/>
              <w:bottom w:val="single" w:color="auto" w:sz="4" w:space="0"/>
              <w:right w:val="single" w:color="auto" w:sz="4" w:space="0"/>
            </w:tcBorders>
            <w:vAlign w:val="center"/>
          </w:tcPr>
          <w:p w14:paraId="44CEF771">
            <w:pPr>
              <w:spacing w:line="360" w:lineRule="auto"/>
              <w:rPr>
                <w:rFonts w:ascii="宋体" w:hAnsi="宋体"/>
                <w:color w:val="auto"/>
                <w:sz w:val="22"/>
                <w:highlight w:val="none"/>
              </w:rPr>
            </w:pPr>
            <w:r>
              <w:rPr>
                <w:rFonts w:hint="eastAsia" w:ascii="宋体" w:hAnsi="宋体"/>
                <w:color w:val="auto"/>
                <w:sz w:val="22"/>
                <w:highlight w:val="none"/>
              </w:rPr>
              <w:t>在符合相关法律法规的前题下，竞争性磋商文件的解释权归招标人所有。本竞争性磋商文件中其他部分内容与磋商</w:t>
            </w:r>
            <w:r>
              <w:rPr>
                <w:rFonts w:hint="eastAsia" w:ascii="宋体" w:hAnsi="宋体"/>
                <w:color w:val="auto"/>
                <w:sz w:val="22"/>
                <w:highlight w:val="none"/>
                <w:lang w:eastAsia="zh-CN"/>
              </w:rPr>
              <w:t>供应商</w:t>
            </w:r>
            <w:r>
              <w:rPr>
                <w:rFonts w:hint="eastAsia" w:ascii="宋体" w:hAnsi="宋体"/>
                <w:color w:val="auto"/>
                <w:sz w:val="22"/>
                <w:highlight w:val="none"/>
              </w:rPr>
              <w:t>须知前附表不一致的，以磋商</w:t>
            </w:r>
            <w:r>
              <w:rPr>
                <w:rFonts w:hint="eastAsia" w:ascii="宋体" w:hAnsi="宋体"/>
                <w:color w:val="auto"/>
                <w:sz w:val="22"/>
                <w:highlight w:val="none"/>
                <w:lang w:eastAsia="zh-CN"/>
              </w:rPr>
              <w:t>供应商</w:t>
            </w:r>
            <w:r>
              <w:rPr>
                <w:rFonts w:hint="eastAsia" w:ascii="宋体" w:hAnsi="宋体"/>
                <w:color w:val="auto"/>
                <w:sz w:val="22"/>
                <w:highlight w:val="none"/>
              </w:rPr>
              <w:t>须知前附表为准。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磋商投标阶段的规定，按竞争性磋商公告、磋商</w:t>
            </w:r>
            <w:r>
              <w:rPr>
                <w:rFonts w:hint="eastAsia" w:ascii="宋体" w:hAnsi="宋体"/>
                <w:color w:val="auto"/>
                <w:sz w:val="22"/>
                <w:highlight w:val="none"/>
                <w:lang w:eastAsia="zh-CN"/>
              </w:rPr>
              <w:t>供应商</w:t>
            </w:r>
            <w:r>
              <w:rPr>
                <w:rFonts w:hint="eastAsia" w:ascii="宋体" w:hAnsi="宋体"/>
                <w:color w:val="auto"/>
                <w:sz w:val="22"/>
                <w:highlight w:val="none"/>
              </w:rPr>
              <w:t>须知、</w:t>
            </w:r>
          </w:p>
          <w:p w14:paraId="441D9573">
            <w:pPr>
              <w:spacing w:line="360" w:lineRule="auto"/>
              <w:rPr>
                <w:rFonts w:ascii="宋体" w:hAnsi="宋体"/>
                <w:color w:val="auto"/>
                <w:sz w:val="22"/>
                <w:highlight w:val="none"/>
              </w:rPr>
            </w:pPr>
            <w:r>
              <w:rPr>
                <w:rFonts w:hint="eastAsia" w:ascii="宋体" w:hAnsi="宋体"/>
                <w:color w:val="auto"/>
                <w:sz w:val="22"/>
                <w:highlight w:val="none"/>
              </w:rPr>
              <w:t>评标办法、磋商响应文件格式的先后顺序解释；同一组成文件中就同一事项的规定或约定不一致的，以编排顺序在后者为准；同一组成文件不同版本之间有不一致的，以形成时间在后者为准。</w:t>
            </w:r>
          </w:p>
        </w:tc>
      </w:tr>
      <w:tr w14:paraId="6E81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794" w:type="dxa"/>
            <w:tcBorders>
              <w:top w:val="single" w:color="auto" w:sz="4" w:space="0"/>
              <w:left w:val="single" w:color="auto" w:sz="4" w:space="0"/>
              <w:bottom w:val="single" w:color="auto" w:sz="4" w:space="0"/>
              <w:right w:val="single" w:color="000000" w:sz="4" w:space="0"/>
            </w:tcBorders>
            <w:vAlign w:val="center"/>
          </w:tcPr>
          <w:p w14:paraId="148998CE">
            <w:pPr>
              <w:spacing w:line="360" w:lineRule="auto"/>
              <w:rPr>
                <w:rFonts w:hint="eastAsia" w:ascii="宋体" w:hAnsi="宋体" w:eastAsia="宋体"/>
                <w:color w:val="auto"/>
                <w:sz w:val="22"/>
                <w:highlight w:val="none"/>
                <w:lang w:val="en-US" w:eastAsia="zh-CN"/>
              </w:rPr>
            </w:pPr>
            <w:r>
              <w:rPr>
                <w:rFonts w:hint="eastAsia" w:ascii="宋体" w:hAnsi="宋体"/>
                <w:color w:val="auto"/>
                <w:sz w:val="22"/>
                <w:highlight w:val="none"/>
              </w:rPr>
              <w:t>3</w:t>
            </w:r>
            <w:r>
              <w:rPr>
                <w:rFonts w:hint="eastAsia" w:ascii="宋体" w:hAnsi="宋体"/>
                <w:color w:val="auto"/>
                <w:sz w:val="22"/>
                <w:highlight w:val="none"/>
                <w:lang w:val="en-US" w:eastAsia="zh-CN"/>
              </w:rPr>
              <w:t>6</w:t>
            </w:r>
          </w:p>
        </w:tc>
        <w:tc>
          <w:tcPr>
            <w:tcW w:w="8048" w:type="dxa"/>
            <w:gridSpan w:val="2"/>
            <w:tcBorders>
              <w:top w:val="single" w:color="auto" w:sz="4" w:space="0"/>
              <w:left w:val="nil"/>
              <w:bottom w:val="single" w:color="auto" w:sz="4" w:space="0"/>
              <w:right w:val="single" w:color="000000" w:sz="4" w:space="0"/>
            </w:tcBorders>
            <w:vAlign w:val="center"/>
          </w:tcPr>
          <w:p w14:paraId="581932A2">
            <w:pPr>
              <w:spacing w:line="360" w:lineRule="auto"/>
              <w:rPr>
                <w:rFonts w:ascii="宋体" w:hAnsi="宋体"/>
                <w:color w:val="auto"/>
                <w:sz w:val="22"/>
                <w:highlight w:val="none"/>
              </w:rPr>
            </w:pPr>
            <w:r>
              <w:rPr>
                <w:rFonts w:hint="eastAsia" w:ascii="宋体" w:hAnsi="宋体"/>
                <w:color w:val="auto"/>
                <w:sz w:val="22"/>
                <w:highlight w:val="none"/>
              </w:rPr>
              <w:t>电子化交易注意事项</w:t>
            </w:r>
          </w:p>
        </w:tc>
      </w:tr>
      <w:tr w14:paraId="23A1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94" w:type="dxa"/>
            <w:tcBorders>
              <w:top w:val="single" w:color="auto" w:sz="4" w:space="0"/>
              <w:left w:val="single" w:color="auto" w:sz="4" w:space="0"/>
              <w:bottom w:val="single" w:color="auto" w:sz="4" w:space="0"/>
              <w:right w:val="single" w:color="000000" w:sz="4" w:space="0"/>
            </w:tcBorders>
            <w:vAlign w:val="center"/>
          </w:tcPr>
          <w:p w14:paraId="2F755F3A">
            <w:pPr>
              <w:spacing w:line="360" w:lineRule="auto"/>
              <w:rPr>
                <w:rFonts w:ascii="宋体" w:hAnsi="宋体"/>
                <w:color w:val="auto"/>
                <w:sz w:val="22"/>
                <w:highlight w:val="none"/>
              </w:rPr>
            </w:pPr>
          </w:p>
        </w:tc>
        <w:tc>
          <w:tcPr>
            <w:tcW w:w="8048" w:type="dxa"/>
            <w:gridSpan w:val="2"/>
            <w:tcBorders>
              <w:top w:val="single" w:color="auto" w:sz="4" w:space="0"/>
              <w:left w:val="nil"/>
              <w:bottom w:val="single" w:color="auto" w:sz="4" w:space="0"/>
              <w:right w:val="single" w:color="000000" w:sz="4" w:space="0"/>
            </w:tcBorders>
            <w:vAlign w:val="center"/>
          </w:tcPr>
          <w:p w14:paraId="75015DB0">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本项目为电子化交易项目，投标文件是投标人、投标人（以下简称“投标人”）通过中心投标文件制作系统制作，并经过电子签章和加密后生成的电子版投标文件。投标人投标时，不须提交纸质文件资料。电子化投标文件具体制作教材请投标人通过CA证书登录三门峡市公共资源电子化交易系统在 “交易智库”中下载操作流程</w:t>
            </w:r>
          </w:p>
          <w:p w14:paraId="31AC69EB">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温馨提示：本项目为电子化、无纸化交易项目，投标人时不接受任何纸质资料，为保证您能投标成功，请需仔细阅读以下条款。</w:t>
            </w:r>
          </w:p>
          <w:p w14:paraId="5FBE1170">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一、电子化投标</w:t>
            </w:r>
          </w:p>
          <w:p w14:paraId="348D2D07">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（一）电子化投标文件的签章</w:t>
            </w:r>
          </w:p>
          <w:p w14:paraId="34E09BDD">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1、投标人在生成电子化投标文件后，</w:t>
            </w:r>
            <w:r>
              <w:rPr>
                <w:rFonts w:hint="eastAsia" w:ascii="宋体" w:hAnsi="宋体" w:eastAsia="宋体" w:cs="宋体"/>
                <w:color w:val="auto"/>
                <w:kern w:val="2"/>
                <w:sz w:val="21"/>
                <w:szCs w:val="21"/>
                <w:highlight w:val="none"/>
                <w:lang w:eastAsia="zh-CN"/>
              </w:rPr>
              <w:t>按投标文件格式，</w:t>
            </w:r>
            <w:r>
              <w:rPr>
                <w:rFonts w:hint="eastAsia" w:ascii="宋体" w:hAnsi="宋体" w:eastAsia="宋体" w:cs="宋体"/>
                <w:color w:val="auto"/>
                <w:kern w:val="2"/>
                <w:sz w:val="21"/>
                <w:szCs w:val="21"/>
                <w:highlight w:val="none"/>
              </w:rPr>
              <w:t>对电子化投标文件进行签章。</w:t>
            </w:r>
          </w:p>
          <w:p w14:paraId="546677C5">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2、招标文件中要求法定代表人或授权委托人签字或盖章的，投标人在进行电子化投标文件签章时，以签盖法定代表人签章为准。</w:t>
            </w:r>
          </w:p>
          <w:p w14:paraId="349DE7F9">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（二）电子化投标文件的格式及上传投标</w:t>
            </w:r>
          </w:p>
          <w:p w14:paraId="7E33FCD9">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1、投标人所上传的电子化投标文件，应是通过中心投标文件制作系统制作的（投标文件制作工具下载地址：</w:t>
            </w:r>
            <w:r>
              <w:rPr>
                <w:rFonts w:hint="eastAsia" w:ascii="宋体" w:hAnsi="宋体" w:cs="宋体"/>
                <w:color w:val="auto"/>
                <w:sz w:val="21"/>
                <w:szCs w:val="21"/>
                <w:highlight w:val="none"/>
              </w:rPr>
              <w:t>https://download.bqpoint.com/download/downloaddetail.html?SourceFrom=Ztb&amp;ZtbSoftXiaQuCode=1506&amp;ZtbSoftType=tballinclusive</w:t>
            </w:r>
            <w:r>
              <w:rPr>
                <w:rFonts w:hint="eastAsia" w:ascii="宋体" w:hAnsi="宋体" w:eastAsia="宋体" w:cs="宋体"/>
                <w:color w:val="auto"/>
                <w:kern w:val="2"/>
                <w:sz w:val="21"/>
                <w:szCs w:val="21"/>
                <w:highlight w:val="none"/>
              </w:rPr>
              <w:t>），经过签章和加密后生成的电子版投标文件。其中包含用于投标文件上传的主文件（后缀为.smxtf）和用于应急补救的投标文件备份文件（后缀为.nsmxtf）。备份文件主要用于电子化开标出现技术问题后的补救，请投标人随身携带。</w:t>
            </w:r>
          </w:p>
          <w:p w14:paraId="49A06853">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2、电子化投标文件应在投标截止时间前成功上传至三门峡市公共资源电子化交易系统。至投标截止时间止，仍未上传成功的电子化投标文件将不予接收。</w:t>
            </w:r>
          </w:p>
          <w:p w14:paraId="4B606C7F">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786DE8FE">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技术联系电话：4009980000</w:t>
            </w:r>
          </w:p>
          <w:p w14:paraId="30730E4F">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（三）电子化项目开标、解密、唱标、评标</w:t>
            </w:r>
          </w:p>
          <w:p w14:paraId="2E567E46">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1、本项目采用电子化、无纸化进行招标，开标当日，投标人无需到开标现场参加开标会议，投标人应当在投标截止时间前，登陆不见面开标大厅选择登陆三门峡市公共资源电子招投标系统进行登陆（网址为</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"http://120.194.249.36:10094/BidOpening/bidopeninghallaction/hall/login）,在线准时参加开标活动并进行投标文件解密等。每位投标人的解密时间为开标时间起30分钟内完成。"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2"/>
                <w:sz w:val="21"/>
                <w:szCs w:val="21"/>
                <w:highlight w:val="none"/>
              </w:rPr>
              <w:t>http://120.194.249.36:10094/BidOpening/bidopeninghallaction/hall/login</w:t>
            </w:r>
            <w:r>
              <w:rPr>
                <w:rFonts w:hint="eastAsia" w:ascii="宋体" w:hAnsi="宋体" w:eastAsia="宋体" w:cs="宋体"/>
                <w:color w:val="auto"/>
                <w:kern w:val="2"/>
                <w:sz w:val="21"/>
                <w:szCs w:val="21"/>
                <w:highlight w:val="none"/>
              </w:rPr>
              <w:fldChar w:fldCharType="end"/>
            </w:r>
            <w:r>
              <w:rPr>
                <w:rFonts w:hint="eastAsia" w:ascii="宋体" w:hAnsi="宋体" w:eastAsia="宋体" w:cs="宋体"/>
                <w:color w:val="auto"/>
                <w:kern w:val="2"/>
                <w:sz w:val="21"/>
                <w:szCs w:val="21"/>
                <w:highlight w:val="none"/>
              </w:rPr>
              <w:t>）,在线准时参加开标活动并进行投标文件解密等。</w:t>
            </w:r>
          </w:p>
          <w:p w14:paraId="50F27A02">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2、电子化投标文件采用一次加密方式。开标时，由投标人使用CA 证书，在规定时间内对其电子化投标文件进行解密。每位投标人的解密时间为开标时间起30 分钟内，如在规定时间内未完成解密的，其投标文件不予开标、唱标。</w:t>
            </w:r>
          </w:p>
          <w:p w14:paraId="48C246F3">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3、电子化投标文件解密异常的处理</w:t>
            </w:r>
          </w:p>
          <w:p w14:paraId="7CBAFE82">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如出现投标人的电子投标文件无法解密等异常情况，投标人应及时致电中介服务机构说明。投标文件异常，按以下步骤进行处理：</w:t>
            </w:r>
          </w:p>
          <w:p w14:paraId="2DAA559C">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（1）首先由技术人员进行问题排查。</w:t>
            </w:r>
          </w:p>
          <w:p w14:paraId="392378BB">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（2）经技术人员排查后，是投标人文件自身问题导致投标文件无法解密的，该投标文件将不予接收、解密和唱标。开标会议继续进行。</w:t>
            </w:r>
          </w:p>
          <w:p w14:paraId="5EB6157A">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FB5D5B6">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4、待所有投标人投标文件解密完成后，由中介服务机构操作，对所有已解密投标文件进行唱标。</w:t>
            </w:r>
          </w:p>
          <w:p w14:paraId="2C420065">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投标人应保证在开标期间电话、电脑、网络能够正常工作，投标人因停电、电脑病毒、网络堵塞等原因，未在规定的解密时间内对投标文件进行解密的，其投标文件不予接收、唱标。</w:t>
            </w:r>
          </w:p>
          <w:p w14:paraId="66B4279F">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开标时投标人可登录到交易系统中在开标解密栏中点击报价一览表查看自己的投标报价。如对自己的唱标内容有异议的，应在投标人解密成功后10分钟内向中介服务机构电话质疑。中介服务机构应在监督人员的监督下进行免提通话接受投标人的质疑并做好书面记录。投标人未在规定时间内提出质疑的，视为认可唱标内容。</w:t>
            </w:r>
          </w:p>
          <w:p w14:paraId="3217E983">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评标时，评标委员会对电子化投标文件有质疑的，将通过电子化交易系统对投标人发起质疑，并在监督人员的监督下，用免提模式致电需要答复的投标人对质疑进行回复。投标人的回复文件必须以经过投标人和其法定代表人签章的PDF格式文件为准，并通过电子化交易系统提交至评标委员会。</w:t>
            </w:r>
          </w:p>
          <w:p w14:paraId="4D4C2A54">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7、如评标委员会对需要回复的投标人连续三次致电未接通的，视为投标人放弃回复，评标委员会将自行对需要回复的内容进行认定。</w:t>
            </w:r>
          </w:p>
          <w:p w14:paraId="520C7559">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二、相关证书的提交</w:t>
            </w:r>
          </w:p>
          <w:p w14:paraId="2C4DCB15">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rPr>
              <w:t>本项目实行资格后审，投标文件中要求投标人提交资质、业绩、荣誉及单位人员等相关资料原件的，投标人需将原件扫描件制作到电子投标文件中</w:t>
            </w:r>
            <w:r>
              <w:rPr>
                <w:rFonts w:hint="eastAsia" w:ascii="宋体" w:hAnsi="宋体" w:eastAsia="宋体" w:cs="宋体"/>
                <w:color w:val="auto"/>
                <w:kern w:val="2"/>
                <w:sz w:val="21"/>
                <w:szCs w:val="21"/>
                <w:highlight w:val="none"/>
                <w:lang w:eastAsia="zh-CN"/>
              </w:rPr>
              <w:t>。</w:t>
            </w:r>
          </w:p>
          <w:p w14:paraId="172D437B">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2、根据优化营商环境的要求，评标时以投标文件为准：</w:t>
            </w:r>
          </w:p>
          <w:p w14:paraId="3B8BD8C0">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（1）资格评（预）审部分：资格评（预）以投标文件为准，其上传资料真实性由投标人自行承担，投标人要完善主体库信息。</w:t>
            </w:r>
          </w:p>
          <w:p w14:paraId="0932DF57">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（2）评标打分部分：评标打分部分仍按照100分制原则进行，涉及到资格审查、企业荣誉、人员业绩、企业业绩等计分部分时，以投标单位自行上传到投标文件中的相应内容为准。</w:t>
            </w:r>
          </w:p>
          <w:p w14:paraId="26A1778B">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7A141146">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3、投标人递交的资料和投标文件不论中标与否均不予退还。</w:t>
            </w:r>
          </w:p>
          <w:p w14:paraId="13F297A6">
            <w:pPr>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4、本项目评分业绩以投标文件业绩信息为准，可使用电子营业执照。</w:t>
            </w:r>
          </w:p>
          <w:p w14:paraId="075F8193">
            <w:pPr>
              <w:keepNext w:val="0"/>
              <w:keepLines w:val="0"/>
              <w:pageBreakBefore w:val="0"/>
              <w:widowControl w:val="0"/>
              <w:kinsoku/>
              <w:wordWrap/>
              <w:overflowPunct/>
              <w:topLinePunct w:val="0"/>
              <w:autoSpaceDE/>
              <w:autoSpaceDN/>
              <w:bidi w:val="0"/>
              <w:adjustRightInd/>
              <w:snapToGrid/>
              <w:spacing w:line="500" w:lineRule="exact"/>
              <w:ind w:firstLine="191" w:firstLineChars="91"/>
              <w:textAlignment w:val="auto"/>
              <w:rPr>
                <w:rFonts w:ascii="宋体" w:hAnsi="宋体"/>
                <w:color w:val="auto"/>
                <w:sz w:val="22"/>
                <w:highlight w:val="none"/>
              </w:rPr>
            </w:pPr>
            <w:r>
              <w:rPr>
                <w:rFonts w:hint="eastAsia" w:ascii="宋体" w:hAnsi="宋体" w:eastAsia="宋体" w:cs="宋体"/>
                <w:color w:val="auto"/>
                <w:kern w:val="2"/>
                <w:sz w:val="21"/>
                <w:szCs w:val="21"/>
                <w:highlight w:val="none"/>
              </w:rPr>
              <w:t>提示：本项目为电子化、无纸化交易项目，投标时不再接受任何纸质资料，为保证您能投标成功，请需仔细阅读以上条款。</w:t>
            </w:r>
          </w:p>
        </w:tc>
      </w:tr>
    </w:tbl>
    <w:p w14:paraId="1D2EA579">
      <w:pPr>
        <w:pStyle w:val="3"/>
        <w:keepLines w:val="0"/>
        <w:widowControl/>
        <w:spacing w:line="520" w:lineRule="exact"/>
        <w:rPr>
          <w:rFonts w:ascii="宋体" w:hAnsi="宋体"/>
          <w:color w:val="auto"/>
          <w:kern w:val="2"/>
          <w:szCs w:val="24"/>
          <w:highlight w:val="none"/>
        </w:rPr>
      </w:pPr>
      <w:bookmarkStart w:id="11" w:name="_Toc215724725"/>
      <w:bookmarkEnd w:id="11"/>
      <w:bookmarkStart w:id="12" w:name="_Toc13929"/>
      <w:bookmarkEnd w:id="12"/>
      <w:bookmarkStart w:id="13" w:name="_Toc25053"/>
      <w:bookmarkEnd w:id="13"/>
      <w:bookmarkStart w:id="14" w:name="_Toc17699"/>
      <w:bookmarkEnd w:id="14"/>
      <w:r>
        <w:rPr>
          <w:rFonts w:hint="eastAsia" w:ascii="宋体" w:hAnsi="宋体"/>
          <w:color w:val="auto"/>
          <w:highlight w:val="none"/>
        </w:rPr>
        <w:t>1 ．总则</w:t>
      </w:r>
    </w:p>
    <w:p w14:paraId="73824B4A">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1.1 项目概况</w:t>
      </w:r>
    </w:p>
    <w:p w14:paraId="6D1835D1">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1.1.1 根据《中华人民共和国招标投标法》 《中华人民共和国招标投标法实施条例》《中华人民共和国政府采购法》等有关法律、法规和规章的规定，本招标项目已具备招标条件，现对本项目进行磋商。</w:t>
      </w:r>
    </w:p>
    <w:p w14:paraId="7505DE5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1.1.2 本项目招标人：见磋商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1E45211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1.1.3 本项目采购代理机构：见磋商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2F1FFACD">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1.1.4 本项目名称：见磋商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462172C8">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1.1.5 本项目建设地点：见磋商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32CC4C77">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1.2 资金来源和落实情况</w:t>
      </w:r>
    </w:p>
    <w:p w14:paraId="6EC816E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1.2.1 本招标项目的资金来源：见磋商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6AAF0B01">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1.2.2 本招标项目的资金落实情况：见磋商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26DF7A6B">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1.3 招标范围、计划工期、质量要求</w:t>
      </w:r>
    </w:p>
    <w:p w14:paraId="3AA9A4C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1.3.1 本次招标范围：见磋商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54817229">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1.3.2 本项目的计划工期：见磋商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59FA6BC5">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1.3.3 本项目的质量要求：见磋商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34BC3A31">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1.4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资格要求</w:t>
      </w:r>
    </w:p>
    <w:p w14:paraId="482A6ED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1.4.1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应具备承担本项目施工的资质条件、能力和信誉。</w:t>
      </w:r>
    </w:p>
    <w:p w14:paraId="13C51375">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(l）资质条件：见磋商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7D4695ED">
      <w:pPr>
        <w:spacing w:line="520" w:lineRule="exact"/>
        <w:ind w:firstLine="218" w:firstLineChars="91"/>
        <w:rPr>
          <w:rFonts w:ascii="宋体" w:hAnsi="宋体"/>
          <w:color w:val="auto"/>
          <w:sz w:val="24"/>
          <w:szCs w:val="24"/>
          <w:highlight w:val="none"/>
        </w:rPr>
      </w:pPr>
      <w:r>
        <w:rPr>
          <w:rFonts w:hint="eastAsia" w:ascii="宋体" w:hAnsi="宋体"/>
          <w:color w:val="auto"/>
          <w:sz w:val="24"/>
          <w:szCs w:val="24"/>
          <w:highlight w:val="none"/>
        </w:rPr>
        <w:t xml:space="preserve">  (2）信誉要求：见磋商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3F2987E9">
      <w:pPr>
        <w:spacing w:line="520" w:lineRule="exact"/>
        <w:ind w:firstLine="458" w:firstLineChars="191"/>
        <w:rPr>
          <w:rFonts w:ascii="宋体" w:hAnsi="宋体"/>
          <w:color w:val="auto"/>
          <w:sz w:val="24"/>
          <w:szCs w:val="24"/>
          <w:highlight w:val="none"/>
        </w:rPr>
      </w:pPr>
      <w:r>
        <w:rPr>
          <w:rFonts w:hint="eastAsia" w:ascii="宋体" w:hAnsi="宋体"/>
          <w:color w:val="auto"/>
          <w:sz w:val="24"/>
          <w:szCs w:val="24"/>
          <w:highlight w:val="none"/>
        </w:rPr>
        <w:t>(3）拟派项目</w:t>
      </w:r>
      <w:r>
        <w:rPr>
          <w:rFonts w:hint="eastAsia" w:ascii="宋体" w:hAnsi="宋体"/>
          <w:color w:val="auto"/>
          <w:sz w:val="24"/>
          <w:szCs w:val="24"/>
          <w:highlight w:val="none"/>
          <w:lang w:val="en-US" w:eastAsia="zh-CN"/>
        </w:rPr>
        <w:t>经理</w:t>
      </w:r>
      <w:r>
        <w:rPr>
          <w:rFonts w:hint="eastAsia" w:ascii="宋体" w:hAnsi="宋体"/>
          <w:color w:val="auto"/>
          <w:sz w:val="24"/>
          <w:szCs w:val="24"/>
          <w:highlight w:val="none"/>
        </w:rPr>
        <w:t>资格：见磋商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62CEBB77">
      <w:pPr>
        <w:spacing w:line="520" w:lineRule="exact"/>
        <w:ind w:firstLine="458" w:firstLineChars="191"/>
        <w:rPr>
          <w:rFonts w:ascii="宋体" w:hAnsi="宋体"/>
          <w:color w:val="auto"/>
          <w:sz w:val="24"/>
          <w:szCs w:val="24"/>
          <w:highlight w:val="none"/>
        </w:rPr>
      </w:pPr>
      <w:r>
        <w:rPr>
          <w:rFonts w:hint="eastAsia" w:ascii="宋体" w:hAnsi="宋体"/>
          <w:color w:val="auto"/>
          <w:sz w:val="24"/>
          <w:szCs w:val="24"/>
          <w:highlight w:val="none"/>
        </w:rPr>
        <w:t>(4）其他要求：见磋商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5E0C839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1.4.2 本项目不接受联合体磋商。</w:t>
      </w:r>
    </w:p>
    <w:p w14:paraId="42509F4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1.4.3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不得存在下列情形之一：</w:t>
      </w:r>
    </w:p>
    <w:p w14:paraId="7CCBD5DD">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(l）为招标人不具有独立法人资格的附属机构（单位）；</w:t>
      </w:r>
    </w:p>
    <w:p w14:paraId="21B71A9F">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(2）为本项目前期准备提供设计或咨询服务的，但设计施工总承包的除外；</w:t>
      </w:r>
    </w:p>
    <w:p w14:paraId="7E76F5B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(3）为本项目的监理人；</w:t>
      </w:r>
    </w:p>
    <w:p w14:paraId="5F427C1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(4）为本项目的代建人；</w:t>
      </w:r>
    </w:p>
    <w:p w14:paraId="01A226A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(5）为本项目提供招标代理服务的；</w:t>
      </w:r>
    </w:p>
    <w:p w14:paraId="417807D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(6）与本项目的监理人或代建人或采购代理机构同为一个法定代表人的；</w:t>
      </w:r>
    </w:p>
    <w:p w14:paraId="574A676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(7）与本项目的监理人或代建人或采购代理机构相互控股或参股的；</w:t>
      </w:r>
    </w:p>
    <w:p w14:paraId="22DA50B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(8）与本项目的监理人或代建人或采购代理机构相互任职或工作的；</w:t>
      </w:r>
    </w:p>
    <w:p w14:paraId="3A9E25F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(9）被责令停业的；</w:t>
      </w:r>
    </w:p>
    <w:p w14:paraId="05B5C54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(10）被暂停或取消磋商资格的；</w:t>
      </w:r>
    </w:p>
    <w:p w14:paraId="19241F7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(11）财产被接管或冻结的；</w:t>
      </w:r>
    </w:p>
    <w:p w14:paraId="28C7EC0F">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(12）在最近三年内有骗取成交或严重违约或重大工程质量问题的。</w:t>
      </w:r>
    </w:p>
    <w:p w14:paraId="7431EDBD">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1.5 费用承担</w:t>
      </w:r>
    </w:p>
    <w:p w14:paraId="5B98A7D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准备和参加磋商活动发生的费用自理。</w:t>
      </w:r>
    </w:p>
    <w:p w14:paraId="48A33BC5">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1.6 保密</w:t>
      </w:r>
    </w:p>
    <w:p w14:paraId="335F629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参与招标磋商活动的各方应对竞争性磋商文件和磋商响应文件中的商业和技术等秘密保密，违者应对由此造成的后果承担法律责任。</w:t>
      </w:r>
    </w:p>
    <w:p w14:paraId="2C11E29E">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1.7 语言文字</w:t>
      </w:r>
    </w:p>
    <w:p w14:paraId="1C31675F">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除专用术语外，与招标磋商有关的语言均使用中文。必要时专用术语应附有中文注释。</w:t>
      </w:r>
    </w:p>
    <w:p w14:paraId="38D7A6C0">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1.8 计量单位</w:t>
      </w:r>
    </w:p>
    <w:p w14:paraId="0D53555A">
      <w:pPr>
        <w:pStyle w:val="4"/>
        <w:keepLines w:val="0"/>
        <w:widowControl/>
        <w:spacing w:line="520" w:lineRule="exact"/>
        <w:ind w:firstLine="480" w:firstLineChars="200"/>
        <w:rPr>
          <w:rFonts w:ascii="宋体" w:hAnsi="宋体"/>
          <w:b w:val="0"/>
          <w:bCs w:val="0"/>
          <w:color w:val="auto"/>
          <w:kern w:val="2"/>
          <w:sz w:val="24"/>
          <w:szCs w:val="24"/>
          <w:highlight w:val="none"/>
        </w:rPr>
      </w:pPr>
      <w:r>
        <w:rPr>
          <w:rFonts w:hint="eastAsia" w:ascii="宋体" w:hAnsi="宋体"/>
          <w:b w:val="0"/>
          <w:bCs w:val="0"/>
          <w:color w:val="auto"/>
          <w:kern w:val="2"/>
          <w:sz w:val="24"/>
          <w:szCs w:val="24"/>
          <w:highlight w:val="none"/>
        </w:rPr>
        <w:t>所有计量均采用中华人民共和国法定计量单位。</w:t>
      </w:r>
    </w:p>
    <w:p w14:paraId="28822690">
      <w:pPr>
        <w:spacing w:line="520" w:lineRule="exact"/>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1.9 踏勘现场</w:t>
      </w:r>
    </w:p>
    <w:p w14:paraId="5201AD4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不组织。</w:t>
      </w:r>
    </w:p>
    <w:p w14:paraId="6B0460F6">
      <w:pPr>
        <w:spacing w:line="520" w:lineRule="exact"/>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1.10 磋商预备会</w:t>
      </w:r>
    </w:p>
    <w:p w14:paraId="34EBF0F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不召开。</w:t>
      </w:r>
    </w:p>
    <w:p w14:paraId="645E5708">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1.11 分包</w:t>
      </w:r>
    </w:p>
    <w:p w14:paraId="51D46140">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不允许分包。</w:t>
      </w:r>
    </w:p>
    <w:p w14:paraId="2089D0D8">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1.12 偏离</w:t>
      </w:r>
    </w:p>
    <w:p w14:paraId="3896478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不允许偏离。</w:t>
      </w:r>
    </w:p>
    <w:p w14:paraId="25B1D87A">
      <w:pPr>
        <w:pStyle w:val="3"/>
        <w:keepLines w:val="0"/>
        <w:widowControl/>
        <w:spacing w:line="520" w:lineRule="exact"/>
        <w:ind w:firstLine="482" w:firstLineChars="200"/>
        <w:rPr>
          <w:rFonts w:ascii="宋体" w:hAnsi="宋体"/>
          <w:color w:val="auto"/>
          <w:szCs w:val="24"/>
          <w:highlight w:val="none"/>
        </w:rPr>
      </w:pPr>
      <w:bookmarkStart w:id="15" w:name="_Toc28568"/>
      <w:bookmarkEnd w:id="15"/>
      <w:bookmarkStart w:id="16" w:name="_Toc2180"/>
      <w:bookmarkEnd w:id="16"/>
      <w:bookmarkStart w:id="17" w:name="_Toc184635072"/>
      <w:bookmarkEnd w:id="17"/>
      <w:bookmarkStart w:id="18" w:name="_Toc13358"/>
      <w:r>
        <w:rPr>
          <w:rFonts w:hint="eastAsia" w:ascii="宋体" w:hAnsi="宋体"/>
          <w:color w:val="auto"/>
          <w:highlight w:val="none"/>
        </w:rPr>
        <w:t>2．</w:t>
      </w:r>
      <w:bookmarkEnd w:id="18"/>
      <w:r>
        <w:rPr>
          <w:rFonts w:hint="eastAsia" w:ascii="宋体" w:hAnsi="宋体"/>
          <w:color w:val="auto"/>
          <w:highlight w:val="none"/>
        </w:rPr>
        <w:t>竞争性磋商文件</w:t>
      </w:r>
    </w:p>
    <w:p w14:paraId="64394BA8">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2.1 竞争性磋商文件的组成</w:t>
      </w:r>
    </w:p>
    <w:p w14:paraId="714CAB9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本竞争性磋商文件包括：</w:t>
      </w:r>
    </w:p>
    <w:p w14:paraId="5F4B597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olor w:val="auto"/>
          <w:sz w:val="24"/>
          <w:szCs w:val="24"/>
          <w:highlight w:val="none"/>
        </w:rPr>
        <w:t>竞</w:t>
      </w:r>
      <w:r>
        <w:rPr>
          <w:rFonts w:hint="eastAsia" w:ascii="宋体" w:hAnsi="宋体"/>
          <w:color w:val="auto"/>
          <w:sz w:val="24"/>
          <w:szCs w:val="24"/>
          <w:highlight w:val="none"/>
        </w:rPr>
        <w:fldChar w:fldCharType="end"/>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olor w:val="auto"/>
          <w:sz w:val="24"/>
          <w:szCs w:val="24"/>
          <w:highlight w:val="none"/>
        </w:rPr>
        <w:t>争性</w:t>
      </w:r>
      <w:r>
        <w:rPr>
          <w:rFonts w:hint="eastAsia" w:ascii="宋体" w:hAnsi="宋体"/>
          <w:color w:val="auto"/>
          <w:sz w:val="24"/>
          <w:szCs w:val="24"/>
          <w:highlight w:val="none"/>
        </w:rPr>
        <w:fldChar w:fldCharType="end"/>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olor w:val="auto"/>
          <w:sz w:val="24"/>
          <w:szCs w:val="24"/>
          <w:highlight w:val="none"/>
        </w:rPr>
        <w:t>磋</w:t>
      </w:r>
      <w:r>
        <w:rPr>
          <w:rFonts w:hint="eastAsia" w:ascii="宋体" w:hAnsi="宋体"/>
          <w:color w:val="auto"/>
          <w:sz w:val="24"/>
          <w:szCs w:val="24"/>
          <w:highlight w:val="none"/>
        </w:rPr>
        <w:fldChar w:fldCharType="end"/>
      </w:r>
      <w:r>
        <w:rPr>
          <w:color w:val="auto"/>
          <w:highlight w:val="none"/>
        </w:rPr>
        <w:fldChar w:fldCharType="begin"/>
      </w:r>
      <w:r>
        <w:rPr>
          <w:color w:val="auto"/>
          <w:highlight w:val="none"/>
        </w:rPr>
        <w:instrText xml:space="preserve"> HYPERLINK \l "3" </w:instrText>
      </w:r>
      <w:r>
        <w:rPr>
          <w:color w:val="auto"/>
          <w:highlight w:val="none"/>
        </w:rPr>
        <w:fldChar w:fldCharType="separate"/>
      </w:r>
      <w:r>
        <w:rPr>
          <w:rFonts w:hint="eastAsia" w:ascii="宋体" w:hAnsi="宋体"/>
          <w:color w:val="auto"/>
          <w:sz w:val="24"/>
          <w:szCs w:val="24"/>
          <w:highlight w:val="none"/>
        </w:rPr>
        <w:t>商公告</w:t>
      </w:r>
      <w:r>
        <w:rPr>
          <w:rFonts w:hint="eastAsia" w:ascii="宋体" w:hAnsi="宋体"/>
          <w:color w:val="auto"/>
          <w:sz w:val="24"/>
          <w:szCs w:val="24"/>
          <w:highlight w:val="none"/>
        </w:rPr>
        <w:fldChar w:fldCharType="end"/>
      </w:r>
    </w:p>
    <w:p w14:paraId="6C10821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w:t>
      </w:r>
    </w:p>
    <w:p w14:paraId="3678B1DF">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（3）磋商办法（综合评分法）</w:t>
      </w:r>
    </w:p>
    <w:p w14:paraId="6E3E5AC8">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（4）合同条款及格式</w:t>
      </w:r>
    </w:p>
    <w:p w14:paraId="7C07D4FC">
      <w:pPr>
        <w:spacing w:line="520" w:lineRule="exact"/>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）工程量清单</w:t>
      </w:r>
      <w:r>
        <w:rPr>
          <w:rFonts w:hint="eastAsia" w:ascii="宋体" w:hAnsi="宋体"/>
          <w:color w:val="auto"/>
          <w:sz w:val="24"/>
          <w:szCs w:val="24"/>
          <w:highlight w:val="none"/>
          <w:lang w:eastAsia="zh-CN"/>
        </w:rPr>
        <w:t>（另附）</w:t>
      </w:r>
    </w:p>
    <w:p w14:paraId="1DDDC32B">
      <w:pPr>
        <w:spacing w:line="520" w:lineRule="exact"/>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w:t>
      </w:r>
      <w:r>
        <w:rPr>
          <w:rFonts w:hint="eastAsia" w:ascii="宋体" w:hAnsi="宋体"/>
          <w:color w:val="auto"/>
          <w:sz w:val="24"/>
          <w:szCs w:val="24"/>
          <w:highlight w:val="none"/>
          <w:lang w:eastAsia="zh-CN"/>
        </w:rPr>
        <w:t>图纸（另附）</w:t>
      </w:r>
    </w:p>
    <w:p w14:paraId="1A844716">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）磋商响应文件格式</w:t>
      </w:r>
    </w:p>
    <w:p w14:paraId="5D44467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对竞争性磋商文件所作的澄清、修改，构成竞争性磋商文件的组成部分。</w:t>
      </w:r>
    </w:p>
    <w:p w14:paraId="5FAE02DD">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2.2 竞争性磋商文件的澄清</w:t>
      </w:r>
    </w:p>
    <w:p w14:paraId="0ED7091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2.2.1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应仔细阅读和检查竞争性磋商文件的全部内容。如发现附件不全，应及时向招标人提出，以便补齐。如有疑问，应在磋商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须知前附表规定的时间前将需澄清及答疑内容通过电子化交易系统在答疑递交截止时间前提交至采购代理机构，要求招标人对竞争性磋商文件予以澄清。</w:t>
      </w:r>
    </w:p>
    <w:p w14:paraId="50CEA1B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2.2.2 竞争性磋商文件的澄清通过电子化交易系统告知所有下载竞争性磋商文件的磋商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，但不指明澄清问题的来源。澄清发出的时间距磋商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须知前附表规定的磋商截止时间不足5日的，并且澄清内容影响磋商响应文件编制的，将相应延长磋商截止时间。</w:t>
      </w:r>
    </w:p>
    <w:p w14:paraId="5FB577A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2.2.3竞争性磋商文件变更不再另行通知，以网上发布的变更信息为准，潜在磋商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注意上网查看变更信息。</w:t>
      </w:r>
    </w:p>
    <w:p w14:paraId="2BD42097">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2.3 竞争性磋商文件的修改</w:t>
      </w:r>
    </w:p>
    <w:p w14:paraId="36ADFED4">
      <w:pPr>
        <w:spacing w:line="520" w:lineRule="exact"/>
        <w:ind w:firstLine="480" w:firstLineChars="200"/>
        <w:rPr>
          <w:rFonts w:ascii="宋体" w:hAnsi="宋体"/>
          <w:color w:val="auto"/>
          <w:sz w:val="24"/>
          <w:szCs w:val="24"/>
          <w:highlight w:val="none"/>
        </w:rPr>
      </w:pPr>
      <w:bookmarkStart w:id="19" w:name="_Toc12617"/>
      <w:bookmarkEnd w:id="19"/>
      <w:bookmarkStart w:id="20" w:name="_Toc27113"/>
      <w:bookmarkEnd w:id="20"/>
      <w:bookmarkStart w:id="21" w:name="_Toc936"/>
      <w:bookmarkEnd w:id="21"/>
      <w:bookmarkStart w:id="22" w:name="_Toc184635073"/>
      <w:r>
        <w:rPr>
          <w:rFonts w:hint="eastAsia" w:ascii="宋体" w:hAnsi="宋体"/>
          <w:color w:val="auto"/>
          <w:sz w:val="24"/>
          <w:szCs w:val="24"/>
          <w:highlight w:val="none"/>
        </w:rPr>
        <w:t>2.3.1 招标人可以通过电子化交易系统澄清修改竞争性磋商文件，澄清修改竞争性磋商文件的时间距磋商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 xml:space="preserve">须知前附表规定的磋商截止时间不足5日的，并且澄清内容影响磋商响应文件编制的，将相应延长磋商截止时间。 </w:t>
      </w:r>
      <w:bookmarkEnd w:id="22"/>
    </w:p>
    <w:p w14:paraId="65CB30A6">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2.3.2 竞争性磋商文件的澄清修改内容作为竞争性磋商文件的组成部分，对磋商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和招标人均具有约束作用。</w:t>
      </w:r>
    </w:p>
    <w:p w14:paraId="2BF25CB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2.3.3 竞争性磋商文件的澄清、修改、补充等内容均通过电子化交易系统明确的内容为准。当竞争性磋商文件的澄清、修改、补充等在同一内容的表述不一致时，以最后发出的文件为准。磋商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对竞争性磋商文件的任何推论和误解所造成的后果，均有磋商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承担。</w:t>
      </w:r>
    </w:p>
    <w:p w14:paraId="425E526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根据本章第2.3.2款和第2.3.3款对竞争性磋商文件所作的澄清、修改，构成竞争性磋商文件的组成部分。上述所列内容均以书面文件（或网上发布的电子文件）为准，招标人（采购代理机构）的任何工作人员对磋商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所作的任何口头解释、介绍、答复，对招标人和磋商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无任何约束力。磋商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按照公告要求的时间请登陆三门峡市公共资源交易中心下载竞争性磋商文件（含清单、图纸电子文件）、招标答疑文件等资料。并仔细检查竞争性磋商文件的所有内容，如有残缺等问题应在收到竞争性磋商文件5日内向招标人提出，否则，由此引起的损失由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自己承担。磋商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同时应认真审阅竞争性磋商文件中所有的事项、格式、条款和规范要求等，若磋商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的磋商响应文件没有按竞争性磋商文件要求提交全部资料，或磋商响应文件没有对竞争性磋商文件做出实质性响应，其风险由磋商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自行承担，并根据有关条款规定，该磋商有可能被拒绝。下载的图纸电子文件，不得复制修改，并予以保密。因磋商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原因造成图纸流失造成招标人损失的将依法追究责任。</w:t>
      </w:r>
    </w:p>
    <w:p w14:paraId="5BFF3663">
      <w:pPr>
        <w:pStyle w:val="3"/>
        <w:keepLines w:val="0"/>
        <w:widowControl/>
        <w:spacing w:line="520" w:lineRule="exact"/>
        <w:ind w:firstLine="422" w:firstLineChars="175"/>
        <w:rPr>
          <w:rFonts w:ascii="宋体" w:hAnsi="宋体"/>
          <w:color w:val="auto"/>
          <w:szCs w:val="24"/>
          <w:highlight w:val="none"/>
        </w:rPr>
      </w:pPr>
      <w:r>
        <w:rPr>
          <w:rFonts w:hint="eastAsia" w:ascii="宋体" w:hAnsi="宋体"/>
          <w:color w:val="auto"/>
          <w:highlight w:val="none"/>
        </w:rPr>
        <w:t>3．磋商响应文件</w:t>
      </w:r>
    </w:p>
    <w:p w14:paraId="130E54C0">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本项目为电子化、无纸化交易项目。电子磋商响应文件需在电子平台上传，上传时必须用CA锁登陆上传。</w:t>
      </w:r>
    </w:p>
    <w:p w14:paraId="3A3B1956">
      <w:pPr>
        <w:pStyle w:val="4"/>
        <w:keepLines w:val="0"/>
        <w:widowControl/>
        <w:spacing w:line="520" w:lineRule="exact"/>
        <w:ind w:firstLine="422" w:firstLineChars="175"/>
        <w:rPr>
          <w:rFonts w:ascii="宋体" w:hAnsi="宋体"/>
          <w:color w:val="auto"/>
          <w:sz w:val="24"/>
          <w:szCs w:val="24"/>
          <w:highlight w:val="none"/>
        </w:rPr>
      </w:pPr>
      <w:r>
        <w:rPr>
          <w:rFonts w:hint="eastAsia" w:ascii="宋体" w:hAnsi="宋体"/>
          <w:color w:val="auto"/>
          <w:sz w:val="24"/>
          <w:szCs w:val="24"/>
          <w:highlight w:val="none"/>
        </w:rPr>
        <w:t>3.1 磋商响应文件的组成</w:t>
      </w:r>
    </w:p>
    <w:p w14:paraId="218E3A8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3.1.1 磋商响应文件应包括下列内容：</w:t>
      </w:r>
    </w:p>
    <w:p w14:paraId="029EB9B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（1）响应函及响应函附录</w:t>
      </w:r>
    </w:p>
    <w:p w14:paraId="25A5EF20">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（2）法定代表人身份证明</w:t>
      </w:r>
    </w:p>
    <w:p w14:paraId="17FB0910">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（3）已标价工程量清单</w:t>
      </w:r>
    </w:p>
    <w:p w14:paraId="2ABB5F96">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（4）施工组织设计</w:t>
      </w:r>
    </w:p>
    <w:p w14:paraId="5D1B7CB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（5）项目管理机构</w:t>
      </w:r>
    </w:p>
    <w:p w14:paraId="6F373928">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（6）企业基本情况资料</w:t>
      </w:r>
    </w:p>
    <w:p w14:paraId="0EE0C65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（7）磋商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认为需要提供的其他材料</w:t>
      </w:r>
    </w:p>
    <w:p w14:paraId="539828F1">
      <w:pPr>
        <w:spacing w:line="520" w:lineRule="exact"/>
        <w:ind w:firstLine="422" w:firstLineChars="175"/>
        <w:rPr>
          <w:rFonts w:ascii="宋体" w:hAnsi="宋体"/>
          <w:color w:val="auto"/>
          <w:sz w:val="24"/>
          <w:szCs w:val="24"/>
          <w:highlight w:val="none"/>
        </w:rPr>
      </w:pPr>
      <w:r>
        <w:rPr>
          <w:rFonts w:hint="eastAsia" w:ascii="宋体" w:hAnsi="宋体"/>
          <w:b/>
          <w:bCs/>
          <w:color w:val="auto"/>
          <w:sz w:val="24"/>
          <w:szCs w:val="24"/>
          <w:highlight w:val="none"/>
        </w:rPr>
        <w:t>3.2 磋商报价</w:t>
      </w:r>
    </w:p>
    <w:p w14:paraId="77D8B5A7">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3.2.1 根据磋商文件规定的工程范围，磋商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进行报价。本次竞争性磋商分为多次报价。磋商响应性文件中的报价作为第一次报价，不得高于招标控制价且不公开；第二轮报价不得高于第一轮报价,参与磋商报价以最后报价为准。最后报价是响应文件的有效组成部分。</w:t>
      </w:r>
    </w:p>
    <w:p w14:paraId="554C0BF0">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3.2.2磋商总报价为磋商文件所确定的招标范围内的全部工程内容的价格体现，应包括磋商文件及技术规范、设计图纸等规定的，实施和完成招标工程及检测等最终验收合格及质保期等全部内容，及为达到质量和工期目标、安全文明、环境保护等要求所需的全部费用。</w:t>
      </w:r>
    </w:p>
    <w:p w14:paraId="202918B5">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必须严格遵循工程量清单电子文件中的数据、格式及运算定义，严禁磋商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修改工程量清单电子文件中的数据、格式及运算定义。</w:t>
      </w:r>
    </w:p>
    <w:p w14:paraId="6143D091">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3.2.3磋商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应充分了解该项目的总体情况以及影响磋商报价的其他要素。</w:t>
      </w:r>
    </w:p>
    <w:p w14:paraId="50BF0DDE">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3.2.4磋商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如果发现工程量清单中的数量与图纸中数量不一致时，应立即通知招标人核查，除非招标人予以更正，否则，应以工程量清单中列出的数量为准。</w:t>
      </w:r>
    </w:p>
    <w:p w14:paraId="701269EF">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3.2.5磋商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应根据《公路水运工程安全生产监督管理办法》，在总价中计入安全生产费用，安全生产费用应符合合同条款的规定。工程量清单内列有上述安全生产费的支付子目，由磋商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按磋商文件的规定填写总价。</w:t>
      </w:r>
    </w:p>
    <w:p w14:paraId="2E815027">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3.2.6除磋商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须知前附表另有规定外，招标人不接收调价函。</w:t>
      </w:r>
    </w:p>
    <w:p w14:paraId="6C76EC1F">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3.3 磋商有效期</w:t>
      </w:r>
    </w:p>
    <w:p w14:paraId="1808519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3.3.1 在磋商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须知前附表规定的磋商有效期内，磋商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不得要求撤销或修改其磋商响应文件。</w:t>
      </w:r>
    </w:p>
    <w:p w14:paraId="2B1EFE20">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3.3.2 出现特殊情况需要延长磋商有效期的，招标人以书面形式通知所有磋商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延长磋商有效期。磋商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同意延长的，不得要求或被允许修改或撤销其磋商响应文件；磋商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拒绝延长的，其磋商失效。</w:t>
      </w:r>
    </w:p>
    <w:p w14:paraId="6D991924">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3.4 磋商保证金</w:t>
      </w:r>
    </w:p>
    <w:p w14:paraId="66D57B3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不收取。</w:t>
      </w:r>
    </w:p>
    <w:p w14:paraId="046B5A7F">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3.5 企业基本情况资料</w:t>
      </w:r>
    </w:p>
    <w:p w14:paraId="0BF6B98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3.5.1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基本情况表”应附磋商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营业执照副本、企业资质证书副本等材料的原件扫描件。</w:t>
      </w:r>
    </w:p>
    <w:p w14:paraId="3CB6E1D6">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3.5.2 “近年财务状况表”具体要求见磋商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须知表。</w:t>
      </w:r>
    </w:p>
    <w:p w14:paraId="7FA33101">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3.5.3 “近年完成的项目情况表”应附成交通知书或合同协议书的原件扫描件，具体年份要求见磋商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须知前附表。每张表格只填写一个项目，并标明序号。</w:t>
      </w:r>
    </w:p>
    <w:p w14:paraId="347160F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3.5.4 “正在施工和新承接的项目情况表”应附成交通知书或合同协议书的原件扫描件。每张表格只填写一个项目，并标明序号。</w:t>
      </w:r>
    </w:p>
    <w:p w14:paraId="4799C794">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3.6 备选磋商方案</w:t>
      </w:r>
    </w:p>
    <w:p w14:paraId="4A449608">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不允许。</w:t>
      </w:r>
    </w:p>
    <w:p w14:paraId="73015860">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3.7 磋商响应文件的编制</w:t>
      </w:r>
    </w:p>
    <w:p w14:paraId="04FEA835">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3.7.1 磋商响应文件应按第七章“磋商响应文件格式”进行编写，如有必要，可以增加附页，作为磋商响应文件的组成部分。其中，响应函附录在满足竞争性磋商文件实质性要求的基础上，可以提出比竞争性磋商文件要求更有利于招标人的承诺。</w:t>
      </w:r>
    </w:p>
    <w:p w14:paraId="0BD3235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3.7.2 磋商响应文件应当对竞争性磋商文件有关工期、磋商有效期、质量等实质性内容作出响应。</w:t>
      </w:r>
    </w:p>
    <w:p w14:paraId="2A99E258">
      <w:pPr>
        <w:spacing w:line="520" w:lineRule="exact"/>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3.8 磋商响应文件的签署</w:t>
      </w:r>
    </w:p>
    <w:p w14:paraId="768CE26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3.8.1 磋商响应文件的签署</w:t>
      </w:r>
    </w:p>
    <w:p w14:paraId="7C40A1BD">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（1）电子磋商响应文件必须上传电子磋商系统</w:t>
      </w:r>
      <w:r>
        <w:rPr>
          <w:rFonts w:hint="eastAsia" w:ascii="宋体" w:hAnsi="宋体"/>
          <w:b/>
          <w:bCs/>
          <w:color w:val="auto"/>
          <w:sz w:val="24"/>
          <w:szCs w:val="24"/>
          <w:highlight w:val="none"/>
        </w:rPr>
        <w:t>。</w:t>
      </w:r>
    </w:p>
    <w:p w14:paraId="6193E6A5">
      <w:pPr>
        <w:spacing w:line="520" w:lineRule="exact"/>
        <w:ind w:firstLine="480" w:firstLineChars="200"/>
        <w:rPr>
          <w:rFonts w:ascii="宋体" w:hAnsi="宋体"/>
          <w:color w:val="auto"/>
          <w:szCs w:val="21"/>
          <w:highlight w:val="none"/>
        </w:rPr>
      </w:pPr>
      <w:r>
        <w:rPr>
          <w:rFonts w:hint="eastAsia" w:ascii="宋体" w:hAnsi="宋体"/>
          <w:color w:val="auto"/>
          <w:sz w:val="24"/>
          <w:szCs w:val="24"/>
          <w:highlight w:val="none"/>
        </w:rPr>
        <w:t>（2）电子磋商响应文件由磋商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的法定代表人签章。</w:t>
      </w:r>
    </w:p>
    <w:p w14:paraId="7D581CFA">
      <w:pPr>
        <w:pStyle w:val="3"/>
        <w:keepLines w:val="0"/>
        <w:widowControl/>
        <w:spacing w:line="520" w:lineRule="exact"/>
        <w:ind w:firstLine="482" w:firstLineChars="200"/>
        <w:rPr>
          <w:rFonts w:ascii="宋体" w:hAnsi="宋体"/>
          <w:color w:val="auto"/>
          <w:highlight w:val="none"/>
        </w:rPr>
      </w:pPr>
      <w:bookmarkStart w:id="23" w:name="_Toc11024"/>
      <w:bookmarkEnd w:id="23"/>
      <w:bookmarkStart w:id="24" w:name="_Toc184635074"/>
      <w:bookmarkEnd w:id="24"/>
      <w:bookmarkStart w:id="25" w:name="_Toc14807"/>
      <w:bookmarkEnd w:id="25"/>
      <w:bookmarkStart w:id="26" w:name="_Toc29312"/>
      <w:r>
        <w:rPr>
          <w:rFonts w:hint="eastAsia" w:ascii="宋体" w:hAnsi="宋体"/>
          <w:color w:val="auto"/>
          <w:highlight w:val="none"/>
        </w:rPr>
        <w:t>4．</w:t>
      </w:r>
      <w:bookmarkEnd w:id="26"/>
      <w:r>
        <w:rPr>
          <w:rFonts w:hint="eastAsia" w:ascii="宋体" w:hAnsi="宋体"/>
          <w:color w:val="auto"/>
          <w:highlight w:val="none"/>
        </w:rPr>
        <w:t>磋商（电子平台磋商响应文件上传）</w:t>
      </w:r>
    </w:p>
    <w:p w14:paraId="3C50182B">
      <w:pPr>
        <w:pStyle w:val="4"/>
        <w:keepLines w:val="0"/>
        <w:widowControl/>
        <w:spacing w:line="52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4.1电子磋商响应文件的递交</w:t>
      </w:r>
    </w:p>
    <w:p w14:paraId="2BE7F7F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4.1.1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应在规定的磋商截止时间前递交磋商响应文件。</w:t>
      </w:r>
    </w:p>
    <w:p w14:paraId="6EEAE570">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4.1.2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递交磋商响应文件的地点：见磋商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53C56548">
      <w:pPr>
        <w:pStyle w:val="3"/>
        <w:keepLines w:val="0"/>
        <w:widowControl/>
        <w:spacing w:line="520" w:lineRule="exact"/>
        <w:ind w:firstLine="482" w:firstLineChars="200"/>
        <w:rPr>
          <w:rFonts w:ascii="宋体" w:hAnsi="宋体"/>
          <w:color w:val="auto"/>
          <w:szCs w:val="24"/>
          <w:highlight w:val="none"/>
        </w:rPr>
      </w:pPr>
      <w:bookmarkStart w:id="27" w:name="_Toc184635075"/>
      <w:bookmarkEnd w:id="27"/>
      <w:bookmarkStart w:id="28" w:name="_Toc12860"/>
      <w:bookmarkEnd w:id="28"/>
      <w:bookmarkStart w:id="29" w:name="_Toc31268"/>
      <w:bookmarkEnd w:id="29"/>
      <w:bookmarkStart w:id="30" w:name="_Toc1848"/>
      <w:r>
        <w:rPr>
          <w:rFonts w:hint="eastAsia" w:ascii="宋体" w:hAnsi="宋体"/>
          <w:color w:val="auto"/>
          <w:highlight w:val="none"/>
        </w:rPr>
        <w:t>5．</w:t>
      </w:r>
      <w:bookmarkEnd w:id="30"/>
      <w:r>
        <w:rPr>
          <w:rFonts w:hint="eastAsia" w:ascii="宋体" w:hAnsi="宋体"/>
          <w:color w:val="auto"/>
          <w:highlight w:val="none"/>
        </w:rPr>
        <w:t>磋商（本项目为电子磋商）</w:t>
      </w:r>
    </w:p>
    <w:p w14:paraId="5309DADB">
      <w:pPr>
        <w:snapToGrid w:val="0"/>
        <w:spacing w:line="520" w:lineRule="exact"/>
        <w:ind w:firstLine="420" w:firstLineChars="175"/>
        <w:rPr>
          <w:rFonts w:ascii="宋体" w:hAnsi="宋体"/>
          <w:color w:val="auto"/>
          <w:sz w:val="24"/>
          <w:szCs w:val="24"/>
          <w:highlight w:val="none"/>
        </w:rPr>
      </w:pPr>
      <w:bookmarkStart w:id="31" w:name="_Toc184635076"/>
      <w:bookmarkEnd w:id="31"/>
      <w:bookmarkStart w:id="32" w:name="_Toc24220"/>
      <w:bookmarkEnd w:id="32"/>
      <w:bookmarkStart w:id="33" w:name="_Toc27649"/>
      <w:bookmarkEnd w:id="33"/>
      <w:bookmarkStart w:id="34" w:name="_Toc24359"/>
      <w:r>
        <w:rPr>
          <w:rFonts w:hint="eastAsia" w:ascii="宋体" w:hAnsi="宋体"/>
          <w:color w:val="auto"/>
          <w:sz w:val="24"/>
          <w:szCs w:val="24"/>
          <w:highlight w:val="none"/>
        </w:rPr>
        <w:t>5.1  电子化项目磋商、解密、唱标、评标</w:t>
      </w:r>
    </w:p>
    <w:p w14:paraId="5C73063B">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5.1.1本项目采用电子化、无纸化进行招标，磋商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可以通过网络登录交易平台进入项目磋商大厅远程在线参加磋商会议。</w:t>
      </w:r>
    </w:p>
    <w:p w14:paraId="35219DC6">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5.1.2电子化投标文件采用一次加密方式。磋商时，请磋商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使用CA证书登录交易平台，进入本项目开标大厅点击解密来完成投标文件的解密工作。每位磋商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的解密时间为30分钟。</w:t>
      </w:r>
    </w:p>
    <w:p w14:paraId="52B28E3E">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5.1.3电子化投标文件异常情况的处理</w:t>
      </w:r>
    </w:p>
    <w:p w14:paraId="149CD181">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如出现磋商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的电子投标文件无法解密等异常情况，磋商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应及时致电中介服务机构说明。投标文件异常，按以下步骤进行处理：</w:t>
      </w:r>
    </w:p>
    <w:p w14:paraId="4F4CAB7E">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（1）首先由技术人员进行问题排查。</w:t>
      </w:r>
    </w:p>
    <w:p w14:paraId="1E8312DD">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（2）经技术人员排查后，是磋商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文件自身问题导致投标文件无法解密的，该投标文件将不予接收、解密和唱标。磋商会议继续进行。</w:t>
      </w:r>
    </w:p>
    <w:p w14:paraId="7E6DF06A">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3）经技术人员排查后，如果是电子化交易系统问题造成投标文件无法解密的，将由技术人员对问题进行处理。如短时间内问题无法解决的，将由中介服务机构向监督部门申请，经监督部门同意后，暂停磋商会议，待问题解决后继续磋商。</w:t>
      </w:r>
    </w:p>
    <w:p w14:paraId="51BEEBCC">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5.1.4待所有磋商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投标文件解密完成后，由中介服务机构操作，对所有已解密投标文件进行唱标。</w:t>
      </w:r>
    </w:p>
    <w:p w14:paraId="0206E228">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应保证在磋商期间电话、电脑、网络能够正常工作，磋商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因停电、电脑病毒、网络堵塞等原因，未在规定的解密时间内对投标文件进行解密的，其投标文件不予接收、唱标。</w:t>
      </w:r>
    </w:p>
    <w:p w14:paraId="5BAE3F5C">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5.1.5磋商时磋商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可登录到交易系统中在开标大厅中点击开标一览表查看自己的投标报价。如对自己的唱标内容有异议的，应在唱标内容显示后10分钟内向中介服务机构电话质疑。中介服务机构应在监督人员的监督下进行免提通话接受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的质疑并做好书面记录。磋商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未在规定时间内提出质疑的，视为认可唱标内容。</w:t>
      </w:r>
    </w:p>
    <w:p w14:paraId="3084231F">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5.1.6评标时，评标委员会对电子化投标文件有质疑的，将通过电子化交易系统对磋商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发起质疑，并在监督人员的监督下，用免提模式致电需要答复的磋商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进行详细质询。质疑回复内容确认后，磋商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的回复文件必须以经过磋商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和其法定代表人签章的PDF格式文件为准，并通过电子化交易系统提交至评标委员会。</w:t>
      </w:r>
    </w:p>
    <w:p w14:paraId="06562D42">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5.1.7如评标委员会对需要回复的磋商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连续三次致电未接通的，视为磋商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放弃回复，评标委员会将自行对需要回复的内容进行认定。</w:t>
      </w:r>
    </w:p>
    <w:bookmarkEnd w:id="34"/>
    <w:p w14:paraId="2B9622D0">
      <w:pPr>
        <w:numPr>
          <w:ilvl w:val="0"/>
          <w:numId w:val="2"/>
        </w:numPr>
        <w:spacing w:line="520" w:lineRule="exact"/>
        <w:ind w:firstLine="422" w:firstLineChars="175"/>
        <w:rPr>
          <w:rFonts w:ascii="宋体" w:hAnsi="宋体"/>
          <w:b/>
          <w:bCs/>
          <w:color w:val="auto"/>
          <w:sz w:val="24"/>
          <w:szCs w:val="24"/>
          <w:highlight w:val="none"/>
        </w:rPr>
      </w:pPr>
      <w:r>
        <w:rPr>
          <w:rFonts w:hint="eastAsia" w:ascii="宋体" w:hAnsi="宋体"/>
          <w:b/>
          <w:bCs/>
          <w:color w:val="auto"/>
          <w:sz w:val="24"/>
          <w:szCs w:val="24"/>
          <w:highlight w:val="none"/>
        </w:rPr>
        <w:t>磋商（本项目为电子磋商）</w:t>
      </w:r>
    </w:p>
    <w:p w14:paraId="3D7266DF">
      <w:pPr>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6.1 磋商小组</w:t>
      </w:r>
    </w:p>
    <w:p w14:paraId="525034F7">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6.1.1磋商小组由有关技术、经济方面的专家组成。磋商小组人数及技术、经济专家的确定方式见磋商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3C108855">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6.1.2 根据《政府采购竞争性磋商采购方式管理办法》的规定，磋商小组应当履行以下义务：（一）遵纪守法，客观、公正、廉洁地履行职责；（二）根据竞争性磋商文件的规定独立进行评审，对个人的评审意见承担法律责任；（三）参与磋商报告的起草；（四）配合磋商人、磋商代理机构答复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提出的质疑；（五）配合财政部门的投诉处理和监督检查工作。</w:t>
      </w:r>
    </w:p>
    <w:p w14:paraId="40027DFD">
      <w:pPr>
        <w:snapToGrid w:val="0"/>
        <w:spacing w:line="520" w:lineRule="exact"/>
        <w:ind w:firstLine="420" w:firstLineChars="175"/>
        <w:rPr>
          <w:rFonts w:ascii="宋体" w:hAnsi="宋体"/>
          <w:color w:val="auto"/>
          <w:sz w:val="24"/>
          <w:szCs w:val="24"/>
          <w:highlight w:val="none"/>
        </w:rPr>
      </w:pPr>
      <w:r>
        <w:rPr>
          <w:rFonts w:hint="eastAsia" w:ascii="宋体" w:hAnsi="宋体"/>
          <w:color w:val="auto"/>
          <w:sz w:val="24"/>
          <w:szCs w:val="24"/>
          <w:highlight w:val="none"/>
        </w:rPr>
        <w:t>6.2 磋商原则</w:t>
      </w:r>
    </w:p>
    <w:p w14:paraId="76BCB25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磋商活动遵循公平、公正、科学和择优的原则。</w:t>
      </w:r>
    </w:p>
    <w:p w14:paraId="6D7E34A4">
      <w:pPr>
        <w:pStyle w:val="4"/>
        <w:keepLines w:val="0"/>
        <w:widowControl/>
        <w:spacing w:line="50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6.3 磋商</w:t>
      </w:r>
    </w:p>
    <w:p w14:paraId="57C76646">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磋商小组按照第三章“磋商评标办法”规定的方法、评审因素、标准和程序对磋商响应文件进行评审。第三章“磋商评标办法”没有规定的方法、评审因素和标准，不作为磋商依据。</w:t>
      </w:r>
    </w:p>
    <w:p w14:paraId="34A1153A">
      <w:pPr>
        <w:pStyle w:val="3"/>
        <w:keepLines w:val="0"/>
        <w:widowControl/>
        <w:spacing w:line="500" w:lineRule="exact"/>
        <w:ind w:firstLine="482" w:firstLineChars="200"/>
        <w:rPr>
          <w:rFonts w:ascii="宋体" w:hAnsi="宋体"/>
          <w:color w:val="auto"/>
          <w:szCs w:val="24"/>
          <w:highlight w:val="none"/>
        </w:rPr>
      </w:pPr>
      <w:bookmarkStart w:id="35" w:name="_Toc5958"/>
      <w:bookmarkEnd w:id="35"/>
      <w:bookmarkStart w:id="36" w:name="_Toc836"/>
      <w:bookmarkEnd w:id="36"/>
      <w:bookmarkStart w:id="37" w:name="_Toc30599"/>
      <w:bookmarkEnd w:id="37"/>
      <w:bookmarkStart w:id="38" w:name="_Toc184635077"/>
      <w:r>
        <w:rPr>
          <w:rFonts w:hint="eastAsia" w:ascii="宋体" w:hAnsi="宋体"/>
          <w:color w:val="auto"/>
          <w:highlight w:val="none"/>
        </w:rPr>
        <w:t>7．合同授予</w:t>
      </w:r>
      <w:bookmarkEnd w:id="38"/>
    </w:p>
    <w:p w14:paraId="2A228B9A">
      <w:pPr>
        <w:pStyle w:val="4"/>
        <w:keepLines w:val="0"/>
        <w:widowControl/>
        <w:spacing w:line="50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7.1 定标方式</w:t>
      </w:r>
    </w:p>
    <w:p w14:paraId="2D6788EF">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招标人依据磋商小组推荐的成交候选人确定成交人，磋商小组推荐成交候选人的人数见磋商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p>
    <w:p w14:paraId="351C2B1E">
      <w:pPr>
        <w:pStyle w:val="4"/>
        <w:keepLines w:val="0"/>
        <w:widowControl/>
        <w:spacing w:line="50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7.2 成交通知</w:t>
      </w:r>
    </w:p>
    <w:p w14:paraId="261868E0">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在本章规定的磋商有效期内，招标人以书面形式向成交人发出成交通知书，同时将成交结果通知未成交的磋商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w:t>
      </w:r>
    </w:p>
    <w:p w14:paraId="1BEDA878">
      <w:pPr>
        <w:pStyle w:val="4"/>
        <w:keepLines w:val="0"/>
        <w:widowControl/>
        <w:spacing w:line="500" w:lineRule="exact"/>
        <w:ind w:firstLine="482" w:firstLineChars="200"/>
        <w:rPr>
          <w:rFonts w:ascii="宋体" w:hAnsi="宋体"/>
          <w:color w:val="auto"/>
          <w:sz w:val="24"/>
          <w:szCs w:val="24"/>
          <w:highlight w:val="none"/>
        </w:rPr>
      </w:pPr>
      <w:r>
        <w:rPr>
          <w:rFonts w:hint="eastAsia" w:ascii="宋体" w:hAnsi="宋体"/>
          <w:color w:val="auto"/>
          <w:sz w:val="24"/>
          <w:szCs w:val="24"/>
          <w:highlight w:val="none"/>
        </w:rPr>
        <w:t>7.3签订合同</w:t>
      </w:r>
    </w:p>
    <w:p w14:paraId="2B941FA5">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7.3.1 招标人和成交人应当自成交通知书发出之日起30天内，根据竞争性磋商文件和成交人的磋商响应文件订立书面合同。成交人无正当理由拒签合同的，招标人取消其成交资格；给招标人造成的损失的，成交人应当予以赔偿。</w:t>
      </w:r>
    </w:p>
    <w:p w14:paraId="624DBD6C">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7.3.2 发出成交通知书后，招标人无正当理由拒签合同的，给成交人造成损失的，应当赔偿损失。</w:t>
      </w:r>
      <w:bookmarkStart w:id="39" w:name="_Toc30855"/>
      <w:bookmarkEnd w:id="39"/>
      <w:bookmarkStart w:id="40" w:name="_Toc470520331"/>
      <w:bookmarkEnd w:id="40"/>
      <w:bookmarkStart w:id="41" w:name="_Toc6261"/>
      <w:bookmarkEnd w:id="41"/>
      <w:bookmarkStart w:id="42" w:name="_Toc184635078"/>
      <w:bookmarkEnd w:id="42"/>
      <w:bookmarkStart w:id="43" w:name="_Toc26252"/>
      <w:bookmarkEnd w:id="43"/>
    </w:p>
    <w:p w14:paraId="5180487E">
      <w:pPr>
        <w:spacing w:line="500" w:lineRule="exact"/>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8.履约担保</w:t>
      </w:r>
    </w:p>
    <w:p w14:paraId="7B248485">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见磋商供应商须知前附表</w:t>
      </w:r>
      <w:r>
        <w:rPr>
          <w:rFonts w:hint="eastAsia" w:ascii="宋体" w:hAnsi="宋体"/>
          <w:color w:val="auto"/>
          <w:sz w:val="24"/>
          <w:szCs w:val="24"/>
          <w:highlight w:val="none"/>
        </w:rPr>
        <w:t>。</w:t>
      </w:r>
    </w:p>
    <w:p w14:paraId="46246816">
      <w:pPr>
        <w:pStyle w:val="3"/>
        <w:keepLines w:val="0"/>
        <w:widowControl/>
        <w:spacing w:line="500" w:lineRule="exact"/>
        <w:ind w:firstLine="482" w:firstLineChars="200"/>
        <w:rPr>
          <w:rFonts w:ascii="宋体" w:hAnsi="宋体"/>
          <w:color w:val="auto"/>
          <w:szCs w:val="24"/>
          <w:highlight w:val="none"/>
        </w:rPr>
      </w:pPr>
      <w:r>
        <w:rPr>
          <w:rFonts w:hint="eastAsia" w:ascii="宋体" w:hAnsi="宋体"/>
          <w:color w:val="auto"/>
          <w:highlight w:val="none"/>
        </w:rPr>
        <w:t>9.重新招标</w:t>
      </w:r>
    </w:p>
    <w:p w14:paraId="626AAB51">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有下列情形之一的，招标人将重新招标：</w:t>
      </w:r>
    </w:p>
    <w:p w14:paraId="0C411CB6">
      <w:p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(l）磋商截止时间止，磋商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少于3 个的；</w:t>
      </w:r>
    </w:p>
    <w:p w14:paraId="50B3AB2B">
      <w:pPr>
        <w:numPr>
          <w:ilvl w:val="0"/>
          <w:numId w:val="3"/>
        </w:numPr>
        <w:spacing w:line="5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磋商小组评审后否决所有磋商的；</w:t>
      </w:r>
    </w:p>
    <w:p w14:paraId="5D9773E2">
      <w:pPr>
        <w:pStyle w:val="36"/>
        <w:spacing w:line="360" w:lineRule="auto"/>
        <w:ind w:firstLine="422" w:firstLineChars="175"/>
        <w:outlineLvl w:val="0"/>
        <w:rPr>
          <w:rFonts w:ascii="宋体" w:hAnsi="宋体" w:eastAsia="宋体" w:cs="Times New Roman"/>
          <w:b/>
          <w:bCs/>
          <w:color w:val="auto"/>
          <w:sz w:val="24"/>
          <w:szCs w:val="24"/>
          <w:highlight w:val="none"/>
        </w:rPr>
      </w:pPr>
      <w:bookmarkStart w:id="44" w:name="_Toc10914"/>
      <w:bookmarkStart w:id="45" w:name="_Toc455080147"/>
      <w:r>
        <w:rPr>
          <w:rFonts w:hint="eastAsia" w:ascii="宋体" w:hAnsi="宋体" w:eastAsia="宋体" w:cs="Times New Roman"/>
          <w:b/>
          <w:bCs/>
          <w:color w:val="auto"/>
          <w:sz w:val="24"/>
          <w:szCs w:val="24"/>
          <w:highlight w:val="none"/>
        </w:rPr>
        <w:t>10.纪律和监督</w:t>
      </w:r>
      <w:bookmarkEnd w:id="44"/>
      <w:bookmarkEnd w:id="45"/>
    </w:p>
    <w:p w14:paraId="0DD4418F">
      <w:pPr>
        <w:pStyle w:val="37"/>
        <w:spacing w:line="360" w:lineRule="auto"/>
        <w:ind w:firstLine="420" w:firstLineChars="175"/>
        <w:outlineLvl w:val="0"/>
        <w:rPr>
          <w:rFonts w:ascii="宋体" w:hAnsi="宋体" w:eastAsia="宋体" w:cs="Times New Roman"/>
          <w:color w:val="auto"/>
          <w:kern w:val="2"/>
          <w:szCs w:val="24"/>
          <w:highlight w:val="none"/>
        </w:rPr>
      </w:pPr>
      <w:bookmarkStart w:id="46" w:name="_Toc318450714"/>
      <w:bookmarkStart w:id="47" w:name="_Toc12992"/>
      <w:bookmarkStart w:id="48" w:name="_Toc20009"/>
      <w:bookmarkStart w:id="49" w:name="_Toc1282"/>
      <w:bookmarkStart w:id="50" w:name="_Toc466298131"/>
      <w:bookmarkStart w:id="51" w:name="_Toc152042351"/>
      <w:bookmarkStart w:id="52" w:name="_Toc144974543"/>
      <w:bookmarkStart w:id="53" w:name="_Toc15592"/>
      <w:bookmarkStart w:id="54" w:name="_Toc269"/>
      <w:bookmarkStart w:id="55" w:name="_Toc490667868"/>
      <w:bookmarkStart w:id="56" w:name="_Toc455080148"/>
      <w:bookmarkStart w:id="57" w:name="_Toc697"/>
      <w:bookmarkStart w:id="58" w:name="_Toc152045575"/>
      <w:bookmarkStart w:id="59" w:name="_Toc13970"/>
      <w:bookmarkStart w:id="60" w:name="_Toc19159"/>
      <w:bookmarkStart w:id="61" w:name="_Toc15769"/>
      <w:bookmarkStart w:id="62" w:name="_Toc455867808"/>
      <w:r>
        <w:rPr>
          <w:rFonts w:hint="eastAsia" w:ascii="宋体" w:hAnsi="宋体" w:eastAsia="宋体" w:cs="Times New Roman"/>
          <w:color w:val="auto"/>
          <w:kern w:val="2"/>
          <w:szCs w:val="24"/>
          <w:highlight w:val="none"/>
        </w:rPr>
        <w:t>10.1 对招标人的纪律要求</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02BA5272">
      <w:pPr>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招标人不得泄漏磋商活动中应当保密的情况和资料，不得与磋商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串通损害国家利益、社会公共利益或者他人合法权益。</w:t>
      </w:r>
    </w:p>
    <w:p w14:paraId="1747B4B0">
      <w:pPr>
        <w:pStyle w:val="37"/>
        <w:spacing w:line="360" w:lineRule="auto"/>
        <w:ind w:firstLine="420" w:firstLineChars="175"/>
        <w:outlineLvl w:val="0"/>
        <w:rPr>
          <w:rFonts w:ascii="宋体" w:hAnsi="宋体" w:eastAsia="宋体" w:cs="Times New Roman"/>
          <w:color w:val="auto"/>
          <w:kern w:val="2"/>
          <w:szCs w:val="24"/>
          <w:highlight w:val="none"/>
        </w:rPr>
      </w:pPr>
      <w:bookmarkStart w:id="63" w:name="_Toc318450715"/>
      <w:bookmarkStart w:id="64" w:name="_Toc455867809"/>
      <w:bookmarkStart w:id="65" w:name="_Toc20261"/>
      <w:bookmarkStart w:id="66" w:name="_Toc3089"/>
      <w:bookmarkStart w:id="67" w:name="_Toc18604"/>
      <w:bookmarkStart w:id="68" w:name="_Toc7572"/>
      <w:bookmarkStart w:id="69" w:name="_Toc152045576"/>
      <w:bookmarkStart w:id="70" w:name="_Toc1743"/>
      <w:bookmarkStart w:id="71" w:name="_Toc490667869"/>
      <w:bookmarkStart w:id="72" w:name="_Toc144974544"/>
      <w:bookmarkStart w:id="73" w:name="_Toc18204"/>
      <w:bookmarkStart w:id="74" w:name="_Toc21646"/>
      <w:bookmarkStart w:id="75" w:name="_Toc152042352"/>
      <w:bookmarkStart w:id="76" w:name="_Toc455080149"/>
      <w:bookmarkStart w:id="77" w:name="_Toc19167"/>
      <w:bookmarkStart w:id="78" w:name="_Toc27698"/>
      <w:bookmarkStart w:id="79" w:name="_Toc466298132"/>
      <w:r>
        <w:rPr>
          <w:rFonts w:hint="eastAsia" w:ascii="宋体" w:hAnsi="宋体" w:eastAsia="宋体" w:cs="Times New Roman"/>
          <w:color w:val="auto"/>
          <w:kern w:val="2"/>
          <w:szCs w:val="24"/>
          <w:highlight w:val="none"/>
        </w:rPr>
        <w:t>10.2 对磋商</w:t>
      </w:r>
      <w:r>
        <w:rPr>
          <w:rFonts w:hint="eastAsia" w:ascii="宋体" w:hAnsi="宋体" w:eastAsia="宋体" w:cs="Times New Roman"/>
          <w:color w:val="auto"/>
          <w:kern w:val="2"/>
          <w:szCs w:val="24"/>
          <w:highlight w:val="none"/>
          <w:lang w:eastAsia="zh-CN"/>
        </w:rPr>
        <w:t>供应商</w:t>
      </w:r>
      <w:r>
        <w:rPr>
          <w:rFonts w:hint="eastAsia" w:ascii="宋体" w:hAnsi="宋体" w:eastAsia="宋体" w:cs="Times New Roman"/>
          <w:color w:val="auto"/>
          <w:kern w:val="2"/>
          <w:szCs w:val="24"/>
          <w:highlight w:val="none"/>
        </w:rPr>
        <w:t>的纪律要求</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698454E2">
      <w:pPr>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不得相互串通或者与招标人串通，不得向招标人或者磋商小组行贿谋取成交，不得以他人名义或者以其他方式弄虚作假骗取成交；磋商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不得以任何方式干扰、影响评审工作。</w:t>
      </w:r>
    </w:p>
    <w:p w14:paraId="2288D062">
      <w:pPr>
        <w:pStyle w:val="37"/>
        <w:spacing w:line="360" w:lineRule="auto"/>
        <w:ind w:firstLine="420" w:firstLineChars="175"/>
        <w:outlineLvl w:val="0"/>
        <w:rPr>
          <w:rFonts w:ascii="宋体" w:hAnsi="宋体" w:eastAsia="宋体" w:cs="Times New Roman"/>
          <w:color w:val="auto"/>
          <w:kern w:val="2"/>
          <w:szCs w:val="24"/>
          <w:highlight w:val="none"/>
        </w:rPr>
      </w:pPr>
      <w:bookmarkStart w:id="80" w:name="_Toc28813"/>
      <w:bookmarkStart w:id="81" w:name="_Toc466298133"/>
      <w:bookmarkStart w:id="82" w:name="_Toc318450716"/>
      <w:bookmarkStart w:id="83" w:name="_Toc490667870"/>
      <w:bookmarkStart w:id="84" w:name="_Toc152042353"/>
      <w:bookmarkStart w:id="85" w:name="_Toc455867810"/>
      <w:bookmarkStart w:id="86" w:name="_Toc32320"/>
      <w:bookmarkStart w:id="87" w:name="_Toc455080150"/>
      <w:bookmarkStart w:id="88" w:name="_Toc19965"/>
      <w:bookmarkStart w:id="89" w:name="_Toc25241"/>
      <w:bookmarkStart w:id="90" w:name="_Toc25211"/>
      <w:bookmarkStart w:id="91" w:name="_Toc7107"/>
      <w:bookmarkStart w:id="92" w:name="_Toc7439"/>
      <w:bookmarkStart w:id="93" w:name="_Toc12177"/>
      <w:bookmarkStart w:id="94" w:name="_Toc144974545"/>
      <w:bookmarkStart w:id="95" w:name="_Toc30153"/>
      <w:bookmarkStart w:id="96" w:name="_Toc152045577"/>
      <w:r>
        <w:rPr>
          <w:rFonts w:hint="eastAsia" w:ascii="宋体" w:hAnsi="宋体" w:eastAsia="宋体" w:cs="Times New Roman"/>
          <w:color w:val="auto"/>
          <w:kern w:val="2"/>
          <w:szCs w:val="24"/>
          <w:highlight w:val="none"/>
        </w:rPr>
        <w:t>10.3 对磋商小组成员的纪律要求</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65A5A43E">
      <w:pPr>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74CD2AA2">
      <w:pPr>
        <w:pStyle w:val="37"/>
        <w:spacing w:line="360" w:lineRule="auto"/>
        <w:ind w:firstLine="420" w:firstLineChars="175"/>
        <w:outlineLvl w:val="0"/>
        <w:rPr>
          <w:rFonts w:ascii="宋体" w:hAnsi="宋体" w:eastAsia="宋体" w:cs="Times New Roman"/>
          <w:color w:val="auto"/>
          <w:kern w:val="2"/>
          <w:szCs w:val="24"/>
          <w:highlight w:val="none"/>
        </w:rPr>
      </w:pPr>
      <w:bookmarkStart w:id="97" w:name="_Toc23717"/>
      <w:bookmarkStart w:id="98" w:name="_Toc27559"/>
      <w:bookmarkStart w:id="99" w:name="_Toc490667871"/>
      <w:bookmarkStart w:id="100" w:name="_Toc24"/>
      <w:bookmarkStart w:id="101" w:name="_Toc9063"/>
      <w:bookmarkStart w:id="102" w:name="_Toc152045578"/>
      <w:bookmarkStart w:id="103" w:name="_Toc455080151"/>
      <w:bookmarkStart w:id="104" w:name="_Toc466298134"/>
      <w:bookmarkStart w:id="105" w:name="_Toc1295"/>
      <w:bookmarkStart w:id="106" w:name="_Toc20546"/>
      <w:bookmarkStart w:id="107" w:name="_Toc318450717"/>
      <w:bookmarkStart w:id="108" w:name="_Toc455867811"/>
      <w:bookmarkStart w:id="109" w:name="_Toc235"/>
      <w:bookmarkStart w:id="110" w:name="_Toc152042354"/>
      <w:bookmarkStart w:id="111" w:name="_Toc7368"/>
      <w:bookmarkStart w:id="112" w:name="_Toc19485"/>
      <w:bookmarkStart w:id="113" w:name="_Toc144974546"/>
      <w:r>
        <w:rPr>
          <w:rFonts w:hint="eastAsia" w:ascii="宋体" w:hAnsi="宋体" w:eastAsia="宋体" w:cs="Times New Roman"/>
          <w:color w:val="auto"/>
          <w:kern w:val="2"/>
          <w:szCs w:val="24"/>
          <w:highlight w:val="none"/>
        </w:rPr>
        <w:t>10.4 对与评标活动有关的工作人员的纪律要求</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3BD8087B">
      <w:pPr>
        <w:spacing w:line="360" w:lineRule="auto"/>
        <w:ind w:firstLine="420" w:firstLineChars="175"/>
        <w:rPr>
          <w:rFonts w:ascii="宋体" w:hAnsi="宋体"/>
          <w:color w:val="auto"/>
          <w:sz w:val="24"/>
          <w:szCs w:val="24"/>
          <w:highlight w:val="none"/>
        </w:rPr>
      </w:pPr>
      <w:bookmarkStart w:id="114" w:name="_Toc152042355"/>
      <w:r>
        <w:rPr>
          <w:rFonts w:hint="eastAsia" w:ascii="宋体" w:hAnsi="宋体"/>
          <w:color w:val="auto"/>
          <w:sz w:val="24"/>
          <w:szCs w:val="24"/>
          <w:highlight w:val="none"/>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114"/>
    </w:p>
    <w:p w14:paraId="478B40D5">
      <w:pPr>
        <w:pStyle w:val="37"/>
        <w:spacing w:line="360" w:lineRule="auto"/>
        <w:ind w:firstLine="420" w:firstLineChars="175"/>
        <w:outlineLvl w:val="0"/>
        <w:rPr>
          <w:rFonts w:ascii="宋体" w:hAnsi="宋体" w:eastAsia="宋体" w:cs="Times New Roman"/>
          <w:color w:val="auto"/>
          <w:kern w:val="2"/>
          <w:szCs w:val="24"/>
          <w:highlight w:val="none"/>
        </w:rPr>
      </w:pPr>
      <w:bookmarkStart w:id="115" w:name="_Toc466298135"/>
      <w:bookmarkStart w:id="116" w:name="_Toc8074"/>
      <w:bookmarkStart w:id="117" w:name="_Toc1820"/>
      <w:bookmarkStart w:id="118" w:name="_Toc455867812"/>
      <w:bookmarkStart w:id="119" w:name="_Toc5504"/>
      <w:bookmarkStart w:id="120" w:name="_Toc25751"/>
      <w:bookmarkStart w:id="121" w:name="_Toc455080152"/>
      <w:bookmarkStart w:id="122" w:name="_Toc32675"/>
      <w:bookmarkStart w:id="123" w:name="_Toc3617"/>
      <w:bookmarkStart w:id="124" w:name="_Toc152045579"/>
      <w:bookmarkStart w:id="125" w:name="_Toc17735"/>
      <w:bookmarkStart w:id="126" w:name="_Toc490667872"/>
      <w:bookmarkStart w:id="127" w:name="_Toc152042356"/>
      <w:bookmarkStart w:id="128" w:name="_Toc318450718"/>
      <w:bookmarkStart w:id="129" w:name="_Toc6199"/>
      <w:bookmarkStart w:id="130" w:name="_Toc3303"/>
      <w:r>
        <w:rPr>
          <w:rFonts w:hint="eastAsia" w:ascii="宋体" w:hAnsi="宋体" w:eastAsia="宋体" w:cs="Times New Roman"/>
          <w:color w:val="auto"/>
          <w:kern w:val="2"/>
          <w:szCs w:val="24"/>
          <w:highlight w:val="none"/>
        </w:rPr>
        <w:t>10.5 投诉</w:t>
      </w:r>
      <w:bookmarkEnd w:id="113"/>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67334918">
      <w:pPr>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和其他利害关系人认为本次磋商活动违反法律、法规和规章规定的，有权向有关行政监督部门投诉。</w:t>
      </w:r>
    </w:p>
    <w:p w14:paraId="3C85DB29">
      <w:pPr>
        <w:pStyle w:val="36"/>
        <w:spacing w:line="360" w:lineRule="auto"/>
        <w:ind w:firstLine="422" w:firstLineChars="175"/>
        <w:outlineLvl w:val="0"/>
        <w:rPr>
          <w:rFonts w:ascii="宋体" w:hAnsi="宋体" w:eastAsia="宋体" w:cs="Times New Roman"/>
          <w:b/>
          <w:bCs/>
          <w:color w:val="auto"/>
          <w:kern w:val="2"/>
          <w:sz w:val="24"/>
          <w:szCs w:val="24"/>
          <w:highlight w:val="none"/>
        </w:rPr>
      </w:pPr>
      <w:bookmarkStart w:id="131" w:name="_Toc32645"/>
      <w:bookmarkStart w:id="132" w:name="_Toc152042357"/>
      <w:bookmarkStart w:id="133" w:name="_Toc144974547"/>
      <w:bookmarkStart w:id="134" w:name="_Toc152045580"/>
      <w:bookmarkStart w:id="135" w:name="_Toc455080153"/>
      <w:r>
        <w:rPr>
          <w:rFonts w:hint="eastAsia" w:ascii="宋体" w:hAnsi="宋体" w:eastAsia="宋体" w:cs="Times New Roman"/>
          <w:b/>
          <w:bCs/>
          <w:color w:val="auto"/>
          <w:kern w:val="2"/>
          <w:sz w:val="24"/>
          <w:szCs w:val="24"/>
          <w:highlight w:val="none"/>
        </w:rPr>
        <w:t>11. 需要补充的其他内容</w:t>
      </w:r>
      <w:bookmarkEnd w:id="131"/>
      <w:bookmarkEnd w:id="132"/>
      <w:bookmarkEnd w:id="133"/>
      <w:bookmarkEnd w:id="134"/>
      <w:bookmarkEnd w:id="135"/>
    </w:p>
    <w:p w14:paraId="7C6B9DA0">
      <w:pPr>
        <w:ind w:firstLine="420" w:firstLineChars="175"/>
        <w:outlineLvl w:val="0"/>
        <w:rPr>
          <w:rFonts w:ascii="宋体" w:hAnsi="宋体"/>
          <w:color w:val="auto"/>
          <w:sz w:val="24"/>
          <w:szCs w:val="24"/>
          <w:highlight w:val="none"/>
        </w:rPr>
      </w:pPr>
      <w:bookmarkStart w:id="136" w:name="_Toc5176"/>
      <w:bookmarkStart w:id="137" w:name="_Toc490667874"/>
      <w:bookmarkStart w:id="138" w:name="_Toc22486"/>
      <w:bookmarkStart w:id="139" w:name="_Toc14763"/>
      <w:r>
        <w:rPr>
          <w:rFonts w:hint="eastAsia" w:ascii="宋体" w:hAnsi="宋体"/>
          <w:color w:val="auto"/>
          <w:sz w:val="24"/>
          <w:szCs w:val="24"/>
          <w:highlight w:val="none"/>
        </w:rPr>
        <w:t>需要补充的其他内容：见磋商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须知前附表。</w:t>
      </w:r>
      <w:bookmarkEnd w:id="136"/>
      <w:bookmarkEnd w:id="137"/>
      <w:bookmarkEnd w:id="138"/>
      <w:bookmarkEnd w:id="139"/>
    </w:p>
    <w:p w14:paraId="22D276E7">
      <w:pPr>
        <w:ind w:firstLine="638" w:firstLineChars="266"/>
        <w:jc w:val="center"/>
        <w:rPr>
          <w:rFonts w:ascii="宋体" w:hAnsi="宋体"/>
          <w:color w:val="auto"/>
          <w:sz w:val="24"/>
          <w:szCs w:val="24"/>
          <w:highlight w:val="none"/>
        </w:rPr>
      </w:pPr>
    </w:p>
    <w:p w14:paraId="05F6EE68">
      <w:pPr>
        <w:pStyle w:val="35"/>
        <w:spacing w:line="360" w:lineRule="auto"/>
        <w:ind w:left="15" w:leftChars="7" w:firstLine="619" w:firstLineChars="258"/>
        <w:rPr>
          <w:rFonts w:ascii="宋体" w:hAnsi="宋体"/>
          <w:color w:val="auto"/>
          <w:kern w:val="2"/>
          <w:sz w:val="24"/>
          <w:szCs w:val="24"/>
          <w:highlight w:val="none"/>
        </w:rPr>
      </w:pPr>
    </w:p>
    <w:p w14:paraId="55393061">
      <w:pPr>
        <w:jc w:val="center"/>
        <w:rPr>
          <w:b/>
          <w:bCs/>
          <w:color w:val="auto"/>
          <w:sz w:val="32"/>
          <w:szCs w:val="32"/>
          <w:highlight w:val="none"/>
        </w:rPr>
      </w:pPr>
    </w:p>
    <w:p w14:paraId="3CB44C43">
      <w:pPr>
        <w:jc w:val="center"/>
        <w:outlineLvl w:val="0"/>
        <w:rPr>
          <w:rFonts w:ascii="宋体" w:hAnsi="宋体" w:cs="宋体"/>
          <w:b/>
          <w:color w:val="auto"/>
          <w:kern w:val="44"/>
          <w:sz w:val="32"/>
          <w:szCs w:val="44"/>
          <w:highlight w:val="none"/>
        </w:rPr>
      </w:pPr>
      <w:bookmarkStart w:id="140" w:name="_Toc12155"/>
    </w:p>
    <w:p w14:paraId="4971E05F">
      <w:pPr>
        <w:jc w:val="center"/>
        <w:outlineLvl w:val="0"/>
        <w:rPr>
          <w:rFonts w:ascii="宋体" w:hAnsi="宋体" w:cs="宋体"/>
          <w:b/>
          <w:color w:val="auto"/>
          <w:kern w:val="44"/>
          <w:sz w:val="32"/>
          <w:szCs w:val="44"/>
          <w:highlight w:val="none"/>
        </w:rPr>
      </w:pPr>
    </w:p>
    <w:p w14:paraId="684A3D05">
      <w:pPr>
        <w:jc w:val="both"/>
        <w:outlineLvl w:val="0"/>
        <w:rPr>
          <w:rFonts w:ascii="宋体" w:hAnsi="宋体" w:cs="宋体"/>
          <w:b/>
          <w:color w:val="auto"/>
          <w:kern w:val="44"/>
          <w:sz w:val="32"/>
          <w:szCs w:val="44"/>
          <w:highlight w:val="none"/>
        </w:rPr>
      </w:pPr>
    </w:p>
    <w:p w14:paraId="6FD9F659">
      <w:pPr>
        <w:jc w:val="both"/>
        <w:outlineLvl w:val="0"/>
        <w:rPr>
          <w:rFonts w:ascii="宋体" w:hAnsi="宋体" w:cs="宋体"/>
          <w:b/>
          <w:color w:val="auto"/>
          <w:kern w:val="44"/>
          <w:sz w:val="32"/>
          <w:szCs w:val="44"/>
          <w:highlight w:val="none"/>
        </w:rPr>
      </w:pPr>
    </w:p>
    <w:p w14:paraId="7D91E4FD">
      <w:pPr>
        <w:jc w:val="center"/>
        <w:outlineLvl w:val="0"/>
        <w:rPr>
          <w:rFonts w:ascii="宋体" w:hAnsi="宋体" w:cs="宋体"/>
          <w:b/>
          <w:color w:val="auto"/>
          <w:kern w:val="44"/>
          <w:sz w:val="32"/>
          <w:szCs w:val="44"/>
          <w:highlight w:val="none"/>
        </w:rPr>
      </w:pPr>
    </w:p>
    <w:p w14:paraId="69FCF33D">
      <w:pPr>
        <w:jc w:val="both"/>
        <w:outlineLvl w:val="0"/>
        <w:rPr>
          <w:rFonts w:ascii="宋体" w:hAnsi="宋体" w:cs="宋体"/>
          <w:b/>
          <w:color w:val="auto"/>
          <w:kern w:val="44"/>
          <w:sz w:val="32"/>
          <w:szCs w:val="44"/>
          <w:highlight w:val="none"/>
        </w:rPr>
      </w:pPr>
    </w:p>
    <w:p w14:paraId="24139D6D">
      <w:pPr>
        <w:jc w:val="center"/>
        <w:outlineLvl w:val="0"/>
        <w:rPr>
          <w:rFonts w:ascii="宋体" w:hAnsi="宋体" w:cs="宋体"/>
          <w:b/>
          <w:color w:val="auto"/>
          <w:kern w:val="44"/>
          <w:sz w:val="32"/>
          <w:szCs w:val="44"/>
          <w:highlight w:val="none"/>
        </w:rPr>
      </w:pPr>
    </w:p>
    <w:p w14:paraId="380D9DCF">
      <w:pPr>
        <w:jc w:val="center"/>
        <w:outlineLvl w:val="0"/>
        <w:rPr>
          <w:rFonts w:ascii="宋体" w:hAnsi="宋体" w:cs="宋体"/>
          <w:b/>
          <w:color w:val="auto"/>
          <w:kern w:val="44"/>
          <w:sz w:val="32"/>
          <w:szCs w:val="44"/>
          <w:highlight w:val="none"/>
        </w:rPr>
      </w:pPr>
    </w:p>
    <w:p w14:paraId="0F89310C">
      <w:pPr>
        <w:rPr>
          <w:rFonts w:hint="eastAsia" w:ascii="宋体" w:hAnsi="宋体" w:cs="宋体"/>
          <w:b/>
          <w:color w:val="auto"/>
          <w:kern w:val="44"/>
          <w:sz w:val="32"/>
          <w:szCs w:val="44"/>
          <w:highlight w:val="none"/>
        </w:rPr>
      </w:pPr>
      <w:r>
        <w:rPr>
          <w:rFonts w:hint="eastAsia" w:ascii="宋体" w:hAnsi="宋体" w:cs="宋体"/>
          <w:b/>
          <w:color w:val="auto"/>
          <w:kern w:val="44"/>
          <w:sz w:val="32"/>
          <w:szCs w:val="44"/>
          <w:highlight w:val="none"/>
        </w:rPr>
        <w:br w:type="page"/>
      </w:r>
    </w:p>
    <w:p w14:paraId="0C0B091E">
      <w:pPr>
        <w:jc w:val="center"/>
        <w:outlineLvl w:val="0"/>
        <w:rPr>
          <w:rFonts w:ascii="宋体" w:hAnsi="宋体" w:cs="宋体"/>
          <w:bCs/>
          <w:color w:val="auto"/>
          <w:sz w:val="32"/>
          <w:highlight w:val="none"/>
        </w:rPr>
      </w:pPr>
      <w:r>
        <w:rPr>
          <w:rFonts w:hint="eastAsia" w:ascii="宋体" w:hAnsi="宋体" w:cs="宋体"/>
          <w:b/>
          <w:color w:val="auto"/>
          <w:kern w:val="44"/>
          <w:sz w:val="32"/>
          <w:szCs w:val="44"/>
          <w:highlight w:val="none"/>
        </w:rPr>
        <w:t>第三章  磋商办法（综合评分法）</w:t>
      </w:r>
      <w:bookmarkEnd w:id="140"/>
    </w:p>
    <w:p w14:paraId="622151C0">
      <w:pPr>
        <w:jc w:val="center"/>
        <w:rPr>
          <w:rFonts w:ascii="宋体" w:hAnsi="宋体"/>
          <w:color w:val="auto"/>
          <w:sz w:val="24"/>
          <w:highlight w:val="none"/>
        </w:rPr>
      </w:pPr>
      <w:bookmarkStart w:id="141" w:name="_Toc27806"/>
      <w:bookmarkStart w:id="142" w:name="_Toc152042376"/>
      <w:bookmarkStart w:id="143" w:name="_Toc318450721"/>
      <w:bookmarkStart w:id="144" w:name="_Toc466298139"/>
      <w:bookmarkStart w:id="145" w:name="_Toc152045599"/>
      <w:bookmarkStart w:id="146" w:name="_Toc281405527"/>
      <w:bookmarkStart w:id="147" w:name="_Toc144974566"/>
      <w:bookmarkStart w:id="148" w:name="_Toc455080156"/>
      <w:bookmarkStart w:id="149" w:name="_Toc455867816"/>
    </w:p>
    <w:p w14:paraId="1970A421">
      <w:pPr>
        <w:jc w:val="center"/>
        <w:rPr>
          <w:rFonts w:ascii="宋体" w:hAnsi="宋体"/>
          <w:color w:val="auto"/>
          <w:sz w:val="24"/>
          <w:highlight w:val="none"/>
        </w:rPr>
      </w:pPr>
      <w:r>
        <w:rPr>
          <w:rFonts w:hint="eastAsia" w:ascii="宋体" w:hAnsi="宋体"/>
          <w:color w:val="auto"/>
          <w:sz w:val="24"/>
          <w:highlight w:val="none"/>
        </w:rPr>
        <w:t>评审办法前附表</w:t>
      </w:r>
      <w:bookmarkEnd w:id="141"/>
      <w:bookmarkEnd w:id="142"/>
      <w:bookmarkEnd w:id="143"/>
      <w:bookmarkEnd w:id="144"/>
      <w:bookmarkEnd w:id="145"/>
      <w:bookmarkEnd w:id="146"/>
      <w:bookmarkEnd w:id="147"/>
      <w:bookmarkEnd w:id="148"/>
      <w:bookmarkEnd w:id="149"/>
    </w:p>
    <w:tbl>
      <w:tblPr>
        <w:tblStyle w:val="17"/>
        <w:tblW w:w="87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9"/>
        <w:gridCol w:w="830"/>
        <w:gridCol w:w="1811"/>
        <w:gridCol w:w="5329"/>
      </w:tblGrid>
      <w:tr w14:paraId="6A012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1659" w:type="dxa"/>
            <w:gridSpan w:val="2"/>
            <w:tcBorders>
              <w:top w:val="single" w:color="auto" w:sz="4" w:space="0"/>
              <w:bottom w:val="single" w:color="auto" w:sz="4" w:space="0"/>
              <w:right w:val="single" w:color="auto" w:sz="4" w:space="0"/>
            </w:tcBorders>
            <w:vAlign w:val="center"/>
          </w:tcPr>
          <w:p w14:paraId="51C02836">
            <w:pPr>
              <w:adjustRightInd w:val="0"/>
              <w:spacing w:line="400" w:lineRule="exact"/>
              <w:jc w:val="center"/>
              <w:textAlignment w:val="baseline"/>
              <w:rPr>
                <w:rFonts w:ascii="宋体" w:hAnsi="宋体" w:cs="宋体"/>
                <w:color w:val="auto"/>
                <w:sz w:val="24"/>
                <w:highlight w:val="none"/>
              </w:rPr>
            </w:pPr>
            <w:r>
              <w:rPr>
                <w:rFonts w:hint="eastAsia" w:ascii="宋体" w:hAnsi="宋体" w:cs="宋体"/>
                <w:color w:val="auto"/>
                <w:sz w:val="28"/>
                <w:szCs w:val="20"/>
                <w:highlight w:val="none"/>
              </w:rPr>
              <w:t>条款号</w:t>
            </w:r>
          </w:p>
        </w:tc>
        <w:tc>
          <w:tcPr>
            <w:tcW w:w="1811" w:type="dxa"/>
            <w:tcBorders>
              <w:top w:val="single" w:color="auto" w:sz="4" w:space="0"/>
              <w:left w:val="single" w:color="auto" w:sz="4" w:space="0"/>
              <w:bottom w:val="single" w:color="auto" w:sz="4" w:space="0"/>
              <w:right w:val="single" w:color="auto" w:sz="4" w:space="0"/>
            </w:tcBorders>
            <w:vAlign w:val="center"/>
          </w:tcPr>
          <w:p w14:paraId="68000607">
            <w:pPr>
              <w:adjustRightInd w:val="0"/>
              <w:spacing w:line="400" w:lineRule="exact"/>
              <w:jc w:val="center"/>
              <w:textAlignment w:val="baseline"/>
              <w:rPr>
                <w:rFonts w:ascii="宋体" w:hAnsi="宋体" w:cs="宋体"/>
                <w:color w:val="auto"/>
                <w:sz w:val="24"/>
                <w:highlight w:val="none"/>
              </w:rPr>
            </w:pPr>
            <w:r>
              <w:rPr>
                <w:rFonts w:hint="eastAsia" w:ascii="宋体" w:hAnsi="宋体" w:cs="宋体"/>
                <w:color w:val="auto"/>
                <w:sz w:val="28"/>
                <w:szCs w:val="20"/>
                <w:highlight w:val="none"/>
              </w:rPr>
              <w:t>评审因素</w:t>
            </w:r>
          </w:p>
        </w:tc>
        <w:tc>
          <w:tcPr>
            <w:tcW w:w="5329" w:type="dxa"/>
            <w:tcBorders>
              <w:top w:val="single" w:color="auto" w:sz="4" w:space="0"/>
              <w:left w:val="single" w:color="auto" w:sz="4" w:space="0"/>
              <w:bottom w:val="single" w:color="auto" w:sz="4" w:space="0"/>
              <w:right w:val="single" w:color="auto" w:sz="4" w:space="0"/>
            </w:tcBorders>
            <w:vAlign w:val="center"/>
          </w:tcPr>
          <w:p w14:paraId="082B45F2">
            <w:pPr>
              <w:adjustRightInd w:val="0"/>
              <w:spacing w:line="400" w:lineRule="exact"/>
              <w:jc w:val="center"/>
              <w:textAlignment w:val="baseline"/>
              <w:rPr>
                <w:rFonts w:ascii="宋体" w:hAnsi="宋体" w:cs="宋体"/>
                <w:color w:val="auto"/>
                <w:sz w:val="24"/>
                <w:highlight w:val="none"/>
              </w:rPr>
            </w:pPr>
            <w:r>
              <w:rPr>
                <w:rFonts w:hint="eastAsia" w:ascii="宋体" w:hAnsi="宋体" w:cs="宋体"/>
                <w:color w:val="auto"/>
                <w:sz w:val="28"/>
                <w:szCs w:val="20"/>
                <w:highlight w:val="none"/>
              </w:rPr>
              <w:t>评审标准</w:t>
            </w:r>
          </w:p>
        </w:tc>
      </w:tr>
      <w:tr w14:paraId="1469B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829" w:type="dxa"/>
            <w:vMerge w:val="restart"/>
            <w:tcBorders>
              <w:top w:val="single" w:color="auto" w:sz="4" w:space="0"/>
              <w:right w:val="single" w:color="auto" w:sz="4" w:space="0"/>
            </w:tcBorders>
            <w:vAlign w:val="center"/>
          </w:tcPr>
          <w:p w14:paraId="3A5F2741">
            <w:pPr>
              <w:pStyle w:val="38"/>
              <w:spacing w:line="240" w:lineRule="atLeast"/>
              <w:jc w:val="center"/>
              <w:rPr>
                <w:rFonts w:hAnsi="宋体"/>
                <w:color w:val="auto"/>
                <w:highlight w:val="none"/>
              </w:rPr>
            </w:pPr>
            <w:r>
              <w:rPr>
                <w:rFonts w:hint="eastAsia" w:hAnsi="宋体"/>
                <w:color w:val="auto"/>
                <w:highlight w:val="none"/>
              </w:rPr>
              <w:t>2.1.1</w:t>
            </w:r>
          </w:p>
        </w:tc>
        <w:tc>
          <w:tcPr>
            <w:tcW w:w="830" w:type="dxa"/>
            <w:vMerge w:val="restart"/>
            <w:tcBorders>
              <w:top w:val="single" w:color="auto" w:sz="4" w:space="0"/>
              <w:right w:val="single" w:color="auto" w:sz="4" w:space="0"/>
            </w:tcBorders>
            <w:vAlign w:val="center"/>
          </w:tcPr>
          <w:p w14:paraId="72403BAC">
            <w:pPr>
              <w:pStyle w:val="38"/>
              <w:spacing w:line="240" w:lineRule="atLeast"/>
              <w:jc w:val="center"/>
              <w:rPr>
                <w:rFonts w:hAnsi="宋体"/>
                <w:color w:val="auto"/>
                <w:sz w:val="21"/>
                <w:szCs w:val="21"/>
                <w:highlight w:val="none"/>
              </w:rPr>
            </w:pPr>
            <w:r>
              <w:rPr>
                <w:rFonts w:hint="eastAsia" w:hAnsi="宋体"/>
                <w:color w:val="auto"/>
                <w:sz w:val="21"/>
                <w:szCs w:val="21"/>
                <w:highlight w:val="none"/>
              </w:rPr>
              <w:t>符合性评审</w:t>
            </w:r>
          </w:p>
        </w:tc>
        <w:tc>
          <w:tcPr>
            <w:tcW w:w="1811" w:type="dxa"/>
            <w:tcBorders>
              <w:top w:val="single" w:color="auto" w:sz="4" w:space="0"/>
              <w:left w:val="single" w:color="auto" w:sz="4" w:space="0"/>
              <w:bottom w:val="single" w:color="auto" w:sz="4" w:space="0"/>
              <w:right w:val="single" w:color="auto" w:sz="4" w:space="0"/>
            </w:tcBorders>
            <w:vAlign w:val="center"/>
          </w:tcPr>
          <w:p w14:paraId="168C742E">
            <w:pPr>
              <w:jc w:val="center"/>
              <w:rPr>
                <w:rFonts w:hAnsi="宋体"/>
                <w:color w:val="auto"/>
                <w:sz w:val="21"/>
                <w:szCs w:val="21"/>
                <w:highlight w:val="none"/>
              </w:rPr>
            </w:pPr>
            <w:r>
              <w:rPr>
                <w:rFonts w:hint="eastAsia" w:ascii="宋体" w:hAnsi="宋体"/>
                <w:color w:val="auto"/>
                <w:sz w:val="21"/>
                <w:szCs w:val="21"/>
                <w:highlight w:val="none"/>
              </w:rPr>
              <w:t>磋商</w:t>
            </w:r>
            <w:r>
              <w:rPr>
                <w:rFonts w:hint="eastAsia" w:ascii="宋体" w:hAnsi="宋体"/>
                <w:color w:val="auto"/>
                <w:sz w:val="21"/>
                <w:szCs w:val="21"/>
                <w:highlight w:val="none"/>
                <w:lang w:eastAsia="zh-CN"/>
              </w:rPr>
              <w:t>供应商</w:t>
            </w:r>
            <w:r>
              <w:rPr>
                <w:rFonts w:ascii="宋体" w:hAnsi="宋体"/>
                <w:color w:val="auto"/>
                <w:sz w:val="21"/>
                <w:szCs w:val="21"/>
                <w:highlight w:val="none"/>
              </w:rPr>
              <w:t>名称</w:t>
            </w:r>
          </w:p>
        </w:tc>
        <w:tc>
          <w:tcPr>
            <w:tcW w:w="5329" w:type="dxa"/>
            <w:tcBorders>
              <w:top w:val="single" w:color="auto" w:sz="4" w:space="0"/>
              <w:left w:val="single" w:color="auto" w:sz="4" w:space="0"/>
              <w:bottom w:val="single" w:color="auto" w:sz="4" w:space="0"/>
              <w:right w:val="single" w:color="auto" w:sz="4" w:space="0"/>
            </w:tcBorders>
            <w:vAlign w:val="center"/>
          </w:tcPr>
          <w:p w14:paraId="05D38A02">
            <w:pPr>
              <w:rPr>
                <w:rFonts w:hAnsi="宋体"/>
                <w:color w:val="auto"/>
                <w:sz w:val="21"/>
                <w:szCs w:val="21"/>
                <w:highlight w:val="none"/>
              </w:rPr>
            </w:pPr>
            <w:r>
              <w:rPr>
                <w:rFonts w:ascii="宋体" w:hAnsi="宋体"/>
                <w:color w:val="auto"/>
                <w:sz w:val="21"/>
                <w:szCs w:val="21"/>
                <w:highlight w:val="none"/>
              </w:rPr>
              <w:t>与营业执照、</w:t>
            </w:r>
            <w:r>
              <w:rPr>
                <w:rFonts w:hint="eastAsia" w:ascii="宋体" w:hAnsi="宋体"/>
                <w:color w:val="auto"/>
                <w:sz w:val="21"/>
                <w:szCs w:val="21"/>
                <w:highlight w:val="none"/>
              </w:rPr>
              <w:t>资质证书</w:t>
            </w:r>
            <w:r>
              <w:rPr>
                <w:rFonts w:ascii="宋体" w:hAnsi="宋体"/>
                <w:color w:val="auto"/>
                <w:sz w:val="21"/>
                <w:szCs w:val="21"/>
                <w:highlight w:val="none"/>
              </w:rPr>
              <w:t>一致</w:t>
            </w:r>
          </w:p>
        </w:tc>
      </w:tr>
      <w:tr w14:paraId="5FEE7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829" w:type="dxa"/>
            <w:vMerge w:val="continue"/>
            <w:tcBorders>
              <w:right w:val="single" w:color="auto" w:sz="4" w:space="0"/>
            </w:tcBorders>
            <w:vAlign w:val="center"/>
          </w:tcPr>
          <w:p w14:paraId="21163EE5">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3B3EF65E">
            <w:pPr>
              <w:pStyle w:val="38"/>
              <w:spacing w:line="240" w:lineRule="atLeast"/>
              <w:jc w:val="center"/>
              <w:rPr>
                <w:rFonts w:hAnsi="宋体"/>
                <w:color w:val="auto"/>
                <w:sz w:val="21"/>
                <w:szCs w:val="21"/>
                <w:highlight w:val="none"/>
              </w:rPr>
            </w:pPr>
          </w:p>
        </w:tc>
        <w:tc>
          <w:tcPr>
            <w:tcW w:w="1811" w:type="dxa"/>
            <w:tcBorders>
              <w:top w:val="single" w:color="auto" w:sz="4" w:space="0"/>
              <w:left w:val="single" w:color="auto" w:sz="4" w:space="0"/>
              <w:bottom w:val="single" w:color="auto" w:sz="4" w:space="0"/>
              <w:right w:val="single" w:color="auto" w:sz="4" w:space="0"/>
            </w:tcBorders>
            <w:vAlign w:val="center"/>
          </w:tcPr>
          <w:p w14:paraId="46EA8D6E">
            <w:pPr>
              <w:jc w:val="center"/>
              <w:rPr>
                <w:rFonts w:hAnsi="宋体"/>
                <w:color w:val="auto"/>
                <w:sz w:val="21"/>
                <w:szCs w:val="21"/>
                <w:highlight w:val="none"/>
              </w:rPr>
            </w:pPr>
            <w:r>
              <w:rPr>
                <w:rFonts w:hint="eastAsia" w:ascii="宋体" w:hAnsi="宋体"/>
                <w:color w:val="auto"/>
                <w:sz w:val="21"/>
                <w:szCs w:val="21"/>
                <w:highlight w:val="none"/>
              </w:rPr>
              <w:t>响应函</w:t>
            </w:r>
            <w:r>
              <w:rPr>
                <w:rFonts w:ascii="宋体" w:hAnsi="宋体"/>
                <w:color w:val="auto"/>
                <w:sz w:val="21"/>
                <w:szCs w:val="21"/>
                <w:highlight w:val="none"/>
              </w:rPr>
              <w:t>签字盖章</w:t>
            </w:r>
          </w:p>
        </w:tc>
        <w:tc>
          <w:tcPr>
            <w:tcW w:w="5329" w:type="dxa"/>
            <w:tcBorders>
              <w:top w:val="single" w:color="auto" w:sz="4" w:space="0"/>
              <w:left w:val="single" w:color="auto" w:sz="4" w:space="0"/>
              <w:bottom w:val="single" w:color="auto" w:sz="4" w:space="0"/>
              <w:right w:val="single" w:color="auto" w:sz="4" w:space="0"/>
            </w:tcBorders>
            <w:vAlign w:val="center"/>
          </w:tcPr>
          <w:p w14:paraId="79FAE803">
            <w:pPr>
              <w:jc w:val="left"/>
              <w:rPr>
                <w:rFonts w:hAnsi="宋体"/>
                <w:color w:val="auto"/>
                <w:sz w:val="21"/>
                <w:szCs w:val="21"/>
                <w:highlight w:val="none"/>
              </w:rPr>
            </w:pPr>
            <w:r>
              <w:rPr>
                <w:rFonts w:hint="eastAsia" w:ascii="宋体" w:hAnsi="宋体"/>
                <w:color w:val="auto"/>
                <w:sz w:val="21"/>
                <w:szCs w:val="21"/>
                <w:highlight w:val="none"/>
              </w:rPr>
              <w:t>磋商</w:t>
            </w:r>
            <w:r>
              <w:rPr>
                <w:rFonts w:hint="eastAsia" w:ascii="宋体" w:hAnsi="宋体"/>
                <w:color w:val="auto"/>
                <w:sz w:val="21"/>
                <w:szCs w:val="21"/>
                <w:highlight w:val="none"/>
                <w:lang w:eastAsia="zh-CN"/>
              </w:rPr>
              <w:t>供应商</w:t>
            </w:r>
            <w:r>
              <w:rPr>
                <w:rFonts w:hint="eastAsia" w:ascii="宋体" w:hAnsi="宋体"/>
                <w:color w:val="auto"/>
                <w:sz w:val="21"/>
                <w:szCs w:val="21"/>
                <w:highlight w:val="none"/>
              </w:rPr>
              <w:t>盖章及法定代表人签章</w:t>
            </w:r>
          </w:p>
        </w:tc>
      </w:tr>
      <w:tr w14:paraId="01940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29" w:type="dxa"/>
            <w:vMerge w:val="continue"/>
            <w:tcBorders>
              <w:bottom w:val="single" w:color="auto" w:sz="4" w:space="0"/>
              <w:right w:val="single" w:color="auto" w:sz="4" w:space="0"/>
            </w:tcBorders>
            <w:vAlign w:val="center"/>
          </w:tcPr>
          <w:p w14:paraId="0812ADD4">
            <w:pPr>
              <w:pStyle w:val="38"/>
              <w:spacing w:line="240" w:lineRule="atLeast"/>
              <w:jc w:val="center"/>
              <w:rPr>
                <w:rFonts w:hAnsi="宋体"/>
                <w:color w:val="auto"/>
                <w:highlight w:val="none"/>
              </w:rPr>
            </w:pPr>
          </w:p>
        </w:tc>
        <w:tc>
          <w:tcPr>
            <w:tcW w:w="830" w:type="dxa"/>
            <w:vMerge w:val="continue"/>
            <w:tcBorders>
              <w:bottom w:val="single" w:color="auto" w:sz="4" w:space="0"/>
              <w:right w:val="single" w:color="auto" w:sz="4" w:space="0"/>
            </w:tcBorders>
            <w:vAlign w:val="center"/>
          </w:tcPr>
          <w:p w14:paraId="03D1A124">
            <w:pPr>
              <w:pStyle w:val="38"/>
              <w:spacing w:line="240" w:lineRule="atLeast"/>
              <w:jc w:val="center"/>
              <w:rPr>
                <w:rFonts w:hAnsi="宋体"/>
                <w:color w:val="auto"/>
                <w:sz w:val="21"/>
                <w:szCs w:val="21"/>
                <w:highlight w:val="none"/>
              </w:rPr>
            </w:pPr>
          </w:p>
        </w:tc>
        <w:tc>
          <w:tcPr>
            <w:tcW w:w="1811" w:type="dxa"/>
            <w:tcBorders>
              <w:top w:val="single" w:color="auto" w:sz="4" w:space="0"/>
              <w:left w:val="single" w:color="auto" w:sz="4" w:space="0"/>
              <w:bottom w:val="single" w:color="auto" w:sz="4" w:space="0"/>
              <w:right w:val="single" w:color="auto" w:sz="4" w:space="0"/>
            </w:tcBorders>
            <w:vAlign w:val="center"/>
          </w:tcPr>
          <w:p w14:paraId="175BE053">
            <w:pPr>
              <w:jc w:val="center"/>
              <w:rPr>
                <w:rFonts w:hAnsi="宋体"/>
                <w:bCs/>
                <w:color w:val="auto"/>
                <w:sz w:val="21"/>
                <w:szCs w:val="21"/>
                <w:highlight w:val="none"/>
              </w:rPr>
            </w:pPr>
            <w:r>
              <w:rPr>
                <w:rFonts w:ascii="宋体" w:hAnsi="宋体"/>
                <w:color w:val="auto"/>
                <w:sz w:val="21"/>
                <w:szCs w:val="21"/>
                <w:highlight w:val="none"/>
              </w:rPr>
              <w:t>报价唯一</w:t>
            </w:r>
          </w:p>
        </w:tc>
        <w:tc>
          <w:tcPr>
            <w:tcW w:w="5329" w:type="dxa"/>
            <w:tcBorders>
              <w:top w:val="single" w:color="auto" w:sz="4" w:space="0"/>
              <w:left w:val="single" w:color="auto" w:sz="4" w:space="0"/>
              <w:bottom w:val="single" w:color="auto" w:sz="4" w:space="0"/>
              <w:right w:val="single" w:color="auto" w:sz="4" w:space="0"/>
            </w:tcBorders>
            <w:vAlign w:val="center"/>
          </w:tcPr>
          <w:p w14:paraId="60A9D781">
            <w:pPr>
              <w:rPr>
                <w:rFonts w:hAnsi="宋体"/>
                <w:bCs/>
                <w:color w:val="auto"/>
                <w:sz w:val="21"/>
                <w:szCs w:val="21"/>
                <w:highlight w:val="none"/>
              </w:rPr>
            </w:pPr>
            <w:r>
              <w:rPr>
                <w:rFonts w:ascii="宋体" w:hAnsi="宋体"/>
                <w:color w:val="auto"/>
                <w:sz w:val="21"/>
                <w:szCs w:val="21"/>
                <w:highlight w:val="none"/>
              </w:rPr>
              <w:t>只能有一个有效报价</w:t>
            </w:r>
          </w:p>
        </w:tc>
      </w:tr>
      <w:tr w14:paraId="32728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829" w:type="dxa"/>
            <w:vMerge w:val="restart"/>
            <w:tcBorders>
              <w:top w:val="single" w:color="auto" w:sz="4" w:space="0"/>
              <w:right w:val="single" w:color="auto" w:sz="4" w:space="0"/>
            </w:tcBorders>
            <w:vAlign w:val="center"/>
          </w:tcPr>
          <w:p w14:paraId="0C6EC961">
            <w:pPr>
              <w:pStyle w:val="38"/>
              <w:spacing w:line="240" w:lineRule="atLeast"/>
              <w:jc w:val="center"/>
              <w:rPr>
                <w:rFonts w:hAnsi="宋体"/>
                <w:color w:val="auto"/>
                <w:highlight w:val="none"/>
              </w:rPr>
            </w:pPr>
            <w:r>
              <w:rPr>
                <w:rFonts w:hint="eastAsia" w:hAnsi="宋体"/>
                <w:color w:val="auto"/>
                <w:highlight w:val="none"/>
              </w:rPr>
              <w:t>2.1.2</w:t>
            </w:r>
          </w:p>
        </w:tc>
        <w:tc>
          <w:tcPr>
            <w:tcW w:w="830" w:type="dxa"/>
            <w:vMerge w:val="restart"/>
            <w:tcBorders>
              <w:top w:val="single" w:color="auto" w:sz="4" w:space="0"/>
              <w:right w:val="single" w:color="auto" w:sz="4" w:space="0"/>
            </w:tcBorders>
            <w:vAlign w:val="center"/>
          </w:tcPr>
          <w:p w14:paraId="6D3A673C">
            <w:pPr>
              <w:pStyle w:val="38"/>
              <w:spacing w:line="240" w:lineRule="atLeast"/>
              <w:jc w:val="center"/>
              <w:rPr>
                <w:rFonts w:hAnsi="宋体"/>
                <w:color w:val="auto"/>
                <w:sz w:val="21"/>
                <w:szCs w:val="21"/>
                <w:highlight w:val="none"/>
              </w:rPr>
            </w:pPr>
            <w:r>
              <w:rPr>
                <w:rFonts w:hint="eastAsia" w:hAnsi="宋体"/>
                <w:color w:val="auto"/>
                <w:sz w:val="21"/>
                <w:szCs w:val="21"/>
                <w:highlight w:val="none"/>
              </w:rPr>
              <w:t>资</w:t>
            </w:r>
          </w:p>
          <w:p w14:paraId="2CB420B1">
            <w:pPr>
              <w:pStyle w:val="38"/>
              <w:spacing w:line="240" w:lineRule="atLeast"/>
              <w:jc w:val="center"/>
              <w:rPr>
                <w:rFonts w:hAnsi="宋体"/>
                <w:color w:val="auto"/>
                <w:sz w:val="21"/>
                <w:szCs w:val="21"/>
                <w:highlight w:val="none"/>
              </w:rPr>
            </w:pPr>
            <w:r>
              <w:rPr>
                <w:rFonts w:hint="eastAsia" w:hAnsi="宋体"/>
                <w:color w:val="auto"/>
                <w:sz w:val="21"/>
                <w:szCs w:val="21"/>
                <w:highlight w:val="none"/>
              </w:rPr>
              <w:t>格</w:t>
            </w:r>
          </w:p>
          <w:p w14:paraId="17A2315C">
            <w:pPr>
              <w:pStyle w:val="38"/>
              <w:spacing w:line="240" w:lineRule="atLeast"/>
              <w:jc w:val="center"/>
              <w:rPr>
                <w:rFonts w:hAnsi="宋体"/>
                <w:color w:val="auto"/>
                <w:sz w:val="21"/>
                <w:szCs w:val="21"/>
                <w:highlight w:val="none"/>
              </w:rPr>
            </w:pPr>
            <w:r>
              <w:rPr>
                <w:rFonts w:hint="eastAsia" w:hAnsi="宋体"/>
                <w:color w:val="auto"/>
                <w:sz w:val="21"/>
                <w:szCs w:val="21"/>
                <w:highlight w:val="none"/>
              </w:rPr>
              <w:t>评</w:t>
            </w:r>
          </w:p>
          <w:p w14:paraId="7F1B0353">
            <w:pPr>
              <w:pStyle w:val="38"/>
              <w:spacing w:line="240" w:lineRule="atLeast"/>
              <w:jc w:val="center"/>
              <w:rPr>
                <w:rFonts w:hAnsi="宋体"/>
                <w:color w:val="auto"/>
                <w:sz w:val="21"/>
                <w:szCs w:val="21"/>
                <w:highlight w:val="none"/>
              </w:rPr>
            </w:pPr>
            <w:r>
              <w:rPr>
                <w:rFonts w:hint="eastAsia" w:hAnsi="宋体"/>
                <w:color w:val="auto"/>
                <w:sz w:val="21"/>
                <w:szCs w:val="21"/>
                <w:highlight w:val="none"/>
              </w:rPr>
              <w:t>审</w:t>
            </w:r>
          </w:p>
          <w:p w14:paraId="42C18EEE">
            <w:pPr>
              <w:pStyle w:val="38"/>
              <w:spacing w:line="240" w:lineRule="atLeast"/>
              <w:jc w:val="center"/>
              <w:rPr>
                <w:rFonts w:hAnsi="宋体"/>
                <w:color w:val="auto"/>
                <w:sz w:val="21"/>
                <w:szCs w:val="21"/>
                <w:highlight w:val="none"/>
              </w:rPr>
            </w:pPr>
            <w:r>
              <w:rPr>
                <w:rFonts w:hint="eastAsia" w:hAnsi="宋体"/>
                <w:color w:val="auto"/>
                <w:sz w:val="21"/>
                <w:szCs w:val="21"/>
                <w:highlight w:val="none"/>
              </w:rPr>
              <w:t>标</w:t>
            </w:r>
          </w:p>
          <w:p w14:paraId="00D0DC2A">
            <w:pPr>
              <w:pStyle w:val="38"/>
              <w:spacing w:line="240" w:lineRule="atLeast"/>
              <w:jc w:val="center"/>
              <w:rPr>
                <w:rFonts w:hAnsi="宋体"/>
                <w:color w:val="auto"/>
                <w:sz w:val="21"/>
                <w:szCs w:val="21"/>
                <w:highlight w:val="none"/>
              </w:rPr>
            </w:pPr>
            <w:r>
              <w:rPr>
                <w:rFonts w:hint="eastAsia" w:hAnsi="宋体"/>
                <w:color w:val="auto"/>
                <w:sz w:val="21"/>
                <w:szCs w:val="21"/>
                <w:highlight w:val="none"/>
              </w:rPr>
              <w:t>准</w:t>
            </w:r>
          </w:p>
        </w:tc>
        <w:tc>
          <w:tcPr>
            <w:tcW w:w="1811" w:type="dxa"/>
            <w:tcBorders>
              <w:top w:val="single" w:color="auto" w:sz="4" w:space="0"/>
              <w:left w:val="single" w:color="auto" w:sz="4" w:space="0"/>
              <w:right w:val="single" w:color="auto" w:sz="4" w:space="0"/>
            </w:tcBorders>
            <w:vAlign w:val="center"/>
          </w:tcPr>
          <w:p w14:paraId="55447C96">
            <w:pPr>
              <w:pStyle w:val="38"/>
              <w:widowControl/>
              <w:spacing w:line="240" w:lineRule="atLeast"/>
              <w:jc w:val="center"/>
              <w:rPr>
                <w:rFonts w:hAnsi="宋体"/>
                <w:color w:val="auto"/>
                <w:sz w:val="21"/>
                <w:szCs w:val="21"/>
                <w:highlight w:val="none"/>
              </w:rPr>
            </w:pPr>
            <w:r>
              <w:rPr>
                <w:rFonts w:hint="eastAsia" w:hAnsi="宋体"/>
                <w:color w:val="auto"/>
                <w:sz w:val="21"/>
                <w:szCs w:val="21"/>
                <w:highlight w:val="none"/>
              </w:rPr>
              <w:t>具备独立承担民事责任能力</w:t>
            </w:r>
          </w:p>
        </w:tc>
        <w:tc>
          <w:tcPr>
            <w:tcW w:w="5329" w:type="dxa"/>
            <w:tcBorders>
              <w:top w:val="single" w:color="auto" w:sz="4" w:space="0"/>
              <w:left w:val="single" w:color="auto" w:sz="4" w:space="0"/>
              <w:bottom w:val="single" w:color="auto" w:sz="4" w:space="0"/>
              <w:right w:val="single" w:color="auto" w:sz="4" w:space="0"/>
            </w:tcBorders>
            <w:vAlign w:val="center"/>
          </w:tcPr>
          <w:p w14:paraId="13A520D0">
            <w:pPr>
              <w:pStyle w:val="38"/>
              <w:widowControl/>
              <w:spacing w:line="240" w:lineRule="atLeast"/>
              <w:jc w:val="both"/>
              <w:rPr>
                <w:rFonts w:hAnsi="宋体"/>
                <w:color w:val="auto"/>
                <w:sz w:val="21"/>
                <w:szCs w:val="21"/>
                <w:highlight w:val="none"/>
              </w:rPr>
            </w:pPr>
            <w:r>
              <w:rPr>
                <w:rFonts w:hint="eastAsia" w:hAnsi="宋体"/>
                <w:color w:val="auto"/>
                <w:sz w:val="21"/>
                <w:szCs w:val="21"/>
                <w:highlight w:val="none"/>
              </w:rPr>
              <w:t>提供有效的营业执照或其他证明文件</w:t>
            </w:r>
          </w:p>
        </w:tc>
      </w:tr>
      <w:tr w14:paraId="72253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7" w:hRule="atLeast"/>
          <w:jc w:val="center"/>
        </w:trPr>
        <w:tc>
          <w:tcPr>
            <w:tcW w:w="829" w:type="dxa"/>
            <w:vMerge w:val="continue"/>
            <w:tcBorders>
              <w:right w:val="single" w:color="auto" w:sz="4" w:space="0"/>
            </w:tcBorders>
            <w:vAlign w:val="center"/>
          </w:tcPr>
          <w:p w14:paraId="3D7E85DA">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7537C2C2">
            <w:pPr>
              <w:pStyle w:val="38"/>
              <w:spacing w:line="240" w:lineRule="atLeast"/>
              <w:jc w:val="center"/>
              <w:rPr>
                <w:rFonts w:hAnsi="宋体"/>
                <w:color w:val="auto"/>
                <w:sz w:val="21"/>
                <w:szCs w:val="21"/>
                <w:highlight w:val="none"/>
              </w:rPr>
            </w:pPr>
          </w:p>
        </w:tc>
        <w:tc>
          <w:tcPr>
            <w:tcW w:w="1811" w:type="dxa"/>
            <w:tcBorders>
              <w:top w:val="single" w:color="auto" w:sz="4" w:space="0"/>
              <w:left w:val="single" w:color="auto" w:sz="4" w:space="0"/>
              <w:right w:val="single" w:color="auto" w:sz="4" w:space="0"/>
            </w:tcBorders>
            <w:vAlign w:val="center"/>
          </w:tcPr>
          <w:p w14:paraId="0E5A2C46">
            <w:pPr>
              <w:jc w:val="center"/>
              <w:rPr>
                <w:rFonts w:ascii="宋体" w:hAnsi="宋体" w:cs="宋体"/>
                <w:color w:val="auto"/>
                <w:kern w:val="0"/>
                <w:sz w:val="21"/>
                <w:szCs w:val="21"/>
                <w:highlight w:val="none"/>
              </w:rPr>
            </w:pPr>
            <w:r>
              <w:rPr>
                <w:rFonts w:ascii="宋体" w:hAnsi="宋体"/>
                <w:color w:val="auto"/>
                <w:sz w:val="21"/>
                <w:szCs w:val="21"/>
                <w:highlight w:val="none"/>
              </w:rPr>
              <w:t>资质</w:t>
            </w:r>
            <w:r>
              <w:rPr>
                <w:rFonts w:hint="eastAsia" w:ascii="宋体" w:hAnsi="宋体"/>
                <w:color w:val="auto"/>
                <w:sz w:val="21"/>
                <w:szCs w:val="21"/>
                <w:highlight w:val="none"/>
              </w:rPr>
              <w:t>证书</w:t>
            </w:r>
          </w:p>
        </w:tc>
        <w:tc>
          <w:tcPr>
            <w:tcW w:w="5329" w:type="dxa"/>
            <w:tcBorders>
              <w:top w:val="single" w:color="auto" w:sz="4" w:space="0"/>
              <w:left w:val="single" w:color="auto" w:sz="4" w:space="0"/>
              <w:bottom w:val="single" w:color="auto" w:sz="4" w:space="0"/>
              <w:right w:val="single" w:color="auto" w:sz="4" w:space="0"/>
            </w:tcBorders>
            <w:vAlign w:val="center"/>
          </w:tcPr>
          <w:p w14:paraId="73900669">
            <w:pPr>
              <w:rPr>
                <w:rFonts w:hAnsi="宋体"/>
                <w:color w:val="auto"/>
                <w:sz w:val="21"/>
                <w:szCs w:val="21"/>
                <w:highlight w:val="none"/>
              </w:rPr>
            </w:pPr>
            <w:r>
              <w:rPr>
                <w:rFonts w:hint="eastAsia" w:ascii="宋体"/>
                <w:color w:val="auto"/>
                <w:kern w:val="0"/>
                <w:sz w:val="21"/>
                <w:szCs w:val="21"/>
                <w:highlight w:val="none"/>
              </w:rPr>
              <w:t>须具有主管部门颁发的路基路面养护乙级及以上资质或</w:t>
            </w:r>
            <w:r>
              <w:rPr>
                <w:rFonts w:hint="eastAsia" w:ascii="宋体"/>
                <w:color w:val="auto"/>
                <w:kern w:val="0"/>
                <w:sz w:val="21"/>
                <w:szCs w:val="21"/>
                <w:highlight w:val="none"/>
                <w:lang w:eastAsia="zh-CN"/>
              </w:rPr>
              <w:t>公路工程施工总承包三级及以上资质</w:t>
            </w:r>
            <w:r>
              <w:rPr>
                <w:rFonts w:hint="eastAsia" w:ascii="宋体"/>
                <w:color w:val="auto"/>
                <w:kern w:val="0"/>
                <w:sz w:val="21"/>
                <w:szCs w:val="21"/>
                <w:highlight w:val="none"/>
              </w:rPr>
              <w:t>，具有有效的安全生产许可证</w:t>
            </w:r>
          </w:p>
        </w:tc>
      </w:tr>
      <w:tr w14:paraId="62953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829" w:type="dxa"/>
            <w:vMerge w:val="continue"/>
            <w:tcBorders>
              <w:right w:val="single" w:color="auto" w:sz="4" w:space="0"/>
            </w:tcBorders>
            <w:vAlign w:val="center"/>
          </w:tcPr>
          <w:p w14:paraId="4FC5918E">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3B49C6B0">
            <w:pPr>
              <w:pStyle w:val="38"/>
              <w:spacing w:line="240" w:lineRule="atLeast"/>
              <w:jc w:val="center"/>
              <w:rPr>
                <w:rFonts w:hAnsi="宋体"/>
                <w:color w:val="auto"/>
                <w:sz w:val="21"/>
                <w:szCs w:val="21"/>
                <w:highlight w:val="none"/>
              </w:rPr>
            </w:pPr>
          </w:p>
        </w:tc>
        <w:tc>
          <w:tcPr>
            <w:tcW w:w="1811" w:type="dxa"/>
            <w:tcBorders>
              <w:top w:val="single" w:color="auto" w:sz="4" w:space="0"/>
              <w:left w:val="single" w:color="auto" w:sz="4" w:space="0"/>
              <w:right w:val="single" w:color="auto" w:sz="4" w:space="0"/>
            </w:tcBorders>
            <w:vAlign w:val="center"/>
          </w:tcPr>
          <w:p w14:paraId="35BE2A98">
            <w:pPr>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拟派项目经理</w:t>
            </w:r>
          </w:p>
        </w:tc>
        <w:tc>
          <w:tcPr>
            <w:tcW w:w="5329" w:type="dxa"/>
            <w:tcBorders>
              <w:top w:val="single" w:color="auto" w:sz="4" w:space="0"/>
              <w:left w:val="single" w:color="auto" w:sz="4" w:space="0"/>
              <w:bottom w:val="single" w:color="auto" w:sz="4" w:space="0"/>
              <w:right w:val="single" w:color="auto" w:sz="4" w:space="0"/>
            </w:tcBorders>
            <w:vAlign w:val="center"/>
          </w:tcPr>
          <w:p w14:paraId="6A1F826C">
            <w:pPr>
              <w:rPr>
                <w:rFonts w:ascii="宋体" w:hAnsi="宋体" w:cs="宋体"/>
                <w:color w:val="auto"/>
                <w:kern w:val="0"/>
                <w:sz w:val="21"/>
                <w:szCs w:val="21"/>
                <w:highlight w:val="none"/>
              </w:rPr>
            </w:pPr>
            <w:r>
              <w:rPr>
                <w:rFonts w:hint="eastAsia" w:ascii="宋体" w:hAnsi="宋体" w:cs="宋体"/>
                <w:color w:val="auto"/>
                <w:kern w:val="0"/>
                <w:sz w:val="21"/>
                <w:szCs w:val="21"/>
                <w:highlight w:val="none"/>
              </w:rPr>
              <w:t>须具备公路工程专业贰级及以上注册建造师资格、安全生产考核合格证并出具项目经理无在建工程承诺书</w:t>
            </w:r>
          </w:p>
        </w:tc>
      </w:tr>
      <w:tr w14:paraId="78504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829" w:type="dxa"/>
            <w:vMerge w:val="continue"/>
            <w:tcBorders>
              <w:right w:val="single" w:color="auto" w:sz="4" w:space="0"/>
            </w:tcBorders>
            <w:vAlign w:val="center"/>
          </w:tcPr>
          <w:p w14:paraId="7DCB3E8E">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4C36E64F">
            <w:pPr>
              <w:pStyle w:val="38"/>
              <w:spacing w:line="240" w:lineRule="atLeast"/>
              <w:jc w:val="center"/>
              <w:rPr>
                <w:rFonts w:hAnsi="宋体"/>
                <w:color w:val="auto"/>
                <w:sz w:val="21"/>
                <w:szCs w:val="21"/>
                <w:highlight w:val="none"/>
              </w:rPr>
            </w:pPr>
          </w:p>
        </w:tc>
        <w:tc>
          <w:tcPr>
            <w:tcW w:w="1811" w:type="dxa"/>
            <w:tcBorders>
              <w:top w:val="single" w:color="auto" w:sz="4" w:space="0"/>
              <w:left w:val="single" w:color="auto" w:sz="4" w:space="0"/>
              <w:right w:val="single" w:color="auto" w:sz="4" w:space="0"/>
            </w:tcBorders>
            <w:vAlign w:val="center"/>
          </w:tcPr>
          <w:p w14:paraId="5849D1C6">
            <w:pPr>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拟派项目技术负责人</w:t>
            </w:r>
          </w:p>
        </w:tc>
        <w:tc>
          <w:tcPr>
            <w:tcW w:w="5329" w:type="dxa"/>
            <w:tcBorders>
              <w:top w:val="single" w:color="auto" w:sz="4" w:space="0"/>
              <w:left w:val="single" w:color="auto" w:sz="4" w:space="0"/>
              <w:bottom w:val="single" w:color="auto" w:sz="4" w:space="0"/>
              <w:right w:val="single" w:color="auto" w:sz="4" w:space="0"/>
            </w:tcBorders>
            <w:vAlign w:val="center"/>
          </w:tcPr>
          <w:p w14:paraId="0FEEBE1E">
            <w:pP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具备相关专业的中级及以上技术职称</w:t>
            </w:r>
          </w:p>
        </w:tc>
      </w:tr>
      <w:tr w14:paraId="08909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829" w:type="dxa"/>
            <w:vMerge w:val="continue"/>
            <w:tcBorders>
              <w:right w:val="single" w:color="auto" w:sz="4" w:space="0"/>
            </w:tcBorders>
            <w:vAlign w:val="center"/>
          </w:tcPr>
          <w:p w14:paraId="7736DBCE">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4DEED9E2">
            <w:pPr>
              <w:pStyle w:val="38"/>
              <w:spacing w:line="240" w:lineRule="atLeast"/>
              <w:jc w:val="center"/>
              <w:rPr>
                <w:rFonts w:hAnsi="宋体"/>
                <w:color w:val="auto"/>
                <w:sz w:val="21"/>
                <w:szCs w:val="21"/>
                <w:highlight w:val="none"/>
              </w:rPr>
            </w:pPr>
          </w:p>
        </w:tc>
        <w:tc>
          <w:tcPr>
            <w:tcW w:w="1811" w:type="dxa"/>
            <w:tcBorders>
              <w:top w:val="single" w:color="auto" w:sz="4" w:space="0"/>
              <w:left w:val="single" w:color="auto" w:sz="4" w:space="0"/>
              <w:right w:val="single" w:color="auto" w:sz="4" w:space="0"/>
            </w:tcBorders>
            <w:vAlign w:val="center"/>
          </w:tcPr>
          <w:p w14:paraId="5A3DC444">
            <w:pPr>
              <w:jc w:val="center"/>
              <w:rPr>
                <w:rFonts w:ascii="宋体" w:hAnsi="宋体" w:cs="宋体"/>
                <w:color w:val="auto"/>
                <w:kern w:val="0"/>
                <w:sz w:val="21"/>
                <w:szCs w:val="21"/>
                <w:highlight w:val="none"/>
              </w:rPr>
            </w:pPr>
            <w:r>
              <w:rPr>
                <w:rFonts w:hint="eastAsia" w:ascii="宋体" w:hAnsi="宋体"/>
                <w:color w:val="auto"/>
                <w:sz w:val="21"/>
                <w:szCs w:val="21"/>
                <w:highlight w:val="none"/>
              </w:rPr>
              <w:t>无商业贿赂和不正当竞争行为承诺书</w:t>
            </w:r>
          </w:p>
        </w:tc>
        <w:tc>
          <w:tcPr>
            <w:tcW w:w="5329" w:type="dxa"/>
            <w:tcBorders>
              <w:top w:val="single" w:color="auto" w:sz="4" w:space="0"/>
              <w:left w:val="single" w:color="auto" w:sz="4" w:space="0"/>
              <w:bottom w:val="single" w:color="auto" w:sz="4" w:space="0"/>
              <w:right w:val="single" w:color="auto" w:sz="4" w:space="0"/>
            </w:tcBorders>
            <w:vAlign w:val="center"/>
          </w:tcPr>
          <w:p w14:paraId="23E543FB">
            <w:pPr>
              <w:rPr>
                <w:rFonts w:ascii="宋体" w:hAnsi="宋体" w:cs="宋体"/>
                <w:color w:val="auto"/>
                <w:kern w:val="0"/>
                <w:sz w:val="21"/>
                <w:szCs w:val="21"/>
                <w:highlight w:val="none"/>
              </w:rPr>
            </w:pPr>
            <w:r>
              <w:rPr>
                <w:rFonts w:hint="eastAsia" w:ascii="宋体" w:hAnsi="宋体"/>
                <w:color w:val="auto"/>
                <w:sz w:val="21"/>
                <w:szCs w:val="21"/>
                <w:highlight w:val="none"/>
              </w:rPr>
              <w:t>磋商</w:t>
            </w:r>
            <w:r>
              <w:rPr>
                <w:rFonts w:hint="eastAsia" w:ascii="宋体" w:hAnsi="宋体"/>
                <w:color w:val="auto"/>
                <w:sz w:val="21"/>
                <w:szCs w:val="21"/>
                <w:highlight w:val="none"/>
                <w:lang w:eastAsia="zh-CN"/>
              </w:rPr>
              <w:t>供应商</w:t>
            </w:r>
            <w:r>
              <w:rPr>
                <w:rFonts w:hint="eastAsia" w:ascii="宋体" w:hAnsi="宋体"/>
                <w:color w:val="auto"/>
                <w:sz w:val="21"/>
                <w:szCs w:val="21"/>
                <w:highlight w:val="none"/>
              </w:rPr>
              <w:t>自行出具本企业无商业贿赂和不正当竞争行为承诺书</w:t>
            </w:r>
          </w:p>
        </w:tc>
      </w:tr>
      <w:tr w14:paraId="73626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829" w:type="dxa"/>
            <w:vMerge w:val="continue"/>
            <w:tcBorders>
              <w:right w:val="single" w:color="auto" w:sz="4" w:space="0"/>
            </w:tcBorders>
            <w:vAlign w:val="center"/>
          </w:tcPr>
          <w:p w14:paraId="7AE45807">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640429C4">
            <w:pPr>
              <w:pStyle w:val="38"/>
              <w:spacing w:line="240" w:lineRule="atLeast"/>
              <w:jc w:val="center"/>
              <w:rPr>
                <w:rFonts w:hAnsi="宋体"/>
                <w:color w:val="auto"/>
                <w:sz w:val="21"/>
                <w:szCs w:val="21"/>
                <w:highlight w:val="none"/>
              </w:rPr>
            </w:pPr>
          </w:p>
        </w:tc>
        <w:tc>
          <w:tcPr>
            <w:tcW w:w="1811" w:type="dxa"/>
            <w:tcBorders>
              <w:top w:val="single" w:color="auto" w:sz="4" w:space="0"/>
              <w:left w:val="single" w:color="auto" w:sz="4" w:space="0"/>
              <w:right w:val="single" w:color="auto" w:sz="4" w:space="0"/>
            </w:tcBorders>
            <w:vAlign w:val="center"/>
          </w:tcPr>
          <w:p w14:paraId="1FABEE33">
            <w:pPr>
              <w:spacing w:line="240" w:lineRule="exact"/>
              <w:jc w:val="center"/>
              <w:rPr>
                <w:rFonts w:ascii="宋体" w:hAnsi="宋体" w:cs="宋体"/>
                <w:color w:val="auto"/>
                <w:kern w:val="0"/>
                <w:sz w:val="21"/>
                <w:szCs w:val="21"/>
                <w:highlight w:val="none"/>
              </w:rPr>
            </w:pPr>
            <w:r>
              <w:rPr>
                <w:rFonts w:hint="eastAsia" w:ascii="宋体" w:hAnsi="宋体"/>
                <w:color w:val="auto"/>
                <w:sz w:val="21"/>
                <w:szCs w:val="21"/>
                <w:highlight w:val="none"/>
              </w:rPr>
              <w:t>无行贿犯罪记录</w:t>
            </w:r>
          </w:p>
        </w:tc>
        <w:tc>
          <w:tcPr>
            <w:tcW w:w="5329" w:type="dxa"/>
            <w:tcBorders>
              <w:top w:val="single" w:color="auto" w:sz="4" w:space="0"/>
              <w:left w:val="single" w:color="auto" w:sz="4" w:space="0"/>
              <w:bottom w:val="single" w:color="auto" w:sz="4" w:space="0"/>
              <w:right w:val="single" w:color="auto" w:sz="4" w:space="0"/>
            </w:tcBorders>
            <w:vAlign w:val="center"/>
          </w:tcPr>
          <w:p w14:paraId="403A48D3">
            <w:pPr>
              <w:rPr>
                <w:rFonts w:ascii="宋体" w:hAnsi="宋体" w:cs="宋体"/>
                <w:color w:val="auto"/>
                <w:kern w:val="0"/>
                <w:sz w:val="21"/>
                <w:szCs w:val="21"/>
                <w:highlight w:val="none"/>
              </w:rPr>
            </w:pPr>
            <w:r>
              <w:rPr>
                <w:rFonts w:hint="eastAsia" w:ascii="宋体" w:hAnsi="宋体" w:cs="宋体"/>
                <w:color w:val="auto"/>
                <w:kern w:val="0"/>
                <w:sz w:val="21"/>
                <w:szCs w:val="21"/>
                <w:highlight w:val="none"/>
              </w:rPr>
              <w:t>出具无行贿犯罪记录在中国裁判文书网自行查询或自行承诺（查询对象：企业、法定代表人、拟派项目</w:t>
            </w:r>
            <w:r>
              <w:rPr>
                <w:rFonts w:hint="eastAsia" w:ascii="宋体" w:hAnsi="宋体" w:cs="宋体"/>
                <w:color w:val="auto"/>
                <w:kern w:val="0"/>
                <w:sz w:val="21"/>
                <w:szCs w:val="21"/>
                <w:highlight w:val="none"/>
                <w:lang w:val="en-US" w:eastAsia="zh-CN"/>
              </w:rPr>
              <w:t>经理</w:t>
            </w:r>
            <w:r>
              <w:rPr>
                <w:rFonts w:hint="eastAsia" w:ascii="宋体" w:hAnsi="宋体" w:cs="宋体"/>
                <w:color w:val="auto"/>
                <w:kern w:val="0"/>
                <w:sz w:val="21"/>
                <w:szCs w:val="21"/>
                <w:highlight w:val="none"/>
              </w:rPr>
              <w:t>）</w:t>
            </w:r>
          </w:p>
        </w:tc>
      </w:tr>
      <w:tr w14:paraId="66376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829" w:type="dxa"/>
            <w:vMerge w:val="continue"/>
            <w:tcBorders>
              <w:right w:val="single" w:color="auto" w:sz="4" w:space="0"/>
            </w:tcBorders>
            <w:vAlign w:val="center"/>
          </w:tcPr>
          <w:p w14:paraId="25CA62B1">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3D5510FD">
            <w:pPr>
              <w:pStyle w:val="38"/>
              <w:spacing w:line="240" w:lineRule="atLeast"/>
              <w:jc w:val="center"/>
              <w:rPr>
                <w:rFonts w:hAnsi="宋体"/>
                <w:color w:val="auto"/>
                <w:highlight w:val="none"/>
              </w:rPr>
            </w:pPr>
          </w:p>
        </w:tc>
        <w:tc>
          <w:tcPr>
            <w:tcW w:w="1811" w:type="dxa"/>
            <w:tcBorders>
              <w:top w:val="single" w:color="auto" w:sz="4" w:space="0"/>
              <w:left w:val="single" w:color="auto" w:sz="4" w:space="0"/>
              <w:right w:val="single" w:color="auto" w:sz="4" w:space="0"/>
            </w:tcBorders>
            <w:vAlign w:val="center"/>
          </w:tcPr>
          <w:p w14:paraId="3229B53B">
            <w:pPr>
              <w:spacing w:line="240" w:lineRule="exact"/>
              <w:jc w:val="center"/>
              <w:rPr>
                <w:rFonts w:ascii="宋体" w:hAnsi="宋体"/>
                <w:color w:val="auto"/>
                <w:szCs w:val="21"/>
                <w:highlight w:val="none"/>
              </w:rPr>
            </w:pPr>
            <w:r>
              <w:rPr>
                <w:rFonts w:hint="eastAsia" w:ascii="宋体" w:hAnsi="宋体"/>
                <w:color w:val="auto"/>
                <w:szCs w:val="21"/>
                <w:highlight w:val="none"/>
              </w:rPr>
              <w:t>信用要求</w:t>
            </w:r>
          </w:p>
        </w:tc>
        <w:tc>
          <w:tcPr>
            <w:tcW w:w="5329" w:type="dxa"/>
            <w:tcBorders>
              <w:top w:val="single" w:color="auto" w:sz="4" w:space="0"/>
              <w:left w:val="single" w:color="auto" w:sz="4" w:space="0"/>
              <w:bottom w:val="single" w:color="auto" w:sz="4" w:space="0"/>
              <w:right w:val="single" w:color="auto" w:sz="4" w:space="0"/>
            </w:tcBorders>
            <w:vAlign w:val="center"/>
          </w:tcPr>
          <w:p w14:paraId="67B7A6A6">
            <w:pPr>
              <w:rPr>
                <w:rFonts w:hint="eastAsia" w:ascii="宋体" w:hAnsi="宋体" w:eastAsia="宋体"/>
                <w:color w:val="auto"/>
                <w:szCs w:val="21"/>
                <w:highlight w:val="none"/>
              </w:rPr>
            </w:pPr>
            <w:r>
              <w:rPr>
                <w:rFonts w:hint="eastAsia" w:ascii="宋体" w:hAnsi="宋体" w:eastAsia="宋体"/>
                <w:color w:val="auto"/>
                <w:szCs w:val="21"/>
                <w:highlight w:val="none"/>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查询渠道：“信用中国”网站www.creditchina.gov.cn）、中国政府采购网（www.ccgp.gov.cn）】；供应商须提供查询结果截图</w:t>
            </w:r>
          </w:p>
        </w:tc>
      </w:tr>
      <w:tr w14:paraId="538FA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829" w:type="dxa"/>
            <w:vMerge w:val="continue"/>
            <w:tcBorders>
              <w:right w:val="single" w:color="auto" w:sz="4" w:space="0"/>
            </w:tcBorders>
            <w:vAlign w:val="center"/>
          </w:tcPr>
          <w:p w14:paraId="3C82C1E7">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485EBFCD">
            <w:pPr>
              <w:pStyle w:val="38"/>
              <w:spacing w:line="240" w:lineRule="atLeast"/>
              <w:jc w:val="center"/>
              <w:rPr>
                <w:rFonts w:hAnsi="宋体"/>
                <w:color w:val="auto"/>
                <w:highlight w:val="none"/>
              </w:rPr>
            </w:pPr>
          </w:p>
        </w:tc>
        <w:tc>
          <w:tcPr>
            <w:tcW w:w="1811" w:type="dxa"/>
            <w:tcBorders>
              <w:top w:val="single" w:color="auto" w:sz="4" w:space="0"/>
              <w:left w:val="single" w:color="auto" w:sz="4" w:space="0"/>
              <w:right w:val="single" w:color="auto" w:sz="4" w:space="0"/>
            </w:tcBorders>
            <w:vAlign w:val="center"/>
          </w:tcPr>
          <w:p w14:paraId="058CAF21">
            <w:pPr>
              <w:spacing w:line="240" w:lineRule="exact"/>
              <w:jc w:val="center"/>
              <w:rPr>
                <w:rFonts w:hint="eastAsia" w:ascii="宋体" w:hAnsi="宋体"/>
                <w:color w:val="auto"/>
                <w:szCs w:val="21"/>
                <w:highlight w:val="none"/>
              </w:rPr>
            </w:pPr>
            <w:r>
              <w:rPr>
                <w:rFonts w:hint="eastAsia" w:ascii="宋体" w:hAnsi="宋体"/>
                <w:color w:val="auto"/>
                <w:szCs w:val="21"/>
                <w:highlight w:val="none"/>
              </w:rPr>
              <w:t>不接受联合体参与</w:t>
            </w:r>
          </w:p>
        </w:tc>
        <w:tc>
          <w:tcPr>
            <w:tcW w:w="5329" w:type="dxa"/>
            <w:tcBorders>
              <w:top w:val="single" w:color="auto" w:sz="4" w:space="0"/>
              <w:left w:val="single" w:color="auto" w:sz="4" w:space="0"/>
              <w:bottom w:val="single" w:color="auto" w:sz="4" w:space="0"/>
              <w:right w:val="single" w:color="auto" w:sz="4" w:space="0"/>
            </w:tcBorders>
            <w:vAlign w:val="center"/>
          </w:tcPr>
          <w:p w14:paraId="6C27C976">
            <w:pP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提供非联合体投标承诺书</w:t>
            </w:r>
          </w:p>
        </w:tc>
      </w:tr>
      <w:tr w14:paraId="027AFF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829" w:type="dxa"/>
            <w:vMerge w:val="continue"/>
            <w:tcBorders>
              <w:right w:val="single" w:color="auto" w:sz="4" w:space="0"/>
            </w:tcBorders>
            <w:vAlign w:val="center"/>
          </w:tcPr>
          <w:p w14:paraId="6FEA88BC">
            <w:pPr>
              <w:pStyle w:val="38"/>
              <w:spacing w:line="240" w:lineRule="atLeast"/>
              <w:jc w:val="center"/>
              <w:rPr>
                <w:rFonts w:hAnsi="宋体"/>
                <w:color w:val="auto"/>
                <w:highlight w:val="none"/>
              </w:rPr>
            </w:pPr>
          </w:p>
        </w:tc>
        <w:tc>
          <w:tcPr>
            <w:tcW w:w="830" w:type="dxa"/>
            <w:vMerge w:val="continue"/>
            <w:tcBorders>
              <w:right w:val="single" w:color="auto" w:sz="4" w:space="0"/>
            </w:tcBorders>
            <w:vAlign w:val="center"/>
          </w:tcPr>
          <w:p w14:paraId="4362E6A4">
            <w:pPr>
              <w:pStyle w:val="38"/>
              <w:spacing w:line="240" w:lineRule="atLeast"/>
              <w:jc w:val="center"/>
              <w:rPr>
                <w:rFonts w:hAnsi="宋体"/>
                <w:color w:val="auto"/>
                <w:highlight w:val="none"/>
              </w:rPr>
            </w:pPr>
          </w:p>
        </w:tc>
        <w:tc>
          <w:tcPr>
            <w:tcW w:w="1811" w:type="dxa"/>
            <w:tcBorders>
              <w:top w:val="single" w:color="auto" w:sz="4" w:space="0"/>
              <w:left w:val="single" w:color="auto" w:sz="4" w:space="0"/>
              <w:right w:val="single" w:color="auto" w:sz="4" w:space="0"/>
            </w:tcBorders>
            <w:vAlign w:val="center"/>
          </w:tcPr>
          <w:p w14:paraId="4F58F7AF">
            <w:pPr>
              <w:jc w:val="center"/>
              <w:rPr>
                <w:rFonts w:ascii="宋体" w:hAnsi="宋体" w:cs="宋体"/>
                <w:color w:val="auto"/>
                <w:kern w:val="0"/>
                <w:sz w:val="24"/>
                <w:highlight w:val="none"/>
              </w:rPr>
            </w:pPr>
            <w:r>
              <w:rPr>
                <w:rFonts w:hint="eastAsia" w:ascii="宋体" w:hAnsi="宋体"/>
                <w:color w:val="auto"/>
                <w:szCs w:val="21"/>
                <w:highlight w:val="none"/>
              </w:rPr>
              <w:t>中小企业声明函</w:t>
            </w:r>
          </w:p>
        </w:tc>
        <w:tc>
          <w:tcPr>
            <w:tcW w:w="5329" w:type="dxa"/>
            <w:tcBorders>
              <w:top w:val="single" w:color="auto" w:sz="4" w:space="0"/>
              <w:left w:val="single" w:color="auto" w:sz="4" w:space="0"/>
              <w:bottom w:val="single" w:color="auto" w:sz="4" w:space="0"/>
              <w:right w:val="single" w:color="auto" w:sz="4" w:space="0"/>
            </w:tcBorders>
            <w:vAlign w:val="center"/>
          </w:tcPr>
          <w:p w14:paraId="700F53BD">
            <w:pPr>
              <w:rPr>
                <w:rFonts w:hint="eastAsia" w:ascii="宋体" w:hAnsi="宋体" w:eastAsia="宋体"/>
                <w:color w:val="auto"/>
                <w:szCs w:val="21"/>
                <w:highlight w:val="none"/>
              </w:rPr>
            </w:pPr>
            <w:r>
              <w:rPr>
                <w:rFonts w:hint="eastAsia" w:ascii="宋体" w:hAnsi="宋体" w:eastAsia="宋体"/>
                <w:color w:val="auto"/>
                <w:szCs w:val="21"/>
                <w:highlight w:val="none"/>
              </w:rPr>
              <w:t>磋商</w:t>
            </w:r>
            <w:r>
              <w:rPr>
                <w:rFonts w:hint="eastAsia" w:ascii="宋体" w:hAnsi="宋体"/>
                <w:color w:val="auto"/>
                <w:szCs w:val="21"/>
                <w:highlight w:val="none"/>
                <w:lang w:eastAsia="zh-CN"/>
              </w:rPr>
              <w:t>供应商</w:t>
            </w:r>
            <w:r>
              <w:rPr>
                <w:rFonts w:hint="eastAsia" w:ascii="宋体" w:hAnsi="宋体" w:eastAsia="宋体"/>
                <w:color w:val="auto"/>
                <w:szCs w:val="21"/>
                <w:highlight w:val="none"/>
              </w:rPr>
              <w:t>出具中小企业声明函</w:t>
            </w:r>
          </w:p>
        </w:tc>
      </w:tr>
      <w:tr w14:paraId="257D0A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829" w:type="dxa"/>
            <w:vMerge w:val="restart"/>
            <w:tcBorders>
              <w:top w:val="single" w:color="auto" w:sz="4" w:space="0"/>
              <w:right w:val="single" w:color="auto" w:sz="4" w:space="0"/>
            </w:tcBorders>
            <w:vAlign w:val="center"/>
          </w:tcPr>
          <w:p w14:paraId="68960F8D">
            <w:pPr>
              <w:pStyle w:val="38"/>
              <w:spacing w:line="240" w:lineRule="atLeast"/>
              <w:jc w:val="center"/>
              <w:rPr>
                <w:rFonts w:hAnsi="宋体"/>
                <w:color w:val="auto"/>
                <w:highlight w:val="none"/>
              </w:rPr>
            </w:pPr>
            <w:r>
              <w:rPr>
                <w:rFonts w:hint="eastAsia" w:hAnsi="宋体"/>
                <w:color w:val="auto"/>
                <w:highlight w:val="none"/>
              </w:rPr>
              <w:t>2.1.3</w:t>
            </w:r>
          </w:p>
        </w:tc>
        <w:tc>
          <w:tcPr>
            <w:tcW w:w="830" w:type="dxa"/>
            <w:vMerge w:val="restart"/>
            <w:tcBorders>
              <w:top w:val="single" w:color="auto" w:sz="4" w:space="0"/>
              <w:right w:val="single" w:color="auto" w:sz="4" w:space="0"/>
            </w:tcBorders>
            <w:vAlign w:val="center"/>
          </w:tcPr>
          <w:p w14:paraId="25C38F89">
            <w:pPr>
              <w:pStyle w:val="38"/>
              <w:spacing w:line="240" w:lineRule="atLeast"/>
              <w:jc w:val="center"/>
              <w:rPr>
                <w:rFonts w:hAnsi="宋体"/>
                <w:color w:val="auto"/>
                <w:highlight w:val="none"/>
              </w:rPr>
            </w:pPr>
            <w:r>
              <w:rPr>
                <w:rFonts w:hint="eastAsia" w:hAnsi="宋体"/>
                <w:color w:val="auto"/>
                <w:highlight w:val="none"/>
              </w:rPr>
              <w:t>响</w:t>
            </w:r>
          </w:p>
          <w:p w14:paraId="759C2B76">
            <w:pPr>
              <w:pStyle w:val="38"/>
              <w:spacing w:line="240" w:lineRule="atLeast"/>
              <w:jc w:val="center"/>
              <w:rPr>
                <w:rFonts w:hAnsi="宋体"/>
                <w:color w:val="auto"/>
                <w:highlight w:val="none"/>
              </w:rPr>
            </w:pPr>
            <w:r>
              <w:rPr>
                <w:rFonts w:hint="eastAsia" w:hAnsi="宋体"/>
                <w:color w:val="auto"/>
                <w:highlight w:val="none"/>
              </w:rPr>
              <w:t>应</w:t>
            </w:r>
          </w:p>
          <w:p w14:paraId="797519F1">
            <w:pPr>
              <w:pStyle w:val="38"/>
              <w:spacing w:line="240" w:lineRule="atLeast"/>
              <w:jc w:val="center"/>
              <w:rPr>
                <w:rFonts w:hAnsi="宋体"/>
                <w:color w:val="auto"/>
                <w:highlight w:val="none"/>
              </w:rPr>
            </w:pPr>
            <w:r>
              <w:rPr>
                <w:rFonts w:hint="eastAsia" w:hAnsi="宋体"/>
                <w:color w:val="auto"/>
                <w:highlight w:val="none"/>
              </w:rPr>
              <w:t>性</w:t>
            </w:r>
          </w:p>
          <w:p w14:paraId="63D55CF0">
            <w:pPr>
              <w:pStyle w:val="38"/>
              <w:spacing w:line="240" w:lineRule="atLeast"/>
              <w:jc w:val="center"/>
              <w:rPr>
                <w:rFonts w:hAnsi="宋体"/>
                <w:color w:val="auto"/>
                <w:highlight w:val="none"/>
              </w:rPr>
            </w:pPr>
            <w:r>
              <w:rPr>
                <w:rFonts w:hint="eastAsia" w:hAnsi="宋体"/>
                <w:color w:val="auto"/>
                <w:highlight w:val="none"/>
              </w:rPr>
              <w:t>评</w:t>
            </w:r>
          </w:p>
          <w:p w14:paraId="034466A8">
            <w:pPr>
              <w:pStyle w:val="38"/>
              <w:spacing w:line="240" w:lineRule="atLeast"/>
              <w:jc w:val="center"/>
              <w:rPr>
                <w:rFonts w:hAnsi="宋体"/>
                <w:color w:val="auto"/>
                <w:highlight w:val="none"/>
              </w:rPr>
            </w:pPr>
            <w:r>
              <w:rPr>
                <w:rFonts w:hint="eastAsia" w:hAnsi="宋体"/>
                <w:color w:val="auto"/>
                <w:highlight w:val="none"/>
              </w:rPr>
              <w:t>审</w:t>
            </w:r>
          </w:p>
          <w:p w14:paraId="787A156D">
            <w:pPr>
              <w:pStyle w:val="38"/>
              <w:spacing w:line="240" w:lineRule="atLeast"/>
              <w:jc w:val="center"/>
              <w:rPr>
                <w:rFonts w:hAnsi="宋体"/>
                <w:color w:val="auto"/>
                <w:highlight w:val="none"/>
              </w:rPr>
            </w:pPr>
            <w:r>
              <w:rPr>
                <w:rFonts w:hint="eastAsia" w:hAnsi="宋体"/>
                <w:color w:val="auto"/>
                <w:highlight w:val="none"/>
              </w:rPr>
              <w:t>标</w:t>
            </w:r>
          </w:p>
          <w:p w14:paraId="1E5EF0C8">
            <w:pPr>
              <w:pStyle w:val="38"/>
              <w:spacing w:line="240" w:lineRule="atLeast"/>
              <w:jc w:val="center"/>
              <w:rPr>
                <w:rFonts w:hAnsi="宋体"/>
                <w:color w:val="auto"/>
                <w:highlight w:val="none"/>
              </w:rPr>
            </w:pPr>
            <w:r>
              <w:rPr>
                <w:rFonts w:hint="eastAsia" w:hAnsi="宋体"/>
                <w:color w:val="auto"/>
                <w:highlight w:val="none"/>
              </w:rPr>
              <w:t>准</w:t>
            </w:r>
          </w:p>
        </w:tc>
        <w:tc>
          <w:tcPr>
            <w:tcW w:w="1811" w:type="dxa"/>
            <w:tcBorders>
              <w:top w:val="single" w:color="auto" w:sz="4" w:space="0"/>
              <w:left w:val="single" w:color="auto" w:sz="4" w:space="0"/>
              <w:right w:val="single" w:color="auto" w:sz="4" w:space="0"/>
            </w:tcBorders>
            <w:vAlign w:val="center"/>
          </w:tcPr>
          <w:p w14:paraId="456F6754">
            <w:pPr>
              <w:jc w:val="center"/>
              <w:rPr>
                <w:rFonts w:ascii="宋体" w:hAnsi="宋体" w:cs="宋体"/>
                <w:color w:val="auto"/>
                <w:sz w:val="24"/>
                <w:highlight w:val="none"/>
              </w:rPr>
            </w:pPr>
            <w:r>
              <w:rPr>
                <w:rFonts w:hint="eastAsia" w:ascii="宋体" w:hAnsi="宋体"/>
                <w:color w:val="auto"/>
                <w:szCs w:val="21"/>
                <w:highlight w:val="none"/>
              </w:rPr>
              <w:t>磋商范围</w:t>
            </w:r>
          </w:p>
        </w:tc>
        <w:tc>
          <w:tcPr>
            <w:tcW w:w="5329" w:type="dxa"/>
            <w:tcBorders>
              <w:top w:val="single" w:color="auto" w:sz="4" w:space="0"/>
              <w:left w:val="single" w:color="auto" w:sz="4" w:space="0"/>
              <w:bottom w:val="single" w:color="auto" w:sz="4" w:space="0"/>
              <w:right w:val="single" w:color="auto" w:sz="4" w:space="0"/>
            </w:tcBorders>
            <w:vAlign w:val="center"/>
          </w:tcPr>
          <w:p w14:paraId="30FC894E">
            <w:pPr>
              <w:rPr>
                <w:rFonts w:ascii="宋体" w:hAnsi="宋体" w:cs="宋体"/>
                <w:color w:val="auto"/>
                <w:sz w:val="24"/>
                <w:highlight w:val="none"/>
              </w:rPr>
            </w:pPr>
            <w:r>
              <w:rPr>
                <w:rFonts w:hint="eastAsia" w:ascii="宋体" w:hAnsi="宋体"/>
                <w:color w:val="auto"/>
                <w:szCs w:val="21"/>
                <w:highlight w:val="none"/>
              </w:rPr>
              <w:t>符合竞争性磋商文件招标范围要求</w:t>
            </w:r>
          </w:p>
        </w:tc>
      </w:tr>
      <w:tr w14:paraId="0B0EB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829" w:type="dxa"/>
            <w:vMerge w:val="continue"/>
            <w:tcBorders>
              <w:right w:val="single" w:color="auto" w:sz="4" w:space="0"/>
            </w:tcBorders>
            <w:vAlign w:val="center"/>
          </w:tcPr>
          <w:p w14:paraId="13A31E45">
            <w:pPr>
              <w:adjustRightInd w:val="0"/>
              <w:spacing w:line="360" w:lineRule="auto"/>
              <w:jc w:val="center"/>
              <w:textAlignment w:val="baseline"/>
              <w:rPr>
                <w:rFonts w:ascii="宋体" w:hAnsi="宋体" w:cs="宋体"/>
                <w:color w:val="auto"/>
                <w:sz w:val="24"/>
                <w:highlight w:val="none"/>
              </w:rPr>
            </w:pPr>
          </w:p>
        </w:tc>
        <w:tc>
          <w:tcPr>
            <w:tcW w:w="830" w:type="dxa"/>
            <w:vMerge w:val="continue"/>
            <w:tcBorders>
              <w:right w:val="single" w:color="auto" w:sz="4" w:space="0"/>
            </w:tcBorders>
            <w:vAlign w:val="center"/>
          </w:tcPr>
          <w:p w14:paraId="31EF56DA">
            <w:pPr>
              <w:adjustRightInd w:val="0"/>
              <w:spacing w:line="360" w:lineRule="auto"/>
              <w:jc w:val="center"/>
              <w:textAlignment w:val="baseline"/>
              <w:rPr>
                <w:rFonts w:ascii="宋体" w:hAnsi="宋体" w:cs="宋体"/>
                <w:color w:val="auto"/>
                <w:kern w:val="0"/>
                <w:sz w:val="24"/>
                <w:highlight w:val="none"/>
              </w:rPr>
            </w:pPr>
          </w:p>
        </w:tc>
        <w:tc>
          <w:tcPr>
            <w:tcW w:w="1811" w:type="dxa"/>
            <w:tcBorders>
              <w:top w:val="single" w:color="auto" w:sz="4" w:space="0"/>
              <w:left w:val="single" w:color="auto" w:sz="4" w:space="0"/>
              <w:right w:val="single" w:color="auto" w:sz="4" w:space="0"/>
            </w:tcBorders>
            <w:vAlign w:val="center"/>
          </w:tcPr>
          <w:p w14:paraId="48CFFB50">
            <w:pPr>
              <w:jc w:val="center"/>
              <w:rPr>
                <w:rFonts w:ascii="宋体" w:hAnsi="宋体"/>
                <w:color w:val="auto"/>
                <w:szCs w:val="21"/>
                <w:highlight w:val="none"/>
              </w:rPr>
            </w:pPr>
            <w:r>
              <w:rPr>
                <w:rFonts w:hint="eastAsia" w:ascii="宋体" w:hAnsi="宋体"/>
                <w:color w:val="auto"/>
                <w:szCs w:val="21"/>
                <w:highlight w:val="none"/>
              </w:rPr>
              <w:t>计划工期</w:t>
            </w:r>
          </w:p>
        </w:tc>
        <w:tc>
          <w:tcPr>
            <w:tcW w:w="5329" w:type="dxa"/>
            <w:tcBorders>
              <w:top w:val="single" w:color="auto" w:sz="4" w:space="0"/>
              <w:left w:val="single" w:color="auto" w:sz="4" w:space="0"/>
              <w:bottom w:val="single" w:color="auto" w:sz="4" w:space="0"/>
              <w:right w:val="single" w:color="auto" w:sz="4" w:space="0"/>
            </w:tcBorders>
            <w:vAlign w:val="center"/>
          </w:tcPr>
          <w:p w14:paraId="5272CE19">
            <w:pPr>
              <w:rPr>
                <w:rFonts w:hint="eastAsia" w:ascii="宋体" w:hAnsi="宋体" w:eastAsia="宋体" w:cs="宋体"/>
                <w:color w:val="auto"/>
                <w:sz w:val="24"/>
                <w:highlight w:val="none"/>
                <w:lang w:eastAsia="zh-CN"/>
              </w:rPr>
            </w:pPr>
            <w:r>
              <w:rPr>
                <w:rFonts w:hint="eastAsia" w:ascii="宋体" w:hAnsi="宋体"/>
                <w:color w:val="auto"/>
                <w:szCs w:val="21"/>
                <w:highlight w:val="none"/>
                <w:lang w:val="en-US" w:eastAsia="zh-CN"/>
              </w:rPr>
              <w:t>90日历天</w:t>
            </w:r>
          </w:p>
        </w:tc>
      </w:tr>
      <w:tr w14:paraId="29BCB2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29" w:type="dxa"/>
            <w:vMerge w:val="continue"/>
            <w:tcBorders>
              <w:right w:val="single" w:color="auto" w:sz="4" w:space="0"/>
            </w:tcBorders>
            <w:vAlign w:val="center"/>
          </w:tcPr>
          <w:p w14:paraId="2B828224">
            <w:pPr>
              <w:adjustRightInd w:val="0"/>
              <w:spacing w:line="360" w:lineRule="auto"/>
              <w:jc w:val="center"/>
              <w:textAlignment w:val="baseline"/>
              <w:rPr>
                <w:rFonts w:ascii="宋体" w:hAnsi="宋体" w:cs="宋体"/>
                <w:color w:val="auto"/>
                <w:sz w:val="24"/>
                <w:highlight w:val="none"/>
              </w:rPr>
            </w:pPr>
          </w:p>
        </w:tc>
        <w:tc>
          <w:tcPr>
            <w:tcW w:w="830" w:type="dxa"/>
            <w:vMerge w:val="continue"/>
            <w:tcBorders>
              <w:right w:val="single" w:color="auto" w:sz="4" w:space="0"/>
            </w:tcBorders>
            <w:vAlign w:val="center"/>
          </w:tcPr>
          <w:p w14:paraId="579636C7">
            <w:pPr>
              <w:adjustRightInd w:val="0"/>
              <w:spacing w:line="360" w:lineRule="auto"/>
              <w:jc w:val="center"/>
              <w:textAlignment w:val="baseline"/>
              <w:rPr>
                <w:rFonts w:ascii="宋体" w:hAnsi="宋体" w:cs="宋体"/>
                <w:color w:val="auto"/>
                <w:kern w:val="0"/>
                <w:sz w:val="24"/>
                <w:highlight w:val="none"/>
              </w:rPr>
            </w:pPr>
          </w:p>
        </w:tc>
        <w:tc>
          <w:tcPr>
            <w:tcW w:w="1811" w:type="dxa"/>
            <w:tcBorders>
              <w:top w:val="single" w:color="auto" w:sz="4" w:space="0"/>
              <w:left w:val="single" w:color="auto" w:sz="4" w:space="0"/>
              <w:right w:val="single" w:color="auto" w:sz="4" w:space="0"/>
            </w:tcBorders>
            <w:vAlign w:val="center"/>
          </w:tcPr>
          <w:p w14:paraId="64FEA4F8">
            <w:pPr>
              <w:jc w:val="center"/>
              <w:rPr>
                <w:rFonts w:ascii="宋体" w:hAnsi="宋体"/>
                <w:color w:val="auto"/>
                <w:sz w:val="21"/>
                <w:szCs w:val="21"/>
                <w:highlight w:val="none"/>
              </w:rPr>
            </w:pPr>
            <w:r>
              <w:rPr>
                <w:rFonts w:ascii="宋体" w:hAnsi="宋体"/>
                <w:color w:val="auto"/>
                <w:sz w:val="21"/>
                <w:szCs w:val="21"/>
                <w:highlight w:val="none"/>
              </w:rPr>
              <w:t>质量</w:t>
            </w:r>
            <w:r>
              <w:rPr>
                <w:rFonts w:hint="eastAsia" w:ascii="宋体" w:hAnsi="宋体"/>
                <w:color w:val="auto"/>
                <w:sz w:val="21"/>
                <w:szCs w:val="21"/>
                <w:highlight w:val="none"/>
              </w:rPr>
              <w:t>要求</w:t>
            </w:r>
          </w:p>
        </w:tc>
        <w:tc>
          <w:tcPr>
            <w:tcW w:w="5329" w:type="dxa"/>
            <w:tcBorders>
              <w:top w:val="single" w:color="auto" w:sz="4" w:space="0"/>
              <w:left w:val="single" w:color="auto" w:sz="4" w:space="0"/>
              <w:bottom w:val="single" w:color="auto" w:sz="4" w:space="0"/>
              <w:right w:val="single" w:color="auto" w:sz="4" w:space="0"/>
            </w:tcBorders>
            <w:vAlign w:val="center"/>
          </w:tcPr>
          <w:p w14:paraId="4FFFAA18">
            <w:pPr>
              <w:pStyle w:val="6"/>
              <w:adjustRightInd/>
              <w:spacing w:after="0" w:line="360" w:lineRule="auto"/>
              <w:ind w:left="63" w:right="63"/>
              <w:jc w:val="both"/>
              <w:textAlignment w:val="auto"/>
              <w:rPr>
                <w:rFonts w:ascii="宋体" w:hAnsi="宋体" w:cs="宋体"/>
                <w:color w:val="auto"/>
                <w:sz w:val="21"/>
                <w:szCs w:val="21"/>
                <w:highlight w:val="none"/>
              </w:rPr>
            </w:pPr>
            <w:r>
              <w:rPr>
                <w:rFonts w:hint="eastAsia" w:ascii="宋体" w:hAnsi="宋体" w:cs="宋体"/>
                <w:color w:val="auto"/>
                <w:sz w:val="21"/>
                <w:szCs w:val="21"/>
                <w:highlight w:val="none"/>
              </w:rPr>
              <w:t>符合国家现行公路工程施工质量评定合格标准</w:t>
            </w:r>
          </w:p>
        </w:tc>
      </w:tr>
      <w:tr w14:paraId="296DBE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29" w:type="dxa"/>
            <w:vMerge w:val="continue"/>
            <w:tcBorders>
              <w:right w:val="single" w:color="auto" w:sz="4" w:space="0"/>
            </w:tcBorders>
            <w:vAlign w:val="center"/>
          </w:tcPr>
          <w:p w14:paraId="1087682A">
            <w:pPr>
              <w:adjustRightInd w:val="0"/>
              <w:spacing w:line="360" w:lineRule="auto"/>
              <w:jc w:val="center"/>
              <w:textAlignment w:val="baseline"/>
              <w:rPr>
                <w:rFonts w:ascii="宋体" w:hAnsi="宋体" w:cs="宋体"/>
                <w:color w:val="auto"/>
                <w:sz w:val="24"/>
                <w:highlight w:val="none"/>
              </w:rPr>
            </w:pPr>
          </w:p>
        </w:tc>
        <w:tc>
          <w:tcPr>
            <w:tcW w:w="830" w:type="dxa"/>
            <w:vMerge w:val="continue"/>
            <w:tcBorders>
              <w:right w:val="single" w:color="auto" w:sz="4" w:space="0"/>
            </w:tcBorders>
            <w:vAlign w:val="center"/>
          </w:tcPr>
          <w:p w14:paraId="320FEBA8">
            <w:pPr>
              <w:adjustRightInd w:val="0"/>
              <w:spacing w:line="360" w:lineRule="auto"/>
              <w:jc w:val="center"/>
              <w:textAlignment w:val="baseline"/>
              <w:rPr>
                <w:rFonts w:ascii="宋体" w:hAnsi="宋体" w:cs="宋体"/>
                <w:color w:val="auto"/>
                <w:kern w:val="0"/>
                <w:sz w:val="24"/>
                <w:highlight w:val="none"/>
              </w:rPr>
            </w:pPr>
          </w:p>
        </w:tc>
        <w:tc>
          <w:tcPr>
            <w:tcW w:w="1811" w:type="dxa"/>
            <w:tcBorders>
              <w:top w:val="single" w:color="auto" w:sz="4" w:space="0"/>
              <w:left w:val="single" w:color="auto" w:sz="4" w:space="0"/>
              <w:right w:val="single" w:color="auto" w:sz="4" w:space="0"/>
            </w:tcBorders>
            <w:vAlign w:val="center"/>
          </w:tcPr>
          <w:p w14:paraId="20BED9BF">
            <w:pPr>
              <w:jc w:val="center"/>
              <w:rPr>
                <w:rFonts w:ascii="宋体" w:hAnsi="宋体" w:cs="宋体"/>
                <w:color w:val="auto"/>
                <w:sz w:val="24"/>
                <w:highlight w:val="none"/>
              </w:rPr>
            </w:pPr>
            <w:r>
              <w:rPr>
                <w:rFonts w:hint="eastAsia" w:ascii="宋体" w:hAnsi="宋体"/>
                <w:color w:val="auto"/>
                <w:szCs w:val="21"/>
                <w:highlight w:val="none"/>
              </w:rPr>
              <w:t>磋商</w:t>
            </w:r>
            <w:r>
              <w:rPr>
                <w:rFonts w:ascii="宋体" w:hAnsi="宋体"/>
                <w:color w:val="auto"/>
                <w:szCs w:val="21"/>
                <w:highlight w:val="none"/>
              </w:rPr>
              <w:t>有效期</w:t>
            </w:r>
          </w:p>
        </w:tc>
        <w:tc>
          <w:tcPr>
            <w:tcW w:w="5329" w:type="dxa"/>
            <w:tcBorders>
              <w:top w:val="single" w:color="auto" w:sz="4" w:space="0"/>
              <w:left w:val="single" w:color="auto" w:sz="4" w:space="0"/>
              <w:bottom w:val="single" w:color="auto" w:sz="4" w:space="0"/>
              <w:right w:val="single" w:color="auto" w:sz="4" w:space="0"/>
            </w:tcBorders>
            <w:vAlign w:val="center"/>
          </w:tcPr>
          <w:p w14:paraId="66543548">
            <w:pPr>
              <w:rPr>
                <w:rFonts w:ascii="宋体" w:hAnsi="宋体" w:cs="宋体"/>
                <w:color w:val="auto"/>
                <w:sz w:val="24"/>
                <w:highlight w:val="none"/>
              </w:rPr>
            </w:pPr>
            <w:r>
              <w:rPr>
                <w:rFonts w:hint="eastAsia" w:ascii="宋体" w:hAnsi="宋体"/>
                <w:color w:val="auto"/>
                <w:szCs w:val="21"/>
                <w:highlight w:val="none"/>
              </w:rPr>
              <w:t>磋商截止之日起60日历天</w:t>
            </w:r>
          </w:p>
        </w:tc>
      </w:tr>
      <w:tr w14:paraId="722F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829" w:type="dxa"/>
            <w:vMerge w:val="continue"/>
            <w:tcBorders>
              <w:right w:val="single" w:color="auto" w:sz="4" w:space="0"/>
            </w:tcBorders>
            <w:vAlign w:val="center"/>
          </w:tcPr>
          <w:p w14:paraId="31B70F65">
            <w:pPr>
              <w:adjustRightInd w:val="0"/>
              <w:spacing w:line="360" w:lineRule="auto"/>
              <w:jc w:val="center"/>
              <w:textAlignment w:val="baseline"/>
              <w:rPr>
                <w:rFonts w:ascii="宋体" w:hAnsi="宋体" w:cs="宋体"/>
                <w:color w:val="auto"/>
                <w:sz w:val="24"/>
                <w:highlight w:val="none"/>
              </w:rPr>
            </w:pPr>
          </w:p>
        </w:tc>
        <w:tc>
          <w:tcPr>
            <w:tcW w:w="830" w:type="dxa"/>
            <w:vMerge w:val="continue"/>
            <w:tcBorders>
              <w:right w:val="single" w:color="auto" w:sz="4" w:space="0"/>
            </w:tcBorders>
            <w:vAlign w:val="center"/>
          </w:tcPr>
          <w:p w14:paraId="24D19820">
            <w:pPr>
              <w:adjustRightInd w:val="0"/>
              <w:spacing w:line="360" w:lineRule="auto"/>
              <w:jc w:val="center"/>
              <w:textAlignment w:val="baseline"/>
              <w:rPr>
                <w:rFonts w:ascii="宋体" w:hAnsi="宋体" w:cs="宋体"/>
                <w:color w:val="auto"/>
                <w:kern w:val="0"/>
                <w:sz w:val="24"/>
                <w:highlight w:val="none"/>
              </w:rPr>
            </w:pPr>
          </w:p>
        </w:tc>
        <w:tc>
          <w:tcPr>
            <w:tcW w:w="1811" w:type="dxa"/>
            <w:tcBorders>
              <w:top w:val="single" w:color="auto" w:sz="4" w:space="0"/>
              <w:left w:val="single" w:color="auto" w:sz="4" w:space="0"/>
              <w:right w:val="single" w:color="auto" w:sz="4" w:space="0"/>
            </w:tcBorders>
            <w:vAlign w:val="center"/>
          </w:tcPr>
          <w:p w14:paraId="157576DC">
            <w:pPr>
              <w:jc w:val="center"/>
              <w:rPr>
                <w:rFonts w:ascii="宋体" w:hAnsi="宋体"/>
                <w:color w:val="auto"/>
                <w:szCs w:val="21"/>
                <w:highlight w:val="none"/>
              </w:rPr>
            </w:pPr>
            <w:r>
              <w:rPr>
                <w:rFonts w:hint="eastAsia" w:ascii="宋体" w:hAnsi="宋体"/>
                <w:color w:val="auto"/>
                <w:szCs w:val="21"/>
                <w:highlight w:val="none"/>
              </w:rPr>
              <w:t>磋商报价</w:t>
            </w:r>
          </w:p>
        </w:tc>
        <w:tc>
          <w:tcPr>
            <w:tcW w:w="5329" w:type="dxa"/>
            <w:tcBorders>
              <w:top w:val="single" w:color="auto" w:sz="4" w:space="0"/>
              <w:left w:val="single" w:color="auto" w:sz="4" w:space="0"/>
              <w:bottom w:val="single" w:color="auto" w:sz="4" w:space="0"/>
              <w:right w:val="single" w:color="auto" w:sz="4" w:space="0"/>
            </w:tcBorders>
            <w:vAlign w:val="center"/>
          </w:tcPr>
          <w:p w14:paraId="407968C4">
            <w:pPr>
              <w:jc w:val="both"/>
              <w:rPr>
                <w:rFonts w:ascii="宋体" w:hAnsi="宋体"/>
                <w:color w:val="auto"/>
                <w:szCs w:val="21"/>
                <w:highlight w:val="none"/>
              </w:rPr>
            </w:pPr>
            <w:r>
              <w:rPr>
                <w:rFonts w:hint="eastAsia" w:ascii="宋体" w:hAnsi="宋体"/>
                <w:color w:val="auto"/>
                <w:szCs w:val="21"/>
                <w:highlight w:val="none"/>
              </w:rPr>
              <w:t>磋商报价在规定的报价要求范围之内，未超出控制价</w:t>
            </w:r>
          </w:p>
        </w:tc>
      </w:tr>
    </w:tbl>
    <w:p w14:paraId="06B453AF">
      <w:pPr>
        <w:adjustRightInd w:val="0"/>
        <w:ind w:firstLine="482"/>
        <w:rPr>
          <w:rFonts w:ascii="宋体" w:hAnsi="宋体"/>
          <w:b/>
          <w:color w:val="auto"/>
          <w:sz w:val="24"/>
          <w:highlight w:val="none"/>
        </w:rPr>
      </w:pPr>
      <w:bookmarkStart w:id="150" w:name="_Toc318450722"/>
      <w:bookmarkStart w:id="151" w:name="_Toc152045600"/>
      <w:bookmarkStart w:id="152" w:name="_Toc281405528"/>
      <w:bookmarkStart w:id="153" w:name="_Toc152042377"/>
      <w:bookmarkStart w:id="154" w:name="_Toc144974567"/>
    </w:p>
    <w:tbl>
      <w:tblPr>
        <w:tblStyle w:val="17"/>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955"/>
        <w:gridCol w:w="2106"/>
        <w:gridCol w:w="4775"/>
      </w:tblGrid>
      <w:tr w14:paraId="4248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578" w:type="dxa"/>
            <w:gridSpan w:val="4"/>
            <w:vAlign w:val="center"/>
          </w:tcPr>
          <w:p w14:paraId="79C8A92A">
            <w:pPr>
              <w:snapToGrid w:val="0"/>
              <w:spacing w:line="360" w:lineRule="auto"/>
              <w:ind w:firstLine="420" w:firstLineChars="175"/>
              <w:rPr>
                <w:rFonts w:ascii="宋体" w:hAnsi="宋体"/>
                <w:color w:val="auto"/>
                <w:szCs w:val="21"/>
                <w:highlight w:val="none"/>
              </w:rPr>
            </w:pPr>
            <w:r>
              <w:rPr>
                <w:rFonts w:hint="eastAsia" w:ascii="宋体" w:hAnsi="宋体"/>
                <w:color w:val="auto"/>
                <w:sz w:val="24"/>
                <w:szCs w:val="24"/>
                <w:highlight w:val="none"/>
              </w:rPr>
              <w:t>2.2在评审过程中，凡遇到磋商文件中无界定或界定不清、前后不一致使磋商小组意见有分歧且又难于协商一致的问题，均由磋商小组予以表决，获半数以上同意的即为通过，未获半数同意的即为否决。</w:t>
            </w:r>
          </w:p>
        </w:tc>
      </w:tr>
      <w:tr w14:paraId="432E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97" w:type="dxa"/>
            <w:gridSpan w:val="2"/>
            <w:vAlign w:val="center"/>
          </w:tcPr>
          <w:p w14:paraId="7F3EB901">
            <w:pPr>
              <w:jc w:val="center"/>
              <w:rPr>
                <w:rFonts w:ascii="宋体" w:hAnsi="宋体"/>
                <w:color w:val="auto"/>
                <w:szCs w:val="21"/>
                <w:highlight w:val="none"/>
              </w:rPr>
            </w:pPr>
            <w:r>
              <w:rPr>
                <w:rFonts w:hint="eastAsia" w:ascii="宋体" w:hAnsi="宋体"/>
                <w:color w:val="auto"/>
                <w:szCs w:val="21"/>
                <w:highlight w:val="none"/>
              </w:rPr>
              <w:t>条款号</w:t>
            </w:r>
          </w:p>
        </w:tc>
        <w:tc>
          <w:tcPr>
            <w:tcW w:w="2106" w:type="dxa"/>
            <w:vAlign w:val="center"/>
          </w:tcPr>
          <w:p w14:paraId="51BF17FE">
            <w:pPr>
              <w:jc w:val="center"/>
              <w:rPr>
                <w:rFonts w:ascii="宋体" w:hAnsi="宋体"/>
                <w:color w:val="auto"/>
                <w:szCs w:val="21"/>
                <w:highlight w:val="none"/>
              </w:rPr>
            </w:pPr>
            <w:r>
              <w:rPr>
                <w:rFonts w:hint="eastAsia" w:ascii="宋体" w:hAnsi="宋体"/>
                <w:color w:val="auto"/>
                <w:szCs w:val="21"/>
                <w:highlight w:val="none"/>
              </w:rPr>
              <w:t>条款内容</w:t>
            </w:r>
          </w:p>
        </w:tc>
        <w:tc>
          <w:tcPr>
            <w:tcW w:w="4775" w:type="dxa"/>
            <w:vAlign w:val="center"/>
          </w:tcPr>
          <w:p w14:paraId="6166A5C2">
            <w:pPr>
              <w:jc w:val="center"/>
              <w:rPr>
                <w:rFonts w:ascii="宋体" w:hAnsi="宋体"/>
                <w:color w:val="auto"/>
                <w:szCs w:val="21"/>
                <w:highlight w:val="none"/>
              </w:rPr>
            </w:pPr>
            <w:r>
              <w:rPr>
                <w:rFonts w:hint="eastAsia" w:ascii="宋体" w:hAnsi="宋体"/>
                <w:color w:val="auto"/>
                <w:szCs w:val="21"/>
                <w:highlight w:val="none"/>
              </w:rPr>
              <w:t>编列内容</w:t>
            </w:r>
          </w:p>
        </w:tc>
      </w:tr>
      <w:tr w14:paraId="6A5C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697" w:type="dxa"/>
            <w:gridSpan w:val="2"/>
            <w:vAlign w:val="center"/>
          </w:tcPr>
          <w:p w14:paraId="61CEA80B">
            <w:pPr>
              <w:jc w:val="center"/>
              <w:rPr>
                <w:rFonts w:ascii="宋体" w:hAnsi="宋体"/>
                <w:color w:val="auto"/>
                <w:szCs w:val="21"/>
                <w:highlight w:val="none"/>
              </w:rPr>
            </w:pPr>
            <w:r>
              <w:rPr>
                <w:rFonts w:hint="eastAsia" w:ascii="宋体" w:hAnsi="宋体"/>
                <w:color w:val="auto"/>
                <w:szCs w:val="21"/>
                <w:highlight w:val="none"/>
              </w:rPr>
              <w:t>2.2.1</w:t>
            </w:r>
          </w:p>
        </w:tc>
        <w:tc>
          <w:tcPr>
            <w:tcW w:w="2106" w:type="dxa"/>
            <w:vAlign w:val="center"/>
          </w:tcPr>
          <w:p w14:paraId="2D6EFCB1">
            <w:pPr>
              <w:jc w:val="center"/>
              <w:rPr>
                <w:rFonts w:ascii="宋体" w:hAnsi="宋体"/>
                <w:color w:val="auto"/>
                <w:szCs w:val="21"/>
                <w:highlight w:val="none"/>
              </w:rPr>
            </w:pPr>
            <w:r>
              <w:rPr>
                <w:rFonts w:hint="eastAsia" w:ascii="宋体" w:hAnsi="宋体"/>
                <w:color w:val="auto"/>
                <w:szCs w:val="21"/>
                <w:highlight w:val="none"/>
              </w:rPr>
              <w:t>分值构成</w:t>
            </w:r>
          </w:p>
          <w:p w14:paraId="30D5509D">
            <w:pPr>
              <w:jc w:val="center"/>
              <w:rPr>
                <w:rFonts w:ascii="宋体" w:hAnsi="宋体"/>
                <w:color w:val="auto"/>
                <w:szCs w:val="21"/>
                <w:highlight w:val="none"/>
              </w:rPr>
            </w:pPr>
            <w:r>
              <w:rPr>
                <w:rFonts w:hint="eastAsia" w:ascii="宋体" w:hAnsi="宋体"/>
                <w:color w:val="auto"/>
                <w:szCs w:val="21"/>
                <w:highlight w:val="none"/>
              </w:rPr>
              <w:t>（总分100分）</w:t>
            </w:r>
          </w:p>
        </w:tc>
        <w:tc>
          <w:tcPr>
            <w:tcW w:w="4775" w:type="dxa"/>
            <w:vAlign w:val="center"/>
          </w:tcPr>
          <w:p w14:paraId="1FB67783">
            <w:pPr>
              <w:pStyle w:val="38"/>
              <w:spacing w:line="240" w:lineRule="atLeast"/>
              <w:rPr>
                <w:rFonts w:hAnsi="宋体"/>
                <w:color w:val="auto"/>
                <w:sz w:val="21"/>
                <w:szCs w:val="21"/>
                <w:highlight w:val="none"/>
              </w:rPr>
            </w:pPr>
            <w:r>
              <w:rPr>
                <w:rFonts w:hint="eastAsia" w:hAnsi="宋体"/>
                <w:color w:val="auto"/>
                <w:sz w:val="21"/>
                <w:szCs w:val="21"/>
                <w:highlight w:val="none"/>
              </w:rPr>
              <w:t>磋商报价：30分</w:t>
            </w:r>
          </w:p>
          <w:p w14:paraId="286F00B8">
            <w:pPr>
              <w:pStyle w:val="38"/>
              <w:spacing w:line="240" w:lineRule="atLeast"/>
              <w:rPr>
                <w:rFonts w:hAnsi="宋体"/>
                <w:color w:val="auto"/>
                <w:sz w:val="21"/>
                <w:szCs w:val="21"/>
                <w:highlight w:val="none"/>
              </w:rPr>
            </w:pPr>
            <w:r>
              <w:rPr>
                <w:rFonts w:hint="eastAsia" w:hAnsi="宋体"/>
                <w:color w:val="auto"/>
                <w:sz w:val="21"/>
                <w:szCs w:val="21"/>
                <w:highlight w:val="none"/>
              </w:rPr>
              <w:t>技术标：</w:t>
            </w:r>
            <w:r>
              <w:rPr>
                <w:rFonts w:hint="eastAsia" w:hAnsi="宋体"/>
                <w:color w:val="auto"/>
                <w:sz w:val="21"/>
                <w:szCs w:val="21"/>
                <w:highlight w:val="none"/>
                <w:lang w:val="en-US" w:eastAsia="zh-CN"/>
              </w:rPr>
              <w:t>5</w:t>
            </w:r>
            <w:r>
              <w:rPr>
                <w:rFonts w:hint="eastAsia" w:hAnsi="宋体"/>
                <w:color w:val="auto"/>
                <w:sz w:val="21"/>
                <w:szCs w:val="21"/>
                <w:highlight w:val="none"/>
              </w:rPr>
              <w:t>0分</w:t>
            </w:r>
          </w:p>
          <w:p w14:paraId="1F25A3D4">
            <w:pPr>
              <w:rPr>
                <w:rFonts w:ascii="宋体" w:hAnsi="宋体"/>
                <w:color w:val="auto"/>
                <w:szCs w:val="21"/>
                <w:highlight w:val="none"/>
              </w:rPr>
            </w:pPr>
            <w:r>
              <w:rPr>
                <w:rFonts w:hint="eastAsia" w:ascii="宋体" w:hAnsi="宋体" w:cs="宋体"/>
                <w:color w:val="auto"/>
                <w:kern w:val="0"/>
                <w:szCs w:val="21"/>
                <w:highlight w:val="none"/>
              </w:rPr>
              <w:t>商务标：</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0分</w:t>
            </w:r>
          </w:p>
        </w:tc>
      </w:tr>
      <w:tr w14:paraId="7C24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97" w:type="dxa"/>
            <w:gridSpan w:val="2"/>
            <w:vAlign w:val="center"/>
          </w:tcPr>
          <w:p w14:paraId="3192EADF">
            <w:pPr>
              <w:jc w:val="center"/>
              <w:rPr>
                <w:rFonts w:ascii="宋体" w:hAnsi="宋体"/>
                <w:color w:val="auto"/>
                <w:szCs w:val="21"/>
                <w:highlight w:val="none"/>
              </w:rPr>
            </w:pPr>
            <w:r>
              <w:rPr>
                <w:rFonts w:hint="eastAsia" w:ascii="宋体" w:hAnsi="宋体"/>
                <w:color w:val="auto"/>
                <w:szCs w:val="21"/>
                <w:highlight w:val="none"/>
              </w:rPr>
              <w:t>条款号</w:t>
            </w:r>
          </w:p>
        </w:tc>
        <w:tc>
          <w:tcPr>
            <w:tcW w:w="2106" w:type="dxa"/>
            <w:vAlign w:val="center"/>
          </w:tcPr>
          <w:p w14:paraId="5F6891D3">
            <w:pPr>
              <w:jc w:val="center"/>
              <w:rPr>
                <w:rFonts w:ascii="宋体" w:hAnsi="宋体"/>
                <w:color w:val="auto"/>
                <w:szCs w:val="21"/>
                <w:highlight w:val="none"/>
              </w:rPr>
            </w:pPr>
            <w:r>
              <w:rPr>
                <w:rFonts w:hint="eastAsia" w:ascii="宋体" w:hAnsi="宋体"/>
                <w:color w:val="auto"/>
                <w:szCs w:val="21"/>
                <w:highlight w:val="none"/>
              </w:rPr>
              <w:t>评分因素</w:t>
            </w:r>
          </w:p>
        </w:tc>
        <w:tc>
          <w:tcPr>
            <w:tcW w:w="4775" w:type="dxa"/>
            <w:vAlign w:val="center"/>
          </w:tcPr>
          <w:p w14:paraId="0378CEAF">
            <w:pPr>
              <w:jc w:val="center"/>
              <w:rPr>
                <w:rFonts w:ascii="宋体" w:hAnsi="宋体"/>
                <w:color w:val="auto"/>
                <w:szCs w:val="21"/>
                <w:highlight w:val="none"/>
              </w:rPr>
            </w:pPr>
            <w:r>
              <w:rPr>
                <w:rFonts w:hint="eastAsia" w:ascii="宋体" w:hAnsi="宋体"/>
                <w:color w:val="auto"/>
                <w:szCs w:val="21"/>
                <w:highlight w:val="none"/>
              </w:rPr>
              <w:t>评分标准</w:t>
            </w:r>
          </w:p>
        </w:tc>
      </w:tr>
      <w:tr w14:paraId="0147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jc w:val="center"/>
        </w:trPr>
        <w:tc>
          <w:tcPr>
            <w:tcW w:w="742" w:type="dxa"/>
            <w:vAlign w:val="center"/>
          </w:tcPr>
          <w:p w14:paraId="50496706">
            <w:pPr>
              <w:jc w:val="center"/>
              <w:rPr>
                <w:rFonts w:ascii="宋体" w:hAnsi="宋体"/>
                <w:color w:val="auto"/>
                <w:szCs w:val="21"/>
                <w:highlight w:val="none"/>
              </w:rPr>
            </w:pPr>
            <w:r>
              <w:rPr>
                <w:rFonts w:hint="eastAsia" w:ascii="宋体" w:hAnsi="宋体"/>
                <w:color w:val="auto"/>
                <w:szCs w:val="21"/>
                <w:highlight w:val="none"/>
              </w:rPr>
              <w:t>2.2.2</w:t>
            </w:r>
          </w:p>
          <w:p w14:paraId="3675806D">
            <w:pPr>
              <w:jc w:val="center"/>
              <w:rPr>
                <w:rFonts w:ascii="宋体" w:hAnsi="宋体"/>
                <w:color w:val="auto"/>
                <w:szCs w:val="21"/>
                <w:highlight w:val="none"/>
              </w:rPr>
            </w:pPr>
            <w:r>
              <w:rPr>
                <w:rFonts w:hint="eastAsia" w:ascii="宋体" w:hAnsi="宋体"/>
                <w:color w:val="auto"/>
                <w:szCs w:val="21"/>
                <w:highlight w:val="none"/>
              </w:rPr>
              <w:t>(1)</w:t>
            </w:r>
          </w:p>
        </w:tc>
        <w:tc>
          <w:tcPr>
            <w:tcW w:w="955" w:type="dxa"/>
            <w:vAlign w:val="center"/>
          </w:tcPr>
          <w:p w14:paraId="0D3098A6">
            <w:pPr>
              <w:pStyle w:val="38"/>
              <w:spacing w:line="240" w:lineRule="atLeast"/>
              <w:jc w:val="center"/>
              <w:rPr>
                <w:rFonts w:hAnsi="宋体"/>
                <w:color w:val="auto"/>
                <w:sz w:val="21"/>
                <w:szCs w:val="21"/>
                <w:highlight w:val="none"/>
              </w:rPr>
            </w:pPr>
            <w:r>
              <w:rPr>
                <w:rFonts w:hint="eastAsia" w:hAnsi="宋体"/>
                <w:color w:val="auto"/>
                <w:sz w:val="21"/>
                <w:szCs w:val="21"/>
                <w:highlight w:val="none"/>
              </w:rPr>
              <w:t>磋商</w:t>
            </w:r>
          </w:p>
          <w:p w14:paraId="54FFF884">
            <w:pPr>
              <w:pStyle w:val="38"/>
              <w:spacing w:line="240" w:lineRule="atLeast"/>
              <w:jc w:val="center"/>
              <w:rPr>
                <w:rFonts w:hAnsi="宋体"/>
                <w:color w:val="auto"/>
                <w:sz w:val="21"/>
                <w:szCs w:val="21"/>
                <w:highlight w:val="none"/>
              </w:rPr>
            </w:pPr>
            <w:r>
              <w:rPr>
                <w:rFonts w:hint="eastAsia" w:hAnsi="宋体"/>
                <w:color w:val="auto"/>
                <w:sz w:val="21"/>
                <w:szCs w:val="21"/>
                <w:highlight w:val="none"/>
              </w:rPr>
              <w:t>报价评</w:t>
            </w:r>
          </w:p>
          <w:p w14:paraId="503A8EEC">
            <w:pPr>
              <w:pStyle w:val="38"/>
              <w:spacing w:line="240" w:lineRule="atLeast"/>
              <w:jc w:val="center"/>
              <w:rPr>
                <w:rFonts w:hAnsi="宋体"/>
                <w:color w:val="auto"/>
                <w:sz w:val="21"/>
                <w:szCs w:val="21"/>
                <w:highlight w:val="none"/>
              </w:rPr>
            </w:pPr>
            <w:r>
              <w:rPr>
                <w:rFonts w:hint="eastAsia" w:hAnsi="宋体"/>
                <w:color w:val="auto"/>
                <w:sz w:val="21"/>
                <w:szCs w:val="21"/>
                <w:highlight w:val="none"/>
              </w:rPr>
              <w:t>分标准</w:t>
            </w:r>
          </w:p>
          <w:p w14:paraId="0C01C8E5">
            <w:pPr>
              <w:jc w:val="center"/>
              <w:rPr>
                <w:rFonts w:ascii="宋体" w:hAnsi="宋体"/>
                <w:color w:val="auto"/>
                <w:szCs w:val="21"/>
                <w:highlight w:val="none"/>
              </w:rPr>
            </w:pPr>
            <w:r>
              <w:rPr>
                <w:rFonts w:hint="eastAsia" w:ascii="宋体" w:hAnsi="宋体"/>
                <w:color w:val="auto"/>
                <w:szCs w:val="21"/>
                <w:highlight w:val="none"/>
              </w:rPr>
              <w:t>30分</w:t>
            </w:r>
          </w:p>
        </w:tc>
        <w:tc>
          <w:tcPr>
            <w:tcW w:w="2106" w:type="dxa"/>
            <w:vAlign w:val="center"/>
          </w:tcPr>
          <w:p w14:paraId="6E7D2D16">
            <w:pPr>
              <w:jc w:val="center"/>
              <w:rPr>
                <w:rFonts w:ascii="宋体" w:hAnsi="宋体"/>
                <w:color w:val="auto"/>
                <w:szCs w:val="21"/>
                <w:highlight w:val="none"/>
              </w:rPr>
            </w:pPr>
          </w:p>
          <w:p w14:paraId="7BBE86E8">
            <w:pPr>
              <w:jc w:val="center"/>
              <w:rPr>
                <w:rFonts w:ascii="宋体" w:hAnsi="宋体"/>
                <w:color w:val="auto"/>
                <w:szCs w:val="21"/>
                <w:highlight w:val="none"/>
              </w:rPr>
            </w:pPr>
            <w:r>
              <w:rPr>
                <w:rFonts w:hint="eastAsia" w:ascii="宋体" w:hAnsi="宋体"/>
                <w:color w:val="auto"/>
                <w:szCs w:val="21"/>
                <w:highlight w:val="none"/>
              </w:rPr>
              <w:t>最后磋商报价得分     （30分）</w:t>
            </w:r>
          </w:p>
          <w:p w14:paraId="55993E6F">
            <w:pPr>
              <w:jc w:val="center"/>
              <w:rPr>
                <w:rFonts w:ascii="宋体" w:hAnsi="宋体"/>
                <w:color w:val="auto"/>
                <w:szCs w:val="21"/>
                <w:highlight w:val="none"/>
              </w:rPr>
            </w:pPr>
          </w:p>
        </w:tc>
        <w:tc>
          <w:tcPr>
            <w:tcW w:w="4775" w:type="dxa"/>
            <w:vAlign w:val="center"/>
          </w:tcPr>
          <w:p w14:paraId="4CF25EA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本项目以满足磋商文件要求且报价最低的最后磋商报价为磋商基准价，其价格分为满分。</w:t>
            </w:r>
          </w:p>
          <w:p w14:paraId="19D40DD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其他磋商</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的价格分统一按照下列公式计算：</w:t>
            </w:r>
          </w:p>
          <w:p w14:paraId="611CF52C">
            <w:pPr>
              <w:rPr>
                <w:color w:val="auto"/>
                <w:szCs w:val="21"/>
                <w:highlight w:val="none"/>
              </w:rPr>
            </w:pPr>
            <w:r>
              <w:rPr>
                <w:rFonts w:hint="eastAsia" w:ascii="宋体" w:hAnsi="宋体" w:eastAsia="宋体" w:cs="宋体"/>
                <w:color w:val="auto"/>
                <w:szCs w:val="21"/>
                <w:highlight w:val="none"/>
              </w:rPr>
              <w:t>磋商报价得分=(磋商基准价／最后磋商报价)×30</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×100</w:t>
            </w:r>
          </w:p>
        </w:tc>
      </w:tr>
      <w:tr w14:paraId="38D8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742" w:type="dxa"/>
            <w:vMerge w:val="restart"/>
            <w:vAlign w:val="center"/>
          </w:tcPr>
          <w:p w14:paraId="65F2D8BC">
            <w:pPr>
              <w:jc w:val="center"/>
              <w:rPr>
                <w:rFonts w:ascii="宋体" w:hAnsi="宋体"/>
                <w:color w:val="auto"/>
                <w:szCs w:val="21"/>
                <w:highlight w:val="none"/>
              </w:rPr>
            </w:pPr>
            <w:r>
              <w:rPr>
                <w:rFonts w:hint="eastAsia" w:ascii="宋体" w:hAnsi="宋体"/>
                <w:color w:val="auto"/>
                <w:szCs w:val="21"/>
                <w:highlight w:val="none"/>
              </w:rPr>
              <w:t>2.2.2</w:t>
            </w:r>
          </w:p>
          <w:p w14:paraId="6CB43083">
            <w:pPr>
              <w:jc w:val="center"/>
              <w:rPr>
                <w:rFonts w:ascii="宋体" w:hAnsi="宋体"/>
                <w:color w:val="auto"/>
                <w:szCs w:val="21"/>
                <w:highlight w:val="none"/>
              </w:rPr>
            </w:pPr>
            <w:r>
              <w:rPr>
                <w:rFonts w:hint="eastAsia" w:ascii="宋体" w:hAnsi="宋体"/>
                <w:color w:val="auto"/>
                <w:szCs w:val="21"/>
                <w:highlight w:val="none"/>
              </w:rPr>
              <w:t>(2)</w:t>
            </w:r>
          </w:p>
        </w:tc>
        <w:tc>
          <w:tcPr>
            <w:tcW w:w="955" w:type="dxa"/>
            <w:vMerge w:val="restart"/>
            <w:vAlign w:val="center"/>
          </w:tcPr>
          <w:p w14:paraId="3A55085B">
            <w:pPr>
              <w:jc w:val="center"/>
              <w:rPr>
                <w:rFonts w:ascii="宋体" w:hAnsi="宋体"/>
                <w:color w:val="auto"/>
                <w:szCs w:val="21"/>
                <w:highlight w:val="none"/>
              </w:rPr>
            </w:pPr>
            <w:r>
              <w:rPr>
                <w:rFonts w:hint="eastAsia" w:ascii="宋体" w:hAnsi="宋体"/>
                <w:color w:val="auto"/>
                <w:szCs w:val="21"/>
                <w:highlight w:val="none"/>
              </w:rPr>
              <w:t xml:space="preserve">技术标   </w:t>
            </w:r>
            <w:r>
              <w:rPr>
                <w:rFonts w:hint="eastAsia" w:ascii="宋体" w:hAnsi="宋体"/>
                <w:color w:val="auto"/>
                <w:szCs w:val="21"/>
                <w:highlight w:val="none"/>
                <w:lang w:val="en-US" w:eastAsia="zh-CN"/>
              </w:rPr>
              <w:t>50</w:t>
            </w:r>
            <w:r>
              <w:rPr>
                <w:rFonts w:hint="eastAsia" w:ascii="宋体" w:hAnsi="宋体"/>
                <w:color w:val="auto"/>
                <w:szCs w:val="21"/>
                <w:highlight w:val="none"/>
              </w:rPr>
              <w:t>分</w:t>
            </w:r>
          </w:p>
        </w:tc>
        <w:tc>
          <w:tcPr>
            <w:tcW w:w="2106" w:type="dxa"/>
            <w:vAlign w:val="center"/>
          </w:tcPr>
          <w:p w14:paraId="391C9055">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内容完整性和编制水平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0-5分）</w:t>
            </w:r>
          </w:p>
        </w:tc>
        <w:tc>
          <w:tcPr>
            <w:tcW w:w="4775" w:type="dxa"/>
            <w:vAlign w:val="center"/>
          </w:tcPr>
          <w:p w14:paraId="7117EF3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根据内容完整性和编制水平。科学、合理、满足要求的5分；基本合理、基本满足要求的3分；不满足要求的不得分。</w:t>
            </w:r>
          </w:p>
        </w:tc>
      </w:tr>
      <w:tr w14:paraId="3F5B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742" w:type="dxa"/>
            <w:vMerge w:val="continue"/>
            <w:vAlign w:val="center"/>
          </w:tcPr>
          <w:p w14:paraId="63CF9922">
            <w:pPr>
              <w:jc w:val="center"/>
              <w:rPr>
                <w:rFonts w:ascii="宋体" w:hAnsi="宋体"/>
                <w:color w:val="auto"/>
                <w:szCs w:val="21"/>
                <w:highlight w:val="none"/>
              </w:rPr>
            </w:pPr>
          </w:p>
        </w:tc>
        <w:tc>
          <w:tcPr>
            <w:tcW w:w="955" w:type="dxa"/>
            <w:vMerge w:val="continue"/>
            <w:vAlign w:val="center"/>
          </w:tcPr>
          <w:p w14:paraId="7B0CF467">
            <w:pPr>
              <w:jc w:val="center"/>
              <w:rPr>
                <w:rFonts w:ascii="宋体" w:hAnsi="宋体"/>
                <w:color w:val="auto"/>
                <w:szCs w:val="21"/>
                <w:highlight w:val="none"/>
              </w:rPr>
            </w:pPr>
          </w:p>
        </w:tc>
        <w:tc>
          <w:tcPr>
            <w:tcW w:w="2106" w:type="dxa"/>
            <w:vAlign w:val="center"/>
          </w:tcPr>
          <w:p w14:paraId="3BA91F79">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施工方案与技术措施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0-10分）</w:t>
            </w:r>
          </w:p>
        </w:tc>
        <w:tc>
          <w:tcPr>
            <w:tcW w:w="4775" w:type="dxa"/>
            <w:vAlign w:val="center"/>
          </w:tcPr>
          <w:p w14:paraId="0B87229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根据施工方案和技术措施的合理性、科学性及可操作性，在0-10分范围内打分：</w:t>
            </w:r>
          </w:p>
          <w:p w14:paraId="1E569D5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（1）施工方法合理5分，基本合理3分，一般的1分；</w:t>
            </w:r>
            <w:r>
              <w:rPr>
                <w:rFonts w:hint="eastAsia" w:ascii="宋体" w:hAnsi="宋体" w:eastAsia="宋体" w:cs="宋体"/>
                <w:color w:val="auto"/>
                <w:szCs w:val="21"/>
                <w:highlight w:val="none"/>
                <w:lang w:val="en-US" w:eastAsia="zh-CN"/>
              </w:rPr>
              <w:t>缺项</w:t>
            </w:r>
            <w:r>
              <w:rPr>
                <w:rFonts w:hint="eastAsia" w:ascii="宋体" w:hAnsi="宋体" w:eastAsia="宋体" w:cs="宋体"/>
                <w:color w:val="auto"/>
                <w:szCs w:val="21"/>
                <w:highlight w:val="none"/>
              </w:rPr>
              <w:t>不得分；</w:t>
            </w:r>
          </w:p>
          <w:p w14:paraId="36F84B3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（2）施工技术措施合理5分，基本合理3分，一般的1分；</w:t>
            </w:r>
            <w:r>
              <w:rPr>
                <w:rFonts w:hint="eastAsia" w:ascii="宋体" w:hAnsi="宋体" w:eastAsia="宋体" w:cs="宋体"/>
                <w:color w:val="auto"/>
                <w:szCs w:val="21"/>
                <w:highlight w:val="none"/>
                <w:lang w:val="en-US" w:eastAsia="zh-CN"/>
              </w:rPr>
              <w:t>缺项</w:t>
            </w:r>
            <w:r>
              <w:rPr>
                <w:rFonts w:hint="eastAsia" w:ascii="宋体" w:hAnsi="宋体" w:eastAsia="宋体" w:cs="宋体"/>
                <w:color w:val="auto"/>
                <w:szCs w:val="21"/>
                <w:highlight w:val="none"/>
              </w:rPr>
              <w:t>不得分。</w:t>
            </w:r>
          </w:p>
        </w:tc>
      </w:tr>
      <w:tr w14:paraId="1BD5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742" w:type="dxa"/>
            <w:vMerge w:val="continue"/>
            <w:vAlign w:val="center"/>
          </w:tcPr>
          <w:p w14:paraId="69F7BA46">
            <w:pPr>
              <w:jc w:val="center"/>
              <w:rPr>
                <w:rFonts w:ascii="宋体" w:hAnsi="宋体"/>
                <w:color w:val="auto"/>
                <w:szCs w:val="21"/>
                <w:highlight w:val="none"/>
              </w:rPr>
            </w:pPr>
          </w:p>
        </w:tc>
        <w:tc>
          <w:tcPr>
            <w:tcW w:w="955" w:type="dxa"/>
            <w:vMerge w:val="continue"/>
            <w:vAlign w:val="center"/>
          </w:tcPr>
          <w:p w14:paraId="2A8AAA18">
            <w:pPr>
              <w:jc w:val="center"/>
              <w:rPr>
                <w:rFonts w:ascii="宋体" w:hAnsi="宋体"/>
                <w:color w:val="auto"/>
                <w:szCs w:val="21"/>
                <w:highlight w:val="none"/>
              </w:rPr>
            </w:pPr>
          </w:p>
        </w:tc>
        <w:tc>
          <w:tcPr>
            <w:tcW w:w="2106" w:type="dxa"/>
            <w:vAlign w:val="center"/>
          </w:tcPr>
          <w:p w14:paraId="5A8CF939">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质量管理体系与措施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0-5分）</w:t>
            </w:r>
          </w:p>
        </w:tc>
        <w:tc>
          <w:tcPr>
            <w:tcW w:w="4775" w:type="dxa"/>
            <w:vAlign w:val="center"/>
          </w:tcPr>
          <w:p w14:paraId="0E9DA46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根据质量管理体系与措施的完整性、可行性。科学、合理、满足要求的5分；基本合理、基本满足要求的3分；一般的1分；</w:t>
            </w:r>
            <w:r>
              <w:rPr>
                <w:rFonts w:hint="eastAsia" w:ascii="宋体" w:hAnsi="宋体" w:eastAsia="宋体" w:cs="宋体"/>
                <w:color w:val="auto"/>
                <w:szCs w:val="21"/>
                <w:highlight w:val="none"/>
                <w:lang w:val="en-US" w:eastAsia="zh-CN"/>
              </w:rPr>
              <w:t>缺项</w:t>
            </w:r>
            <w:r>
              <w:rPr>
                <w:rFonts w:hint="eastAsia" w:ascii="宋体" w:hAnsi="宋体" w:eastAsia="宋体" w:cs="宋体"/>
                <w:color w:val="auto"/>
                <w:szCs w:val="21"/>
                <w:highlight w:val="none"/>
              </w:rPr>
              <w:t>不得分。</w:t>
            </w:r>
          </w:p>
        </w:tc>
      </w:tr>
      <w:tr w14:paraId="42D3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742" w:type="dxa"/>
            <w:vMerge w:val="continue"/>
            <w:vAlign w:val="center"/>
          </w:tcPr>
          <w:p w14:paraId="0BB715D3">
            <w:pPr>
              <w:jc w:val="center"/>
              <w:rPr>
                <w:rFonts w:ascii="宋体" w:hAnsi="宋体"/>
                <w:color w:val="auto"/>
                <w:szCs w:val="21"/>
                <w:highlight w:val="none"/>
              </w:rPr>
            </w:pPr>
          </w:p>
        </w:tc>
        <w:tc>
          <w:tcPr>
            <w:tcW w:w="955" w:type="dxa"/>
            <w:vMerge w:val="continue"/>
            <w:vAlign w:val="center"/>
          </w:tcPr>
          <w:p w14:paraId="7FD8A2A1">
            <w:pPr>
              <w:jc w:val="center"/>
              <w:rPr>
                <w:rFonts w:ascii="宋体" w:hAnsi="宋体"/>
                <w:color w:val="auto"/>
                <w:szCs w:val="21"/>
                <w:highlight w:val="none"/>
              </w:rPr>
            </w:pPr>
          </w:p>
        </w:tc>
        <w:tc>
          <w:tcPr>
            <w:tcW w:w="2106" w:type="dxa"/>
            <w:vAlign w:val="center"/>
          </w:tcPr>
          <w:p w14:paraId="33B544DE">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安全管理体系与措施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0-5分）</w:t>
            </w:r>
          </w:p>
        </w:tc>
        <w:tc>
          <w:tcPr>
            <w:tcW w:w="4775" w:type="dxa"/>
            <w:vAlign w:val="center"/>
          </w:tcPr>
          <w:p w14:paraId="7EFFFC0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根据安全管理体系与措施的针对性、合理性，得0-5分。科学、合理、满足要求的5分；基本合理、基本满足要求的3分；一般的1分；</w:t>
            </w:r>
            <w:r>
              <w:rPr>
                <w:rFonts w:hint="eastAsia" w:ascii="宋体" w:hAnsi="宋体" w:eastAsia="宋体" w:cs="宋体"/>
                <w:color w:val="auto"/>
                <w:szCs w:val="21"/>
                <w:highlight w:val="none"/>
                <w:lang w:val="en-US" w:eastAsia="zh-CN"/>
              </w:rPr>
              <w:t>缺项</w:t>
            </w:r>
            <w:r>
              <w:rPr>
                <w:rFonts w:hint="eastAsia" w:ascii="宋体" w:hAnsi="宋体" w:eastAsia="宋体" w:cs="宋体"/>
                <w:color w:val="auto"/>
                <w:szCs w:val="21"/>
                <w:highlight w:val="none"/>
              </w:rPr>
              <w:t>不得分。</w:t>
            </w:r>
          </w:p>
        </w:tc>
      </w:tr>
      <w:tr w14:paraId="717A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742" w:type="dxa"/>
            <w:vMerge w:val="continue"/>
            <w:vAlign w:val="center"/>
          </w:tcPr>
          <w:p w14:paraId="0E71F0B0">
            <w:pPr>
              <w:jc w:val="center"/>
              <w:rPr>
                <w:rFonts w:ascii="宋体" w:hAnsi="宋体"/>
                <w:color w:val="auto"/>
                <w:szCs w:val="21"/>
                <w:highlight w:val="none"/>
              </w:rPr>
            </w:pPr>
          </w:p>
        </w:tc>
        <w:tc>
          <w:tcPr>
            <w:tcW w:w="955" w:type="dxa"/>
            <w:vMerge w:val="continue"/>
            <w:vAlign w:val="center"/>
          </w:tcPr>
          <w:p w14:paraId="1FBF8C82">
            <w:pPr>
              <w:jc w:val="center"/>
              <w:rPr>
                <w:rFonts w:ascii="宋体" w:hAnsi="宋体"/>
                <w:color w:val="auto"/>
                <w:szCs w:val="21"/>
                <w:highlight w:val="none"/>
              </w:rPr>
            </w:pPr>
          </w:p>
        </w:tc>
        <w:tc>
          <w:tcPr>
            <w:tcW w:w="2106" w:type="dxa"/>
            <w:vAlign w:val="center"/>
          </w:tcPr>
          <w:p w14:paraId="38DF66E0">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环境保护管理体系与措施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0-5分）</w:t>
            </w:r>
          </w:p>
        </w:tc>
        <w:tc>
          <w:tcPr>
            <w:tcW w:w="4775" w:type="dxa"/>
            <w:vAlign w:val="center"/>
          </w:tcPr>
          <w:p w14:paraId="32AD9720">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根据环境保护管理体系与措施的针对性、合理性，在0-5分范围内打分：具有针对性、合理性的5分；较有针对性、合理性的</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分；一般针对、合理的</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分；缺项不得分</w:t>
            </w:r>
            <w:r>
              <w:rPr>
                <w:rFonts w:hint="eastAsia" w:ascii="宋体" w:hAnsi="宋体" w:eastAsia="宋体" w:cs="宋体"/>
                <w:color w:val="auto"/>
                <w:szCs w:val="21"/>
                <w:highlight w:val="none"/>
                <w:lang w:eastAsia="zh-CN"/>
              </w:rPr>
              <w:t>。</w:t>
            </w:r>
          </w:p>
        </w:tc>
      </w:tr>
      <w:tr w14:paraId="3F59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742" w:type="dxa"/>
            <w:vMerge w:val="continue"/>
            <w:vAlign w:val="center"/>
          </w:tcPr>
          <w:p w14:paraId="67518AF1">
            <w:pPr>
              <w:jc w:val="center"/>
              <w:rPr>
                <w:rFonts w:ascii="宋体" w:hAnsi="宋体"/>
                <w:color w:val="auto"/>
                <w:szCs w:val="21"/>
                <w:highlight w:val="none"/>
              </w:rPr>
            </w:pPr>
          </w:p>
        </w:tc>
        <w:tc>
          <w:tcPr>
            <w:tcW w:w="955" w:type="dxa"/>
            <w:vMerge w:val="continue"/>
            <w:vAlign w:val="center"/>
          </w:tcPr>
          <w:p w14:paraId="58C4D44C">
            <w:pPr>
              <w:jc w:val="center"/>
              <w:rPr>
                <w:rFonts w:ascii="宋体" w:hAnsi="宋体"/>
                <w:color w:val="auto"/>
                <w:szCs w:val="21"/>
                <w:highlight w:val="none"/>
              </w:rPr>
            </w:pPr>
          </w:p>
        </w:tc>
        <w:tc>
          <w:tcPr>
            <w:tcW w:w="2106" w:type="dxa"/>
            <w:vAlign w:val="center"/>
          </w:tcPr>
          <w:p w14:paraId="3EBFC3BC">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0-5分）</w:t>
            </w:r>
          </w:p>
        </w:tc>
        <w:tc>
          <w:tcPr>
            <w:tcW w:w="4775" w:type="dxa"/>
            <w:vAlign w:val="center"/>
          </w:tcPr>
          <w:p w14:paraId="000E6732">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根据工程进度计划合理性和措施的针对性、合理性，在0-5分范围内打分：具有针对性、合理性的5分；较有针对性、合理性的</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分；一般针对、合理的</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分；缺项不得分</w:t>
            </w:r>
            <w:r>
              <w:rPr>
                <w:rFonts w:hint="eastAsia" w:ascii="宋体" w:hAnsi="宋体" w:eastAsia="宋体" w:cs="宋体"/>
                <w:color w:val="auto"/>
                <w:szCs w:val="21"/>
                <w:highlight w:val="none"/>
                <w:lang w:eastAsia="zh-CN"/>
              </w:rPr>
              <w:t>。</w:t>
            </w:r>
          </w:p>
        </w:tc>
      </w:tr>
      <w:tr w14:paraId="180B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42" w:type="dxa"/>
            <w:vMerge w:val="continue"/>
            <w:vAlign w:val="center"/>
          </w:tcPr>
          <w:p w14:paraId="1CBCA05B">
            <w:pPr>
              <w:jc w:val="center"/>
              <w:rPr>
                <w:rFonts w:ascii="宋体" w:hAnsi="宋体"/>
                <w:color w:val="auto"/>
                <w:szCs w:val="21"/>
                <w:highlight w:val="none"/>
              </w:rPr>
            </w:pPr>
          </w:p>
        </w:tc>
        <w:tc>
          <w:tcPr>
            <w:tcW w:w="955" w:type="dxa"/>
            <w:vMerge w:val="continue"/>
            <w:vAlign w:val="center"/>
          </w:tcPr>
          <w:p w14:paraId="295F017F">
            <w:pPr>
              <w:jc w:val="center"/>
              <w:rPr>
                <w:rFonts w:ascii="宋体" w:hAnsi="宋体"/>
                <w:color w:val="auto"/>
                <w:szCs w:val="21"/>
                <w:highlight w:val="none"/>
              </w:rPr>
            </w:pPr>
          </w:p>
        </w:tc>
        <w:tc>
          <w:tcPr>
            <w:tcW w:w="2106" w:type="dxa"/>
            <w:vAlign w:val="center"/>
          </w:tcPr>
          <w:p w14:paraId="222FF4C5">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拟投入资源配备计划</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0-3分）</w:t>
            </w:r>
          </w:p>
        </w:tc>
        <w:tc>
          <w:tcPr>
            <w:tcW w:w="4775" w:type="dxa"/>
            <w:vAlign w:val="center"/>
          </w:tcPr>
          <w:p w14:paraId="5A43323D">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根据资源配备的合理性、满足性，在0-3分范围内打分：具有针对性、合理性的3分；较有针对性、合理性的2分；一般针对、合理的1分；缺项不得分</w:t>
            </w:r>
            <w:r>
              <w:rPr>
                <w:rFonts w:hint="eastAsia" w:ascii="宋体" w:hAnsi="宋体" w:eastAsia="宋体" w:cs="宋体"/>
                <w:color w:val="auto"/>
                <w:szCs w:val="21"/>
                <w:highlight w:val="none"/>
                <w:lang w:eastAsia="zh-CN"/>
              </w:rPr>
              <w:t>。</w:t>
            </w:r>
          </w:p>
        </w:tc>
      </w:tr>
      <w:tr w14:paraId="062E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42" w:type="dxa"/>
            <w:vMerge w:val="continue"/>
            <w:vAlign w:val="center"/>
          </w:tcPr>
          <w:p w14:paraId="03FA9A5E">
            <w:pPr>
              <w:jc w:val="center"/>
              <w:rPr>
                <w:rFonts w:ascii="宋体" w:hAnsi="宋体"/>
                <w:color w:val="auto"/>
                <w:szCs w:val="21"/>
                <w:highlight w:val="none"/>
              </w:rPr>
            </w:pPr>
          </w:p>
        </w:tc>
        <w:tc>
          <w:tcPr>
            <w:tcW w:w="955" w:type="dxa"/>
            <w:vMerge w:val="continue"/>
            <w:vAlign w:val="center"/>
          </w:tcPr>
          <w:p w14:paraId="4FFCD8B3">
            <w:pPr>
              <w:jc w:val="center"/>
              <w:rPr>
                <w:rFonts w:ascii="宋体" w:hAnsi="宋体"/>
                <w:color w:val="auto"/>
                <w:szCs w:val="21"/>
                <w:highlight w:val="none"/>
              </w:rPr>
            </w:pPr>
          </w:p>
        </w:tc>
        <w:tc>
          <w:tcPr>
            <w:tcW w:w="2106" w:type="dxa"/>
            <w:vAlign w:val="center"/>
          </w:tcPr>
          <w:p w14:paraId="56EF22F6">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施工网络图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0-3分）</w:t>
            </w:r>
          </w:p>
        </w:tc>
        <w:tc>
          <w:tcPr>
            <w:tcW w:w="4775" w:type="dxa"/>
            <w:vAlign w:val="center"/>
          </w:tcPr>
          <w:p w14:paraId="1F7B7768">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根据施工总平面布置图图表的合理性、可行性，在0-3分范围内打分：具有针对性、合理性的3分；较有针对性、合理性的2分；一般针对、合理的1分；缺项不得分</w:t>
            </w:r>
            <w:r>
              <w:rPr>
                <w:rFonts w:hint="eastAsia" w:ascii="宋体" w:hAnsi="宋体" w:eastAsia="宋体" w:cs="宋体"/>
                <w:color w:val="auto"/>
                <w:szCs w:val="21"/>
                <w:highlight w:val="none"/>
                <w:lang w:eastAsia="zh-CN"/>
              </w:rPr>
              <w:t>。</w:t>
            </w:r>
          </w:p>
        </w:tc>
      </w:tr>
      <w:tr w14:paraId="3BD7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742" w:type="dxa"/>
            <w:vMerge w:val="continue"/>
            <w:vAlign w:val="center"/>
          </w:tcPr>
          <w:p w14:paraId="698364D2">
            <w:pPr>
              <w:jc w:val="center"/>
              <w:rPr>
                <w:rFonts w:ascii="宋体" w:hAnsi="宋体"/>
                <w:color w:val="auto"/>
                <w:szCs w:val="21"/>
                <w:highlight w:val="none"/>
              </w:rPr>
            </w:pPr>
          </w:p>
        </w:tc>
        <w:tc>
          <w:tcPr>
            <w:tcW w:w="955" w:type="dxa"/>
            <w:vMerge w:val="continue"/>
            <w:vAlign w:val="center"/>
          </w:tcPr>
          <w:p w14:paraId="1740D78D">
            <w:pPr>
              <w:jc w:val="center"/>
              <w:rPr>
                <w:rFonts w:ascii="宋体" w:hAnsi="宋体"/>
                <w:color w:val="auto"/>
                <w:szCs w:val="21"/>
                <w:highlight w:val="none"/>
              </w:rPr>
            </w:pPr>
          </w:p>
        </w:tc>
        <w:tc>
          <w:tcPr>
            <w:tcW w:w="2106" w:type="dxa"/>
            <w:vAlign w:val="center"/>
          </w:tcPr>
          <w:p w14:paraId="6BAB779F">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节能减排与工艺创新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0-3分）</w:t>
            </w:r>
          </w:p>
        </w:tc>
        <w:tc>
          <w:tcPr>
            <w:tcW w:w="4775" w:type="dxa"/>
            <w:vAlign w:val="center"/>
          </w:tcPr>
          <w:p w14:paraId="61F273F9">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在节能减排、绿色施工、工艺创新方面针对本工程有具体措施或企业自有创新技术，在0-3分范围内打分：具有针对性、合理性的3分；较有针对性、合理性的2分；一般针对、合理的1分；缺项不得分</w:t>
            </w:r>
            <w:r>
              <w:rPr>
                <w:rFonts w:hint="eastAsia" w:ascii="宋体" w:hAnsi="宋体" w:eastAsia="宋体" w:cs="宋体"/>
                <w:color w:val="auto"/>
                <w:szCs w:val="21"/>
                <w:highlight w:val="none"/>
                <w:lang w:eastAsia="zh-CN"/>
              </w:rPr>
              <w:t>。</w:t>
            </w:r>
          </w:p>
        </w:tc>
      </w:tr>
      <w:tr w14:paraId="1960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742" w:type="dxa"/>
            <w:vMerge w:val="continue"/>
            <w:vAlign w:val="center"/>
          </w:tcPr>
          <w:p w14:paraId="1FE43A5A">
            <w:pPr>
              <w:jc w:val="center"/>
              <w:rPr>
                <w:rFonts w:ascii="宋体" w:hAnsi="宋体"/>
                <w:color w:val="auto"/>
                <w:szCs w:val="21"/>
                <w:highlight w:val="none"/>
              </w:rPr>
            </w:pPr>
          </w:p>
        </w:tc>
        <w:tc>
          <w:tcPr>
            <w:tcW w:w="955" w:type="dxa"/>
            <w:vMerge w:val="continue"/>
            <w:vAlign w:val="center"/>
          </w:tcPr>
          <w:p w14:paraId="5C7817AD">
            <w:pPr>
              <w:jc w:val="center"/>
              <w:rPr>
                <w:rFonts w:ascii="宋体" w:hAnsi="宋体"/>
                <w:color w:val="auto"/>
                <w:szCs w:val="21"/>
                <w:highlight w:val="none"/>
              </w:rPr>
            </w:pPr>
          </w:p>
        </w:tc>
        <w:tc>
          <w:tcPr>
            <w:tcW w:w="2106" w:type="dxa"/>
            <w:vAlign w:val="center"/>
          </w:tcPr>
          <w:p w14:paraId="7CA623A9">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新工艺、新技术、新设备、新材料的采用程度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0-3分）</w:t>
            </w:r>
          </w:p>
        </w:tc>
        <w:tc>
          <w:tcPr>
            <w:tcW w:w="4775" w:type="dxa"/>
            <w:vAlign w:val="center"/>
          </w:tcPr>
          <w:p w14:paraId="072FA896">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新工艺、新技术、新设备、新材料的采用程度，其在确保质量、降低成本、缩短工期、减轻劳动程度、提高工效等方面的作用，在0-3分范围内打分：具有针对性、合理性的3分；较有针对性、合理性的2分；一般针对、合理的1分；缺项不得分</w:t>
            </w:r>
            <w:r>
              <w:rPr>
                <w:rFonts w:hint="eastAsia" w:ascii="宋体" w:hAnsi="宋体" w:eastAsia="宋体" w:cs="宋体"/>
                <w:color w:val="auto"/>
                <w:szCs w:val="21"/>
                <w:highlight w:val="none"/>
                <w:lang w:eastAsia="zh-CN"/>
              </w:rPr>
              <w:t>。</w:t>
            </w:r>
          </w:p>
        </w:tc>
      </w:tr>
      <w:tr w14:paraId="07E3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742" w:type="dxa"/>
            <w:vMerge w:val="continue"/>
            <w:vAlign w:val="center"/>
          </w:tcPr>
          <w:p w14:paraId="7B663CAD">
            <w:pPr>
              <w:jc w:val="center"/>
              <w:rPr>
                <w:rFonts w:ascii="宋体" w:hAnsi="宋体"/>
                <w:color w:val="auto"/>
                <w:szCs w:val="21"/>
                <w:highlight w:val="none"/>
              </w:rPr>
            </w:pPr>
          </w:p>
        </w:tc>
        <w:tc>
          <w:tcPr>
            <w:tcW w:w="955" w:type="dxa"/>
            <w:vMerge w:val="continue"/>
            <w:vAlign w:val="center"/>
          </w:tcPr>
          <w:p w14:paraId="0167284A">
            <w:pPr>
              <w:jc w:val="center"/>
              <w:rPr>
                <w:rFonts w:ascii="宋体" w:hAnsi="宋体"/>
                <w:color w:val="auto"/>
                <w:szCs w:val="21"/>
                <w:highlight w:val="none"/>
              </w:rPr>
            </w:pPr>
          </w:p>
        </w:tc>
        <w:tc>
          <w:tcPr>
            <w:tcW w:w="2106" w:type="dxa"/>
            <w:vAlign w:val="center"/>
          </w:tcPr>
          <w:p w14:paraId="16CA4453">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企业具备信息化管理平台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0-3分）</w:t>
            </w:r>
          </w:p>
        </w:tc>
        <w:tc>
          <w:tcPr>
            <w:tcW w:w="4775" w:type="dxa"/>
            <w:vAlign w:val="center"/>
          </w:tcPr>
          <w:p w14:paraId="30CD2099">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企业具备信息化管理平台，能够使工程管理者对现场实施监控和数据处理，在0-3分范围内打分：具有针对性、合理性的3分；较有针对性、合理性的2分；一般针对、合理的1分；缺项不得分</w:t>
            </w:r>
            <w:r>
              <w:rPr>
                <w:rFonts w:hint="eastAsia" w:ascii="宋体" w:hAnsi="宋体" w:eastAsia="宋体" w:cs="宋体"/>
                <w:color w:val="auto"/>
                <w:szCs w:val="21"/>
                <w:highlight w:val="none"/>
                <w:lang w:eastAsia="zh-CN"/>
              </w:rPr>
              <w:t>。</w:t>
            </w:r>
          </w:p>
        </w:tc>
      </w:tr>
      <w:tr w14:paraId="09A4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742" w:type="dxa"/>
            <w:vMerge w:val="restart"/>
            <w:vAlign w:val="center"/>
          </w:tcPr>
          <w:p w14:paraId="559C2FBA">
            <w:pPr>
              <w:jc w:val="center"/>
              <w:rPr>
                <w:rFonts w:ascii="宋体" w:hAnsi="宋体"/>
                <w:color w:val="auto"/>
                <w:szCs w:val="21"/>
                <w:highlight w:val="none"/>
              </w:rPr>
            </w:pPr>
            <w:r>
              <w:rPr>
                <w:rFonts w:hint="eastAsia" w:ascii="宋体" w:hAnsi="宋体"/>
                <w:color w:val="auto"/>
                <w:szCs w:val="21"/>
                <w:highlight w:val="none"/>
              </w:rPr>
              <w:t>2.2.2</w:t>
            </w:r>
          </w:p>
          <w:p w14:paraId="1F6286A6">
            <w:pPr>
              <w:jc w:val="center"/>
              <w:rPr>
                <w:rFonts w:ascii="宋体" w:hAnsi="宋体"/>
                <w:color w:val="auto"/>
                <w:szCs w:val="21"/>
                <w:highlight w:val="none"/>
              </w:rPr>
            </w:pPr>
            <w:r>
              <w:rPr>
                <w:rFonts w:hint="eastAsia" w:ascii="宋体" w:hAnsi="宋体"/>
                <w:color w:val="auto"/>
                <w:szCs w:val="21"/>
                <w:highlight w:val="none"/>
              </w:rPr>
              <w:t>(3)</w:t>
            </w:r>
          </w:p>
        </w:tc>
        <w:tc>
          <w:tcPr>
            <w:tcW w:w="955" w:type="dxa"/>
            <w:vMerge w:val="restart"/>
            <w:vAlign w:val="center"/>
          </w:tcPr>
          <w:p w14:paraId="56D582DF">
            <w:pPr>
              <w:jc w:val="center"/>
              <w:rPr>
                <w:rFonts w:ascii="宋体" w:hAnsi="宋体"/>
                <w:color w:val="auto"/>
                <w:szCs w:val="21"/>
                <w:highlight w:val="none"/>
              </w:rPr>
            </w:pPr>
            <w:r>
              <w:rPr>
                <w:rFonts w:hint="eastAsia" w:ascii="宋体" w:hAnsi="宋体"/>
                <w:color w:val="auto"/>
                <w:szCs w:val="21"/>
                <w:highlight w:val="none"/>
              </w:rPr>
              <w:t>商务标</w:t>
            </w:r>
          </w:p>
          <w:p w14:paraId="653CBA94">
            <w:pPr>
              <w:jc w:val="center"/>
              <w:rPr>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0分</w:t>
            </w:r>
          </w:p>
        </w:tc>
        <w:tc>
          <w:tcPr>
            <w:tcW w:w="2106" w:type="dxa"/>
            <w:vAlign w:val="center"/>
          </w:tcPr>
          <w:p w14:paraId="46135918">
            <w:pPr>
              <w:jc w:val="center"/>
              <w:rPr>
                <w:rFonts w:ascii="宋体" w:hAnsi="宋体"/>
                <w:color w:val="auto"/>
                <w:highlight w:val="none"/>
              </w:rPr>
            </w:pPr>
            <w:r>
              <w:rPr>
                <w:rFonts w:hint="eastAsia" w:ascii="宋体" w:hAnsi="宋体"/>
                <w:color w:val="auto"/>
                <w:highlight w:val="none"/>
              </w:rPr>
              <w:t>企业业绩</w:t>
            </w:r>
          </w:p>
          <w:p w14:paraId="1F5193A2">
            <w:pPr>
              <w:jc w:val="center"/>
              <w:rPr>
                <w:color w:val="auto"/>
                <w:szCs w:val="21"/>
                <w:highlight w:val="none"/>
              </w:rPr>
            </w:pPr>
            <w:r>
              <w:rPr>
                <w:rFonts w:hint="eastAsia" w:ascii="宋体" w:hAnsi="宋体"/>
                <w:color w:val="auto"/>
                <w:highlight w:val="none"/>
              </w:rPr>
              <w:t>（0-</w:t>
            </w:r>
            <w:r>
              <w:rPr>
                <w:rFonts w:hint="eastAsia" w:ascii="宋体" w:hAnsi="宋体"/>
                <w:color w:val="auto"/>
                <w:highlight w:val="none"/>
                <w:lang w:val="en-US" w:eastAsia="zh-CN"/>
              </w:rPr>
              <w:t>6</w:t>
            </w:r>
            <w:r>
              <w:rPr>
                <w:rFonts w:hint="eastAsia" w:ascii="宋体" w:hAnsi="宋体"/>
                <w:color w:val="auto"/>
                <w:highlight w:val="none"/>
              </w:rPr>
              <w:t>分）</w:t>
            </w:r>
          </w:p>
        </w:tc>
        <w:tc>
          <w:tcPr>
            <w:tcW w:w="4775" w:type="dxa"/>
            <w:vAlign w:val="center"/>
          </w:tcPr>
          <w:p w14:paraId="09BD4365">
            <w:pPr>
              <w:rPr>
                <w:color w:val="auto"/>
                <w:szCs w:val="21"/>
                <w:highlight w:val="none"/>
              </w:rPr>
            </w:pPr>
            <w:r>
              <w:rPr>
                <w:rFonts w:hint="eastAsia" w:ascii="宋体" w:hAnsi="宋体"/>
                <w:color w:val="auto"/>
                <w:kern w:val="2"/>
                <w:highlight w:val="none"/>
                <w:lang w:val="en-US" w:eastAsia="zh-CN"/>
              </w:rPr>
              <w:t>自</w:t>
            </w:r>
            <w:r>
              <w:rPr>
                <w:rFonts w:hint="eastAsia" w:ascii="宋体" w:hAnsi="宋体"/>
                <w:color w:val="auto"/>
                <w:kern w:val="2"/>
                <w:highlight w:val="none"/>
                <w:lang w:eastAsia="zh-CN"/>
              </w:rPr>
              <w:t>20</w:t>
            </w:r>
            <w:r>
              <w:rPr>
                <w:rFonts w:hint="eastAsia" w:ascii="宋体" w:hAnsi="宋体"/>
                <w:color w:val="auto"/>
                <w:kern w:val="2"/>
                <w:highlight w:val="none"/>
                <w:lang w:val="en-US" w:eastAsia="zh-CN"/>
              </w:rPr>
              <w:t>23</w:t>
            </w:r>
            <w:r>
              <w:rPr>
                <w:rFonts w:hint="eastAsia" w:ascii="宋体" w:hAnsi="宋体"/>
                <w:color w:val="auto"/>
                <w:kern w:val="2"/>
                <w:highlight w:val="none"/>
                <w:lang w:eastAsia="zh-CN"/>
              </w:rPr>
              <w:t>年1月1日以来具有类似</w:t>
            </w:r>
            <w:r>
              <w:rPr>
                <w:rFonts w:hint="eastAsia" w:ascii="宋体" w:hAnsi="宋体"/>
                <w:color w:val="auto"/>
                <w:kern w:val="2"/>
                <w:highlight w:val="none"/>
                <w:lang w:val="en-US" w:eastAsia="zh-CN"/>
              </w:rPr>
              <w:t>公路新建、改建、养护工程、安全工程等</w:t>
            </w:r>
            <w:r>
              <w:rPr>
                <w:rFonts w:hint="eastAsia" w:ascii="宋体" w:hAnsi="宋体"/>
                <w:color w:val="auto"/>
                <w:kern w:val="2"/>
                <w:highlight w:val="none"/>
                <w:lang w:val="zh-CN" w:eastAsia="zh-CN"/>
              </w:rPr>
              <w:t>业绩的</w:t>
            </w:r>
            <w:r>
              <w:rPr>
                <w:rFonts w:hint="eastAsia" w:ascii="宋体" w:hAnsi="宋体"/>
                <w:color w:val="auto"/>
                <w:kern w:val="2"/>
                <w:highlight w:val="none"/>
                <w:lang w:eastAsia="zh-CN"/>
              </w:rPr>
              <w:t>（</w:t>
            </w:r>
            <w:r>
              <w:rPr>
                <w:rFonts w:hint="eastAsia" w:ascii="宋体" w:hAnsi="宋体"/>
                <w:color w:val="auto"/>
                <w:kern w:val="2"/>
                <w:highlight w:val="none"/>
                <w:lang w:val="en-US" w:eastAsia="zh-CN"/>
              </w:rPr>
              <w:t>以合同签订时间为准，响应</w:t>
            </w:r>
            <w:r>
              <w:rPr>
                <w:rFonts w:hint="eastAsia" w:ascii="宋体" w:hAnsi="宋体"/>
                <w:color w:val="auto"/>
                <w:kern w:val="2"/>
                <w:highlight w:val="none"/>
                <w:lang w:eastAsia="zh-CN"/>
              </w:rPr>
              <w:t>文件中附合同协议书</w:t>
            </w:r>
            <w:r>
              <w:rPr>
                <w:rFonts w:hint="eastAsia" w:ascii="宋体" w:hAnsi="宋体"/>
                <w:color w:val="auto"/>
                <w:kern w:val="2"/>
                <w:highlight w:val="none"/>
                <w:lang w:val="en-US" w:eastAsia="zh-CN"/>
              </w:rPr>
              <w:t>及</w:t>
            </w:r>
            <w:r>
              <w:rPr>
                <w:rFonts w:hint="eastAsia" w:ascii="宋体" w:hAnsi="宋体"/>
                <w:color w:val="auto"/>
                <w:kern w:val="2"/>
                <w:highlight w:val="none"/>
                <w:lang w:eastAsia="zh-CN"/>
              </w:rPr>
              <w:t>中标通</w:t>
            </w:r>
            <w:r>
              <w:rPr>
                <w:rFonts w:hint="eastAsia" w:ascii="宋体" w:hAnsi="宋体"/>
                <w:color w:val="auto"/>
                <w:highlight w:val="none"/>
              </w:rPr>
              <w:t>知书</w:t>
            </w:r>
            <w:r>
              <w:rPr>
                <w:rFonts w:hint="eastAsia" w:ascii="宋体" w:hAnsi="宋体"/>
                <w:color w:val="auto"/>
                <w:kern w:val="2"/>
                <w:highlight w:val="none"/>
                <w:lang w:eastAsia="zh-CN"/>
              </w:rPr>
              <w:t>原件扫描件</w:t>
            </w:r>
            <w:r>
              <w:rPr>
                <w:rFonts w:hint="eastAsia" w:ascii="宋体" w:hAnsi="宋体"/>
                <w:color w:val="auto"/>
                <w:highlight w:val="none"/>
              </w:rPr>
              <w:t>）</w:t>
            </w:r>
            <w:r>
              <w:rPr>
                <w:rFonts w:hint="eastAsia" w:ascii="宋体" w:hAnsi="宋体"/>
                <w:color w:val="auto"/>
                <w:highlight w:val="none"/>
                <w:lang w:eastAsia="zh-CN"/>
              </w:rPr>
              <w:t>。</w:t>
            </w:r>
            <w:r>
              <w:rPr>
                <w:rFonts w:hint="eastAsia" w:ascii="宋体" w:hAnsi="宋体"/>
                <w:color w:val="auto"/>
                <w:highlight w:val="none"/>
                <w:lang w:val="en-US" w:eastAsia="zh-CN"/>
              </w:rPr>
              <w:t>每提供一份</w:t>
            </w:r>
            <w:r>
              <w:rPr>
                <w:rFonts w:hint="eastAsia" w:ascii="宋体" w:hAnsi="宋体"/>
                <w:color w:val="auto"/>
                <w:highlight w:val="none"/>
                <w:lang w:eastAsia="zh-CN"/>
              </w:rPr>
              <w:t>业绩</w:t>
            </w:r>
            <w:r>
              <w:rPr>
                <w:rFonts w:hint="eastAsia" w:ascii="宋体" w:hAnsi="宋体" w:cs="宋体"/>
                <w:color w:val="auto"/>
                <w:szCs w:val="21"/>
                <w:highlight w:val="none"/>
                <w:lang w:val="zh-CN"/>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val="zh-CN"/>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zh-CN"/>
              </w:rPr>
              <w:t>最多得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分。</w:t>
            </w:r>
          </w:p>
        </w:tc>
      </w:tr>
      <w:tr w14:paraId="05BB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742" w:type="dxa"/>
            <w:vMerge w:val="continue"/>
            <w:vAlign w:val="center"/>
          </w:tcPr>
          <w:p w14:paraId="67334E2A">
            <w:pPr>
              <w:jc w:val="center"/>
              <w:rPr>
                <w:rFonts w:ascii="宋体" w:hAnsi="宋体"/>
                <w:color w:val="auto"/>
                <w:szCs w:val="21"/>
                <w:highlight w:val="none"/>
              </w:rPr>
            </w:pPr>
          </w:p>
        </w:tc>
        <w:tc>
          <w:tcPr>
            <w:tcW w:w="955" w:type="dxa"/>
            <w:vMerge w:val="continue"/>
            <w:vAlign w:val="center"/>
          </w:tcPr>
          <w:p w14:paraId="49DBBA6B">
            <w:pPr>
              <w:jc w:val="center"/>
              <w:rPr>
                <w:rFonts w:ascii="宋体" w:hAnsi="宋体"/>
                <w:color w:val="auto"/>
                <w:szCs w:val="21"/>
                <w:highlight w:val="none"/>
              </w:rPr>
            </w:pPr>
          </w:p>
        </w:tc>
        <w:tc>
          <w:tcPr>
            <w:tcW w:w="2106" w:type="dxa"/>
            <w:vAlign w:val="center"/>
          </w:tcPr>
          <w:p w14:paraId="17EEA83F">
            <w:pPr>
              <w:jc w:val="center"/>
              <w:rPr>
                <w:rFonts w:hint="eastAsia"/>
                <w:color w:val="auto"/>
                <w:szCs w:val="21"/>
                <w:highlight w:val="none"/>
              </w:rPr>
            </w:pPr>
            <w:r>
              <w:rPr>
                <w:rFonts w:hint="eastAsia"/>
                <w:color w:val="auto"/>
                <w:szCs w:val="21"/>
                <w:highlight w:val="none"/>
              </w:rPr>
              <w:t>项目</w:t>
            </w:r>
            <w:r>
              <w:rPr>
                <w:rFonts w:hint="eastAsia"/>
                <w:color w:val="auto"/>
                <w:szCs w:val="21"/>
                <w:highlight w:val="none"/>
                <w:lang w:val="en-US" w:eastAsia="zh-CN"/>
              </w:rPr>
              <w:t>经理</w:t>
            </w:r>
            <w:r>
              <w:rPr>
                <w:rFonts w:hint="eastAsia"/>
                <w:color w:val="auto"/>
                <w:szCs w:val="21"/>
                <w:highlight w:val="none"/>
              </w:rPr>
              <w:t>业绩</w:t>
            </w:r>
          </w:p>
          <w:p w14:paraId="1B48C78E">
            <w:pPr>
              <w:jc w:val="center"/>
              <w:rPr>
                <w:rFonts w:ascii="宋体" w:hAnsi="宋体"/>
                <w:color w:val="auto"/>
                <w:highlight w:val="none"/>
              </w:rPr>
            </w:pPr>
            <w:r>
              <w:rPr>
                <w:rFonts w:hint="eastAsia" w:ascii="宋体" w:hAnsi="宋体"/>
                <w:color w:val="auto"/>
                <w:highlight w:val="none"/>
              </w:rPr>
              <w:t>（0-</w:t>
            </w:r>
            <w:r>
              <w:rPr>
                <w:rFonts w:hint="eastAsia" w:ascii="宋体" w:hAnsi="宋体"/>
                <w:color w:val="auto"/>
                <w:highlight w:val="none"/>
                <w:lang w:val="en-US" w:eastAsia="zh-CN"/>
              </w:rPr>
              <w:t>2</w:t>
            </w:r>
            <w:r>
              <w:rPr>
                <w:rFonts w:hint="eastAsia" w:ascii="宋体" w:hAnsi="宋体"/>
                <w:color w:val="auto"/>
                <w:highlight w:val="none"/>
              </w:rPr>
              <w:t>分）</w:t>
            </w:r>
          </w:p>
        </w:tc>
        <w:tc>
          <w:tcPr>
            <w:tcW w:w="4775" w:type="dxa"/>
            <w:vAlign w:val="center"/>
          </w:tcPr>
          <w:p w14:paraId="1FC113A2">
            <w:pPr>
              <w:rPr>
                <w:color w:val="auto"/>
                <w:szCs w:val="21"/>
                <w:highlight w:val="none"/>
              </w:rPr>
            </w:pPr>
            <w:r>
              <w:rPr>
                <w:rFonts w:hint="eastAsia" w:ascii="宋体" w:hAnsi="宋体"/>
                <w:color w:val="auto"/>
                <w:kern w:val="2"/>
                <w:highlight w:val="none"/>
                <w:lang w:val="en-US" w:eastAsia="zh-CN"/>
              </w:rPr>
              <w:t>自</w:t>
            </w:r>
            <w:r>
              <w:rPr>
                <w:rFonts w:hint="eastAsia" w:ascii="宋体" w:hAnsi="宋体"/>
                <w:color w:val="auto"/>
                <w:kern w:val="2"/>
                <w:highlight w:val="none"/>
                <w:lang w:eastAsia="zh-CN"/>
              </w:rPr>
              <w:t>20</w:t>
            </w:r>
            <w:r>
              <w:rPr>
                <w:rFonts w:hint="eastAsia" w:ascii="宋体" w:hAnsi="宋体"/>
                <w:color w:val="auto"/>
                <w:kern w:val="2"/>
                <w:highlight w:val="none"/>
                <w:lang w:val="en-US" w:eastAsia="zh-CN"/>
              </w:rPr>
              <w:t>23</w:t>
            </w:r>
            <w:r>
              <w:rPr>
                <w:rFonts w:hint="eastAsia" w:ascii="宋体" w:hAnsi="宋体"/>
                <w:color w:val="auto"/>
                <w:kern w:val="2"/>
                <w:highlight w:val="none"/>
                <w:lang w:eastAsia="zh-CN"/>
              </w:rPr>
              <w:t>年1月1日以来拟派项目</w:t>
            </w:r>
            <w:r>
              <w:rPr>
                <w:rFonts w:hint="eastAsia" w:ascii="宋体" w:hAnsi="宋体"/>
                <w:color w:val="auto"/>
                <w:kern w:val="2"/>
                <w:highlight w:val="none"/>
                <w:lang w:val="en-US" w:eastAsia="zh-CN"/>
              </w:rPr>
              <w:t>经理</w:t>
            </w:r>
            <w:r>
              <w:rPr>
                <w:rFonts w:hint="eastAsia" w:ascii="宋体" w:hAnsi="宋体"/>
                <w:color w:val="auto"/>
                <w:kern w:val="2"/>
                <w:highlight w:val="none"/>
                <w:lang w:eastAsia="zh-CN"/>
              </w:rPr>
              <w:t>具有类似业绩的（</w:t>
            </w:r>
            <w:r>
              <w:rPr>
                <w:rFonts w:hint="eastAsia" w:ascii="宋体" w:hAnsi="宋体"/>
                <w:color w:val="auto"/>
                <w:kern w:val="2"/>
                <w:highlight w:val="none"/>
                <w:lang w:val="en-US" w:eastAsia="zh-CN"/>
              </w:rPr>
              <w:t>以合同签订时间为准，响应</w:t>
            </w:r>
            <w:r>
              <w:rPr>
                <w:rFonts w:hint="eastAsia" w:ascii="宋体" w:hAnsi="宋体"/>
                <w:color w:val="auto"/>
                <w:kern w:val="2"/>
                <w:highlight w:val="none"/>
                <w:lang w:eastAsia="zh-CN"/>
              </w:rPr>
              <w:t>文件中附合同协议书</w:t>
            </w:r>
            <w:r>
              <w:rPr>
                <w:rFonts w:hint="eastAsia" w:ascii="宋体" w:hAnsi="宋体"/>
                <w:color w:val="auto"/>
                <w:kern w:val="2"/>
                <w:highlight w:val="none"/>
                <w:lang w:val="en-US" w:eastAsia="zh-CN"/>
              </w:rPr>
              <w:t>及</w:t>
            </w:r>
            <w:r>
              <w:rPr>
                <w:rFonts w:hint="eastAsia" w:ascii="宋体" w:hAnsi="宋体"/>
                <w:color w:val="auto"/>
                <w:kern w:val="2"/>
                <w:highlight w:val="none"/>
                <w:lang w:eastAsia="zh-CN"/>
              </w:rPr>
              <w:t>中标通</w:t>
            </w:r>
            <w:r>
              <w:rPr>
                <w:rFonts w:hint="eastAsia" w:ascii="宋体" w:hAnsi="宋体"/>
                <w:color w:val="auto"/>
                <w:highlight w:val="none"/>
              </w:rPr>
              <w:t>知书</w:t>
            </w:r>
            <w:r>
              <w:rPr>
                <w:rFonts w:hint="eastAsia" w:ascii="宋体" w:hAnsi="宋体"/>
                <w:color w:val="auto"/>
                <w:kern w:val="2"/>
                <w:highlight w:val="none"/>
                <w:lang w:eastAsia="zh-CN"/>
              </w:rPr>
              <w:t>原件扫描件</w:t>
            </w:r>
            <w:r>
              <w:rPr>
                <w:rFonts w:hint="eastAsia" w:ascii="宋体" w:hAnsi="宋体"/>
                <w:color w:val="auto"/>
                <w:highlight w:val="none"/>
              </w:rPr>
              <w:t>）</w:t>
            </w:r>
            <w:r>
              <w:rPr>
                <w:rFonts w:hint="eastAsia" w:ascii="宋体" w:hAnsi="宋体"/>
                <w:color w:val="auto"/>
                <w:kern w:val="2"/>
                <w:highlight w:val="none"/>
                <w:lang w:eastAsia="zh-CN"/>
              </w:rPr>
              <w:t>，</w:t>
            </w:r>
            <w:r>
              <w:rPr>
                <w:rFonts w:hint="eastAsia" w:ascii="宋体" w:hAnsi="宋体"/>
                <w:color w:val="auto"/>
                <w:kern w:val="2"/>
                <w:highlight w:val="none"/>
                <w:lang w:val="en-US" w:eastAsia="zh-CN"/>
              </w:rPr>
              <w:t>每</w:t>
            </w:r>
            <w:r>
              <w:rPr>
                <w:rFonts w:hint="eastAsia" w:ascii="宋体" w:hAnsi="宋体"/>
                <w:color w:val="auto"/>
                <w:highlight w:val="none"/>
                <w:lang w:val="en-US" w:eastAsia="zh-CN"/>
              </w:rPr>
              <w:t>提供一份</w:t>
            </w:r>
            <w:r>
              <w:rPr>
                <w:rFonts w:hint="eastAsia" w:ascii="宋体" w:hAnsi="宋体"/>
                <w:color w:val="auto"/>
                <w:highlight w:val="none"/>
                <w:lang w:eastAsia="zh-CN"/>
              </w:rPr>
              <w:t>业绩</w:t>
            </w:r>
            <w:r>
              <w:rPr>
                <w:rFonts w:hint="eastAsia" w:ascii="宋体" w:hAnsi="宋体" w:cs="宋体"/>
                <w:color w:val="auto"/>
                <w:szCs w:val="21"/>
                <w:highlight w:val="none"/>
                <w:lang w:val="zh-CN"/>
              </w:rPr>
              <w:t>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val="zh-CN"/>
              </w:rPr>
              <w:t>分，最多得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val="zh-CN"/>
              </w:rPr>
              <w:t>分。（</w:t>
            </w:r>
            <w:r>
              <w:rPr>
                <w:rFonts w:hint="eastAsia" w:ascii="宋体" w:hAnsi="宋体" w:cs="宋体"/>
                <w:color w:val="auto"/>
                <w:szCs w:val="21"/>
                <w:highlight w:val="none"/>
                <w:lang w:val="en-US" w:eastAsia="zh-CN"/>
              </w:rPr>
              <w:t>注：项目经理业绩和企业业绩不能重复</w:t>
            </w:r>
            <w:r>
              <w:rPr>
                <w:rFonts w:hint="eastAsia" w:ascii="宋体" w:hAnsi="宋体" w:cs="宋体"/>
                <w:color w:val="auto"/>
                <w:szCs w:val="21"/>
                <w:highlight w:val="none"/>
                <w:lang w:val="zh-CN"/>
              </w:rPr>
              <w:t>）</w:t>
            </w:r>
          </w:p>
        </w:tc>
      </w:tr>
      <w:tr w14:paraId="2D2D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6" w:hRule="atLeast"/>
          <w:jc w:val="center"/>
        </w:trPr>
        <w:tc>
          <w:tcPr>
            <w:tcW w:w="742" w:type="dxa"/>
            <w:vMerge w:val="continue"/>
            <w:vAlign w:val="center"/>
          </w:tcPr>
          <w:p w14:paraId="7041863C">
            <w:pPr>
              <w:jc w:val="center"/>
              <w:rPr>
                <w:rFonts w:ascii="宋体" w:hAnsi="宋体"/>
                <w:color w:val="auto"/>
                <w:szCs w:val="21"/>
                <w:highlight w:val="none"/>
              </w:rPr>
            </w:pPr>
          </w:p>
        </w:tc>
        <w:tc>
          <w:tcPr>
            <w:tcW w:w="955" w:type="dxa"/>
            <w:vMerge w:val="continue"/>
            <w:vAlign w:val="center"/>
          </w:tcPr>
          <w:p w14:paraId="060B6F8E">
            <w:pPr>
              <w:jc w:val="center"/>
              <w:rPr>
                <w:rFonts w:ascii="宋体" w:hAnsi="宋体"/>
                <w:color w:val="auto"/>
                <w:szCs w:val="21"/>
                <w:highlight w:val="none"/>
              </w:rPr>
            </w:pPr>
          </w:p>
        </w:tc>
        <w:tc>
          <w:tcPr>
            <w:tcW w:w="2106" w:type="dxa"/>
            <w:vAlign w:val="center"/>
          </w:tcPr>
          <w:p w14:paraId="3E19A211">
            <w:pPr>
              <w:rPr>
                <w:rFonts w:hint="eastAsia"/>
                <w:color w:val="auto"/>
                <w:szCs w:val="21"/>
                <w:highlight w:val="none"/>
              </w:rPr>
            </w:pPr>
            <w:r>
              <w:rPr>
                <w:rFonts w:hint="eastAsia" w:ascii="宋体" w:hAnsi="宋体" w:eastAsia="宋体" w:cs="Times New Roman"/>
                <w:color w:val="auto"/>
                <w:kern w:val="2"/>
                <w:highlight w:val="none"/>
                <w:lang w:val="en-US" w:eastAsia="zh-CN"/>
              </w:rPr>
              <w:t>履职尽责承诺（0-5分）</w:t>
            </w:r>
          </w:p>
        </w:tc>
        <w:tc>
          <w:tcPr>
            <w:tcW w:w="4775" w:type="dxa"/>
            <w:vAlign w:val="center"/>
          </w:tcPr>
          <w:p w14:paraId="6F8D456F">
            <w:pPr>
              <w:rPr>
                <w:rFonts w:hint="eastAsia" w:ascii="宋体" w:hAnsi="宋体"/>
                <w:color w:val="auto"/>
                <w:kern w:val="2"/>
                <w:highlight w:val="none"/>
                <w:lang w:val="en-US" w:eastAsia="zh-CN"/>
              </w:rPr>
            </w:pPr>
            <w:r>
              <w:rPr>
                <w:rFonts w:hint="eastAsia" w:ascii="宋体" w:hAnsi="宋体"/>
                <w:color w:val="auto"/>
                <w:kern w:val="2"/>
                <w:highlight w:val="none"/>
                <w:lang w:val="en-US" w:eastAsia="zh-CN"/>
              </w:rPr>
              <w:t>具有全面、详实、可行、合法有效的书面保证技术措施落实到位的承诺和落实不到位的处理承诺，其中包括各关键岗位人员（项目经理、技术负责人及相关技术人员、施工员、质量员、安全员、材料员、资料员等）的在岗、更换等履职尽责承诺，提供承包商履约保证。在0-5分范围内打分：全面、详实、可行、合法有效的得5分；比较全面、详实、可行、合法有效的3分；片面、不详细、不完整的1分；缺项不得分。</w:t>
            </w:r>
          </w:p>
        </w:tc>
      </w:tr>
      <w:tr w14:paraId="6FE4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742" w:type="dxa"/>
            <w:vMerge w:val="continue"/>
            <w:vAlign w:val="center"/>
          </w:tcPr>
          <w:p w14:paraId="72BA6E3E">
            <w:pPr>
              <w:jc w:val="center"/>
              <w:rPr>
                <w:rFonts w:ascii="宋体" w:hAnsi="宋体"/>
                <w:color w:val="auto"/>
                <w:szCs w:val="21"/>
                <w:highlight w:val="none"/>
              </w:rPr>
            </w:pPr>
          </w:p>
        </w:tc>
        <w:tc>
          <w:tcPr>
            <w:tcW w:w="955" w:type="dxa"/>
            <w:vMerge w:val="continue"/>
            <w:vAlign w:val="center"/>
          </w:tcPr>
          <w:p w14:paraId="5AE37278">
            <w:pPr>
              <w:jc w:val="center"/>
              <w:rPr>
                <w:rFonts w:ascii="宋体" w:hAnsi="宋体"/>
                <w:color w:val="auto"/>
                <w:szCs w:val="21"/>
                <w:highlight w:val="none"/>
              </w:rPr>
            </w:pPr>
          </w:p>
        </w:tc>
        <w:tc>
          <w:tcPr>
            <w:tcW w:w="2106" w:type="dxa"/>
            <w:vAlign w:val="center"/>
          </w:tcPr>
          <w:p w14:paraId="7DCCB422">
            <w:pPr>
              <w:rPr>
                <w:rFonts w:hint="eastAsia" w:ascii="宋体" w:hAnsi="宋体" w:eastAsia="宋体" w:cs="Times New Roman"/>
                <w:color w:val="auto"/>
                <w:kern w:val="2"/>
                <w:highlight w:val="none"/>
                <w:lang w:val="en-US" w:eastAsia="zh-CN"/>
              </w:rPr>
            </w:pPr>
            <w:r>
              <w:rPr>
                <w:rFonts w:hint="eastAsia" w:ascii="宋体" w:hAnsi="宋体" w:eastAsia="宋体" w:cs="Times New Roman"/>
                <w:color w:val="auto"/>
                <w:kern w:val="2"/>
                <w:highlight w:val="none"/>
                <w:lang w:val="en-US" w:eastAsia="zh-CN"/>
              </w:rPr>
              <w:t>优惠条件的承诺（0-4分）</w:t>
            </w:r>
          </w:p>
        </w:tc>
        <w:tc>
          <w:tcPr>
            <w:tcW w:w="4775" w:type="dxa"/>
            <w:vAlign w:val="center"/>
          </w:tcPr>
          <w:p w14:paraId="59A0EA3F">
            <w:pPr>
              <w:rPr>
                <w:rFonts w:hint="eastAsia" w:ascii="宋体" w:hAnsi="宋体" w:eastAsia="宋体" w:cs="Times New Roman"/>
                <w:color w:val="auto"/>
                <w:kern w:val="2"/>
                <w:highlight w:val="none"/>
                <w:lang w:val="en-US" w:eastAsia="zh-CN"/>
              </w:rPr>
            </w:pPr>
            <w:r>
              <w:rPr>
                <w:rFonts w:hint="eastAsia" w:ascii="宋体" w:hAnsi="宋体" w:eastAsia="宋体" w:cs="Times New Roman"/>
                <w:color w:val="auto"/>
                <w:kern w:val="2"/>
                <w:highlight w:val="none"/>
                <w:lang w:val="en-US" w:eastAsia="zh-CN"/>
              </w:rPr>
              <w:t>优惠承诺应是书面的符合工程实际情况，确保依法依规，优惠合理，承诺科学、合理、切实可行的4分；承诺基本合理，基本符合要求、基本切实可行的2分；一般合理、不详细完整的得1分；缺项不得分。</w:t>
            </w:r>
          </w:p>
        </w:tc>
      </w:tr>
      <w:tr w14:paraId="5E59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742" w:type="dxa"/>
            <w:vMerge w:val="continue"/>
            <w:vAlign w:val="center"/>
          </w:tcPr>
          <w:p w14:paraId="190E1A9A">
            <w:pPr>
              <w:jc w:val="center"/>
              <w:rPr>
                <w:rFonts w:ascii="宋体" w:hAnsi="宋体"/>
                <w:color w:val="auto"/>
                <w:szCs w:val="21"/>
                <w:highlight w:val="none"/>
              </w:rPr>
            </w:pPr>
          </w:p>
        </w:tc>
        <w:tc>
          <w:tcPr>
            <w:tcW w:w="955" w:type="dxa"/>
            <w:vMerge w:val="continue"/>
            <w:vAlign w:val="center"/>
          </w:tcPr>
          <w:p w14:paraId="39FE4357">
            <w:pPr>
              <w:jc w:val="center"/>
              <w:rPr>
                <w:rFonts w:ascii="宋体" w:hAnsi="宋体"/>
                <w:color w:val="auto"/>
                <w:szCs w:val="21"/>
                <w:highlight w:val="none"/>
              </w:rPr>
            </w:pPr>
          </w:p>
        </w:tc>
        <w:tc>
          <w:tcPr>
            <w:tcW w:w="2106" w:type="dxa"/>
            <w:vAlign w:val="center"/>
          </w:tcPr>
          <w:p w14:paraId="0DDF6BBD">
            <w:pPr>
              <w:rPr>
                <w:rFonts w:hint="eastAsia" w:ascii="宋体" w:hAnsi="宋体" w:eastAsia="宋体" w:cs="Times New Roman"/>
                <w:color w:val="auto"/>
                <w:kern w:val="2"/>
                <w:highlight w:val="none"/>
                <w:lang w:val="en-US" w:eastAsia="zh-CN"/>
              </w:rPr>
            </w:pPr>
            <w:r>
              <w:rPr>
                <w:rFonts w:hint="eastAsia" w:ascii="宋体" w:hAnsi="宋体" w:eastAsia="宋体" w:cs="Times New Roman"/>
                <w:color w:val="auto"/>
                <w:kern w:val="2"/>
                <w:highlight w:val="none"/>
                <w:lang w:val="en-US" w:eastAsia="zh-CN"/>
              </w:rPr>
              <w:t>质量、工期承诺（0-3分）</w:t>
            </w:r>
          </w:p>
        </w:tc>
        <w:tc>
          <w:tcPr>
            <w:tcW w:w="4775" w:type="dxa"/>
            <w:vAlign w:val="center"/>
          </w:tcPr>
          <w:p w14:paraId="491C8C25">
            <w:pPr>
              <w:rPr>
                <w:rFonts w:hint="eastAsia" w:ascii="宋体" w:hAnsi="宋体" w:eastAsia="宋体" w:cs="Times New Roman"/>
                <w:color w:val="auto"/>
                <w:kern w:val="2"/>
                <w:highlight w:val="none"/>
                <w:lang w:val="en-US" w:eastAsia="zh-CN"/>
              </w:rPr>
            </w:pPr>
            <w:r>
              <w:rPr>
                <w:rFonts w:hint="eastAsia" w:ascii="宋体" w:hAnsi="宋体" w:eastAsia="宋体" w:cs="Times New Roman"/>
                <w:color w:val="auto"/>
                <w:kern w:val="2"/>
                <w:highlight w:val="none"/>
                <w:lang w:val="en-US" w:eastAsia="zh-CN"/>
              </w:rPr>
              <w:t>承诺质量、工期达到磋商文件要求并有具体措施，在0-3分范围内打分：合理、详实可行的得3分；较合理、详实可行2分；一般合理、不详细完整的得1分；缺项不得分。</w:t>
            </w:r>
          </w:p>
        </w:tc>
      </w:tr>
    </w:tbl>
    <w:p w14:paraId="041E3145">
      <w:pPr>
        <w:adjustRightInd w:val="0"/>
        <w:rPr>
          <w:rFonts w:ascii="宋体" w:hAnsi="宋体"/>
          <w:color w:val="auto"/>
          <w:sz w:val="24"/>
          <w:highlight w:val="none"/>
        </w:rPr>
      </w:pPr>
    </w:p>
    <w:p w14:paraId="1C727042">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1. 评审方法</w:t>
      </w:r>
      <w:bookmarkEnd w:id="150"/>
      <w:bookmarkEnd w:id="151"/>
      <w:bookmarkEnd w:id="152"/>
      <w:bookmarkEnd w:id="153"/>
      <w:bookmarkEnd w:id="154"/>
    </w:p>
    <w:p w14:paraId="17896F55">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本次评审采用综合评分法。磋商小组对满足磋商文件实质性要求的响应文件，按照本章规定的评分标准进行打分，并按得分由高到低顺序推荐成交候选人，综合评分相等时，以报价得分高的优先；报价得分也相等的，由招标人自行确定。</w:t>
      </w:r>
    </w:p>
    <w:p w14:paraId="053C0CBA">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bookmarkStart w:id="155" w:name="_Toc24936"/>
      <w:bookmarkStart w:id="156" w:name="_Toc152045601"/>
      <w:bookmarkStart w:id="157" w:name="_Toc455867817"/>
      <w:bookmarkStart w:id="158" w:name="_Toc318450723"/>
      <w:bookmarkStart w:id="159" w:name="_Toc6612"/>
      <w:bookmarkStart w:id="160" w:name="_Toc455080157"/>
      <w:bookmarkStart w:id="161" w:name="_Toc144974568"/>
      <w:bookmarkStart w:id="162" w:name="_Toc466298140"/>
      <w:bookmarkStart w:id="163" w:name="_Toc26131"/>
      <w:bookmarkStart w:id="164" w:name="_Toc490667876"/>
      <w:bookmarkStart w:id="165" w:name="_Toc152042378"/>
      <w:bookmarkStart w:id="166" w:name="_Toc281405529"/>
      <w:bookmarkStart w:id="167" w:name="_Toc20837"/>
      <w:r>
        <w:rPr>
          <w:rFonts w:hint="eastAsia" w:ascii="宋体" w:hAnsi="宋体"/>
          <w:color w:val="auto"/>
          <w:sz w:val="24"/>
          <w:szCs w:val="24"/>
          <w:highlight w:val="none"/>
        </w:rPr>
        <w:t>2. 评审标准</w:t>
      </w:r>
      <w:bookmarkEnd w:id="155"/>
      <w:bookmarkEnd w:id="156"/>
      <w:bookmarkEnd w:id="157"/>
      <w:bookmarkEnd w:id="158"/>
      <w:bookmarkEnd w:id="159"/>
      <w:bookmarkEnd w:id="160"/>
      <w:bookmarkEnd w:id="161"/>
      <w:bookmarkEnd w:id="162"/>
      <w:bookmarkEnd w:id="163"/>
      <w:bookmarkEnd w:id="164"/>
      <w:bookmarkEnd w:id="165"/>
      <w:bookmarkEnd w:id="166"/>
      <w:bookmarkEnd w:id="167"/>
    </w:p>
    <w:p w14:paraId="7C0C362D">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bookmarkStart w:id="168" w:name="_Toc25637"/>
      <w:bookmarkStart w:id="169" w:name="_Toc144974569"/>
      <w:bookmarkStart w:id="170" w:name="_Toc24558"/>
      <w:bookmarkStart w:id="171" w:name="_Toc15813"/>
      <w:bookmarkStart w:id="172" w:name="_Toc318450724"/>
      <w:bookmarkStart w:id="173" w:name="_Toc490667877"/>
      <w:bookmarkStart w:id="174" w:name="_Toc455080158"/>
      <w:bookmarkStart w:id="175" w:name="_Toc152042379"/>
      <w:bookmarkStart w:id="176" w:name="_Toc6711"/>
      <w:bookmarkStart w:id="177" w:name="_Toc21120"/>
      <w:bookmarkStart w:id="178" w:name="_Toc11223"/>
      <w:bookmarkStart w:id="179" w:name="_Toc455867818"/>
      <w:bookmarkStart w:id="180" w:name="_Toc31037"/>
      <w:bookmarkStart w:id="181" w:name="_Toc19934"/>
      <w:bookmarkStart w:id="182" w:name="_Toc466298141"/>
      <w:bookmarkStart w:id="183" w:name="_Toc281405530"/>
      <w:bookmarkStart w:id="184" w:name="_Toc152045602"/>
      <w:r>
        <w:rPr>
          <w:rFonts w:hint="eastAsia" w:ascii="宋体" w:hAnsi="宋体"/>
          <w:color w:val="auto"/>
          <w:sz w:val="24"/>
          <w:szCs w:val="24"/>
          <w:highlight w:val="none"/>
        </w:rPr>
        <w:t>2.1 初步评审标准</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2B5B370E">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2.1.1 符合性评审标准：见评审办法前附表。</w:t>
      </w:r>
    </w:p>
    <w:p w14:paraId="7CD9ACFE">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2.1.2 资格性检查评审标准：见评审办法前附表。</w:t>
      </w:r>
    </w:p>
    <w:p w14:paraId="59486D07">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2.1.3 响应性检查评审标准：见评审办法前附表。</w:t>
      </w:r>
    </w:p>
    <w:p w14:paraId="45290859">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bookmarkStart w:id="185" w:name="_Toc25492"/>
      <w:bookmarkStart w:id="186" w:name="_Toc11061"/>
      <w:bookmarkStart w:id="187" w:name="_Toc12013"/>
      <w:bookmarkStart w:id="188" w:name="_Toc318450725"/>
      <w:bookmarkStart w:id="189" w:name="_Toc24825"/>
      <w:bookmarkStart w:id="190" w:name="_Toc152045603"/>
      <w:bookmarkStart w:id="191" w:name="_Toc466298142"/>
      <w:bookmarkStart w:id="192" w:name="_Toc30189"/>
      <w:bookmarkStart w:id="193" w:name="_Toc455080159"/>
      <w:bookmarkStart w:id="194" w:name="_Toc281405531"/>
      <w:bookmarkStart w:id="195" w:name="_Toc22439"/>
      <w:bookmarkStart w:id="196" w:name="_Toc21970"/>
      <w:bookmarkStart w:id="197" w:name="_Toc455867819"/>
      <w:bookmarkStart w:id="198" w:name="_Toc7284"/>
      <w:bookmarkStart w:id="199" w:name="_Toc152042380"/>
      <w:bookmarkStart w:id="200" w:name="_Toc490667878"/>
      <w:bookmarkStart w:id="201" w:name="_Toc144974570"/>
      <w:r>
        <w:rPr>
          <w:rFonts w:hint="eastAsia" w:ascii="宋体" w:hAnsi="宋体"/>
          <w:color w:val="auto"/>
          <w:sz w:val="24"/>
          <w:szCs w:val="24"/>
          <w:highlight w:val="none"/>
        </w:rPr>
        <w:t>2.2 分值构成与评分标准</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5F6DC7EE">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（1）最后磋商报价：见评审办法前附表</w:t>
      </w:r>
    </w:p>
    <w:p w14:paraId="66BF5A99">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（2）技术标：见评审办法前附表；</w:t>
      </w:r>
    </w:p>
    <w:p w14:paraId="5CA5896A">
      <w:pPr>
        <w:keepNext w:val="0"/>
        <w:keepLines w:val="0"/>
        <w:pageBreakBefore w:val="0"/>
        <w:widowControl w:val="0"/>
        <w:kinsoku/>
        <w:wordWrap/>
        <w:overflowPunct/>
        <w:topLinePunct w:val="0"/>
        <w:autoSpaceDE/>
        <w:autoSpaceDN/>
        <w:bidi w:val="0"/>
        <w:adjustRightInd/>
        <w:snapToGrid w:val="0"/>
        <w:spacing w:line="440" w:lineRule="exact"/>
        <w:ind w:firstLine="420" w:firstLineChars="175"/>
        <w:textAlignment w:val="auto"/>
        <w:rPr>
          <w:rFonts w:ascii="宋体" w:hAnsi="宋体"/>
          <w:color w:val="auto"/>
          <w:sz w:val="24"/>
          <w:szCs w:val="24"/>
          <w:highlight w:val="none"/>
        </w:rPr>
      </w:pPr>
      <w:r>
        <w:rPr>
          <w:rFonts w:hint="eastAsia" w:ascii="宋体" w:hAnsi="宋体"/>
          <w:color w:val="auto"/>
          <w:sz w:val="24"/>
          <w:szCs w:val="24"/>
          <w:highlight w:val="none"/>
        </w:rPr>
        <w:t>（3）商务标：见评审办法前附表；</w:t>
      </w:r>
    </w:p>
    <w:p w14:paraId="4F9F04A5">
      <w:pPr>
        <w:snapToGrid w:val="0"/>
        <w:spacing w:line="360" w:lineRule="auto"/>
        <w:ind w:firstLine="420" w:firstLineChars="175"/>
        <w:rPr>
          <w:rFonts w:ascii="宋体" w:hAnsi="宋体"/>
          <w:color w:val="auto"/>
          <w:sz w:val="24"/>
          <w:szCs w:val="24"/>
          <w:highlight w:val="none"/>
        </w:rPr>
      </w:pPr>
      <w:bookmarkStart w:id="202" w:name="_Toc466298143"/>
      <w:bookmarkStart w:id="203" w:name="_Toc29297"/>
      <w:bookmarkStart w:id="204" w:name="_Toc490667879"/>
      <w:bookmarkStart w:id="205" w:name="_Toc455867820"/>
      <w:bookmarkStart w:id="206" w:name="_Toc16479"/>
      <w:bookmarkStart w:id="207" w:name="_Toc318450726"/>
      <w:bookmarkStart w:id="208" w:name="_Toc455080160"/>
      <w:bookmarkStart w:id="209" w:name="_Toc281405532"/>
      <w:bookmarkStart w:id="210" w:name="_Toc17308"/>
      <w:bookmarkStart w:id="211" w:name="_Toc32314"/>
      <w:r>
        <w:rPr>
          <w:rFonts w:hint="eastAsia" w:ascii="宋体" w:hAnsi="宋体"/>
          <w:color w:val="auto"/>
          <w:sz w:val="24"/>
          <w:szCs w:val="24"/>
          <w:highlight w:val="none"/>
        </w:rPr>
        <w:t>3. 评审程序</w:t>
      </w:r>
      <w:bookmarkEnd w:id="202"/>
      <w:bookmarkEnd w:id="203"/>
      <w:bookmarkEnd w:id="204"/>
      <w:bookmarkEnd w:id="205"/>
      <w:bookmarkEnd w:id="206"/>
      <w:bookmarkEnd w:id="207"/>
      <w:bookmarkEnd w:id="208"/>
      <w:bookmarkEnd w:id="209"/>
      <w:bookmarkEnd w:id="210"/>
      <w:bookmarkEnd w:id="211"/>
    </w:p>
    <w:p w14:paraId="3EEB16AC">
      <w:pPr>
        <w:snapToGrid w:val="0"/>
        <w:spacing w:line="360" w:lineRule="auto"/>
        <w:ind w:firstLine="420" w:firstLineChars="175"/>
        <w:rPr>
          <w:rFonts w:ascii="宋体" w:hAnsi="宋体"/>
          <w:color w:val="auto"/>
          <w:sz w:val="24"/>
          <w:szCs w:val="24"/>
          <w:highlight w:val="none"/>
        </w:rPr>
      </w:pPr>
      <w:bookmarkStart w:id="212" w:name="_Toc466298144"/>
      <w:bookmarkStart w:id="213" w:name="_Toc18886"/>
      <w:bookmarkStart w:id="214" w:name="_Toc16892"/>
      <w:bookmarkStart w:id="215" w:name="_Toc9433"/>
      <w:bookmarkStart w:id="216" w:name="_Toc29614"/>
      <w:bookmarkStart w:id="217" w:name="_Toc281405533"/>
      <w:bookmarkStart w:id="218" w:name="_Toc30986"/>
      <w:bookmarkStart w:id="219" w:name="_Toc455867821"/>
      <w:bookmarkStart w:id="220" w:name="_Toc5427"/>
      <w:bookmarkStart w:id="221" w:name="_Toc2410"/>
      <w:bookmarkStart w:id="222" w:name="_Toc318450727"/>
      <w:bookmarkStart w:id="223" w:name="_Toc455080161"/>
      <w:bookmarkStart w:id="224" w:name="_Toc7272"/>
      <w:bookmarkStart w:id="225" w:name="_Toc14633"/>
      <w:bookmarkStart w:id="226" w:name="_Toc490667880"/>
      <w:r>
        <w:rPr>
          <w:rFonts w:hint="eastAsia" w:ascii="宋体" w:hAnsi="宋体"/>
          <w:color w:val="auto"/>
          <w:sz w:val="24"/>
          <w:szCs w:val="24"/>
          <w:highlight w:val="none"/>
        </w:rPr>
        <w:t>3.1 初步评审</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73975DF8">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3.1.1 磋商小组依据本章第2.1款规定的标准对响应文件进行初步评审。有一项不符合评审标准的，其投标无效。</w:t>
      </w:r>
    </w:p>
    <w:p w14:paraId="0281AAB0">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3.1.2 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有以下情形之一的，其响应文件作无效处理：</w:t>
      </w:r>
    </w:p>
    <w:p w14:paraId="68964E06">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（1）串通或弄虚作假或有其他违法行为的；</w:t>
      </w:r>
    </w:p>
    <w:p w14:paraId="65BC9E77">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（2）不按磋商小组要求澄清、说明或补正的；</w:t>
      </w:r>
    </w:p>
    <w:p w14:paraId="1F0595E0">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（3）未按规定格式填写、内容不全或关键字迹模糊、无法辨认的；</w:t>
      </w:r>
    </w:p>
    <w:p w14:paraId="76B9FBD7">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（4）响应文件附有招标人不能接受的条件；</w:t>
      </w:r>
    </w:p>
    <w:p w14:paraId="490A231F">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（5）不符合磋商文件规定的其他实质性要求。</w:t>
      </w:r>
    </w:p>
    <w:p w14:paraId="482D2416">
      <w:pPr>
        <w:snapToGrid w:val="0"/>
        <w:spacing w:line="360" w:lineRule="auto"/>
        <w:ind w:firstLine="420" w:firstLineChars="175"/>
        <w:rPr>
          <w:rFonts w:ascii="宋体" w:hAnsi="宋体"/>
          <w:color w:val="auto"/>
          <w:sz w:val="24"/>
          <w:szCs w:val="24"/>
          <w:highlight w:val="none"/>
        </w:rPr>
      </w:pPr>
      <w:bookmarkStart w:id="227" w:name="_Toc12406"/>
      <w:bookmarkStart w:id="228" w:name="_Toc455080162"/>
      <w:bookmarkStart w:id="229" w:name="_Toc318450728"/>
      <w:bookmarkStart w:id="230" w:name="_Toc16964"/>
      <w:bookmarkStart w:id="231" w:name="_Toc13386"/>
      <w:bookmarkStart w:id="232" w:name="_Toc7121"/>
      <w:bookmarkStart w:id="233" w:name="_Toc466298145"/>
      <w:bookmarkStart w:id="234" w:name="_Toc10692"/>
      <w:bookmarkStart w:id="235" w:name="_Toc281405534"/>
      <w:bookmarkStart w:id="236" w:name="_Toc22101"/>
      <w:bookmarkStart w:id="237" w:name="_Toc21032"/>
      <w:bookmarkStart w:id="238" w:name="_Toc455867822"/>
      <w:bookmarkStart w:id="239" w:name="_Toc21570"/>
      <w:bookmarkStart w:id="240" w:name="_Toc26049"/>
      <w:bookmarkStart w:id="241" w:name="_Toc490667881"/>
      <w:r>
        <w:rPr>
          <w:rFonts w:hint="eastAsia" w:ascii="宋体" w:hAnsi="宋体"/>
          <w:color w:val="auto"/>
          <w:sz w:val="24"/>
          <w:szCs w:val="24"/>
          <w:highlight w:val="none"/>
        </w:rPr>
        <w:t>3.2 详细评审</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4002712B">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3.2.1 磋商小组按本章第2.2款规定的量化因素和分值进行打分，并计算出综合评分得分。</w:t>
      </w:r>
    </w:p>
    <w:p w14:paraId="3A6DA0C5">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3.2.2 评分分值计算保留小数点后两位，小数点后第三位“四舍五入”。</w:t>
      </w:r>
    </w:p>
    <w:p w14:paraId="3CE9CF0D">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3.2.3磋商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的最后得分以全部小组成员打分的算术平均值为准，作为该磋商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的最终得分。</w:t>
      </w:r>
    </w:p>
    <w:p w14:paraId="687C827E">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3.2.4在磋商过程中，凡遇到磋商文件中无界定或界定不清、前后不一致使磋商小组意见有分歧且又难以协商一致的问题，均由磋商小组予以表决，获半数以上同意的即为通过，未获半数同意的即为否决。</w:t>
      </w:r>
    </w:p>
    <w:p w14:paraId="39EEB2A5">
      <w:pPr>
        <w:snapToGrid w:val="0"/>
        <w:spacing w:line="360" w:lineRule="auto"/>
        <w:ind w:firstLine="420" w:firstLineChars="175"/>
        <w:rPr>
          <w:rFonts w:ascii="宋体" w:hAnsi="宋体"/>
          <w:color w:val="auto"/>
          <w:sz w:val="24"/>
          <w:szCs w:val="24"/>
          <w:highlight w:val="none"/>
        </w:rPr>
      </w:pPr>
      <w:bookmarkStart w:id="242" w:name="_Toc490667882"/>
      <w:bookmarkStart w:id="243" w:name="_Toc10153"/>
      <w:bookmarkStart w:id="244" w:name="_Toc281405535"/>
      <w:bookmarkStart w:id="245" w:name="_Toc2657"/>
      <w:bookmarkStart w:id="246" w:name="_Toc11958"/>
      <w:bookmarkStart w:id="247" w:name="_Toc318450729"/>
      <w:bookmarkStart w:id="248" w:name="_Toc8813"/>
      <w:bookmarkStart w:id="249" w:name="_Toc8342"/>
      <w:bookmarkStart w:id="250" w:name="_Toc12374"/>
      <w:bookmarkStart w:id="251" w:name="_Toc331"/>
      <w:bookmarkStart w:id="252" w:name="_Toc455867823"/>
      <w:bookmarkStart w:id="253" w:name="_Toc28633"/>
      <w:bookmarkStart w:id="254" w:name="_Toc466298146"/>
      <w:bookmarkStart w:id="255" w:name="_Toc455080163"/>
      <w:bookmarkStart w:id="256" w:name="_Toc24862"/>
      <w:r>
        <w:rPr>
          <w:rFonts w:hint="eastAsia" w:ascii="宋体" w:hAnsi="宋体"/>
          <w:color w:val="auto"/>
          <w:sz w:val="24"/>
          <w:szCs w:val="24"/>
          <w:highlight w:val="none"/>
        </w:rPr>
        <w:t>3.3 响应文件的澄清和补正</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0FF9DBA0">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3.3.1在磋商过程中，磋商小组可以书面形式要求磋商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对所提交的响应文件中不明确的内容进行书面澄清或说明，或者对细微偏离进行补正。磋商小组不接受磋商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主动提出的澄清、说明或补正。</w:t>
      </w:r>
    </w:p>
    <w:p w14:paraId="3E3030DD">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3.3.2 澄清、说明和补正不得超出响应文件的范围或者改变响应文件的实质性内容（算术性错误修正的除外）。磋商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的书面澄清、说明和补正属于响应文件的组成部分。</w:t>
      </w:r>
    </w:p>
    <w:p w14:paraId="65FE1BC2">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3.3.3 磋商小组对磋商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提交的澄清、说明或补正有疑问的，可以要求磋商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进一步澄清、说明或补正，直至满足磋商小组的要求。</w:t>
      </w:r>
    </w:p>
    <w:p w14:paraId="20485ED8">
      <w:pPr>
        <w:snapToGrid w:val="0"/>
        <w:spacing w:line="360" w:lineRule="auto"/>
        <w:ind w:firstLine="420" w:firstLineChars="175"/>
        <w:rPr>
          <w:rFonts w:ascii="宋体" w:hAnsi="宋体"/>
          <w:color w:val="auto"/>
          <w:sz w:val="24"/>
          <w:szCs w:val="24"/>
          <w:highlight w:val="none"/>
        </w:rPr>
      </w:pPr>
      <w:bookmarkStart w:id="257" w:name="_Toc318450730"/>
      <w:bookmarkStart w:id="258" w:name="_Toc5903"/>
      <w:bookmarkStart w:id="259" w:name="_Toc32183"/>
      <w:bookmarkStart w:id="260" w:name="_Toc22986"/>
      <w:bookmarkStart w:id="261" w:name="_Toc22049"/>
      <w:bookmarkStart w:id="262" w:name="_Toc281405536"/>
      <w:bookmarkStart w:id="263" w:name="_Toc1857"/>
      <w:bookmarkStart w:id="264" w:name="_Toc466298147"/>
      <w:bookmarkStart w:id="265" w:name="_Toc455867824"/>
      <w:bookmarkStart w:id="266" w:name="_Toc26894"/>
      <w:bookmarkStart w:id="267" w:name="_Toc30053"/>
      <w:bookmarkStart w:id="268" w:name="_Toc22682"/>
      <w:bookmarkStart w:id="269" w:name="_Toc19453"/>
      <w:bookmarkStart w:id="270" w:name="_Toc455080164"/>
      <w:bookmarkStart w:id="271" w:name="_Toc490667883"/>
      <w:r>
        <w:rPr>
          <w:rFonts w:hint="eastAsia" w:ascii="宋体" w:hAnsi="宋体"/>
          <w:color w:val="auto"/>
          <w:sz w:val="24"/>
          <w:szCs w:val="24"/>
          <w:highlight w:val="none"/>
        </w:rPr>
        <w:t>3.4 评审结果</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4D6D7A2B">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3.4.1磋商小组按照得分由高到低的顺序推荐成交候选人。</w:t>
      </w:r>
    </w:p>
    <w:p w14:paraId="70DFFDDB">
      <w:pPr>
        <w:snapToGrid w:val="0"/>
        <w:spacing w:line="360" w:lineRule="auto"/>
        <w:ind w:firstLine="420" w:firstLineChars="175"/>
        <w:rPr>
          <w:rFonts w:ascii="宋体" w:hAnsi="宋体"/>
          <w:color w:val="auto"/>
          <w:sz w:val="24"/>
          <w:szCs w:val="24"/>
          <w:highlight w:val="none"/>
        </w:rPr>
      </w:pPr>
      <w:r>
        <w:rPr>
          <w:rFonts w:hint="eastAsia" w:ascii="宋体" w:hAnsi="宋体"/>
          <w:color w:val="auto"/>
          <w:sz w:val="24"/>
          <w:szCs w:val="24"/>
          <w:highlight w:val="none"/>
        </w:rPr>
        <w:t>3.4.2 磋商小组完成评审后，应当向招标人提交书面评审报告。</w:t>
      </w:r>
    </w:p>
    <w:p w14:paraId="71BF1584">
      <w:pPr>
        <w:rPr>
          <w:rFonts w:hint="eastAsia" w:ascii="宋体" w:hAnsi="宋体"/>
          <w:b/>
          <w:color w:val="auto"/>
          <w:sz w:val="32"/>
          <w:szCs w:val="32"/>
          <w:highlight w:val="none"/>
        </w:rPr>
      </w:pPr>
      <w:bookmarkStart w:id="272" w:name="_Toc19574"/>
      <w:r>
        <w:rPr>
          <w:rFonts w:hint="eastAsia" w:ascii="宋体" w:hAnsi="宋体"/>
          <w:b/>
          <w:color w:val="auto"/>
          <w:sz w:val="32"/>
          <w:szCs w:val="32"/>
          <w:highlight w:val="none"/>
        </w:rPr>
        <w:br w:type="page"/>
      </w:r>
    </w:p>
    <w:p w14:paraId="19733F1D">
      <w:pPr>
        <w:spacing w:line="520" w:lineRule="exact"/>
        <w:jc w:val="center"/>
        <w:outlineLvl w:val="0"/>
        <w:rPr>
          <w:rFonts w:ascii="宋体" w:hAnsi="宋体"/>
          <w:b/>
          <w:color w:val="auto"/>
          <w:sz w:val="32"/>
          <w:szCs w:val="32"/>
          <w:highlight w:val="none"/>
        </w:rPr>
      </w:pPr>
      <w:r>
        <w:rPr>
          <w:rFonts w:hint="eastAsia" w:ascii="宋体" w:hAnsi="宋体"/>
          <w:b/>
          <w:color w:val="auto"/>
          <w:sz w:val="32"/>
          <w:szCs w:val="32"/>
          <w:highlight w:val="none"/>
        </w:rPr>
        <w:t>第四章合同条款及格式</w:t>
      </w:r>
      <w:bookmarkEnd w:id="272"/>
    </w:p>
    <w:p w14:paraId="220481A3">
      <w:pPr>
        <w:spacing w:line="520" w:lineRule="exact"/>
        <w:ind w:firstLine="356" w:firstLineChars="155"/>
        <w:rPr>
          <w:rFonts w:ascii="宋体" w:hAnsi="宋体"/>
          <w:color w:val="auto"/>
          <w:spacing w:val="-5"/>
          <w:sz w:val="24"/>
          <w:szCs w:val="24"/>
          <w:highlight w:val="none"/>
        </w:rPr>
      </w:pPr>
      <w:r>
        <w:rPr>
          <w:rFonts w:hint="eastAsia" w:ascii="宋体" w:hAnsi="宋体"/>
          <w:color w:val="auto"/>
          <w:spacing w:val="-5"/>
          <w:sz w:val="24"/>
          <w:szCs w:val="24"/>
          <w:highlight w:val="none"/>
        </w:rPr>
        <w:t>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06F471BE">
      <w:pPr>
        <w:spacing w:line="520" w:lineRule="exact"/>
        <w:ind w:left="1572" w:firstLine="785"/>
        <w:jc w:val="center"/>
        <w:rPr>
          <w:rFonts w:ascii="宋体" w:hAnsi="宋体"/>
          <w:color w:val="auto"/>
          <w:szCs w:val="21"/>
          <w:highlight w:val="none"/>
        </w:rPr>
      </w:pPr>
    </w:p>
    <w:p w14:paraId="554E5C71">
      <w:pPr>
        <w:spacing w:line="520" w:lineRule="exact"/>
        <w:jc w:val="center"/>
        <w:rPr>
          <w:rFonts w:ascii="宋体" w:hAnsi="宋体"/>
          <w:color w:val="auto"/>
          <w:sz w:val="28"/>
          <w:szCs w:val="28"/>
          <w:highlight w:val="none"/>
        </w:rPr>
      </w:pPr>
      <w:r>
        <w:rPr>
          <w:rFonts w:hint="eastAsia" w:ascii="宋体" w:hAnsi="宋体"/>
          <w:color w:val="auto"/>
          <w:spacing w:val="-1"/>
          <w:sz w:val="28"/>
          <w:szCs w:val="28"/>
          <w:highlight w:val="none"/>
        </w:rPr>
        <w:t>第1</w:t>
      </w:r>
      <w:r>
        <w:rPr>
          <w:rFonts w:hint="eastAsia" w:ascii="宋体" w:hAnsi="宋体"/>
          <w:color w:val="auto"/>
          <w:sz w:val="28"/>
          <w:szCs w:val="28"/>
          <w:highlight w:val="none"/>
        </w:rPr>
        <w:t>节通用合同条款</w:t>
      </w:r>
    </w:p>
    <w:p w14:paraId="2481B642">
      <w:pPr>
        <w:spacing w:line="520" w:lineRule="exact"/>
        <w:jc w:val="center"/>
        <w:rPr>
          <w:rFonts w:ascii="宋体" w:hAnsi="宋体"/>
          <w:color w:val="auto"/>
          <w:spacing w:val="-5"/>
          <w:sz w:val="28"/>
          <w:szCs w:val="28"/>
          <w:highlight w:val="none"/>
        </w:rPr>
      </w:pPr>
      <w:r>
        <w:rPr>
          <w:rFonts w:hint="eastAsia" w:ascii="宋体" w:hAnsi="宋体"/>
          <w:color w:val="auto"/>
          <w:spacing w:val="-5"/>
          <w:sz w:val="28"/>
          <w:szCs w:val="28"/>
          <w:highlight w:val="none"/>
        </w:rPr>
        <w:t>采用《标准施工招标文件》的“通用合同条款”。</w:t>
      </w:r>
    </w:p>
    <w:p w14:paraId="4B5E763C">
      <w:pPr>
        <w:spacing w:line="520" w:lineRule="exact"/>
        <w:jc w:val="center"/>
        <w:rPr>
          <w:rFonts w:ascii="宋体" w:hAnsi="宋体"/>
          <w:color w:val="auto"/>
          <w:spacing w:val="-5"/>
          <w:sz w:val="28"/>
          <w:szCs w:val="28"/>
          <w:highlight w:val="none"/>
        </w:rPr>
      </w:pPr>
    </w:p>
    <w:p w14:paraId="5991BAC9">
      <w:pPr>
        <w:spacing w:line="520" w:lineRule="exact"/>
        <w:rPr>
          <w:rFonts w:ascii="宋体" w:hAnsi="宋体"/>
          <w:b/>
          <w:bCs/>
          <w:color w:val="auto"/>
          <w:sz w:val="24"/>
          <w:szCs w:val="24"/>
          <w:highlight w:val="none"/>
          <w:u w:val="single"/>
        </w:rPr>
      </w:pPr>
      <w:r>
        <w:rPr>
          <w:rFonts w:hint="eastAsia" w:ascii="宋体" w:hAnsi="宋体"/>
          <w:b/>
          <w:bCs/>
          <w:color w:val="auto"/>
          <w:sz w:val="24"/>
          <w:szCs w:val="24"/>
          <w:highlight w:val="none"/>
        </w:rPr>
        <w:t>发包人（全称）：</w:t>
      </w:r>
    </w:p>
    <w:p w14:paraId="0756BAEB">
      <w:pPr>
        <w:spacing w:line="520" w:lineRule="exact"/>
        <w:rPr>
          <w:rFonts w:ascii="宋体" w:hAnsi="宋体"/>
          <w:b/>
          <w:bCs/>
          <w:color w:val="auto"/>
          <w:sz w:val="24"/>
          <w:szCs w:val="24"/>
          <w:highlight w:val="none"/>
          <w:u w:val="single"/>
        </w:rPr>
      </w:pPr>
      <w:r>
        <w:rPr>
          <w:rFonts w:hint="eastAsia" w:ascii="宋体" w:hAnsi="宋体"/>
          <w:b/>
          <w:bCs/>
          <w:color w:val="auto"/>
          <w:sz w:val="24"/>
          <w:szCs w:val="24"/>
          <w:highlight w:val="none"/>
        </w:rPr>
        <w:t>承包人（全称）：</w:t>
      </w:r>
    </w:p>
    <w:p w14:paraId="120B264A">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根据《中华人民共和国合同法》、《中华人民共和国建筑法》及有关法律规定，遵循平等、自愿、公平和诚实信用的原则，双方就</w:t>
      </w:r>
      <w:r>
        <w:rPr>
          <w:rFonts w:hint="eastAsia" w:ascii="宋体" w:hAnsi="宋体"/>
          <w:color w:val="auto"/>
          <w:sz w:val="24"/>
          <w:szCs w:val="24"/>
          <w:highlight w:val="none"/>
          <w:u w:val="single"/>
        </w:rPr>
        <w:t xml:space="preserve">                      项目</w:t>
      </w:r>
      <w:r>
        <w:rPr>
          <w:rFonts w:hint="eastAsia" w:ascii="宋体" w:hAnsi="宋体"/>
          <w:color w:val="auto"/>
          <w:sz w:val="24"/>
          <w:szCs w:val="24"/>
          <w:highlight w:val="none"/>
        </w:rPr>
        <w:t>有关事项协商一致，共同达成如下协议：</w:t>
      </w:r>
    </w:p>
    <w:p w14:paraId="0DAC3535">
      <w:pPr>
        <w:pStyle w:val="4"/>
        <w:spacing w:line="520" w:lineRule="exact"/>
        <w:rPr>
          <w:rFonts w:ascii="宋体"/>
          <w:color w:val="auto"/>
          <w:sz w:val="24"/>
          <w:szCs w:val="24"/>
          <w:highlight w:val="none"/>
        </w:rPr>
      </w:pPr>
      <w:bookmarkStart w:id="273" w:name="_Toc351203481"/>
      <w:bookmarkEnd w:id="273"/>
      <w:r>
        <w:rPr>
          <w:rFonts w:hint="eastAsia" w:ascii="宋体" w:hAnsi="宋体"/>
          <w:b w:val="0"/>
          <w:bCs w:val="0"/>
          <w:color w:val="auto"/>
          <w:sz w:val="24"/>
          <w:szCs w:val="24"/>
          <w:highlight w:val="none"/>
        </w:rPr>
        <w:t>一、工程概况</w:t>
      </w:r>
    </w:p>
    <w:p w14:paraId="50A1DD83">
      <w:pPr>
        <w:spacing w:line="520" w:lineRule="exact"/>
        <w:ind w:firstLine="470"/>
        <w:rPr>
          <w:rFonts w:ascii="宋体" w:hAnsi="宋体"/>
          <w:color w:val="auto"/>
          <w:sz w:val="24"/>
          <w:szCs w:val="24"/>
          <w:highlight w:val="none"/>
        </w:rPr>
      </w:pPr>
      <w:r>
        <w:rPr>
          <w:rFonts w:hint="eastAsia" w:ascii="宋体" w:hAnsi="宋体"/>
          <w:color w:val="auto"/>
          <w:sz w:val="24"/>
          <w:szCs w:val="24"/>
          <w:highlight w:val="none"/>
        </w:rPr>
        <w:t>工程名称：</w:t>
      </w:r>
    </w:p>
    <w:p w14:paraId="672AAB0E">
      <w:pPr>
        <w:spacing w:line="520" w:lineRule="exact"/>
        <w:rPr>
          <w:rFonts w:ascii="宋体" w:hAnsi="宋体"/>
          <w:color w:val="auto"/>
          <w:sz w:val="24"/>
          <w:szCs w:val="24"/>
          <w:highlight w:val="none"/>
        </w:rPr>
      </w:pPr>
      <w:r>
        <w:rPr>
          <w:rFonts w:hint="eastAsia" w:ascii="宋体" w:hAnsi="宋体"/>
          <w:color w:val="auto"/>
          <w:sz w:val="24"/>
          <w:szCs w:val="24"/>
          <w:highlight w:val="none"/>
        </w:rPr>
        <w:t xml:space="preserve">    2.工程地点：</w:t>
      </w:r>
    </w:p>
    <w:p w14:paraId="5C69FE1F">
      <w:pPr>
        <w:spacing w:line="520" w:lineRule="exact"/>
        <w:ind w:firstLine="470"/>
        <w:rPr>
          <w:rFonts w:ascii="宋体" w:hAnsi="宋体"/>
          <w:color w:val="auto"/>
          <w:sz w:val="24"/>
          <w:szCs w:val="24"/>
          <w:highlight w:val="none"/>
        </w:rPr>
      </w:pPr>
      <w:r>
        <w:rPr>
          <w:rFonts w:hint="eastAsia" w:ascii="宋体" w:hAnsi="宋体"/>
          <w:color w:val="auto"/>
          <w:sz w:val="24"/>
          <w:szCs w:val="24"/>
          <w:highlight w:val="none"/>
        </w:rPr>
        <w:t>3.工程立项批准文号：</w:t>
      </w:r>
    </w:p>
    <w:p w14:paraId="223E2590">
      <w:pPr>
        <w:spacing w:line="520" w:lineRule="exact"/>
        <w:ind w:firstLine="470"/>
        <w:rPr>
          <w:rFonts w:ascii="宋体" w:hAnsi="宋体"/>
          <w:color w:val="auto"/>
          <w:sz w:val="24"/>
          <w:szCs w:val="24"/>
          <w:highlight w:val="none"/>
        </w:rPr>
      </w:pPr>
      <w:r>
        <w:rPr>
          <w:rFonts w:hint="eastAsia" w:ascii="宋体" w:hAnsi="宋体"/>
          <w:color w:val="auto"/>
          <w:sz w:val="24"/>
          <w:szCs w:val="24"/>
          <w:highlight w:val="none"/>
        </w:rPr>
        <w:t>4.资金来源：</w:t>
      </w:r>
    </w:p>
    <w:p w14:paraId="7A1AE079">
      <w:pPr>
        <w:spacing w:line="520" w:lineRule="exact"/>
        <w:ind w:firstLine="470"/>
        <w:rPr>
          <w:rFonts w:ascii="宋体" w:hAnsi="宋体"/>
          <w:color w:val="auto"/>
          <w:sz w:val="24"/>
          <w:szCs w:val="24"/>
          <w:highlight w:val="none"/>
        </w:rPr>
      </w:pPr>
      <w:r>
        <w:rPr>
          <w:rFonts w:hint="eastAsia" w:ascii="宋体" w:hAnsi="宋体"/>
          <w:color w:val="auto"/>
          <w:sz w:val="24"/>
          <w:szCs w:val="24"/>
          <w:highlight w:val="none"/>
        </w:rPr>
        <w:t>5.工程内容：</w:t>
      </w:r>
    </w:p>
    <w:p w14:paraId="3ACE1E01">
      <w:pPr>
        <w:spacing w:line="520" w:lineRule="exact"/>
        <w:ind w:firstLine="470"/>
        <w:rPr>
          <w:rFonts w:ascii="宋体" w:hAnsi="宋体"/>
          <w:color w:val="auto"/>
          <w:sz w:val="24"/>
          <w:szCs w:val="24"/>
          <w:highlight w:val="none"/>
        </w:rPr>
      </w:pPr>
      <w:r>
        <w:rPr>
          <w:rFonts w:hint="eastAsia" w:ascii="宋体" w:hAnsi="宋体"/>
          <w:color w:val="auto"/>
          <w:sz w:val="24"/>
          <w:szCs w:val="24"/>
          <w:highlight w:val="none"/>
        </w:rPr>
        <w:t>群体工程应附《承包人承揽工程项目一览表》（附件1）。</w:t>
      </w:r>
    </w:p>
    <w:p w14:paraId="59A6ABFB">
      <w:pPr>
        <w:spacing w:line="520" w:lineRule="exact"/>
        <w:ind w:firstLine="470"/>
        <w:rPr>
          <w:rFonts w:ascii="宋体" w:hAnsi="宋体"/>
          <w:color w:val="auto"/>
          <w:sz w:val="24"/>
          <w:szCs w:val="24"/>
          <w:highlight w:val="none"/>
        </w:rPr>
      </w:pPr>
      <w:r>
        <w:rPr>
          <w:rFonts w:hint="eastAsia" w:ascii="宋体" w:hAnsi="宋体"/>
          <w:color w:val="auto"/>
          <w:sz w:val="24"/>
          <w:szCs w:val="24"/>
          <w:highlight w:val="none"/>
        </w:rPr>
        <w:t>6.工程承包范围：</w:t>
      </w:r>
      <w:r>
        <w:rPr>
          <w:rFonts w:hint="eastAsia" w:ascii="宋体" w:hAnsi="宋体"/>
          <w:color w:val="auto"/>
          <w:sz w:val="24"/>
          <w:szCs w:val="24"/>
          <w:highlight w:val="none"/>
          <w:u w:val="single"/>
        </w:rPr>
        <w:t>（详见招标文件及工程量清单）</w:t>
      </w:r>
      <w:r>
        <w:rPr>
          <w:rFonts w:hint="eastAsia" w:ascii="宋体" w:hAnsi="宋体"/>
          <w:color w:val="auto"/>
          <w:sz w:val="24"/>
          <w:szCs w:val="24"/>
          <w:highlight w:val="none"/>
        </w:rPr>
        <w:t>。</w:t>
      </w:r>
    </w:p>
    <w:p w14:paraId="69F855B0">
      <w:pPr>
        <w:pStyle w:val="4"/>
        <w:spacing w:line="520" w:lineRule="exact"/>
        <w:rPr>
          <w:rFonts w:ascii="宋体"/>
          <w:b w:val="0"/>
          <w:bCs w:val="0"/>
          <w:color w:val="auto"/>
          <w:sz w:val="24"/>
          <w:szCs w:val="24"/>
          <w:highlight w:val="none"/>
        </w:rPr>
      </w:pPr>
      <w:bookmarkStart w:id="274" w:name="_Toc351203482"/>
      <w:bookmarkEnd w:id="274"/>
      <w:r>
        <w:rPr>
          <w:rFonts w:hint="eastAsia" w:ascii="宋体" w:hAnsi="宋体"/>
          <w:b w:val="0"/>
          <w:bCs w:val="0"/>
          <w:color w:val="auto"/>
          <w:sz w:val="24"/>
          <w:szCs w:val="24"/>
          <w:highlight w:val="none"/>
        </w:rPr>
        <w:t>二、合同工期</w:t>
      </w:r>
    </w:p>
    <w:p w14:paraId="1A4683C1">
      <w:pPr>
        <w:spacing w:line="520" w:lineRule="exact"/>
        <w:ind w:firstLine="459"/>
        <w:rPr>
          <w:rFonts w:ascii="宋体" w:hAnsi="宋体"/>
          <w:color w:val="auto"/>
          <w:sz w:val="24"/>
          <w:szCs w:val="24"/>
          <w:highlight w:val="none"/>
        </w:rPr>
      </w:pPr>
      <w:r>
        <w:rPr>
          <w:rFonts w:hint="eastAsia" w:ascii="宋体" w:hAnsi="宋体"/>
          <w:color w:val="auto"/>
          <w:sz w:val="24"/>
          <w:szCs w:val="24"/>
          <w:highlight w:val="none"/>
        </w:rPr>
        <w:t>计划开工日期：</w:t>
      </w:r>
      <w:r>
        <w:rPr>
          <w:rFonts w:hint="eastAsia" w:ascii="宋体" w:hAnsi="宋体"/>
          <w:color w:val="auto"/>
          <w:sz w:val="24"/>
          <w:szCs w:val="24"/>
          <w:highlight w:val="none"/>
          <w:u w:val="single"/>
        </w:rPr>
        <w:t xml:space="preserve">  年  月  日</w:t>
      </w:r>
      <w:r>
        <w:rPr>
          <w:rFonts w:hint="eastAsia" w:ascii="宋体" w:hAnsi="宋体"/>
          <w:color w:val="auto"/>
          <w:sz w:val="24"/>
          <w:szCs w:val="24"/>
          <w:highlight w:val="none"/>
        </w:rPr>
        <w:t>。</w:t>
      </w:r>
    </w:p>
    <w:p w14:paraId="7C18F88F">
      <w:pPr>
        <w:spacing w:line="520" w:lineRule="exact"/>
        <w:ind w:firstLine="459"/>
        <w:rPr>
          <w:rFonts w:ascii="宋体" w:hAnsi="宋体"/>
          <w:color w:val="auto"/>
          <w:sz w:val="24"/>
          <w:szCs w:val="24"/>
          <w:highlight w:val="none"/>
        </w:rPr>
      </w:pPr>
      <w:r>
        <w:rPr>
          <w:rFonts w:hint="eastAsia" w:ascii="宋体" w:hAnsi="宋体"/>
          <w:color w:val="auto"/>
          <w:sz w:val="24"/>
          <w:szCs w:val="24"/>
          <w:highlight w:val="none"/>
        </w:rPr>
        <w:t>计划竣工日期：</w:t>
      </w:r>
      <w:r>
        <w:rPr>
          <w:rFonts w:hint="eastAsia" w:ascii="宋体" w:hAnsi="宋体"/>
          <w:color w:val="auto"/>
          <w:sz w:val="24"/>
          <w:szCs w:val="24"/>
          <w:highlight w:val="none"/>
          <w:u w:val="single"/>
        </w:rPr>
        <w:t>年  月  日</w:t>
      </w:r>
      <w:r>
        <w:rPr>
          <w:rFonts w:hint="eastAsia" w:ascii="宋体" w:hAnsi="宋体"/>
          <w:color w:val="auto"/>
          <w:sz w:val="24"/>
          <w:szCs w:val="24"/>
          <w:highlight w:val="none"/>
        </w:rPr>
        <w:t>。</w:t>
      </w:r>
    </w:p>
    <w:p w14:paraId="073CB447">
      <w:pPr>
        <w:spacing w:line="520" w:lineRule="exact"/>
        <w:ind w:firstLine="459"/>
        <w:rPr>
          <w:rFonts w:ascii="宋体" w:hAnsi="宋体"/>
          <w:color w:val="auto"/>
          <w:sz w:val="24"/>
          <w:szCs w:val="24"/>
          <w:highlight w:val="none"/>
        </w:rPr>
      </w:pPr>
      <w:r>
        <w:rPr>
          <w:rFonts w:hint="eastAsia" w:ascii="宋体" w:hAnsi="宋体"/>
          <w:color w:val="auto"/>
          <w:sz w:val="24"/>
          <w:szCs w:val="24"/>
          <w:highlight w:val="none"/>
        </w:rPr>
        <w:t>工期总日历天数：   日历天。工期总日历天数与根据前述计划开竣工日期计算的工期天数不一致的，以工期总日历天数为准。</w:t>
      </w:r>
    </w:p>
    <w:p w14:paraId="04D5A0FD">
      <w:pPr>
        <w:pStyle w:val="4"/>
        <w:spacing w:line="520" w:lineRule="exact"/>
        <w:rPr>
          <w:rFonts w:ascii="宋体"/>
          <w:color w:val="auto"/>
          <w:sz w:val="24"/>
          <w:szCs w:val="24"/>
          <w:highlight w:val="none"/>
        </w:rPr>
      </w:pPr>
      <w:bookmarkStart w:id="275" w:name="_Toc351203483"/>
      <w:bookmarkEnd w:id="275"/>
      <w:r>
        <w:rPr>
          <w:rFonts w:hint="eastAsia" w:ascii="宋体" w:hAnsi="宋体"/>
          <w:b w:val="0"/>
          <w:bCs w:val="0"/>
          <w:color w:val="auto"/>
          <w:sz w:val="24"/>
          <w:szCs w:val="24"/>
          <w:highlight w:val="none"/>
        </w:rPr>
        <w:t>三、质量标准</w:t>
      </w:r>
    </w:p>
    <w:p w14:paraId="254F1B61">
      <w:pPr>
        <w:spacing w:line="520" w:lineRule="exact"/>
        <w:ind w:firstLine="459"/>
        <w:rPr>
          <w:rFonts w:ascii="宋体" w:hAnsi="宋体"/>
          <w:color w:val="auto"/>
          <w:sz w:val="24"/>
          <w:szCs w:val="24"/>
          <w:highlight w:val="none"/>
        </w:rPr>
      </w:pPr>
      <w:r>
        <w:rPr>
          <w:rFonts w:hint="eastAsia" w:ascii="宋体" w:hAnsi="宋体"/>
          <w:color w:val="auto"/>
          <w:sz w:val="24"/>
          <w:szCs w:val="24"/>
          <w:highlight w:val="none"/>
        </w:rPr>
        <w:t>工程质量达到国家质量验收规范合格标准。</w:t>
      </w:r>
    </w:p>
    <w:p w14:paraId="66A5AFA3">
      <w:pPr>
        <w:pStyle w:val="4"/>
        <w:spacing w:line="520" w:lineRule="exact"/>
        <w:rPr>
          <w:rFonts w:ascii="宋体"/>
          <w:color w:val="auto"/>
          <w:sz w:val="24"/>
          <w:szCs w:val="24"/>
          <w:highlight w:val="none"/>
        </w:rPr>
      </w:pPr>
      <w:bookmarkStart w:id="276" w:name="_Toc351203484"/>
      <w:bookmarkEnd w:id="276"/>
      <w:r>
        <w:rPr>
          <w:rFonts w:hint="eastAsia" w:ascii="宋体" w:hAnsi="宋体"/>
          <w:b w:val="0"/>
          <w:bCs w:val="0"/>
          <w:color w:val="auto"/>
          <w:sz w:val="24"/>
          <w:szCs w:val="24"/>
          <w:highlight w:val="none"/>
        </w:rPr>
        <w:t>四、签约合同价与合同价格形式</w:t>
      </w:r>
      <w:r>
        <w:rPr>
          <w:rFonts w:hint="eastAsia" w:ascii="宋体"/>
          <w:b w:val="0"/>
          <w:bCs w:val="0"/>
          <w:color w:val="auto"/>
          <w:sz w:val="24"/>
          <w:szCs w:val="24"/>
          <w:highlight w:val="none"/>
        </w:rPr>
        <w:tab/>
      </w:r>
    </w:p>
    <w:p w14:paraId="41DD498A">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1.签约合同价为：</w:t>
      </w:r>
    </w:p>
    <w:p w14:paraId="221ACEE5">
      <w:pPr>
        <w:spacing w:line="520" w:lineRule="exact"/>
        <w:ind w:firstLine="600"/>
        <w:rPr>
          <w:rFonts w:ascii="宋体" w:hAnsi="宋体"/>
          <w:color w:val="auto"/>
          <w:sz w:val="24"/>
          <w:szCs w:val="24"/>
          <w:highlight w:val="none"/>
        </w:rPr>
      </w:pPr>
      <w:r>
        <w:rPr>
          <w:rFonts w:hint="eastAsia" w:ascii="宋体" w:hAnsi="宋体"/>
          <w:color w:val="auto"/>
          <w:sz w:val="24"/>
          <w:szCs w:val="24"/>
          <w:highlight w:val="none"/>
        </w:rPr>
        <w:t xml:space="preserve">    人民币（大写）(      ¥元)；</w:t>
      </w:r>
    </w:p>
    <w:p w14:paraId="58B0002C">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2.合同价格形式：</w:t>
      </w:r>
      <w:r>
        <w:rPr>
          <w:rFonts w:hint="eastAsia" w:ascii="宋体" w:hAnsi="宋体"/>
          <w:b/>
          <w:bCs/>
          <w:color w:val="auto"/>
          <w:sz w:val="24"/>
          <w:szCs w:val="24"/>
          <w:highlight w:val="none"/>
          <w:u w:val="single"/>
        </w:rPr>
        <w:t xml:space="preserve">固定单价合同   </w:t>
      </w:r>
      <w:r>
        <w:rPr>
          <w:rFonts w:hint="eastAsia" w:ascii="宋体" w:hAnsi="宋体"/>
          <w:color w:val="auto"/>
          <w:sz w:val="24"/>
          <w:szCs w:val="24"/>
          <w:highlight w:val="none"/>
        </w:rPr>
        <w:t>。</w:t>
      </w:r>
    </w:p>
    <w:p w14:paraId="5D3D92B4">
      <w:pPr>
        <w:pStyle w:val="4"/>
        <w:spacing w:line="520" w:lineRule="exact"/>
        <w:rPr>
          <w:rFonts w:ascii="宋体"/>
          <w:b w:val="0"/>
          <w:bCs w:val="0"/>
          <w:color w:val="auto"/>
          <w:sz w:val="24"/>
          <w:szCs w:val="24"/>
          <w:highlight w:val="none"/>
        </w:rPr>
      </w:pPr>
      <w:bookmarkStart w:id="277" w:name="_Toc351203485"/>
      <w:bookmarkEnd w:id="277"/>
      <w:r>
        <w:rPr>
          <w:rFonts w:hint="eastAsia" w:ascii="宋体" w:hAnsi="宋体"/>
          <w:b w:val="0"/>
          <w:bCs w:val="0"/>
          <w:color w:val="auto"/>
          <w:sz w:val="24"/>
          <w:szCs w:val="24"/>
          <w:highlight w:val="none"/>
        </w:rPr>
        <w:t>五、项目负责人</w:t>
      </w:r>
    </w:p>
    <w:p w14:paraId="407CB265">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承包人项目负责人：。</w:t>
      </w:r>
    </w:p>
    <w:p w14:paraId="4AED6625">
      <w:pPr>
        <w:pStyle w:val="4"/>
        <w:spacing w:line="520" w:lineRule="exact"/>
        <w:rPr>
          <w:rFonts w:ascii="宋体"/>
          <w:color w:val="auto"/>
          <w:sz w:val="24"/>
          <w:szCs w:val="24"/>
          <w:highlight w:val="none"/>
        </w:rPr>
      </w:pPr>
      <w:bookmarkStart w:id="278" w:name="_Toc351203486"/>
      <w:bookmarkEnd w:id="278"/>
      <w:r>
        <w:rPr>
          <w:rFonts w:hint="eastAsia" w:ascii="宋体" w:hAnsi="宋体"/>
          <w:b w:val="0"/>
          <w:bCs w:val="0"/>
          <w:color w:val="auto"/>
          <w:sz w:val="24"/>
          <w:szCs w:val="24"/>
          <w:highlight w:val="none"/>
        </w:rPr>
        <w:t>六、合同文件构成</w:t>
      </w:r>
    </w:p>
    <w:p w14:paraId="6367E502">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本协议书与下列文件一起构成合同文件：</w:t>
      </w:r>
    </w:p>
    <w:p w14:paraId="3EC9FF3F">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中标通知书；</w:t>
      </w:r>
    </w:p>
    <w:p w14:paraId="50494139">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招标文件；</w:t>
      </w:r>
    </w:p>
    <w:p w14:paraId="56E64611">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 xml:space="preserve">（2）投标函及其附录； </w:t>
      </w:r>
    </w:p>
    <w:p w14:paraId="17F8151D">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（3）专用合同条款及其附件；</w:t>
      </w:r>
    </w:p>
    <w:p w14:paraId="3FE0B5B7">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（4）通用合同条款；</w:t>
      </w:r>
    </w:p>
    <w:p w14:paraId="664EFEFC">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（5）技术标准和要求；</w:t>
      </w:r>
    </w:p>
    <w:p w14:paraId="000C3989">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（6）图纸；</w:t>
      </w:r>
    </w:p>
    <w:p w14:paraId="04014FAB">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（7）已标价工程量清单或预算书；</w:t>
      </w:r>
    </w:p>
    <w:p w14:paraId="52258BF3">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（8）其他合同文件。</w:t>
      </w:r>
    </w:p>
    <w:p w14:paraId="7F3D6EEA">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在合同订立及履行过程中形成的与合同有关的文件均构成合同文件组成部分。</w:t>
      </w:r>
    </w:p>
    <w:p w14:paraId="117B46B9">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08864E42">
      <w:pPr>
        <w:pStyle w:val="4"/>
        <w:spacing w:line="520" w:lineRule="exact"/>
        <w:rPr>
          <w:rFonts w:ascii="宋体"/>
          <w:b w:val="0"/>
          <w:bCs w:val="0"/>
          <w:color w:val="auto"/>
          <w:sz w:val="24"/>
          <w:szCs w:val="24"/>
          <w:highlight w:val="none"/>
        </w:rPr>
      </w:pPr>
      <w:bookmarkStart w:id="279" w:name="_Toc351203487"/>
      <w:bookmarkEnd w:id="279"/>
      <w:r>
        <w:rPr>
          <w:rFonts w:hint="eastAsia" w:ascii="宋体" w:hAnsi="宋体"/>
          <w:b w:val="0"/>
          <w:bCs w:val="0"/>
          <w:color w:val="auto"/>
          <w:sz w:val="24"/>
          <w:szCs w:val="24"/>
          <w:highlight w:val="none"/>
        </w:rPr>
        <w:t>七、承诺</w:t>
      </w:r>
    </w:p>
    <w:p w14:paraId="09B43909">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1.发包人承诺按照法律规定履行项目审批手续、筹集工程建设资金并按照合同约定的期限和方式支付合同价款。</w:t>
      </w:r>
    </w:p>
    <w:p w14:paraId="3DB3CF2C">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47660B91">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3.发包人和承包人通过招投标形式签订合同的，双方理解并承诺不再就同一工程另行签订与合同实质性内容相背离的协议。</w:t>
      </w:r>
    </w:p>
    <w:p w14:paraId="211FABC2">
      <w:pPr>
        <w:spacing w:line="520" w:lineRule="exact"/>
        <w:rPr>
          <w:rFonts w:ascii="宋体" w:hAnsi="宋体"/>
          <w:color w:val="auto"/>
          <w:sz w:val="24"/>
          <w:szCs w:val="24"/>
          <w:highlight w:val="none"/>
        </w:rPr>
      </w:pPr>
      <w:bookmarkStart w:id="280" w:name="_Toc351203488"/>
      <w:bookmarkEnd w:id="280"/>
      <w:r>
        <w:rPr>
          <w:rFonts w:hint="eastAsia" w:ascii="宋体" w:hAnsi="宋体"/>
          <w:color w:val="auto"/>
          <w:sz w:val="24"/>
          <w:szCs w:val="24"/>
          <w:highlight w:val="none"/>
        </w:rPr>
        <w:t>八、词语含义</w:t>
      </w:r>
    </w:p>
    <w:p w14:paraId="0E486567">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本协议书中词语含义与第二部分通用合同条款中赋予的含义相同。</w:t>
      </w:r>
    </w:p>
    <w:p w14:paraId="06EADE4F">
      <w:pPr>
        <w:pStyle w:val="4"/>
        <w:spacing w:line="520" w:lineRule="exact"/>
        <w:rPr>
          <w:rFonts w:ascii="宋体"/>
          <w:color w:val="auto"/>
          <w:sz w:val="24"/>
          <w:szCs w:val="24"/>
          <w:highlight w:val="none"/>
        </w:rPr>
      </w:pPr>
      <w:bookmarkStart w:id="281" w:name="_Toc351203489"/>
      <w:bookmarkEnd w:id="281"/>
      <w:r>
        <w:rPr>
          <w:rFonts w:hint="eastAsia" w:ascii="宋体" w:hAnsi="宋体"/>
          <w:b w:val="0"/>
          <w:bCs w:val="0"/>
          <w:color w:val="auto"/>
          <w:sz w:val="24"/>
          <w:szCs w:val="24"/>
          <w:highlight w:val="none"/>
        </w:rPr>
        <w:t>九、签订时间</w:t>
      </w:r>
    </w:p>
    <w:p w14:paraId="5E3F3B28">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本合同于  年  月  日签订。</w:t>
      </w:r>
    </w:p>
    <w:p w14:paraId="5A579C6B">
      <w:pPr>
        <w:pStyle w:val="4"/>
        <w:spacing w:line="520" w:lineRule="exact"/>
        <w:rPr>
          <w:rFonts w:ascii="宋体"/>
          <w:color w:val="auto"/>
          <w:sz w:val="24"/>
          <w:szCs w:val="24"/>
          <w:highlight w:val="none"/>
        </w:rPr>
      </w:pPr>
      <w:bookmarkStart w:id="282" w:name="_Toc351203490"/>
      <w:bookmarkEnd w:id="282"/>
      <w:r>
        <w:rPr>
          <w:rFonts w:hint="eastAsia" w:ascii="宋体" w:hAnsi="宋体"/>
          <w:b w:val="0"/>
          <w:bCs w:val="0"/>
          <w:color w:val="auto"/>
          <w:sz w:val="24"/>
          <w:szCs w:val="24"/>
          <w:highlight w:val="none"/>
        </w:rPr>
        <w:t>十、签订地点</w:t>
      </w:r>
    </w:p>
    <w:p w14:paraId="2FBD07CB">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本合同在签订。</w:t>
      </w:r>
    </w:p>
    <w:p w14:paraId="3B9868B7">
      <w:pPr>
        <w:pStyle w:val="4"/>
        <w:spacing w:line="520" w:lineRule="exact"/>
        <w:rPr>
          <w:rFonts w:ascii="宋体"/>
          <w:color w:val="auto"/>
          <w:sz w:val="24"/>
          <w:szCs w:val="24"/>
          <w:highlight w:val="none"/>
        </w:rPr>
      </w:pPr>
      <w:bookmarkStart w:id="283" w:name="_Toc351203491"/>
      <w:bookmarkEnd w:id="283"/>
      <w:r>
        <w:rPr>
          <w:rFonts w:hint="eastAsia" w:ascii="宋体" w:hAnsi="宋体"/>
          <w:b w:val="0"/>
          <w:bCs w:val="0"/>
          <w:color w:val="auto"/>
          <w:sz w:val="24"/>
          <w:szCs w:val="24"/>
          <w:highlight w:val="none"/>
        </w:rPr>
        <w:t>十一、补充协议</w:t>
      </w:r>
    </w:p>
    <w:p w14:paraId="728F82FB">
      <w:pPr>
        <w:spacing w:line="520" w:lineRule="exact"/>
        <w:ind w:firstLine="480"/>
        <w:rPr>
          <w:rFonts w:ascii="宋体" w:hAnsi="宋体"/>
          <w:b/>
          <w:bCs/>
          <w:color w:val="auto"/>
          <w:sz w:val="24"/>
          <w:szCs w:val="24"/>
          <w:highlight w:val="none"/>
        </w:rPr>
      </w:pPr>
      <w:r>
        <w:rPr>
          <w:rFonts w:hint="eastAsia" w:ascii="宋体" w:hAnsi="宋体"/>
          <w:color w:val="auto"/>
          <w:sz w:val="24"/>
          <w:szCs w:val="24"/>
          <w:highlight w:val="none"/>
        </w:rPr>
        <w:t>合同未尽事宜，合同当事人另行签订补充协议，补充协议是合同的组成部分。</w:t>
      </w:r>
    </w:p>
    <w:p w14:paraId="35C72A34">
      <w:pPr>
        <w:pStyle w:val="4"/>
        <w:spacing w:line="520" w:lineRule="exact"/>
        <w:rPr>
          <w:rFonts w:ascii="宋体"/>
          <w:color w:val="auto"/>
          <w:sz w:val="24"/>
          <w:szCs w:val="24"/>
          <w:highlight w:val="none"/>
        </w:rPr>
      </w:pPr>
      <w:bookmarkStart w:id="284" w:name="_Toc351203492"/>
      <w:bookmarkEnd w:id="284"/>
      <w:r>
        <w:rPr>
          <w:rFonts w:hint="eastAsia" w:ascii="宋体" w:hAnsi="宋体"/>
          <w:b w:val="0"/>
          <w:bCs w:val="0"/>
          <w:color w:val="auto"/>
          <w:sz w:val="24"/>
          <w:szCs w:val="24"/>
          <w:highlight w:val="none"/>
        </w:rPr>
        <w:t>十二、合同生效</w:t>
      </w:r>
    </w:p>
    <w:p w14:paraId="14CFBE94">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本合同自生效。</w:t>
      </w:r>
    </w:p>
    <w:p w14:paraId="1DCB7F77">
      <w:pPr>
        <w:pStyle w:val="4"/>
        <w:spacing w:before="120" w:after="120" w:line="520" w:lineRule="exact"/>
        <w:rPr>
          <w:rFonts w:ascii="宋体"/>
          <w:color w:val="auto"/>
          <w:sz w:val="24"/>
          <w:szCs w:val="24"/>
          <w:highlight w:val="none"/>
        </w:rPr>
      </w:pPr>
      <w:bookmarkStart w:id="285" w:name="_Toc351203493"/>
      <w:bookmarkEnd w:id="285"/>
      <w:r>
        <w:rPr>
          <w:rFonts w:hint="eastAsia" w:ascii="宋体" w:hAnsi="宋体"/>
          <w:b w:val="0"/>
          <w:bCs w:val="0"/>
          <w:color w:val="auto"/>
          <w:sz w:val="24"/>
          <w:szCs w:val="24"/>
          <w:highlight w:val="none"/>
        </w:rPr>
        <w:t>十三、合同份数</w:t>
      </w:r>
    </w:p>
    <w:p w14:paraId="45930001">
      <w:pPr>
        <w:spacing w:line="520" w:lineRule="exact"/>
        <w:ind w:firstLine="480"/>
        <w:rPr>
          <w:rFonts w:ascii="宋体" w:hAnsi="宋体"/>
          <w:color w:val="auto"/>
          <w:sz w:val="24"/>
          <w:szCs w:val="24"/>
          <w:highlight w:val="none"/>
        </w:rPr>
      </w:pPr>
      <w:r>
        <w:rPr>
          <w:rFonts w:hint="eastAsia" w:ascii="宋体" w:hAnsi="宋体"/>
          <w:color w:val="auto"/>
          <w:sz w:val="24"/>
          <w:szCs w:val="24"/>
          <w:highlight w:val="none"/>
        </w:rPr>
        <w:t>本合同一式份，均具有同等法律效力，发包人执份，承包人执份。</w:t>
      </w:r>
    </w:p>
    <w:p w14:paraId="68AE3EC7">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发包人：  (公章)                承包人：  (公章)</w:t>
      </w:r>
    </w:p>
    <w:p w14:paraId="060F1603">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法定代表人：                    法定代表人：</w:t>
      </w:r>
    </w:p>
    <w:p w14:paraId="549B69F0">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委托代理人：                    委托代理人：</w:t>
      </w:r>
    </w:p>
    <w:p w14:paraId="1E6DD98C">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联系人（签字）：                联系人（签字）：</w:t>
      </w:r>
    </w:p>
    <w:p w14:paraId="0FF3AE9C">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邮政编码：                      邮政编码：</w:t>
      </w:r>
    </w:p>
    <w:p w14:paraId="54407C1E">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组织机构代码：                  组织机构代码：</w:t>
      </w:r>
    </w:p>
    <w:p w14:paraId="7C90A434">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地  址：                        地  址：</w:t>
      </w:r>
    </w:p>
    <w:p w14:paraId="7C60C34E">
      <w:pPr>
        <w:spacing w:line="520" w:lineRule="exact"/>
        <w:ind w:firstLine="540"/>
        <w:rPr>
          <w:rFonts w:ascii="MingLiU_HKSCS" w:hAnsi="MingLiU_HKSCS" w:cs="MingLiU_HKSCS"/>
          <w:color w:val="auto"/>
          <w:sz w:val="24"/>
          <w:szCs w:val="24"/>
          <w:highlight w:val="none"/>
          <w:u w:val="single"/>
        </w:rPr>
      </w:pPr>
      <w:r>
        <w:rPr>
          <w:rFonts w:hint="eastAsia" w:ascii="宋体" w:hAnsi="宋体"/>
          <w:color w:val="auto"/>
          <w:sz w:val="24"/>
          <w:szCs w:val="24"/>
          <w:highlight w:val="none"/>
        </w:rPr>
        <w:t>电  话：                        电  话：</w:t>
      </w:r>
    </w:p>
    <w:p w14:paraId="2044D801">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电子邮箱：                      电子邮箱：</w:t>
      </w:r>
    </w:p>
    <w:p w14:paraId="18DB3F9F">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开户银行：                      开户银行：</w:t>
      </w:r>
    </w:p>
    <w:p w14:paraId="02A0564F">
      <w:pPr>
        <w:spacing w:line="520" w:lineRule="exact"/>
        <w:ind w:firstLine="540"/>
        <w:rPr>
          <w:rFonts w:ascii="宋体" w:hAnsi="宋体"/>
          <w:color w:val="auto"/>
          <w:sz w:val="24"/>
          <w:szCs w:val="24"/>
          <w:highlight w:val="none"/>
        </w:rPr>
      </w:pPr>
      <w:r>
        <w:rPr>
          <w:rFonts w:hint="eastAsia" w:ascii="宋体" w:hAnsi="宋体"/>
          <w:color w:val="auto"/>
          <w:sz w:val="24"/>
          <w:szCs w:val="24"/>
          <w:highlight w:val="none"/>
        </w:rPr>
        <w:t>账  号：                        账 号：</w:t>
      </w:r>
    </w:p>
    <w:p w14:paraId="4BB048B5">
      <w:pPr>
        <w:spacing w:line="520" w:lineRule="exact"/>
        <w:jc w:val="center"/>
        <w:rPr>
          <w:rFonts w:ascii="宋体" w:hAnsi="宋体"/>
          <w:b/>
          <w:bCs/>
          <w:color w:val="auto"/>
          <w:sz w:val="28"/>
          <w:szCs w:val="28"/>
          <w:highlight w:val="none"/>
        </w:rPr>
      </w:pPr>
      <w:r>
        <w:rPr>
          <w:rFonts w:hint="eastAsia" w:ascii="宋体" w:hAnsi="宋体"/>
          <w:b/>
          <w:bCs/>
          <w:color w:val="auto"/>
          <w:spacing w:val="-1"/>
          <w:sz w:val="28"/>
          <w:szCs w:val="28"/>
          <w:highlight w:val="none"/>
        </w:rPr>
        <w:t>第2</w:t>
      </w:r>
      <w:r>
        <w:rPr>
          <w:rFonts w:hint="eastAsia" w:ascii="宋体" w:hAnsi="宋体"/>
          <w:b/>
          <w:bCs/>
          <w:color w:val="auto"/>
          <w:sz w:val="28"/>
          <w:szCs w:val="28"/>
          <w:highlight w:val="none"/>
        </w:rPr>
        <w:t>节专用合同条款</w:t>
      </w:r>
    </w:p>
    <w:p w14:paraId="7811777A">
      <w:pPr>
        <w:spacing w:line="520" w:lineRule="exact"/>
        <w:jc w:val="center"/>
        <w:rPr>
          <w:rFonts w:ascii="宋体" w:hAnsi="宋体"/>
          <w:b/>
          <w:bCs/>
          <w:color w:val="auto"/>
          <w:sz w:val="32"/>
          <w:szCs w:val="32"/>
          <w:highlight w:val="none"/>
        </w:rPr>
      </w:pPr>
      <w:r>
        <w:rPr>
          <w:rFonts w:hint="eastAsia" w:ascii="宋体" w:hAnsi="宋体"/>
          <w:b/>
          <w:bCs/>
          <w:color w:val="auto"/>
          <w:spacing w:val="-1"/>
          <w:sz w:val="32"/>
          <w:szCs w:val="32"/>
          <w:highlight w:val="none"/>
        </w:rPr>
        <w:t>A.</w:t>
      </w:r>
      <w:r>
        <w:rPr>
          <w:rFonts w:hint="eastAsia" w:ascii="宋体" w:hAnsi="宋体"/>
          <w:b/>
          <w:bCs/>
          <w:color w:val="auto"/>
          <w:sz w:val="32"/>
          <w:szCs w:val="32"/>
          <w:highlight w:val="none"/>
        </w:rPr>
        <w:t>公路工程专用合同条款</w:t>
      </w:r>
    </w:p>
    <w:p w14:paraId="0F4DC5E8">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1一般约定</w:t>
      </w:r>
    </w:p>
    <w:p w14:paraId="3D1CDA3D">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1.1词语定义</w:t>
      </w:r>
    </w:p>
    <w:p w14:paraId="01B9BC85">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1.1.1合同</w:t>
      </w:r>
    </w:p>
    <w:p w14:paraId="2B180883">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第1.1.1.6目细化为：</w:t>
      </w:r>
    </w:p>
    <w:p w14:paraId="6F3596DD">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技术规范：为本合同所约定的技术标准和要求，是合同文件的组成部分。通用合同条款中“技术标准和要求”一词具有相同含义。</w:t>
      </w:r>
    </w:p>
    <w:p w14:paraId="301675C5">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第1.1.1.8目细化为：</w:t>
      </w:r>
    </w:p>
    <w:p w14:paraId="145608E6">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已标价工程量清单：指构成合同文件组成部分的已标明价格、经算术性错误修正</w:t>
      </w:r>
      <w:r>
        <w:rPr>
          <w:rFonts w:hint="eastAsia" w:ascii="宋体" w:hAnsi="宋体"/>
          <w:color w:val="auto"/>
          <w:spacing w:val="-6"/>
          <w:sz w:val="24"/>
          <w:szCs w:val="24"/>
          <w:highlight w:val="none"/>
        </w:rPr>
        <w:t>及其他错误修正（如有）且承包人已确认的最终的工程量清单，包括工程量清单说明、</w:t>
      </w:r>
      <w:r>
        <w:rPr>
          <w:rFonts w:hint="eastAsia" w:ascii="宋体" w:hAnsi="宋体"/>
          <w:color w:val="auto"/>
          <w:spacing w:val="-1"/>
          <w:sz w:val="24"/>
          <w:szCs w:val="24"/>
          <w:highlight w:val="none"/>
        </w:rPr>
        <w:t>投标报价说明、计日工说明、其他说明及工程量清单各项表格。</w:t>
      </w:r>
    </w:p>
    <w:p w14:paraId="57D66462">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本项补充第1.1.1.10目：</w:t>
      </w:r>
    </w:p>
    <w:p w14:paraId="7BCFA808">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1.1.1.10补遗书：指发出招标文件之后由招标人向已取得招标文件的投标人发出</w:t>
      </w:r>
      <w:r>
        <w:rPr>
          <w:rFonts w:hint="eastAsia" w:ascii="宋体" w:hAnsi="宋体"/>
          <w:color w:val="auto"/>
          <w:sz w:val="24"/>
          <w:szCs w:val="24"/>
          <w:highlight w:val="none"/>
        </w:rPr>
        <w:t>的、编号的对招标文件所作的澄清、修改书。</w:t>
      </w:r>
    </w:p>
    <w:p w14:paraId="4AE71C8C">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1.1.2合同当事人和人员</w:t>
      </w:r>
    </w:p>
    <w:p w14:paraId="6FE882CA">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本项补充第1.1.2.8目：</w:t>
      </w:r>
    </w:p>
    <w:p w14:paraId="57C2580E">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1.1.2.8承包人项目总工：指由承包人书面委派常驻现场负责管理本合同工程的总工程师或技术总负责人。</w:t>
      </w:r>
    </w:p>
    <w:p w14:paraId="4481EFD9">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1.1.3工程和设备</w:t>
      </w:r>
    </w:p>
    <w:p w14:paraId="713BBAD6">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第1.1.3.4目细化为：</w:t>
      </w:r>
    </w:p>
    <w:p w14:paraId="309C3772">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单位工程：指在建设项目中，根据签订的合同，具有独立施工条件的工程。</w:t>
      </w:r>
    </w:p>
    <w:p w14:paraId="04FF10FC">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1.1.3.10目细化为：</w:t>
      </w:r>
    </w:p>
    <w:p w14:paraId="793C2D86">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永久占地：指为实施本合同工程而需要的一切永久占用的土地，包括公路两侧路</w:t>
      </w:r>
    </w:p>
    <w:p w14:paraId="3B9533CB">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权范围内的用地。</w:t>
      </w:r>
    </w:p>
    <w:p w14:paraId="173F389B">
      <w:pPr>
        <w:spacing w:line="520" w:lineRule="exact"/>
        <w:ind w:firstLine="476" w:firstLineChars="200"/>
        <w:rPr>
          <w:rFonts w:ascii="宋体" w:hAnsi="宋体"/>
          <w:color w:val="auto"/>
          <w:sz w:val="24"/>
          <w:szCs w:val="24"/>
          <w:highlight w:val="none"/>
        </w:rPr>
      </w:pPr>
      <w:bookmarkStart w:id="286" w:name="56"/>
      <w:bookmarkEnd w:id="286"/>
      <w:r>
        <w:rPr>
          <w:rFonts w:hint="eastAsia" w:ascii="宋体" w:hAnsi="宋体"/>
          <w:color w:val="auto"/>
          <w:spacing w:val="-1"/>
          <w:sz w:val="24"/>
          <w:szCs w:val="24"/>
          <w:highlight w:val="none"/>
        </w:rPr>
        <w:t>第1.1.3.11目细化为：</w:t>
      </w:r>
    </w:p>
    <w:p w14:paraId="56B77AF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临时占地：指为实施本合同工程而需要的一切临时占用的土地，包括施工所用的临时支线、便道、便桥和现场的临时出入通道，以及生产（办公）、生活等临时设施用地等。</w:t>
      </w:r>
    </w:p>
    <w:p w14:paraId="27B9CC0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本项补充第1.1.3.12目、第1.1.3.13目：</w:t>
      </w:r>
    </w:p>
    <w:p w14:paraId="774CEF8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1.1.3.12</w:t>
      </w:r>
      <w:r>
        <w:rPr>
          <w:rFonts w:hint="eastAsia" w:ascii="宋体" w:hAnsi="宋体"/>
          <w:color w:val="auto"/>
          <w:spacing w:val="-3"/>
          <w:sz w:val="24"/>
          <w:szCs w:val="24"/>
          <w:highlight w:val="none"/>
        </w:rPr>
        <w:t>分部工程：指在单位工程中，按结构部位、路段长度及施工特点或施工</w:t>
      </w:r>
      <w:r>
        <w:rPr>
          <w:rFonts w:hint="eastAsia" w:ascii="宋体" w:hAnsi="宋体"/>
          <w:color w:val="auto"/>
          <w:spacing w:val="-1"/>
          <w:sz w:val="24"/>
          <w:szCs w:val="24"/>
          <w:highlight w:val="none"/>
        </w:rPr>
        <w:t>任务划分的若干个工程。</w:t>
      </w:r>
    </w:p>
    <w:p w14:paraId="467A6A9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1.1.3.13</w:t>
      </w:r>
      <w:r>
        <w:rPr>
          <w:rFonts w:hint="eastAsia" w:ascii="宋体" w:hAnsi="宋体"/>
          <w:color w:val="auto"/>
          <w:spacing w:val="-3"/>
          <w:sz w:val="24"/>
          <w:szCs w:val="24"/>
          <w:highlight w:val="none"/>
        </w:rPr>
        <w:t>分项工程：指在分部工程中，按不同的施工方法、材料、工序及路段长</w:t>
      </w:r>
      <w:r>
        <w:rPr>
          <w:rFonts w:hint="eastAsia" w:ascii="宋体" w:hAnsi="宋体"/>
          <w:color w:val="auto"/>
          <w:spacing w:val="-1"/>
          <w:sz w:val="24"/>
          <w:szCs w:val="24"/>
          <w:highlight w:val="none"/>
        </w:rPr>
        <w:t>度等划分的若干个过程。</w:t>
      </w:r>
    </w:p>
    <w:p w14:paraId="6F0B42B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1.1.6其他</w:t>
      </w:r>
    </w:p>
    <w:p w14:paraId="11B8D18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本项补充第1.1.6.2目～1.1.6.8目：</w:t>
      </w:r>
    </w:p>
    <w:p w14:paraId="10A23D5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1.1.6.2竣工验收：指《公路工程竣（交）工验收办法》中的竣工验收。通用合同条款中“国家验收”一词具有相同含义。</w:t>
      </w:r>
    </w:p>
    <w:p w14:paraId="5ABF708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1.1.6.3交工：指《公路工程竣（交）工验收办法》中的交工。通用合同条款中“竣工”一词具有相同含义。</w:t>
      </w:r>
    </w:p>
    <w:p w14:paraId="705C13B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1.1.6.3</w:t>
      </w:r>
      <w:r>
        <w:rPr>
          <w:rFonts w:hint="eastAsia" w:ascii="宋体" w:hAnsi="宋体"/>
          <w:color w:val="auto"/>
          <w:sz w:val="24"/>
          <w:szCs w:val="24"/>
          <w:highlight w:val="none"/>
        </w:rPr>
        <w:t>交工验收：指《公路工程竣（交）工验收办法》中的交工验收。通用合同条款中“竣工验收”一词具有相同含义。</w:t>
      </w:r>
    </w:p>
    <w:p w14:paraId="5238473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1.1.6.4</w:t>
      </w:r>
      <w:r>
        <w:rPr>
          <w:rFonts w:hint="eastAsia" w:ascii="宋体" w:hAnsi="宋体"/>
          <w:color w:val="auto"/>
          <w:spacing w:val="-7"/>
          <w:sz w:val="24"/>
          <w:szCs w:val="24"/>
          <w:highlight w:val="none"/>
        </w:rPr>
        <w:t>交工验收证书：指《公路工程竣（交）工验收办法》中的交工验收证书。</w:t>
      </w:r>
    </w:p>
    <w:p w14:paraId="01318F2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通用合同条款中“工程接收证书”一词具有相同含义。</w:t>
      </w:r>
    </w:p>
    <w:p w14:paraId="27C9710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1.1.6.5</w:t>
      </w:r>
      <w:r>
        <w:rPr>
          <w:rFonts w:hint="eastAsia" w:ascii="宋体" w:hAnsi="宋体"/>
          <w:color w:val="auto"/>
          <w:sz w:val="24"/>
          <w:szCs w:val="24"/>
          <w:highlight w:val="none"/>
        </w:rPr>
        <w:t>转包：指承包人违反法律和不履行合同规定的责任和义务，将中标工程全部委托或以专业分包的名义将中标工程肢解后全部委托给其他施工企业施工的行为。</w:t>
      </w:r>
    </w:p>
    <w:p w14:paraId="5E45C08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1.1.6.6专业分包：指承包人与具有相应资质的施工企业签订专业分包合同，由分包人承担承包人委托的分部工程、分项工程或适合专业化队伍施工的其他工程，整体结算，并能独立控制工程质量、施工进度、材料采购、生产安全的施工行为。</w:t>
      </w:r>
    </w:p>
    <w:p w14:paraId="129BA80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1.1.6.7</w:t>
      </w:r>
      <w:r>
        <w:rPr>
          <w:rFonts w:hint="eastAsia" w:ascii="宋体" w:hAnsi="宋体"/>
          <w:color w:val="auto"/>
          <w:spacing w:val="-3"/>
          <w:sz w:val="24"/>
          <w:szCs w:val="24"/>
          <w:highlight w:val="none"/>
        </w:rPr>
        <w:t>劳务分包：指承包人与具有施工劳务分包资质的劳务企业签订劳务分包，</w:t>
      </w:r>
      <w:r>
        <w:rPr>
          <w:rFonts w:hint="eastAsia" w:ascii="宋体" w:hAnsi="宋体"/>
          <w:color w:val="auto"/>
          <w:spacing w:val="-1"/>
          <w:sz w:val="24"/>
          <w:szCs w:val="24"/>
          <w:highlight w:val="none"/>
        </w:rPr>
        <w:t>由劳务企业提供劳务人员及机具，由承包人统一组织施工，统一控制工程质量、施工</w:t>
      </w:r>
      <w:r>
        <w:rPr>
          <w:rFonts w:hint="eastAsia" w:ascii="宋体" w:hAnsi="宋体"/>
          <w:color w:val="auto"/>
          <w:sz w:val="24"/>
          <w:szCs w:val="24"/>
          <w:highlight w:val="none"/>
        </w:rPr>
        <w:t>进度、材料采购、生产安全的施工行为。</w:t>
      </w:r>
      <w:bookmarkStart w:id="287" w:name="57"/>
      <w:bookmarkEnd w:id="287"/>
    </w:p>
    <w:p w14:paraId="6A7D0076">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1.1.6.8雇佣民工：指承包人与具有相应劳动能力的自然人签订劳动合同，由承包人统一组织管理，从事分项工程施工或配套工程施工的行为。</w:t>
      </w:r>
    </w:p>
    <w:p w14:paraId="6CF1868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1.4合同文件的优先顺序</w:t>
      </w:r>
      <w:r>
        <w:rPr>
          <w:rFonts w:hint="eastAsia" w:ascii="宋体" w:hAnsi="宋体"/>
          <w:color w:val="auto"/>
          <w:spacing w:val="-1"/>
          <w:sz w:val="24"/>
          <w:szCs w:val="24"/>
          <w:highlight w:val="none"/>
        </w:rPr>
        <w:t>本款约定为：</w:t>
      </w:r>
    </w:p>
    <w:p w14:paraId="09B4B7FE">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组成合同的各项文件应互相解释，互为说明。除项目专用合同条款另有约定外，</w:t>
      </w:r>
    </w:p>
    <w:p w14:paraId="5900AD2B">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解释合同文件的优先顺序如下：</w:t>
      </w:r>
    </w:p>
    <w:p w14:paraId="43E7A6BF">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）合同协议书及各种合同附件（含评标期间和合同谈判过程中的澄清文件和补</w:t>
      </w:r>
      <w:r>
        <w:rPr>
          <w:rFonts w:hint="eastAsia" w:ascii="宋体" w:hAnsi="宋体"/>
          <w:color w:val="auto"/>
          <w:spacing w:val="-1"/>
          <w:sz w:val="24"/>
          <w:szCs w:val="24"/>
          <w:highlight w:val="none"/>
        </w:rPr>
        <w:t>充资料）；</w:t>
      </w:r>
    </w:p>
    <w:p w14:paraId="3CD0A9A0">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（2）中标通知书；</w:t>
      </w:r>
    </w:p>
    <w:p w14:paraId="3BC07636">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（3）投标函及投标函附录；</w:t>
      </w:r>
    </w:p>
    <w:p w14:paraId="5CD7E4F7">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（4）项目专用合同条款；</w:t>
      </w:r>
    </w:p>
    <w:p w14:paraId="5B7483DE">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（5）公路工程专用合同条款；</w:t>
      </w:r>
    </w:p>
    <w:p w14:paraId="06C6905E">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（6）通用合同条款；</w:t>
      </w:r>
    </w:p>
    <w:p w14:paraId="506CCA6F">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w:t>
      </w:r>
      <w:r>
        <w:rPr>
          <w:rFonts w:hint="eastAsia" w:ascii="宋体" w:hAnsi="宋体"/>
          <w:color w:val="auto"/>
          <w:sz w:val="24"/>
          <w:szCs w:val="24"/>
          <w:highlight w:val="none"/>
        </w:rPr>
        <w:t>）工程量清单计量规则；</w:t>
      </w:r>
    </w:p>
    <w:p w14:paraId="4FF758F0">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（8）技术规范；</w:t>
      </w:r>
    </w:p>
    <w:p w14:paraId="5841A008">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（9）图纸；</w:t>
      </w:r>
    </w:p>
    <w:p w14:paraId="24EDC9CE">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（10）已标价工程量清单；</w:t>
      </w:r>
    </w:p>
    <w:p w14:paraId="534CDD7B">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（11）承包人有关人员、设备投入的承诺及电子投标文件中的施工组织设计；</w:t>
      </w:r>
    </w:p>
    <w:p w14:paraId="18166B35">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（12）其他合同文件。</w:t>
      </w:r>
    </w:p>
    <w:p w14:paraId="41D64E66">
      <w:pPr>
        <w:spacing w:line="520" w:lineRule="exact"/>
        <w:ind w:left="82" w:firstLine="480" w:firstLineChars="200"/>
        <w:rPr>
          <w:rFonts w:ascii="宋体" w:hAnsi="宋体"/>
          <w:color w:val="auto"/>
          <w:sz w:val="24"/>
          <w:szCs w:val="24"/>
          <w:highlight w:val="none"/>
        </w:rPr>
      </w:pPr>
      <w:r>
        <w:rPr>
          <w:rFonts w:hint="eastAsia" w:ascii="宋体" w:hAnsi="宋体"/>
          <w:color w:val="auto"/>
          <w:sz w:val="24"/>
          <w:szCs w:val="24"/>
          <w:highlight w:val="none"/>
        </w:rPr>
        <w:t>1.5合同协议书</w:t>
      </w:r>
      <w:r>
        <w:rPr>
          <w:rFonts w:hint="eastAsia" w:ascii="宋体" w:hAnsi="宋体"/>
          <w:color w:val="auto"/>
          <w:spacing w:val="-1"/>
          <w:sz w:val="24"/>
          <w:szCs w:val="24"/>
          <w:highlight w:val="none"/>
        </w:rPr>
        <w:t>本款补充：</w:t>
      </w:r>
    </w:p>
    <w:p w14:paraId="18086239">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制备本合同文件的费用由发包人承担。在合同协议书签订并生效之前，投标函和中标通知书将对双方具有约束力。</w:t>
      </w:r>
    </w:p>
    <w:p w14:paraId="1D48B0FD">
      <w:pPr>
        <w:spacing w:line="520" w:lineRule="exact"/>
        <w:ind w:left="82" w:firstLine="480" w:firstLineChars="200"/>
        <w:rPr>
          <w:rFonts w:ascii="宋体" w:hAnsi="宋体"/>
          <w:color w:val="auto"/>
          <w:sz w:val="24"/>
          <w:szCs w:val="24"/>
          <w:highlight w:val="none"/>
        </w:rPr>
      </w:pPr>
      <w:r>
        <w:rPr>
          <w:rFonts w:hint="eastAsia" w:ascii="宋体" w:hAnsi="宋体"/>
          <w:color w:val="auto"/>
          <w:sz w:val="24"/>
          <w:szCs w:val="24"/>
          <w:highlight w:val="none"/>
        </w:rPr>
        <w:t>1.6图纸和承包人文件</w:t>
      </w:r>
    </w:p>
    <w:p w14:paraId="09D03A25">
      <w:pPr>
        <w:spacing w:line="520" w:lineRule="exact"/>
        <w:ind w:left="8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1.6.1图纸的提供</w:t>
      </w:r>
      <w:bookmarkStart w:id="288" w:name="58"/>
      <w:bookmarkEnd w:id="288"/>
      <w:r>
        <w:rPr>
          <w:rFonts w:hint="eastAsia" w:ascii="宋体" w:hAnsi="宋体"/>
          <w:color w:val="auto"/>
          <w:spacing w:val="-1"/>
          <w:sz w:val="24"/>
          <w:szCs w:val="24"/>
          <w:highlight w:val="none"/>
        </w:rPr>
        <w:t>本项细化为：</w:t>
      </w:r>
    </w:p>
    <w:p w14:paraId="5CE309A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监理人应在发出中标通知书之后42</w:t>
      </w:r>
      <w:r>
        <w:rPr>
          <w:rFonts w:hint="eastAsia" w:ascii="宋体" w:hAnsi="宋体"/>
          <w:color w:val="auto"/>
          <w:spacing w:val="-4"/>
          <w:sz w:val="24"/>
          <w:szCs w:val="24"/>
          <w:highlight w:val="none"/>
        </w:rPr>
        <w:t>天内，向承包人免费提供由发包人或其委托的</w:t>
      </w:r>
      <w:r>
        <w:rPr>
          <w:rFonts w:hint="eastAsia" w:ascii="宋体" w:hAnsi="宋体"/>
          <w:color w:val="auto"/>
          <w:spacing w:val="-5"/>
          <w:sz w:val="24"/>
          <w:szCs w:val="24"/>
          <w:highlight w:val="none"/>
        </w:rPr>
        <w:t>设计单位设计的施工图纸、技术规范和其他技术资料</w:t>
      </w:r>
      <w:r>
        <w:rPr>
          <w:rFonts w:hint="eastAsia" w:ascii="宋体" w:hAnsi="宋体"/>
          <w:color w:val="auto"/>
          <w:spacing w:val="-1"/>
          <w:sz w:val="24"/>
          <w:szCs w:val="24"/>
          <w:highlight w:val="none"/>
        </w:rPr>
        <w:t>2</w:t>
      </w:r>
      <w:r>
        <w:rPr>
          <w:rFonts w:hint="eastAsia" w:ascii="宋体" w:hAnsi="宋体"/>
          <w:color w:val="auto"/>
          <w:spacing w:val="-7"/>
          <w:sz w:val="24"/>
          <w:szCs w:val="24"/>
          <w:highlight w:val="none"/>
        </w:rPr>
        <w:t>份，并向承包人进行技术交底。</w:t>
      </w:r>
    </w:p>
    <w:p w14:paraId="6701885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承包人需要更多份数时，应自费复制。由于发包人未按时提供图纸造成工期延误的，按第11.3款的约定办理。</w:t>
      </w:r>
    </w:p>
    <w:p w14:paraId="6D824BB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1.6.2承包人提供的文件本项细化为：</w:t>
      </w:r>
    </w:p>
    <w:p w14:paraId="7CC9514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有下列情形之一的，承包人应免费向监理人提交相关部分工程的施工图纸3份，并附必要的计算书、技术资料，或施工工艺图、设备安装图及安装设备的使用和维护手册各2份供监理人批准。</w:t>
      </w:r>
    </w:p>
    <w:p w14:paraId="43EE197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（1）为使第1.6.1项所述的施工图纸适合于经现场测量后的纵、横断面；</w:t>
      </w:r>
    </w:p>
    <w:p w14:paraId="3797732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（2）为使第1.6.1项所述的施工图纸适合于现场具体地形；</w:t>
      </w:r>
    </w:p>
    <w:p w14:paraId="6C1FBDE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（3）为使第1.6.1</w:t>
      </w:r>
      <w:r>
        <w:rPr>
          <w:rFonts w:hint="eastAsia" w:ascii="宋体" w:hAnsi="宋体"/>
          <w:color w:val="auto"/>
          <w:sz w:val="24"/>
          <w:szCs w:val="24"/>
          <w:highlight w:val="none"/>
        </w:rPr>
        <w:t>项所述的施工图纸适合于因尺寸与位置变化而引起局部变更；</w:t>
      </w:r>
    </w:p>
    <w:p w14:paraId="59F888D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（4）由于合同要求与施工需要。</w:t>
      </w:r>
    </w:p>
    <w:p w14:paraId="01E59000">
      <w:pPr>
        <w:spacing w:line="520" w:lineRule="exact"/>
        <w:ind w:left="196"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此类图纸应按监理人规定的格式和图幅绘制。监理人在收到由承包人绘制的上述</w:t>
      </w:r>
      <w:r>
        <w:rPr>
          <w:rFonts w:hint="eastAsia" w:ascii="宋体" w:hAnsi="宋体"/>
          <w:color w:val="auto"/>
          <w:spacing w:val="-3"/>
          <w:sz w:val="24"/>
          <w:szCs w:val="24"/>
          <w:highlight w:val="none"/>
        </w:rPr>
        <w:t>工程、工艺图纸、计算书和有关技术资料后</w:t>
      </w:r>
      <w:r>
        <w:rPr>
          <w:rFonts w:hint="eastAsia" w:ascii="宋体" w:hAnsi="宋体"/>
          <w:color w:val="auto"/>
          <w:spacing w:val="-1"/>
          <w:sz w:val="24"/>
          <w:szCs w:val="24"/>
          <w:highlight w:val="none"/>
        </w:rPr>
        <w:t>14</w:t>
      </w:r>
      <w:r>
        <w:rPr>
          <w:rFonts w:hint="eastAsia" w:ascii="宋体" w:hAnsi="宋体"/>
          <w:color w:val="auto"/>
          <w:spacing w:val="-2"/>
          <w:sz w:val="24"/>
          <w:szCs w:val="24"/>
          <w:highlight w:val="none"/>
        </w:rPr>
        <w:t>天内应予批准或提出修改要求，承包人</w:t>
      </w:r>
      <w:r>
        <w:rPr>
          <w:rFonts w:hint="eastAsia" w:ascii="宋体" w:hAnsi="宋体"/>
          <w:color w:val="auto"/>
          <w:spacing w:val="-1"/>
          <w:sz w:val="24"/>
          <w:szCs w:val="24"/>
          <w:highlight w:val="none"/>
        </w:rPr>
        <w:t>应按监理人提出的要求做出修改，重新向监理人提交，监理人应在7天内批准或提出进一步的修改意见。</w:t>
      </w:r>
    </w:p>
    <w:p w14:paraId="028C97D3">
      <w:pPr>
        <w:spacing w:line="520" w:lineRule="exact"/>
        <w:ind w:left="196"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1.6.4图纸的错误本项细化为：</w:t>
      </w:r>
    </w:p>
    <w:p w14:paraId="6367DE02">
      <w:pPr>
        <w:spacing w:line="520" w:lineRule="exact"/>
        <w:ind w:left="196"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当承包人在查阅合同文件或在本合同工程实施过程中，发现有关的工程设计、技术规范、图纸或其他资料中的任何差错、遗漏或缺陷后，应及时通知监理人。监理人接到该通知后，应立即就此做出决定，并通知承包人和发包人。</w:t>
      </w:r>
    </w:p>
    <w:p w14:paraId="2D3A5ECB">
      <w:pPr>
        <w:spacing w:line="520" w:lineRule="exact"/>
        <w:ind w:left="196" w:firstLine="480" w:firstLineChars="200"/>
        <w:rPr>
          <w:rFonts w:ascii="宋体" w:hAnsi="宋体"/>
          <w:color w:val="auto"/>
          <w:sz w:val="24"/>
          <w:szCs w:val="24"/>
          <w:highlight w:val="none"/>
        </w:rPr>
      </w:pPr>
      <w:r>
        <w:rPr>
          <w:rFonts w:hint="eastAsia" w:ascii="宋体" w:hAnsi="宋体"/>
          <w:color w:val="auto"/>
          <w:sz w:val="24"/>
          <w:szCs w:val="24"/>
          <w:highlight w:val="none"/>
        </w:rPr>
        <w:t>1.9严禁贿赂</w:t>
      </w:r>
      <w:r>
        <w:rPr>
          <w:rFonts w:hint="eastAsia" w:ascii="宋体" w:hAnsi="宋体"/>
          <w:color w:val="auto"/>
          <w:spacing w:val="-1"/>
          <w:sz w:val="24"/>
          <w:szCs w:val="24"/>
          <w:highlight w:val="none"/>
        </w:rPr>
        <w:t>本款补充：</w:t>
      </w:r>
    </w:p>
    <w:p w14:paraId="244045A4">
      <w:pPr>
        <w:spacing w:line="520" w:lineRule="exact"/>
        <w:ind w:left="196"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在合同执行过程中，发包人和承包人应严格履行《廉政合同》约定的双方在廉政建设方面的权利和义务以及应承担的违约责任。承包人如果用行贿、送礼或其他不正</w:t>
      </w:r>
      <w:bookmarkStart w:id="289" w:name="59"/>
      <w:bookmarkEnd w:id="289"/>
      <w:r>
        <w:rPr>
          <w:rFonts w:hint="eastAsia" w:ascii="宋体" w:hAnsi="宋体"/>
          <w:color w:val="auto"/>
          <w:spacing w:val="-1"/>
          <w:sz w:val="24"/>
          <w:szCs w:val="24"/>
          <w:highlight w:val="none"/>
        </w:rPr>
        <w:t>当手段企图影响或已经影响了发包人或监理人的行为和（或）欲获得或已获得超出合同规定以外的额外费用，则发包人应按有关法纪严肃处理当事人，且承包人应对上述</w:t>
      </w:r>
      <w:r>
        <w:rPr>
          <w:rFonts w:hint="eastAsia" w:ascii="宋体" w:hAnsi="宋体"/>
          <w:color w:val="auto"/>
          <w:spacing w:val="-6"/>
          <w:sz w:val="24"/>
          <w:szCs w:val="24"/>
          <w:highlight w:val="none"/>
        </w:rPr>
        <w:t>行为造成的工程损耗害、发包人的经济损失等承担一切责任，并予赔偿。情节严重者，</w:t>
      </w:r>
      <w:r>
        <w:rPr>
          <w:rFonts w:hint="eastAsia" w:ascii="宋体" w:hAnsi="宋体"/>
          <w:color w:val="auto"/>
          <w:spacing w:val="-1"/>
          <w:sz w:val="24"/>
          <w:szCs w:val="24"/>
          <w:highlight w:val="none"/>
        </w:rPr>
        <w:t>发包人有权终止承包人在本合同项下的承包。</w:t>
      </w:r>
    </w:p>
    <w:p w14:paraId="20A688D4">
      <w:pPr>
        <w:spacing w:line="520" w:lineRule="exact"/>
        <w:jc w:val="center"/>
        <w:rPr>
          <w:rFonts w:ascii="宋体" w:hAnsi="宋体"/>
          <w:b/>
          <w:bCs/>
          <w:color w:val="auto"/>
          <w:sz w:val="28"/>
          <w:szCs w:val="28"/>
          <w:highlight w:val="none"/>
        </w:rPr>
      </w:pPr>
      <w:r>
        <w:rPr>
          <w:rFonts w:hint="eastAsia" w:ascii="宋体" w:hAnsi="宋体"/>
          <w:b/>
          <w:bCs/>
          <w:color w:val="auto"/>
          <w:sz w:val="28"/>
          <w:szCs w:val="28"/>
          <w:highlight w:val="none"/>
        </w:rPr>
        <w:t>2.发包人义务</w:t>
      </w:r>
    </w:p>
    <w:p w14:paraId="7EBF1603">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2.3提供施工场地</w:t>
      </w:r>
    </w:p>
    <w:p w14:paraId="32823EC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6418969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发包人负责办理永久占地的征用及与之有关的拆迁赔偿手续并承担相关费用。承包人在按第10</w:t>
      </w:r>
      <w:r>
        <w:rPr>
          <w:rFonts w:hint="eastAsia" w:ascii="宋体" w:hAnsi="宋体"/>
          <w:color w:val="auto"/>
          <w:spacing w:val="-3"/>
          <w:sz w:val="24"/>
          <w:szCs w:val="24"/>
          <w:highlight w:val="none"/>
        </w:rPr>
        <w:t>条规定提交施工进度计划的同时，应向监理人提交一份按施工先后次序</w:t>
      </w:r>
      <w:r>
        <w:rPr>
          <w:rFonts w:hint="eastAsia" w:ascii="宋体" w:hAnsi="宋体"/>
          <w:color w:val="auto"/>
          <w:spacing w:val="-2"/>
          <w:sz w:val="24"/>
          <w:szCs w:val="24"/>
          <w:highlight w:val="none"/>
        </w:rPr>
        <w:t>所需的永久占地计划。监理人应在收到此计划后的</w:t>
      </w:r>
      <w:r>
        <w:rPr>
          <w:rFonts w:hint="eastAsia" w:ascii="宋体" w:hAnsi="宋体"/>
          <w:color w:val="auto"/>
          <w:spacing w:val="-1"/>
          <w:sz w:val="24"/>
          <w:szCs w:val="24"/>
          <w:highlight w:val="none"/>
        </w:rPr>
        <w:t>14</w:t>
      </w:r>
      <w:r>
        <w:rPr>
          <w:rFonts w:hint="eastAsia" w:ascii="宋体" w:hAnsi="宋体"/>
          <w:color w:val="auto"/>
          <w:spacing w:val="-3"/>
          <w:sz w:val="24"/>
          <w:szCs w:val="24"/>
          <w:highlight w:val="none"/>
        </w:rPr>
        <w:t>天内审核并转报发包人核备。发</w:t>
      </w:r>
      <w:r>
        <w:rPr>
          <w:rFonts w:hint="eastAsia" w:ascii="宋体" w:hAnsi="宋体"/>
          <w:color w:val="auto"/>
          <w:spacing w:val="-1"/>
          <w:sz w:val="24"/>
          <w:szCs w:val="24"/>
          <w:highlight w:val="none"/>
        </w:rPr>
        <w:t>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w:t>
      </w:r>
      <w:r>
        <w:rPr>
          <w:rFonts w:hint="eastAsia" w:ascii="宋体" w:hAnsi="宋体"/>
          <w:color w:val="auto"/>
          <w:sz w:val="24"/>
          <w:szCs w:val="24"/>
          <w:highlight w:val="none"/>
        </w:rPr>
        <w:t>所需的其余永久占地办妥征用及拆迁赔偿手续，通知承包人使用，以使承包人能够连</w:t>
      </w:r>
      <w:r>
        <w:rPr>
          <w:rFonts w:hint="eastAsia" w:ascii="宋体" w:hAnsi="宋体"/>
          <w:color w:val="auto"/>
          <w:spacing w:val="-1"/>
          <w:sz w:val="24"/>
          <w:szCs w:val="24"/>
          <w:highlight w:val="none"/>
        </w:rPr>
        <w:t>续不间断地施工。由于承包人施工考虑不周或措施不当等原因而造成的超计划占地或拆迁等发生的征用和赔偿费用，应由承包人承担。</w:t>
      </w:r>
    </w:p>
    <w:p w14:paraId="58B651F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0E6CCD9D">
      <w:pPr>
        <w:spacing w:line="520" w:lineRule="exact"/>
        <w:rPr>
          <w:rFonts w:ascii="宋体" w:hAnsi="宋体"/>
          <w:color w:val="auto"/>
          <w:szCs w:val="21"/>
          <w:highlight w:val="none"/>
        </w:rPr>
      </w:pPr>
    </w:p>
    <w:p w14:paraId="39610422">
      <w:pPr>
        <w:spacing w:line="520" w:lineRule="exact"/>
        <w:jc w:val="center"/>
        <w:rPr>
          <w:rFonts w:ascii="宋体" w:hAnsi="宋体"/>
          <w:b/>
          <w:bCs/>
          <w:color w:val="auto"/>
          <w:sz w:val="28"/>
          <w:szCs w:val="28"/>
          <w:highlight w:val="none"/>
        </w:rPr>
      </w:pPr>
      <w:r>
        <w:rPr>
          <w:rFonts w:hint="eastAsia" w:ascii="宋体" w:hAnsi="宋体"/>
          <w:b/>
          <w:bCs/>
          <w:color w:val="auto"/>
          <w:sz w:val="28"/>
          <w:szCs w:val="28"/>
          <w:highlight w:val="none"/>
        </w:rPr>
        <w:t>3.监理人</w:t>
      </w:r>
    </w:p>
    <w:p w14:paraId="7E0B2DC5">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3.1监理人的职责和权力</w:t>
      </w:r>
    </w:p>
    <w:p w14:paraId="553E2C2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第3.1.1项补充：</w:t>
      </w:r>
    </w:p>
    <w:p w14:paraId="762C49FB">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监理人在行使下列权力前需要经发包人事先批准：</w:t>
      </w:r>
    </w:p>
    <w:p w14:paraId="11DF75E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（1）根据第4.3款，同意分包本工程的某些非主体和非关键性工作；</w:t>
      </w:r>
    </w:p>
    <w:p w14:paraId="6720FD91">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（2）确定第4.11款下产生的费用增加额；</w:t>
      </w:r>
    </w:p>
    <w:p w14:paraId="4039A24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（3）根据第11.1款、第12.3款、第12.4款发布开工通知、暂停施工指示或复工通知；</w:t>
      </w:r>
    </w:p>
    <w:p w14:paraId="51F98FA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（4）决定第11.3款、第11.4款下的工期延长；</w:t>
      </w:r>
    </w:p>
    <w:p w14:paraId="44DDA82F">
      <w:pPr>
        <w:spacing w:line="520" w:lineRule="exact"/>
        <w:ind w:firstLine="476" w:firstLineChars="200"/>
        <w:rPr>
          <w:rFonts w:ascii="宋体" w:hAnsi="宋体"/>
          <w:color w:val="auto"/>
          <w:sz w:val="24"/>
          <w:szCs w:val="24"/>
          <w:highlight w:val="none"/>
        </w:rPr>
      </w:pPr>
      <w:bookmarkStart w:id="290" w:name="60"/>
      <w:bookmarkEnd w:id="290"/>
      <w:r>
        <w:rPr>
          <w:rFonts w:hint="eastAsia" w:ascii="宋体" w:hAnsi="宋体"/>
          <w:color w:val="auto"/>
          <w:spacing w:val="-1"/>
          <w:sz w:val="24"/>
          <w:szCs w:val="24"/>
          <w:highlight w:val="none"/>
        </w:rPr>
        <w:t>（5）审查批准技术规范或设计的变更；</w:t>
      </w:r>
    </w:p>
    <w:p w14:paraId="525C48B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（6）根据第15.3款发出的变更指令，其单项工程变更或累计变更涉及的金额超过了项目专用合同条款数据表规定的金额；</w:t>
      </w:r>
    </w:p>
    <w:p w14:paraId="39F2B78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（7）确定第15.4款下变更工作的单价；</w:t>
      </w:r>
    </w:p>
    <w:p w14:paraId="62CCC53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（8）按照第15.6款决定有关暂列金额的使用；</w:t>
      </w:r>
    </w:p>
    <w:p w14:paraId="60D1035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（9）确定第15.8款项下的暂估价金额；</w:t>
      </w:r>
    </w:p>
    <w:p w14:paraId="7B8B84E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（10）确定第23.1款项下的索赔额。</w:t>
      </w:r>
    </w:p>
    <w:p w14:paraId="6B79202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如果发生紧急情况，监理人认为将造成人员伤亡，或危及本工程或邻近的财产需立即采取行动，监理人有权在未征得发包人的批准的情况下发布处理紧急情况所比需的指令，承包人应予执行，由此造成的费用增加由监理人按第3.5款商定或确定。</w:t>
      </w:r>
    </w:p>
    <w:p w14:paraId="2C77D75F">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3.5商定或确定</w:t>
      </w:r>
    </w:p>
    <w:p w14:paraId="2FB4CD4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第3.5.1项补充：</w:t>
      </w:r>
    </w:p>
    <w:p w14:paraId="12E97B4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如果这项商定或确定导致费用增加和（或）工期延长，或者涉及确定变更工程的价格，则总监理工程师在发出通知前，应征得发包人的同意。</w:t>
      </w:r>
    </w:p>
    <w:p w14:paraId="1E549D8E">
      <w:pPr>
        <w:spacing w:line="520" w:lineRule="exact"/>
        <w:rPr>
          <w:rFonts w:ascii="宋体" w:hAnsi="宋体"/>
          <w:color w:val="auto"/>
          <w:sz w:val="24"/>
          <w:szCs w:val="24"/>
          <w:highlight w:val="none"/>
        </w:rPr>
      </w:pPr>
    </w:p>
    <w:p w14:paraId="5DF5E120">
      <w:pPr>
        <w:spacing w:line="520" w:lineRule="exact"/>
        <w:jc w:val="center"/>
        <w:rPr>
          <w:rFonts w:ascii="宋体" w:hAnsi="宋体"/>
          <w:b/>
          <w:bCs/>
          <w:color w:val="auto"/>
          <w:sz w:val="28"/>
          <w:szCs w:val="28"/>
          <w:highlight w:val="none"/>
        </w:rPr>
      </w:pPr>
      <w:r>
        <w:rPr>
          <w:rFonts w:hint="eastAsia" w:ascii="宋体" w:hAnsi="宋体"/>
          <w:b/>
          <w:bCs/>
          <w:color w:val="auto"/>
          <w:sz w:val="28"/>
          <w:szCs w:val="28"/>
          <w:highlight w:val="none"/>
        </w:rPr>
        <w:t>4.承包人</w:t>
      </w:r>
    </w:p>
    <w:p w14:paraId="294CEC4F">
      <w:pPr>
        <w:spacing w:line="520" w:lineRule="exact"/>
        <w:jc w:val="center"/>
        <w:rPr>
          <w:rFonts w:ascii="宋体" w:hAnsi="宋体"/>
          <w:color w:val="auto"/>
          <w:sz w:val="24"/>
          <w:szCs w:val="24"/>
          <w:highlight w:val="none"/>
        </w:rPr>
      </w:pPr>
      <w:r>
        <w:rPr>
          <w:rFonts w:hint="eastAsia" w:ascii="宋体" w:hAnsi="宋体"/>
          <w:b/>
          <w:bCs/>
          <w:color w:val="auto"/>
          <w:sz w:val="24"/>
          <w:szCs w:val="24"/>
          <w:highlight w:val="none"/>
        </w:rPr>
        <w:t>4.1承包工的一般义务</w:t>
      </w:r>
    </w:p>
    <w:p w14:paraId="5982F7B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4.1.9工程的维护和照管本项细化为：</w:t>
      </w:r>
    </w:p>
    <w:p w14:paraId="7754FF2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）交工验收证书颁发前，承包人应负责照管和维护工程及将用于或安装在本工</w:t>
      </w:r>
      <w:r>
        <w:rPr>
          <w:rFonts w:hint="eastAsia" w:ascii="宋体" w:hAnsi="宋体"/>
          <w:color w:val="auto"/>
          <w:spacing w:val="-1"/>
          <w:sz w:val="24"/>
          <w:szCs w:val="24"/>
          <w:highlight w:val="none"/>
        </w:rPr>
        <w:t>程中的材料、设备。交工验收证书颁发时尚有部分未交工工程的，承包人还应负责该未交工工程、材料、设备的照管和维护工作，直至交工后移交给发包人为止。</w:t>
      </w:r>
    </w:p>
    <w:p w14:paraId="1255FD6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9"/>
          <w:sz w:val="24"/>
          <w:szCs w:val="24"/>
          <w:highlight w:val="none"/>
        </w:rPr>
        <w:t>）在承包人负责照管与维护期间，如果本工程或材料、设备等发生损失或损害，</w:t>
      </w:r>
      <w:r>
        <w:rPr>
          <w:rFonts w:hint="eastAsia" w:ascii="宋体" w:hAnsi="宋体"/>
          <w:color w:val="auto"/>
          <w:spacing w:val="-1"/>
          <w:sz w:val="24"/>
          <w:szCs w:val="24"/>
          <w:highlight w:val="none"/>
        </w:rPr>
        <w:t>除不可抗力原因之外，承包人均应自费弥补，并达到合同要求。承包人还应对按第19条规定而实施作业的过程中由承包人造成的对工程的任何损失或损害负责。</w:t>
      </w:r>
    </w:p>
    <w:p w14:paraId="3D7ADD9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4.1.10其他义务本项细化为：</w:t>
      </w:r>
    </w:p>
    <w:p w14:paraId="4CCBECF2">
      <w:pPr>
        <w:spacing w:line="520" w:lineRule="exact"/>
        <w:ind w:firstLine="476" w:firstLineChars="200"/>
        <w:rPr>
          <w:rFonts w:ascii="宋体" w:hAnsi="宋体"/>
          <w:color w:val="auto"/>
          <w:sz w:val="24"/>
          <w:szCs w:val="24"/>
          <w:highlight w:val="none"/>
        </w:rPr>
      </w:pPr>
      <w:bookmarkStart w:id="291" w:name="61"/>
      <w:bookmarkEnd w:id="291"/>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）临时占地由承包人向当地政府土地管理部门申请，并办理租用手续，承包人</w:t>
      </w:r>
      <w:r>
        <w:rPr>
          <w:rFonts w:hint="eastAsia" w:ascii="宋体" w:hAnsi="宋体"/>
          <w:color w:val="auto"/>
          <w:spacing w:val="-1"/>
          <w:sz w:val="24"/>
          <w:szCs w:val="24"/>
          <w:highlight w:val="none"/>
        </w:rPr>
        <w:t>按有关规定直接支付其费用，发包人对此将予以协调。</w:t>
      </w:r>
    </w:p>
    <w:p w14:paraId="0E45069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临时占地范围包括承包人驻地的办公室、食堂、宿舍、道路和机械设备停放场、</w:t>
      </w:r>
      <w:r>
        <w:rPr>
          <w:rFonts w:hint="eastAsia" w:ascii="宋体" w:hAnsi="宋体"/>
          <w:color w:val="auto"/>
          <w:spacing w:val="-5"/>
          <w:sz w:val="24"/>
          <w:szCs w:val="24"/>
          <w:highlight w:val="none"/>
        </w:rPr>
        <w:t>材料堆放场地、弃土场、预制场、拌合场、仓库、进场临时道路、临时便道、便桥等。</w:t>
      </w:r>
    </w:p>
    <w:p w14:paraId="3FA129F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w:t>
      </w:r>
      <w:r>
        <w:rPr>
          <w:rFonts w:hint="eastAsia" w:ascii="宋体" w:hAnsi="宋体"/>
          <w:color w:val="auto"/>
          <w:sz w:val="24"/>
          <w:szCs w:val="24"/>
          <w:highlight w:val="none"/>
        </w:rPr>
        <w:t>墓除外）的拆迁补偿等相关费用。除项目专用合同条款另有约定外，临时占地的租地</w:t>
      </w:r>
      <w:r>
        <w:rPr>
          <w:rFonts w:hint="eastAsia" w:ascii="宋体" w:hAnsi="宋体"/>
          <w:color w:val="auto"/>
          <w:spacing w:val="-1"/>
          <w:sz w:val="24"/>
          <w:szCs w:val="24"/>
          <w:highlight w:val="none"/>
        </w:rPr>
        <w:t>费用实行总额包干，列入工程量清单中由承包人按总额报价。</w:t>
      </w:r>
    </w:p>
    <w:p w14:paraId="696E9AB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临时占地退还前，承包人应自费恢复到临时占地使用前的状态。如因承包人撤离后未按要求对临时占地进行恢复或虽进行了恢复但未达到使用标准的，将由发包人委托第三方对其恢复，所发生的费用将从应付给承包人的任何款项内扣除。</w:t>
      </w:r>
    </w:p>
    <w:p w14:paraId="7EEF803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）除项目专用条款另有约定外，承包人应承担并支付为获得本合同工程所需的</w:t>
      </w:r>
      <w:r>
        <w:rPr>
          <w:rFonts w:hint="eastAsia" w:ascii="宋体" w:hAnsi="宋体"/>
          <w:color w:val="auto"/>
          <w:spacing w:val="-1"/>
          <w:sz w:val="24"/>
          <w:szCs w:val="24"/>
          <w:highlight w:val="none"/>
        </w:rPr>
        <w:t>石料、砂、砾石、黏土或其他当地材料等所发生的料场使用费及其他开支或补偿费。</w:t>
      </w:r>
    </w:p>
    <w:p w14:paraId="734D5725">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发包人应尽可能协助承包人办理料场租用手续及解决使用过程中的有关问题。</w:t>
      </w:r>
    </w:p>
    <w:p w14:paraId="01F8CDA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w:t>
      </w:r>
      <w:r>
        <w:rPr>
          <w:rFonts w:hint="eastAsia" w:ascii="宋体" w:hAnsi="宋体"/>
          <w:color w:val="auto"/>
          <w:spacing w:val="-3"/>
          <w:sz w:val="24"/>
          <w:szCs w:val="24"/>
          <w:highlight w:val="none"/>
        </w:rPr>
        <w:t>）承包人应严格遵守国家有关解决拖欠工程款和民工工资的法律、法规，及时</w:t>
      </w:r>
      <w:r>
        <w:rPr>
          <w:rFonts w:hint="eastAsia" w:ascii="宋体" w:hAnsi="宋体"/>
          <w:color w:val="auto"/>
          <w:spacing w:val="-1"/>
          <w:sz w:val="24"/>
          <w:szCs w:val="24"/>
          <w:highlight w:val="none"/>
        </w:rPr>
        <w:t>支付工程中的材料、设备贷款及民工工资等费用。承包人不得以任何借口拖欠材料、</w:t>
      </w:r>
      <w:r>
        <w:rPr>
          <w:rFonts w:hint="eastAsia" w:ascii="宋体" w:hAnsi="宋体"/>
          <w:color w:val="auto"/>
          <w:spacing w:val="-6"/>
          <w:sz w:val="24"/>
          <w:szCs w:val="24"/>
          <w:highlight w:val="none"/>
        </w:rPr>
        <w:t>设备贷款及民工工资等费用，如果出现此种现象，发包人有权代为支付其拖欠的材料、</w:t>
      </w:r>
      <w:r>
        <w:rPr>
          <w:rFonts w:hint="eastAsia" w:ascii="宋体" w:hAnsi="宋体"/>
          <w:color w:val="auto"/>
          <w:spacing w:val="-1"/>
          <w:sz w:val="24"/>
          <w:szCs w:val="24"/>
          <w:highlight w:val="none"/>
        </w:rPr>
        <w:t>设备贷款及民工工资，并从应付给承包人的工程款中扣除相应款项。对恶意拖欠和拒不按计划支付的，作为不良记录纳入公路建设市场信用信息管理系统。</w:t>
      </w:r>
    </w:p>
    <w:p w14:paraId="3475342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的项目负责人部是民工工资支付行为的主体，承包人的项目负责人是民工工资支付的责任人。项目负责人部要建立全体民工花名册和工资支付表，确保将工资直接发放给民工本人，或委托银行发放民工工资，严禁发放给“包工头”或其他不具备用工主体资格的组织和个人。</w:t>
      </w:r>
    </w:p>
    <w:p w14:paraId="54793BA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工资支付表应如实记录支付单位、支付时间、支付对象、支付数额、支付对象的身份证号和签字等信息。民工花名册和工资支付表应报监理人备查。</w:t>
      </w:r>
    </w:p>
    <w:p w14:paraId="4430D8D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3"/>
          <w:sz w:val="24"/>
          <w:szCs w:val="24"/>
          <w:highlight w:val="none"/>
        </w:rPr>
        <w:t>）承包人应分解工程价款中的人工费用，在工程项目所在地银行开设民工工资</w:t>
      </w:r>
      <w:r>
        <w:rPr>
          <w:rFonts w:hint="eastAsia" w:ascii="宋体" w:hAnsi="宋体"/>
          <w:color w:val="auto"/>
          <w:spacing w:val="-1"/>
          <w:sz w:val="24"/>
          <w:szCs w:val="24"/>
          <w:highlight w:val="none"/>
        </w:rPr>
        <w:t>(劳务费)</w:t>
      </w:r>
      <w:r>
        <w:rPr>
          <w:rFonts w:hint="eastAsia" w:ascii="宋体" w:hAnsi="宋体"/>
          <w:color w:val="auto"/>
          <w:spacing w:val="-3"/>
          <w:sz w:val="24"/>
          <w:szCs w:val="24"/>
          <w:highlight w:val="none"/>
        </w:rPr>
        <w:t>专用账户，专项用于支付民工工资。发包人应按照本合同约定的比例</w:t>
      </w:r>
      <w:r>
        <w:rPr>
          <w:rFonts w:hint="eastAsia" w:ascii="宋体" w:hAnsi="宋体"/>
          <w:color w:val="auto"/>
          <w:spacing w:val="-1"/>
          <w:sz w:val="24"/>
          <w:szCs w:val="24"/>
          <w:highlight w:val="none"/>
        </w:rPr>
        <w:t>或承包人提供的人工费用数额，将应付工程款中的人工费单独拨付到承包人开设的民工工资(劳务费)用账户。民工工资(劳务费</w:t>
      </w:r>
      <w:r>
        <w:rPr>
          <w:rFonts w:hint="eastAsia" w:ascii="宋体" w:hAnsi="宋体"/>
          <w:color w:val="auto"/>
          <w:sz w:val="24"/>
          <w:szCs w:val="24"/>
          <w:highlight w:val="none"/>
        </w:rPr>
        <w:tab/>
      </w:r>
      <w:r>
        <w:rPr>
          <w:rFonts w:hint="eastAsia" w:ascii="宋体" w:hAnsi="宋体"/>
          <w:color w:val="auto"/>
          <w:spacing w:val="-1"/>
          <w:sz w:val="24"/>
          <w:szCs w:val="24"/>
          <w:highlight w:val="none"/>
        </w:rPr>
        <w:t>)专用账户应向人力资源社会保障部门和交通运输管部门备案，并委托开户银行负责日常监管，确保专款专用。开</w:t>
      </w:r>
      <w:bookmarkStart w:id="292" w:name="62"/>
      <w:bookmarkEnd w:id="292"/>
      <w:r>
        <w:rPr>
          <w:rFonts w:hint="eastAsia" w:ascii="宋体" w:hAnsi="宋体"/>
          <w:color w:val="auto"/>
          <w:spacing w:val="-3"/>
          <w:sz w:val="24"/>
          <w:szCs w:val="24"/>
          <w:highlight w:val="none"/>
        </w:rPr>
        <w:t>户银行发现账户资金不足、被挪用等情况，应及时向人力资源社会保障部门和交</w:t>
      </w:r>
      <w:r>
        <w:rPr>
          <w:rFonts w:hint="eastAsia" w:ascii="宋体" w:hAnsi="宋体"/>
          <w:color w:val="auto"/>
          <w:spacing w:val="-1"/>
          <w:sz w:val="24"/>
          <w:szCs w:val="24"/>
          <w:highlight w:val="none"/>
        </w:rPr>
        <w:t>通运输主管部门报告。</w:t>
      </w:r>
    </w:p>
    <w:p w14:paraId="2A2FAD7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承包人应严格执行招标文件技术规范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中。</w:t>
      </w:r>
    </w:p>
    <w:p w14:paraId="612E0059">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（6）承包人应履行项目专用合同条款约定的其他义务。</w:t>
      </w:r>
    </w:p>
    <w:p w14:paraId="43796401">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4.3</w:t>
      </w:r>
      <w:r>
        <w:rPr>
          <w:rFonts w:hint="eastAsia" w:ascii="宋体" w:hAnsi="宋体"/>
          <w:color w:val="auto"/>
          <w:spacing w:val="-1"/>
          <w:sz w:val="24"/>
          <w:szCs w:val="24"/>
          <w:highlight w:val="none"/>
        </w:rPr>
        <w:t>分包</w:t>
      </w:r>
    </w:p>
    <w:p w14:paraId="5023231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第4.3.2项～第4.3.4项细化为：</w:t>
      </w:r>
    </w:p>
    <w:p w14:paraId="28A2210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4.3.2承包人不得将工程主体、关键性工作分包给第三人。经发包人同意，承包人可将工程的其他部分或工作分包给第三人。分包包括专业分包和劳务分包。</w:t>
      </w:r>
    </w:p>
    <w:p w14:paraId="010979C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4.3.3专业分包</w:t>
      </w:r>
    </w:p>
    <w:p w14:paraId="6C3337B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在工程施工过程中，承包人进行专业分包必须遵守以下规定：</w:t>
      </w:r>
    </w:p>
    <w:p w14:paraId="74FA719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）允许专业分包的工程范围仅限于非关键性工程或者适合专业化队伍施工的专</w:t>
      </w:r>
      <w:r>
        <w:rPr>
          <w:rFonts w:hint="eastAsia" w:ascii="宋体" w:hAnsi="宋体"/>
          <w:color w:val="auto"/>
          <w:spacing w:val="-1"/>
          <w:sz w:val="24"/>
          <w:szCs w:val="24"/>
          <w:highlight w:val="none"/>
        </w:rPr>
        <w:t>项工程。未列入投标文件的专项工程，承包人不得分包。但因工程变更增加了有特殊</w:t>
      </w:r>
      <w:r>
        <w:rPr>
          <w:rFonts w:hint="eastAsia" w:ascii="宋体" w:hAnsi="宋体"/>
          <w:color w:val="auto"/>
          <w:spacing w:val="-6"/>
          <w:sz w:val="24"/>
          <w:szCs w:val="24"/>
          <w:highlight w:val="none"/>
        </w:rPr>
        <w:t>性技术要求、特殊工艺或者涉及专利保护等的专项工程，且按规定无须再进行招标的，</w:t>
      </w:r>
      <w:r>
        <w:rPr>
          <w:rFonts w:hint="eastAsia" w:ascii="宋体" w:hAnsi="宋体"/>
          <w:color w:val="auto"/>
          <w:spacing w:val="-1"/>
          <w:sz w:val="24"/>
          <w:szCs w:val="24"/>
          <w:highlight w:val="none"/>
        </w:rPr>
        <w:t>由承包人提出书面申请，经发包人书面同意，可以分包。</w:t>
      </w:r>
    </w:p>
    <w:p w14:paraId="6BDDD24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）专业分包人的资格能力（含安全生产能力）应与其分包工程的标准和规模相</w:t>
      </w:r>
      <w:r>
        <w:rPr>
          <w:rFonts w:hint="eastAsia" w:ascii="宋体" w:hAnsi="宋体"/>
          <w:color w:val="auto"/>
          <w:spacing w:val="-1"/>
          <w:sz w:val="24"/>
          <w:szCs w:val="24"/>
          <w:highlight w:val="none"/>
        </w:rPr>
        <w:t>适应，具备相应的专业承包资质。</w:t>
      </w:r>
    </w:p>
    <w:p w14:paraId="2434639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a.具有经工商登记的法人资格:</w:t>
      </w:r>
    </w:p>
    <w:p w14:paraId="6D04943C">
      <w:pPr>
        <w:spacing w:line="520" w:lineRule="exact"/>
        <w:ind w:firstLine="476" w:firstLineChars="200"/>
        <w:rPr>
          <w:rFonts w:ascii="宋体" w:hAnsi="宋体"/>
          <w:color w:val="auto"/>
          <w:sz w:val="24"/>
          <w:szCs w:val="24"/>
          <w:highlight w:val="none"/>
        </w:rPr>
      </w:pPr>
      <w:bookmarkStart w:id="293" w:name="63"/>
      <w:bookmarkEnd w:id="293"/>
      <w:r>
        <w:rPr>
          <w:rFonts w:hint="eastAsia" w:ascii="宋体" w:hAnsi="宋体"/>
          <w:color w:val="auto"/>
          <w:spacing w:val="-1"/>
          <w:sz w:val="24"/>
          <w:szCs w:val="24"/>
          <w:highlight w:val="none"/>
        </w:rPr>
        <w:t>b.具有从事类似工程经验的管理与技术人员;</w:t>
      </w:r>
    </w:p>
    <w:p w14:paraId="1504B99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c.具有(自有或租赁)分包工程所需的施工设备。</w:t>
      </w:r>
    </w:p>
    <w:p w14:paraId="5B447727">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承包人应向监理人提交专业分包人的资格能力证明材料，经监理人审查并报发包人批准后，可以将相应专业工程分包给该专业分包人。</w:t>
      </w:r>
    </w:p>
    <w:p w14:paraId="3DECCEB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（3）专业分工程不得再次分包。</w:t>
      </w:r>
    </w:p>
    <w:p w14:paraId="2E44391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3"/>
          <w:sz w:val="24"/>
          <w:szCs w:val="24"/>
          <w:highlight w:val="none"/>
        </w:rPr>
        <w:t>）承包人和专业分包人应当按照交通运输主管部门制定的统一格式依法签订专</w:t>
      </w:r>
      <w:r>
        <w:rPr>
          <w:rFonts w:hint="eastAsia" w:ascii="宋体" w:hAnsi="宋体"/>
          <w:color w:val="auto"/>
          <w:sz w:val="24"/>
          <w:szCs w:val="24"/>
          <w:highlight w:val="none"/>
        </w:rPr>
        <w:t>业分包合同，并履行合同约定的义务。专业分包合同必须遵循承包合同的各项原则，</w:t>
      </w:r>
      <w:r>
        <w:rPr>
          <w:rFonts w:hint="eastAsia" w:ascii="宋体" w:hAnsi="宋体"/>
          <w:color w:val="auto"/>
          <w:spacing w:val="-1"/>
          <w:sz w:val="24"/>
          <w:szCs w:val="24"/>
          <w:highlight w:val="none"/>
        </w:rPr>
        <w:t>满足承包合同中的质量、安全、进度、环保以及其他技术、经济等要求。专业分包合</w:t>
      </w:r>
      <w:r>
        <w:rPr>
          <w:rFonts w:hint="eastAsia" w:ascii="宋体" w:hAnsi="宋体"/>
          <w:color w:val="auto"/>
          <w:sz w:val="24"/>
          <w:szCs w:val="24"/>
          <w:highlight w:val="none"/>
        </w:rPr>
        <w:t>同必须明确约定工程款支付条款、结算方式以及保证按期支付的相应措施，确保工程</w:t>
      </w:r>
      <w:r>
        <w:rPr>
          <w:rFonts w:hint="eastAsia" w:ascii="宋体" w:hAnsi="宋体"/>
          <w:color w:val="auto"/>
          <w:spacing w:val="-6"/>
          <w:sz w:val="24"/>
          <w:szCs w:val="24"/>
          <w:highlight w:val="none"/>
        </w:rPr>
        <w:t>款的支付。承包人应在工程实施前，将经监理人审查同意后的分包合同报发包人备案。</w:t>
      </w:r>
    </w:p>
    <w:p w14:paraId="70C3AB3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w:t>
      </w:r>
      <w:r>
        <w:rPr>
          <w:rFonts w:hint="eastAsia" w:ascii="宋体" w:hAnsi="宋体"/>
          <w:color w:val="auto"/>
          <w:spacing w:val="-3"/>
          <w:sz w:val="24"/>
          <w:szCs w:val="24"/>
          <w:highlight w:val="none"/>
        </w:rPr>
        <w:t>）专业分包人应当设立项目管理机构，对所分包工程的施工活动实施管理。项</w:t>
      </w:r>
      <w:r>
        <w:rPr>
          <w:rFonts w:hint="eastAsia" w:ascii="宋体" w:hAnsi="宋体"/>
          <w:color w:val="auto"/>
          <w:spacing w:val="-6"/>
          <w:sz w:val="24"/>
          <w:szCs w:val="24"/>
          <w:highlight w:val="none"/>
        </w:rPr>
        <w:t>目管理机构应当具有与分包工程的规模、技术复杂程度相适应的技术、经济管理人员，</w:t>
      </w:r>
      <w:r>
        <w:rPr>
          <w:rFonts w:hint="eastAsia" w:ascii="宋体" w:hAnsi="宋体"/>
          <w:color w:val="auto"/>
          <w:spacing w:val="-1"/>
          <w:sz w:val="24"/>
          <w:szCs w:val="24"/>
          <w:highlight w:val="none"/>
        </w:rPr>
        <w:t>其中项目负责人和技术、财务、计量、质量、安全等主要管理人员必须是专业分包人本单位人员。</w:t>
      </w:r>
    </w:p>
    <w:p w14:paraId="401C1E8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w:t>
      </w:r>
      <w:r>
        <w:rPr>
          <w:rFonts w:hint="eastAsia" w:ascii="宋体" w:hAnsi="宋体"/>
          <w:color w:val="auto"/>
          <w:spacing w:val="-4"/>
          <w:sz w:val="24"/>
          <w:szCs w:val="24"/>
          <w:highlight w:val="none"/>
        </w:rPr>
        <w:t>）承包人应当建立健全相关分包管理制度和台账，对专业分包工程的质量、</w:t>
      </w:r>
      <w:r>
        <w:rPr>
          <w:rFonts w:hint="eastAsia" w:ascii="宋体" w:hAnsi="宋体"/>
          <w:color w:val="auto"/>
          <w:spacing w:val="-1"/>
          <w:sz w:val="24"/>
          <w:szCs w:val="24"/>
          <w:highlight w:val="none"/>
        </w:rPr>
        <w:t>安</w:t>
      </w:r>
      <w:r>
        <w:rPr>
          <w:rFonts w:hint="eastAsia" w:ascii="宋体" w:hAnsi="宋体"/>
          <w:color w:val="auto"/>
          <w:spacing w:val="-17"/>
          <w:sz w:val="24"/>
          <w:szCs w:val="24"/>
          <w:highlight w:val="none"/>
        </w:rPr>
        <w:t>全、进度和专</w:t>
      </w:r>
      <w:r>
        <w:rPr>
          <w:rFonts w:hint="eastAsia" w:ascii="宋体" w:hAnsi="宋体"/>
          <w:color w:val="auto"/>
          <w:spacing w:val="-1"/>
          <w:sz w:val="24"/>
          <w:szCs w:val="24"/>
          <w:highlight w:val="none"/>
        </w:rPr>
        <w:t>业分包人的行为等实施全过程管理</w:t>
      </w:r>
      <w:r>
        <w:rPr>
          <w:rFonts w:hint="eastAsia" w:ascii="宋体" w:hAnsi="宋体"/>
          <w:color w:val="auto"/>
          <w:spacing w:val="-7"/>
          <w:sz w:val="24"/>
          <w:szCs w:val="24"/>
          <w:highlight w:val="none"/>
        </w:rPr>
        <w:t>，按照本办法规定和合同约定对</w:t>
      </w:r>
      <w:r>
        <w:rPr>
          <w:rFonts w:hint="eastAsia" w:ascii="宋体" w:hAnsi="宋体"/>
          <w:color w:val="auto"/>
          <w:spacing w:val="-1"/>
          <w:sz w:val="24"/>
          <w:szCs w:val="24"/>
          <w:highlight w:val="none"/>
        </w:rPr>
        <w:t>专</w:t>
      </w:r>
      <w:r>
        <w:rPr>
          <w:rFonts w:hint="eastAsia" w:ascii="宋体" w:hAnsi="宋体"/>
          <w:color w:val="auto"/>
          <w:spacing w:val="-7"/>
          <w:sz w:val="24"/>
          <w:szCs w:val="24"/>
          <w:highlight w:val="none"/>
        </w:rPr>
        <w:t>业分包工程的实施向发包人负责，并承担赔偿责任。专业分包合</w:t>
      </w:r>
      <w:r>
        <w:rPr>
          <w:rFonts w:hint="eastAsia" w:ascii="宋体" w:hAnsi="宋体"/>
          <w:color w:val="auto"/>
          <w:spacing w:val="-1"/>
          <w:sz w:val="24"/>
          <w:szCs w:val="24"/>
          <w:highlight w:val="none"/>
        </w:rPr>
        <w:tab/>
      </w:r>
      <w:r>
        <w:rPr>
          <w:rFonts w:hint="eastAsia" w:ascii="宋体" w:hAnsi="宋体"/>
          <w:color w:val="auto"/>
          <w:spacing w:val="-1"/>
          <w:sz w:val="24"/>
          <w:szCs w:val="24"/>
          <w:highlight w:val="none"/>
        </w:rPr>
        <w:t>同不免除承包合同中规定的承包人的责任或者义务。</w:t>
      </w:r>
    </w:p>
    <w:p w14:paraId="012F56F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w:t>
      </w:r>
      <w:r>
        <w:rPr>
          <w:rFonts w:hint="eastAsia" w:ascii="宋体" w:hAnsi="宋体"/>
          <w:color w:val="auto"/>
          <w:spacing w:val="-3"/>
          <w:sz w:val="24"/>
          <w:szCs w:val="24"/>
          <w:highlight w:val="none"/>
        </w:rPr>
        <w:t>）专业分包人应当依据专业分包合同的约定，组织分包工程的施工，并对分包</w:t>
      </w:r>
      <w:r>
        <w:rPr>
          <w:rFonts w:hint="eastAsia" w:ascii="宋体" w:hAnsi="宋体"/>
          <w:color w:val="auto"/>
          <w:spacing w:val="-6"/>
          <w:sz w:val="24"/>
          <w:szCs w:val="24"/>
          <w:highlight w:val="none"/>
        </w:rPr>
        <w:t>工程的质量、安全和进度等实施有效控制。专业分包人对其分包的工程向承包人负责，</w:t>
      </w:r>
      <w:r>
        <w:rPr>
          <w:rFonts w:hint="eastAsia" w:ascii="宋体" w:hAnsi="宋体"/>
          <w:color w:val="auto"/>
          <w:spacing w:val="-1"/>
          <w:sz w:val="24"/>
          <w:szCs w:val="24"/>
          <w:highlight w:val="none"/>
        </w:rPr>
        <w:t>并就所分包的工程向发包人承担连带责任。</w:t>
      </w:r>
    </w:p>
    <w:p w14:paraId="64641BD4">
      <w:pPr>
        <w:spacing w:line="520" w:lineRule="exact"/>
        <w:ind w:firstLine="476" w:firstLineChars="200"/>
        <w:rPr>
          <w:rFonts w:ascii="宋体" w:hAnsi="宋体"/>
          <w:color w:val="auto"/>
          <w:spacing w:val="-6"/>
          <w:sz w:val="24"/>
          <w:szCs w:val="24"/>
          <w:highlight w:val="none"/>
        </w:rPr>
      </w:pPr>
      <w:r>
        <w:rPr>
          <w:rFonts w:hint="eastAsia" w:ascii="宋体" w:hAnsi="宋体"/>
          <w:color w:val="auto"/>
          <w:spacing w:val="-1"/>
          <w:sz w:val="24"/>
          <w:szCs w:val="24"/>
          <w:highlight w:val="none"/>
        </w:rPr>
        <w:t>（8</w:t>
      </w:r>
      <w:r>
        <w:rPr>
          <w:rFonts w:hint="eastAsia" w:ascii="宋体" w:hAnsi="宋体"/>
          <w:color w:val="auto"/>
          <w:spacing w:val="-6"/>
          <w:sz w:val="24"/>
          <w:szCs w:val="24"/>
          <w:highlight w:val="none"/>
        </w:rPr>
        <w:t>）承包人对施工现场安全负总责，并对专业分包人的安全生产进行培训和管理。</w:t>
      </w:r>
    </w:p>
    <w:p w14:paraId="55AED03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专业分包人应将其专业分包工程的施工组织设计和施工安全方案报承包人备案。</w:t>
      </w:r>
    </w:p>
    <w:p w14:paraId="26A4A2EF">
      <w:pPr>
        <w:spacing w:line="520" w:lineRule="exact"/>
        <w:ind w:firstLine="480" w:firstLineChars="200"/>
        <w:rPr>
          <w:rFonts w:ascii="宋体" w:hAnsi="宋体"/>
          <w:color w:val="auto"/>
          <w:spacing w:val="-1"/>
          <w:sz w:val="24"/>
          <w:szCs w:val="24"/>
          <w:highlight w:val="none"/>
        </w:rPr>
      </w:pPr>
      <w:r>
        <w:rPr>
          <w:rFonts w:hint="eastAsia" w:ascii="宋体" w:hAnsi="宋体"/>
          <w:color w:val="auto"/>
          <w:sz w:val="24"/>
          <w:szCs w:val="24"/>
          <w:highlight w:val="none"/>
        </w:rPr>
        <w:t>专业</w:t>
      </w:r>
      <w:r>
        <w:rPr>
          <w:rFonts w:hint="eastAsia" w:ascii="宋体" w:hAnsi="宋体"/>
          <w:color w:val="auto"/>
          <w:spacing w:val="-1"/>
          <w:sz w:val="24"/>
          <w:szCs w:val="24"/>
          <w:highlight w:val="none"/>
        </w:rPr>
        <w:t>分包人对分包施工现场安全负责，发现事故隐患，应及时处理。</w:t>
      </w:r>
    </w:p>
    <w:p w14:paraId="756B1EE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违反上述规定之一者属违规分包。</w:t>
      </w:r>
    </w:p>
    <w:p w14:paraId="5157FB0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4.3.4劳务分包</w:t>
      </w:r>
    </w:p>
    <w:p w14:paraId="298C200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在工程施工过程中，承包人进行劳务分包必须遵守以下规定：</w:t>
      </w:r>
    </w:p>
    <w:p w14:paraId="5E1ABBE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（1）劳务分包人应具有劳务分包资质。</w:t>
      </w:r>
    </w:p>
    <w:p w14:paraId="572C89D4">
      <w:pPr>
        <w:spacing w:line="520" w:lineRule="exact"/>
        <w:ind w:firstLine="476" w:firstLineChars="200"/>
        <w:rPr>
          <w:rFonts w:ascii="宋体" w:hAnsi="宋体"/>
          <w:color w:val="auto"/>
          <w:spacing w:val="-1"/>
          <w:sz w:val="24"/>
          <w:szCs w:val="24"/>
          <w:highlight w:val="none"/>
        </w:rPr>
      </w:pPr>
      <w:bookmarkStart w:id="294" w:name="64"/>
      <w:bookmarkEnd w:id="294"/>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）劳务分包应当依法签订劳务分包合同，劳务分包合同必须由承包人的法定代</w:t>
      </w:r>
      <w:r>
        <w:rPr>
          <w:rFonts w:hint="eastAsia" w:ascii="宋体" w:hAnsi="宋体"/>
          <w:color w:val="auto"/>
          <w:spacing w:val="-6"/>
          <w:sz w:val="24"/>
          <w:szCs w:val="24"/>
          <w:highlight w:val="none"/>
        </w:rPr>
        <w:t>表人或其委托代理人与劳务分包人直接签订，不得由他人代签。承包人的项目负责人部、</w:t>
      </w:r>
      <w:r>
        <w:rPr>
          <w:rFonts w:hint="eastAsia" w:ascii="宋体" w:hAnsi="宋体"/>
          <w:color w:val="auto"/>
          <w:spacing w:val="-1"/>
          <w:sz w:val="24"/>
          <w:szCs w:val="24"/>
          <w:highlight w:val="none"/>
        </w:rPr>
        <w:t>项目负责人、施工班组等不具备用工主体资格，不能与劳务分包人签订劳务分包合同。</w:t>
      </w:r>
    </w:p>
    <w:p w14:paraId="779F96D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承包人应向发包人和监理人提交劳务分包合同副本并报项目所在地劳动保障部门备案。</w:t>
      </w:r>
    </w:p>
    <w:p w14:paraId="656D7AD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w:t>
      </w:r>
      <w:r>
        <w:rPr>
          <w:rFonts w:hint="eastAsia" w:ascii="宋体" w:hAnsi="宋体"/>
          <w:color w:val="auto"/>
          <w:spacing w:val="-6"/>
          <w:sz w:val="24"/>
          <w:szCs w:val="24"/>
          <w:highlight w:val="none"/>
        </w:rPr>
        <w:t>）承包人雇用的劳务作业应加入到承包人的施工班组统一管理。有关施工质量、</w:t>
      </w:r>
      <w:r>
        <w:rPr>
          <w:rFonts w:hint="eastAsia" w:ascii="宋体" w:hAnsi="宋体"/>
          <w:color w:val="auto"/>
          <w:spacing w:val="-1"/>
          <w:sz w:val="24"/>
          <w:szCs w:val="24"/>
          <w:highlight w:val="none"/>
        </w:rPr>
        <w:t>施工安全、施工进度、环境保护、技术方案、试验检测、材料保管与供应、机械设备等都必须由承包人管理与调配，不得以包代管。</w:t>
      </w:r>
    </w:p>
    <w:p w14:paraId="1A84580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3"/>
          <w:sz w:val="24"/>
          <w:szCs w:val="24"/>
          <w:highlight w:val="none"/>
        </w:rPr>
        <w:t>）承包人应当对劳务分包人员进行安全培训和管理，劳务分包人不得将其分包</w:t>
      </w:r>
      <w:r>
        <w:rPr>
          <w:rFonts w:hint="eastAsia" w:ascii="宋体" w:hAnsi="宋体"/>
          <w:color w:val="auto"/>
          <w:spacing w:val="-1"/>
          <w:sz w:val="24"/>
          <w:szCs w:val="24"/>
          <w:highlight w:val="none"/>
        </w:rPr>
        <w:t>的劳务作业再次分包。</w:t>
      </w:r>
    </w:p>
    <w:p w14:paraId="2078690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违反上述规定之一者属违规分包。</w:t>
      </w:r>
    </w:p>
    <w:p w14:paraId="4025302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本款补充第4.3.6项、第4.3.7项：</w:t>
      </w:r>
    </w:p>
    <w:p w14:paraId="0313868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4.3.6发包人对承包人与分包人之间的法律与经济纠纷不承担任何责任和义务。</w:t>
      </w:r>
    </w:p>
    <w:p w14:paraId="3AFE899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4.3.7本项目的各项分包工作均应遵守《公路工程施工分包管理办法》的有关规定。</w:t>
      </w:r>
    </w:p>
    <w:p w14:paraId="19A8DEC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4.4</w:t>
      </w:r>
      <w:r>
        <w:rPr>
          <w:rFonts w:hint="eastAsia" w:ascii="宋体" w:hAnsi="宋体"/>
          <w:color w:val="auto"/>
          <w:spacing w:val="-1"/>
          <w:sz w:val="24"/>
          <w:szCs w:val="24"/>
          <w:highlight w:val="none"/>
        </w:rPr>
        <w:t>联合体</w:t>
      </w:r>
    </w:p>
    <w:p w14:paraId="2507B71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本款增加第4.4.4项：</w:t>
      </w:r>
    </w:p>
    <w:p w14:paraId="798A732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4.4.4未经发包人事先同意，联合体的组成与结构不得变动。</w:t>
      </w:r>
    </w:p>
    <w:p w14:paraId="4B15AF6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4.6承包人人员的管理</w:t>
      </w:r>
    </w:p>
    <w:p w14:paraId="2CDEE9B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第4.6.3项细化为：</w:t>
      </w:r>
    </w:p>
    <w:p w14:paraId="59CC367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2200549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本款补充第4.6.5项：</w:t>
      </w:r>
    </w:p>
    <w:p w14:paraId="108820C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次增加的费用和（或）工期延误由承包人承担。</w:t>
      </w:r>
    </w:p>
    <w:p w14:paraId="0D5E8BAC">
      <w:pPr>
        <w:spacing w:line="520" w:lineRule="exact"/>
        <w:ind w:firstLine="480" w:firstLineChars="200"/>
        <w:rPr>
          <w:rFonts w:ascii="宋体" w:hAnsi="宋体"/>
          <w:color w:val="auto"/>
          <w:sz w:val="24"/>
          <w:szCs w:val="24"/>
          <w:highlight w:val="none"/>
        </w:rPr>
      </w:pPr>
      <w:bookmarkStart w:id="295" w:name="65"/>
      <w:bookmarkEnd w:id="295"/>
      <w:r>
        <w:rPr>
          <w:rFonts w:hint="eastAsia" w:ascii="宋体" w:hAnsi="宋体"/>
          <w:color w:val="auto"/>
          <w:sz w:val="24"/>
          <w:szCs w:val="24"/>
          <w:highlight w:val="none"/>
        </w:rPr>
        <w:t>4.7撤换承包人项目负责人和其他人员</w:t>
      </w:r>
    </w:p>
    <w:p w14:paraId="3C65CC6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本款细化为：</w:t>
      </w:r>
    </w:p>
    <w:p w14:paraId="3B14430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对其项目负责人和其他人员进行有效管理。监理人要求撤换不能胜任本职工作、行为不端或玩忽职守的承包人项目负责人和其他人员的，承包人应予以撤换，同时委派经发包人与监理人同意的新的项目负责人和其他人员。</w:t>
      </w:r>
    </w:p>
    <w:p w14:paraId="7A0C62E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4.9工程价款应专款专用</w:t>
      </w:r>
    </w:p>
    <w:p w14:paraId="114BD18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本款细化为：</w:t>
      </w:r>
    </w:p>
    <w:p w14:paraId="2E1D3D7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w:t>
      </w:r>
      <w:r>
        <w:rPr>
          <w:rFonts w:hint="eastAsia" w:ascii="宋体" w:hAnsi="宋体"/>
          <w:color w:val="auto"/>
          <w:sz w:val="24"/>
          <w:szCs w:val="24"/>
          <w:highlight w:val="none"/>
        </w:rPr>
        <w:t>查询。发包人支付的工程进度款应为本工程的专款专用资金，不得转移或用于其他工</w:t>
      </w:r>
      <w:r>
        <w:rPr>
          <w:rFonts w:hint="eastAsia" w:ascii="宋体" w:hAnsi="宋体"/>
          <w:color w:val="auto"/>
          <w:spacing w:val="-1"/>
          <w:sz w:val="24"/>
          <w:szCs w:val="24"/>
          <w:highlight w:val="none"/>
        </w:rPr>
        <w:t>程。发包人的期中支付款将转入该银行所设的专门账户，发包人及其派出机构有权不</w:t>
      </w:r>
      <w:r>
        <w:rPr>
          <w:rFonts w:hint="eastAsia" w:ascii="宋体" w:hAnsi="宋体"/>
          <w:color w:val="auto"/>
          <w:spacing w:val="-6"/>
          <w:sz w:val="24"/>
          <w:szCs w:val="24"/>
          <w:highlight w:val="none"/>
        </w:rPr>
        <w:t>定期对承包人工程资金使用情况进行检查，发现问题及时责令承包人限期改正，否则，</w:t>
      </w:r>
      <w:r>
        <w:rPr>
          <w:rFonts w:hint="eastAsia" w:ascii="宋体" w:hAnsi="宋体"/>
          <w:color w:val="auto"/>
          <w:spacing w:val="-1"/>
          <w:sz w:val="24"/>
          <w:szCs w:val="24"/>
          <w:highlight w:val="none"/>
        </w:rPr>
        <w:t>将终止月支付，直至承包人改正为止。</w:t>
      </w:r>
    </w:p>
    <w:p w14:paraId="282CC9D9">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4.10承包人现场查勘</w:t>
      </w:r>
    </w:p>
    <w:p w14:paraId="39221AB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第4.10.1项细化为：</w:t>
      </w:r>
    </w:p>
    <w:p w14:paraId="40EAC21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提供的本合同工程的水文、地质、气象和料场分布、取土场、弃土场位置等资料均属于参考资料，并不构成合同文件的组成部分，承包人应对自己就上述资料的解释、推论和应用负责，发包人不对承包人据此做出的判断和决策承担任何责任。</w:t>
      </w:r>
    </w:p>
    <w:p w14:paraId="406495C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4.11不利物质条件</w:t>
      </w:r>
    </w:p>
    <w:p w14:paraId="40CA4F5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第4.11.2项细化为：</w:t>
      </w:r>
    </w:p>
    <w:p w14:paraId="1E9DFE0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4.11.2</w:t>
      </w:r>
      <w:r>
        <w:rPr>
          <w:rFonts w:hint="eastAsia" w:ascii="宋体" w:hAnsi="宋体"/>
          <w:color w:val="auto"/>
          <w:spacing w:val="-3"/>
          <w:sz w:val="24"/>
          <w:szCs w:val="24"/>
          <w:highlight w:val="none"/>
        </w:rPr>
        <w:t>承包人遇到不可预见的不利物质条件时，应采取适应不利物质条件的合理</w:t>
      </w:r>
      <w:r>
        <w:rPr>
          <w:rFonts w:hint="eastAsia" w:ascii="宋体" w:hAnsi="宋体"/>
          <w:color w:val="auto"/>
          <w:spacing w:val="-1"/>
          <w:sz w:val="24"/>
          <w:szCs w:val="24"/>
          <w:highlight w:val="none"/>
        </w:rPr>
        <w:t>措施继续施工，并及时通知监理人。监理人应当及时发出指示，指示构成变更的，按第15</w:t>
      </w:r>
      <w:r>
        <w:rPr>
          <w:rFonts w:hint="eastAsia" w:ascii="宋体" w:hAnsi="宋体"/>
          <w:color w:val="auto"/>
          <w:spacing w:val="-9"/>
          <w:sz w:val="24"/>
          <w:szCs w:val="24"/>
          <w:highlight w:val="none"/>
        </w:rPr>
        <w:t>条约定办理。监理人没有发出指示的，承包人因采取合理措施而增加的费用和（或）</w:t>
      </w:r>
      <w:r>
        <w:rPr>
          <w:rFonts w:hint="eastAsia" w:ascii="宋体" w:hAnsi="宋体"/>
          <w:color w:val="auto"/>
          <w:spacing w:val="-1"/>
          <w:sz w:val="24"/>
          <w:szCs w:val="24"/>
          <w:highlight w:val="none"/>
        </w:rPr>
        <w:t>工期延误，由发包人承担。</w:t>
      </w:r>
    </w:p>
    <w:p w14:paraId="70101A3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本款补充第4.11.3项：</w:t>
      </w:r>
    </w:p>
    <w:p w14:paraId="5B692DD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4.11.3可预见的不利物质条件</w:t>
      </w:r>
    </w:p>
    <w:p w14:paraId="637BCF0B">
      <w:pPr>
        <w:spacing w:line="520" w:lineRule="exact"/>
        <w:ind w:firstLine="476" w:firstLineChars="200"/>
        <w:rPr>
          <w:rFonts w:ascii="宋体" w:hAnsi="宋体"/>
          <w:color w:val="auto"/>
          <w:sz w:val="24"/>
          <w:szCs w:val="24"/>
          <w:highlight w:val="none"/>
        </w:rPr>
      </w:pPr>
      <w:bookmarkStart w:id="296" w:name="66"/>
      <w:bookmarkEnd w:id="296"/>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）对于项目专用合同条款中已经明确指出的不利物质条件无论承包人是否有其</w:t>
      </w:r>
      <w:r>
        <w:rPr>
          <w:rFonts w:hint="eastAsia" w:ascii="宋体" w:hAnsi="宋体"/>
          <w:color w:val="auto"/>
          <w:spacing w:val="-1"/>
          <w:sz w:val="24"/>
          <w:szCs w:val="24"/>
          <w:highlight w:val="none"/>
        </w:rPr>
        <w:t>经历和经验均视为承包人在接受合同时已预见其影响，并已在签约合同价中计入因其影响而可能发生的一切费用。</w:t>
      </w:r>
    </w:p>
    <w:p w14:paraId="459FB97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）对于项目专用合同条款未明确指出，但是在不利物质条件发生之前，监理人</w:t>
      </w:r>
      <w:r>
        <w:rPr>
          <w:rFonts w:hint="eastAsia" w:ascii="宋体" w:hAnsi="宋体"/>
          <w:color w:val="auto"/>
          <w:spacing w:val="-1"/>
          <w:sz w:val="24"/>
          <w:szCs w:val="24"/>
          <w:highlight w:val="none"/>
        </w:rPr>
        <w:t>已经指示承包人有可能发生，但承包人未能及时采取有效措施，而导致的损失和后果均由承包人承担。</w:t>
      </w:r>
    </w:p>
    <w:p w14:paraId="670D7DA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补充第4.12</w:t>
      </w:r>
      <w:r>
        <w:rPr>
          <w:rFonts w:hint="eastAsia" w:ascii="宋体" w:hAnsi="宋体"/>
          <w:color w:val="auto"/>
          <w:sz w:val="24"/>
          <w:szCs w:val="24"/>
          <w:highlight w:val="none"/>
        </w:rPr>
        <w:t>款、第</w:t>
      </w:r>
      <w:r>
        <w:rPr>
          <w:rFonts w:hint="eastAsia" w:ascii="宋体" w:hAnsi="宋体"/>
          <w:color w:val="auto"/>
          <w:spacing w:val="-1"/>
          <w:sz w:val="24"/>
          <w:szCs w:val="24"/>
          <w:highlight w:val="none"/>
        </w:rPr>
        <w:t>4.13款：</w:t>
      </w:r>
    </w:p>
    <w:p w14:paraId="524F1DE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4.12电子投标文件的完备性</w:t>
      </w:r>
    </w:p>
    <w:p w14:paraId="4D54E7E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合同双方一致认为，承包人在递交电子投标文件前，对本合同工程的电子投标文件和已标价工程量清单中开列的单价和总额价已查明正确的和完备的。投标的单价和总额价应已包括了合同中规定的承包人的全部义务（包括提供货物、材料、设备、服</w:t>
      </w:r>
      <w:r>
        <w:rPr>
          <w:rFonts w:hint="eastAsia" w:ascii="宋体" w:hAnsi="宋体"/>
          <w:color w:val="auto"/>
          <w:sz w:val="24"/>
          <w:szCs w:val="24"/>
          <w:highlight w:val="none"/>
        </w:rPr>
        <w:t>务的义务，并包括了暂列金额和暂估价范围内的额外工作的义务）以及为实施和完成</w:t>
      </w:r>
      <w:r>
        <w:rPr>
          <w:rFonts w:hint="eastAsia" w:ascii="宋体" w:hAnsi="宋体"/>
          <w:color w:val="auto"/>
          <w:spacing w:val="-1"/>
          <w:sz w:val="24"/>
          <w:szCs w:val="24"/>
          <w:highlight w:val="none"/>
        </w:rPr>
        <w:t>本合同工程和其缺陷修复所必需的一切工作和条件。</w:t>
      </w:r>
    </w:p>
    <w:p w14:paraId="349E7FDD">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4.13开展党建工作要求</w:t>
      </w:r>
    </w:p>
    <w:p w14:paraId="372A3B47">
      <w:pPr>
        <w:spacing w:line="520" w:lineRule="exact"/>
        <w:ind w:firstLine="468" w:firstLineChars="200"/>
        <w:rPr>
          <w:rFonts w:ascii="宋体" w:hAnsi="宋体"/>
          <w:color w:val="auto"/>
          <w:sz w:val="24"/>
          <w:szCs w:val="24"/>
          <w:highlight w:val="none"/>
        </w:rPr>
      </w:pPr>
      <w:r>
        <w:rPr>
          <w:rFonts w:hint="eastAsia" w:ascii="宋体" w:hAnsi="宋体"/>
          <w:color w:val="auto"/>
          <w:spacing w:val="-3"/>
          <w:sz w:val="24"/>
          <w:szCs w:val="24"/>
          <w:highlight w:val="none"/>
        </w:rPr>
        <w:t>对于政府技资的国家高速公路项目，或承包人为国有控股或参股企业的，承包人应按规定在项目现场设立基层党组织。承包人为非国有控股或参股企业的，应创造条件使党员能够参加</w:t>
      </w:r>
      <w:r>
        <w:rPr>
          <w:rFonts w:hint="eastAsia" w:ascii="宋体" w:hAnsi="宋体"/>
          <w:color w:val="auto"/>
          <w:sz w:val="24"/>
          <w:szCs w:val="24"/>
          <w:highlight w:val="none"/>
        </w:rPr>
        <w:t>党组织生活并接受相应管理。</w:t>
      </w:r>
    </w:p>
    <w:p w14:paraId="33D238C1">
      <w:pPr>
        <w:spacing w:line="520" w:lineRule="exact"/>
        <w:ind w:firstLine="468" w:firstLineChars="200"/>
        <w:rPr>
          <w:rFonts w:ascii="宋体" w:hAnsi="宋体"/>
          <w:color w:val="auto"/>
          <w:spacing w:val="-1"/>
          <w:sz w:val="24"/>
          <w:szCs w:val="24"/>
          <w:highlight w:val="none"/>
        </w:rPr>
      </w:pPr>
      <w:r>
        <w:rPr>
          <w:rFonts w:hint="eastAsia" w:ascii="宋体" w:hAnsi="宋体"/>
          <w:color w:val="auto"/>
          <w:spacing w:val="-3"/>
          <w:sz w:val="24"/>
          <w:szCs w:val="24"/>
          <w:highlight w:val="none"/>
        </w:rPr>
        <w:t>承包人在项目现场设立基层党组织的，应明确党组织机构设置、党组织负责人及党务工作</w:t>
      </w:r>
      <w:r>
        <w:rPr>
          <w:rFonts w:hint="eastAsia" w:ascii="宋体" w:hAnsi="宋体"/>
          <w:color w:val="auto"/>
          <w:spacing w:val="-5"/>
          <w:sz w:val="24"/>
          <w:szCs w:val="24"/>
          <w:highlight w:val="none"/>
        </w:rPr>
        <w:t>人员配备情况，编制党务工作开展预案，并按照预案要求在项目实施过程中同步开展党务工作，</w:t>
      </w:r>
      <w:r>
        <w:rPr>
          <w:rFonts w:hint="eastAsia" w:ascii="宋体" w:hAnsi="宋体"/>
          <w:color w:val="auto"/>
          <w:sz w:val="24"/>
          <w:szCs w:val="24"/>
          <w:highlight w:val="none"/>
        </w:rPr>
        <w:t>充分发挥基层党组织在项目实施中的作用。</w:t>
      </w:r>
    </w:p>
    <w:p w14:paraId="56AEFFC0">
      <w:pPr>
        <w:spacing w:line="520" w:lineRule="exact"/>
        <w:jc w:val="center"/>
        <w:rPr>
          <w:rFonts w:ascii="宋体" w:hAnsi="宋体"/>
          <w:b/>
          <w:bCs/>
          <w:color w:val="auto"/>
          <w:sz w:val="28"/>
          <w:szCs w:val="28"/>
          <w:highlight w:val="none"/>
        </w:rPr>
      </w:pPr>
      <w:r>
        <w:rPr>
          <w:rFonts w:hint="eastAsia" w:ascii="宋体" w:hAnsi="宋体"/>
          <w:b/>
          <w:bCs/>
          <w:color w:val="auto"/>
          <w:sz w:val="28"/>
          <w:szCs w:val="28"/>
          <w:highlight w:val="none"/>
        </w:rPr>
        <w:t>5.材料和工程设备</w:t>
      </w:r>
    </w:p>
    <w:p w14:paraId="434FB5C4">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5.2发包人提供的材料和工程设备</w:t>
      </w:r>
    </w:p>
    <w:p w14:paraId="6235B6E5">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第5.2.3项补充：</w:t>
      </w:r>
    </w:p>
    <w:p w14:paraId="3DD1435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667C0F61">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6.施工设备和临时设施</w:t>
      </w:r>
    </w:p>
    <w:p w14:paraId="13E8EA52">
      <w:pPr>
        <w:spacing w:line="520" w:lineRule="exact"/>
        <w:jc w:val="center"/>
        <w:rPr>
          <w:rFonts w:ascii="宋体" w:hAnsi="宋体"/>
          <w:color w:val="auto"/>
          <w:sz w:val="24"/>
          <w:szCs w:val="24"/>
          <w:highlight w:val="none"/>
        </w:rPr>
      </w:pPr>
      <w:r>
        <w:rPr>
          <w:rFonts w:hint="eastAsia" w:ascii="宋体" w:hAnsi="宋体"/>
          <w:b/>
          <w:bCs/>
          <w:color w:val="auto"/>
          <w:sz w:val="24"/>
          <w:szCs w:val="24"/>
          <w:highlight w:val="none"/>
        </w:rPr>
        <w:t>6.2承包人提供的施工设备和临时设施</w:t>
      </w:r>
    </w:p>
    <w:p w14:paraId="6585E66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第6.1.2项约定为：</w:t>
      </w:r>
    </w:p>
    <w:p w14:paraId="3B358EFA">
      <w:pPr>
        <w:spacing w:line="520" w:lineRule="exact"/>
        <w:ind w:firstLine="448" w:firstLineChars="200"/>
        <w:rPr>
          <w:rFonts w:ascii="宋体" w:hAnsi="宋体"/>
          <w:color w:val="auto"/>
          <w:sz w:val="24"/>
          <w:szCs w:val="24"/>
          <w:highlight w:val="none"/>
        </w:rPr>
      </w:pPr>
      <w:bookmarkStart w:id="297" w:name="67"/>
      <w:bookmarkEnd w:id="297"/>
      <w:r>
        <w:rPr>
          <w:rFonts w:hint="eastAsia" w:ascii="宋体" w:hAnsi="宋体"/>
          <w:color w:val="auto"/>
          <w:spacing w:val="-8"/>
          <w:sz w:val="24"/>
          <w:szCs w:val="24"/>
          <w:highlight w:val="none"/>
        </w:rPr>
        <w:t>承包人应自行承担修建临时设施的费用，需要临时占地的，应由承包人按第</w:t>
      </w:r>
      <w:r>
        <w:rPr>
          <w:rFonts w:hint="eastAsia" w:ascii="宋体" w:hAnsi="宋体"/>
          <w:color w:val="auto"/>
          <w:spacing w:val="-1"/>
          <w:sz w:val="24"/>
          <w:szCs w:val="24"/>
          <w:highlight w:val="none"/>
        </w:rPr>
        <w:t>4.1.10项（1）目的规定办理。</w:t>
      </w:r>
    </w:p>
    <w:p w14:paraId="016493A9">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6.3要求承包人增加或更换施工设备</w:t>
      </w:r>
    </w:p>
    <w:p w14:paraId="37ED7B8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本款细化为：</w:t>
      </w:r>
    </w:p>
    <w:p w14:paraId="38B9A63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承诺的施工设备必须按时达到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52E611F7">
      <w:pPr>
        <w:spacing w:line="520" w:lineRule="exact"/>
        <w:jc w:val="center"/>
        <w:rPr>
          <w:rFonts w:ascii="宋体" w:hAnsi="宋体"/>
          <w:b/>
          <w:bCs/>
          <w:color w:val="auto"/>
          <w:sz w:val="28"/>
          <w:szCs w:val="28"/>
          <w:highlight w:val="none"/>
        </w:rPr>
      </w:pPr>
      <w:r>
        <w:rPr>
          <w:rFonts w:hint="eastAsia" w:ascii="宋体" w:hAnsi="宋体"/>
          <w:b/>
          <w:bCs/>
          <w:color w:val="auto"/>
          <w:sz w:val="28"/>
          <w:szCs w:val="28"/>
          <w:highlight w:val="none"/>
        </w:rPr>
        <w:t>7.交通运输</w:t>
      </w:r>
    </w:p>
    <w:p w14:paraId="57CEA622">
      <w:pPr>
        <w:spacing w:line="520" w:lineRule="exact"/>
        <w:jc w:val="center"/>
        <w:rPr>
          <w:rFonts w:ascii="宋体" w:hAnsi="宋体"/>
          <w:color w:val="auto"/>
          <w:sz w:val="24"/>
          <w:szCs w:val="24"/>
          <w:highlight w:val="none"/>
        </w:rPr>
      </w:pPr>
      <w:r>
        <w:rPr>
          <w:rFonts w:hint="eastAsia" w:ascii="宋体" w:hAnsi="宋体"/>
          <w:b/>
          <w:bCs/>
          <w:color w:val="auto"/>
          <w:sz w:val="24"/>
          <w:szCs w:val="24"/>
          <w:highlight w:val="none"/>
        </w:rPr>
        <w:t>7.1道路通行权和场外设施</w:t>
      </w:r>
    </w:p>
    <w:p w14:paraId="366DDD8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本款约定为：</w:t>
      </w:r>
    </w:p>
    <w:p w14:paraId="798FE08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承包人应根据合同工程的施工需要，负责办理取得出入施工场地的专用和临时道</w:t>
      </w:r>
      <w:r>
        <w:rPr>
          <w:rFonts w:hint="eastAsia" w:ascii="宋体" w:hAnsi="宋体"/>
          <w:color w:val="auto"/>
          <w:sz w:val="24"/>
          <w:szCs w:val="24"/>
          <w:highlight w:val="none"/>
        </w:rPr>
        <w:t>路的通行权，以及取得为工程建设所需修建场外设施的权利，并承担有权费用。需要</w:t>
      </w:r>
      <w:r>
        <w:rPr>
          <w:rFonts w:hint="eastAsia" w:ascii="宋体" w:hAnsi="宋体"/>
          <w:color w:val="auto"/>
          <w:spacing w:val="-1"/>
          <w:sz w:val="24"/>
          <w:szCs w:val="24"/>
          <w:highlight w:val="none"/>
        </w:rPr>
        <w:t>发包人协调时，发包人应协助承包人办理相关手续。</w:t>
      </w:r>
    </w:p>
    <w:p w14:paraId="0FD7F06C">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8．测量放线</w:t>
      </w:r>
    </w:p>
    <w:p w14:paraId="15098E0C">
      <w:pPr>
        <w:spacing w:line="520" w:lineRule="exact"/>
        <w:jc w:val="center"/>
        <w:rPr>
          <w:rFonts w:ascii="宋体" w:hAnsi="宋体"/>
          <w:color w:val="auto"/>
          <w:sz w:val="24"/>
          <w:szCs w:val="24"/>
          <w:highlight w:val="none"/>
        </w:rPr>
      </w:pPr>
      <w:r>
        <w:rPr>
          <w:rFonts w:hint="eastAsia" w:ascii="宋体" w:hAnsi="宋体"/>
          <w:b/>
          <w:bCs/>
          <w:color w:val="auto"/>
          <w:sz w:val="24"/>
          <w:szCs w:val="24"/>
          <w:highlight w:val="none"/>
        </w:rPr>
        <w:t>8.4监理人使用施工控制网</w:t>
      </w:r>
    </w:p>
    <w:p w14:paraId="6C3730C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69864945">
      <w:pPr>
        <w:spacing w:line="520" w:lineRule="exact"/>
        <w:ind w:firstLine="476" w:firstLineChars="200"/>
        <w:rPr>
          <w:rFonts w:ascii="宋体" w:hAnsi="宋体"/>
          <w:color w:val="auto"/>
          <w:szCs w:val="21"/>
          <w:highlight w:val="none"/>
        </w:rPr>
      </w:pPr>
      <w:r>
        <w:rPr>
          <w:rFonts w:hint="eastAsia" w:ascii="宋体" w:hAnsi="宋体"/>
          <w:color w:val="auto"/>
          <w:spacing w:val="-1"/>
          <w:sz w:val="24"/>
          <w:szCs w:val="24"/>
          <w:highlight w:val="none"/>
        </w:rPr>
        <w:t>经监理人批准，其他相关承包人也可免费使用施工控制网。</w:t>
      </w:r>
    </w:p>
    <w:p w14:paraId="7C6BAB46">
      <w:pPr>
        <w:spacing w:line="520" w:lineRule="exact"/>
        <w:jc w:val="center"/>
        <w:rPr>
          <w:rFonts w:ascii="宋体" w:hAnsi="宋体"/>
          <w:b/>
          <w:bCs/>
          <w:color w:val="auto"/>
          <w:highlight w:val="none"/>
        </w:rPr>
      </w:pPr>
      <w:r>
        <w:rPr>
          <w:rFonts w:hint="eastAsia" w:ascii="宋体" w:hAnsi="宋体"/>
          <w:b/>
          <w:bCs/>
          <w:color w:val="auto"/>
          <w:sz w:val="28"/>
          <w:szCs w:val="28"/>
          <w:highlight w:val="none"/>
        </w:rPr>
        <w:t>9．施工安全、治安保卫和环境保护</w:t>
      </w:r>
    </w:p>
    <w:p w14:paraId="137343D2">
      <w:pPr>
        <w:spacing w:line="520" w:lineRule="exact"/>
        <w:jc w:val="center"/>
        <w:rPr>
          <w:rFonts w:ascii="宋体" w:hAnsi="宋体"/>
          <w:color w:val="auto"/>
          <w:sz w:val="24"/>
          <w:szCs w:val="24"/>
          <w:highlight w:val="none"/>
        </w:rPr>
      </w:pPr>
      <w:r>
        <w:rPr>
          <w:rFonts w:hint="eastAsia" w:ascii="宋体" w:hAnsi="宋体"/>
          <w:b/>
          <w:bCs/>
          <w:color w:val="auto"/>
          <w:spacing w:val="-1"/>
          <w:sz w:val="24"/>
          <w:szCs w:val="24"/>
          <w:highlight w:val="none"/>
        </w:rPr>
        <w:t>9．2</w:t>
      </w:r>
      <w:r>
        <w:rPr>
          <w:rFonts w:hint="eastAsia" w:ascii="宋体" w:hAnsi="宋体"/>
          <w:b/>
          <w:bCs/>
          <w:color w:val="auto"/>
          <w:sz w:val="24"/>
          <w:szCs w:val="24"/>
          <w:highlight w:val="none"/>
        </w:rPr>
        <w:t>承包人的施工安全责任</w:t>
      </w:r>
    </w:p>
    <w:p w14:paraId="5CE3FDE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第9.2.1项细化为：</w:t>
      </w:r>
    </w:p>
    <w:p w14:paraId="1979628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5CD7B47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承包人应根据本工程的实际安全施工要求，编制施工安全技术措施，并在签订合同协议书后28</w:t>
      </w:r>
      <w:r>
        <w:rPr>
          <w:rFonts w:hint="eastAsia" w:ascii="宋体" w:hAnsi="宋体"/>
          <w:color w:val="auto"/>
          <w:sz w:val="24"/>
          <w:szCs w:val="24"/>
          <w:highlight w:val="none"/>
        </w:rPr>
        <w:t>天内，报监理人和发包人批准。该施工安全技术措施包括（但不限于）</w:t>
      </w:r>
      <w:r>
        <w:rPr>
          <w:rFonts w:hint="eastAsia" w:ascii="宋体" w:hAnsi="宋体"/>
          <w:color w:val="auto"/>
          <w:spacing w:val="-1"/>
          <w:sz w:val="24"/>
          <w:szCs w:val="24"/>
          <w:highlight w:val="none"/>
        </w:rPr>
        <w:t>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w:t>
      </w:r>
      <w:bookmarkStart w:id="298" w:name="68"/>
      <w:bookmarkEnd w:id="298"/>
      <w:r>
        <w:rPr>
          <w:rFonts w:hint="eastAsia" w:ascii="宋体" w:hAnsi="宋体"/>
          <w:color w:val="auto"/>
          <w:spacing w:val="-1"/>
          <w:sz w:val="24"/>
          <w:szCs w:val="24"/>
          <w:highlight w:val="none"/>
        </w:rPr>
        <w:t>制专项施工方案，并附安全验算结果，经承包人项目总工签字并报监理人和发包人批准后实施，由专职安全生产管理人员进行现场监督。</w:t>
      </w:r>
    </w:p>
    <w:p w14:paraId="09E3D8A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本项目需要编制专项施工方案的工程包括但不限于以下内容：</w:t>
      </w:r>
    </w:p>
    <w:p w14:paraId="15BE5BE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（1）不良地质条件下有潜在危险性的土方、石方开挖；</w:t>
      </w:r>
    </w:p>
    <w:p w14:paraId="3A44FC5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（2）滑坡和高边坡处理；</w:t>
      </w:r>
    </w:p>
    <w:p w14:paraId="1ABBD90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（3）桩基础、挡墙基础、深水基础及围堰工程；</w:t>
      </w:r>
    </w:p>
    <w:p w14:paraId="77D5BD2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（4）桥梁工程中的梁、拱、柱等构件施工等；</w:t>
      </w:r>
    </w:p>
    <w:p w14:paraId="5EBDE4F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（5）隧道工程中的不良地质隧道、高瓦斯隧道等；</w:t>
      </w:r>
    </w:p>
    <w:p w14:paraId="20B78C6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w:t>
      </w:r>
      <w:r>
        <w:rPr>
          <w:rFonts w:hint="eastAsia" w:ascii="宋体" w:hAnsi="宋体"/>
          <w:color w:val="auto"/>
          <w:spacing w:val="-3"/>
          <w:sz w:val="24"/>
          <w:szCs w:val="24"/>
          <w:highlight w:val="none"/>
        </w:rPr>
        <w:t>）水上工程中的打桩船作业、施工船作业、外海孤岛作业、边通航边施工作业</w:t>
      </w:r>
      <w:r>
        <w:rPr>
          <w:rFonts w:hint="eastAsia" w:ascii="宋体" w:hAnsi="宋体"/>
          <w:color w:val="auto"/>
          <w:spacing w:val="-1"/>
          <w:sz w:val="24"/>
          <w:szCs w:val="24"/>
          <w:highlight w:val="none"/>
        </w:rPr>
        <w:t>等；</w:t>
      </w:r>
    </w:p>
    <w:p w14:paraId="640CE93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（7）水下工程中的水下焊接、混凝土浇筑、爆破工程等；</w:t>
      </w:r>
    </w:p>
    <w:p w14:paraId="0790D7C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（8）爆破工程；</w:t>
      </w:r>
    </w:p>
    <w:p w14:paraId="2607C6B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w:t>
      </w:r>
      <w:r>
        <w:rPr>
          <w:rFonts w:hint="eastAsia" w:ascii="宋体" w:hAnsi="宋体"/>
          <w:color w:val="auto"/>
          <w:spacing w:val="-3"/>
          <w:sz w:val="24"/>
          <w:szCs w:val="24"/>
          <w:highlight w:val="none"/>
        </w:rPr>
        <w:t>）大型临时工程中的大型支架、模板、便桥的架设与拆除；桥梁、码头的加固</w:t>
      </w:r>
      <w:r>
        <w:rPr>
          <w:rFonts w:hint="eastAsia" w:ascii="宋体" w:hAnsi="宋体"/>
          <w:color w:val="auto"/>
          <w:spacing w:val="-1"/>
          <w:sz w:val="24"/>
          <w:szCs w:val="24"/>
          <w:highlight w:val="none"/>
        </w:rPr>
        <w:t>与拆除；</w:t>
      </w:r>
    </w:p>
    <w:p w14:paraId="16A1CFE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（10）其他危险性较大的工程。</w:t>
      </w:r>
    </w:p>
    <w:p w14:paraId="7DB0E35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监理人和发包人在检查中发现有安全问题或有违反安全管理规章制度的情况时，可视其为承包人违约，应按第22.1款的规定处理。</w:t>
      </w:r>
    </w:p>
    <w:p w14:paraId="0DCD904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第9.2.5项细化为：</w:t>
      </w:r>
    </w:p>
    <w:p w14:paraId="64D385D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除项目用合同条款另有约定外，安全生产费用应为投标价（不含安全生产费及建</w:t>
      </w:r>
      <w:r>
        <w:rPr>
          <w:rFonts w:hint="eastAsia" w:ascii="宋体" w:hAnsi="宋体"/>
          <w:color w:val="auto"/>
          <w:spacing w:val="-7"/>
          <w:sz w:val="24"/>
          <w:szCs w:val="24"/>
          <w:highlight w:val="none"/>
        </w:rPr>
        <w:t>筑工程一切险及第三者责任险的保险费）的</w:t>
      </w:r>
      <w:r>
        <w:rPr>
          <w:rFonts w:hint="eastAsia" w:ascii="宋体" w:hAnsi="宋体"/>
          <w:color w:val="auto"/>
          <w:spacing w:val="-1"/>
          <w:sz w:val="24"/>
          <w:szCs w:val="24"/>
          <w:highlight w:val="none"/>
        </w:rPr>
        <w:t>1.5%（若发包人公布了投标控制价上限时，按投标控制价上限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4BAFE5E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本款补充第9.2.8项～9.2.11项：</w:t>
      </w:r>
    </w:p>
    <w:p w14:paraId="22F305B7">
      <w:pPr>
        <w:spacing w:line="520" w:lineRule="exact"/>
        <w:ind w:firstLine="476" w:firstLineChars="200"/>
        <w:rPr>
          <w:rFonts w:ascii="宋体" w:hAnsi="宋体"/>
          <w:color w:val="auto"/>
          <w:sz w:val="24"/>
          <w:szCs w:val="24"/>
          <w:highlight w:val="none"/>
        </w:rPr>
      </w:pPr>
      <w:bookmarkStart w:id="299" w:name="69"/>
      <w:bookmarkEnd w:id="299"/>
      <w:r>
        <w:rPr>
          <w:rFonts w:hint="eastAsia" w:ascii="宋体" w:hAnsi="宋体"/>
          <w:color w:val="auto"/>
          <w:spacing w:val="-1"/>
          <w:sz w:val="24"/>
          <w:szCs w:val="24"/>
          <w:highlight w:val="none"/>
        </w:rPr>
        <w:t>9.2.8承包人应充分关注和保障所有在现场工作的人员的安全，采取以下有效措</w:t>
      </w:r>
      <w:r>
        <w:rPr>
          <w:rFonts w:hint="eastAsia" w:ascii="宋体" w:hAnsi="宋体"/>
          <w:color w:val="auto"/>
          <w:sz w:val="24"/>
          <w:szCs w:val="24"/>
          <w:highlight w:val="none"/>
        </w:rPr>
        <w:t>施，使现场和本合同工程的实施保持有条不紊，以免使让述人员的安全受到威胁。</w:t>
      </w:r>
    </w:p>
    <w:p w14:paraId="08CED99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）按《公路水运工程安全生产临督管理办法》规定的最低数量和资质条件配备</w:t>
      </w:r>
      <w:r>
        <w:rPr>
          <w:rFonts w:hint="eastAsia" w:ascii="宋体" w:hAnsi="宋体"/>
          <w:color w:val="auto"/>
          <w:spacing w:val="-1"/>
          <w:sz w:val="24"/>
          <w:szCs w:val="24"/>
          <w:highlight w:val="none"/>
        </w:rPr>
        <w:t>专职安全生产管理人员；</w:t>
      </w:r>
    </w:p>
    <w:p w14:paraId="23F2503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）承包人的垂直运输机械作业人员、施工船舶作业人员、爆破作业人员、安装</w:t>
      </w:r>
      <w:r>
        <w:rPr>
          <w:rFonts w:hint="eastAsia" w:ascii="宋体" w:hAnsi="宋体"/>
          <w:color w:val="auto"/>
          <w:spacing w:val="-1"/>
          <w:sz w:val="24"/>
          <w:szCs w:val="24"/>
          <w:highlight w:val="none"/>
        </w:rPr>
        <w:t>拆卸工、起重信号工、电工、焊工等国家规定的特种作业人员，必须按照国家规定经过专门的安全作业培训，并取得特种作业操作资格证书后，方可上岗作业；</w:t>
      </w:r>
    </w:p>
    <w:p w14:paraId="773C867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w:t>
      </w:r>
      <w:r>
        <w:rPr>
          <w:rFonts w:hint="eastAsia" w:ascii="宋体" w:hAnsi="宋体"/>
          <w:color w:val="auto"/>
          <w:sz w:val="24"/>
          <w:szCs w:val="24"/>
          <w:highlight w:val="none"/>
        </w:rPr>
        <w:t>）所有施工机具设备和高空作业设备均应定期检查，并有安全员的签字记录。</w:t>
      </w:r>
    </w:p>
    <w:p w14:paraId="67E51CF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3"/>
          <w:sz w:val="24"/>
          <w:szCs w:val="24"/>
          <w:highlight w:val="none"/>
        </w:rPr>
        <w:t>）根据本合同各单位工程的特点，严格执行《公路水运工程安全生产监督管理</w:t>
      </w:r>
      <w:r>
        <w:rPr>
          <w:rFonts w:hint="eastAsia" w:ascii="宋体" w:hAnsi="宋体"/>
          <w:color w:val="auto"/>
          <w:spacing w:val="-6"/>
          <w:sz w:val="24"/>
          <w:szCs w:val="24"/>
          <w:highlight w:val="none"/>
        </w:rPr>
        <w:t>办法》、《公路工程施工安全技术规程》与《公路筑养路机械操作规程》的具体规定。</w:t>
      </w:r>
    </w:p>
    <w:p w14:paraId="7B365CC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9.2.9为保护本合同工程免遭损坏，或为了现场附近和过往群众的安全与方便，在确有必要的时候和地方，或当监理人或有关主管部门要求时，承包人应自费提供照明、警卫、护栅、警告标志等安全防护设施。</w:t>
      </w:r>
    </w:p>
    <w:p w14:paraId="6590BA5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9.2.10在通航水域施工时，承包人应与当地主管部门取得联系，设置必要的导航标志，及时发布航行通告，确保施工水域安全。</w:t>
      </w:r>
    </w:p>
    <w:p w14:paraId="359693D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9.2.11在整个施工过程中对承包人采取的施工安全措施，发包人和监理人有权监督，并向承包人提出整改要求。如果由于承包人未能对其负责的上述事项采取各种必</w:t>
      </w:r>
      <w:r>
        <w:rPr>
          <w:rFonts w:hint="eastAsia" w:ascii="宋体" w:hAnsi="宋体"/>
          <w:color w:val="auto"/>
          <w:sz w:val="24"/>
          <w:szCs w:val="24"/>
          <w:highlight w:val="none"/>
        </w:rPr>
        <w:t>要的措施而导致或发生与此有关的人身伤亡、罚款、索赔、损失补偿、诉讼费用及其</w:t>
      </w:r>
      <w:r>
        <w:rPr>
          <w:rFonts w:hint="eastAsia" w:ascii="宋体" w:hAnsi="宋体"/>
          <w:color w:val="auto"/>
          <w:spacing w:val="-1"/>
          <w:sz w:val="24"/>
          <w:szCs w:val="24"/>
          <w:highlight w:val="none"/>
        </w:rPr>
        <w:t>他一切责任应由承包人负责。</w:t>
      </w:r>
    </w:p>
    <w:p w14:paraId="19129FF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9.4</w:t>
      </w:r>
      <w:r>
        <w:rPr>
          <w:rFonts w:hint="eastAsia" w:ascii="宋体" w:hAnsi="宋体"/>
          <w:color w:val="auto"/>
          <w:sz w:val="24"/>
          <w:szCs w:val="24"/>
          <w:highlight w:val="none"/>
        </w:rPr>
        <w:t>环境保护</w:t>
      </w:r>
    </w:p>
    <w:p w14:paraId="74B83D4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本款补充第9.4.7～第9.4.11项：</w:t>
      </w:r>
    </w:p>
    <w:p w14:paraId="49D5F7D8">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9.4.7承包人应切实执行技术规范中有关环境保护方面的条款和规定。</w:t>
      </w:r>
    </w:p>
    <w:p w14:paraId="145EE17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）对于来自施工机械和运输车辆的施工噪声，为保护施工人员的健康，应遵守</w:t>
      </w:r>
      <w:r>
        <w:rPr>
          <w:rFonts w:hint="eastAsia" w:ascii="宋体" w:hAnsi="宋体"/>
          <w:color w:val="auto"/>
          <w:spacing w:val="-1"/>
          <w:sz w:val="24"/>
          <w:szCs w:val="24"/>
          <w:highlight w:val="none"/>
        </w:rPr>
        <w:t>《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w:t>
      </w:r>
      <w:r>
        <w:rPr>
          <w:rFonts w:hint="eastAsia" w:ascii="宋体" w:hAnsi="宋体"/>
          <w:color w:val="auto"/>
          <w:spacing w:val="-2"/>
          <w:sz w:val="24"/>
          <w:szCs w:val="24"/>
          <w:highlight w:val="none"/>
        </w:rPr>
        <w:t>护施工现场附近居民的夜间休息，对居民区</w:t>
      </w:r>
      <w:r>
        <w:rPr>
          <w:rFonts w:hint="eastAsia" w:ascii="宋体" w:hAnsi="宋体"/>
          <w:color w:val="auto"/>
          <w:spacing w:val="-1"/>
          <w:sz w:val="24"/>
          <w:szCs w:val="24"/>
          <w:highlight w:val="none"/>
        </w:rPr>
        <w:t>150m</w:t>
      </w:r>
      <w:r>
        <w:rPr>
          <w:rFonts w:hint="eastAsia" w:ascii="宋体" w:hAnsi="宋体"/>
          <w:color w:val="auto"/>
          <w:spacing w:val="-3"/>
          <w:sz w:val="24"/>
          <w:szCs w:val="24"/>
          <w:highlight w:val="none"/>
        </w:rPr>
        <w:t>以内的施工现场，施工时间应加以控</w:t>
      </w:r>
      <w:r>
        <w:rPr>
          <w:rFonts w:hint="eastAsia" w:ascii="宋体" w:hAnsi="宋体"/>
          <w:color w:val="auto"/>
          <w:spacing w:val="-1"/>
          <w:sz w:val="24"/>
          <w:szCs w:val="24"/>
          <w:highlight w:val="none"/>
        </w:rPr>
        <w:t>制。</w:t>
      </w:r>
    </w:p>
    <w:p w14:paraId="07846E7C">
      <w:pPr>
        <w:spacing w:line="520" w:lineRule="exact"/>
        <w:ind w:firstLine="476" w:firstLineChars="200"/>
        <w:rPr>
          <w:rFonts w:ascii="宋体" w:hAnsi="宋体"/>
          <w:color w:val="auto"/>
          <w:sz w:val="24"/>
          <w:szCs w:val="24"/>
          <w:highlight w:val="none"/>
        </w:rPr>
      </w:pPr>
      <w:bookmarkStart w:id="300" w:name="70"/>
      <w:bookmarkEnd w:id="300"/>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）对于公路施工中粉尘污染的主要污染源——灰土拌和、施工车辆和筑路机械</w:t>
      </w:r>
      <w:r>
        <w:rPr>
          <w:rFonts w:hint="eastAsia" w:ascii="宋体" w:hAnsi="宋体"/>
          <w:color w:val="auto"/>
          <w:spacing w:val="-1"/>
          <w:sz w:val="24"/>
          <w:szCs w:val="24"/>
          <w:highlight w:val="none"/>
        </w:rPr>
        <w:t>运行及运输产生的扬尘，应采取有效措施减轻施工现场的大气污染，保护人民健康，如：</w:t>
      </w:r>
    </w:p>
    <w:p w14:paraId="3EBB919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a.拌和设备应有较好的密封，或有防尘设备。</w:t>
      </w:r>
    </w:p>
    <w:p w14:paraId="6C7510E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b.施工通道、沥青混凝土拌和站及灰土拌和站应经常进行洒水降尘。</w:t>
      </w:r>
    </w:p>
    <w:p w14:paraId="59F2CBF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c.路面施工应注意保持水分，以免扬尘。</w:t>
      </w:r>
    </w:p>
    <w:p w14:paraId="36AF185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d.隧道出渣和桥梁钻孔灌注桩施工时排出的泥浆要进行妥善处理，严禁向河流或农田排放。</w:t>
      </w:r>
    </w:p>
    <w:p w14:paraId="4BF95A8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w:t>
      </w:r>
      <w:r>
        <w:rPr>
          <w:rFonts w:hint="eastAsia" w:ascii="宋体" w:hAnsi="宋体"/>
          <w:color w:val="auto"/>
          <w:spacing w:val="-3"/>
          <w:sz w:val="24"/>
          <w:szCs w:val="24"/>
          <w:highlight w:val="none"/>
        </w:rPr>
        <w:t>）采取可靠措施保证原有交通的正常通行，维持沿线村镇的居民饮水、农田灌</w:t>
      </w:r>
      <w:r>
        <w:rPr>
          <w:rFonts w:hint="eastAsia" w:ascii="宋体" w:hAnsi="宋体"/>
          <w:color w:val="auto"/>
          <w:spacing w:val="-1"/>
          <w:sz w:val="24"/>
          <w:szCs w:val="24"/>
          <w:highlight w:val="none"/>
        </w:rPr>
        <w:t>溉、生产生活用电及通讯等管线的正常使用。</w:t>
      </w:r>
    </w:p>
    <w:p w14:paraId="4093A7E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6CEC110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9.4.9在施工期间，承包人应随时保持现场整洁，施工设备和材料、工程设备应整齐妥善存放和储存，废料与垃圾及不再需要的临时设施应及时从现场清除、拆除并运走。</w:t>
      </w:r>
    </w:p>
    <w:p w14:paraId="25C3462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9.4.10</w:t>
      </w:r>
      <w:r>
        <w:rPr>
          <w:rFonts w:hint="eastAsia" w:ascii="宋体" w:hAnsi="宋体"/>
          <w:color w:val="auto"/>
          <w:spacing w:val="-3"/>
          <w:sz w:val="24"/>
          <w:szCs w:val="24"/>
          <w:highlight w:val="none"/>
        </w:rPr>
        <w:t>在施工期间，承包人应严格遵守《关于在公路建设中实行最严格的耕地保</w:t>
      </w:r>
      <w:r>
        <w:rPr>
          <w:rFonts w:hint="eastAsia" w:ascii="宋体" w:hAnsi="宋体"/>
          <w:color w:val="auto"/>
          <w:sz w:val="24"/>
          <w:szCs w:val="24"/>
          <w:highlight w:val="none"/>
        </w:rPr>
        <w:t>护制度的若干意见》的相关规定，规范用地、科学用地、合理用地和节约用地。承包</w:t>
      </w:r>
      <w:r>
        <w:rPr>
          <w:rFonts w:hint="eastAsia" w:ascii="宋体" w:hAnsi="宋体"/>
          <w:color w:val="auto"/>
          <w:spacing w:val="-1"/>
          <w:sz w:val="24"/>
          <w:szCs w:val="24"/>
          <w:highlight w:val="none"/>
        </w:rPr>
        <w:t>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71D4827F">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9.4.11</w:t>
      </w:r>
      <w:r>
        <w:rPr>
          <w:rFonts w:hint="eastAsia" w:ascii="宋体" w:hAnsi="宋体"/>
          <w:color w:val="auto"/>
          <w:spacing w:val="-3"/>
          <w:sz w:val="24"/>
          <w:szCs w:val="24"/>
          <w:highlight w:val="none"/>
        </w:rPr>
        <w:t>承包人应严格按照国家有关法规要求，做好施工过程中的生态保护和水土</w:t>
      </w:r>
      <w:r>
        <w:rPr>
          <w:rFonts w:hint="eastAsia" w:ascii="宋体" w:hAnsi="宋体"/>
          <w:color w:val="auto"/>
          <w:sz w:val="24"/>
          <w:szCs w:val="24"/>
          <w:highlight w:val="none"/>
        </w:rPr>
        <w:t>保持工作。施工中要尽可能减少对原地面的扰动，减少对地面草木的破坏，需要爆破</w:t>
      </w:r>
      <w:r>
        <w:rPr>
          <w:rFonts w:hint="eastAsia" w:ascii="宋体" w:hAnsi="宋体"/>
          <w:color w:val="auto"/>
          <w:spacing w:val="-1"/>
          <w:sz w:val="24"/>
          <w:szCs w:val="24"/>
          <w:highlight w:val="none"/>
        </w:rPr>
        <w:t>作业的，应按规定进行控爆设计。雨季填筑路基应随挖、随运、随压，要完善施工中的临时排水系统，加强施工便道的管理。取（弃）土场必须先挡后弃，严禁在指定的取（弃）土场以外的地方乱挖乱弃。</w:t>
      </w:r>
      <w:bookmarkStart w:id="301" w:name="71"/>
      <w:bookmarkEnd w:id="301"/>
    </w:p>
    <w:p w14:paraId="691C5DE6">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10．进度计划</w:t>
      </w:r>
    </w:p>
    <w:p w14:paraId="51D51DE5">
      <w:pPr>
        <w:spacing w:line="520" w:lineRule="exact"/>
        <w:jc w:val="center"/>
        <w:rPr>
          <w:rFonts w:ascii="宋体" w:hAnsi="宋体"/>
          <w:color w:val="auto"/>
          <w:sz w:val="24"/>
          <w:szCs w:val="24"/>
          <w:highlight w:val="none"/>
        </w:rPr>
      </w:pPr>
      <w:r>
        <w:rPr>
          <w:rFonts w:hint="eastAsia" w:ascii="宋体" w:hAnsi="宋体"/>
          <w:b/>
          <w:bCs/>
          <w:color w:val="auto"/>
          <w:sz w:val="24"/>
          <w:szCs w:val="24"/>
          <w:highlight w:val="none"/>
        </w:rPr>
        <w:t>10.1合同进度计划</w:t>
      </w:r>
    </w:p>
    <w:p w14:paraId="64D3DF3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2D4A2B5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承包人编制施工方案说明的内容见项目专用合同条款。</w:t>
      </w:r>
    </w:p>
    <w:p w14:paraId="4D7C1EB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承包人向监理人报送施工进度计划和施工方案说明的期限：签订合同协议书后28天之内。</w:t>
      </w:r>
    </w:p>
    <w:p w14:paraId="4F4ECDF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监理人应在14天内对承包人施工进度计划和施工方案说明予以批复或提出修改意见。</w:t>
      </w:r>
    </w:p>
    <w:p w14:paraId="71682C5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合同进度计划应按照关键线路网络图和主要工作横道图两种形式分别编绘，并应包括每月预计完成的工作量和形象进度。</w:t>
      </w:r>
    </w:p>
    <w:p w14:paraId="3096CF69">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10.2合同进度计划的修订</w:t>
      </w:r>
    </w:p>
    <w:p w14:paraId="610C79A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192AC91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承包人提交合同进度计划修订申请报告，并附有关措施和相关资料的期限：实际进度发生滞后的当月25日前。</w:t>
      </w:r>
    </w:p>
    <w:p w14:paraId="18F4A20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监理人批复修订合同进度计划的期限：收到修订合同进度计划后14天内。</w:t>
      </w:r>
    </w:p>
    <w:p w14:paraId="7FDE020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补充第10.3、10.4款：</w:t>
      </w:r>
    </w:p>
    <w:p w14:paraId="4889A2AA">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10.3年度施工计划</w:t>
      </w:r>
    </w:p>
    <w:p w14:paraId="1185886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承包人应在每年11</w:t>
      </w:r>
      <w:r>
        <w:rPr>
          <w:rFonts w:hint="eastAsia" w:ascii="宋体" w:hAnsi="宋体"/>
          <w:color w:val="auto"/>
          <w:spacing w:val="-3"/>
          <w:sz w:val="24"/>
          <w:szCs w:val="24"/>
          <w:highlight w:val="none"/>
        </w:rPr>
        <w:t>月底前，根据已同意的合同进度计划或其修订的计划，向监理</w:t>
      </w:r>
      <w:r>
        <w:rPr>
          <w:rFonts w:hint="eastAsia" w:ascii="宋体" w:hAnsi="宋体"/>
          <w:color w:val="auto"/>
          <w:spacing w:val="-1"/>
          <w:sz w:val="24"/>
          <w:szCs w:val="24"/>
          <w:highlight w:val="none"/>
        </w:rPr>
        <w:t>人提交2</w:t>
      </w:r>
      <w:r>
        <w:rPr>
          <w:rFonts w:hint="eastAsia" w:ascii="宋体" w:hAnsi="宋体"/>
          <w:color w:val="auto"/>
          <w:sz w:val="24"/>
          <w:szCs w:val="24"/>
          <w:highlight w:val="none"/>
        </w:rPr>
        <w:t>份格式和内容符合监理人合理规定的下一年度的施工计划，以供审查。该计</w:t>
      </w:r>
      <w:r>
        <w:rPr>
          <w:rFonts w:hint="eastAsia" w:ascii="宋体" w:hAnsi="宋体"/>
          <w:color w:val="auto"/>
          <w:spacing w:val="-1"/>
          <w:sz w:val="24"/>
          <w:szCs w:val="24"/>
          <w:highlight w:val="none"/>
        </w:rPr>
        <w:t>划应包括本年度估计完成的和下一年度预计完成的分项工程数量和工作量，以及为实施此计划将采取的措施。</w:t>
      </w:r>
    </w:p>
    <w:p w14:paraId="2468B1C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10.4合同用款计划</w:t>
      </w:r>
    </w:p>
    <w:p w14:paraId="0A71458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承包人应在签订本合同协议书后28</w:t>
      </w:r>
      <w:r>
        <w:rPr>
          <w:rFonts w:hint="eastAsia" w:ascii="宋体" w:hAnsi="宋体"/>
          <w:color w:val="auto"/>
          <w:spacing w:val="-4"/>
          <w:sz w:val="24"/>
          <w:szCs w:val="24"/>
          <w:highlight w:val="none"/>
        </w:rPr>
        <w:t>天之内，按招标文件中规定的格式，向监理人</w:t>
      </w:r>
      <w:r>
        <w:rPr>
          <w:rFonts w:hint="eastAsia" w:ascii="宋体" w:hAnsi="宋体"/>
          <w:color w:val="auto"/>
          <w:spacing w:val="-1"/>
          <w:sz w:val="24"/>
          <w:szCs w:val="24"/>
          <w:highlight w:val="none"/>
        </w:rPr>
        <w:t>提2份按合同规定承包人有权得到支付的详细的季度合同用款计划，以备监理人查阅。如果监理人提出要求，承包人还应按季度提交修订的合同用款计划。</w:t>
      </w:r>
    </w:p>
    <w:p w14:paraId="3D5DFB22">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11.开工和竣工</w:t>
      </w:r>
    </w:p>
    <w:p w14:paraId="603FFD76">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11.1</w:t>
      </w:r>
      <w:r>
        <w:rPr>
          <w:rFonts w:hint="eastAsia" w:ascii="宋体" w:hAnsi="宋体"/>
          <w:b/>
          <w:bCs/>
          <w:color w:val="auto"/>
          <w:spacing w:val="-1"/>
          <w:sz w:val="24"/>
          <w:szCs w:val="24"/>
          <w:highlight w:val="none"/>
        </w:rPr>
        <w:t>开工</w:t>
      </w:r>
    </w:p>
    <w:p w14:paraId="48ADB0D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第11.1.2项补充：</w:t>
      </w:r>
    </w:p>
    <w:p w14:paraId="22C4B1FD">
      <w:pPr>
        <w:spacing w:line="520" w:lineRule="exact"/>
        <w:ind w:firstLine="476" w:firstLineChars="200"/>
        <w:rPr>
          <w:rFonts w:ascii="宋体" w:hAnsi="宋体"/>
          <w:color w:val="auto"/>
          <w:sz w:val="24"/>
          <w:szCs w:val="24"/>
          <w:highlight w:val="none"/>
        </w:rPr>
      </w:pPr>
      <w:bookmarkStart w:id="302" w:name="72"/>
      <w:bookmarkEnd w:id="302"/>
      <w:r>
        <w:rPr>
          <w:rFonts w:hint="eastAsia" w:ascii="宋体" w:hAnsi="宋体"/>
          <w:color w:val="auto"/>
          <w:spacing w:val="-1"/>
          <w:sz w:val="24"/>
          <w:szCs w:val="24"/>
          <w:highlight w:val="none"/>
        </w:rPr>
        <w:t>承包人应在分部工程开工前14</w:t>
      </w:r>
      <w:r>
        <w:rPr>
          <w:rFonts w:hint="eastAsia" w:ascii="宋体" w:hAnsi="宋体"/>
          <w:color w:val="auto"/>
          <w:spacing w:val="-4"/>
          <w:sz w:val="24"/>
          <w:szCs w:val="24"/>
          <w:highlight w:val="none"/>
        </w:rPr>
        <w:t>天向监理人提交分部工程开工报审表，若承包人的</w:t>
      </w:r>
      <w:r>
        <w:rPr>
          <w:rFonts w:hint="eastAsia" w:ascii="宋体" w:hAnsi="宋体"/>
          <w:color w:val="auto"/>
          <w:spacing w:val="-6"/>
          <w:sz w:val="24"/>
          <w:szCs w:val="24"/>
          <w:highlight w:val="none"/>
        </w:rPr>
        <w:t>开工准备、工作计划和质量控制方法是可接受的且已获得批准，则经监理人书面同意，</w:t>
      </w:r>
      <w:r>
        <w:rPr>
          <w:rFonts w:hint="eastAsia" w:ascii="宋体" w:hAnsi="宋体"/>
          <w:color w:val="auto"/>
          <w:spacing w:val="-1"/>
          <w:sz w:val="24"/>
          <w:szCs w:val="24"/>
          <w:highlight w:val="none"/>
        </w:rPr>
        <w:t>分部工程才能开工。</w:t>
      </w:r>
    </w:p>
    <w:p w14:paraId="67CD0D50">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11.3发包人的工期延误</w:t>
      </w:r>
    </w:p>
    <w:p w14:paraId="2887231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194E428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即使由于上述原因造成工期延误，如果受影响的工程并非处在工程施工进度网络计划的关键线路上，则承包人无权要求延长总工期。</w:t>
      </w:r>
    </w:p>
    <w:p w14:paraId="6395225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11.4异常恶劣的气候条件</w:t>
      </w:r>
    </w:p>
    <w:p w14:paraId="0BF37A5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572E775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异常气候条件是指项目所在地30</w:t>
      </w:r>
      <w:r>
        <w:rPr>
          <w:rFonts w:hint="eastAsia" w:ascii="宋体" w:hAnsi="宋体"/>
          <w:color w:val="auto"/>
          <w:spacing w:val="-15"/>
          <w:sz w:val="24"/>
          <w:szCs w:val="24"/>
          <w:highlight w:val="none"/>
        </w:rPr>
        <w:t>年一遇的罕见气候现象（包括温度、降水、降雪、</w:t>
      </w:r>
      <w:r>
        <w:rPr>
          <w:rFonts w:hint="eastAsia" w:ascii="宋体" w:hAnsi="宋体"/>
          <w:color w:val="auto"/>
          <w:spacing w:val="-1"/>
          <w:sz w:val="24"/>
          <w:szCs w:val="24"/>
          <w:highlight w:val="none"/>
        </w:rPr>
        <w:t>风等）。异常恶劣的气候条件在项目专用合同条款中作具体规定。</w:t>
      </w:r>
    </w:p>
    <w:p w14:paraId="3070C92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11.5承包人的工期延误</w:t>
      </w:r>
    </w:p>
    <w:p w14:paraId="4766AEE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本款细化为：</w:t>
      </w:r>
    </w:p>
    <w:p w14:paraId="36C6B57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）承包人应严格执行监理人批准的合同进度计划，对工作量计划和形象进度计</w:t>
      </w:r>
      <w:r>
        <w:rPr>
          <w:rFonts w:hint="eastAsia" w:ascii="宋体" w:hAnsi="宋体"/>
          <w:color w:val="auto"/>
          <w:spacing w:val="-6"/>
          <w:sz w:val="24"/>
          <w:szCs w:val="24"/>
          <w:highlight w:val="none"/>
        </w:rPr>
        <w:t>划分别控制。除</w:t>
      </w:r>
      <w:r>
        <w:rPr>
          <w:rFonts w:hint="eastAsia" w:ascii="宋体" w:hAnsi="宋体"/>
          <w:color w:val="auto"/>
          <w:spacing w:val="-1"/>
          <w:sz w:val="24"/>
          <w:szCs w:val="24"/>
          <w:highlight w:val="none"/>
        </w:rPr>
        <w:t>11.3</w:t>
      </w:r>
      <w:r>
        <w:rPr>
          <w:rFonts w:hint="eastAsia" w:ascii="宋体" w:hAnsi="宋体"/>
          <w:color w:val="auto"/>
          <w:spacing w:val="-2"/>
          <w:sz w:val="24"/>
          <w:szCs w:val="24"/>
          <w:highlight w:val="none"/>
        </w:rPr>
        <w:t>款规定外，承包人的实际工程进度曲线应在合同进度管理曲线规</w:t>
      </w:r>
      <w:r>
        <w:rPr>
          <w:rFonts w:hint="eastAsia" w:ascii="宋体" w:hAnsi="宋体"/>
          <w:color w:val="auto"/>
          <w:spacing w:val="-1"/>
          <w:sz w:val="24"/>
          <w:szCs w:val="24"/>
          <w:highlight w:val="none"/>
        </w:rPr>
        <w:t>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0569DC0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7"/>
          <w:sz w:val="24"/>
          <w:szCs w:val="24"/>
          <w:highlight w:val="none"/>
        </w:rPr>
        <w:t>）如果承包人在接到监理人通知后的</w:t>
      </w:r>
      <w:r>
        <w:rPr>
          <w:rFonts w:hint="eastAsia" w:ascii="宋体" w:hAnsi="宋体"/>
          <w:color w:val="auto"/>
          <w:spacing w:val="-1"/>
          <w:sz w:val="24"/>
          <w:szCs w:val="24"/>
          <w:highlight w:val="none"/>
        </w:rPr>
        <w:t>14</w:t>
      </w:r>
      <w:r>
        <w:rPr>
          <w:rFonts w:hint="eastAsia" w:ascii="宋体" w:hAnsi="宋体"/>
          <w:color w:val="auto"/>
          <w:spacing w:val="-6"/>
          <w:sz w:val="24"/>
          <w:szCs w:val="24"/>
          <w:highlight w:val="none"/>
        </w:rPr>
        <w:t>天内，未能采取加快工程进度的措施，</w:t>
      </w:r>
      <w:r>
        <w:rPr>
          <w:rFonts w:hint="eastAsia" w:ascii="宋体" w:hAnsi="宋体"/>
          <w:color w:val="auto"/>
          <w:sz w:val="24"/>
          <w:szCs w:val="24"/>
          <w:highlight w:val="none"/>
        </w:rPr>
        <w:t>致使实际工程进度进一步滞后，或承包人虽采取了一些措施，仍无法按预计工期交工</w:t>
      </w:r>
      <w:r>
        <w:rPr>
          <w:rFonts w:hint="eastAsia" w:ascii="宋体" w:hAnsi="宋体"/>
          <w:color w:val="auto"/>
          <w:spacing w:val="-2"/>
          <w:sz w:val="24"/>
          <w:szCs w:val="24"/>
          <w:highlight w:val="none"/>
        </w:rPr>
        <w:t>时，监理人应立即通知发包人。发包人在向承包人发出书面警告通知</w:t>
      </w:r>
      <w:r>
        <w:rPr>
          <w:rFonts w:hint="eastAsia" w:ascii="宋体" w:hAnsi="宋体"/>
          <w:color w:val="auto"/>
          <w:spacing w:val="-1"/>
          <w:sz w:val="24"/>
          <w:szCs w:val="24"/>
          <w:highlight w:val="none"/>
        </w:rPr>
        <w:t>14</w:t>
      </w:r>
      <w:r>
        <w:rPr>
          <w:rFonts w:hint="eastAsia" w:ascii="宋体" w:hAnsi="宋体"/>
          <w:color w:val="auto"/>
          <w:spacing w:val="-4"/>
          <w:sz w:val="24"/>
          <w:szCs w:val="24"/>
          <w:highlight w:val="none"/>
        </w:rPr>
        <w:t>天后，发包人</w:t>
      </w:r>
      <w:r>
        <w:rPr>
          <w:rFonts w:hint="eastAsia" w:ascii="宋体" w:hAnsi="宋体"/>
          <w:color w:val="auto"/>
          <w:spacing w:val="-1"/>
          <w:sz w:val="24"/>
          <w:szCs w:val="24"/>
          <w:highlight w:val="none"/>
        </w:rPr>
        <w:t>可按第22.1</w:t>
      </w:r>
      <w:r>
        <w:rPr>
          <w:rFonts w:hint="eastAsia" w:ascii="宋体" w:hAnsi="宋体"/>
          <w:color w:val="auto"/>
          <w:spacing w:val="-3"/>
          <w:sz w:val="24"/>
          <w:szCs w:val="24"/>
          <w:highlight w:val="none"/>
        </w:rPr>
        <w:t>款终止对承包人的雇用，也可将本合同工程中的一部分工作交由其他承包</w:t>
      </w:r>
      <w:r>
        <w:rPr>
          <w:rFonts w:hint="eastAsia" w:ascii="宋体" w:hAnsi="宋体"/>
          <w:color w:val="auto"/>
          <w:spacing w:val="-1"/>
          <w:sz w:val="24"/>
          <w:szCs w:val="24"/>
          <w:highlight w:val="none"/>
        </w:rPr>
        <w:t>人或其他分包人完成。在不解除本合同规定的承包人责任和义务的同时，承包人应承担因此所增加的一切费用。</w:t>
      </w:r>
    </w:p>
    <w:p w14:paraId="1223188B">
      <w:pPr>
        <w:spacing w:line="520" w:lineRule="exact"/>
        <w:ind w:firstLine="476" w:firstLineChars="200"/>
        <w:rPr>
          <w:rFonts w:ascii="宋体" w:hAnsi="宋体"/>
          <w:color w:val="auto"/>
          <w:sz w:val="24"/>
          <w:szCs w:val="24"/>
          <w:highlight w:val="none"/>
        </w:rPr>
      </w:pPr>
      <w:r>
        <w:rPr>
          <w:rFonts w:hint="eastAsia" w:ascii="宋体" w:hAnsi="宋体"/>
          <w:color w:val="auto"/>
          <w:spacing w:val="-1"/>
          <w:position w:val="2"/>
          <w:sz w:val="24"/>
          <w:szCs w:val="24"/>
          <w:highlight w:val="none"/>
        </w:rPr>
        <w:t>（</w:t>
      </w:r>
      <w:r>
        <w:rPr>
          <w:rFonts w:hint="eastAsia" w:ascii="宋体" w:hAnsi="宋体"/>
          <w:color w:val="auto"/>
          <w:sz w:val="24"/>
          <w:szCs w:val="24"/>
          <w:highlight w:val="none"/>
        </w:rPr>
        <w:t>3</w:t>
      </w:r>
      <w:r>
        <w:rPr>
          <w:rFonts w:hint="eastAsia" w:ascii="宋体" w:hAnsi="宋体"/>
          <w:color w:val="auto"/>
          <w:spacing w:val="-1"/>
          <w:position w:val="2"/>
          <w:sz w:val="24"/>
          <w:szCs w:val="24"/>
          <w:highlight w:val="none"/>
        </w:rPr>
        <w:t>）由于承包人原因造成工期延误，承包人应支付逾期交工违约金。逾期交工</w:t>
      </w:r>
      <w:r>
        <w:rPr>
          <w:rFonts w:hint="eastAsia" w:ascii="宋体" w:hAnsi="宋体"/>
          <w:color w:val="auto"/>
          <w:spacing w:val="-1"/>
          <w:sz w:val="24"/>
          <w:szCs w:val="24"/>
          <w:highlight w:val="none"/>
        </w:rPr>
        <w:t>违约金的计算方法在项目专用合同条款数据表中约定，时间自预定的交工日期起到交工验收证书中写明的实际交工日期止(扣除己批准的延长工期)</w:t>
      </w:r>
      <w:r>
        <w:rPr>
          <w:rFonts w:hint="eastAsia" w:ascii="宋体" w:hAnsi="宋体"/>
          <w:color w:val="auto"/>
          <w:spacing w:val="-8"/>
          <w:sz w:val="24"/>
          <w:szCs w:val="24"/>
          <w:highlight w:val="none"/>
        </w:rPr>
        <w:t>，按天计算。逾期交工</w:t>
      </w:r>
      <w:r>
        <w:rPr>
          <w:rFonts w:hint="eastAsia" w:ascii="宋体" w:hAnsi="宋体"/>
          <w:color w:val="auto"/>
          <w:spacing w:val="-1"/>
          <w:sz w:val="24"/>
          <w:szCs w:val="24"/>
          <w:highlight w:val="none"/>
        </w:rPr>
        <w:t>违约金累计金额最高不超过项目专用合同条款数据表中写明的限额。发包人可以从应付或到期应付给承包人的任何款项中或采用其他方法扣除此违约金。</w:t>
      </w:r>
    </w:p>
    <w:p w14:paraId="3E6A1CAF">
      <w:pPr>
        <w:spacing w:line="520" w:lineRule="exact"/>
        <w:ind w:firstLine="476" w:firstLineChars="200"/>
        <w:rPr>
          <w:rFonts w:ascii="宋体" w:hAnsi="宋体"/>
          <w:color w:val="auto"/>
          <w:sz w:val="24"/>
          <w:szCs w:val="24"/>
          <w:highlight w:val="none"/>
        </w:rPr>
      </w:pPr>
      <w:bookmarkStart w:id="303" w:name="73"/>
      <w:bookmarkEnd w:id="303"/>
      <w:r>
        <w:rPr>
          <w:rFonts w:hint="eastAsia" w:ascii="宋体" w:hAnsi="宋体"/>
          <w:color w:val="auto"/>
          <w:spacing w:val="-1"/>
          <w:sz w:val="24"/>
          <w:szCs w:val="24"/>
          <w:highlight w:val="none"/>
        </w:rPr>
        <w:t>（4）承包人支付逾期竣工建约金，不免除承包人完成工程及修补缺陷的义务。</w:t>
      </w:r>
    </w:p>
    <w:p w14:paraId="3FC1502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w:t>
      </w:r>
      <w:r>
        <w:rPr>
          <w:rFonts w:hint="eastAsia" w:ascii="宋体" w:hAnsi="宋体"/>
          <w:color w:val="auto"/>
          <w:spacing w:val="-3"/>
          <w:sz w:val="24"/>
          <w:szCs w:val="24"/>
          <w:highlight w:val="none"/>
        </w:rPr>
        <w:t>）如果在合同工作完工之前，已对合同工程内按时完工的单位工程签发了工程</w:t>
      </w:r>
      <w:r>
        <w:rPr>
          <w:rFonts w:hint="eastAsia" w:ascii="宋体" w:hAnsi="宋体"/>
          <w:color w:val="auto"/>
          <w:spacing w:val="-1"/>
          <w:sz w:val="24"/>
          <w:szCs w:val="24"/>
          <w:highlight w:val="none"/>
        </w:rPr>
        <w:t>接收证书，则合同工程的逾期竣工违约金，应按已签发工程接收证书的单位工程的价值占合同工程价值的比例予以减少，但本规定不应影响逾期竣工违约金的规定限额。</w:t>
      </w:r>
    </w:p>
    <w:p w14:paraId="31A1F63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w:t>
      </w:r>
      <w:r>
        <w:rPr>
          <w:rFonts w:hint="eastAsia" w:ascii="宋体" w:hAnsi="宋体"/>
          <w:color w:val="auto"/>
          <w:spacing w:val="-1"/>
          <w:sz w:val="24"/>
          <w:szCs w:val="24"/>
          <w:highlight w:val="none"/>
        </w:rPr>
        <w:t>．6</w:t>
      </w:r>
      <w:r>
        <w:rPr>
          <w:rFonts w:hint="eastAsia" w:ascii="宋体" w:hAnsi="宋体"/>
          <w:color w:val="auto"/>
          <w:sz w:val="24"/>
          <w:szCs w:val="24"/>
          <w:highlight w:val="none"/>
        </w:rPr>
        <w:t>工期提前</w:t>
      </w:r>
    </w:p>
    <w:p w14:paraId="0CA3FCE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0D6C076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发包人不得随意要求承包人提前交工，承包人也不得随意提出提前交工的建议。</w:t>
      </w:r>
    </w:p>
    <w:p w14:paraId="32741B0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如遇特殊情况，确需将工期提前的，发包人和承包人必须采取有效措施，确保工程质量。</w:t>
      </w:r>
    </w:p>
    <w:p w14:paraId="5399181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如果承包人提前交工，发包人支付奖金的计算方法在项目专用合同条款数据表中</w:t>
      </w:r>
      <w:r>
        <w:rPr>
          <w:rFonts w:hint="eastAsia" w:ascii="宋体" w:hAnsi="宋体"/>
          <w:color w:val="auto"/>
          <w:spacing w:val="-6"/>
          <w:sz w:val="24"/>
          <w:szCs w:val="24"/>
          <w:highlight w:val="none"/>
        </w:rPr>
        <w:t>约定，时间自交工验收证书中写明的实际交工日期起至预定的交工日期止，按天计算。</w:t>
      </w:r>
      <w:r>
        <w:rPr>
          <w:rFonts w:hint="eastAsia" w:ascii="宋体" w:hAnsi="宋体"/>
          <w:color w:val="auto"/>
          <w:spacing w:val="-1"/>
          <w:sz w:val="24"/>
          <w:szCs w:val="24"/>
          <w:highlight w:val="none"/>
        </w:rPr>
        <w:t>但奖金最高限额不超过项目专用合同条款数据表中写明的限额。</w:t>
      </w:r>
    </w:p>
    <w:p w14:paraId="4557400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补充11.7款：</w:t>
      </w:r>
    </w:p>
    <w:p w14:paraId="317E778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w:t>
      </w:r>
      <w:r>
        <w:rPr>
          <w:rFonts w:hint="eastAsia" w:ascii="宋体" w:hAnsi="宋体"/>
          <w:color w:val="auto"/>
          <w:spacing w:val="-1"/>
          <w:sz w:val="24"/>
          <w:szCs w:val="24"/>
          <w:highlight w:val="none"/>
        </w:rPr>
        <w:t>．7</w:t>
      </w:r>
      <w:r>
        <w:rPr>
          <w:rFonts w:hint="eastAsia" w:ascii="宋体" w:hAnsi="宋体"/>
          <w:color w:val="auto"/>
          <w:sz w:val="24"/>
          <w:szCs w:val="24"/>
          <w:highlight w:val="none"/>
        </w:rPr>
        <w:t>工作时间的限制</w:t>
      </w:r>
    </w:p>
    <w:p w14:paraId="32147B7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承包人在夜间或国家规定的节假日进行永久工程的施工，应向监理人报告，以便</w:t>
      </w:r>
      <w:r>
        <w:rPr>
          <w:rFonts w:hint="eastAsia" w:ascii="宋体" w:hAnsi="宋体"/>
          <w:color w:val="auto"/>
          <w:sz w:val="24"/>
          <w:szCs w:val="24"/>
          <w:highlight w:val="none"/>
        </w:rPr>
        <w:t>监理人履行监理人履行监理职责和义务。</w:t>
      </w:r>
    </w:p>
    <w:p w14:paraId="7962825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但是，为了抢救生命或保护财产，或为了工程的安全、质量而不可避免地短暂作业，则不必事先向监理人报告。但承包人应在事后立即向监理人报告。</w:t>
      </w:r>
    </w:p>
    <w:p w14:paraId="0E06CDB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本款规定不适用于习惯上或施工本身要求实行连续生产的作业。</w:t>
      </w:r>
    </w:p>
    <w:p w14:paraId="2B3BDBF7">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12．暂停施工</w:t>
      </w:r>
    </w:p>
    <w:p w14:paraId="08CBBD38">
      <w:pPr>
        <w:spacing w:line="520" w:lineRule="exact"/>
        <w:jc w:val="center"/>
        <w:rPr>
          <w:rFonts w:ascii="宋体" w:hAnsi="宋体"/>
          <w:color w:val="auto"/>
          <w:sz w:val="24"/>
          <w:szCs w:val="24"/>
          <w:highlight w:val="none"/>
        </w:rPr>
      </w:pPr>
      <w:r>
        <w:rPr>
          <w:rFonts w:hint="eastAsia" w:ascii="宋体" w:hAnsi="宋体"/>
          <w:b/>
          <w:bCs/>
          <w:color w:val="auto"/>
          <w:sz w:val="24"/>
          <w:szCs w:val="24"/>
          <w:highlight w:val="none"/>
        </w:rPr>
        <w:t>12</w:t>
      </w:r>
      <w:r>
        <w:rPr>
          <w:rFonts w:hint="eastAsia" w:ascii="宋体" w:hAnsi="宋体"/>
          <w:b/>
          <w:bCs/>
          <w:color w:val="auto"/>
          <w:spacing w:val="-1"/>
          <w:sz w:val="24"/>
          <w:szCs w:val="24"/>
          <w:highlight w:val="none"/>
        </w:rPr>
        <w:t>．1</w:t>
      </w:r>
      <w:r>
        <w:rPr>
          <w:rFonts w:hint="eastAsia" w:ascii="宋体" w:hAnsi="宋体"/>
          <w:b/>
          <w:bCs/>
          <w:color w:val="auto"/>
          <w:sz w:val="24"/>
          <w:szCs w:val="24"/>
          <w:highlight w:val="none"/>
        </w:rPr>
        <w:t>承包人暂停施工的责任</w:t>
      </w:r>
    </w:p>
    <w:p w14:paraId="61A4F7E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本款第（5）项细化为：</w:t>
      </w:r>
    </w:p>
    <w:p w14:paraId="00B9E73B">
      <w:pPr>
        <w:spacing w:line="520" w:lineRule="exact"/>
        <w:ind w:firstLine="428" w:firstLineChars="200"/>
        <w:rPr>
          <w:rFonts w:ascii="宋体" w:hAnsi="宋体"/>
          <w:color w:val="auto"/>
          <w:spacing w:val="-7"/>
          <w:sz w:val="24"/>
          <w:szCs w:val="24"/>
          <w:highlight w:val="none"/>
        </w:rPr>
      </w:pPr>
      <w:r>
        <w:rPr>
          <w:rFonts w:hint="eastAsia" w:ascii="宋体" w:hAnsi="宋体"/>
          <w:color w:val="auto"/>
          <w:spacing w:val="-13"/>
          <w:sz w:val="24"/>
          <w:szCs w:val="24"/>
          <w:highlight w:val="none"/>
        </w:rPr>
        <w:t>现场气候条件导致的必要停工（第</w:t>
      </w:r>
      <w:r>
        <w:rPr>
          <w:rFonts w:hint="eastAsia" w:ascii="宋体" w:hAnsi="宋体"/>
          <w:color w:val="auto"/>
          <w:spacing w:val="-1"/>
          <w:sz w:val="24"/>
          <w:szCs w:val="24"/>
          <w:highlight w:val="none"/>
        </w:rPr>
        <w:t>11.4</w:t>
      </w:r>
      <w:r>
        <w:rPr>
          <w:rFonts w:hint="eastAsia" w:ascii="宋体" w:hAnsi="宋体"/>
          <w:color w:val="auto"/>
          <w:spacing w:val="-7"/>
          <w:sz w:val="24"/>
          <w:szCs w:val="24"/>
          <w:highlight w:val="none"/>
        </w:rPr>
        <w:t>款规定的异常恶劣的气候条件除外）；</w:t>
      </w:r>
    </w:p>
    <w:p w14:paraId="16C3B49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（6）项目专用合同条款约定的由承包人承担的其他暂停施工。</w:t>
      </w:r>
    </w:p>
    <w:p w14:paraId="56950EB5">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13.工程质量</w:t>
      </w:r>
    </w:p>
    <w:p w14:paraId="46F31342">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13</w:t>
      </w:r>
      <w:r>
        <w:rPr>
          <w:rFonts w:hint="eastAsia" w:ascii="宋体" w:hAnsi="宋体"/>
          <w:b/>
          <w:bCs/>
          <w:color w:val="auto"/>
          <w:spacing w:val="-1"/>
          <w:sz w:val="24"/>
          <w:szCs w:val="24"/>
          <w:highlight w:val="none"/>
        </w:rPr>
        <w:t>．1</w:t>
      </w:r>
      <w:r>
        <w:rPr>
          <w:rFonts w:hint="eastAsia" w:ascii="宋体" w:hAnsi="宋体"/>
          <w:b/>
          <w:bCs/>
          <w:color w:val="auto"/>
          <w:sz w:val="24"/>
          <w:szCs w:val="24"/>
          <w:highlight w:val="none"/>
        </w:rPr>
        <w:t>工程质量要求</w:t>
      </w:r>
    </w:p>
    <w:p w14:paraId="2ECF3A2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第13.1.1项约定为：</w:t>
      </w:r>
    </w:p>
    <w:p w14:paraId="6E877370">
      <w:pPr>
        <w:spacing w:line="520" w:lineRule="exact"/>
        <w:rPr>
          <w:color w:val="auto"/>
          <w:szCs w:val="21"/>
          <w:highlight w:val="none"/>
        </w:rPr>
      </w:pPr>
      <w:r>
        <w:rPr>
          <w:rFonts w:hint="eastAsia" w:ascii="宋体" w:hAnsi="宋体"/>
          <w:color w:val="auto"/>
          <w:spacing w:val="-1"/>
          <w:sz w:val="24"/>
          <w:szCs w:val="24"/>
          <w:highlight w:val="none"/>
        </w:rPr>
        <w:tab/>
      </w:r>
    </w:p>
    <w:p w14:paraId="48A6065A">
      <w:pPr>
        <w:spacing w:line="520" w:lineRule="exact"/>
        <w:rPr>
          <w:rFonts w:ascii="宋体" w:hAnsi="宋体"/>
          <w:color w:val="auto"/>
          <w:sz w:val="24"/>
          <w:szCs w:val="24"/>
          <w:highlight w:val="none"/>
        </w:rPr>
      </w:pPr>
      <w:r>
        <w:rPr>
          <w:rFonts w:hint="eastAsia" w:ascii="宋体" w:hAnsi="宋体"/>
          <w:color w:val="auto"/>
          <w:highlight w:val="none"/>
        </w:rPr>
        <w:tab/>
      </w:r>
      <w:bookmarkStart w:id="304" w:name="74"/>
      <w:bookmarkEnd w:id="304"/>
      <w:r>
        <w:rPr>
          <w:rFonts w:hint="eastAsia" w:ascii="宋体" w:hAnsi="宋体"/>
          <w:color w:val="auto"/>
          <w:spacing w:val="-1"/>
          <w:sz w:val="24"/>
          <w:szCs w:val="24"/>
          <w:highlight w:val="none"/>
        </w:rPr>
        <w:t>工程质量验收按技术规范及《公路工程质量检验评定标准》执行。</w:t>
      </w:r>
    </w:p>
    <w:p w14:paraId="06E5D84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本款补充第13.1.4和第13.1.5项：</w:t>
      </w:r>
    </w:p>
    <w:p w14:paraId="2A94F0C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13.1.4发包人和承包人应严格遵守《关于严格落实公路工程质量责任制的若干意</w:t>
      </w:r>
      <w:r>
        <w:rPr>
          <w:rFonts w:hint="eastAsia" w:ascii="宋体" w:hAnsi="宋体"/>
          <w:color w:val="auto"/>
          <w:spacing w:val="-6"/>
          <w:sz w:val="24"/>
          <w:szCs w:val="24"/>
          <w:highlight w:val="none"/>
        </w:rPr>
        <w:t>见》的相关规定，认真执行工程质量责任登记制度并按要求填写工程质量责任登记表。</w:t>
      </w:r>
    </w:p>
    <w:p w14:paraId="47B213F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13.1.5</w:t>
      </w:r>
      <w:r>
        <w:rPr>
          <w:rFonts w:hint="eastAsia" w:ascii="宋体" w:hAnsi="宋体"/>
          <w:color w:val="auto"/>
          <w:spacing w:val="-8"/>
          <w:sz w:val="24"/>
          <w:szCs w:val="24"/>
          <w:highlight w:val="none"/>
        </w:rPr>
        <w:t>本项目严格执行质量责任追究制度。质量事故处理实行“四不放过”原则：</w:t>
      </w:r>
    </w:p>
    <w:p w14:paraId="35ABD4E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事故原因调查不清不放过；事故责任者没有受到教育不放过；没有防范措施不放过；</w:t>
      </w:r>
    </w:p>
    <w:p w14:paraId="7101DE1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相关责任人没受到处理不放过。</w:t>
      </w:r>
    </w:p>
    <w:p w14:paraId="44A1293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13</w:t>
      </w:r>
      <w:r>
        <w:rPr>
          <w:rFonts w:hint="eastAsia" w:ascii="宋体" w:hAnsi="宋体"/>
          <w:color w:val="auto"/>
          <w:spacing w:val="-1"/>
          <w:sz w:val="24"/>
          <w:szCs w:val="24"/>
          <w:highlight w:val="none"/>
        </w:rPr>
        <w:t>．2</w:t>
      </w:r>
      <w:r>
        <w:rPr>
          <w:rFonts w:hint="eastAsia" w:ascii="宋体" w:hAnsi="宋体"/>
          <w:color w:val="auto"/>
          <w:sz w:val="24"/>
          <w:szCs w:val="24"/>
          <w:highlight w:val="none"/>
        </w:rPr>
        <w:t>承包人的质量管理</w:t>
      </w:r>
    </w:p>
    <w:p w14:paraId="3F49985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第13.2.1项补充：</w:t>
      </w:r>
    </w:p>
    <w:p w14:paraId="2B98849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承包人提交工程质量保证措施文件的期限：签订合同协议书后28天之内。</w:t>
      </w:r>
    </w:p>
    <w:p w14:paraId="40D13E5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本款补充第13.2.3项～第13.2.6项：</w:t>
      </w:r>
    </w:p>
    <w:p w14:paraId="1E5C6B3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13.2.3公路工程施行质量责任终身制。承包人应当书面明确相应的项目负责人和质量负责人。承包人的相关人员按照国家法律法规和有关规定在工程合理使用年限内承担相应的质量责任。</w:t>
      </w:r>
    </w:p>
    <w:p w14:paraId="0F74923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13.2.4承包人应当建立健全工程质量保证体系，制定质量管理制度，强化工程质</w:t>
      </w:r>
      <w:r>
        <w:rPr>
          <w:rFonts w:hint="eastAsia" w:ascii="宋体" w:hAnsi="宋体"/>
          <w:color w:val="auto"/>
          <w:spacing w:val="-2"/>
          <w:sz w:val="24"/>
          <w:szCs w:val="24"/>
          <w:highlight w:val="none"/>
        </w:rPr>
        <w:t>量管理措施，完善工程质量目标保障机制</w:t>
      </w:r>
      <w:r>
        <w:rPr>
          <w:rFonts w:hint="eastAsia" w:ascii="宋体" w:hAnsi="宋体"/>
          <w:color w:val="auto"/>
          <w:spacing w:val="-1"/>
          <w:sz w:val="24"/>
          <w:szCs w:val="24"/>
          <w:highlight w:val="none"/>
        </w:rPr>
        <w:t>;</w:t>
      </w:r>
      <w:r>
        <w:rPr>
          <w:rFonts w:hint="eastAsia" w:ascii="宋体" w:hAnsi="宋体"/>
          <w:color w:val="auto"/>
          <w:spacing w:val="-3"/>
          <w:sz w:val="24"/>
          <w:szCs w:val="24"/>
          <w:highlight w:val="none"/>
        </w:rPr>
        <w:t>严格遵守国家有关法律、法规和规章，严格</w:t>
      </w:r>
      <w:r>
        <w:rPr>
          <w:rFonts w:hint="eastAsia" w:ascii="宋体" w:hAnsi="宋体"/>
          <w:color w:val="auto"/>
          <w:sz w:val="24"/>
          <w:szCs w:val="24"/>
          <w:highlight w:val="none"/>
        </w:rPr>
        <w:t>执行公路工程强制性技术标准、各类技术规范及规程，全面履行工程合同义务</w:t>
      </w:r>
      <w:r>
        <w:rPr>
          <w:rFonts w:hint="eastAsia" w:ascii="宋体" w:hAnsi="宋体"/>
          <w:color w:val="auto"/>
          <w:spacing w:val="-1"/>
          <w:sz w:val="24"/>
          <w:szCs w:val="24"/>
          <w:highlight w:val="none"/>
        </w:rPr>
        <w:t>。</w:t>
      </w:r>
    </w:p>
    <w:p w14:paraId="53CE72F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13.2.5承包人对工程施工质量负责，应当按合同约定设立现场质量管理机构、配备工程技术人员和质量管理人员，落实工程施工质量责任制。</w:t>
      </w:r>
    </w:p>
    <w:p w14:paraId="0B9962A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13.2.6承包人应当严格按照工程设计图纸、施工技术标准和合同约定施工，对原材料、混合料、构配件、工程实体、机电设备等进行检验:按规定施行班组自检、</w:t>
      </w:r>
      <w:r>
        <w:rPr>
          <w:rFonts w:hint="eastAsia" w:ascii="宋体" w:hAnsi="宋体"/>
          <w:color w:val="auto"/>
          <w:spacing w:val="-2"/>
          <w:sz w:val="24"/>
          <w:szCs w:val="24"/>
          <w:highlight w:val="none"/>
        </w:rPr>
        <w:t>工序交接检、专职质检员检验的质量控制程序</w:t>
      </w:r>
      <w:r>
        <w:rPr>
          <w:rFonts w:hint="eastAsia" w:ascii="宋体" w:hAnsi="宋体"/>
          <w:color w:val="auto"/>
          <w:spacing w:val="-1"/>
          <w:sz w:val="24"/>
          <w:szCs w:val="24"/>
          <w:highlight w:val="none"/>
        </w:rPr>
        <w:t>:</w:t>
      </w:r>
      <w:r>
        <w:rPr>
          <w:rFonts w:hint="eastAsia" w:ascii="宋体" w:hAnsi="宋体"/>
          <w:color w:val="auto"/>
          <w:spacing w:val="-3"/>
          <w:sz w:val="24"/>
          <w:szCs w:val="24"/>
          <w:highlight w:val="none"/>
        </w:rPr>
        <w:t>对分项工程、分部工程和单位工程进行</w:t>
      </w:r>
      <w:r>
        <w:rPr>
          <w:rFonts w:hint="eastAsia" w:ascii="宋体" w:hAnsi="宋体"/>
          <w:color w:val="auto"/>
          <w:spacing w:val="-1"/>
          <w:sz w:val="24"/>
          <w:szCs w:val="24"/>
          <w:highlight w:val="none"/>
        </w:rPr>
        <w:t>质量自评。检验或者自评不合格的，不得进入下道工序或者投入使用。</w:t>
      </w:r>
    </w:p>
    <w:p w14:paraId="3AAA2AD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13.2.7承包人应当加强施工过程质量控制，并形成完整、可追溯的施工质量管理资料</w:t>
      </w:r>
      <w:r>
        <w:rPr>
          <w:rFonts w:hint="eastAsia" w:ascii="宋体" w:hAnsi="宋体"/>
          <w:color w:val="auto"/>
          <w:spacing w:val="-3"/>
          <w:sz w:val="24"/>
          <w:szCs w:val="24"/>
          <w:highlight w:val="none"/>
        </w:rPr>
        <w:t>，主体工程的隐蔽部位施工还应当保留影像资料。对施工中出现的质量问题或</w:t>
      </w:r>
      <w:r>
        <w:rPr>
          <w:rFonts w:hint="eastAsia" w:ascii="宋体" w:hAnsi="宋体"/>
          <w:color w:val="auto"/>
          <w:spacing w:val="-5"/>
          <w:sz w:val="24"/>
          <w:szCs w:val="24"/>
          <w:highlight w:val="none"/>
        </w:rPr>
        <w:t>者验收不合格的工程，应当负责返工处理</w:t>
      </w:r>
      <w:r>
        <w:rPr>
          <w:rFonts w:hint="eastAsia" w:ascii="宋体" w:hAnsi="宋体"/>
          <w:color w:val="auto"/>
          <w:spacing w:val="-1"/>
          <w:sz w:val="24"/>
          <w:szCs w:val="24"/>
          <w:highlight w:val="none"/>
        </w:rPr>
        <w:t>;对在保修范围和保修期限内发生质量问题的工程，应当履行保修义务。</w:t>
      </w:r>
    </w:p>
    <w:p w14:paraId="5C34202C">
      <w:pPr>
        <w:spacing w:line="520" w:lineRule="exact"/>
        <w:ind w:firstLine="476" w:firstLineChars="200"/>
        <w:rPr>
          <w:rFonts w:ascii="宋体" w:hAnsi="宋体"/>
          <w:color w:val="auto"/>
          <w:sz w:val="24"/>
          <w:szCs w:val="24"/>
          <w:highlight w:val="none"/>
        </w:rPr>
      </w:pPr>
      <w:bookmarkStart w:id="305" w:name="75"/>
      <w:bookmarkEnd w:id="305"/>
      <w:r>
        <w:rPr>
          <w:rFonts w:hint="eastAsia" w:ascii="宋体" w:hAnsi="宋体"/>
          <w:color w:val="auto"/>
          <w:spacing w:val="-1"/>
          <w:sz w:val="24"/>
          <w:szCs w:val="24"/>
          <w:highlight w:val="none"/>
        </w:rPr>
        <w:t>13.2.8承包人应当按照合同约定设立工地临时试验室，配齐检测和试验仪器、仪表</w:t>
      </w:r>
      <w:r>
        <w:rPr>
          <w:rFonts w:hint="eastAsia" w:ascii="宋体" w:hAnsi="宋体"/>
          <w:color w:val="auto"/>
          <w:spacing w:val="-3"/>
          <w:sz w:val="24"/>
          <w:szCs w:val="24"/>
          <w:highlight w:val="none"/>
        </w:rPr>
        <w:t>，时校正确保其精度</w:t>
      </w:r>
      <w:r>
        <w:rPr>
          <w:rFonts w:hint="eastAsia" w:ascii="宋体" w:hAnsi="宋体"/>
          <w:color w:val="auto"/>
          <w:spacing w:val="-1"/>
          <w:sz w:val="24"/>
          <w:szCs w:val="24"/>
          <w:highlight w:val="none"/>
        </w:rPr>
        <w:t>;严格按照工程技术标准</w:t>
      </w:r>
      <w:r>
        <w:rPr>
          <w:rFonts w:hint="eastAsia" w:ascii="宋体" w:hAnsi="宋体"/>
          <w:color w:val="auto"/>
          <w:spacing w:val="-3"/>
          <w:sz w:val="24"/>
          <w:szCs w:val="24"/>
          <w:highlight w:val="none"/>
        </w:rPr>
        <w:t>、检测规范和规程</w:t>
      </w:r>
      <w:r>
        <w:rPr>
          <w:rFonts w:hint="eastAsia" w:ascii="宋体" w:hAnsi="宋体"/>
          <w:color w:val="auto"/>
          <w:spacing w:val="-5"/>
          <w:sz w:val="24"/>
          <w:szCs w:val="24"/>
          <w:highlight w:val="none"/>
        </w:rPr>
        <w:t>，在核定的</w:t>
      </w:r>
      <w:r>
        <w:rPr>
          <w:rFonts w:hint="eastAsia" w:ascii="宋体" w:hAnsi="宋体"/>
          <w:color w:val="auto"/>
          <w:sz w:val="24"/>
          <w:szCs w:val="24"/>
          <w:highlight w:val="none"/>
        </w:rPr>
        <w:t>试验检测参数范围内开展试验检测活动，并确保规范规定的检验、抽检频率。承包人应当对其设立的工地临时试验室所出具的试验检测数据和报告的真实性、客观性、准</w:t>
      </w:r>
      <w:r>
        <w:rPr>
          <w:rFonts w:hint="eastAsia" w:ascii="宋体" w:hAnsi="宋体"/>
          <w:color w:val="auto"/>
          <w:spacing w:val="-1"/>
          <w:sz w:val="24"/>
          <w:szCs w:val="24"/>
          <w:highlight w:val="none"/>
        </w:rPr>
        <w:t>确性负责。</w:t>
      </w:r>
    </w:p>
    <w:p w14:paraId="78EF278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13.2.9承包人应当依法规范分包行为,并对承担的工程质量负总责，分包单位对分包合同范围内的工程质量负责。</w:t>
      </w:r>
    </w:p>
    <w:p w14:paraId="4E82118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13.2.10</w:t>
      </w:r>
      <w:r>
        <w:rPr>
          <w:rFonts w:hint="eastAsia" w:ascii="宋体" w:hAnsi="宋体"/>
          <w:color w:val="auto"/>
          <w:sz w:val="24"/>
          <w:szCs w:val="24"/>
          <w:highlight w:val="none"/>
        </w:rPr>
        <w:t>承包人驻工程现场机构应在现场驻地和重要的分部、分项工程施工现场</w:t>
      </w:r>
      <w:r>
        <w:rPr>
          <w:rFonts w:hint="eastAsia" w:ascii="宋体" w:hAnsi="宋体"/>
          <w:color w:val="auto"/>
          <w:spacing w:val="-1"/>
          <w:sz w:val="24"/>
          <w:szCs w:val="24"/>
          <w:highlight w:val="none"/>
        </w:rPr>
        <w:t>设置明显的工程质量责任登记表公示牌。</w:t>
      </w:r>
    </w:p>
    <w:p w14:paraId="26BD75CA">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13</w:t>
      </w:r>
      <w:r>
        <w:rPr>
          <w:rFonts w:hint="eastAsia" w:ascii="宋体" w:hAnsi="宋体"/>
          <w:color w:val="auto"/>
          <w:spacing w:val="-1"/>
          <w:sz w:val="24"/>
          <w:szCs w:val="24"/>
          <w:highlight w:val="none"/>
        </w:rPr>
        <w:t>．4</w:t>
      </w:r>
      <w:r>
        <w:rPr>
          <w:rFonts w:hint="eastAsia" w:ascii="宋体" w:hAnsi="宋体"/>
          <w:color w:val="auto"/>
          <w:sz w:val="24"/>
          <w:szCs w:val="24"/>
          <w:highlight w:val="none"/>
        </w:rPr>
        <w:t>监理人的质量检查</w:t>
      </w:r>
    </w:p>
    <w:p w14:paraId="2A3B256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3955D01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监理人及其委派的检验人员，应能进入工程现场，以及材料或工程设备的制造、加工或制配的车间和场所，包括不属于承包人的车间或场所进行检查，承包人应为此提供便利和协助。</w:t>
      </w:r>
    </w:p>
    <w:p w14:paraId="54D9C2D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监理人可以将材料或工程设备的检查委托给一家独立的有质量检验认证资格的检验单位。该独立检验单位的检验结果应视为监理人完成的。监理人应将这种委托的通知书不少于7天交给承包人。</w:t>
      </w:r>
    </w:p>
    <w:p w14:paraId="248C3A6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13</w:t>
      </w:r>
      <w:r>
        <w:rPr>
          <w:rFonts w:hint="eastAsia" w:ascii="宋体" w:hAnsi="宋体"/>
          <w:color w:val="auto"/>
          <w:spacing w:val="-1"/>
          <w:sz w:val="24"/>
          <w:szCs w:val="24"/>
          <w:highlight w:val="none"/>
        </w:rPr>
        <w:t>．5</w:t>
      </w:r>
      <w:r>
        <w:rPr>
          <w:rFonts w:hint="eastAsia" w:ascii="宋体" w:hAnsi="宋体"/>
          <w:color w:val="auto"/>
          <w:sz w:val="24"/>
          <w:szCs w:val="24"/>
          <w:highlight w:val="none"/>
        </w:rPr>
        <w:t>工程隐蔽部位覆盖前的检查</w:t>
      </w:r>
    </w:p>
    <w:p w14:paraId="3794666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第13.5.1项补充：</w:t>
      </w:r>
    </w:p>
    <w:p w14:paraId="7363AE4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当监理人有指示时，承包人应对重要隐蔽工程进行拍摄或照相并应保证监理人有充分的机会对将要覆盖或隐蔽的工程进行检查或量测，特别是在基础以上的任一部分工程修筑之前，对该基础进行检查。</w:t>
      </w:r>
    </w:p>
    <w:p w14:paraId="092841ED">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13</w:t>
      </w:r>
      <w:r>
        <w:rPr>
          <w:rFonts w:hint="eastAsia" w:ascii="宋体" w:hAnsi="宋体"/>
          <w:color w:val="auto"/>
          <w:spacing w:val="-1"/>
          <w:sz w:val="24"/>
          <w:szCs w:val="24"/>
          <w:highlight w:val="none"/>
        </w:rPr>
        <w:t>．6</w:t>
      </w:r>
      <w:r>
        <w:rPr>
          <w:rFonts w:hint="eastAsia" w:ascii="宋体" w:hAnsi="宋体"/>
          <w:color w:val="auto"/>
          <w:sz w:val="24"/>
          <w:szCs w:val="24"/>
          <w:highlight w:val="none"/>
        </w:rPr>
        <w:t>清除不合格工程</w:t>
      </w:r>
    </w:p>
    <w:p w14:paraId="132E06D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第13.6.1项细化为：</w:t>
      </w:r>
    </w:p>
    <w:p w14:paraId="62D8689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9"/>
          <w:sz w:val="24"/>
          <w:szCs w:val="24"/>
          <w:highlight w:val="none"/>
        </w:rPr>
        <w:t>）承包人使用不合格材料、工程设备，或采用不适当的施工工艺，或施工不当，</w:t>
      </w:r>
      <w:r>
        <w:rPr>
          <w:rFonts w:hint="eastAsia" w:ascii="宋体" w:hAnsi="宋体"/>
          <w:color w:val="auto"/>
          <w:spacing w:val="-1"/>
          <w:sz w:val="24"/>
          <w:szCs w:val="24"/>
          <w:highlight w:val="none"/>
        </w:rPr>
        <w:t>造成工程不合格的，监理人可以随时发出指示，要求承包人立即采取措施进行替换、补救或拆除重建，直至达到合同要求的质量标准，由此增加的费用和（或）工期延误由承包人承担。</w:t>
      </w:r>
    </w:p>
    <w:p w14:paraId="124B2C39">
      <w:pPr>
        <w:spacing w:line="520" w:lineRule="exact"/>
        <w:ind w:firstLine="476" w:firstLineChars="200"/>
        <w:rPr>
          <w:rFonts w:ascii="宋体" w:hAnsi="宋体"/>
          <w:color w:val="auto"/>
          <w:sz w:val="24"/>
          <w:szCs w:val="24"/>
          <w:highlight w:val="none"/>
        </w:rPr>
      </w:pPr>
      <w:bookmarkStart w:id="306" w:name="76"/>
      <w:bookmarkEnd w:id="306"/>
      <w:r>
        <w:rPr>
          <w:rFonts w:hint="eastAsia" w:ascii="宋体" w:hAnsi="宋体"/>
          <w:color w:val="auto"/>
          <w:spacing w:val="-1"/>
          <w:sz w:val="24"/>
          <w:szCs w:val="24"/>
          <w:highlight w:val="none"/>
        </w:rPr>
        <w:t>（2</w:t>
      </w:r>
      <w:r>
        <w:rPr>
          <w:rFonts w:hint="eastAsia" w:ascii="宋体" w:hAnsi="宋体"/>
          <w:color w:val="auto"/>
          <w:sz w:val="24"/>
          <w:szCs w:val="24"/>
          <w:highlight w:val="none"/>
        </w:rPr>
        <w:t>）如果承包人未在规定时间内执行监理人的指示，发包人有权雇用他人执行，</w:t>
      </w:r>
      <w:r>
        <w:rPr>
          <w:rFonts w:hint="eastAsia" w:ascii="宋体" w:hAnsi="宋体"/>
          <w:color w:val="auto"/>
          <w:spacing w:val="-1"/>
          <w:sz w:val="24"/>
          <w:szCs w:val="24"/>
          <w:highlight w:val="none"/>
        </w:rPr>
        <w:t>由此增加的费用和（或）工期延误由承包人承担。</w:t>
      </w:r>
    </w:p>
    <w:p w14:paraId="1485663B">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14.试验和检验</w:t>
      </w:r>
    </w:p>
    <w:p w14:paraId="4C8EDA10">
      <w:pPr>
        <w:spacing w:line="520" w:lineRule="exact"/>
        <w:jc w:val="center"/>
        <w:rPr>
          <w:rFonts w:ascii="宋体" w:hAnsi="宋体"/>
          <w:b/>
          <w:bCs/>
          <w:color w:val="auto"/>
          <w:sz w:val="24"/>
          <w:szCs w:val="24"/>
          <w:highlight w:val="none"/>
        </w:rPr>
      </w:pPr>
      <w:r>
        <w:rPr>
          <w:rFonts w:hint="eastAsia" w:ascii="宋体" w:hAnsi="宋体"/>
          <w:b/>
          <w:bCs/>
          <w:color w:val="auto"/>
          <w:spacing w:val="-1"/>
          <w:sz w:val="24"/>
          <w:szCs w:val="24"/>
          <w:highlight w:val="none"/>
        </w:rPr>
        <w:t>补充第14.4款：</w:t>
      </w:r>
    </w:p>
    <w:p w14:paraId="5C03ABB9">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14</w:t>
      </w:r>
      <w:r>
        <w:rPr>
          <w:rFonts w:hint="eastAsia" w:ascii="宋体" w:hAnsi="宋体"/>
          <w:color w:val="auto"/>
          <w:spacing w:val="-1"/>
          <w:sz w:val="24"/>
          <w:szCs w:val="24"/>
          <w:highlight w:val="none"/>
        </w:rPr>
        <w:t>．4</w:t>
      </w:r>
      <w:r>
        <w:rPr>
          <w:rFonts w:hint="eastAsia" w:ascii="宋体" w:hAnsi="宋体"/>
          <w:color w:val="auto"/>
          <w:sz w:val="24"/>
          <w:szCs w:val="24"/>
          <w:highlight w:val="none"/>
        </w:rPr>
        <w:t>试验和检验费用</w:t>
      </w:r>
    </w:p>
    <w:p w14:paraId="64E0CB6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）承包人应负责提供合同和技术规范规定的试验和检验所需的全部样品，并承</w:t>
      </w:r>
      <w:r>
        <w:rPr>
          <w:rFonts w:hint="eastAsia" w:ascii="宋体" w:hAnsi="宋体"/>
          <w:color w:val="auto"/>
          <w:spacing w:val="-1"/>
          <w:sz w:val="24"/>
          <w:szCs w:val="24"/>
          <w:highlight w:val="none"/>
        </w:rPr>
        <w:t>担其费用。</w:t>
      </w:r>
    </w:p>
    <w:p w14:paraId="20A5F9B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）在合同中明确规定的试验和检验，包括无须在工程量清单中单独列项和已在</w:t>
      </w:r>
      <w:r>
        <w:rPr>
          <w:rFonts w:hint="eastAsia" w:ascii="宋体" w:hAnsi="宋体"/>
          <w:color w:val="auto"/>
          <w:spacing w:val="-1"/>
          <w:sz w:val="24"/>
          <w:szCs w:val="24"/>
          <w:highlight w:val="none"/>
        </w:rPr>
        <w:t>工程量清单中单独列项的试验和检验，其试验和检验的费用由承包人承担。</w:t>
      </w:r>
    </w:p>
    <w:p w14:paraId="11AC99D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w:t>
      </w:r>
      <w:r>
        <w:rPr>
          <w:rFonts w:hint="eastAsia" w:ascii="宋体" w:hAnsi="宋体"/>
          <w:color w:val="auto"/>
          <w:spacing w:val="-3"/>
          <w:sz w:val="24"/>
          <w:szCs w:val="24"/>
          <w:highlight w:val="none"/>
        </w:rPr>
        <w:t>）如果监理人所要求做的试验和检验为合同未规定的或是在该材料或工程设备</w:t>
      </w:r>
      <w:r>
        <w:rPr>
          <w:rFonts w:hint="eastAsia" w:ascii="宋体" w:hAnsi="宋体"/>
          <w:color w:val="auto"/>
          <w:spacing w:val="-6"/>
          <w:sz w:val="24"/>
          <w:szCs w:val="24"/>
          <w:highlight w:val="none"/>
        </w:rPr>
        <w:t>的制造、加工、制配场地以外的场地进行的，则检验结束后，如表明操作工艺或材料、工程设备未能符合合同规定，其费用应由承包人承担，否则，其费用应由发包人承担。</w:t>
      </w:r>
    </w:p>
    <w:p w14:paraId="4B6E0AA5">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15．变更</w:t>
      </w:r>
    </w:p>
    <w:p w14:paraId="342C09D3">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15</w:t>
      </w:r>
      <w:r>
        <w:rPr>
          <w:rFonts w:hint="eastAsia" w:ascii="宋体" w:hAnsi="宋体"/>
          <w:b/>
          <w:bCs/>
          <w:color w:val="auto"/>
          <w:spacing w:val="-1"/>
          <w:sz w:val="24"/>
          <w:szCs w:val="24"/>
          <w:highlight w:val="none"/>
        </w:rPr>
        <w:t>．1</w:t>
      </w:r>
      <w:r>
        <w:rPr>
          <w:rFonts w:hint="eastAsia" w:ascii="宋体" w:hAnsi="宋体"/>
          <w:b/>
          <w:bCs/>
          <w:color w:val="auto"/>
          <w:sz w:val="24"/>
          <w:szCs w:val="24"/>
          <w:highlight w:val="none"/>
        </w:rPr>
        <w:t>变更的范围和内容</w:t>
      </w:r>
    </w:p>
    <w:p w14:paraId="678B209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本款第（1）项细化为：</w:t>
      </w:r>
    </w:p>
    <w:p w14:paraId="53D65F3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z w:val="24"/>
          <w:szCs w:val="24"/>
          <w:highlight w:val="none"/>
        </w:rPr>
        <w:t>）取消合同中任何一项工作，但被取消的工作不能转由发包人或其他人实施，</w:t>
      </w:r>
      <w:r>
        <w:rPr>
          <w:rFonts w:hint="eastAsia" w:ascii="宋体" w:hAnsi="宋体"/>
          <w:color w:val="auto"/>
          <w:spacing w:val="-1"/>
          <w:sz w:val="24"/>
          <w:szCs w:val="24"/>
          <w:highlight w:val="none"/>
        </w:rPr>
        <w:t>由于承包人违约造成的情况除外；</w:t>
      </w:r>
    </w:p>
    <w:p w14:paraId="25DDC31D">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15</w:t>
      </w:r>
      <w:r>
        <w:rPr>
          <w:rFonts w:hint="eastAsia" w:ascii="宋体" w:hAnsi="宋体"/>
          <w:color w:val="auto"/>
          <w:spacing w:val="-1"/>
          <w:sz w:val="24"/>
          <w:szCs w:val="24"/>
          <w:highlight w:val="none"/>
        </w:rPr>
        <w:t>．3</w:t>
      </w:r>
      <w:r>
        <w:rPr>
          <w:rFonts w:hint="eastAsia" w:ascii="宋体" w:hAnsi="宋体"/>
          <w:color w:val="auto"/>
          <w:sz w:val="24"/>
          <w:szCs w:val="24"/>
          <w:highlight w:val="none"/>
        </w:rPr>
        <w:t>变更程序</w:t>
      </w:r>
    </w:p>
    <w:p w14:paraId="1767837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本款补充第15.3.4项：</w:t>
      </w:r>
    </w:p>
    <w:p w14:paraId="12C373F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15.3.4设计变更程序应执行《公路工程设计变更管理办法》的相关规定。</w:t>
      </w:r>
    </w:p>
    <w:p w14:paraId="296FB9DF">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15</w:t>
      </w:r>
      <w:r>
        <w:rPr>
          <w:rFonts w:hint="eastAsia" w:ascii="宋体" w:hAnsi="宋体"/>
          <w:color w:val="auto"/>
          <w:spacing w:val="-1"/>
          <w:sz w:val="24"/>
          <w:szCs w:val="24"/>
          <w:highlight w:val="none"/>
        </w:rPr>
        <w:t>．4</w:t>
      </w:r>
      <w:r>
        <w:rPr>
          <w:rFonts w:hint="eastAsia" w:ascii="宋体" w:hAnsi="宋体"/>
          <w:color w:val="auto"/>
          <w:sz w:val="24"/>
          <w:szCs w:val="24"/>
          <w:highlight w:val="none"/>
        </w:rPr>
        <w:t>变更的估价原则</w:t>
      </w:r>
    </w:p>
    <w:p w14:paraId="0C93B4F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本款细化为</w:t>
      </w:r>
    </w:p>
    <w:p w14:paraId="4D64AF1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除项目专用合同条款另有约定外，因变更引起的价格调整按照本款约定处理。</w:t>
      </w:r>
    </w:p>
    <w:p w14:paraId="3471A0E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15.4.1如果取消某项工作，则该项工作的总额价不予以支付；</w:t>
      </w:r>
    </w:p>
    <w:p w14:paraId="04E5868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15.4.2已标价工程量清单中有适用于变更工作的子目的，采用该子目的单价。</w:t>
      </w:r>
    </w:p>
    <w:p w14:paraId="0F4AF7E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15.4.3已标价工程量清单中无适用于变更工作的子目，但有类似子目的，可在合理范围内参照类似子目的单价，由监理人按第3.5款商定或确定变更工作的单价。</w:t>
      </w:r>
    </w:p>
    <w:p w14:paraId="725B741C">
      <w:pPr>
        <w:spacing w:line="520" w:lineRule="exact"/>
        <w:ind w:firstLine="476" w:firstLineChars="200"/>
        <w:rPr>
          <w:rFonts w:ascii="宋体" w:hAnsi="宋体"/>
          <w:color w:val="auto"/>
          <w:sz w:val="24"/>
          <w:szCs w:val="24"/>
          <w:highlight w:val="none"/>
        </w:rPr>
      </w:pPr>
      <w:bookmarkStart w:id="307" w:name="77"/>
      <w:bookmarkEnd w:id="307"/>
      <w:r>
        <w:rPr>
          <w:rFonts w:hint="eastAsia" w:ascii="宋体" w:hAnsi="宋体"/>
          <w:color w:val="auto"/>
          <w:spacing w:val="-1"/>
          <w:sz w:val="24"/>
          <w:szCs w:val="24"/>
          <w:highlight w:val="none"/>
        </w:rPr>
        <w:t>15.4.4已标价工程量清单中无适用或类似子目的单价，可在综合考虑承包人在投</w:t>
      </w:r>
      <w:r>
        <w:rPr>
          <w:rFonts w:hint="eastAsia" w:ascii="宋体" w:hAnsi="宋体"/>
          <w:color w:val="auto"/>
          <w:spacing w:val="-4"/>
          <w:sz w:val="24"/>
          <w:szCs w:val="24"/>
          <w:highlight w:val="none"/>
        </w:rPr>
        <w:t>标时所提供的单价分析表的基础上，由监理人按第</w:t>
      </w:r>
      <w:r>
        <w:rPr>
          <w:rFonts w:hint="eastAsia" w:ascii="宋体" w:hAnsi="宋体"/>
          <w:color w:val="auto"/>
          <w:spacing w:val="-1"/>
          <w:sz w:val="24"/>
          <w:szCs w:val="24"/>
          <w:highlight w:val="none"/>
        </w:rPr>
        <w:t>3.5款商定或确定变更工作的单价。</w:t>
      </w:r>
    </w:p>
    <w:p w14:paraId="025DC97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15.4.5如果本工程的变更指示是因承包人过错、承包人建反合同或承包人责任造成的，则这种违约引起的任何额外费用应由承包人承担。</w:t>
      </w:r>
    </w:p>
    <w:p w14:paraId="70480F70">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15.5承包人的合理化建议</w:t>
      </w:r>
    </w:p>
    <w:p w14:paraId="1432CB8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第15.5.2项约定为：</w:t>
      </w:r>
    </w:p>
    <w:p w14:paraId="0DC777D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承包人提出的合理化建议缩短了工期，发包人按第11.6款的规定给予奖励。</w:t>
      </w:r>
    </w:p>
    <w:p w14:paraId="60DB7E4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承包人提出的合理化建议降低了合同价格或者提高了工程经济效益的，发包人按项目专用合同条款数据表中规定的金额给予奖励。</w:t>
      </w:r>
    </w:p>
    <w:p w14:paraId="4FD83FE1">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15.6暂列金额</w:t>
      </w:r>
    </w:p>
    <w:p w14:paraId="4521CA9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本款细化为：</w:t>
      </w:r>
    </w:p>
    <w:p w14:paraId="7862D68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15.6.l暂列金额应由监理人报发包人批准后指令全部或部分地使用，或者根本不予动用。</w:t>
      </w:r>
    </w:p>
    <w:p w14:paraId="6669030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15.6.2对于经发包人批准的每一笔暂列金额，监理人有权向承包人发出实施工程</w:t>
      </w:r>
      <w:r>
        <w:rPr>
          <w:rFonts w:hint="eastAsia" w:ascii="宋体" w:hAnsi="宋体"/>
          <w:color w:val="auto"/>
          <w:spacing w:val="-8"/>
          <w:sz w:val="24"/>
          <w:szCs w:val="24"/>
          <w:highlight w:val="none"/>
        </w:rPr>
        <w:t>或提供材料、工程设备或服务的指令。这些指令应由承包人完成，监理人应根据第</w:t>
      </w:r>
      <w:r>
        <w:rPr>
          <w:rFonts w:hint="eastAsia" w:ascii="宋体" w:hAnsi="宋体"/>
          <w:color w:val="auto"/>
          <w:spacing w:val="-1"/>
          <w:sz w:val="24"/>
          <w:szCs w:val="24"/>
          <w:highlight w:val="none"/>
        </w:rPr>
        <w:t>15.4款约定的变更估价原则和第15.7款的规定，对合同价格进行相应调整。</w:t>
      </w:r>
    </w:p>
    <w:p w14:paraId="3FEF2C7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15.6.3当监理人提出要求时，承包人应提供有关暂列金额支出的所有报价单、发票、凭证和账单或收据，除非该工作是根据已标价工程量清单列明的单价或总额价进行的估价。</w:t>
      </w:r>
    </w:p>
    <w:p w14:paraId="6608FCDB">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16.价格调整</w:t>
      </w:r>
    </w:p>
    <w:p w14:paraId="29CFAEBB">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16.1物价波动引起的价格调整</w:t>
      </w:r>
    </w:p>
    <w:p w14:paraId="5EC0467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本款约定为：</w:t>
      </w:r>
    </w:p>
    <w:p w14:paraId="5968602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）除项目专用合同条款另有约定外，因物价波动引起的价格调整应按项目专用</w:t>
      </w:r>
      <w:r>
        <w:rPr>
          <w:rFonts w:hint="eastAsia" w:ascii="宋体" w:hAnsi="宋体"/>
          <w:color w:val="auto"/>
          <w:spacing w:val="-1"/>
          <w:sz w:val="24"/>
          <w:szCs w:val="24"/>
          <w:highlight w:val="none"/>
        </w:rPr>
        <w:t>合同条款数据表的规定，按照第16.1.1项或第16.1.2项约定的原则处理；或者</w:t>
      </w:r>
    </w:p>
    <w:p w14:paraId="4BAD9AE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）在合同执行期间（包括工期拖延期间），由于人工、材料和设备价格的上涨</w:t>
      </w:r>
      <w:r>
        <w:rPr>
          <w:rFonts w:hint="eastAsia" w:ascii="宋体" w:hAnsi="宋体"/>
          <w:color w:val="auto"/>
          <w:spacing w:val="-1"/>
          <w:sz w:val="24"/>
          <w:szCs w:val="24"/>
          <w:highlight w:val="none"/>
        </w:rPr>
        <w:t>而引起工程施工成本增加的风险由承包人自行承担，合同价格不会因此而调整。</w:t>
      </w:r>
    </w:p>
    <w:p w14:paraId="5433333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16.1.1采用价格指数调整价格差额</w:t>
      </w:r>
    </w:p>
    <w:p w14:paraId="7036930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16.1.1价格调整公式</w:t>
      </w:r>
    </w:p>
    <w:p w14:paraId="2C51BBD4">
      <w:pPr>
        <w:spacing w:line="520" w:lineRule="exact"/>
        <w:ind w:firstLine="476" w:firstLineChars="200"/>
        <w:rPr>
          <w:rFonts w:ascii="宋体" w:hAnsi="宋体"/>
          <w:color w:val="auto"/>
          <w:sz w:val="24"/>
          <w:szCs w:val="24"/>
          <w:highlight w:val="none"/>
        </w:rPr>
      </w:pPr>
      <w:bookmarkStart w:id="308" w:name="78"/>
      <w:bookmarkEnd w:id="308"/>
      <w:r>
        <w:rPr>
          <w:rFonts w:hint="eastAsia" w:ascii="宋体" w:hAnsi="宋体"/>
          <w:color w:val="auto"/>
          <w:spacing w:val="-1"/>
          <w:sz w:val="24"/>
          <w:szCs w:val="24"/>
          <w:highlight w:val="none"/>
        </w:rPr>
        <w:t>价格调整公式后增加备注如下：</w:t>
      </w:r>
    </w:p>
    <w:p w14:paraId="3841FA6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式中，</w:t>
      </w:r>
      <w:r>
        <w:rPr>
          <w:rFonts w:hint="eastAsia" w:ascii="宋体" w:hAnsi="宋体"/>
          <w:color w:val="auto"/>
          <w:sz w:val="24"/>
          <w:szCs w:val="24"/>
          <w:highlight w:val="none"/>
        </w:rPr>
        <w:t>A</w:t>
      </w:r>
      <w:r>
        <w:rPr>
          <w:rFonts w:hint="eastAsia" w:ascii="宋体" w:hAnsi="宋体"/>
          <w:color w:val="auto"/>
          <w:spacing w:val="-1"/>
          <w:sz w:val="24"/>
          <w:szCs w:val="24"/>
          <w:highlight w:val="none"/>
        </w:rPr>
        <w:t>＝1－（</w:t>
      </w:r>
      <w:r>
        <w:rPr>
          <w:rFonts w:hint="eastAsia" w:ascii="宋体" w:hAnsi="宋体"/>
          <w:color w:val="auto"/>
          <w:sz w:val="24"/>
          <w:szCs w:val="24"/>
          <w:highlight w:val="none"/>
        </w:rPr>
        <w:t>B</w:t>
      </w:r>
      <w:r>
        <w:rPr>
          <w:rFonts w:hint="eastAsia" w:ascii="宋体" w:hAnsi="宋体"/>
          <w:color w:val="auto"/>
          <w:spacing w:val="-1"/>
          <w:sz w:val="24"/>
          <w:szCs w:val="24"/>
          <w:highlight w:val="none"/>
        </w:rPr>
        <w:t>1＋</w:t>
      </w:r>
      <w:r>
        <w:rPr>
          <w:rFonts w:hint="eastAsia" w:ascii="宋体" w:hAnsi="宋体"/>
          <w:color w:val="auto"/>
          <w:sz w:val="24"/>
          <w:szCs w:val="24"/>
          <w:highlight w:val="none"/>
        </w:rPr>
        <w:t>B</w:t>
      </w:r>
      <w:r>
        <w:rPr>
          <w:rFonts w:hint="eastAsia" w:ascii="宋体" w:hAnsi="宋体"/>
          <w:color w:val="auto"/>
          <w:spacing w:val="-1"/>
          <w:sz w:val="24"/>
          <w:szCs w:val="24"/>
          <w:highlight w:val="none"/>
        </w:rPr>
        <w:t>2＋</w:t>
      </w:r>
      <w:r>
        <w:rPr>
          <w:rFonts w:hint="eastAsia" w:ascii="宋体" w:hAnsi="宋体"/>
          <w:color w:val="auto"/>
          <w:sz w:val="24"/>
          <w:szCs w:val="24"/>
          <w:highlight w:val="none"/>
        </w:rPr>
        <w:t>B</w:t>
      </w:r>
      <w:r>
        <w:rPr>
          <w:rFonts w:hint="eastAsia" w:ascii="宋体" w:hAnsi="宋体"/>
          <w:color w:val="auto"/>
          <w:spacing w:val="-1"/>
          <w:sz w:val="24"/>
          <w:szCs w:val="24"/>
          <w:highlight w:val="none"/>
        </w:rPr>
        <w:t>3＋...＋</w:t>
      </w:r>
      <w:r>
        <w:rPr>
          <w:rFonts w:hint="eastAsia" w:ascii="宋体" w:hAnsi="宋体"/>
          <w:color w:val="auto"/>
          <w:sz w:val="24"/>
          <w:szCs w:val="24"/>
          <w:highlight w:val="none"/>
        </w:rPr>
        <w:t>B</w:t>
      </w:r>
      <w:r>
        <w:rPr>
          <w:rFonts w:hint="eastAsia" w:ascii="宋体" w:hAnsi="宋体"/>
          <w:color w:val="auto"/>
          <w:spacing w:val="-1"/>
          <w:sz w:val="24"/>
          <w:szCs w:val="24"/>
          <w:highlight w:val="none"/>
        </w:rPr>
        <w:t>n）</w:t>
      </w:r>
    </w:p>
    <w:p w14:paraId="14B315E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本目最后一段文字细化为：</w:t>
      </w:r>
    </w:p>
    <w:p w14:paraId="7F31DF8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在采用价格调整公式进行调价时，还应遵守以下规定：</w:t>
      </w:r>
    </w:p>
    <w:p w14:paraId="5DDCE58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9"/>
          <w:sz w:val="24"/>
          <w:szCs w:val="24"/>
          <w:highlight w:val="none"/>
        </w:rPr>
        <w:t>）以上价格调整公式中的各可调因子、定值权重，以及基本价格指数及其来源，</w:t>
      </w:r>
      <w:r>
        <w:rPr>
          <w:rFonts w:hint="eastAsia" w:ascii="宋体" w:hAnsi="宋体"/>
          <w:color w:val="auto"/>
          <w:spacing w:val="-1"/>
          <w:sz w:val="24"/>
          <w:szCs w:val="24"/>
          <w:highlight w:val="none"/>
        </w:rPr>
        <w:t>由发包人在投标函附录价格指数和权重表中约定。价格指数应首先采用国家或省、自治区、直辖市价格部门或统计部门提供的价格指数，缺乏上述价格指数时，可采用上述部门提供的价格代替。</w:t>
      </w:r>
    </w:p>
    <w:p w14:paraId="64C5781D">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）价格调整公式中的变值权重，由发包人根据项目实际情况测算确定范围，并</w:t>
      </w:r>
      <w:r>
        <w:rPr>
          <w:rFonts w:hint="eastAsia" w:ascii="宋体" w:hAnsi="宋体"/>
          <w:color w:val="auto"/>
          <w:spacing w:val="-1"/>
          <w:sz w:val="24"/>
          <w:szCs w:val="24"/>
          <w:highlight w:val="none"/>
        </w:rPr>
        <w:t>在投标函附录价格指数和权重表中约定范围；承包人在投标时在此范围内填写各可调因子的权重，合同实施期间将按此权重进行调价。</w:t>
      </w:r>
    </w:p>
    <w:p w14:paraId="4CE8A078">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17.计量与支付</w:t>
      </w:r>
    </w:p>
    <w:p w14:paraId="049D0933">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17.1</w:t>
      </w:r>
      <w:r>
        <w:rPr>
          <w:rFonts w:hint="eastAsia" w:ascii="宋体" w:hAnsi="宋体"/>
          <w:b/>
          <w:bCs/>
          <w:color w:val="auto"/>
          <w:spacing w:val="-1"/>
          <w:sz w:val="24"/>
          <w:szCs w:val="24"/>
          <w:highlight w:val="none"/>
        </w:rPr>
        <w:t>计量</w:t>
      </w:r>
    </w:p>
    <w:p w14:paraId="2AE0476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17.1.2计量方法</w:t>
      </w:r>
    </w:p>
    <w:p w14:paraId="578A710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本项约定为：</w:t>
      </w:r>
    </w:p>
    <w:p w14:paraId="307DEBA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工程的计量应以净值为准，除非项目专用合同条款另有约定。工程量清单中各个子目的具体计量方法按本合同文件技术标准中的规定执行。</w:t>
      </w:r>
    </w:p>
    <w:p w14:paraId="5C63EA0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17.1.4单价子目的计量</w:t>
      </w:r>
    </w:p>
    <w:p w14:paraId="5A402F2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本项补充：</w:t>
      </w:r>
    </w:p>
    <w:p w14:paraId="78FBCDE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w:t>
      </w:r>
      <w:r>
        <w:rPr>
          <w:rFonts w:hint="eastAsia" w:ascii="宋体" w:hAnsi="宋体"/>
          <w:color w:val="auto"/>
          <w:spacing w:val="-3"/>
          <w:sz w:val="24"/>
          <w:szCs w:val="24"/>
          <w:highlight w:val="none"/>
        </w:rPr>
        <w:t>）承包人未在已标价工程量清单中填入单价或总额价的工程子目，将被认为其</w:t>
      </w:r>
      <w:r>
        <w:rPr>
          <w:rFonts w:hint="eastAsia" w:ascii="宋体" w:hAnsi="宋体"/>
          <w:color w:val="auto"/>
          <w:sz w:val="24"/>
          <w:szCs w:val="24"/>
          <w:highlight w:val="none"/>
        </w:rPr>
        <w:t>已包含在本合同的其他子目的单价和总额价中，发包人将不另行支付。</w:t>
      </w:r>
    </w:p>
    <w:p w14:paraId="275941B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17.2预付款</w:t>
      </w:r>
    </w:p>
    <w:p w14:paraId="5B8FF88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17.2.1预付款</w:t>
      </w:r>
    </w:p>
    <w:p w14:paraId="2B888EF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本项约定为：</w:t>
      </w:r>
    </w:p>
    <w:p w14:paraId="6731B5A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预付款包括开工预付款和材料、设备预付款。具体额度和预付办法如下：</w:t>
      </w:r>
    </w:p>
    <w:p w14:paraId="4FE9325F">
      <w:pPr>
        <w:spacing w:line="520" w:lineRule="exact"/>
        <w:ind w:firstLine="476" w:firstLineChars="200"/>
        <w:rPr>
          <w:rFonts w:ascii="宋体" w:hAnsi="宋体"/>
          <w:color w:val="auto"/>
          <w:sz w:val="24"/>
          <w:szCs w:val="24"/>
          <w:highlight w:val="none"/>
        </w:rPr>
      </w:pPr>
      <w:bookmarkStart w:id="309" w:name="79"/>
      <w:bookmarkEnd w:id="309"/>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）开工预付款的金额在项目专用合同条款数据表中约定。在承包人签订了合同协议书且承包人承诺的主要设备进场后，监理人应在当期进度付</w:t>
      </w:r>
      <w:r>
        <w:rPr>
          <w:rFonts w:hint="eastAsia" w:ascii="宋体" w:hAnsi="宋体"/>
          <w:color w:val="auto"/>
          <w:spacing w:val="-1"/>
          <w:sz w:val="24"/>
          <w:szCs w:val="24"/>
          <w:highlight w:val="none"/>
        </w:rPr>
        <w:t>款证书中向承包人支付开工预付款。</w:t>
      </w:r>
    </w:p>
    <w:p w14:paraId="69698F1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承包人不得将该预付款用于与本工程无关的支出，监理人有权监督承包人对该项费用的使用，如经查实承包人滥用开工预付款，发包人有权立即解除合同。</w:t>
      </w:r>
    </w:p>
    <w:p w14:paraId="56F1AEB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）材料、设备预付款按项目专用合同条款数据表中所列主要材料、设备单据费</w:t>
      </w:r>
      <w:r>
        <w:rPr>
          <w:rFonts w:hint="eastAsia" w:ascii="宋体" w:hAnsi="宋体"/>
          <w:color w:val="auto"/>
          <w:spacing w:val="-6"/>
          <w:sz w:val="24"/>
          <w:szCs w:val="24"/>
          <w:highlight w:val="none"/>
        </w:rPr>
        <w:t>用（进口的材料、设备为到岸价，国内采购的为出厂价或销售价，地方材料为堆场价）</w:t>
      </w:r>
      <w:r>
        <w:rPr>
          <w:rFonts w:hint="eastAsia" w:ascii="宋体" w:hAnsi="宋体"/>
          <w:color w:val="auto"/>
          <w:spacing w:val="-1"/>
          <w:sz w:val="24"/>
          <w:szCs w:val="24"/>
          <w:highlight w:val="none"/>
        </w:rPr>
        <w:t>的百分比支付。其预付条件为：</w:t>
      </w:r>
    </w:p>
    <w:p w14:paraId="17BF02E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a.材料、设备符合规范要求并经监理人认可；</w:t>
      </w:r>
    </w:p>
    <w:p w14:paraId="01CFAC5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b.承包人已出具材料、设备费用凭证或支付单据；</w:t>
      </w:r>
    </w:p>
    <w:p w14:paraId="414E527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c.材料、设各已在现场交货，且存储良好，监理人认为材料、设备的存储方法符合要求。</w:t>
      </w:r>
    </w:p>
    <w:p w14:paraId="55CA830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则监理人应将此项金额作为材料、设备预付款计入下一次的进度付款证书中。在预计竣工前3个月，将不再支付材料、设备预付款。</w:t>
      </w:r>
    </w:p>
    <w:p w14:paraId="7444026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17.2.2预付款保函</w:t>
      </w:r>
    </w:p>
    <w:p w14:paraId="44B076E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承包人无须向发包人提交预付款保函。发包人向承包人支付的预付款，应按照本合同第17.2.1</w:t>
      </w:r>
      <w:r>
        <w:rPr>
          <w:rFonts w:hint="eastAsia" w:ascii="宋体" w:hAnsi="宋体"/>
          <w:color w:val="auto"/>
          <w:sz w:val="24"/>
          <w:szCs w:val="24"/>
          <w:highlight w:val="none"/>
        </w:rPr>
        <w:t>项规定使用</w:t>
      </w:r>
      <w:r>
        <w:rPr>
          <w:rFonts w:hint="eastAsia" w:ascii="宋体" w:hAnsi="宋体"/>
          <w:color w:val="auto"/>
          <w:spacing w:val="-1"/>
          <w:sz w:val="24"/>
          <w:szCs w:val="24"/>
          <w:highlight w:val="none"/>
        </w:rPr>
        <w:t>。</w:t>
      </w:r>
    </w:p>
    <w:p w14:paraId="62E08C3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17.2.3预付款的扣回与还清</w:t>
      </w:r>
    </w:p>
    <w:p w14:paraId="64130A3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本项约定为：</w:t>
      </w:r>
    </w:p>
    <w:p w14:paraId="338C2C2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（l）开工预付款在进度付款证书的累计金额未达到签约合同价的30％之前不予扣回，在达到签约合同价30％之后，开始按工程进度以固定比例（即每完成签约合同价的1</w:t>
      </w:r>
      <w:r>
        <w:rPr>
          <w:rFonts w:hint="eastAsia" w:ascii="宋体" w:hAnsi="宋体"/>
          <w:color w:val="auto"/>
          <w:spacing w:val="-3"/>
          <w:sz w:val="24"/>
          <w:szCs w:val="24"/>
          <w:highlight w:val="none"/>
        </w:rPr>
        <w:t>％，扣回开工预付款的</w:t>
      </w:r>
      <w:r>
        <w:rPr>
          <w:rFonts w:hint="eastAsia" w:ascii="宋体" w:hAnsi="宋体"/>
          <w:color w:val="auto"/>
          <w:spacing w:val="-1"/>
          <w:sz w:val="24"/>
          <w:szCs w:val="24"/>
          <w:highlight w:val="none"/>
        </w:rPr>
        <w:t>2</w:t>
      </w:r>
      <w:r>
        <w:rPr>
          <w:rFonts w:hint="eastAsia" w:ascii="宋体" w:hAnsi="宋体"/>
          <w:color w:val="auto"/>
          <w:spacing w:val="-2"/>
          <w:sz w:val="24"/>
          <w:szCs w:val="24"/>
          <w:highlight w:val="none"/>
        </w:rPr>
        <w:t>％）分期从各月的进度付款证书中扣回，全部金额在进</w:t>
      </w:r>
      <w:r>
        <w:rPr>
          <w:rFonts w:hint="eastAsia" w:ascii="宋体" w:hAnsi="宋体"/>
          <w:color w:val="auto"/>
          <w:spacing w:val="-1"/>
          <w:sz w:val="24"/>
          <w:szCs w:val="24"/>
          <w:highlight w:val="none"/>
        </w:rPr>
        <w:t>度付款证书的累计金额达到签约合同价的80％时扣完。</w:t>
      </w:r>
    </w:p>
    <w:p w14:paraId="71FF1E3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）当材料、设各已用于或安装在永久工程之中时，材料、设备预付款应从进度</w:t>
      </w:r>
      <w:r>
        <w:rPr>
          <w:rFonts w:hint="eastAsia" w:ascii="宋体" w:hAnsi="宋体"/>
          <w:color w:val="auto"/>
          <w:spacing w:val="-1"/>
          <w:sz w:val="24"/>
          <w:szCs w:val="24"/>
          <w:highlight w:val="none"/>
        </w:rPr>
        <w:t>付款证书中扣回，扣回期不超过3个月。已经支付材料、设备预付款的材料、设备的所有权应属于发包人。</w:t>
      </w:r>
    </w:p>
    <w:p w14:paraId="6A1CDA23">
      <w:pPr>
        <w:spacing w:line="520" w:lineRule="exact"/>
        <w:ind w:firstLine="480" w:firstLineChars="200"/>
        <w:rPr>
          <w:rFonts w:ascii="宋体" w:hAnsi="宋体"/>
          <w:color w:val="auto"/>
          <w:sz w:val="24"/>
          <w:szCs w:val="24"/>
          <w:highlight w:val="none"/>
        </w:rPr>
      </w:pPr>
      <w:bookmarkStart w:id="310" w:name="80"/>
      <w:bookmarkEnd w:id="310"/>
      <w:r>
        <w:rPr>
          <w:rFonts w:hint="eastAsia" w:ascii="宋体" w:hAnsi="宋体"/>
          <w:color w:val="auto"/>
          <w:sz w:val="24"/>
          <w:szCs w:val="24"/>
          <w:highlight w:val="none"/>
        </w:rPr>
        <w:t>17.3工程进度付款</w:t>
      </w:r>
    </w:p>
    <w:p w14:paraId="738DA61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17.3.3进度付款证书和支付时间</w:t>
      </w:r>
    </w:p>
    <w:p w14:paraId="4075C08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本项（1）目补充：</w:t>
      </w:r>
    </w:p>
    <w:p w14:paraId="6C3100D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073925D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本项（2）目约定为：</w:t>
      </w:r>
    </w:p>
    <w:p w14:paraId="638527F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发包人应在监理人收到进度付款申请单且承包人提交了合格的增值税专用发票后的28天内，将进度应付款支付给承包人。</w:t>
      </w:r>
    </w:p>
    <w:p w14:paraId="092CC90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发包人不按期支付的，按项目专用合同条款数据表中约定的利率向承包人支付逾期付款违约金</w:t>
      </w:r>
      <w:r>
        <w:rPr>
          <w:rFonts w:hint="eastAsia" w:ascii="宋体" w:hAnsi="宋体"/>
          <w:color w:val="auto"/>
          <w:spacing w:val="-3"/>
          <w:sz w:val="24"/>
          <w:szCs w:val="24"/>
          <w:highlight w:val="none"/>
        </w:rPr>
        <w:t>。违约金计算基数为发包人的全部未付款额，时间从应付而未付该款额</w:t>
      </w:r>
      <w:r>
        <w:rPr>
          <w:rFonts w:hint="eastAsia" w:ascii="宋体" w:hAnsi="宋体"/>
          <w:color w:val="auto"/>
          <w:spacing w:val="-1"/>
          <w:sz w:val="24"/>
          <w:szCs w:val="24"/>
          <w:highlight w:val="none"/>
        </w:rPr>
        <w:t>之日算起(不计复利)。</w:t>
      </w:r>
    </w:p>
    <w:p w14:paraId="07A40E7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本款补充第17.3.5项：</w:t>
      </w:r>
    </w:p>
    <w:p w14:paraId="17593EC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17.3.5农民工工资保证金</w:t>
      </w:r>
    </w:p>
    <w:p w14:paraId="3FB5F0F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）为确保施工过程中农民工工资实时、足额发放到位，承包人应按照项目专用</w:t>
      </w:r>
      <w:r>
        <w:rPr>
          <w:rFonts w:hint="eastAsia" w:ascii="宋体" w:hAnsi="宋体"/>
          <w:color w:val="auto"/>
          <w:spacing w:val="-1"/>
          <w:sz w:val="24"/>
          <w:szCs w:val="24"/>
          <w:highlight w:val="none"/>
        </w:rPr>
        <w:t>合同条款约定的时间和金额缴存农民工工资保证金。</w:t>
      </w:r>
    </w:p>
    <w:p w14:paraId="5ED34A3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）农民工工资保证金可采用银行保函或现金、支票形式。采用银行保函时，出</w:t>
      </w:r>
      <w:r>
        <w:rPr>
          <w:rFonts w:hint="eastAsia" w:ascii="宋体" w:hAnsi="宋体"/>
          <w:color w:val="auto"/>
          <w:spacing w:val="-1"/>
          <w:sz w:val="24"/>
          <w:szCs w:val="24"/>
          <w:highlight w:val="none"/>
        </w:rPr>
        <w:t>具保函的银行须具有相应担保能力，且按照发包人批准的格式出具，所需费用由承包人承担。</w:t>
      </w:r>
    </w:p>
    <w:p w14:paraId="68061A2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w:t>
      </w:r>
      <w:r>
        <w:rPr>
          <w:rFonts w:hint="eastAsia" w:ascii="宋体" w:hAnsi="宋体"/>
          <w:color w:val="auto"/>
          <w:spacing w:val="-6"/>
          <w:sz w:val="24"/>
          <w:szCs w:val="24"/>
          <w:highlight w:val="none"/>
        </w:rPr>
        <w:t>）农民工工资保证金的扣留条件、返还时间按照项目专用合同条款的约定执行。</w:t>
      </w:r>
    </w:p>
    <w:p w14:paraId="00068FA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17.4质量保证金</w:t>
      </w:r>
      <w:r>
        <w:rPr>
          <w:rFonts w:hint="eastAsia" w:ascii="宋体" w:hAnsi="宋体"/>
          <w:color w:val="auto"/>
          <w:spacing w:val="-1"/>
          <w:sz w:val="24"/>
          <w:szCs w:val="24"/>
          <w:highlight w:val="none"/>
        </w:rPr>
        <w:t>第17.4.1、17.4.2项细化为：</w:t>
      </w:r>
    </w:p>
    <w:p w14:paraId="01E7CF5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17.4.1交工验收证书签发后14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3843C9D8">
      <w:pPr>
        <w:spacing w:line="520" w:lineRule="exact"/>
        <w:ind w:firstLine="476" w:firstLineChars="200"/>
        <w:rPr>
          <w:rFonts w:ascii="宋体" w:hAnsi="宋体"/>
          <w:color w:val="auto"/>
          <w:sz w:val="24"/>
          <w:szCs w:val="24"/>
          <w:highlight w:val="none"/>
        </w:rPr>
      </w:pPr>
      <w:bookmarkStart w:id="311" w:name="81"/>
      <w:bookmarkEnd w:id="311"/>
      <w:r>
        <w:rPr>
          <w:rFonts w:hint="eastAsia" w:ascii="宋体" w:hAnsi="宋体"/>
          <w:color w:val="auto"/>
          <w:spacing w:val="-1"/>
          <w:sz w:val="24"/>
          <w:szCs w:val="24"/>
          <w:highlight w:val="none"/>
        </w:rPr>
        <w:t>质量保证金采用现金、支票形式提交的，发包人应在项目专用合同条款数据表中明确是否计付利息以及利息的计算方式。</w:t>
      </w:r>
    </w:p>
    <w:p w14:paraId="30087F0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17.4.2在第1.1.4.5</w:t>
      </w:r>
      <w:r>
        <w:rPr>
          <w:rFonts w:hint="eastAsia" w:ascii="宋体" w:hAnsi="宋体"/>
          <w:color w:val="auto"/>
          <w:spacing w:val="-3"/>
          <w:sz w:val="24"/>
          <w:szCs w:val="24"/>
          <w:highlight w:val="none"/>
        </w:rPr>
        <w:t>目约定的缺陷责任期满，且质量监督机构已按规定对工程质</w:t>
      </w:r>
      <w:r>
        <w:rPr>
          <w:rFonts w:hint="eastAsia" w:ascii="宋体" w:hAnsi="宋体"/>
          <w:color w:val="auto"/>
          <w:spacing w:val="-1"/>
          <w:sz w:val="24"/>
          <w:szCs w:val="24"/>
          <w:highlight w:val="none"/>
        </w:rPr>
        <w:t>量检测鉴定合格，承包人向发包人申请到期应返还承包人剩余的质量保证金金额，发包人应在14</w:t>
      </w:r>
      <w:r>
        <w:rPr>
          <w:rFonts w:hint="eastAsia" w:ascii="宋体" w:hAnsi="宋体"/>
          <w:color w:val="auto"/>
          <w:sz w:val="24"/>
          <w:szCs w:val="24"/>
          <w:highlight w:val="none"/>
        </w:rPr>
        <w:t>天内会同承包人按照合同约定的内容核实承包人是否完成缺陷责任。</w:t>
      </w:r>
    </w:p>
    <w:p w14:paraId="7451F78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无异议，发包人应当在核实后将剩余保证金返还承包人。</w:t>
      </w:r>
    </w:p>
    <w:p w14:paraId="08B49D0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17.5交工结算</w:t>
      </w:r>
    </w:p>
    <w:p w14:paraId="1844B80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17.5.l交工付款申请单</w:t>
      </w:r>
    </w:p>
    <w:p w14:paraId="759C31A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本项（l）目约定为：</w:t>
      </w:r>
    </w:p>
    <w:p w14:paraId="085E944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承包人向监理人提交交工付款申请单（包括相关证明材料）的份数在项目专用合同条款数据表中约定；期限：交工验收证书签发后42天内。</w:t>
      </w:r>
    </w:p>
    <w:p w14:paraId="2F920AC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17.5.2交工付款证书及支付时间</w:t>
      </w:r>
    </w:p>
    <w:p w14:paraId="7FF29936">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本项(2)目细化为:</w:t>
      </w:r>
    </w:p>
    <w:p w14:paraId="22681C3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发包人应在监理人出具交工付款证书且承包人提交了合格的增值税专用发票后的14天内，将应支付款支付给承包人。发包人不按期支付的，按第17.3.3(2)目的约定，将逾期付款违约金支付给承包人。</w:t>
      </w:r>
    </w:p>
    <w:p w14:paraId="1726C93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17.6最终结清</w:t>
      </w:r>
    </w:p>
    <w:p w14:paraId="08ED2F4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17.6.1最终结清申请单</w:t>
      </w:r>
    </w:p>
    <w:p w14:paraId="2DA55B3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本项（1）目约定为：</w:t>
      </w:r>
    </w:p>
    <w:p w14:paraId="36F4673A">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承包人向监理人提交最终结清申请单（包括相关证明材料）的份数在项目专用合</w:t>
      </w:r>
      <w:r>
        <w:rPr>
          <w:rFonts w:hint="eastAsia" w:ascii="宋体" w:hAnsi="宋体"/>
          <w:color w:val="auto"/>
          <w:spacing w:val="-1"/>
          <w:sz w:val="24"/>
          <w:szCs w:val="24"/>
          <w:highlight w:val="none"/>
        </w:rPr>
        <w:t>同条款数据表中约定；期限：缺陷责任期终止证书签发后28天内。</w:t>
      </w:r>
    </w:p>
    <w:p w14:paraId="5E1E5A3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最终结清申请单中的总金额应认为是代表了根据合同规定应付给承包人的全部款项的最后结算。</w:t>
      </w:r>
    </w:p>
    <w:p w14:paraId="7B5D8AF0">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17.6.2最终结清证书和支付时间</w:t>
      </w:r>
    </w:p>
    <w:p w14:paraId="4B92F99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本项(2)目细化为:</w:t>
      </w:r>
    </w:p>
    <w:p w14:paraId="654D6C87">
      <w:pPr>
        <w:spacing w:line="520" w:lineRule="exact"/>
        <w:ind w:firstLine="476" w:firstLineChars="200"/>
        <w:rPr>
          <w:rFonts w:ascii="宋体" w:hAnsi="宋体"/>
          <w:color w:val="auto"/>
          <w:sz w:val="24"/>
          <w:szCs w:val="24"/>
          <w:highlight w:val="none"/>
        </w:rPr>
      </w:pPr>
      <w:bookmarkStart w:id="312" w:name="82"/>
      <w:bookmarkEnd w:id="312"/>
      <w:r>
        <w:rPr>
          <w:rFonts w:hint="eastAsia" w:ascii="宋体" w:hAnsi="宋体"/>
          <w:color w:val="auto"/>
          <w:spacing w:val="-1"/>
          <w:sz w:val="24"/>
          <w:szCs w:val="24"/>
          <w:highlight w:val="none"/>
        </w:rPr>
        <w:t>(2)发包人应在监理人出具最终结清证书且承包人提交了合格的增值税专用发票后的14天内，将应支付款支付给承包人。发包人不按期支付的，按17.3.3(2)目的约定，将逾期付款违约金支付给承包人。</w:t>
      </w:r>
    </w:p>
    <w:p w14:paraId="78FE6580">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18.交工验收</w:t>
      </w:r>
    </w:p>
    <w:p w14:paraId="40AC16C2">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18.2交工验收申请报告</w:t>
      </w:r>
    </w:p>
    <w:p w14:paraId="0CBE0C3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本款第（2）项约定为：</w:t>
      </w:r>
    </w:p>
    <w:p w14:paraId="2264926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竣工资料的内容：承包人应按照《公路工程竣（交）工验收办法》和相关规定编制竣工资料。</w:t>
      </w:r>
    </w:p>
    <w:p w14:paraId="1097604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竣工资料的份数在项目专用合同条款数据表中约定。</w:t>
      </w:r>
    </w:p>
    <w:p w14:paraId="3128E8E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18.3验收</w:t>
      </w:r>
    </w:p>
    <w:p w14:paraId="40DDCF5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第18.3.2项补充：</w:t>
      </w:r>
    </w:p>
    <w:p w14:paraId="61AFDDD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交工验收由发包人主持，由发包人、监理人、质监、设计、施工、运营、管理养护等有关部门代表组成交工验收小组，对本项目的工程质量进行评定，并写出交工验收报告报交通主管部门备案。承包人应按发包人的要求提交竣工资料，完成交工验收准备工作。</w:t>
      </w:r>
    </w:p>
    <w:p w14:paraId="6D43076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第18.3.5项约定为：</w:t>
      </w:r>
    </w:p>
    <w:p w14:paraId="3D6902E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经验收合格工程的实际交工日期，以最终提交交工验收申请报告的日期为准，并在交工验收证书中写明。</w:t>
      </w:r>
    </w:p>
    <w:p w14:paraId="165B741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本款补充第18.3.7项：</w:t>
      </w:r>
    </w:p>
    <w:p w14:paraId="57919033">
      <w:pPr>
        <w:spacing w:line="520" w:lineRule="exact"/>
        <w:ind w:firstLine="468" w:firstLineChars="200"/>
        <w:rPr>
          <w:rFonts w:ascii="宋体" w:hAnsi="宋体"/>
          <w:color w:val="auto"/>
          <w:sz w:val="24"/>
          <w:szCs w:val="24"/>
          <w:highlight w:val="none"/>
        </w:rPr>
      </w:pPr>
      <w:r>
        <w:rPr>
          <w:rFonts w:hint="eastAsia" w:ascii="宋体" w:hAnsi="宋体"/>
          <w:color w:val="auto"/>
          <w:spacing w:val="-3"/>
          <w:sz w:val="24"/>
          <w:szCs w:val="24"/>
          <w:highlight w:val="none"/>
        </w:rPr>
        <w:t>组织办理交工验收和签发交工验收证书的费用由发包人承担。但按照第</w:t>
      </w:r>
      <w:r>
        <w:rPr>
          <w:rFonts w:hint="eastAsia" w:ascii="宋体" w:hAnsi="宋体"/>
          <w:color w:val="auto"/>
          <w:spacing w:val="-1"/>
          <w:sz w:val="24"/>
          <w:szCs w:val="24"/>
          <w:highlight w:val="none"/>
        </w:rPr>
        <w:t>18.3.4项规定达不到合格标准的交工验收费用由承包人承担。</w:t>
      </w:r>
    </w:p>
    <w:p w14:paraId="68F2EA2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本条补充第18.9款：</w:t>
      </w:r>
    </w:p>
    <w:p w14:paraId="06332E26">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18.9竣工文件</w:t>
      </w:r>
    </w:p>
    <w:p w14:paraId="7BBBD7B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承包人应按照《公路工程竣（交）工验收办法》中的相关规定，在缺陷责任期内为竣工验收补充军工资了，并在签发缺陷责任期终止证书之前提交。</w:t>
      </w:r>
    </w:p>
    <w:p w14:paraId="1DA6CA23">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19.缺陷责任与保修责任</w:t>
      </w:r>
    </w:p>
    <w:p w14:paraId="513F29CF">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19.2缺陷责任</w:t>
      </w:r>
    </w:p>
    <w:p w14:paraId="4F1C4DF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第19.2.2项补充：</w:t>
      </w:r>
    </w:p>
    <w:p w14:paraId="1AA5FF6C">
      <w:pPr>
        <w:spacing w:line="520" w:lineRule="exact"/>
        <w:ind w:firstLine="476" w:firstLineChars="200"/>
        <w:rPr>
          <w:rFonts w:ascii="宋体" w:hAnsi="宋体"/>
          <w:color w:val="auto"/>
          <w:sz w:val="24"/>
          <w:szCs w:val="24"/>
          <w:highlight w:val="none"/>
        </w:rPr>
      </w:pPr>
      <w:bookmarkStart w:id="313" w:name="83"/>
      <w:bookmarkEnd w:id="313"/>
      <w:r>
        <w:rPr>
          <w:rFonts w:hint="eastAsia" w:ascii="宋体" w:hAnsi="宋体"/>
          <w:color w:val="auto"/>
          <w:spacing w:val="-1"/>
          <w:sz w:val="24"/>
          <w:szCs w:val="24"/>
          <w:highlight w:val="none"/>
        </w:rPr>
        <w:t>在缺陷责任期内，承包人应尽快完成在交工验收证书中写明的未完成工作，并完成对本工程缺陷的修复或监理人指令的修补工作。</w:t>
      </w:r>
    </w:p>
    <w:p w14:paraId="2DFCA6C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19.5承包人的进入权</w:t>
      </w:r>
    </w:p>
    <w:p w14:paraId="6F72BAD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本款补充：</w:t>
      </w:r>
    </w:p>
    <w:p w14:paraId="01C4CEC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承包人在缺陷修复施工过程中，应服从管养单位的有关安全管理规定，由于承包人自身原因造成的人员伤亡、设备和材料的损毁及罚款等责任由承包人自负。</w:t>
      </w:r>
    </w:p>
    <w:p w14:paraId="65EC6B21">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19.7保修责任</w:t>
      </w:r>
    </w:p>
    <w:p w14:paraId="69275BD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本款细化为：</w:t>
      </w:r>
    </w:p>
    <w:p w14:paraId="2B2F1083">
      <w:pPr>
        <w:spacing w:line="520" w:lineRule="exact"/>
        <w:ind w:firstLine="456"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保修期自实际交工日期起计算，具体期限在项目专用合同条款数据表中约定。</w:t>
      </w:r>
    </w:p>
    <w:p w14:paraId="5F49436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保修期与缺陷责任期重叠的期间内，承包人的保修责任同缺陷责任。在缺陷责任期满</w:t>
      </w:r>
      <w:r>
        <w:rPr>
          <w:rFonts w:hint="eastAsia" w:ascii="宋体" w:hAnsi="宋体"/>
          <w:color w:val="auto"/>
          <w:sz w:val="24"/>
          <w:szCs w:val="24"/>
          <w:highlight w:val="none"/>
        </w:rPr>
        <w:t>后的保修期内，承包人可不在工地留有办事人员和机械设备，但必须随时与发包人保</w:t>
      </w:r>
      <w:r>
        <w:rPr>
          <w:rFonts w:hint="eastAsia" w:ascii="宋体" w:hAnsi="宋体"/>
          <w:color w:val="auto"/>
          <w:spacing w:val="-1"/>
          <w:sz w:val="24"/>
          <w:szCs w:val="24"/>
          <w:highlight w:val="none"/>
        </w:rPr>
        <w:t>持联系，在保修期内承包人应对由于施工质量原因造成的损坏自费进行修复。</w:t>
      </w:r>
    </w:p>
    <w:p w14:paraId="289F8E6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）在全部工程交工验收前，已经发包人提前验收的单位工程，其保修期的起算</w:t>
      </w:r>
      <w:r>
        <w:rPr>
          <w:rFonts w:hint="eastAsia" w:ascii="宋体" w:hAnsi="宋体"/>
          <w:color w:val="auto"/>
          <w:spacing w:val="-1"/>
          <w:sz w:val="24"/>
          <w:szCs w:val="24"/>
          <w:highlight w:val="none"/>
        </w:rPr>
        <w:t>日期相应提前。</w:t>
      </w:r>
    </w:p>
    <w:p w14:paraId="25D7A5DD">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（3）工程保修期终止后28天内，监理人签发保修期终止证书。</w:t>
      </w:r>
    </w:p>
    <w:p w14:paraId="4BEAADA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6"/>
          <w:sz w:val="24"/>
          <w:szCs w:val="24"/>
          <w:highlight w:val="none"/>
        </w:rPr>
        <w:t>）若承包人不履行保修义务和责任，则承包人应承担由于违约造成的法律后果，</w:t>
      </w:r>
      <w:r>
        <w:rPr>
          <w:rFonts w:hint="eastAsia" w:ascii="宋体" w:hAnsi="宋体"/>
          <w:color w:val="auto"/>
          <w:spacing w:val="-1"/>
          <w:sz w:val="24"/>
          <w:szCs w:val="24"/>
          <w:highlight w:val="none"/>
        </w:rPr>
        <w:t>并由发包人将其违约行为上报省级交通主管部门，作为不良记录纳入公路建设时常信用信息管理系统。</w:t>
      </w:r>
    </w:p>
    <w:p w14:paraId="5E355BD4">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20.保险</w:t>
      </w:r>
    </w:p>
    <w:p w14:paraId="5F8B10E0">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20.1工程保险</w:t>
      </w:r>
    </w:p>
    <w:p w14:paraId="6056D34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本款约定为：</w:t>
      </w:r>
    </w:p>
    <w:p w14:paraId="3DD8037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建筑工程—切险的投保内容：为本合同工程的永久工程、临时工程和设备及已运至施工工地用于永久工程的材料和设备所投的保险。</w:t>
      </w:r>
    </w:p>
    <w:p w14:paraId="5ED67389">
      <w:pPr>
        <w:spacing w:line="520" w:lineRule="exact"/>
        <w:ind w:firstLine="444" w:firstLineChars="200"/>
        <w:rPr>
          <w:rFonts w:ascii="宋体" w:hAnsi="宋体"/>
          <w:color w:val="auto"/>
          <w:sz w:val="24"/>
          <w:szCs w:val="24"/>
          <w:highlight w:val="none"/>
        </w:rPr>
      </w:pPr>
      <w:r>
        <w:rPr>
          <w:rFonts w:hint="eastAsia" w:ascii="宋体" w:hAnsi="宋体"/>
          <w:color w:val="auto"/>
          <w:spacing w:val="-9"/>
          <w:sz w:val="24"/>
          <w:szCs w:val="24"/>
          <w:highlight w:val="none"/>
        </w:rPr>
        <w:t>保险金额：工程量清单</w:t>
      </w:r>
      <w:r>
        <w:rPr>
          <w:rFonts w:hint="eastAsia" w:ascii="宋体" w:hAnsi="宋体"/>
          <w:color w:val="auto"/>
          <w:spacing w:val="-5"/>
          <w:sz w:val="24"/>
          <w:szCs w:val="24"/>
          <w:highlight w:val="none"/>
        </w:rPr>
        <w:t>（不含建筑工程一切险及第三者责任险的保险费）中</w:t>
      </w:r>
      <w:r>
        <w:rPr>
          <w:rFonts w:hint="eastAsia" w:ascii="宋体" w:hAnsi="宋体"/>
          <w:color w:val="auto"/>
          <w:spacing w:val="-1"/>
          <w:sz w:val="24"/>
          <w:szCs w:val="24"/>
          <w:highlight w:val="none"/>
        </w:rPr>
        <w:t>的合计金额。</w:t>
      </w:r>
    </w:p>
    <w:p w14:paraId="05E78BF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保险费率：在项目专用条款数据表中约定。</w:t>
      </w:r>
    </w:p>
    <w:p w14:paraId="7A460C9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保险期限：开工日起直至本合同工程签发缺陷责任期终止证书止（即合同工期＋缺陷责任期）</w:t>
      </w:r>
      <w:bookmarkStart w:id="314" w:name="84"/>
      <w:bookmarkEnd w:id="314"/>
      <w:r>
        <w:rPr>
          <w:rFonts w:hint="eastAsia" w:ascii="宋体" w:hAnsi="宋体"/>
          <w:color w:val="auto"/>
          <w:spacing w:val="-1"/>
          <w:sz w:val="24"/>
          <w:szCs w:val="24"/>
          <w:highlight w:val="none"/>
        </w:rPr>
        <w:t>承包人应以发包人和承包人的共同名义投保建筑工程一切险。建筑工程一切险的</w:t>
      </w:r>
    </w:p>
    <w:p w14:paraId="7D024E8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保险费由承包人报价时列入工程量清单内。发包人在接到保险单后，将按照保险单的费用直接向承包人支付。</w:t>
      </w:r>
    </w:p>
    <w:p w14:paraId="511F726B">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20.4第三者责任险</w:t>
      </w:r>
    </w:p>
    <w:p w14:paraId="591B0DA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第20.4.2项补充：</w:t>
      </w:r>
    </w:p>
    <w:p w14:paraId="5AAFA2B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第三者责任险的保险费由承包人报价时列入工程量清单内。发包人在接到保险单后，将按照保险单的费用直接向承包人支付。</w:t>
      </w:r>
    </w:p>
    <w:p w14:paraId="171CC02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20.5其他保险</w:t>
      </w:r>
    </w:p>
    <w:p w14:paraId="50D0551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本款约定为：</w:t>
      </w:r>
    </w:p>
    <w:p w14:paraId="75F78E8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承包人应为其施工设备等办理保险，其投保金额应足以现场重量。办理本款保险的一切费用均由承包人承担，并包括在工程量清单的单价及总额价中，发包人不单独支付。</w:t>
      </w:r>
    </w:p>
    <w:p w14:paraId="12533E4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20.6对各项保险的一般要求</w:t>
      </w:r>
    </w:p>
    <w:p w14:paraId="06937AF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20.6.1保险凭证</w:t>
      </w:r>
    </w:p>
    <w:p w14:paraId="2741DCB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本项约定为：</w:t>
      </w:r>
    </w:p>
    <w:p w14:paraId="1C2A0172">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承包人向发包人提交各项保险生效的证据和保险单副本的期限：开工后56天内。</w:t>
      </w:r>
    </w:p>
    <w:p w14:paraId="60CACEA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20.6.3持续保险</w:t>
      </w:r>
    </w:p>
    <w:p w14:paraId="3E829C3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本项补充：</w:t>
      </w:r>
    </w:p>
    <w:p w14:paraId="5667FE9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在整个合同期内，承包人应按合同条款保证足够的保险额。</w:t>
      </w:r>
    </w:p>
    <w:p w14:paraId="38AF7A9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20.6.4保险金不足的补偿</w:t>
      </w:r>
    </w:p>
    <w:p w14:paraId="6B5D1B2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本项细化为：</w:t>
      </w:r>
    </w:p>
    <w:p w14:paraId="78596110">
      <w:pPr>
        <w:spacing w:line="520" w:lineRule="exact"/>
        <w:ind w:firstLine="432" w:firstLineChars="200"/>
        <w:rPr>
          <w:rFonts w:ascii="宋体" w:hAnsi="宋体"/>
          <w:color w:val="auto"/>
          <w:sz w:val="24"/>
          <w:szCs w:val="24"/>
          <w:highlight w:val="none"/>
        </w:rPr>
      </w:pPr>
      <w:r>
        <w:rPr>
          <w:rFonts w:hint="eastAsia" w:ascii="宋体" w:hAnsi="宋体"/>
          <w:color w:val="auto"/>
          <w:spacing w:val="-12"/>
          <w:sz w:val="24"/>
          <w:szCs w:val="24"/>
          <w:highlight w:val="none"/>
        </w:rPr>
        <w:t>保险金不足补偿损失的（包括免赔额和超过赔偿限额的部分），应由承包人和（或）</w:t>
      </w:r>
      <w:r>
        <w:rPr>
          <w:rFonts w:hint="eastAsia" w:ascii="宋体" w:hAnsi="宋体"/>
          <w:color w:val="auto"/>
          <w:spacing w:val="-1"/>
          <w:sz w:val="24"/>
          <w:szCs w:val="24"/>
          <w:highlight w:val="none"/>
        </w:rPr>
        <w:t>发包人按合同约定负责补偿。</w:t>
      </w:r>
    </w:p>
    <w:p w14:paraId="58E4375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20.6.5未按约定投保的补救</w:t>
      </w:r>
    </w:p>
    <w:p w14:paraId="6BACFC6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本项（2）目细化为：</w:t>
      </w:r>
    </w:p>
    <w:p w14:paraId="402B843E">
      <w:pPr>
        <w:spacing w:line="520" w:lineRule="exact"/>
        <w:ind w:firstLine="476" w:firstLineChars="200"/>
        <w:rPr>
          <w:rFonts w:ascii="宋体" w:hAnsi="宋体"/>
          <w:color w:val="auto"/>
          <w:sz w:val="24"/>
          <w:szCs w:val="24"/>
          <w:highlight w:val="none"/>
        </w:rPr>
      </w:pPr>
      <w:bookmarkStart w:id="315" w:name="85"/>
      <w:bookmarkEnd w:id="315"/>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）由于负有投保义务的一方当事人未按合同约定办理某项保险，或未按保险单</w:t>
      </w:r>
      <w:r>
        <w:rPr>
          <w:rFonts w:hint="eastAsia" w:ascii="宋体" w:hAnsi="宋体"/>
          <w:color w:val="auto"/>
          <w:spacing w:val="-1"/>
          <w:sz w:val="24"/>
          <w:szCs w:val="24"/>
          <w:highlight w:val="none"/>
        </w:rPr>
        <w:t>规定的条件和期限及时间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1423C3C4">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21．不可抗力</w:t>
      </w:r>
    </w:p>
    <w:p w14:paraId="5A873BCE">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21.1不可抗力的确认</w:t>
      </w:r>
    </w:p>
    <w:p w14:paraId="193B340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21.1.1项细化为：</w:t>
      </w:r>
    </w:p>
    <w:p w14:paraId="4B091E7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不可抗力是指承包人和发包人在订立合同时不可预见，在工程施工过程中不可避免发生并不能克服的自然灾害和社会性突发事件。包括但不限于：</w:t>
      </w:r>
    </w:p>
    <w:p w14:paraId="64F7E1A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）地震、海啸、火山爆发、泥石流、暴雨（雪）、台风、龙卷风、水灾等自然</w:t>
      </w:r>
      <w:r>
        <w:rPr>
          <w:rFonts w:hint="eastAsia" w:ascii="宋体" w:hAnsi="宋体"/>
          <w:color w:val="auto"/>
          <w:spacing w:val="-1"/>
          <w:sz w:val="24"/>
          <w:szCs w:val="24"/>
          <w:highlight w:val="none"/>
        </w:rPr>
        <w:t>灾害；</w:t>
      </w:r>
    </w:p>
    <w:p w14:paraId="66FC153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3"/>
          <w:sz w:val="24"/>
          <w:szCs w:val="24"/>
          <w:highlight w:val="none"/>
        </w:rPr>
        <w:t>）战争、骚乱、暴动，但纯属承包人或其分包人派遣与雇用的人员由于本合同</w:t>
      </w:r>
      <w:r>
        <w:rPr>
          <w:rFonts w:hint="eastAsia" w:ascii="宋体" w:hAnsi="宋体"/>
          <w:color w:val="auto"/>
          <w:spacing w:val="-1"/>
          <w:sz w:val="24"/>
          <w:szCs w:val="24"/>
          <w:highlight w:val="none"/>
        </w:rPr>
        <w:t>工程施工原因引起者除外；</w:t>
      </w:r>
    </w:p>
    <w:p w14:paraId="09151C2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（3）核反应、辐射或放射性污染；</w:t>
      </w:r>
    </w:p>
    <w:p w14:paraId="53F7415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（4）空中飞行物体附落或非发包人或承包人责任造成的爆炸、火灾；</w:t>
      </w:r>
    </w:p>
    <w:p w14:paraId="51D40C3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（5）瘟疫；</w:t>
      </w:r>
    </w:p>
    <w:p w14:paraId="68BF426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（6）项目专用合同条款约定的其他情形。</w:t>
      </w:r>
    </w:p>
    <w:p w14:paraId="7EA073A7">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21.3不可抗力后果及其处理</w:t>
      </w:r>
    </w:p>
    <w:p w14:paraId="02E1525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21.3.4因不可抗力解除合同</w:t>
      </w:r>
    </w:p>
    <w:p w14:paraId="406C68F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本项细化为：</w:t>
      </w:r>
    </w:p>
    <w:p w14:paraId="4B02726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合同一方当事人因不可抗力不能履行合同的，应当及时通知对方解除合同。合同</w:t>
      </w:r>
      <w:r>
        <w:rPr>
          <w:rFonts w:hint="eastAsia" w:ascii="宋体" w:hAnsi="宋体"/>
          <w:color w:val="auto"/>
          <w:spacing w:val="-3"/>
          <w:sz w:val="24"/>
          <w:szCs w:val="24"/>
          <w:highlight w:val="none"/>
        </w:rPr>
        <w:t>解除后，承包人应按照第</w:t>
      </w:r>
      <w:r>
        <w:rPr>
          <w:rFonts w:hint="eastAsia" w:ascii="宋体" w:hAnsi="宋体"/>
          <w:color w:val="auto"/>
          <w:spacing w:val="-1"/>
          <w:sz w:val="24"/>
          <w:szCs w:val="24"/>
          <w:highlight w:val="none"/>
        </w:rPr>
        <w:t>22.2.5</w:t>
      </w:r>
      <w:r>
        <w:rPr>
          <w:rFonts w:hint="eastAsia" w:ascii="宋体" w:hAnsi="宋体"/>
          <w:color w:val="auto"/>
          <w:spacing w:val="-3"/>
          <w:sz w:val="24"/>
          <w:szCs w:val="24"/>
          <w:highlight w:val="none"/>
        </w:rPr>
        <w:t>项约定撤离施工场地。已经订货的材料、设备由订货</w:t>
      </w:r>
      <w:r>
        <w:rPr>
          <w:rFonts w:hint="eastAsia" w:ascii="宋体" w:hAnsi="宋体"/>
          <w:color w:val="auto"/>
          <w:spacing w:val="-1"/>
          <w:sz w:val="24"/>
          <w:szCs w:val="24"/>
          <w:highlight w:val="none"/>
        </w:rPr>
        <w:t>方负责退货或解除订货合同，不能退还的货款和因退货、解除订货合同发生的费作，由发包人承担，因未有时退货造成的损失由责任方承担。合同解除后的付款，参照第2.2.4</w:t>
      </w:r>
      <w:r>
        <w:rPr>
          <w:rFonts w:hint="eastAsia" w:ascii="宋体" w:hAnsi="宋体"/>
          <w:color w:val="auto"/>
          <w:spacing w:val="-4"/>
          <w:sz w:val="24"/>
          <w:szCs w:val="24"/>
          <w:highlight w:val="none"/>
        </w:rPr>
        <w:t>项约定，由监理人按第</w:t>
      </w:r>
      <w:r>
        <w:rPr>
          <w:rFonts w:hint="eastAsia" w:ascii="宋体" w:hAnsi="宋体"/>
          <w:color w:val="auto"/>
          <w:spacing w:val="-1"/>
          <w:sz w:val="24"/>
          <w:szCs w:val="24"/>
          <w:highlight w:val="none"/>
        </w:rPr>
        <w:t>3.5</w:t>
      </w:r>
      <w:r>
        <w:rPr>
          <w:rFonts w:hint="eastAsia" w:ascii="宋体" w:hAnsi="宋体"/>
          <w:color w:val="auto"/>
          <w:spacing w:val="-2"/>
          <w:sz w:val="24"/>
          <w:szCs w:val="24"/>
          <w:highlight w:val="none"/>
        </w:rPr>
        <w:t>款商定或确定，但由于解除合同应赔偿的承包人损</w:t>
      </w:r>
      <w:r>
        <w:rPr>
          <w:rFonts w:hint="eastAsia" w:ascii="宋体" w:hAnsi="宋体"/>
          <w:color w:val="auto"/>
          <w:spacing w:val="-1"/>
          <w:sz w:val="24"/>
          <w:szCs w:val="24"/>
          <w:highlight w:val="none"/>
        </w:rPr>
        <w:t>失不予考虑。</w:t>
      </w:r>
    </w:p>
    <w:p w14:paraId="0C9DD618">
      <w:pPr>
        <w:spacing w:line="520" w:lineRule="exact"/>
        <w:jc w:val="center"/>
        <w:rPr>
          <w:rFonts w:ascii="宋体" w:hAnsi="宋体"/>
          <w:b/>
          <w:bCs/>
          <w:color w:val="auto"/>
          <w:szCs w:val="21"/>
          <w:highlight w:val="none"/>
        </w:rPr>
      </w:pPr>
      <w:bookmarkStart w:id="316" w:name="86"/>
      <w:bookmarkEnd w:id="316"/>
      <w:r>
        <w:rPr>
          <w:rFonts w:hint="eastAsia" w:ascii="宋体" w:hAnsi="宋体"/>
          <w:b/>
          <w:bCs/>
          <w:color w:val="auto"/>
          <w:sz w:val="28"/>
          <w:szCs w:val="28"/>
          <w:highlight w:val="none"/>
        </w:rPr>
        <w:t>22.违约</w:t>
      </w:r>
    </w:p>
    <w:p w14:paraId="1520F91E">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22.1承包人违约</w:t>
      </w:r>
    </w:p>
    <w:p w14:paraId="525DF2D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22.1.1承包人违约的情形</w:t>
      </w:r>
    </w:p>
    <w:p w14:paraId="3D101AE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本项（2）目细化为：</w:t>
      </w:r>
    </w:p>
    <w:p w14:paraId="2BEAFDB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4"/>
          <w:sz w:val="24"/>
          <w:szCs w:val="24"/>
          <w:highlight w:val="none"/>
        </w:rPr>
        <w:t>）承包人违反第</w:t>
      </w:r>
      <w:r>
        <w:rPr>
          <w:rFonts w:hint="eastAsia" w:ascii="宋体" w:hAnsi="宋体"/>
          <w:color w:val="auto"/>
          <w:spacing w:val="-1"/>
          <w:sz w:val="24"/>
          <w:szCs w:val="24"/>
          <w:highlight w:val="none"/>
        </w:rPr>
        <w:t>5.3款或第6.4</w:t>
      </w:r>
      <w:r>
        <w:rPr>
          <w:rFonts w:hint="eastAsia" w:ascii="宋体" w:hAnsi="宋体"/>
          <w:color w:val="auto"/>
          <w:spacing w:val="-3"/>
          <w:sz w:val="24"/>
          <w:szCs w:val="24"/>
          <w:highlight w:val="none"/>
        </w:rPr>
        <w:t>款的约定，未经监理人批准，私自将已按合同</w:t>
      </w:r>
      <w:r>
        <w:rPr>
          <w:rFonts w:hint="eastAsia" w:ascii="宋体" w:hAnsi="宋体"/>
          <w:color w:val="auto"/>
          <w:spacing w:val="-1"/>
          <w:sz w:val="24"/>
          <w:szCs w:val="24"/>
          <w:highlight w:val="none"/>
        </w:rPr>
        <w:t>约定进入施工场地的施工设备、临时设施、材料或工程设备撤离施工场地；</w:t>
      </w:r>
    </w:p>
    <w:p w14:paraId="2279C19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本项（7）目细化为：</w:t>
      </w:r>
    </w:p>
    <w:p w14:paraId="6229A68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（7）承包人未能按期开工；</w:t>
      </w:r>
    </w:p>
    <w:p w14:paraId="4E82912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（8</w:t>
      </w:r>
      <w:r>
        <w:rPr>
          <w:rFonts w:hint="eastAsia" w:ascii="宋体" w:hAnsi="宋体"/>
          <w:color w:val="auto"/>
          <w:spacing w:val="-6"/>
          <w:sz w:val="24"/>
          <w:szCs w:val="24"/>
          <w:highlight w:val="none"/>
        </w:rPr>
        <w:t>）承包人违反第</w:t>
      </w:r>
      <w:r>
        <w:rPr>
          <w:rFonts w:hint="eastAsia" w:ascii="宋体" w:hAnsi="宋体"/>
          <w:color w:val="auto"/>
          <w:spacing w:val="-1"/>
          <w:sz w:val="24"/>
          <w:szCs w:val="24"/>
          <w:highlight w:val="none"/>
        </w:rPr>
        <w:t>4.6款或6.3</w:t>
      </w:r>
      <w:r>
        <w:rPr>
          <w:rFonts w:hint="eastAsia" w:ascii="宋体" w:hAnsi="宋体"/>
          <w:color w:val="auto"/>
          <w:spacing w:val="-2"/>
          <w:sz w:val="24"/>
          <w:szCs w:val="24"/>
          <w:highlight w:val="none"/>
        </w:rPr>
        <w:t>款的规定，未按承诺或未按监理人的要求及时配</w:t>
      </w:r>
      <w:r>
        <w:rPr>
          <w:rFonts w:hint="eastAsia" w:ascii="宋体" w:hAnsi="宋体"/>
          <w:color w:val="auto"/>
          <w:spacing w:val="-1"/>
          <w:sz w:val="24"/>
          <w:szCs w:val="24"/>
          <w:highlight w:val="none"/>
        </w:rPr>
        <w:t>备称职的主要管理人员、技术骨干或关键施工设备；</w:t>
      </w:r>
    </w:p>
    <w:p w14:paraId="0F02997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w:t>
      </w:r>
      <w:r>
        <w:rPr>
          <w:rFonts w:hint="eastAsia" w:ascii="宋体" w:hAnsi="宋体"/>
          <w:color w:val="auto"/>
          <w:spacing w:val="-3"/>
          <w:sz w:val="24"/>
          <w:szCs w:val="24"/>
          <w:highlight w:val="none"/>
        </w:rPr>
        <w:t>）经监理人和发包人检查，发现承包人有安全问题或有违反安全管理规章制度</w:t>
      </w:r>
      <w:r>
        <w:rPr>
          <w:rFonts w:hint="eastAsia" w:ascii="宋体" w:hAnsi="宋体"/>
          <w:color w:val="auto"/>
          <w:spacing w:val="-1"/>
          <w:sz w:val="24"/>
          <w:szCs w:val="24"/>
          <w:highlight w:val="none"/>
        </w:rPr>
        <w:t>的情况；（10）承包人不按合同约定履行义务的其他情况。</w:t>
      </w:r>
    </w:p>
    <w:p w14:paraId="75664D8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22.1.2对承包人违约的处理</w:t>
      </w:r>
    </w:p>
    <w:p w14:paraId="354DDDA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本项补充：</w:t>
      </w:r>
    </w:p>
    <w:p w14:paraId="4AC68C3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承包人发生第22.1.1项约定的违约情况时，无论发包人是否解除合同，发包人均有权向承包人课以项目专用合同条款中规定的违约金，并由发包人将其违约行为上报省级交通主管部门，作为不良记录纳入公路建设市场信用信息管理系统。</w:t>
      </w:r>
    </w:p>
    <w:p w14:paraId="07EF45AC">
      <w:pPr>
        <w:spacing w:line="520" w:lineRule="exact"/>
        <w:ind w:firstLine="480" w:firstLineChars="200"/>
        <w:rPr>
          <w:rFonts w:ascii="宋体" w:hAnsi="宋体"/>
          <w:color w:val="auto"/>
          <w:szCs w:val="21"/>
          <w:highlight w:val="none"/>
        </w:rPr>
      </w:pPr>
      <w:r>
        <w:rPr>
          <w:rFonts w:hint="eastAsia" w:ascii="宋体" w:hAnsi="宋体"/>
          <w:color w:val="auto"/>
          <w:sz w:val="24"/>
          <w:szCs w:val="24"/>
          <w:highlight w:val="none"/>
        </w:rPr>
        <w:t>22.2发包人违约</w:t>
      </w:r>
    </w:p>
    <w:p w14:paraId="12A2FF1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22.2.1发包人违约的情形</w:t>
      </w:r>
    </w:p>
    <w:p w14:paraId="7108CC1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本想（5）目细化为：</w:t>
      </w:r>
    </w:p>
    <w:p w14:paraId="28756E8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(5)发包人无正当理由不按时返还质量保证金或农民工工资保证金的:</w:t>
      </w:r>
    </w:p>
    <w:p w14:paraId="4BD2B90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(6)发包人不履行合同约定其他义务的。</w:t>
      </w:r>
    </w:p>
    <w:p w14:paraId="5F23D27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22.2.2承包人有权暂停施工</w:t>
      </w:r>
    </w:p>
    <w:p w14:paraId="7BA4411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本项细化为：</w:t>
      </w:r>
    </w:p>
    <w:p w14:paraId="112D9FEC">
      <w:pPr>
        <w:spacing w:line="520" w:lineRule="exact"/>
        <w:ind w:firstLine="476" w:firstLineChars="200"/>
        <w:rPr>
          <w:rFonts w:ascii="宋体" w:hAnsi="宋体"/>
          <w:color w:val="auto"/>
          <w:sz w:val="24"/>
          <w:szCs w:val="24"/>
          <w:highlight w:val="none"/>
        </w:rPr>
      </w:pPr>
      <w:bookmarkStart w:id="317" w:name="87"/>
      <w:bookmarkEnd w:id="317"/>
      <w:r>
        <w:rPr>
          <w:rFonts w:hint="eastAsia" w:ascii="宋体" w:hAnsi="宋体"/>
          <w:color w:val="auto"/>
          <w:spacing w:val="-1"/>
          <w:sz w:val="24"/>
          <w:szCs w:val="24"/>
          <w:highlight w:val="none"/>
        </w:rPr>
        <w:t>发包人发生除第22.2.1(4)、(5)目以外的违约情况时，承包人可向发包人发</w:t>
      </w:r>
      <w:bookmarkStart w:id="318" w:name="88"/>
      <w:bookmarkEnd w:id="318"/>
      <w:r>
        <w:rPr>
          <w:rFonts w:hint="eastAsia" w:ascii="宋体" w:hAnsi="宋体"/>
          <w:color w:val="auto"/>
          <w:spacing w:val="-3"/>
          <w:sz w:val="24"/>
          <w:szCs w:val="24"/>
          <w:highlight w:val="none"/>
        </w:rPr>
        <w:t>出通知，要求发包人采取有效措施纠正违约行为。发包人收到承包人通知后</w:t>
      </w:r>
      <w:r>
        <w:rPr>
          <w:rFonts w:hint="eastAsia" w:ascii="宋体" w:hAnsi="宋体"/>
          <w:color w:val="auto"/>
          <w:spacing w:val="-1"/>
          <w:sz w:val="24"/>
          <w:szCs w:val="24"/>
          <w:highlight w:val="none"/>
        </w:rPr>
        <w:t>的28天内仍不履行合同义务，承包人有权暂停施工，并通知监理人，发包人应承担由此增加的费用和(或)工期延误，并支付承包人合理利润。</w:t>
      </w:r>
    </w:p>
    <w:p w14:paraId="7831BD4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发包人发生第22.2.1(5)</w:t>
      </w:r>
      <w:r>
        <w:rPr>
          <w:rFonts w:hint="eastAsia" w:ascii="宋体" w:hAnsi="宋体"/>
          <w:color w:val="auto"/>
          <w:spacing w:val="-2"/>
          <w:sz w:val="24"/>
          <w:szCs w:val="24"/>
          <w:highlight w:val="none"/>
        </w:rPr>
        <w:t>目的违约情况时，承包人可向发包人发</w:t>
      </w:r>
      <w:r>
        <w:rPr>
          <w:rFonts w:hint="eastAsia" w:ascii="宋体" w:hAnsi="宋体"/>
          <w:color w:val="auto"/>
          <w:spacing w:val="-1"/>
          <w:sz w:val="24"/>
          <w:szCs w:val="24"/>
          <w:highlight w:val="none"/>
        </w:rPr>
        <w:t>出通知，要求</w:t>
      </w:r>
      <w:r>
        <w:rPr>
          <w:rFonts w:hint="eastAsia" w:ascii="宋体" w:hAnsi="宋体"/>
          <w:color w:val="auto"/>
          <w:spacing w:val="-6"/>
          <w:sz w:val="24"/>
          <w:szCs w:val="24"/>
          <w:highlight w:val="none"/>
        </w:rPr>
        <w:t>发包人采取有效措施纠正违约行为。发包</w:t>
      </w:r>
      <w:r>
        <w:rPr>
          <w:rFonts w:hint="eastAsia" w:ascii="宋体" w:hAnsi="宋体"/>
          <w:color w:val="auto"/>
          <w:spacing w:val="-1"/>
          <w:sz w:val="24"/>
          <w:szCs w:val="24"/>
          <w:highlight w:val="none"/>
        </w:rPr>
        <w:t>人收到承包人通知后的28天内仍不返还质量保证金或农民工工资保证金的，发包人应按项目专用合同条款的约定向承包人支付逾期返还保证金的违约金。</w:t>
      </w:r>
    </w:p>
    <w:p w14:paraId="1AB9C42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22.2.4解除合同后的付款</w:t>
      </w:r>
    </w:p>
    <w:p w14:paraId="41CBC5E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本项（2）目细化为：</w:t>
      </w:r>
    </w:p>
    <w:p w14:paraId="27212ECE">
      <w:pPr>
        <w:spacing w:line="520" w:lineRule="exact"/>
        <w:ind w:firstLine="476" w:firstLineChars="200"/>
        <w:rPr>
          <w:rFonts w:ascii="宋体" w:hAnsi="宋体"/>
          <w:color w:val="auto"/>
          <w:szCs w:val="21"/>
          <w:highlight w:val="none"/>
        </w:rPr>
      </w:pPr>
      <w:r>
        <w:rPr>
          <w:rFonts w:hint="eastAsia" w:ascii="宋体" w:hAnsi="宋体"/>
          <w:color w:val="auto"/>
          <w:spacing w:val="-1"/>
          <w:sz w:val="24"/>
          <w:szCs w:val="24"/>
          <w:highlight w:val="none"/>
        </w:rPr>
        <w:t>（2）承包人为该工程施工订购并已付款的材料、工程设备和其他物品的金额，发包人付款后，该材料、工程设备和其他物品归发包人所有；</w:t>
      </w:r>
    </w:p>
    <w:p w14:paraId="58191B41">
      <w:pPr>
        <w:spacing w:line="520" w:lineRule="exact"/>
        <w:jc w:val="center"/>
        <w:rPr>
          <w:rFonts w:ascii="宋体" w:hAnsi="宋体"/>
          <w:b/>
          <w:bCs/>
          <w:color w:val="auto"/>
          <w:highlight w:val="none"/>
        </w:rPr>
      </w:pPr>
      <w:r>
        <w:rPr>
          <w:rFonts w:hint="eastAsia" w:ascii="宋体" w:hAnsi="宋体"/>
          <w:b/>
          <w:bCs/>
          <w:color w:val="auto"/>
          <w:sz w:val="28"/>
          <w:szCs w:val="28"/>
          <w:highlight w:val="none"/>
        </w:rPr>
        <w:t>23.索赔</w:t>
      </w:r>
    </w:p>
    <w:p w14:paraId="52A71011">
      <w:pPr>
        <w:spacing w:line="520" w:lineRule="exact"/>
        <w:jc w:val="center"/>
        <w:rPr>
          <w:rFonts w:ascii="宋体" w:hAnsi="宋体"/>
          <w:color w:val="auto"/>
          <w:sz w:val="24"/>
          <w:szCs w:val="24"/>
          <w:highlight w:val="none"/>
        </w:rPr>
      </w:pPr>
      <w:r>
        <w:rPr>
          <w:rFonts w:hint="eastAsia" w:ascii="宋体" w:hAnsi="宋体"/>
          <w:b/>
          <w:bCs/>
          <w:color w:val="auto"/>
          <w:sz w:val="24"/>
          <w:szCs w:val="24"/>
          <w:highlight w:val="none"/>
        </w:rPr>
        <w:t>23.1承包人索赔的提出</w:t>
      </w:r>
    </w:p>
    <w:p w14:paraId="2A4967C2">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本款第（4）项细化为：</w:t>
      </w:r>
    </w:p>
    <w:p w14:paraId="5E15E98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4"/>
          <w:sz w:val="24"/>
          <w:szCs w:val="24"/>
          <w:highlight w:val="none"/>
        </w:rPr>
        <w:t>）在索赔事件影响结束后的</w:t>
      </w:r>
      <w:r>
        <w:rPr>
          <w:rFonts w:hint="eastAsia" w:ascii="宋体" w:hAnsi="宋体"/>
          <w:color w:val="auto"/>
          <w:spacing w:val="-1"/>
          <w:sz w:val="24"/>
          <w:szCs w:val="24"/>
          <w:highlight w:val="none"/>
        </w:rPr>
        <w:t>28</w:t>
      </w:r>
      <w:r>
        <w:rPr>
          <w:rFonts w:hint="eastAsia" w:ascii="宋体" w:hAnsi="宋体"/>
          <w:color w:val="auto"/>
          <w:spacing w:val="-3"/>
          <w:sz w:val="24"/>
          <w:szCs w:val="24"/>
          <w:highlight w:val="none"/>
        </w:rPr>
        <w:t>天内，承包人应向监理人递交最终索赔通知书，说明最终要求索赔的追加付款金额和（或）延长的工期，并附必要的记录</w:t>
      </w:r>
      <w:r>
        <w:rPr>
          <w:rFonts w:hint="eastAsia" w:ascii="宋体" w:hAnsi="宋体"/>
          <w:color w:val="auto"/>
          <w:spacing w:val="-1"/>
          <w:sz w:val="24"/>
          <w:szCs w:val="24"/>
          <w:highlight w:val="none"/>
        </w:rPr>
        <w:t>和证明材料。</w:t>
      </w:r>
    </w:p>
    <w:p w14:paraId="7735BDD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23.2承包人索赔处理程序</w:t>
      </w:r>
    </w:p>
    <w:p w14:paraId="5341275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本款第（2）项细化为：</w:t>
      </w:r>
    </w:p>
    <w:p w14:paraId="7D8E046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（2）监理人应按第3.5款商定或确定追加的付款和（或）延长的工期，并在收到上述索赔通知书或有关索赔的进一步证明材料后的</w:t>
      </w:r>
      <w:r>
        <w:rPr>
          <w:rFonts w:hint="eastAsia" w:ascii="宋体" w:hAnsi="宋体"/>
          <w:color w:val="auto"/>
          <w:spacing w:val="5"/>
          <w:sz w:val="24"/>
          <w:szCs w:val="24"/>
          <w:highlight w:val="none"/>
        </w:rPr>
        <w:t>42</w:t>
      </w:r>
      <w:r>
        <w:rPr>
          <w:rFonts w:hint="eastAsia" w:ascii="宋体" w:hAnsi="宋体"/>
          <w:color w:val="auto"/>
          <w:spacing w:val="-1"/>
          <w:sz w:val="24"/>
          <w:szCs w:val="24"/>
          <w:highlight w:val="none"/>
        </w:rPr>
        <w:t>天内，将索赔处理结果报发包人批准后答复承包人。如果承包人提出的索赔要求未能遵守第23.1（2</w:t>
      </w:r>
      <w:r>
        <w:rPr>
          <w:rFonts w:hint="eastAsia" w:ascii="宋体" w:hAnsi="宋体"/>
          <w:color w:val="auto"/>
          <w:spacing w:val="-17"/>
          <w:sz w:val="24"/>
          <w:szCs w:val="24"/>
          <w:highlight w:val="none"/>
        </w:rPr>
        <w:t>）～（</w:t>
      </w:r>
      <w:r>
        <w:rPr>
          <w:rFonts w:hint="eastAsia" w:ascii="宋体" w:hAnsi="宋体"/>
          <w:color w:val="auto"/>
          <w:spacing w:val="-1"/>
          <w:sz w:val="24"/>
          <w:szCs w:val="24"/>
          <w:highlight w:val="none"/>
        </w:rPr>
        <w:t>4</w:t>
      </w:r>
      <w:r>
        <w:rPr>
          <w:rFonts w:hint="eastAsia" w:ascii="宋体" w:hAnsi="宋体"/>
          <w:color w:val="auto"/>
          <w:spacing w:val="-2"/>
          <w:sz w:val="24"/>
          <w:szCs w:val="24"/>
          <w:highlight w:val="none"/>
        </w:rPr>
        <w:t>）项规定，则承包人只限于索赔由监理人按当时记当予以核实的那部</w:t>
      </w:r>
      <w:r>
        <w:rPr>
          <w:rFonts w:hint="eastAsia" w:ascii="宋体" w:hAnsi="宋体"/>
          <w:color w:val="auto"/>
          <w:spacing w:val="-1"/>
          <w:sz w:val="24"/>
          <w:szCs w:val="24"/>
          <w:highlight w:val="none"/>
        </w:rPr>
        <w:t>分款额外负担和（或）工期延长天数。</w:t>
      </w:r>
    </w:p>
    <w:p w14:paraId="6B93F5EF">
      <w:pPr>
        <w:spacing w:line="520" w:lineRule="exact"/>
        <w:jc w:val="center"/>
        <w:rPr>
          <w:rFonts w:ascii="宋体" w:hAnsi="宋体"/>
          <w:b/>
          <w:bCs/>
          <w:color w:val="auto"/>
          <w:szCs w:val="21"/>
          <w:highlight w:val="none"/>
        </w:rPr>
      </w:pPr>
      <w:r>
        <w:rPr>
          <w:rFonts w:hint="eastAsia" w:ascii="宋体" w:hAnsi="宋体"/>
          <w:b/>
          <w:bCs/>
          <w:color w:val="auto"/>
          <w:sz w:val="28"/>
          <w:szCs w:val="28"/>
          <w:highlight w:val="none"/>
        </w:rPr>
        <w:t>24.争议的解决</w:t>
      </w:r>
    </w:p>
    <w:p w14:paraId="6730FA9D">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24.3争议评审</w:t>
      </w:r>
    </w:p>
    <w:p w14:paraId="1B44807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第24.3.1项补充：</w:t>
      </w:r>
    </w:p>
    <w:p w14:paraId="0688E8F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争议评审组由3人或5</w:t>
      </w:r>
      <w:r>
        <w:rPr>
          <w:rFonts w:hint="eastAsia" w:ascii="宋体" w:hAnsi="宋体"/>
          <w:color w:val="auto"/>
          <w:spacing w:val="-5"/>
          <w:sz w:val="24"/>
          <w:szCs w:val="24"/>
          <w:highlight w:val="none"/>
        </w:rPr>
        <w:t>人组成，专家的聘请方法可由发包人和承包人共同协</w:t>
      </w:r>
      <w:r>
        <w:rPr>
          <w:rFonts w:hint="eastAsia" w:ascii="宋体" w:hAnsi="宋体"/>
          <w:color w:val="auto"/>
          <w:spacing w:val="-6"/>
          <w:sz w:val="24"/>
          <w:szCs w:val="24"/>
          <w:highlight w:val="none"/>
        </w:rPr>
        <w:t>商确定，亦可请政府主管部门推荐或通过合同争议调解机构聘请，并经双方认同。</w:t>
      </w:r>
    </w:p>
    <w:p w14:paraId="25BF6749">
      <w:pPr>
        <w:spacing w:line="520" w:lineRule="exact"/>
        <w:ind w:firstLine="468" w:firstLineChars="200"/>
        <w:rPr>
          <w:rFonts w:ascii="宋体" w:hAnsi="宋体"/>
          <w:color w:val="auto"/>
          <w:sz w:val="24"/>
          <w:szCs w:val="24"/>
          <w:highlight w:val="none"/>
        </w:rPr>
      </w:pPr>
      <w:r>
        <w:rPr>
          <w:rFonts w:hint="eastAsia" w:ascii="宋体" w:hAnsi="宋体"/>
          <w:color w:val="auto"/>
          <w:spacing w:val="-3"/>
          <w:sz w:val="24"/>
          <w:szCs w:val="24"/>
          <w:highlight w:val="none"/>
        </w:rPr>
        <w:t>争议评审组成员应与合同双方均无利害关系，争议评审组的各项费用由发包人和</w:t>
      </w:r>
      <w:r>
        <w:rPr>
          <w:rFonts w:hint="eastAsia" w:ascii="宋体" w:hAnsi="宋体"/>
          <w:color w:val="auto"/>
          <w:spacing w:val="-1"/>
          <w:sz w:val="24"/>
          <w:szCs w:val="24"/>
          <w:highlight w:val="none"/>
        </w:rPr>
        <w:t>承包人平均分担。</w:t>
      </w:r>
    </w:p>
    <w:p w14:paraId="5115B2D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本条补充第24.</w:t>
      </w:r>
      <w:r>
        <w:rPr>
          <w:rFonts w:hint="eastAsia" w:ascii="宋体" w:hAnsi="宋体"/>
          <w:color w:val="auto"/>
          <w:spacing w:val="-3"/>
          <w:sz w:val="24"/>
          <w:szCs w:val="24"/>
          <w:highlight w:val="none"/>
        </w:rPr>
        <w:t>4第24.5款</w:t>
      </w:r>
      <w:r>
        <w:rPr>
          <w:rFonts w:hint="eastAsia" w:ascii="宋体" w:hAnsi="宋体"/>
          <w:color w:val="auto"/>
          <w:spacing w:val="-9"/>
          <w:sz w:val="24"/>
          <w:szCs w:val="24"/>
          <w:highlight w:val="none"/>
        </w:rPr>
        <w:t>（适用于采用仲裁方式最终解决争议的项目）：</w:t>
      </w:r>
    </w:p>
    <w:p w14:paraId="470C5394">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24.4</w:t>
      </w:r>
      <w:r>
        <w:rPr>
          <w:rFonts w:hint="eastAsia" w:ascii="宋体" w:hAnsi="宋体"/>
          <w:color w:val="auto"/>
          <w:spacing w:val="-1"/>
          <w:sz w:val="24"/>
          <w:szCs w:val="24"/>
          <w:highlight w:val="none"/>
        </w:rPr>
        <w:t>仲裁</w:t>
      </w:r>
    </w:p>
    <w:p w14:paraId="5AC5F18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（1）对于未能友好解决或通过争议评审解决的争议，发包人或承包人任一方均有权提交给第24.1款约定的仲裁委员会仲裁。</w:t>
      </w:r>
    </w:p>
    <w:p w14:paraId="4C7485C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（2）仲裁可在交工之前或之后进行，但发包人、监理人和承包人各自的义</w:t>
      </w:r>
      <w:r>
        <w:rPr>
          <w:rFonts w:hint="eastAsia" w:ascii="宋体" w:hAnsi="宋体"/>
          <w:color w:val="auto"/>
          <w:spacing w:val="-3"/>
          <w:sz w:val="24"/>
          <w:szCs w:val="24"/>
          <w:highlight w:val="none"/>
        </w:rPr>
        <w:t>务不得因在工程实施期间进行仲裁而有所改变。如果仲裁是在终止合同的情况下</w:t>
      </w:r>
      <w:r>
        <w:rPr>
          <w:rFonts w:hint="eastAsia" w:ascii="宋体" w:hAnsi="宋体"/>
          <w:color w:val="auto"/>
          <w:spacing w:val="-1"/>
          <w:sz w:val="24"/>
          <w:szCs w:val="24"/>
          <w:highlight w:val="none"/>
        </w:rPr>
        <w:t>进行，则对合同工程应采取保护措施，措施费由败诉方承担。</w:t>
      </w:r>
    </w:p>
    <w:p w14:paraId="01E6A7F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（3）仲裁裁决是终局性的并对发包人和承包人双方具有约束力。</w:t>
      </w:r>
    </w:p>
    <w:p w14:paraId="3D30511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（4）全部仲裁费用应由败诉方承担；或按仲裁员会裁决的比例分担。</w:t>
      </w:r>
    </w:p>
    <w:p w14:paraId="298D672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24.5仲裁的执行</w:t>
      </w:r>
    </w:p>
    <w:p w14:paraId="381C68A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（1）任何一方不履行仲裁机构的裁决的，对方可以向有管辖权的人民法院申请执行。</w:t>
      </w:r>
    </w:p>
    <w:p w14:paraId="51FC06FA">
      <w:pPr>
        <w:spacing w:line="520" w:lineRule="exact"/>
        <w:ind w:firstLine="476" w:firstLineChars="200"/>
        <w:rPr>
          <w:rFonts w:ascii="宋体" w:hAnsi="宋体"/>
          <w:color w:val="auto"/>
          <w:szCs w:val="21"/>
          <w:highlight w:val="none"/>
        </w:rPr>
      </w:pPr>
      <w:r>
        <w:rPr>
          <w:rFonts w:hint="eastAsia" w:ascii="宋体" w:hAnsi="宋体"/>
          <w:color w:val="auto"/>
          <w:spacing w:val="-1"/>
          <w:sz w:val="24"/>
          <w:szCs w:val="24"/>
          <w:highlight w:val="none"/>
        </w:rPr>
        <w:t>（2）任何一方提出证据证明裁决有《中华人民共和国仲裁法》第五十八条</w:t>
      </w:r>
      <w:r>
        <w:rPr>
          <w:rFonts w:hint="eastAsia" w:ascii="宋体" w:hAnsi="宋体"/>
          <w:color w:val="auto"/>
          <w:spacing w:val="-3"/>
          <w:sz w:val="24"/>
          <w:szCs w:val="24"/>
          <w:highlight w:val="none"/>
        </w:rPr>
        <w:t>规定情形之一的，可以向仲裁委员会所在地的中级人民法院申请撤销裁决。人民法院认定执行该裁决违背社会公共利益的的，裁定不予执行。仲裁裁决被人民法院裁定不予执行的，当事人可以根据双方达成的书面仲裁协议重新申请仲裁，也</w:t>
      </w:r>
      <w:r>
        <w:rPr>
          <w:rFonts w:hint="eastAsia" w:ascii="宋体" w:hAnsi="宋体"/>
          <w:color w:val="auto"/>
          <w:spacing w:val="-1"/>
          <w:sz w:val="24"/>
          <w:szCs w:val="24"/>
          <w:highlight w:val="none"/>
        </w:rPr>
        <w:t>可以向人民法院起诉。</w:t>
      </w:r>
    </w:p>
    <w:p w14:paraId="3A666DF5">
      <w:pPr>
        <w:spacing w:line="520" w:lineRule="exact"/>
        <w:ind w:left="61" w:firstLine="2653"/>
        <w:rPr>
          <w:rFonts w:ascii="宋体" w:hAnsi="宋体"/>
          <w:b/>
          <w:bCs/>
          <w:color w:val="auto"/>
          <w:spacing w:val="-1"/>
          <w:sz w:val="32"/>
          <w:szCs w:val="32"/>
          <w:highlight w:val="none"/>
        </w:rPr>
      </w:pPr>
    </w:p>
    <w:p w14:paraId="16A35F4B">
      <w:pPr>
        <w:spacing w:line="520" w:lineRule="exact"/>
        <w:ind w:left="61" w:firstLine="2653"/>
        <w:rPr>
          <w:rFonts w:ascii="宋体" w:hAnsi="宋体"/>
          <w:b/>
          <w:bCs/>
          <w:color w:val="auto"/>
          <w:spacing w:val="-1"/>
          <w:sz w:val="32"/>
          <w:szCs w:val="32"/>
          <w:highlight w:val="none"/>
        </w:rPr>
      </w:pPr>
    </w:p>
    <w:p w14:paraId="3D45E4E7">
      <w:pPr>
        <w:spacing w:line="520" w:lineRule="exact"/>
        <w:ind w:left="61" w:firstLine="2653"/>
        <w:rPr>
          <w:rFonts w:ascii="宋体" w:hAnsi="宋体"/>
          <w:b/>
          <w:bCs/>
          <w:color w:val="auto"/>
          <w:spacing w:val="-1"/>
          <w:sz w:val="32"/>
          <w:szCs w:val="32"/>
          <w:highlight w:val="none"/>
        </w:rPr>
      </w:pPr>
    </w:p>
    <w:p w14:paraId="5791394D">
      <w:pPr>
        <w:spacing w:line="520" w:lineRule="exact"/>
        <w:ind w:left="61" w:firstLine="2653"/>
        <w:rPr>
          <w:rFonts w:ascii="宋体" w:hAnsi="宋体"/>
          <w:b/>
          <w:bCs/>
          <w:color w:val="auto"/>
          <w:spacing w:val="-1"/>
          <w:sz w:val="32"/>
          <w:szCs w:val="32"/>
          <w:highlight w:val="none"/>
        </w:rPr>
      </w:pPr>
    </w:p>
    <w:p w14:paraId="573A161F">
      <w:pPr>
        <w:spacing w:line="520" w:lineRule="exact"/>
        <w:ind w:left="61" w:firstLine="2653"/>
        <w:rPr>
          <w:rFonts w:ascii="宋体" w:hAnsi="宋体"/>
          <w:b/>
          <w:bCs/>
          <w:color w:val="auto"/>
          <w:spacing w:val="-1"/>
          <w:sz w:val="32"/>
          <w:szCs w:val="32"/>
          <w:highlight w:val="none"/>
        </w:rPr>
      </w:pPr>
    </w:p>
    <w:p w14:paraId="30BF9D0B">
      <w:pPr>
        <w:spacing w:line="520" w:lineRule="exact"/>
        <w:ind w:left="61" w:firstLine="2653"/>
        <w:rPr>
          <w:rFonts w:ascii="宋体" w:hAnsi="宋体"/>
          <w:b/>
          <w:bCs/>
          <w:color w:val="auto"/>
          <w:spacing w:val="-1"/>
          <w:sz w:val="32"/>
          <w:szCs w:val="32"/>
          <w:highlight w:val="none"/>
        </w:rPr>
      </w:pPr>
    </w:p>
    <w:p w14:paraId="2167FFE3">
      <w:pPr>
        <w:spacing w:line="520" w:lineRule="exact"/>
        <w:ind w:left="61" w:firstLine="2653"/>
        <w:rPr>
          <w:rFonts w:ascii="宋体" w:hAnsi="宋体"/>
          <w:b/>
          <w:bCs/>
          <w:color w:val="auto"/>
          <w:spacing w:val="-1"/>
          <w:sz w:val="32"/>
          <w:szCs w:val="32"/>
          <w:highlight w:val="none"/>
        </w:rPr>
      </w:pPr>
    </w:p>
    <w:p w14:paraId="72199A11">
      <w:pPr>
        <w:spacing w:line="520" w:lineRule="exact"/>
        <w:ind w:left="61" w:firstLine="2653"/>
        <w:rPr>
          <w:rFonts w:ascii="宋体" w:hAnsi="宋体"/>
          <w:b/>
          <w:bCs/>
          <w:color w:val="auto"/>
          <w:spacing w:val="-1"/>
          <w:sz w:val="32"/>
          <w:szCs w:val="32"/>
          <w:highlight w:val="none"/>
        </w:rPr>
      </w:pPr>
    </w:p>
    <w:p w14:paraId="68282659">
      <w:pPr>
        <w:spacing w:line="520" w:lineRule="exact"/>
        <w:ind w:left="61" w:firstLine="2653"/>
        <w:rPr>
          <w:rFonts w:ascii="宋体" w:hAnsi="宋体"/>
          <w:b/>
          <w:bCs/>
          <w:color w:val="auto"/>
          <w:spacing w:val="-1"/>
          <w:sz w:val="32"/>
          <w:szCs w:val="32"/>
          <w:highlight w:val="none"/>
        </w:rPr>
      </w:pPr>
    </w:p>
    <w:p w14:paraId="219A4B84">
      <w:pPr>
        <w:spacing w:line="520" w:lineRule="exact"/>
        <w:ind w:left="61" w:firstLine="2653"/>
        <w:rPr>
          <w:rFonts w:ascii="宋体" w:hAnsi="宋体"/>
          <w:b/>
          <w:bCs/>
          <w:color w:val="auto"/>
          <w:spacing w:val="-1"/>
          <w:sz w:val="32"/>
          <w:szCs w:val="32"/>
          <w:highlight w:val="none"/>
        </w:rPr>
      </w:pPr>
    </w:p>
    <w:p w14:paraId="6ABADA5C">
      <w:pPr>
        <w:spacing w:line="520" w:lineRule="exact"/>
        <w:ind w:left="61" w:firstLine="2653"/>
        <w:rPr>
          <w:rFonts w:ascii="宋体" w:hAnsi="宋体"/>
          <w:b/>
          <w:bCs/>
          <w:color w:val="auto"/>
          <w:spacing w:val="-1"/>
          <w:sz w:val="32"/>
          <w:szCs w:val="32"/>
          <w:highlight w:val="none"/>
        </w:rPr>
      </w:pPr>
    </w:p>
    <w:p w14:paraId="3F74AFA4">
      <w:pPr>
        <w:spacing w:line="520" w:lineRule="exact"/>
        <w:ind w:left="61" w:firstLine="2653"/>
        <w:rPr>
          <w:rFonts w:ascii="宋体" w:hAnsi="宋体"/>
          <w:b/>
          <w:bCs/>
          <w:color w:val="auto"/>
          <w:spacing w:val="-1"/>
          <w:sz w:val="32"/>
          <w:szCs w:val="32"/>
          <w:highlight w:val="none"/>
        </w:rPr>
      </w:pPr>
    </w:p>
    <w:p w14:paraId="6F9C59B0">
      <w:pPr>
        <w:spacing w:line="520" w:lineRule="exact"/>
        <w:ind w:left="61" w:firstLine="2653"/>
        <w:rPr>
          <w:rFonts w:ascii="宋体" w:hAnsi="宋体"/>
          <w:b/>
          <w:bCs/>
          <w:color w:val="auto"/>
          <w:spacing w:val="-1"/>
          <w:sz w:val="32"/>
          <w:szCs w:val="32"/>
          <w:highlight w:val="none"/>
        </w:rPr>
      </w:pPr>
    </w:p>
    <w:p w14:paraId="4C7258A8">
      <w:pPr>
        <w:spacing w:line="520" w:lineRule="exact"/>
        <w:ind w:left="61" w:firstLine="2653"/>
        <w:rPr>
          <w:rFonts w:ascii="宋体" w:hAnsi="宋体"/>
          <w:b/>
          <w:bCs/>
          <w:color w:val="auto"/>
          <w:spacing w:val="-1"/>
          <w:sz w:val="32"/>
          <w:szCs w:val="32"/>
          <w:highlight w:val="none"/>
        </w:rPr>
      </w:pPr>
    </w:p>
    <w:p w14:paraId="53F67B2F">
      <w:pPr>
        <w:spacing w:line="520" w:lineRule="exact"/>
        <w:ind w:left="61" w:firstLine="2653"/>
        <w:rPr>
          <w:rFonts w:ascii="宋体" w:hAnsi="宋体"/>
          <w:b/>
          <w:bCs/>
          <w:color w:val="auto"/>
          <w:spacing w:val="-1"/>
          <w:sz w:val="32"/>
          <w:szCs w:val="32"/>
          <w:highlight w:val="none"/>
        </w:rPr>
      </w:pPr>
    </w:p>
    <w:p w14:paraId="2363AE5D">
      <w:pPr>
        <w:spacing w:line="520" w:lineRule="exact"/>
        <w:ind w:left="61" w:firstLine="2653"/>
        <w:rPr>
          <w:rFonts w:ascii="宋体" w:hAnsi="宋体"/>
          <w:b/>
          <w:bCs/>
          <w:color w:val="auto"/>
          <w:spacing w:val="-1"/>
          <w:sz w:val="32"/>
          <w:szCs w:val="32"/>
          <w:highlight w:val="none"/>
        </w:rPr>
      </w:pPr>
    </w:p>
    <w:p w14:paraId="2C339C45">
      <w:pPr>
        <w:spacing w:line="520" w:lineRule="exact"/>
        <w:ind w:left="61" w:firstLine="2653"/>
        <w:rPr>
          <w:rFonts w:ascii="宋体" w:hAnsi="宋体"/>
          <w:b/>
          <w:bCs/>
          <w:color w:val="auto"/>
          <w:spacing w:val="-1"/>
          <w:sz w:val="32"/>
          <w:szCs w:val="32"/>
          <w:highlight w:val="none"/>
        </w:rPr>
      </w:pPr>
    </w:p>
    <w:p w14:paraId="3B94FE7B">
      <w:pPr>
        <w:spacing w:line="520" w:lineRule="exact"/>
        <w:ind w:left="61" w:firstLine="2653"/>
        <w:rPr>
          <w:rFonts w:ascii="宋体" w:hAnsi="宋体"/>
          <w:b/>
          <w:bCs/>
          <w:color w:val="auto"/>
          <w:spacing w:val="-1"/>
          <w:sz w:val="32"/>
          <w:szCs w:val="32"/>
          <w:highlight w:val="none"/>
        </w:rPr>
      </w:pPr>
    </w:p>
    <w:p w14:paraId="54A49965">
      <w:pPr>
        <w:spacing w:line="520" w:lineRule="exact"/>
        <w:ind w:left="61" w:firstLine="2653"/>
        <w:rPr>
          <w:rFonts w:ascii="宋体" w:hAnsi="宋体"/>
          <w:b/>
          <w:bCs/>
          <w:color w:val="auto"/>
          <w:spacing w:val="-1"/>
          <w:sz w:val="32"/>
          <w:szCs w:val="32"/>
          <w:highlight w:val="none"/>
        </w:rPr>
      </w:pPr>
    </w:p>
    <w:p w14:paraId="275454B5">
      <w:pPr>
        <w:spacing w:line="520" w:lineRule="exact"/>
        <w:ind w:left="61" w:firstLine="2653"/>
        <w:rPr>
          <w:rFonts w:ascii="宋体" w:hAnsi="宋体"/>
          <w:b/>
          <w:bCs/>
          <w:color w:val="auto"/>
          <w:spacing w:val="-1"/>
          <w:sz w:val="32"/>
          <w:szCs w:val="32"/>
          <w:highlight w:val="none"/>
        </w:rPr>
      </w:pPr>
    </w:p>
    <w:p w14:paraId="0D0EABD6">
      <w:pPr>
        <w:spacing w:line="520" w:lineRule="exact"/>
        <w:ind w:left="61" w:firstLine="2653"/>
        <w:rPr>
          <w:rFonts w:hint="eastAsia" w:ascii="宋体" w:hAnsi="宋体"/>
          <w:b/>
          <w:bCs/>
          <w:color w:val="auto"/>
          <w:spacing w:val="-1"/>
          <w:sz w:val="32"/>
          <w:szCs w:val="32"/>
          <w:highlight w:val="none"/>
        </w:rPr>
      </w:pPr>
    </w:p>
    <w:p w14:paraId="1A72AA49">
      <w:pPr>
        <w:spacing w:line="520" w:lineRule="exact"/>
        <w:ind w:left="61" w:firstLine="2653"/>
        <w:rPr>
          <w:rFonts w:ascii="宋体" w:hAnsi="宋体"/>
          <w:color w:val="auto"/>
          <w:sz w:val="32"/>
          <w:szCs w:val="32"/>
          <w:highlight w:val="none"/>
        </w:rPr>
      </w:pPr>
      <w:r>
        <w:rPr>
          <w:rFonts w:hint="eastAsia" w:ascii="宋体" w:hAnsi="宋体"/>
          <w:b/>
          <w:bCs/>
          <w:color w:val="auto"/>
          <w:spacing w:val="-1"/>
          <w:sz w:val="32"/>
          <w:szCs w:val="32"/>
          <w:highlight w:val="none"/>
        </w:rPr>
        <w:t>B、项目专用合同条款</w:t>
      </w:r>
    </w:p>
    <w:p w14:paraId="696EEB60">
      <w:pPr>
        <w:spacing w:line="520" w:lineRule="exact"/>
        <w:rPr>
          <w:rFonts w:ascii="宋体" w:hAnsi="宋体"/>
          <w:color w:val="auto"/>
          <w:sz w:val="24"/>
          <w:szCs w:val="24"/>
          <w:highlight w:val="none"/>
        </w:rPr>
      </w:pPr>
      <w:r>
        <w:rPr>
          <w:rFonts w:hint="eastAsia" w:ascii="宋体" w:hAnsi="宋体"/>
          <w:color w:val="auto"/>
          <w:sz w:val="24"/>
          <w:szCs w:val="24"/>
          <w:highlight w:val="none"/>
        </w:rPr>
        <w:t>说明：</w:t>
      </w:r>
    </w:p>
    <w:p w14:paraId="4C47CDA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招标人在根据《公路工程标准施工招标文件》编制项目招标文件中的“项目专用合同条款”时，可根据招标项目的具体特点和实际需要，对“通用合同条</w:t>
      </w:r>
      <w:r>
        <w:rPr>
          <w:rFonts w:hint="eastAsia" w:ascii="宋体" w:hAnsi="宋体"/>
          <w:color w:val="auto"/>
          <w:spacing w:val="-10"/>
          <w:sz w:val="24"/>
          <w:szCs w:val="24"/>
          <w:highlight w:val="none"/>
        </w:rPr>
        <w:t>款”及“公路工程专用合同条款”进行补充和细化，除“通用合同条款”明确“专</w:t>
      </w:r>
      <w:r>
        <w:rPr>
          <w:rFonts w:hint="eastAsia" w:ascii="宋体" w:hAnsi="宋体"/>
          <w:color w:val="auto"/>
          <w:spacing w:val="-3"/>
          <w:sz w:val="24"/>
          <w:szCs w:val="24"/>
          <w:highlight w:val="none"/>
        </w:rPr>
        <w:t>用合同条款”可作出不同约定及“公路工程专用合同条款”明确“项目专用合同条款”可作出不同约定外，补充和细化的内容不得与“通用合同条款”及“公路工程专用合同条款”强制性规定相抵触。同时，补充、细化的不同内容，不得违</w:t>
      </w:r>
      <w:r>
        <w:rPr>
          <w:rFonts w:hint="eastAsia" w:ascii="宋体" w:hAnsi="宋体"/>
          <w:color w:val="auto"/>
          <w:spacing w:val="-1"/>
          <w:sz w:val="24"/>
          <w:szCs w:val="24"/>
          <w:highlight w:val="none"/>
        </w:rPr>
        <w:t>反法律、行政法规的强制性规定和平等、自愿、公平和诚实信用原则。</w:t>
      </w:r>
    </w:p>
    <w:p w14:paraId="6233379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z w:val="24"/>
          <w:szCs w:val="24"/>
          <w:highlight w:val="none"/>
        </w:rPr>
        <w:t>项目专用合同条款的编号应与通用合同条款和公路工程专用合同条款一</w:t>
      </w:r>
      <w:r>
        <w:rPr>
          <w:rFonts w:hint="eastAsia" w:ascii="宋体" w:hAnsi="宋体"/>
          <w:color w:val="auto"/>
          <w:spacing w:val="-1"/>
          <w:sz w:val="24"/>
          <w:szCs w:val="24"/>
          <w:highlight w:val="none"/>
        </w:rPr>
        <w:t>致。</w:t>
      </w:r>
    </w:p>
    <w:p w14:paraId="0D3D7F0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3.项目专用合同条款可对下列内容进行补充和细化：</w:t>
      </w:r>
    </w:p>
    <w:p w14:paraId="449F233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7"/>
          <w:sz w:val="24"/>
          <w:szCs w:val="24"/>
          <w:highlight w:val="none"/>
        </w:rPr>
        <w:t>）“通用合同条款”中明确指出“专用合同条款”可对“通用合同条款”</w:t>
      </w:r>
      <w:r>
        <w:rPr>
          <w:rFonts w:hint="eastAsia" w:ascii="宋体" w:hAnsi="宋体"/>
          <w:color w:val="auto"/>
          <w:spacing w:val="-3"/>
          <w:sz w:val="24"/>
          <w:szCs w:val="24"/>
          <w:highlight w:val="none"/>
        </w:rPr>
        <w:t>进行修改的内容（在“通用合同条款”中用“应按合同约定”、“应按专用合同条款约定”“除合同另有约定外”、“除专用合同条款另有约定外”、“在专用</w:t>
      </w:r>
      <w:r>
        <w:rPr>
          <w:rFonts w:hint="eastAsia" w:ascii="宋体" w:hAnsi="宋体"/>
          <w:color w:val="auto"/>
          <w:spacing w:val="-1"/>
          <w:sz w:val="24"/>
          <w:szCs w:val="24"/>
          <w:highlight w:val="none"/>
        </w:rPr>
        <w:t>合同条款中约定”等多种文字形式表达）；</w:t>
      </w:r>
    </w:p>
    <w:p w14:paraId="4130B3C4">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（2</w:t>
      </w:r>
      <w:r>
        <w:rPr>
          <w:rFonts w:hint="eastAsia" w:ascii="宋体" w:hAnsi="宋体"/>
          <w:color w:val="auto"/>
          <w:spacing w:val="-7"/>
          <w:sz w:val="24"/>
          <w:szCs w:val="24"/>
          <w:highlight w:val="none"/>
        </w:rPr>
        <w:t>）“公路工程专用合同条款”中明确指出“项目专用合同条款”可对“公</w:t>
      </w:r>
      <w:r>
        <w:rPr>
          <w:rFonts w:hint="eastAsia" w:ascii="宋体" w:hAnsi="宋体"/>
          <w:color w:val="auto"/>
          <w:spacing w:val="-3"/>
          <w:sz w:val="24"/>
          <w:szCs w:val="24"/>
          <w:highlight w:val="none"/>
        </w:rPr>
        <w:t>路工程专用合同条款”进行修改的内容（在“公路工程专用合同条款”中用“除项目专用合同条款里有约定外”。“项目专用合同条款可能约定的”，“项目专</w:t>
      </w:r>
      <w:r>
        <w:rPr>
          <w:rFonts w:hint="eastAsia" w:ascii="宋体" w:hAnsi="宋体"/>
          <w:color w:val="auto"/>
          <w:spacing w:val="-1"/>
          <w:sz w:val="24"/>
          <w:szCs w:val="24"/>
          <w:highlight w:val="none"/>
        </w:rPr>
        <w:t>用合同条款约定的其他情形”等多种文字形式表达）；</w:t>
      </w:r>
    </w:p>
    <w:p w14:paraId="4CB783B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（3）其他需要补充、细化的内容。</w:t>
      </w:r>
    </w:p>
    <w:p w14:paraId="5F82F42C">
      <w:pPr>
        <w:spacing w:line="520" w:lineRule="exact"/>
        <w:ind w:firstLine="480" w:firstLineChars="200"/>
        <w:rPr>
          <w:rFonts w:ascii="宋体" w:hAnsi="宋体"/>
          <w:color w:val="auto"/>
          <w:sz w:val="24"/>
          <w:szCs w:val="24"/>
          <w:highlight w:val="none"/>
        </w:rPr>
      </w:pPr>
    </w:p>
    <w:p w14:paraId="74AEF1A1">
      <w:pPr>
        <w:spacing w:line="520" w:lineRule="exact"/>
        <w:ind w:firstLine="643" w:firstLineChars="200"/>
        <w:rPr>
          <w:rFonts w:ascii="宋体" w:hAnsi="宋体"/>
          <w:b/>
          <w:bCs/>
          <w:color w:val="auto"/>
          <w:sz w:val="32"/>
          <w:szCs w:val="32"/>
          <w:highlight w:val="none"/>
        </w:rPr>
      </w:pPr>
    </w:p>
    <w:p w14:paraId="2572FEB6">
      <w:pPr>
        <w:jc w:val="center"/>
        <w:rPr>
          <w:rFonts w:ascii="宋体" w:hAnsi="宋体"/>
          <w:b/>
          <w:bCs/>
          <w:color w:val="auto"/>
          <w:sz w:val="32"/>
          <w:szCs w:val="32"/>
          <w:highlight w:val="none"/>
        </w:rPr>
      </w:pPr>
    </w:p>
    <w:p w14:paraId="170FE2AB">
      <w:pPr>
        <w:jc w:val="center"/>
        <w:rPr>
          <w:rFonts w:ascii="宋体" w:hAnsi="宋体"/>
          <w:b/>
          <w:bCs/>
          <w:color w:val="auto"/>
          <w:sz w:val="32"/>
          <w:szCs w:val="32"/>
          <w:highlight w:val="none"/>
        </w:rPr>
      </w:pPr>
    </w:p>
    <w:p w14:paraId="5FEDC51F">
      <w:pPr>
        <w:jc w:val="center"/>
        <w:rPr>
          <w:rFonts w:ascii="宋体" w:hAnsi="宋体"/>
          <w:b/>
          <w:bCs/>
          <w:color w:val="auto"/>
          <w:sz w:val="32"/>
          <w:szCs w:val="32"/>
          <w:highlight w:val="none"/>
        </w:rPr>
      </w:pPr>
    </w:p>
    <w:p w14:paraId="78C5CD43">
      <w:pPr>
        <w:jc w:val="center"/>
        <w:rPr>
          <w:rFonts w:ascii="宋体" w:hAnsi="宋体"/>
          <w:b/>
          <w:bCs/>
          <w:color w:val="auto"/>
          <w:sz w:val="32"/>
          <w:szCs w:val="32"/>
          <w:highlight w:val="none"/>
        </w:rPr>
      </w:pPr>
    </w:p>
    <w:p w14:paraId="23247D07">
      <w:pPr>
        <w:jc w:val="center"/>
        <w:rPr>
          <w:rFonts w:ascii="宋体" w:hAnsi="宋体"/>
          <w:b/>
          <w:bCs/>
          <w:color w:val="auto"/>
          <w:sz w:val="32"/>
          <w:szCs w:val="32"/>
          <w:highlight w:val="none"/>
        </w:rPr>
      </w:pPr>
    </w:p>
    <w:p w14:paraId="4C79B4F6">
      <w:pPr>
        <w:jc w:val="center"/>
        <w:rPr>
          <w:rFonts w:ascii="宋体" w:hAnsi="宋体"/>
          <w:b/>
          <w:bCs/>
          <w:color w:val="auto"/>
          <w:sz w:val="32"/>
          <w:szCs w:val="32"/>
          <w:highlight w:val="none"/>
        </w:rPr>
      </w:pPr>
    </w:p>
    <w:p w14:paraId="0BCE58E4">
      <w:pPr>
        <w:jc w:val="center"/>
        <w:rPr>
          <w:rFonts w:ascii="宋体" w:hAnsi="宋体"/>
          <w:color w:val="auto"/>
          <w:sz w:val="32"/>
          <w:szCs w:val="32"/>
          <w:highlight w:val="none"/>
        </w:rPr>
      </w:pPr>
      <w:r>
        <w:rPr>
          <w:rFonts w:hint="eastAsia" w:ascii="宋体" w:hAnsi="宋体"/>
          <w:b/>
          <w:bCs/>
          <w:color w:val="auto"/>
          <w:sz w:val="32"/>
          <w:szCs w:val="32"/>
          <w:highlight w:val="none"/>
        </w:rPr>
        <w:t>项目专用条款数据表</w:t>
      </w:r>
    </w:p>
    <w:p w14:paraId="77B35A1D">
      <w:pPr>
        <w:spacing w:line="520" w:lineRule="exact"/>
        <w:ind w:firstLine="439" w:firstLineChars="188"/>
        <w:rPr>
          <w:rFonts w:ascii="宋体" w:hAnsi="宋体"/>
          <w:color w:val="auto"/>
          <w:sz w:val="24"/>
          <w:szCs w:val="24"/>
          <w:highlight w:val="none"/>
        </w:rPr>
      </w:pPr>
      <w:r>
        <w:rPr>
          <w:rFonts w:hint="eastAsia" w:ascii="宋体" w:hAnsi="宋体"/>
          <w:color w:val="auto"/>
          <w:spacing w:val="-3"/>
          <w:sz w:val="24"/>
          <w:szCs w:val="24"/>
          <w:highlight w:val="none"/>
        </w:rPr>
        <w:t>说明：本数据表是项目专用合同条款中适用于本项目的信息和数据的归纳与提示，是项目专用合同条款的组成部分。第九章“投标文件格式”的投标函附录中的数据（供投标人确认）与本表所列有重复。编写招标文件的单位应仔细校核，不使</w:t>
      </w:r>
      <w:r>
        <w:rPr>
          <w:rFonts w:hint="eastAsia" w:ascii="宋体" w:hAnsi="宋体"/>
          <w:color w:val="auto"/>
          <w:spacing w:val="-1"/>
          <w:sz w:val="24"/>
          <w:szCs w:val="24"/>
          <w:highlight w:val="none"/>
        </w:rPr>
        <w:t>数据出现差错或不一致。</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1305"/>
        <w:gridCol w:w="6931"/>
      </w:tblGrid>
      <w:tr w14:paraId="6A34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38" w:type="dxa"/>
            <w:tcBorders>
              <w:top w:val="single" w:color="auto" w:sz="4" w:space="0"/>
              <w:left w:val="single" w:color="auto" w:sz="4" w:space="0"/>
              <w:bottom w:val="single" w:color="auto" w:sz="4" w:space="0"/>
              <w:right w:val="single" w:color="auto" w:sz="4" w:space="0"/>
            </w:tcBorders>
            <w:vAlign w:val="center"/>
          </w:tcPr>
          <w:p w14:paraId="55674D5D">
            <w:pPr>
              <w:jc w:val="center"/>
              <w:rPr>
                <w:rFonts w:ascii="宋体" w:hAnsi="宋体"/>
                <w:b/>
                <w:bCs/>
                <w:color w:val="auto"/>
                <w:szCs w:val="21"/>
                <w:highlight w:val="none"/>
              </w:rPr>
            </w:pPr>
            <w:r>
              <w:rPr>
                <w:rFonts w:hint="eastAsia" w:ascii="宋体" w:hAnsi="宋体"/>
                <w:b/>
                <w:bCs/>
                <w:color w:val="auto"/>
                <w:highlight w:val="none"/>
              </w:rPr>
              <w:t>序号</w:t>
            </w:r>
          </w:p>
        </w:tc>
        <w:tc>
          <w:tcPr>
            <w:tcW w:w="1305" w:type="dxa"/>
            <w:tcBorders>
              <w:top w:val="single" w:color="auto" w:sz="4" w:space="0"/>
              <w:left w:val="nil"/>
              <w:bottom w:val="single" w:color="auto" w:sz="4" w:space="0"/>
              <w:right w:val="single" w:color="auto" w:sz="4" w:space="0"/>
            </w:tcBorders>
            <w:vAlign w:val="center"/>
          </w:tcPr>
          <w:p w14:paraId="292D357E">
            <w:pPr>
              <w:jc w:val="center"/>
              <w:rPr>
                <w:rFonts w:ascii="宋体" w:hAnsi="宋体"/>
                <w:b/>
                <w:bCs/>
                <w:color w:val="auto"/>
                <w:szCs w:val="21"/>
                <w:highlight w:val="none"/>
              </w:rPr>
            </w:pPr>
            <w:r>
              <w:rPr>
                <w:rFonts w:hint="eastAsia" w:ascii="宋体" w:hAnsi="宋体"/>
                <w:b/>
                <w:bCs/>
                <w:color w:val="auto"/>
                <w:highlight w:val="none"/>
              </w:rPr>
              <w:t>条款号</w:t>
            </w:r>
          </w:p>
        </w:tc>
        <w:tc>
          <w:tcPr>
            <w:tcW w:w="6931" w:type="dxa"/>
            <w:tcBorders>
              <w:top w:val="single" w:color="auto" w:sz="4" w:space="0"/>
              <w:left w:val="nil"/>
              <w:bottom w:val="single" w:color="auto" w:sz="4" w:space="0"/>
              <w:right w:val="single" w:color="auto" w:sz="4" w:space="0"/>
            </w:tcBorders>
            <w:vAlign w:val="center"/>
          </w:tcPr>
          <w:p w14:paraId="025B3AA9">
            <w:pPr>
              <w:jc w:val="center"/>
              <w:rPr>
                <w:rFonts w:ascii="宋体" w:hAnsi="宋体"/>
                <w:b/>
                <w:bCs/>
                <w:color w:val="auto"/>
                <w:szCs w:val="21"/>
                <w:highlight w:val="none"/>
              </w:rPr>
            </w:pPr>
            <w:r>
              <w:rPr>
                <w:rFonts w:hint="eastAsia" w:ascii="宋体" w:hAnsi="宋体"/>
                <w:b/>
                <w:bCs/>
                <w:color w:val="auto"/>
                <w:highlight w:val="none"/>
              </w:rPr>
              <w:t>信息或数据</w:t>
            </w:r>
          </w:p>
        </w:tc>
      </w:tr>
      <w:tr w14:paraId="406A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938" w:type="dxa"/>
            <w:tcBorders>
              <w:top w:val="single" w:color="auto" w:sz="4" w:space="0"/>
              <w:left w:val="single" w:color="auto" w:sz="4" w:space="0"/>
              <w:bottom w:val="single" w:color="auto" w:sz="4" w:space="0"/>
              <w:right w:val="single" w:color="auto" w:sz="4" w:space="0"/>
            </w:tcBorders>
            <w:vAlign w:val="center"/>
          </w:tcPr>
          <w:p w14:paraId="6A61E865">
            <w:pPr>
              <w:jc w:val="center"/>
              <w:rPr>
                <w:rFonts w:ascii="宋体" w:hAnsi="宋体"/>
                <w:color w:val="auto"/>
                <w:szCs w:val="21"/>
                <w:highlight w:val="none"/>
              </w:rPr>
            </w:pPr>
            <w:r>
              <w:rPr>
                <w:rFonts w:hint="eastAsia" w:ascii="宋体" w:hAnsi="宋体"/>
                <w:color w:val="auto"/>
                <w:highlight w:val="none"/>
              </w:rPr>
              <w:t>1</w:t>
            </w:r>
          </w:p>
        </w:tc>
        <w:tc>
          <w:tcPr>
            <w:tcW w:w="1305" w:type="dxa"/>
            <w:tcBorders>
              <w:top w:val="single" w:color="auto" w:sz="4" w:space="0"/>
              <w:left w:val="nil"/>
              <w:bottom w:val="single" w:color="auto" w:sz="4" w:space="0"/>
              <w:right w:val="single" w:color="auto" w:sz="4" w:space="0"/>
            </w:tcBorders>
            <w:vAlign w:val="center"/>
          </w:tcPr>
          <w:p w14:paraId="011E834D">
            <w:pPr>
              <w:jc w:val="center"/>
              <w:rPr>
                <w:rFonts w:ascii="宋体" w:hAnsi="宋体"/>
                <w:color w:val="auto"/>
                <w:szCs w:val="21"/>
                <w:highlight w:val="none"/>
              </w:rPr>
            </w:pPr>
            <w:r>
              <w:rPr>
                <w:rFonts w:hint="eastAsia" w:ascii="宋体" w:hAnsi="宋体"/>
                <w:color w:val="auto"/>
                <w:highlight w:val="none"/>
              </w:rPr>
              <w:t>1.1.2.2</w:t>
            </w:r>
          </w:p>
        </w:tc>
        <w:tc>
          <w:tcPr>
            <w:tcW w:w="6931" w:type="dxa"/>
            <w:tcBorders>
              <w:top w:val="single" w:color="auto" w:sz="4" w:space="0"/>
              <w:left w:val="nil"/>
              <w:bottom w:val="single" w:color="auto" w:sz="4" w:space="0"/>
              <w:right w:val="single" w:color="auto" w:sz="4" w:space="0"/>
            </w:tcBorders>
            <w:vAlign w:val="center"/>
          </w:tcPr>
          <w:p w14:paraId="18030973">
            <w:pPr>
              <w:rPr>
                <w:rFonts w:ascii="宋体" w:hAnsi="宋体"/>
                <w:color w:val="auto"/>
                <w:spacing w:val="-1"/>
                <w:highlight w:val="none"/>
              </w:rPr>
            </w:pPr>
            <w:r>
              <w:rPr>
                <w:rFonts w:hint="eastAsia" w:ascii="宋体" w:hAnsi="宋体"/>
                <w:color w:val="auto"/>
                <w:spacing w:val="-1"/>
                <w:highlight w:val="none"/>
              </w:rPr>
              <w:t>发包人：</w:t>
            </w:r>
            <w:r>
              <w:rPr>
                <w:rFonts w:hint="eastAsia" w:ascii="宋体" w:hAnsi="宋体"/>
                <w:color w:val="auto"/>
                <w:spacing w:val="-1"/>
                <w:highlight w:val="none"/>
                <w:lang w:eastAsia="zh-CN"/>
              </w:rPr>
              <w:t>灵宝</w:t>
            </w:r>
            <w:r>
              <w:rPr>
                <w:rFonts w:hint="eastAsia" w:ascii="宋体" w:hAnsi="宋体"/>
                <w:color w:val="auto"/>
                <w:spacing w:val="-1"/>
                <w:highlight w:val="none"/>
              </w:rPr>
              <w:t>市公路事业发展中心</w:t>
            </w:r>
          </w:p>
          <w:p w14:paraId="304F1EB0">
            <w:pPr>
              <w:rPr>
                <w:rFonts w:hint="eastAsia" w:ascii="宋体" w:hAnsi="宋体" w:eastAsia="宋体"/>
                <w:color w:val="auto"/>
                <w:spacing w:val="-3"/>
                <w:sz w:val="24"/>
                <w:szCs w:val="24"/>
                <w:highlight w:val="none"/>
                <w:lang w:eastAsia="zh-CN"/>
              </w:rPr>
            </w:pPr>
            <w:r>
              <w:rPr>
                <w:rFonts w:hint="eastAsia" w:ascii="宋体" w:hAnsi="宋体"/>
                <w:color w:val="auto"/>
                <w:spacing w:val="-1"/>
                <w:highlight w:val="none"/>
              </w:rPr>
              <w:t>地  址：</w:t>
            </w:r>
            <w:r>
              <w:rPr>
                <w:rFonts w:hint="eastAsia" w:ascii="宋体" w:hAnsi="宋体"/>
                <w:color w:val="auto"/>
                <w:spacing w:val="-1"/>
                <w:highlight w:val="none"/>
                <w:lang w:eastAsia="zh-CN"/>
              </w:rPr>
              <w:t>灵宝市亚武路灵宝市人民政府东北侧约50米</w:t>
            </w:r>
          </w:p>
        </w:tc>
      </w:tr>
      <w:tr w14:paraId="332B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38" w:type="dxa"/>
            <w:tcBorders>
              <w:top w:val="single" w:color="auto" w:sz="4" w:space="0"/>
              <w:left w:val="single" w:color="auto" w:sz="4" w:space="0"/>
              <w:bottom w:val="single" w:color="auto" w:sz="4" w:space="0"/>
              <w:right w:val="single" w:color="auto" w:sz="4" w:space="0"/>
            </w:tcBorders>
            <w:vAlign w:val="center"/>
          </w:tcPr>
          <w:p w14:paraId="5830ECF3">
            <w:pPr>
              <w:jc w:val="center"/>
              <w:rPr>
                <w:rFonts w:ascii="宋体" w:hAnsi="宋体"/>
                <w:color w:val="auto"/>
                <w:szCs w:val="21"/>
                <w:highlight w:val="none"/>
              </w:rPr>
            </w:pPr>
            <w:r>
              <w:rPr>
                <w:rFonts w:hint="eastAsia" w:ascii="宋体" w:hAnsi="宋体"/>
                <w:color w:val="auto"/>
                <w:highlight w:val="none"/>
              </w:rPr>
              <w:t>2</w:t>
            </w:r>
          </w:p>
        </w:tc>
        <w:tc>
          <w:tcPr>
            <w:tcW w:w="1305" w:type="dxa"/>
            <w:tcBorders>
              <w:top w:val="single" w:color="auto" w:sz="4" w:space="0"/>
              <w:left w:val="nil"/>
              <w:bottom w:val="single" w:color="auto" w:sz="4" w:space="0"/>
              <w:right w:val="single" w:color="auto" w:sz="4" w:space="0"/>
            </w:tcBorders>
            <w:vAlign w:val="center"/>
          </w:tcPr>
          <w:p w14:paraId="2147F4DE">
            <w:pPr>
              <w:ind w:right="-5"/>
              <w:rPr>
                <w:rFonts w:ascii="宋体" w:hAnsi="宋体"/>
                <w:color w:val="auto"/>
                <w:spacing w:val="-1"/>
                <w:highlight w:val="none"/>
              </w:rPr>
            </w:pPr>
            <w:r>
              <w:rPr>
                <w:rFonts w:hint="eastAsia" w:ascii="宋体" w:hAnsi="宋体"/>
                <w:color w:val="auto"/>
                <w:spacing w:val="-1"/>
                <w:highlight w:val="none"/>
              </w:rPr>
              <w:t>1.1.2.6</w:t>
            </w:r>
          </w:p>
        </w:tc>
        <w:tc>
          <w:tcPr>
            <w:tcW w:w="6931" w:type="dxa"/>
            <w:tcBorders>
              <w:top w:val="single" w:color="auto" w:sz="4" w:space="0"/>
              <w:left w:val="nil"/>
              <w:bottom w:val="single" w:color="auto" w:sz="4" w:space="0"/>
              <w:right w:val="single" w:color="auto" w:sz="4" w:space="0"/>
            </w:tcBorders>
            <w:vAlign w:val="center"/>
          </w:tcPr>
          <w:p w14:paraId="0AF3AD3D">
            <w:pPr>
              <w:rPr>
                <w:rFonts w:ascii="宋体" w:hAnsi="宋体"/>
                <w:color w:val="auto"/>
                <w:spacing w:val="-1"/>
                <w:highlight w:val="none"/>
              </w:rPr>
            </w:pPr>
            <w:r>
              <w:rPr>
                <w:rFonts w:hint="eastAsia" w:ascii="宋体" w:hAnsi="宋体"/>
                <w:color w:val="auto"/>
                <w:spacing w:val="-1"/>
                <w:highlight w:val="none"/>
              </w:rPr>
              <w:t>监 理 人：</w:t>
            </w:r>
          </w:p>
          <w:p w14:paraId="52F75CE4">
            <w:pPr>
              <w:rPr>
                <w:rFonts w:ascii="宋体" w:hAnsi="宋体"/>
                <w:color w:val="auto"/>
                <w:spacing w:val="-1"/>
                <w:highlight w:val="none"/>
              </w:rPr>
            </w:pPr>
            <w:r>
              <w:rPr>
                <w:rFonts w:hint="eastAsia" w:ascii="宋体" w:hAnsi="宋体"/>
                <w:color w:val="auto"/>
                <w:spacing w:val="-1"/>
                <w:highlight w:val="none"/>
              </w:rPr>
              <w:t xml:space="preserve">地    址：   </w:t>
            </w:r>
          </w:p>
        </w:tc>
      </w:tr>
      <w:tr w14:paraId="2C12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938" w:type="dxa"/>
            <w:tcBorders>
              <w:top w:val="single" w:color="auto" w:sz="4" w:space="0"/>
              <w:left w:val="single" w:color="auto" w:sz="4" w:space="0"/>
              <w:bottom w:val="single" w:color="auto" w:sz="4" w:space="0"/>
              <w:right w:val="single" w:color="auto" w:sz="4" w:space="0"/>
            </w:tcBorders>
            <w:vAlign w:val="center"/>
          </w:tcPr>
          <w:p w14:paraId="199382EF">
            <w:pPr>
              <w:jc w:val="center"/>
              <w:rPr>
                <w:rFonts w:ascii="宋体" w:hAnsi="宋体"/>
                <w:color w:val="auto"/>
                <w:szCs w:val="21"/>
                <w:highlight w:val="none"/>
              </w:rPr>
            </w:pPr>
            <w:r>
              <w:rPr>
                <w:rFonts w:hint="eastAsia" w:ascii="宋体" w:hAnsi="宋体"/>
                <w:color w:val="auto"/>
                <w:highlight w:val="none"/>
              </w:rPr>
              <w:t>3</w:t>
            </w:r>
          </w:p>
        </w:tc>
        <w:tc>
          <w:tcPr>
            <w:tcW w:w="1305" w:type="dxa"/>
            <w:tcBorders>
              <w:top w:val="single" w:color="auto" w:sz="4" w:space="0"/>
              <w:left w:val="nil"/>
              <w:bottom w:val="single" w:color="auto" w:sz="4" w:space="0"/>
              <w:right w:val="single" w:color="auto" w:sz="4" w:space="0"/>
            </w:tcBorders>
            <w:vAlign w:val="center"/>
          </w:tcPr>
          <w:p w14:paraId="0C5C8586">
            <w:pPr>
              <w:jc w:val="center"/>
              <w:rPr>
                <w:rFonts w:ascii="宋体" w:hAnsi="宋体"/>
                <w:color w:val="auto"/>
                <w:szCs w:val="21"/>
                <w:highlight w:val="none"/>
              </w:rPr>
            </w:pPr>
            <w:r>
              <w:rPr>
                <w:rFonts w:hint="eastAsia" w:ascii="宋体" w:hAnsi="宋体"/>
                <w:color w:val="auto"/>
                <w:highlight w:val="none"/>
              </w:rPr>
              <w:t>1.1.4.5</w:t>
            </w:r>
          </w:p>
        </w:tc>
        <w:tc>
          <w:tcPr>
            <w:tcW w:w="6931" w:type="dxa"/>
            <w:tcBorders>
              <w:top w:val="single" w:color="auto" w:sz="4" w:space="0"/>
              <w:left w:val="nil"/>
              <w:bottom w:val="single" w:color="auto" w:sz="4" w:space="0"/>
              <w:right w:val="single" w:color="auto" w:sz="4" w:space="0"/>
            </w:tcBorders>
            <w:vAlign w:val="center"/>
          </w:tcPr>
          <w:p w14:paraId="682E3E94">
            <w:pPr>
              <w:ind w:right="-239"/>
              <w:rPr>
                <w:rFonts w:ascii="宋体" w:hAnsi="宋体"/>
                <w:color w:val="auto"/>
                <w:szCs w:val="21"/>
                <w:highlight w:val="none"/>
              </w:rPr>
            </w:pPr>
            <w:r>
              <w:rPr>
                <w:rFonts w:hint="eastAsia" w:ascii="宋体" w:hAnsi="宋体"/>
                <w:color w:val="auto"/>
                <w:spacing w:val="-1"/>
                <w:highlight w:val="none"/>
              </w:rPr>
              <w:t>缺陷责任期：自实际交工日期起计算</w:t>
            </w:r>
            <w:r>
              <w:rPr>
                <w:rFonts w:cs="Calibri"/>
                <w:color w:val="auto"/>
                <w:spacing w:val="5"/>
                <w:highlight w:val="none"/>
                <w:u w:val="single"/>
              </w:rPr>
              <w:t> </w:t>
            </w:r>
            <w:r>
              <w:rPr>
                <w:rFonts w:hint="eastAsia" w:cs="Calibri"/>
                <w:color w:val="auto"/>
                <w:spacing w:val="5"/>
                <w:highlight w:val="none"/>
                <w:u w:val="single"/>
                <w:lang w:val="en-US" w:eastAsia="zh-CN"/>
              </w:rPr>
              <w:t>24</w:t>
            </w:r>
            <w:r>
              <w:rPr>
                <w:rFonts w:hint="eastAsia" w:ascii="宋体" w:hAnsi="宋体"/>
                <w:color w:val="auto"/>
                <w:spacing w:val="-13"/>
                <w:highlight w:val="none"/>
                <w:u w:val="single"/>
              </w:rPr>
              <w:t>个月</w:t>
            </w:r>
          </w:p>
        </w:tc>
      </w:tr>
      <w:tr w14:paraId="4D9F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938" w:type="dxa"/>
            <w:tcBorders>
              <w:top w:val="single" w:color="auto" w:sz="4" w:space="0"/>
              <w:left w:val="single" w:color="auto" w:sz="4" w:space="0"/>
              <w:bottom w:val="single" w:color="auto" w:sz="4" w:space="0"/>
              <w:right w:val="single" w:color="auto" w:sz="4" w:space="0"/>
            </w:tcBorders>
            <w:vAlign w:val="center"/>
          </w:tcPr>
          <w:p w14:paraId="1EF62E75">
            <w:pPr>
              <w:jc w:val="center"/>
              <w:rPr>
                <w:rFonts w:ascii="宋体" w:hAnsi="宋体"/>
                <w:color w:val="auto"/>
                <w:szCs w:val="21"/>
                <w:highlight w:val="none"/>
              </w:rPr>
            </w:pPr>
            <w:r>
              <w:rPr>
                <w:rFonts w:hint="eastAsia" w:ascii="宋体" w:hAnsi="宋体"/>
                <w:color w:val="auto"/>
                <w:highlight w:val="none"/>
              </w:rPr>
              <w:t>4</w:t>
            </w:r>
          </w:p>
        </w:tc>
        <w:tc>
          <w:tcPr>
            <w:tcW w:w="1305" w:type="dxa"/>
            <w:tcBorders>
              <w:top w:val="single" w:color="auto" w:sz="4" w:space="0"/>
              <w:left w:val="nil"/>
              <w:bottom w:val="single" w:color="auto" w:sz="4" w:space="0"/>
              <w:right w:val="single" w:color="auto" w:sz="4" w:space="0"/>
            </w:tcBorders>
            <w:vAlign w:val="center"/>
          </w:tcPr>
          <w:p w14:paraId="06644571">
            <w:pPr>
              <w:jc w:val="center"/>
              <w:rPr>
                <w:rFonts w:ascii="宋体" w:hAnsi="宋体"/>
                <w:color w:val="auto"/>
                <w:szCs w:val="21"/>
                <w:highlight w:val="none"/>
              </w:rPr>
            </w:pPr>
            <w:r>
              <w:rPr>
                <w:rFonts w:hint="eastAsia" w:ascii="宋体" w:hAnsi="宋体"/>
                <w:color w:val="auto"/>
                <w:highlight w:val="none"/>
              </w:rPr>
              <w:t>1.6.3</w:t>
            </w:r>
          </w:p>
        </w:tc>
        <w:tc>
          <w:tcPr>
            <w:tcW w:w="6931" w:type="dxa"/>
            <w:tcBorders>
              <w:top w:val="single" w:color="auto" w:sz="4" w:space="0"/>
              <w:left w:val="nil"/>
              <w:bottom w:val="single" w:color="auto" w:sz="4" w:space="0"/>
              <w:right w:val="single" w:color="auto" w:sz="4" w:space="0"/>
            </w:tcBorders>
            <w:vAlign w:val="center"/>
          </w:tcPr>
          <w:p w14:paraId="7B555099">
            <w:pPr>
              <w:ind w:right="-5"/>
              <w:rPr>
                <w:rFonts w:ascii="宋体" w:hAnsi="宋体"/>
                <w:color w:val="auto"/>
                <w:szCs w:val="21"/>
                <w:highlight w:val="none"/>
              </w:rPr>
            </w:pPr>
            <w:r>
              <w:rPr>
                <w:rFonts w:hint="eastAsia" w:ascii="宋体" w:hAnsi="宋体"/>
                <w:color w:val="auto"/>
                <w:spacing w:val="-1"/>
                <w:highlight w:val="none"/>
              </w:rPr>
              <w:t>图纸需要修改和补充的，应由监理人取得发包人同意后，在该项工程或工程相应部位施工前</w:t>
            </w:r>
            <w:r>
              <w:rPr>
                <w:rFonts w:cs="Calibri"/>
                <w:color w:val="auto"/>
                <w:spacing w:val="5"/>
                <w:highlight w:val="none"/>
              </w:rPr>
              <w:t> </w:t>
            </w:r>
            <w:r>
              <w:rPr>
                <w:rFonts w:hint="eastAsia" w:ascii="宋体" w:hAnsi="宋体"/>
                <w:color w:val="auto"/>
                <w:spacing w:val="-1"/>
                <w:highlight w:val="none"/>
              </w:rPr>
              <w:t>7</w:t>
            </w:r>
            <w:r>
              <w:rPr>
                <w:rFonts w:cs="Calibri"/>
                <w:color w:val="auto"/>
                <w:spacing w:val="4"/>
                <w:highlight w:val="none"/>
              </w:rPr>
              <w:t> </w:t>
            </w:r>
            <w:r>
              <w:rPr>
                <w:rFonts w:hint="eastAsia" w:ascii="宋体" w:hAnsi="宋体"/>
                <w:color w:val="auto"/>
                <w:spacing w:val="-1"/>
                <w:highlight w:val="none"/>
              </w:rPr>
              <w:t>天签发图纸修改图给承包人</w:t>
            </w:r>
          </w:p>
        </w:tc>
      </w:tr>
      <w:tr w14:paraId="4449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938" w:type="dxa"/>
            <w:tcBorders>
              <w:top w:val="single" w:color="auto" w:sz="4" w:space="0"/>
              <w:left w:val="single" w:color="auto" w:sz="4" w:space="0"/>
              <w:bottom w:val="single" w:color="auto" w:sz="4" w:space="0"/>
              <w:right w:val="single" w:color="auto" w:sz="4" w:space="0"/>
            </w:tcBorders>
            <w:vAlign w:val="center"/>
          </w:tcPr>
          <w:p w14:paraId="7E3B4586">
            <w:pPr>
              <w:jc w:val="center"/>
              <w:rPr>
                <w:rFonts w:ascii="宋体" w:hAnsi="宋体"/>
                <w:color w:val="auto"/>
                <w:szCs w:val="21"/>
                <w:highlight w:val="none"/>
              </w:rPr>
            </w:pPr>
            <w:r>
              <w:rPr>
                <w:rFonts w:hint="eastAsia" w:ascii="宋体" w:hAnsi="宋体"/>
                <w:color w:val="auto"/>
                <w:highlight w:val="none"/>
              </w:rPr>
              <w:t>5</w:t>
            </w:r>
          </w:p>
        </w:tc>
        <w:tc>
          <w:tcPr>
            <w:tcW w:w="1305" w:type="dxa"/>
            <w:tcBorders>
              <w:top w:val="single" w:color="auto" w:sz="4" w:space="0"/>
              <w:left w:val="nil"/>
              <w:bottom w:val="single" w:color="auto" w:sz="4" w:space="0"/>
              <w:right w:val="single" w:color="auto" w:sz="4" w:space="0"/>
            </w:tcBorders>
            <w:vAlign w:val="center"/>
          </w:tcPr>
          <w:p w14:paraId="60CCA845">
            <w:pPr>
              <w:jc w:val="center"/>
              <w:rPr>
                <w:rFonts w:ascii="宋体" w:hAnsi="宋体"/>
                <w:color w:val="auto"/>
                <w:szCs w:val="21"/>
                <w:highlight w:val="none"/>
              </w:rPr>
            </w:pPr>
            <w:r>
              <w:rPr>
                <w:rFonts w:hint="eastAsia" w:ascii="宋体" w:hAnsi="宋体"/>
                <w:color w:val="auto"/>
                <w:highlight w:val="none"/>
              </w:rPr>
              <w:t>3.1.1</w:t>
            </w:r>
          </w:p>
        </w:tc>
        <w:tc>
          <w:tcPr>
            <w:tcW w:w="6931" w:type="dxa"/>
            <w:tcBorders>
              <w:top w:val="single" w:color="auto" w:sz="4" w:space="0"/>
              <w:left w:val="nil"/>
              <w:bottom w:val="single" w:color="auto" w:sz="4" w:space="0"/>
              <w:right w:val="single" w:color="auto" w:sz="4" w:space="0"/>
            </w:tcBorders>
            <w:vAlign w:val="center"/>
          </w:tcPr>
          <w:p w14:paraId="32EA3B1D">
            <w:pPr>
              <w:rPr>
                <w:color w:val="auto"/>
                <w:szCs w:val="21"/>
                <w:highlight w:val="none"/>
              </w:rPr>
            </w:pPr>
            <w:r>
              <w:rPr>
                <w:rFonts w:hint="eastAsia" w:ascii="宋体" w:hAnsi="宋体"/>
                <w:color w:val="auto"/>
                <w:spacing w:val="-1"/>
                <w:highlight w:val="none"/>
              </w:rPr>
              <w:t>监理人在行使下列权利前需要经发包人事先批准：</w:t>
            </w:r>
          </w:p>
          <w:p w14:paraId="08DF5C31">
            <w:pPr>
              <w:rPr>
                <w:rFonts w:ascii="宋体" w:hAnsi="宋体"/>
                <w:color w:val="auto"/>
                <w:szCs w:val="21"/>
                <w:highlight w:val="none"/>
              </w:rPr>
            </w:pPr>
            <w:r>
              <w:rPr>
                <w:rFonts w:hint="eastAsia" w:ascii="宋体" w:hAnsi="宋体"/>
                <w:color w:val="auto"/>
                <w:spacing w:val="-1"/>
                <w:highlight w:val="none"/>
              </w:rPr>
              <w:t>（6）根据第</w:t>
            </w:r>
            <w:r>
              <w:rPr>
                <w:rFonts w:cs="Calibri"/>
                <w:color w:val="auto"/>
                <w:spacing w:val="4"/>
                <w:highlight w:val="none"/>
              </w:rPr>
              <w:t> </w:t>
            </w:r>
            <w:r>
              <w:rPr>
                <w:rFonts w:hint="eastAsia" w:ascii="宋体" w:hAnsi="宋体"/>
                <w:color w:val="auto"/>
                <w:spacing w:val="-1"/>
                <w:highlight w:val="none"/>
              </w:rPr>
              <w:t>15.3</w:t>
            </w:r>
            <w:r>
              <w:rPr>
                <w:rFonts w:cs="Calibri"/>
                <w:color w:val="auto"/>
                <w:spacing w:val="4"/>
                <w:highlight w:val="none"/>
              </w:rPr>
              <w:t> </w:t>
            </w:r>
            <w:r>
              <w:rPr>
                <w:rFonts w:hint="eastAsia" w:ascii="宋体" w:hAnsi="宋体"/>
                <w:color w:val="auto"/>
                <w:spacing w:val="-1"/>
                <w:highlight w:val="none"/>
              </w:rPr>
              <w:t>款发出的变更指示，其单项工程变更涉及的金额超过了该单项工程签约时合同价的</w:t>
            </w:r>
            <w:r>
              <w:rPr>
                <w:rFonts w:cs="Calibri"/>
                <w:color w:val="auto"/>
                <w:highlight w:val="none"/>
                <w:u w:val="single"/>
              </w:rPr>
              <w:t> </w:t>
            </w:r>
            <w:r>
              <w:rPr>
                <w:rFonts w:hint="eastAsia" w:ascii="宋体" w:hAnsi="宋体"/>
                <w:color w:val="auto"/>
                <w:spacing w:val="-1"/>
                <w:highlight w:val="none"/>
                <w:u w:val="single"/>
              </w:rPr>
              <w:t>/</w:t>
            </w:r>
            <w:r>
              <w:rPr>
                <w:rFonts w:cs="Calibri"/>
                <w:color w:val="auto"/>
                <w:highlight w:val="none"/>
                <w:u w:val="single"/>
              </w:rPr>
              <w:t> </w:t>
            </w:r>
            <w:r>
              <w:rPr>
                <w:rFonts w:hint="eastAsia" w:ascii="宋体" w:hAnsi="宋体"/>
                <w:color w:val="auto"/>
                <w:spacing w:val="-1"/>
                <w:highlight w:val="none"/>
              </w:rPr>
              <w:t>%或累计变更超过了签约合同价的</w:t>
            </w:r>
            <w:r>
              <w:rPr>
                <w:rFonts w:hint="eastAsia" w:ascii="宋体" w:hAnsi="宋体"/>
                <w:color w:val="auto"/>
                <w:highlight w:val="none"/>
                <w:u w:val="single"/>
              </w:rPr>
              <w:t>/</w:t>
            </w:r>
            <w:r>
              <w:rPr>
                <w:rFonts w:hint="eastAsia" w:ascii="宋体" w:hAnsi="宋体"/>
                <w:color w:val="auto"/>
                <w:highlight w:val="none"/>
              </w:rPr>
              <w:t>%</w:t>
            </w:r>
          </w:p>
        </w:tc>
      </w:tr>
      <w:tr w14:paraId="123A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8" w:type="dxa"/>
            <w:tcBorders>
              <w:top w:val="single" w:color="auto" w:sz="4" w:space="0"/>
              <w:left w:val="single" w:color="auto" w:sz="4" w:space="0"/>
              <w:bottom w:val="single" w:color="auto" w:sz="4" w:space="0"/>
              <w:right w:val="single" w:color="auto" w:sz="4" w:space="0"/>
            </w:tcBorders>
            <w:vAlign w:val="center"/>
          </w:tcPr>
          <w:p w14:paraId="035EAD65">
            <w:pPr>
              <w:jc w:val="center"/>
              <w:rPr>
                <w:rFonts w:ascii="宋体" w:hAnsi="宋体"/>
                <w:color w:val="auto"/>
                <w:szCs w:val="21"/>
                <w:highlight w:val="none"/>
              </w:rPr>
            </w:pPr>
            <w:r>
              <w:rPr>
                <w:rFonts w:hint="eastAsia" w:ascii="宋体" w:hAnsi="宋体"/>
                <w:color w:val="auto"/>
                <w:highlight w:val="none"/>
              </w:rPr>
              <w:t>6</w:t>
            </w:r>
          </w:p>
        </w:tc>
        <w:tc>
          <w:tcPr>
            <w:tcW w:w="1305" w:type="dxa"/>
            <w:tcBorders>
              <w:top w:val="single" w:color="auto" w:sz="4" w:space="0"/>
              <w:left w:val="nil"/>
              <w:bottom w:val="single" w:color="auto" w:sz="4" w:space="0"/>
              <w:right w:val="single" w:color="auto" w:sz="4" w:space="0"/>
            </w:tcBorders>
            <w:vAlign w:val="center"/>
          </w:tcPr>
          <w:p w14:paraId="73F45606">
            <w:pPr>
              <w:jc w:val="center"/>
              <w:rPr>
                <w:rFonts w:ascii="宋体" w:hAnsi="宋体"/>
                <w:color w:val="auto"/>
                <w:szCs w:val="21"/>
                <w:highlight w:val="none"/>
              </w:rPr>
            </w:pPr>
            <w:r>
              <w:rPr>
                <w:rFonts w:hint="eastAsia" w:ascii="宋体" w:hAnsi="宋体"/>
                <w:color w:val="auto"/>
                <w:highlight w:val="none"/>
              </w:rPr>
              <w:t>5.2.4</w:t>
            </w:r>
          </w:p>
        </w:tc>
        <w:tc>
          <w:tcPr>
            <w:tcW w:w="6931" w:type="dxa"/>
            <w:tcBorders>
              <w:top w:val="single" w:color="auto" w:sz="4" w:space="0"/>
              <w:left w:val="nil"/>
              <w:bottom w:val="single" w:color="auto" w:sz="4" w:space="0"/>
              <w:right w:val="single" w:color="auto" w:sz="4" w:space="0"/>
            </w:tcBorders>
            <w:vAlign w:val="center"/>
          </w:tcPr>
          <w:p w14:paraId="2C7F77BD">
            <w:pPr>
              <w:ind w:left="108" w:right="-239"/>
              <w:rPr>
                <w:rFonts w:ascii="宋体" w:hAnsi="宋体"/>
                <w:color w:val="auto"/>
                <w:szCs w:val="21"/>
                <w:highlight w:val="none"/>
              </w:rPr>
            </w:pPr>
            <w:r>
              <w:rPr>
                <w:rFonts w:hint="eastAsia" w:ascii="宋体" w:hAnsi="宋体"/>
                <w:color w:val="auto"/>
                <w:highlight w:val="none"/>
              </w:rPr>
              <w:t>发包人是否提供材料或工程设备：否</w:t>
            </w:r>
          </w:p>
        </w:tc>
      </w:tr>
      <w:tr w14:paraId="75EE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47E3AAB1">
            <w:pPr>
              <w:jc w:val="center"/>
              <w:rPr>
                <w:rFonts w:ascii="宋体" w:hAnsi="宋体"/>
                <w:color w:val="auto"/>
                <w:szCs w:val="21"/>
                <w:highlight w:val="none"/>
              </w:rPr>
            </w:pPr>
            <w:r>
              <w:rPr>
                <w:rFonts w:hint="eastAsia" w:ascii="宋体" w:hAnsi="宋体"/>
                <w:color w:val="auto"/>
                <w:highlight w:val="none"/>
              </w:rPr>
              <w:t>7</w:t>
            </w:r>
          </w:p>
        </w:tc>
        <w:tc>
          <w:tcPr>
            <w:tcW w:w="1305" w:type="dxa"/>
            <w:tcBorders>
              <w:top w:val="single" w:color="auto" w:sz="4" w:space="0"/>
              <w:left w:val="nil"/>
              <w:bottom w:val="single" w:color="auto" w:sz="4" w:space="0"/>
              <w:right w:val="single" w:color="auto" w:sz="4" w:space="0"/>
            </w:tcBorders>
            <w:vAlign w:val="center"/>
          </w:tcPr>
          <w:p w14:paraId="101E2241">
            <w:pPr>
              <w:jc w:val="center"/>
              <w:rPr>
                <w:rFonts w:ascii="宋体" w:hAnsi="宋体"/>
                <w:color w:val="auto"/>
                <w:szCs w:val="21"/>
                <w:highlight w:val="none"/>
              </w:rPr>
            </w:pPr>
            <w:r>
              <w:rPr>
                <w:rFonts w:hint="eastAsia" w:ascii="宋体" w:hAnsi="宋体"/>
                <w:color w:val="auto"/>
                <w:highlight w:val="none"/>
              </w:rPr>
              <w:t>11.5</w:t>
            </w:r>
          </w:p>
        </w:tc>
        <w:tc>
          <w:tcPr>
            <w:tcW w:w="6931" w:type="dxa"/>
            <w:tcBorders>
              <w:top w:val="single" w:color="auto" w:sz="4" w:space="0"/>
              <w:left w:val="nil"/>
              <w:bottom w:val="single" w:color="auto" w:sz="4" w:space="0"/>
              <w:right w:val="single" w:color="auto" w:sz="4" w:space="0"/>
            </w:tcBorders>
            <w:vAlign w:val="center"/>
          </w:tcPr>
          <w:p w14:paraId="47075F58">
            <w:pPr>
              <w:ind w:left="108" w:right="-239"/>
              <w:rPr>
                <w:rFonts w:ascii="宋体" w:hAnsi="宋体"/>
                <w:color w:val="auto"/>
                <w:szCs w:val="21"/>
                <w:highlight w:val="none"/>
              </w:rPr>
            </w:pPr>
            <w:r>
              <w:rPr>
                <w:rFonts w:hint="eastAsia" w:ascii="宋体" w:hAnsi="宋体"/>
                <w:color w:val="auto"/>
                <w:spacing w:val="-1"/>
                <w:highlight w:val="none"/>
              </w:rPr>
              <w:t>逾期交工违约金：</w:t>
            </w:r>
            <w:r>
              <w:rPr>
                <w:rFonts w:hint="eastAsia" w:ascii="宋体" w:hAnsi="宋体"/>
                <w:color w:val="auto"/>
                <w:spacing w:val="-1"/>
                <w:highlight w:val="none"/>
                <w:u w:val="single"/>
              </w:rPr>
              <w:t>1000</w:t>
            </w:r>
            <w:r>
              <w:rPr>
                <w:rFonts w:cs="Calibri"/>
                <w:color w:val="auto"/>
                <w:spacing w:val="5"/>
                <w:highlight w:val="none"/>
              </w:rPr>
              <w:t> </w:t>
            </w:r>
            <w:r>
              <w:rPr>
                <w:rFonts w:hint="eastAsia" w:ascii="宋体" w:hAnsi="宋体"/>
                <w:color w:val="auto"/>
                <w:spacing w:val="-1"/>
                <w:highlight w:val="none"/>
              </w:rPr>
              <w:t>元/天</w:t>
            </w:r>
          </w:p>
        </w:tc>
      </w:tr>
      <w:tr w14:paraId="4C37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3D5CBBB9">
            <w:pPr>
              <w:jc w:val="center"/>
              <w:rPr>
                <w:rFonts w:ascii="宋体" w:hAnsi="宋体"/>
                <w:color w:val="auto"/>
                <w:szCs w:val="21"/>
                <w:highlight w:val="none"/>
              </w:rPr>
            </w:pPr>
            <w:r>
              <w:rPr>
                <w:rFonts w:hint="eastAsia" w:ascii="宋体" w:hAnsi="宋体"/>
                <w:color w:val="auto"/>
                <w:highlight w:val="none"/>
              </w:rPr>
              <w:t>8</w:t>
            </w:r>
          </w:p>
        </w:tc>
        <w:tc>
          <w:tcPr>
            <w:tcW w:w="1305" w:type="dxa"/>
            <w:tcBorders>
              <w:top w:val="single" w:color="auto" w:sz="4" w:space="0"/>
              <w:left w:val="nil"/>
              <w:bottom w:val="single" w:color="auto" w:sz="4" w:space="0"/>
              <w:right w:val="single" w:color="auto" w:sz="4" w:space="0"/>
            </w:tcBorders>
            <w:vAlign w:val="center"/>
          </w:tcPr>
          <w:p w14:paraId="3884B364">
            <w:pPr>
              <w:jc w:val="center"/>
              <w:rPr>
                <w:rFonts w:ascii="宋体" w:hAnsi="宋体"/>
                <w:color w:val="auto"/>
                <w:szCs w:val="21"/>
                <w:highlight w:val="none"/>
              </w:rPr>
            </w:pPr>
            <w:r>
              <w:rPr>
                <w:rFonts w:hint="eastAsia" w:ascii="宋体" w:hAnsi="宋体"/>
                <w:color w:val="auto"/>
                <w:highlight w:val="none"/>
              </w:rPr>
              <w:t>11.5</w:t>
            </w:r>
          </w:p>
        </w:tc>
        <w:tc>
          <w:tcPr>
            <w:tcW w:w="6931" w:type="dxa"/>
            <w:tcBorders>
              <w:top w:val="single" w:color="auto" w:sz="4" w:space="0"/>
              <w:left w:val="nil"/>
              <w:bottom w:val="single" w:color="auto" w:sz="4" w:space="0"/>
              <w:right w:val="single" w:color="auto" w:sz="4" w:space="0"/>
            </w:tcBorders>
            <w:vAlign w:val="center"/>
          </w:tcPr>
          <w:p w14:paraId="155B2E4B">
            <w:pPr>
              <w:ind w:left="108" w:right="-239"/>
              <w:rPr>
                <w:rFonts w:ascii="宋体" w:hAnsi="宋体"/>
                <w:color w:val="auto"/>
                <w:szCs w:val="21"/>
                <w:highlight w:val="none"/>
              </w:rPr>
            </w:pPr>
            <w:r>
              <w:rPr>
                <w:rFonts w:hint="eastAsia" w:ascii="宋体" w:hAnsi="宋体"/>
                <w:color w:val="auto"/>
                <w:spacing w:val="-1"/>
                <w:highlight w:val="none"/>
              </w:rPr>
              <w:t>逾期交工违约金限额：</w:t>
            </w:r>
            <w:r>
              <w:rPr>
                <w:rFonts w:hint="eastAsia" w:ascii="宋体" w:hAnsi="宋体"/>
                <w:color w:val="auto"/>
                <w:spacing w:val="-1"/>
                <w:highlight w:val="none"/>
                <w:u w:val="single"/>
              </w:rPr>
              <w:t>10%</w:t>
            </w:r>
            <w:r>
              <w:rPr>
                <w:rFonts w:hint="eastAsia" w:ascii="宋体" w:hAnsi="宋体"/>
                <w:color w:val="auto"/>
                <w:spacing w:val="-1"/>
                <w:highlight w:val="none"/>
              </w:rPr>
              <w:t>签约合同价</w:t>
            </w:r>
          </w:p>
        </w:tc>
      </w:tr>
      <w:tr w14:paraId="1188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3E98FC4F">
            <w:pPr>
              <w:jc w:val="center"/>
              <w:rPr>
                <w:rFonts w:ascii="宋体" w:hAnsi="宋体"/>
                <w:color w:val="auto"/>
                <w:szCs w:val="21"/>
                <w:highlight w:val="none"/>
              </w:rPr>
            </w:pPr>
            <w:r>
              <w:rPr>
                <w:rFonts w:hint="eastAsia" w:ascii="宋体" w:hAnsi="宋体"/>
                <w:color w:val="auto"/>
                <w:highlight w:val="none"/>
              </w:rPr>
              <w:t>9</w:t>
            </w:r>
          </w:p>
        </w:tc>
        <w:tc>
          <w:tcPr>
            <w:tcW w:w="1305" w:type="dxa"/>
            <w:tcBorders>
              <w:top w:val="single" w:color="auto" w:sz="4" w:space="0"/>
              <w:left w:val="nil"/>
              <w:bottom w:val="single" w:color="auto" w:sz="4" w:space="0"/>
              <w:right w:val="single" w:color="auto" w:sz="4" w:space="0"/>
            </w:tcBorders>
            <w:vAlign w:val="center"/>
          </w:tcPr>
          <w:p w14:paraId="4340FB9A">
            <w:pPr>
              <w:jc w:val="center"/>
              <w:rPr>
                <w:rFonts w:ascii="宋体" w:hAnsi="宋体"/>
                <w:color w:val="auto"/>
                <w:szCs w:val="21"/>
                <w:highlight w:val="none"/>
              </w:rPr>
            </w:pPr>
            <w:r>
              <w:rPr>
                <w:rFonts w:hint="eastAsia" w:ascii="宋体" w:hAnsi="宋体"/>
                <w:color w:val="auto"/>
                <w:highlight w:val="none"/>
              </w:rPr>
              <w:t>11.6</w:t>
            </w:r>
          </w:p>
        </w:tc>
        <w:tc>
          <w:tcPr>
            <w:tcW w:w="6931" w:type="dxa"/>
            <w:tcBorders>
              <w:top w:val="single" w:color="auto" w:sz="4" w:space="0"/>
              <w:left w:val="nil"/>
              <w:bottom w:val="single" w:color="auto" w:sz="4" w:space="0"/>
              <w:right w:val="single" w:color="auto" w:sz="4" w:space="0"/>
            </w:tcBorders>
            <w:vAlign w:val="center"/>
          </w:tcPr>
          <w:p w14:paraId="59EC5D64">
            <w:pPr>
              <w:ind w:left="108" w:right="-239"/>
              <w:rPr>
                <w:rFonts w:ascii="宋体" w:hAnsi="宋体"/>
                <w:color w:val="auto"/>
                <w:szCs w:val="21"/>
                <w:highlight w:val="none"/>
              </w:rPr>
            </w:pPr>
            <w:r>
              <w:rPr>
                <w:rFonts w:hint="eastAsia" w:ascii="宋体" w:hAnsi="宋体"/>
                <w:color w:val="auto"/>
                <w:spacing w:val="-1"/>
                <w:highlight w:val="none"/>
              </w:rPr>
              <w:t>提前交工的奖金：\</w:t>
            </w:r>
          </w:p>
        </w:tc>
      </w:tr>
      <w:tr w14:paraId="7D48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59FFF4E6">
            <w:pPr>
              <w:jc w:val="center"/>
              <w:rPr>
                <w:rFonts w:ascii="宋体" w:hAnsi="宋体"/>
                <w:color w:val="auto"/>
                <w:szCs w:val="21"/>
                <w:highlight w:val="none"/>
              </w:rPr>
            </w:pPr>
            <w:r>
              <w:rPr>
                <w:rFonts w:hint="eastAsia" w:ascii="宋体" w:hAnsi="宋体"/>
                <w:color w:val="auto"/>
                <w:highlight w:val="none"/>
              </w:rPr>
              <w:t>10</w:t>
            </w:r>
          </w:p>
        </w:tc>
        <w:tc>
          <w:tcPr>
            <w:tcW w:w="1305" w:type="dxa"/>
            <w:tcBorders>
              <w:top w:val="single" w:color="auto" w:sz="4" w:space="0"/>
              <w:left w:val="nil"/>
              <w:bottom w:val="single" w:color="auto" w:sz="4" w:space="0"/>
              <w:right w:val="single" w:color="auto" w:sz="4" w:space="0"/>
            </w:tcBorders>
            <w:vAlign w:val="center"/>
          </w:tcPr>
          <w:p w14:paraId="1C3AF6CB">
            <w:pPr>
              <w:jc w:val="center"/>
              <w:rPr>
                <w:rFonts w:ascii="宋体" w:hAnsi="宋体"/>
                <w:color w:val="auto"/>
                <w:szCs w:val="21"/>
                <w:highlight w:val="none"/>
              </w:rPr>
            </w:pPr>
            <w:r>
              <w:rPr>
                <w:rFonts w:hint="eastAsia" w:ascii="宋体" w:hAnsi="宋体"/>
                <w:color w:val="auto"/>
                <w:highlight w:val="none"/>
              </w:rPr>
              <w:t>11.6</w:t>
            </w:r>
          </w:p>
        </w:tc>
        <w:tc>
          <w:tcPr>
            <w:tcW w:w="6931" w:type="dxa"/>
            <w:tcBorders>
              <w:top w:val="single" w:color="auto" w:sz="4" w:space="0"/>
              <w:left w:val="nil"/>
              <w:bottom w:val="single" w:color="auto" w:sz="4" w:space="0"/>
              <w:right w:val="single" w:color="auto" w:sz="4" w:space="0"/>
            </w:tcBorders>
            <w:vAlign w:val="center"/>
          </w:tcPr>
          <w:p w14:paraId="1E358102">
            <w:pPr>
              <w:ind w:right="-239"/>
              <w:rPr>
                <w:rFonts w:ascii="宋体" w:hAnsi="宋体"/>
                <w:color w:val="auto"/>
                <w:spacing w:val="-1"/>
                <w:szCs w:val="21"/>
                <w:highlight w:val="none"/>
              </w:rPr>
            </w:pPr>
            <w:r>
              <w:rPr>
                <w:rFonts w:hint="eastAsia" w:ascii="宋体" w:hAnsi="宋体"/>
                <w:color w:val="auto"/>
                <w:spacing w:val="-1"/>
                <w:highlight w:val="none"/>
              </w:rPr>
              <w:t>提前交工的奖金限额：\</w:t>
            </w:r>
          </w:p>
        </w:tc>
      </w:tr>
      <w:tr w14:paraId="347A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3CC8B9DA">
            <w:pPr>
              <w:jc w:val="center"/>
              <w:rPr>
                <w:rFonts w:ascii="宋体" w:hAnsi="宋体"/>
                <w:color w:val="auto"/>
                <w:szCs w:val="21"/>
                <w:highlight w:val="none"/>
              </w:rPr>
            </w:pPr>
            <w:r>
              <w:rPr>
                <w:rFonts w:hint="eastAsia" w:ascii="宋体" w:hAnsi="宋体"/>
                <w:color w:val="auto"/>
                <w:highlight w:val="none"/>
              </w:rPr>
              <w:t>11</w:t>
            </w:r>
          </w:p>
        </w:tc>
        <w:tc>
          <w:tcPr>
            <w:tcW w:w="1305" w:type="dxa"/>
            <w:tcBorders>
              <w:top w:val="single" w:color="auto" w:sz="4" w:space="0"/>
              <w:left w:val="nil"/>
              <w:bottom w:val="single" w:color="auto" w:sz="4" w:space="0"/>
              <w:right w:val="single" w:color="auto" w:sz="4" w:space="0"/>
            </w:tcBorders>
            <w:vAlign w:val="center"/>
          </w:tcPr>
          <w:p w14:paraId="702CA497">
            <w:pPr>
              <w:jc w:val="center"/>
              <w:rPr>
                <w:rFonts w:ascii="宋体" w:hAnsi="宋体"/>
                <w:color w:val="auto"/>
                <w:szCs w:val="21"/>
                <w:highlight w:val="none"/>
              </w:rPr>
            </w:pPr>
            <w:r>
              <w:rPr>
                <w:rFonts w:hint="eastAsia" w:ascii="宋体" w:hAnsi="宋体"/>
                <w:color w:val="auto"/>
                <w:highlight w:val="none"/>
              </w:rPr>
              <w:t>15.2.2</w:t>
            </w:r>
          </w:p>
        </w:tc>
        <w:tc>
          <w:tcPr>
            <w:tcW w:w="6931" w:type="dxa"/>
            <w:tcBorders>
              <w:top w:val="single" w:color="auto" w:sz="4" w:space="0"/>
              <w:left w:val="nil"/>
              <w:bottom w:val="single" w:color="auto" w:sz="4" w:space="0"/>
              <w:right w:val="single" w:color="auto" w:sz="4" w:space="0"/>
            </w:tcBorders>
            <w:vAlign w:val="center"/>
          </w:tcPr>
          <w:p w14:paraId="502DADE0">
            <w:pPr>
              <w:ind w:right="-239"/>
              <w:rPr>
                <w:rFonts w:ascii="宋体" w:hAnsi="宋体"/>
                <w:color w:val="auto"/>
                <w:spacing w:val="-1"/>
                <w:szCs w:val="21"/>
                <w:highlight w:val="none"/>
              </w:rPr>
            </w:pPr>
            <w:r>
              <w:rPr>
                <w:rFonts w:hint="eastAsia" w:ascii="宋体" w:hAnsi="宋体"/>
                <w:color w:val="auto"/>
                <w:spacing w:val="-1"/>
                <w:highlight w:val="none"/>
              </w:rPr>
              <w:t>按招标人制定的管理办法执行</w:t>
            </w:r>
          </w:p>
        </w:tc>
      </w:tr>
      <w:tr w14:paraId="62E8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dxa"/>
            <w:tcBorders>
              <w:top w:val="single" w:color="auto" w:sz="4" w:space="0"/>
              <w:left w:val="single" w:color="auto" w:sz="4" w:space="0"/>
              <w:bottom w:val="single" w:color="auto" w:sz="4" w:space="0"/>
              <w:right w:val="single" w:color="auto" w:sz="4" w:space="0"/>
            </w:tcBorders>
            <w:vAlign w:val="center"/>
          </w:tcPr>
          <w:p w14:paraId="2EC82383">
            <w:pPr>
              <w:jc w:val="center"/>
              <w:rPr>
                <w:rFonts w:ascii="宋体" w:hAnsi="宋体"/>
                <w:color w:val="auto"/>
                <w:szCs w:val="21"/>
                <w:highlight w:val="none"/>
              </w:rPr>
            </w:pPr>
            <w:r>
              <w:rPr>
                <w:rFonts w:hint="eastAsia" w:ascii="宋体" w:hAnsi="宋体"/>
                <w:color w:val="auto"/>
                <w:highlight w:val="none"/>
              </w:rPr>
              <w:t>12</w:t>
            </w:r>
          </w:p>
        </w:tc>
        <w:tc>
          <w:tcPr>
            <w:tcW w:w="1305" w:type="dxa"/>
            <w:tcBorders>
              <w:top w:val="single" w:color="auto" w:sz="4" w:space="0"/>
              <w:left w:val="nil"/>
              <w:bottom w:val="single" w:color="auto" w:sz="4" w:space="0"/>
              <w:right w:val="single" w:color="auto" w:sz="4" w:space="0"/>
            </w:tcBorders>
            <w:vAlign w:val="center"/>
          </w:tcPr>
          <w:p w14:paraId="16B994E9">
            <w:pPr>
              <w:jc w:val="center"/>
              <w:rPr>
                <w:rFonts w:ascii="宋体" w:hAnsi="宋体"/>
                <w:color w:val="auto"/>
                <w:szCs w:val="21"/>
                <w:highlight w:val="none"/>
              </w:rPr>
            </w:pPr>
            <w:r>
              <w:rPr>
                <w:rFonts w:hint="eastAsia" w:ascii="宋体" w:hAnsi="宋体"/>
                <w:color w:val="auto"/>
                <w:highlight w:val="none"/>
              </w:rPr>
              <w:t>16.1</w:t>
            </w:r>
          </w:p>
        </w:tc>
        <w:tc>
          <w:tcPr>
            <w:tcW w:w="6931" w:type="dxa"/>
            <w:tcBorders>
              <w:top w:val="single" w:color="auto" w:sz="4" w:space="0"/>
              <w:left w:val="nil"/>
              <w:bottom w:val="single" w:color="auto" w:sz="4" w:space="0"/>
              <w:right w:val="single" w:color="auto" w:sz="4" w:space="0"/>
            </w:tcBorders>
            <w:vAlign w:val="center"/>
          </w:tcPr>
          <w:p w14:paraId="5C5F0FDF">
            <w:pPr>
              <w:rPr>
                <w:rFonts w:ascii="宋体" w:hAnsi="宋体"/>
                <w:color w:val="auto"/>
                <w:spacing w:val="-1"/>
                <w:szCs w:val="21"/>
                <w:highlight w:val="none"/>
              </w:rPr>
            </w:pPr>
            <w:r>
              <w:rPr>
                <w:rFonts w:hint="eastAsia" w:ascii="宋体" w:hAnsi="宋体"/>
                <w:color w:val="auto"/>
                <w:spacing w:val="-1"/>
                <w:highlight w:val="none"/>
              </w:rPr>
              <w:t>□因物价波动引起的价格调整按照第</w:t>
            </w:r>
            <w:r>
              <w:rPr>
                <w:rFonts w:hint="eastAsia" w:ascii="宋体" w:hAnsi="宋体"/>
                <w:color w:val="auto"/>
                <w:spacing w:val="-1"/>
                <w:highlight w:val="none"/>
                <w:u w:val="single"/>
              </w:rPr>
              <w:t>16.1.1</w:t>
            </w:r>
            <w:r>
              <w:rPr>
                <w:rFonts w:hint="eastAsia" w:ascii="宋体" w:hAnsi="宋体"/>
                <w:color w:val="auto"/>
                <w:spacing w:val="-1"/>
                <w:highlight w:val="none"/>
              </w:rPr>
              <w:t>或</w:t>
            </w:r>
            <w:r>
              <w:rPr>
                <w:rFonts w:hint="eastAsia" w:ascii="宋体" w:hAnsi="宋体"/>
                <w:color w:val="auto"/>
                <w:spacing w:val="-1"/>
                <w:highlight w:val="none"/>
                <w:u w:val="single"/>
              </w:rPr>
              <w:t>16.1.2</w:t>
            </w:r>
            <w:r>
              <w:rPr>
                <w:rFonts w:hint="eastAsia" w:ascii="宋体" w:hAnsi="宋体"/>
                <w:color w:val="auto"/>
                <w:spacing w:val="-1"/>
                <w:highlight w:val="none"/>
              </w:rPr>
              <w:t>项约定的原则处理若按第</w:t>
            </w:r>
            <w:r>
              <w:rPr>
                <w:rFonts w:hint="eastAsia" w:ascii="宋体" w:hAnsi="宋体"/>
                <w:color w:val="auto"/>
                <w:spacing w:val="-1"/>
                <w:highlight w:val="none"/>
                <w:u w:val="single"/>
              </w:rPr>
              <w:t>16.1.1</w:t>
            </w:r>
            <w:r>
              <w:rPr>
                <w:rFonts w:hint="eastAsia" w:ascii="宋体" w:hAnsi="宋体"/>
                <w:color w:val="auto"/>
                <w:spacing w:val="-1"/>
                <w:highlight w:val="none"/>
              </w:rPr>
              <w:t>项的约定采用价格调整公式进行调价，每半年或一年按价格调整公式进行一次调整</w:t>
            </w:r>
          </w:p>
          <w:p w14:paraId="3B0E58B4">
            <w:pPr>
              <w:rPr>
                <w:rFonts w:ascii="宋体" w:hAnsi="宋体"/>
                <w:color w:val="auto"/>
                <w:spacing w:val="-1"/>
                <w:szCs w:val="21"/>
                <w:highlight w:val="none"/>
              </w:rPr>
            </w:pPr>
            <w:r>
              <w:rPr>
                <w:rFonts w:hint="eastAsia" w:ascii="宋体" w:hAnsi="宋体"/>
                <w:color w:val="auto"/>
                <w:spacing w:val="-1"/>
                <w:highlight w:val="none"/>
              </w:rPr>
              <w:t>√合同期内不调价</w:t>
            </w:r>
          </w:p>
        </w:tc>
      </w:tr>
      <w:tr w14:paraId="6252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71DEED81">
            <w:pPr>
              <w:jc w:val="center"/>
              <w:rPr>
                <w:rFonts w:ascii="宋体" w:hAnsi="宋体"/>
                <w:color w:val="auto"/>
                <w:szCs w:val="21"/>
                <w:highlight w:val="none"/>
              </w:rPr>
            </w:pPr>
            <w:r>
              <w:rPr>
                <w:rFonts w:hint="eastAsia" w:ascii="宋体" w:hAnsi="宋体"/>
                <w:color w:val="auto"/>
                <w:highlight w:val="none"/>
              </w:rPr>
              <w:t>13</w:t>
            </w:r>
          </w:p>
        </w:tc>
        <w:tc>
          <w:tcPr>
            <w:tcW w:w="1305" w:type="dxa"/>
            <w:tcBorders>
              <w:top w:val="single" w:color="auto" w:sz="4" w:space="0"/>
              <w:left w:val="nil"/>
              <w:bottom w:val="single" w:color="auto" w:sz="4" w:space="0"/>
              <w:right w:val="single" w:color="auto" w:sz="4" w:space="0"/>
            </w:tcBorders>
            <w:vAlign w:val="center"/>
          </w:tcPr>
          <w:p w14:paraId="52276988">
            <w:pPr>
              <w:jc w:val="center"/>
              <w:rPr>
                <w:rFonts w:ascii="宋体" w:hAnsi="宋体"/>
                <w:color w:val="auto"/>
                <w:szCs w:val="21"/>
                <w:highlight w:val="none"/>
              </w:rPr>
            </w:pPr>
            <w:r>
              <w:rPr>
                <w:rFonts w:hint="eastAsia" w:ascii="宋体" w:hAnsi="宋体"/>
                <w:color w:val="auto"/>
                <w:highlight w:val="none"/>
              </w:rPr>
              <w:t>17.2.1</w:t>
            </w:r>
          </w:p>
        </w:tc>
        <w:tc>
          <w:tcPr>
            <w:tcW w:w="6931" w:type="dxa"/>
            <w:tcBorders>
              <w:top w:val="single" w:color="auto" w:sz="4" w:space="0"/>
              <w:left w:val="nil"/>
              <w:bottom w:val="single" w:color="auto" w:sz="4" w:space="0"/>
              <w:right w:val="single" w:color="auto" w:sz="4" w:space="0"/>
            </w:tcBorders>
            <w:vAlign w:val="center"/>
          </w:tcPr>
          <w:p w14:paraId="61D4C580">
            <w:pPr>
              <w:rPr>
                <w:rFonts w:ascii="宋体" w:hAnsi="宋体"/>
                <w:color w:val="auto"/>
                <w:spacing w:val="-1"/>
                <w:szCs w:val="21"/>
                <w:highlight w:val="none"/>
              </w:rPr>
            </w:pPr>
            <w:r>
              <w:rPr>
                <w:rFonts w:hint="eastAsia" w:ascii="宋体" w:hAnsi="宋体"/>
                <w:color w:val="auto"/>
                <w:spacing w:val="-1"/>
                <w:highlight w:val="none"/>
              </w:rPr>
              <w:t>开工预付款金额：\</w:t>
            </w:r>
          </w:p>
        </w:tc>
      </w:tr>
      <w:tr w14:paraId="3AC4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260BFAC4">
            <w:pPr>
              <w:jc w:val="center"/>
              <w:rPr>
                <w:rFonts w:ascii="宋体" w:hAnsi="宋体"/>
                <w:color w:val="auto"/>
                <w:szCs w:val="21"/>
                <w:highlight w:val="none"/>
              </w:rPr>
            </w:pPr>
            <w:r>
              <w:rPr>
                <w:rFonts w:hint="eastAsia" w:ascii="宋体" w:hAnsi="宋体"/>
                <w:color w:val="auto"/>
                <w:highlight w:val="none"/>
              </w:rPr>
              <w:t>14</w:t>
            </w:r>
          </w:p>
        </w:tc>
        <w:tc>
          <w:tcPr>
            <w:tcW w:w="1305" w:type="dxa"/>
            <w:tcBorders>
              <w:top w:val="single" w:color="auto" w:sz="4" w:space="0"/>
              <w:left w:val="nil"/>
              <w:bottom w:val="single" w:color="auto" w:sz="4" w:space="0"/>
              <w:right w:val="single" w:color="auto" w:sz="4" w:space="0"/>
            </w:tcBorders>
            <w:vAlign w:val="center"/>
          </w:tcPr>
          <w:p w14:paraId="2E7D6AC5">
            <w:pPr>
              <w:jc w:val="center"/>
              <w:rPr>
                <w:rFonts w:ascii="宋体" w:hAnsi="宋体"/>
                <w:color w:val="auto"/>
                <w:szCs w:val="21"/>
                <w:highlight w:val="none"/>
              </w:rPr>
            </w:pPr>
            <w:r>
              <w:rPr>
                <w:rFonts w:hint="eastAsia" w:ascii="宋体" w:hAnsi="宋体"/>
                <w:color w:val="auto"/>
                <w:highlight w:val="none"/>
              </w:rPr>
              <w:t>17.2.1</w:t>
            </w:r>
          </w:p>
        </w:tc>
        <w:tc>
          <w:tcPr>
            <w:tcW w:w="6931" w:type="dxa"/>
            <w:tcBorders>
              <w:top w:val="single" w:color="auto" w:sz="4" w:space="0"/>
              <w:left w:val="nil"/>
              <w:bottom w:val="single" w:color="auto" w:sz="4" w:space="0"/>
              <w:right w:val="single" w:color="auto" w:sz="4" w:space="0"/>
            </w:tcBorders>
            <w:vAlign w:val="center"/>
          </w:tcPr>
          <w:p w14:paraId="6BF895BE">
            <w:pPr>
              <w:rPr>
                <w:rFonts w:ascii="宋体" w:hAnsi="宋体"/>
                <w:color w:val="auto"/>
                <w:spacing w:val="-1"/>
                <w:szCs w:val="21"/>
                <w:highlight w:val="none"/>
              </w:rPr>
            </w:pPr>
            <w:r>
              <w:rPr>
                <w:rFonts w:hint="eastAsia" w:ascii="宋体" w:hAnsi="宋体"/>
                <w:color w:val="auto"/>
                <w:spacing w:val="-1"/>
                <w:highlight w:val="none"/>
              </w:rPr>
              <w:t>材料、设备预付款比例：\</w:t>
            </w:r>
          </w:p>
        </w:tc>
      </w:tr>
      <w:tr w14:paraId="7B9B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5B492410">
            <w:pPr>
              <w:jc w:val="center"/>
              <w:rPr>
                <w:rFonts w:ascii="宋体" w:hAnsi="宋体"/>
                <w:color w:val="auto"/>
                <w:szCs w:val="21"/>
                <w:highlight w:val="none"/>
              </w:rPr>
            </w:pPr>
            <w:r>
              <w:rPr>
                <w:rFonts w:hint="eastAsia" w:ascii="宋体" w:hAnsi="宋体"/>
                <w:color w:val="auto"/>
                <w:highlight w:val="none"/>
              </w:rPr>
              <w:t>15</w:t>
            </w:r>
          </w:p>
        </w:tc>
        <w:tc>
          <w:tcPr>
            <w:tcW w:w="1305" w:type="dxa"/>
            <w:tcBorders>
              <w:top w:val="single" w:color="auto" w:sz="4" w:space="0"/>
              <w:left w:val="nil"/>
              <w:bottom w:val="single" w:color="auto" w:sz="4" w:space="0"/>
              <w:right w:val="single" w:color="auto" w:sz="4" w:space="0"/>
            </w:tcBorders>
            <w:vAlign w:val="center"/>
          </w:tcPr>
          <w:p w14:paraId="2C28AE99">
            <w:pPr>
              <w:jc w:val="center"/>
              <w:rPr>
                <w:rFonts w:ascii="宋体" w:hAnsi="宋体"/>
                <w:color w:val="auto"/>
                <w:szCs w:val="21"/>
                <w:highlight w:val="none"/>
              </w:rPr>
            </w:pPr>
            <w:r>
              <w:rPr>
                <w:rFonts w:hint="eastAsia" w:ascii="宋体" w:hAnsi="宋体"/>
                <w:color w:val="auto"/>
                <w:highlight w:val="none"/>
              </w:rPr>
              <w:t>17.3.2</w:t>
            </w:r>
          </w:p>
        </w:tc>
        <w:tc>
          <w:tcPr>
            <w:tcW w:w="6931" w:type="dxa"/>
            <w:tcBorders>
              <w:top w:val="single" w:color="auto" w:sz="4" w:space="0"/>
              <w:left w:val="nil"/>
              <w:bottom w:val="single" w:color="auto" w:sz="4" w:space="0"/>
              <w:right w:val="single" w:color="auto" w:sz="4" w:space="0"/>
            </w:tcBorders>
            <w:vAlign w:val="center"/>
          </w:tcPr>
          <w:p w14:paraId="5C7E8E90">
            <w:pPr>
              <w:rPr>
                <w:rFonts w:ascii="宋体" w:hAnsi="宋体"/>
                <w:color w:val="auto"/>
                <w:spacing w:val="-1"/>
                <w:szCs w:val="21"/>
                <w:highlight w:val="none"/>
              </w:rPr>
            </w:pPr>
            <w:r>
              <w:rPr>
                <w:rFonts w:hint="eastAsia" w:ascii="宋体" w:hAnsi="宋体"/>
                <w:color w:val="auto"/>
                <w:spacing w:val="-1"/>
                <w:highlight w:val="none"/>
              </w:rPr>
              <w:t>承包人在每个付款周期末向监理人提交进度付款申请单的份数：</w:t>
            </w:r>
            <w:r>
              <w:rPr>
                <w:rFonts w:hint="eastAsia" w:ascii="宋体" w:hAnsi="宋体"/>
                <w:color w:val="auto"/>
                <w:spacing w:val="-1"/>
                <w:highlight w:val="none"/>
                <w:u w:val="single"/>
              </w:rPr>
              <w:t xml:space="preserve">5 </w:t>
            </w:r>
            <w:r>
              <w:rPr>
                <w:rFonts w:hint="eastAsia" w:ascii="宋体" w:hAnsi="宋体"/>
                <w:color w:val="auto"/>
                <w:spacing w:val="-1"/>
                <w:highlight w:val="none"/>
              </w:rPr>
              <w:t>份</w:t>
            </w:r>
          </w:p>
        </w:tc>
      </w:tr>
      <w:tr w14:paraId="22AE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0D148B08">
            <w:pPr>
              <w:jc w:val="center"/>
              <w:rPr>
                <w:rFonts w:ascii="宋体" w:hAnsi="宋体"/>
                <w:color w:val="auto"/>
                <w:szCs w:val="21"/>
                <w:highlight w:val="none"/>
              </w:rPr>
            </w:pPr>
            <w:r>
              <w:rPr>
                <w:rFonts w:hint="eastAsia" w:ascii="宋体" w:hAnsi="宋体"/>
                <w:color w:val="auto"/>
                <w:highlight w:val="none"/>
              </w:rPr>
              <w:t>16</w:t>
            </w:r>
          </w:p>
        </w:tc>
        <w:tc>
          <w:tcPr>
            <w:tcW w:w="1305" w:type="dxa"/>
            <w:tcBorders>
              <w:top w:val="single" w:color="auto" w:sz="4" w:space="0"/>
              <w:left w:val="nil"/>
              <w:bottom w:val="single" w:color="auto" w:sz="4" w:space="0"/>
              <w:right w:val="single" w:color="auto" w:sz="4" w:space="0"/>
            </w:tcBorders>
            <w:vAlign w:val="center"/>
          </w:tcPr>
          <w:p w14:paraId="259E989B">
            <w:pPr>
              <w:jc w:val="center"/>
              <w:rPr>
                <w:rFonts w:ascii="宋体" w:hAnsi="宋体"/>
                <w:color w:val="auto"/>
                <w:szCs w:val="21"/>
                <w:highlight w:val="none"/>
              </w:rPr>
            </w:pPr>
            <w:r>
              <w:rPr>
                <w:rFonts w:hint="eastAsia" w:ascii="宋体" w:hAnsi="宋体"/>
                <w:color w:val="auto"/>
                <w:highlight w:val="none"/>
              </w:rPr>
              <w:t>17.3.3（1）</w:t>
            </w:r>
          </w:p>
        </w:tc>
        <w:tc>
          <w:tcPr>
            <w:tcW w:w="6931" w:type="dxa"/>
            <w:tcBorders>
              <w:top w:val="single" w:color="auto" w:sz="4" w:space="0"/>
              <w:left w:val="nil"/>
              <w:bottom w:val="single" w:color="auto" w:sz="4" w:space="0"/>
              <w:right w:val="single" w:color="auto" w:sz="4" w:space="0"/>
            </w:tcBorders>
            <w:vAlign w:val="center"/>
          </w:tcPr>
          <w:p w14:paraId="39D9BEBC">
            <w:pPr>
              <w:rPr>
                <w:rFonts w:ascii="宋体" w:hAnsi="宋体"/>
                <w:color w:val="auto"/>
                <w:spacing w:val="-1"/>
                <w:szCs w:val="21"/>
                <w:highlight w:val="none"/>
              </w:rPr>
            </w:pPr>
            <w:r>
              <w:rPr>
                <w:rFonts w:hint="eastAsia" w:ascii="宋体" w:hAnsi="宋体"/>
                <w:color w:val="auto"/>
                <w:spacing w:val="-1"/>
                <w:highlight w:val="none"/>
              </w:rPr>
              <w:t>进度付款证书最低限额：人民币</w:t>
            </w:r>
            <w:r>
              <w:rPr>
                <w:rFonts w:hint="eastAsia" w:ascii="宋体" w:hAnsi="宋体"/>
                <w:color w:val="auto"/>
                <w:spacing w:val="-1"/>
                <w:highlight w:val="none"/>
                <w:u w:val="single"/>
              </w:rPr>
              <w:t xml:space="preserve"> </w:t>
            </w:r>
            <w:r>
              <w:rPr>
                <w:rFonts w:hint="eastAsia" w:ascii="宋体" w:hAnsi="宋体"/>
                <w:color w:val="auto"/>
                <w:spacing w:val="-1"/>
                <w:highlight w:val="none"/>
                <w:u w:val="single"/>
                <w:lang w:val="en-US" w:eastAsia="zh-CN"/>
              </w:rPr>
              <w:t>30</w:t>
            </w:r>
            <w:r>
              <w:rPr>
                <w:rFonts w:hint="eastAsia" w:ascii="宋体" w:hAnsi="宋体"/>
                <w:color w:val="auto"/>
                <w:spacing w:val="-1"/>
                <w:highlight w:val="none"/>
                <w:u w:val="single"/>
              </w:rPr>
              <w:t xml:space="preserve"> </w:t>
            </w:r>
            <w:r>
              <w:rPr>
                <w:rFonts w:hint="eastAsia" w:ascii="宋体" w:hAnsi="宋体"/>
                <w:color w:val="auto"/>
                <w:spacing w:val="-1"/>
                <w:highlight w:val="none"/>
              </w:rPr>
              <w:t>万元</w:t>
            </w:r>
          </w:p>
        </w:tc>
      </w:tr>
      <w:tr w14:paraId="3B9F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50BB1456">
            <w:pPr>
              <w:jc w:val="center"/>
              <w:rPr>
                <w:rFonts w:ascii="宋体" w:hAnsi="宋体"/>
                <w:color w:val="auto"/>
                <w:szCs w:val="21"/>
                <w:highlight w:val="none"/>
              </w:rPr>
            </w:pPr>
            <w:r>
              <w:rPr>
                <w:rFonts w:hint="eastAsia" w:ascii="宋体" w:hAnsi="宋体"/>
                <w:color w:val="auto"/>
                <w:highlight w:val="none"/>
              </w:rPr>
              <w:t>17</w:t>
            </w:r>
          </w:p>
        </w:tc>
        <w:tc>
          <w:tcPr>
            <w:tcW w:w="1305" w:type="dxa"/>
            <w:tcBorders>
              <w:top w:val="single" w:color="auto" w:sz="4" w:space="0"/>
              <w:left w:val="nil"/>
              <w:bottom w:val="single" w:color="auto" w:sz="4" w:space="0"/>
              <w:right w:val="single" w:color="auto" w:sz="4" w:space="0"/>
            </w:tcBorders>
            <w:vAlign w:val="center"/>
          </w:tcPr>
          <w:p w14:paraId="0EF149BE">
            <w:pPr>
              <w:jc w:val="center"/>
              <w:rPr>
                <w:rFonts w:ascii="宋体" w:hAnsi="宋体"/>
                <w:color w:val="auto"/>
                <w:szCs w:val="21"/>
                <w:highlight w:val="none"/>
              </w:rPr>
            </w:pPr>
            <w:r>
              <w:rPr>
                <w:rFonts w:hint="eastAsia" w:ascii="宋体" w:hAnsi="宋体"/>
                <w:color w:val="auto"/>
                <w:highlight w:val="none"/>
              </w:rPr>
              <w:t>17.3.3（2）</w:t>
            </w:r>
          </w:p>
        </w:tc>
        <w:tc>
          <w:tcPr>
            <w:tcW w:w="6931" w:type="dxa"/>
            <w:tcBorders>
              <w:top w:val="single" w:color="auto" w:sz="4" w:space="0"/>
              <w:left w:val="nil"/>
              <w:bottom w:val="single" w:color="auto" w:sz="4" w:space="0"/>
              <w:right w:val="single" w:color="auto" w:sz="4" w:space="0"/>
            </w:tcBorders>
            <w:vAlign w:val="center"/>
          </w:tcPr>
          <w:p w14:paraId="531879CB">
            <w:pPr>
              <w:rPr>
                <w:rFonts w:ascii="宋体" w:hAnsi="宋体"/>
                <w:color w:val="auto"/>
                <w:spacing w:val="-1"/>
                <w:szCs w:val="21"/>
                <w:highlight w:val="none"/>
              </w:rPr>
            </w:pPr>
            <w:r>
              <w:rPr>
                <w:rFonts w:hint="eastAsia" w:ascii="宋体" w:hAnsi="宋体"/>
                <w:color w:val="auto"/>
                <w:spacing w:val="-1"/>
                <w:highlight w:val="none"/>
              </w:rPr>
              <w:t>逾期付款违约金的利率\</w:t>
            </w:r>
          </w:p>
        </w:tc>
      </w:tr>
      <w:tr w14:paraId="2D07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3AD1AFF3">
            <w:pPr>
              <w:jc w:val="center"/>
              <w:rPr>
                <w:rFonts w:ascii="宋体" w:hAnsi="宋体"/>
                <w:color w:val="auto"/>
                <w:szCs w:val="21"/>
                <w:highlight w:val="none"/>
              </w:rPr>
            </w:pPr>
            <w:r>
              <w:rPr>
                <w:rFonts w:hint="eastAsia" w:ascii="宋体" w:hAnsi="宋体"/>
                <w:color w:val="auto"/>
                <w:highlight w:val="none"/>
              </w:rPr>
              <w:t>18</w:t>
            </w:r>
          </w:p>
        </w:tc>
        <w:tc>
          <w:tcPr>
            <w:tcW w:w="1305" w:type="dxa"/>
            <w:tcBorders>
              <w:top w:val="single" w:color="auto" w:sz="4" w:space="0"/>
              <w:left w:val="nil"/>
              <w:bottom w:val="single" w:color="auto" w:sz="4" w:space="0"/>
              <w:right w:val="single" w:color="auto" w:sz="4" w:space="0"/>
            </w:tcBorders>
            <w:vAlign w:val="center"/>
          </w:tcPr>
          <w:p w14:paraId="0614211D">
            <w:pPr>
              <w:jc w:val="center"/>
              <w:rPr>
                <w:rFonts w:ascii="宋体" w:hAnsi="宋体"/>
                <w:color w:val="auto"/>
                <w:szCs w:val="21"/>
                <w:highlight w:val="none"/>
              </w:rPr>
            </w:pPr>
            <w:r>
              <w:rPr>
                <w:rFonts w:hint="eastAsia" w:ascii="宋体" w:hAnsi="宋体"/>
                <w:color w:val="auto"/>
                <w:highlight w:val="none"/>
              </w:rPr>
              <w:t>17.4.1</w:t>
            </w:r>
          </w:p>
        </w:tc>
        <w:tc>
          <w:tcPr>
            <w:tcW w:w="6931" w:type="dxa"/>
            <w:tcBorders>
              <w:top w:val="single" w:color="auto" w:sz="4" w:space="0"/>
              <w:left w:val="nil"/>
              <w:bottom w:val="single" w:color="auto" w:sz="4" w:space="0"/>
              <w:right w:val="single" w:color="auto" w:sz="4" w:space="0"/>
            </w:tcBorders>
            <w:vAlign w:val="center"/>
          </w:tcPr>
          <w:p w14:paraId="21D11CFB">
            <w:pPr>
              <w:rPr>
                <w:rFonts w:ascii="宋体" w:hAnsi="宋体"/>
                <w:color w:val="auto"/>
                <w:spacing w:val="-1"/>
                <w:szCs w:val="21"/>
                <w:highlight w:val="none"/>
              </w:rPr>
            </w:pPr>
            <w:r>
              <w:rPr>
                <w:rFonts w:hint="eastAsia" w:ascii="宋体" w:hAnsi="宋体"/>
                <w:color w:val="auto"/>
                <w:spacing w:val="-1"/>
                <w:highlight w:val="none"/>
              </w:rPr>
              <w:t>质量保证金百分比：月支付额的</w:t>
            </w:r>
            <w:r>
              <w:rPr>
                <w:rFonts w:hint="eastAsia" w:ascii="宋体" w:hAnsi="宋体"/>
                <w:color w:val="auto"/>
                <w:spacing w:val="-1"/>
                <w:highlight w:val="none"/>
                <w:u w:val="single"/>
              </w:rPr>
              <w:t xml:space="preserve"> 10 </w:t>
            </w:r>
            <w:r>
              <w:rPr>
                <w:rFonts w:hint="eastAsia" w:ascii="宋体" w:hAnsi="宋体"/>
                <w:color w:val="auto"/>
                <w:spacing w:val="-1"/>
                <w:highlight w:val="none"/>
              </w:rPr>
              <w:t>%</w:t>
            </w:r>
          </w:p>
        </w:tc>
      </w:tr>
      <w:tr w14:paraId="2895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2F3490E3">
            <w:pPr>
              <w:jc w:val="center"/>
              <w:rPr>
                <w:rFonts w:ascii="宋体" w:hAnsi="宋体"/>
                <w:color w:val="auto"/>
                <w:szCs w:val="21"/>
                <w:highlight w:val="none"/>
              </w:rPr>
            </w:pPr>
            <w:r>
              <w:rPr>
                <w:rFonts w:hint="eastAsia" w:ascii="宋体" w:hAnsi="宋体"/>
                <w:color w:val="auto"/>
                <w:highlight w:val="none"/>
              </w:rPr>
              <w:t>19</w:t>
            </w:r>
          </w:p>
        </w:tc>
        <w:tc>
          <w:tcPr>
            <w:tcW w:w="1305" w:type="dxa"/>
            <w:tcBorders>
              <w:top w:val="single" w:color="auto" w:sz="4" w:space="0"/>
              <w:left w:val="nil"/>
              <w:bottom w:val="single" w:color="auto" w:sz="4" w:space="0"/>
              <w:right w:val="single" w:color="auto" w:sz="4" w:space="0"/>
            </w:tcBorders>
            <w:vAlign w:val="center"/>
          </w:tcPr>
          <w:p w14:paraId="15544397">
            <w:pPr>
              <w:jc w:val="center"/>
              <w:rPr>
                <w:rFonts w:ascii="宋体" w:hAnsi="宋体"/>
                <w:color w:val="auto"/>
                <w:szCs w:val="21"/>
                <w:highlight w:val="none"/>
              </w:rPr>
            </w:pPr>
            <w:r>
              <w:rPr>
                <w:rFonts w:hint="eastAsia" w:ascii="宋体" w:hAnsi="宋体"/>
                <w:color w:val="auto"/>
                <w:highlight w:val="none"/>
              </w:rPr>
              <w:t>17.4.1</w:t>
            </w:r>
          </w:p>
        </w:tc>
        <w:tc>
          <w:tcPr>
            <w:tcW w:w="6931" w:type="dxa"/>
            <w:tcBorders>
              <w:top w:val="single" w:color="auto" w:sz="4" w:space="0"/>
              <w:left w:val="nil"/>
              <w:bottom w:val="single" w:color="auto" w:sz="4" w:space="0"/>
              <w:right w:val="single" w:color="auto" w:sz="4" w:space="0"/>
            </w:tcBorders>
            <w:vAlign w:val="center"/>
          </w:tcPr>
          <w:p w14:paraId="69917A6F">
            <w:pPr>
              <w:rPr>
                <w:rFonts w:ascii="宋体" w:hAnsi="宋体"/>
                <w:color w:val="auto"/>
                <w:spacing w:val="-1"/>
                <w:szCs w:val="21"/>
                <w:highlight w:val="none"/>
              </w:rPr>
            </w:pPr>
            <w:r>
              <w:rPr>
                <w:rFonts w:hint="eastAsia" w:ascii="宋体" w:hAnsi="宋体"/>
                <w:color w:val="auto"/>
                <w:spacing w:val="-1"/>
                <w:highlight w:val="none"/>
              </w:rPr>
              <w:t>质量保证金限额：</w:t>
            </w:r>
            <w:r>
              <w:rPr>
                <w:rFonts w:hint="eastAsia" w:ascii="宋体" w:hAnsi="宋体"/>
                <w:color w:val="auto"/>
                <w:spacing w:val="-1"/>
                <w:highlight w:val="none"/>
                <w:u w:val="single"/>
              </w:rPr>
              <w:t>3%</w:t>
            </w:r>
            <w:r>
              <w:rPr>
                <w:rFonts w:hint="eastAsia" w:ascii="宋体" w:hAnsi="宋体"/>
                <w:color w:val="auto"/>
                <w:spacing w:val="-1"/>
                <w:highlight w:val="none"/>
              </w:rPr>
              <w:t>合同价格</w:t>
            </w:r>
          </w:p>
        </w:tc>
      </w:tr>
      <w:tr w14:paraId="72D6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07079044">
            <w:pPr>
              <w:jc w:val="center"/>
              <w:rPr>
                <w:rFonts w:ascii="宋体" w:hAnsi="宋体"/>
                <w:color w:val="auto"/>
                <w:szCs w:val="21"/>
                <w:highlight w:val="none"/>
              </w:rPr>
            </w:pPr>
            <w:r>
              <w:rPr>
                <w:rFonts w:hint="eastAsia" w:ascii="宋体" w:hAnsi="宋体"/>
                <w:color w:val="auto"/>
                <w:highlight w:val="none"/>
              </w:rPr>
              <w:t>20</w:t>
            </w:r>
          </w:p>
        </w:tc>
        <w:tc>
          <w:tcPr>
            <w:tcW w:w="1305" w:type="dxa"/>
            <w:tcBorders>
              <w:top w:val="single" w:color="auto" w:sz="4" w:space="0"/>
              <w:left w:val="nil"/>
              <w:bottom w:val="single" w:color="auto" w:sz="4" w:space="0"/>
              <w:right w:val="single" w:color="auto" w:sz="4" w:space="0"/>
            </w:tcBorders>
            <w:vAlign w:val="center"/>
          </w:tcPr>
          <w:p w14:paraId="63B1256F">
            <w:pPr>
              <w:jc w:val="center"/>
              <w:rPr>
                <w:rFonts w:ascii="宋体" w:hAnsi="宋体"/>
                <w:color w:val="auto"/>
                <w:szCs w:val="21"/>
                <w:highlight w:val="none"/>
              </w:rPr>
            </w:pPr>
            <w:r>
              <w:rPr>
                <w:rFonts w:hint="eastAsia" w:ascii="宋体" w:hAnsi="宋体"/>
                <w:color w:val="auto"/>
                <w:highlight w:val="none"/>
              </w:rPr>
              <w:t>17.5.1</w:t>
            </w:r>
          </w:p>
        </w:tc>
        <w:tc>
          <w:tcPr>
            <w:tcW w:w="6931" w:type="dxa"/>
            <w:tcBorders>
              <w:top w:val="single" w:color="auto" w:sz="4" w:space="0"/>
              <w:left w:val="nil"/>
              <w:bottom w:val="single" w:color="auto" w:sz="4" w:space="0"/>
              <w:right w:val="single" w:color="auto" w:sz="4" w:space="0"/>
            </w:tcBorders>
            <w:vAlign w:val="center"/>
          </w:tcPr>
          <w:p w14:paraId="360A2E8D">
            <w:pPr>
              <w:rPr>
                <w:rFonts w:ascii="宋体" w:hAnsi="宋体"/>
                <w:color w:val="auto"/>
                <w:spacing w:val="-1"/>
                <w:szCs w:val="21"/>
                <w:highlight w:val="none"/>
              </w:rPr>
            </w:pPr>
            <w:r>
              <w:rPr>
                <w:rFonts w:hint="eastAsia" w:ascii="宋体" w:hAnsi="宋体"/>
                <w:color w:val="auto"/>
                <w:spacing w:val="-1"/>
                <w:highlight w:val="none"/>
              </w:rPr>
              <w:t>承包人向监理人提交交工付款申请单（包括相关证明材料）的份数：</w:t>
            </w:r>
            <w:r>
              <w:rPr>
                <w:rFonts w:hint="eastAsia" w:ascii="宋体" w:hAnsi="宋体"/>
                <w:color w:val="auto"/>
                <w:spacing w:val="-1"/>
                <w:highlight w:val="none"/>
                <w:u w:val="single"/>
              </w:rPr>
              <w:t>5</w:t>
            </w:r>
            <w:r>
              <w:rPr>
                <w:rFonts w:hint="eastAsia" w:ascii="宋体" w:hAnsi="宋体"/>
                <w:color w:val="auto"/>
                <w:spacing w:val="-1"/>
                <w:highlight w:val="none"/>
              </w:rPr>
              <w:t>份</w:t>
            </w:r>
          </w:p>
        </w:tc>
      </w:tr>
      <w:tr w14:paraId="3EEE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5CACBD56">
            <w:pPr>
              <w:jc w:val="center"/>
              <w:rPr>
                <w:rFonts w:ascii="宋体" w:hAnsi="宋体"/>
                <w:color w:val="auto"/>
                <w:szCs w:val="21"/>
                <w:highlight w:val="none"/>
              </w:rPr>
            </w:pPr>
            <w:r>
              <w:rPr>
                <w:rFonts w:hint="eastAsia" w:ascii="宋体" w:hAnsi="宋体"/>
                <w:color w:val="auto"/>
                <w:highlight w:val="none"/>
              </w:rPr>
              <w:t>21</w:t>
            </w:r>
          </w:p>
        </w:tc>
        <w:tc>
          <w:tcPr>
            <w:tcW w:w="1305" w:type="dxa"/>
            <w:tcBorders>
              <w:top w:val="single" w:color="auto" w:sz="4" w:space="0"/>
              <w:left w:val="nil"/>
              <w:bottom w:val="single" w:color="auto" w:sz="4" w:space="0"/>
              <w:right w:val="single" w:color="auto" w:sz="4" w:space="0"/>
            </w:tcBorders>
            <w:vAlign w:val="center"/>
          </w:tcPr>
          <w:p w14:paraId="64D12CBA">
            <w:pPr>
              <w:jc w:val="center"/>
              <w:rPr>
                <w:rFonts w:ascii="宋体" w:hAnsi="宋体"/>
                <w:color w:val="auto"/>
                <w:szCs w:val="21"/>
                <w:highlight w:val="none"/>
              </w:rPr>
            </w:pPr>
            <w:r>
              <w:rPr>
                <w:rFonts w:hint="eastAsia" w:ascii="宋体" w:hAnsi="宋体"/>
                <w:color w:val="auto"/>
                <w:highlight w:val="none"/>
              </w:rPr>
              <w:t>17.6.1</w:t>
            </w:r>
          </w:p>
        </w:tc>
        <w:tc>
          <w:tcPr>
            <w:tcW w:w="6931" w:type="dxa"/>
            <w:tcBorders>
              <w:top w:val="single" w:color="auto" w:sz="4" w:space="0"/>
              <w:left w:val="nil"/>
              <w:bottom w:val="single" w:color="auto" w:sz="4" w:space="0"/>
              <w:right w:val="single" w:color="auto" w:sz="4" w:space="0"/>
            </w:tcBorders>
            <w:vAlign w:val="center"/>
          </w:tcPr>
          <w:p w14:paraId="717648C2">
            <w:pPr>
              <w:rPr>
                <w:rFonts w:ascii="宋体" w:hAnsi="宋体"/>
                <w:color w:val="auto"/>
                <w:spacing w:val="-1"/>
                <w:szCs w:val="21"/>
                <w:highlight w:val="none"/>
              </w:rPr>
            </w:pPr>
            <w:r>
              <w:rPr>
                <w:rFonts w:hint="eastAsia" w:ascii="宋体" w:hAnsi="宋体"/>
                <w:color w:val="auto"/>
                <w:spacing w:val="-1"/>
                <w:highlight w:val="none"/>
              </w:rPr>
              <w:t>承包人向监理人提交最终结清申请单（包括相关证明材料）的份数：</w:t>
            </w:r>
            <w:r>
              <w:rPr>
                <w:rFonts w:hint="eastAsia" w:ascii="宋体" w:hAnsi="宋体"/>
                <w:color w:val="auto"/>
                <w:spacing w:val="-1"/>
                <w:highlight w:val="none"/>
                <w:u w:val="single"/>
              </w:rPr>
              <w:t>5</w:t>
            </w:r>
            <w:r>
              <w:rPr>
                <w:rFonts w:hint="eastAsia" w:ascii="宋体" w:hAnsi="宋体"/>
                <w:color w:val="auto"/>
                <w:spacing w:val="-1"/>
                <w:highlight w:val="none"/>
              </w:rPr>
              <w:t>份</w:t>
            </w:r>
          </w:p>
        </w:tc>
      </w:tr>
      <w:tr w14:paraId="4905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2A357488">
            <w:pPr>
              <w:jc w:val="center"/>
              <w:rPr>
                <w:rFonts w:ascii="宋体" w:hAnsi="宋体"/>
                <w:color w:val="auto"/>
                <w:szCs w:val="21"/>
                <w:highlight w:val="none"/>
              </w:rPr>
            </w:pPr>
            <w:r>
              <w:rPr>
                <w:rFonts w:hint="eastAsia" w:ascii="宋体" w:hAnsi="宋体"/>
                <w:color w:val="auto"/>
                <w:highlight w:val="none"/>
              </w:rPr>
              <w:t>22</w:t>
            </w:r>
          </w:p>
        </w:tc>
        <w:tc>
          <w:tcPr>
            <w:tcW w:w="1305" w:type="dxa"/>
            <w:tcBorders>
              <w:top w:val="single" w:color="auto" w:sz="4" w:space="0"/>
              <w:left w:val="nil"/>
              <w:bottom w:val="single" w:color="auto" w:sz="4" w:space="0"/>
              <w:right w:val="single" w:color="auto" w:sz="4" w:space="0"/>
            </w:tcBorders>
            <w:vAlign w:val="center"/>
          </w:tcPr>
          <w:p w14:paraId="11B6810D">
            <w:pPr>
              <w:jc w:val="center"/>
              <w:rPr>
                <w:rFonts w:ascii="宋体" w:hAnsi="宋体"/>
                <w:color w:val="auto"/>
                <w:szCs w:val="21"/>
                <w:highlight w:val="none"/>
              </w:rPr>
            </w:pPr>
            <w:r>
              <w:rPr>
                <w:rFonts w:hint="eastAsia" w:ascii="宋体" w:hAnsi="宋体"/>
                <w:color w:val="auto"/>
                <w:highlight w:val="none"/>
              </w:rPr>
              <w:t>18.2</w:t>
            </w:r>
          </w:p>
        </w:tc>
        <w:tc>
          <w:tcPr>
            <w:tcW w:w="6931" w:type="dxa"/>
            <w:tcBorders>
              <w:top w:val="single" w:color="auto" w:sz="4" w:space="0"/>
              <w:left w:val="nil"/>
              <w:bottom w:val="single" w:color="auto" w:sz="4" w:space="0"/>
              <w:right w:val="single" w:color="auto" w:sz="4" w:space="0"/>
            </w:tcBorders>
            <w:vAlign w:val="center"/>
          </w:tcPr>
          <w:p w14:paraId="00837013">
            <w:pPr>
              <w:rPr>
                <w:rFonts w:ascii="宋体" w:hAnsi="宋体"/>
                <w:color w:val="auto"/>
                <w:spacing w:val="-1"/>
                <w:szCs w:val="21"/>
                <w:highlight w:val="none"/>
              </w:rPr>
            </w:pPr>
            <w:r>
              <w:rPr>
                <w:rFonts w:hint="eastAsia" w:ascii="宋体" w:hAnsi="宋体"/>
                <w:color w:val="auto"/>
                <w:spacing w:val="-1"/>
                <w:highlight w:val="none"/>
              </w:rPr>
              <w:t>竣工资料的份数：</w:t>
            </w:r>
            <w:r>
              <w:rPr>
                <w:rFonts w:hint="eastAsia" w:ascii="宋体" w:hAnsi="宋体"/>
                <w:color w:val="auto"/>
                <w:spacing w:val="-1"/>
                <w:highlight w:val="none"/>
                <w:u w:val="single"/>
              </w:rPr>
              <w:t xml:space="preserve">5 </w:t>
            </w:r>
            <w:r>
              <w:rPr>
                <w:rFonts w:hint="eastAsia" w:ascii="宋体" w:hAnsi="宋体"/>
                <w:color w:val="auto"/>
                <w:spacing w:val="-1"/>
                <w:highlight w:val="none"/>
              </w:rPr>
              <w:t>份</w:t>
            </w:r>
          </w:p>
        </w:tc>
      </w:tr>
      <w:tr w14:paraId="057A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75A9312A">
            <w:pPr>
              <w:jc w:val="center"/>
              <w:rPr>
                <w:rFonts w:ascii="宋体" w:hAnsi="宋体"/>
                <w:color w:val="auto"/>
                <w:szCs w:val="21"/>
                <w:highlight w:val="none"/>
              </w:rPr>
            </w:pPr>
            <w:r>
              <w:rPr>
                <w:rFonts w:hint="eastAsia" w:ascii="宋体" w:hAnsi="宋体"/>
                <w:color w:val="auto"/>
                <w:highlight w:val="none"/>
              </w:rPr>
              <w:t>23</w:t>
            </w:r>
          </w:p>
        </w:tc>
        <w:tc>
          <w:tcPr>
            <w:tcW w:w="1305" w:type="dxa"/>
            <w:tcBorders>
              <w:top w:val="single" w:color="auto" w:sz="4" w:space="0"/>
              <w:left w:val="nil"/>
              <w:bottom w:val="single" w:color="auto" w:sz="4" w:space="0"/>
              <w:right w:val="single" w:color="auto" w:sz="4" w:space="0"/>
            </w:tcBorders>
            <w:vAlign w:val="center"/>
          </w:tcPr>
          <w:p w14:paraId="764692E6">
            <w:pPr>
              <w:jc w:val="center"/>
              <w:rPr>
                <w:rFonts w:ascii="宋体" w:hAnsi="宋体"/>
                <w:color w:val="auto"/>
                <w:szCs w:val="21"/>
                <w:highlight w:val="none"/>
              </w:rPr>
            </w:pPr>
            <w:r>
              <w:rPr>
                <w:rFonts w:hint="eastAsia" w:ascii="宋体" w:hAnsi="宋体"/>
                <w:color w:val="auto"/>
                <w:highlight w:val="none"/>
              </w:rPr>
              <w:t>19.7</w:t>
            </w:r>
          </w:p>
        </w:tc>
        <w:tc>
          <w:tcPr>
            <w:tcW w:w="6931" w:type="dxa"/>
            <w:tcBorders>
              <w:top w:val="single" w:color="auto" w:sz="4" w:space="0"/>
              <w:left w:val="nil"/>
              <w:bottom w:val="single" w:color="auto" w:sz="4" w:space="0"/>
              <w:right w:val="single" w:color="auto" w:sz="4" w:space="0"/>
            </w:tcBorders>
            <w:vAlign w:val="center"/>
          </w:tcPr>
          <w:p w14:paraId="216EE9CA">
            <w:pPr>
              <w:rPr>
                <w:rFonts w:ascii="宋体" w:hAnsi="宋体"/>
                <w:color w:val="auto"/>
                <w:spacing w:val="-1"/>
                <w:szCs w:val="21"/>
                <w:highlight w:val="none"/>
              </w:rPr>
            </w:pPr>
            <w:r>
              <w:rPr>
                <w:rFonts w:hint="eastAsia" w:ascii="宋体" w:hAnsi="宋体"/>
                <w:color w:val="auto"/>
                <w:spacing w:val="-1"/>
                <w:highlight w:val="none"/>
              </w:rPr>
              <w:t>保修期：自实际交工日期起计算</w:t>
            </w:r>
            <w:r>
              <w:rPr>
                <w:rFonts w:hint="eastAsia" w:ascii="宋体" w:hAnsi="宋体"/>
                <w:color w:val="auto"/>
                <w:spacing w:val="-1"/>
                <w:highlight w:val="none"/>
                <w:u w:val="single"/>
              </w:rPr>
              <w:t xml:space="preserve"> </w:t>
            </w:r>
            <w:r>
              <w:rPr>
                <w:rFonts w:hint="eastAsia" w:ascii="宋体" w:hAnsi="宋体"/>
                <w:color w:val="auto"/>
                <w:spacing w:val="-1"/>
                <w:highlight w:val="none"/>
                <w:u w:val="single"/>
                <w:lang w:val="en-US" w:eastAsia="zh-CN"/>
              </w:rPr>
              <w:t>2</w:t>
            </w:r>
            <w:r>
              <w:rPr>
                <w:rFonts w:hint="eastAsia" w:ascii="宋体" w:hAnsi="宋体"/>
                <w:color w:val="auto"/>
                <w:spacing w:val="-1"/>
                <w:highlight w:val="none"/>
                <w:u w:val="single"/>
              </w:rPr>
              <w:t xml:space="preserve"> </w:t>
            </w:r>
            <w:r>
              <w:rPr>
                <w:rFonts w:hint="eastAsia" w:ascii="宋体" w:hAnsi="宋体"/>
                <w:color w:val="auto"/>
                <w:spacing w:val="-1"/>
                <w:highlight w:val="none"/>
              </w:rPr>
              <w:t>年</w:t>
            </w:r>
          </w:p>
        </w:tc>
      </w:tr>
      <w:tr w14:paraId="6B1C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938" w:type="dxa"/>
            <w:tcBorders>
              <w:top w:val="single" w:color="auto" w:sz="4" w:space="0"/>
              <w:left w:val="single" w:color="auto" w:sz="4" w:space="0"/>
              <w:bottom w:val="single" w:color="auto" w:sz="4" w:space="0"/>
              <w:right w:val="single" w:color="auto" w:sz="4" w:space="0"/>
            </w:tcBorders>
            <w:vAlign w:val="center"/>
          </w:tcPr>
          <w:p w14:paraId="18B5D3C4">
            <w:pPr>
              <w:jc w:val="center"/>
              <w:rPr>
                <w:rFonts w:ascii="宋体" w:hAnsi="宋体"/>
                <w:color w:val="auto"/>
                <w:szCs w:val="21"/>
                <w:highlight w:val="none"/>
              </w:rPr>
            </w:pPr>
            <w:r>
              <w:rPr>
                <w:rFonts w:hint="eastAsia" w:ascii="宋体" w:hAnsi="宋体"/>
                <w:color w:val="auto"/>
                <w:highlight w:val="none"/>
              </w:rPr>
              <w:t>24</w:t>
            </w:r>
          </w:p>
        </w:tc>
        <w:tc>
          <w:tcPr>
            <w:tcW w:w="1305" w:type="dxa"/>
            <w:tcBorders>
              <w:top w:val="single" w:color="auto" w:sz="4" w:space="0"/>
              <w:left w:val="nil"/>
              <w:bottom w:val="single" w:color="auto" w:sz="4" w:space="0"/>
              <w:right w:val="single" w:color="auto" w:sz="4" w:space="0"/>
            </w:tcBorders>
            <w:vAlign w:val="center"/>
          </w:tcPr>
          <w:p w14:paraId="3B181A9B">
            <w:pPr>
              <w:jc w:val="center"/>
              <w:rPr>
                <w:rFonts w:ascii="宋体" w:hAnsi="宋体"/>
                <w:color w:val="auto"/>
                <w:szCs w:val="21"/>
                <w:highlight w:val="none"/>
              </w:rPr>
            </w:pPr>
            <w:r>
              <w:rPr>
                <w:rFonts w:hint="eastAsia" w:ascii="宋体" w:hAnsi="宋体"/>
                <w:color w:val="auto"/>
                <w:highlight w:val="none"/>
              </w:rPr>
              <w:t>24.1</w:t>
            </w:r>
          </w:p>
        </w:tc>
        <w:tc>
          <w:tcPr>
            <w:tcW w:w="6931" w:type="dxa"/>
            <w:tcBorders>
              <w:top w:val="single" w:color="auto" w:sz="4" w:space="0"/>
              <w:left w:val="nil"/>
              <w:bottom w:val="single" w:color="auto" w:sz="4" w:space="0"/>
              <w:right w:val="single" w:color="auto" w:sz="4" w:space="0"/>
            </w:tcBorders>
            <w:vAlign w:val="center"/>
          </w:tcPr>
          <w:p w14:paraId="348D23B8">
            <w:pPr>
              <w:rPr>
                <w:rFonts w:ascii="宋体" w:hAnsi="宋体"/>
                <w:color w:val="auto"/>
                <w:spacing w:val="-1"/>
                <w:szCs w:val="21"/>
                <w:highlight w:val="none"/>
              </w:rPr>
            </w:pPr>
            <w:r>
              <w:rPr>
                <w:rFonts w:hint="eastAsia" w:ascii="宋体" w:hAnsi="宋体"/>
                <w:color w:val="auto"/>
                <w:spacing w:val="-1"/>
                <w:highlight w:val="none"/>
              </w:rPr>
              <w:t>争议的最终解决方式：</w:t>
            </w:r>
            <w:r>
              <w:rPr>
                <w:rFonts w:hint="eastAsia" w:ascii="宋体" w:hAnsi="宋体"/>
                <w:color w:val="auto"/>
                <w:spacing w:val="-1"/>
                <w:highlight w:val="none"/>
                <w:u w:val="single"/>
              </w:rPr>
              <w:t>仲裁或诉讼</w:t>
            </w:r>
          </w:p>
          <w:p w14:paraId="30F1C54C">
            <w:pPr>
              <w:rPr>
                <w:rFonts w:ascii="宋体" w:hAnsi="宋体"/>
                <w:color w:val="auto"/>
                <w:spacing w:val="-1"/>
                <w:szCs w:val="21"/>
                <w:highlight w:val="none"/>
              </w:rPr>
            </w:pPr>
            <w:r>
              <w:rPr>
                <w:rFonts w:hint="eastAsia" w:ascii="宋体" w:hAnsi="宋体"/>
                <w:color w:val="auto"/>
                <w:spacing w:val="-1"/>
                <w:highlight w:val="none"/>
              </w:rPr>
              <w:t>如采用仲裁，仲裁委员会名称：</w:t>
            </w:r>
            <w:r>
              <w:rPr>
                <w:rFonts w:hint="eastAsia" w:ascii="宋体" w:hAnsi="宋体"/>
                <w:color w:val="auto"/>
                <w:spacing w:val="-1"/>
                <w:highlight w:val="none"/>
                <w:lang w:eastAsia="zh-CN"/>
              </w:rPr>
              <w:t>灵宝市</w:t>
            </w:r>
            <w:r>
              <w:rPr>
                <w:rFonts w:hint="eastAsia" w:ascii="宋体" w:hAnsi="宋体"/>
                <w:color w:val="auto"/>
                <w:spacing w:val="-1"/>
                <w:highlight w:val="none"/>
              </w:rPr>
              <w:t>仲裁委员会。</w:t>
            </w:r>
          </w:p>
        </w:tc>
      </w:tr>
    </w:tbl>
    <w:p w14:paraId="2B415F3B">
      <w:pPr>
        <w:spacing w:line="460" w:lineRule="exact"/>
        <w:ind w:left="179" w:firstLine="2948"/>
        <w:rPr>
          <w:rFonts w:ascii="宋体" w:hAnsi="宋体"/>
          <w:b/>
          <w:bCs/>
          <w:color w:val="auto"/>
          <w:sz w:val="32"/>
          <w:szCs w:val="32"/>
          <w:highlight w:val="none"/>
        </w:rPr>
      </w:pPr>
    </w:p>
    <w:p w14:paraId="6C4D0173">
      <w:pPr>
        <w:spacing w:line="460" w:lineRule="exact"/>
        <w:ind w:left="179" w:firstLine="2948"/>
        <w:rPr>
          <w:rFonts w:ascii="宋体" w:hAnsi="宋体"/>
          <w:b/>
          <w:bCs/>
          <w:color w:val="auto"/>
          <w:sz w:val="32"/>
          <w:szCs w:val="32"/>
          <w:highlight w:val="none"/>
        </w:rPr>
      </w:pPr>
    </w:p>
    <w:p w14:paraId="45A65C95">
      <w:pPr>
        <w:spacing w:line="460" w:lineRule="exact"/>
        <w:ind w:left="179" w:firstLine="2948"/>
        <w:rPr>
          <w:rFonts w:ascii="宋体" w:hAnsi="宋体"/>
          <w:b/>
          <w:bCs/>
          <w:color w:val="auto"/>
          <w:sz w:val="32"/>
          <w:szCs w:val="32"/>
          <w:highlight w:val="none"/>
        </w:rPr>
      </w:pPr>
    </w:p>
    <w:p w14:paraId="0C180338">
      <w:pPr>
        <w:spacing w:line="460" w:lineRule="exact"/>
        <w:ind w:left="179" w:firstLine="2948"/>
        <w:rPr>
          <w:rFonts w:ascii="宋体" w:hAnsi="宋体"/>
          <w:b/>
          <w:bCs/>
          <w:color w:val="auto"/>
          <w:sz w:val="32"/>
          <w:szCs w:val="32"/>
          <w:highlight w:val="none"/>
        </w:rPr>
      </w:pPr>
    </w:p>
    <w:p w14:paraId="1DD0EE65">
      <w:pPr>
        <w:spacing w:line="460" w:lineRule="exact"/>
        <w:ind w:left="179" w:firstLine="2948"/>
        <w:rPr>
          <w:rFonts w:ascii="宋体" w:hAnsi="宋体"/>
          <w:b/>
          <w:bCs/>
          <w:color w:val="auto"/>
          <w:sz w:val="32"/>
          <w:szCs w:val="32"/>
          <w:highlight w:val="none"/>
        </w:rPr>
      </w:pPr>
    </w:p>
    <w:p w14:paraId="5987A65D">
      <w:pPr>
        <w:spacing w:line="460" w:lineRule="exact"/>
        <w:ind w:left="179" w:firstLine="2948"/>
        <w:rPr>
          <w:rFonts w:ascii="宋体" w:hAnsi="宋体"/>
          <w:b/>
          <w:bCs/>
          <w:color w:val="auto"/>
          <w:sz w:val="32"/>
          <w:szCs w:val="32"/>
          <w:highlight w:val="none"/>
        </w:rPr>
      </w:pPr>
    </w:p>
    <w:p w14:paraId="4EDEF4D0">
      <w:pPr>
        <w:spacing w:line="460" w:lineRule="exact"/>
        <w:ind w:left="179" w:firstLine="2948"/>
        <w:rPr>
          <w:rFonts w:ascii="宋体" w:hAnsi="宋体"/>
          <w:b/>
          <w:bCs/>
          <w:color w:val="auto"/>
          <w:sz w:val="32"/>
          <w:szCs w:val="32"/>
          <w:highlight w:val="none"/>
        </w:rPr>
      </w:pPr>
    </w:p>
    <w:p w14:paraId="23755B51">
      <w:pPr>
        <w:spacing w:line="460" w:lineRule="exact"/>
        <w:ind w:left="179" w:firstLine="2948"/>
        <w:rPr>
          <w:rFonts w:ascii="宋体" w:hAnsi="宋体"/>
          <w:b/>
          <w:bCs/>
          <w:color w:val="auto"/>
          <w:sz w:val="32"/>
          <w:szCs w:val="32"/>
          <w:highlight w:val="none"/>
        </w:rPr>
      </w:pPr>
    </w:p>
    <w:p w14:paraId="6F8F6758">
      <w:pPr>
        <w:spacing w:line="460" w:lineRule="exact"/>
        <w:ind w:left="179" w:firstLine="2948"/>
        <w:rPr>
          <w:rFonts w:ascii="宋体" w:hAnsi="宋体"/>
          <w:b/>
          <w:bCs/>
          <w:color w:val="auto"/>
          <w:sz w:val="32"/>
          <w:szCs w:val="32"/>
          <w:highlight w:val="none"/>
        </w:rPr>
      </w:pPr>
    </w:p>
    <w:p w14:paraId="6E7F592C">
      <w:pPr>
        <w:spacing w:line="460" w:lineRule="exact"/>
        <w:ind w:left="179" w:firstLine="2948"/>
        <w:rPr>
          <w:rFonts w:ascii="宋体" w:hAnsi="宋体"/>
          <w:b/>
          <w:bCs/>
          <w:color w:val="auto"/>
          <w:sz w:val="32"/>
          <w:szCs w:val="32"/>
          <w:highlight w:val="none"/>
        </w:rPr>
      </w:pPr>
    </w:p>
    <w:p w14:paraId="6ACCE236">
      <w:pPr>
        <w:spacing w:line="520" w:lineRule="exact"/>
        <w:ind w:left="179" w:firstLine="2948"/>
        <w:rPr>
          <w:rFonts w:ascii="宋体" w:hAnsi="宋体"/>
          <w:b/>
          <w:bCs/>
          <w:color w:val="auto"/>
          <w:sz w:val="32"/>
          <w:szCs w:val="32"/>
          <w:highlight w:val="none"/>
        </w:rPr>
      </w:pPr>
    </w:p>
    <w:p w14:paraId="7BC10C00">
      <w:pPr>
        <w:spacing w:line="520" w:lineRule="exact"/>
        <w:ind w:left="179" w:firstLine="2948"/>
        <w:rPr>
          <w:rFonts w:ascii="宋体" w:hAnsi="宋体"/>
          <w:b/>
          <w:bCs/>
          <w:color w:val="auto"/>
          <w:sz w:val="32"/>
          <w:szCs w:val="32"/>
          <w:highlight w:val="none"/>
        </w:rPr>
      </w:pPr>
    </w:p>
    <w:p w14:paraId="54C6557E">
      <w:pPr>
        <w:spacing w:line="520" w:lineRule="exact"/>
        <w:ind w:left="179" w:firstLine="2948"/>
        <w:rPr>
          <w:rFonts w:hint="eastAsia" w:ascii="宋体" w:hAnsi="宋体"/>
          <w:b/>
          <w:bCs/>
          <w:color w:val="auto"/>
          <w:sz w:val="32"/>
          <w:szCs w:val="32"/>
          <w:highlight w:val="none"/>
        </w:rPr>
      </w:pPr>
    </w:p>
    <w:p w14:paraId="3C96DDC9">
      <w:pPr>
        <w:spacing w:line="520" w:lineRule="exact"/>
        <w:ind w:left="179" w:firstLine="2948"/>
        <w:rPr>
          <w:rFonts w:ascii="宋体" w:hAnsi="宋体"/>
          <w:color w:val="auto"/>
          <w:sz w:val="32"/>
          <w:szCs w:val="32"/>
          <w:highlight w:val="none"/>
        </w:rPr>
      </w:pPr>
      <w:r>
        <w:rPr>
          <w:rFonts w:hint="eastAsia" w:ascii="宋体" w:hAnsi="宋体"/>
          <w:b/>
          <w:bCs/>
          <w:color w:val="auto"/>
          <w:sz w:val="32"/>
          <w:szCs w:val="32"/>
          <w:highlight w:val="none"/>
        </w:rPr>
        <w:t>项目专用合同条款</w:t>
      </w:r>
    </w:p>
    <w:p w14:paraId="692CFF1E">
      <w:pPr>
        <w:spacing w:line="520" w:lineRule="exact"/>
        <w:rPr>
          <w:rFonts w:ascii="宋体" w:hAnsi="宋体"/>
          <w:color w:val="auto"/>
          <w:highlight w:val="none"/>
        </w:rPr>
      </w:pPr>
      <w:r>
        <w:rPr>
          <w:rFonts w:hint="eastAsia" w:ascii="宋体" w:hAnsi="宋体"/>
          <w:color w:val="auto"/>
          <w:spacing w:val="-3"/>
          <w:sz w:val="24"/>
          <w:szCs w:val="24"/>
          <w:highlight w:val="none"/>
        </w:rPr>
        <w:t>说明：本部分所列的项目专用合同条款是对“公路工程专用合同条款”中规定必</w:t>
      </w:r>
      <w:r>
        <w:rPr>
          <w:rFonts w:hint="eastAsia" w:ascii="宋体" w:hAnsi="宋体"/>
          <w:color w:val="auto"/>
          <w:spacing w:val="-6"/>
          <w:sz w:val="24"/>
          <w:szCs w:val="24"/>
          <w:highlight w:val="none"/>
        </w:rPr>
        <w:t>须在项目专用合同条款中明确的内容的集中，招标人编制的“项目专用合同条款”</w:t>
      </w:r>
      <w:r>
        <w:rPr>
          <w:rFonts w:hint="eastAsia" w:ascii="宋体" w:hAnsi="宋体"/>
          <w:color w:val="auto"/>
          <w:spacing w:val="-1"/>
          <w:sz w:val="24"/>
          <w:szCs w:val="24"/>
          <w:highlight w:val="none"/>
        </w:rPr>
        <w:t>不限于本部分所列内容。</w:t>
      </w:r>
    </w:p>
    <w:p w14:paraId="223272FB">
      <w:pPr>
        <w:spacing w:line="520" w:lineRule="exact"/>
        <w:rPr>
          <w:rFonts w:ascii="宋体" w:hAnsi="宋体"/>
          <w:color w:val="auto"/>
          <w:highlight w:val="none"/>
        </w:rPr>
      </w:pPr>
      <w:r>
        <w:rPr>
          <w:rFonts w:hint="eastAsia" w:ascii="宋体" w:hAnsi="宋体"/>
          <w:b/>
          <w:bCs/>
          <w:color w:val="auto"/>
          <w:sz w:val="24"/>
          <w:szCs w:val="24"/>
          <w:highlight w:val="none"/>
        </w:rPr>
        <w:t>4.1承包人的一般义务</w:t>
      </w:r>
    </w:p>
    <w:p w14:paraId="299C589B">
      <w:pPr>
        <w:spacing w:line="520" w:lineRule="exact"/>
        <w:rPr>
          <w:rFonts w:ascii="宋体" w:hAnsi="宋体"/>
          <w:color w:val="auto"/>
          <w:spacing w:val="-1"/>
          <w:sz w:val="24"/>
          <w:szCs w:val="24"/>
          <w:highlight w:val="none"/>
        </w:rPr>
      </w:pPr>
      <w:r>
        <w:rPr>
          <w:rFonts w:hint="eastAsia" w:ascii="宋体" w:hAnsi="宋体"/>
          <w:color w:val="auto"/>
          <w:spacing w:val="-1"/>
          <w:sz w:val="24"/>
          <w:szCs w:val="24"/>
          <w:highlight w:val="none"/>
        </w:rPr>
        <w:t>4.1.10其他义务</w:t>
      </w:r>
    </w:p>
    <w:p w14:paraId="0A0D98C3">
      <w:pPr>
        <w:spacing w:line="520" w:lineRule="exact"/>
        <w:rPr>
          <w:rFonts w:ascii="宋体" w:hAnsi="宋体"/>
          <w:color w:val="auto"/>
          <w:szCs w:val="21"/>
          <w:highlight w:val="none"/>
        </w:rPr>
      </w:pPr>
      <w:r>
        <w:rPr>
          <w:rFonts w:hint="eastAsia" w:ascii="宋体" w:hAnsi="宋体"/>
          <w:color w:val="auto"/>
          <w:spacing w:val="-1"/>
          <w:sz w:val="24"/>
          <w:szCs w:val="24"/>
          <w:highlight w:val="none"/>
        </w:rPr>
        <w:t>（4）承包人应履行的其他义务：</w:t>
      </w:r>
    </w:p>
    <w:p w14:paraId="080DDF4E">
      <w:pPr>
        <w:spacing w:line="520" w:lineRule="exact"/>
        <w:rPr>
          <w:rFonts w:ascii="宋体" w:hAnsi="宋体"/>
          <w:b/>
          <w:bCs/>
          <w:color w:val="auto"/>
          <w:highlight w:val="none"/>
        </w:rPr>
      </w:pPr>
      <w:r>
        <w:rPr>
          <w:rFonts w:hint="eastAsia" w:ascii="宋体" w:hAnsi="宋体"/>
          <w:b/>
          <w:bCs/>
          <w:color w:val="auto"/>
          <w:sz w:val="24"/>
          <w:szCs w:val="24"/>
          <w:highlight w:val="none"/>
        </w:rPr>
        <w:t>4.11不利物质条件</w:t>
      </w:r>
    </w:p>
    <w:p w14:paraId="52DC763D">
      <w:pPr>
        <w:spacing w:line="520" w:lineRule="exact"/>
        <w:rPr>
          <w:rFonts w:ascii="宋体" w:hAnsi="宋体"/>
          <w:color w:val="auto"/>
          <w:highlight w:val="none"/>
        </w:rPr>
      </w:pPr>
      <w:r>
        <w:rPr>
          <w:rFonts w:hint="eastAsia" w:ascii="宋体" w:hAnsi="宋体"/>
          <w:color w:val="auto"/>
          <w:spacing w:val="-1"/>
          <w:sz w:val="24"/>
          <w:szCs w:val="24"/>
          <w:highlight w:val="none"/>
        </w:rPr>
        <w:t>4.11.1不利物质条件的范围：</w:t>
      </w:r>
    </w:p>
    <w:p w14:paraId="0482E41B">
      <w:pPr>
        <w:spacing w:line="520" w:lineRule="exact"/>
        <w:rPr>
          <w:rFonts w:ascii="宋体" w:hAnsi="宋体"/>
          <w:b/>
          <w:bCs/>
          <w:color w:val="auto"/>
          <w:highlight w:val="none"/>
        </w:rPr>
      </w:pPr>
      <w:r>
        <w:rPr>
          <w:rFonts w:hint="eastAsia" w:ascii="宋体" w:hAnsi="宋体"/>
          <w:b/>
          <w:bCs/>
          <w:color w:val="auto"/>
          <w:sz w:val="24"/>
          <w:szCs w:val="24"/>
          <w:highlight w:val="none"/>
        </w:rPr>
        <w:t>10.1合同进度计划</w:t>
      </w:r>
    </w:p>
    <w:p w14:paraId="18359CE0">
      <w:pPr>
        <w:spacing w:line="520" w:lineRule="exact"/>
        <w:rPr>
          <w:rFonts w:ascii="宋体" w:hAnsi="宋体"/>
          <w:color w:val="auto"/>
          <w:highlight w:val="none"/>
        </w:rPr>
      </w:pPr>
      <w:r>
        <w:rPr>
          <w:rFonts w:hint="eastAsia" w:ascii="宋体" w:hAnsi="宋体"/>
          <w:color w:val="auto"/>
          <w:spacing w:val="-1"/>
          <w:sz w:val="24"/>
          <w:szCs w:val="24"/>
          <w:highlight w:val="none"/>
        </w:rPr>
        <w:t>承包人编制施工方案的内容：</w:t>
      </w:r>
    </w:p>
    <w:p w14:paraId="7D08DE1E">
      <w:pPr>
        <w:spacing w:line="520" w:lineRule="exact"/>
        <w:rPr>
          <w:rFonts w:ascii="宋体" w:hAnsi="宋体"/>
          <w:b/>
          <w:bCs/>
          <w:color w:val="auto"/>
          <w:highlight w:val="none"/>
        </w:rPr>
      </w:pPr>
      <w:r>
        <w:rPr>
          <w:rFonts w:hint="eastAsia" w:ascii="宋体" w:hAnsi="宋体"/>
          <w:b/>
          <w:bCs/>
          <w:color w:val="auto"/>
          <w:sz w:val="24"/>
          <w:szCs w:val="24"/>
          <w:highlight w:val="none"/>
        </w:rPr>
        <w:t>11.4异常恶劣的气候条件</w:t>
      </w:r>
    </w:p>
    <w:p w14:paraId="329E7AFF">
      <w:pPr>
        <w:spacing w:line="520" w:lineRule="exact"/>
        <w:rPr>
          <w:rFonts w:ascii="宋体" w:hAnsi="宋体"/>
          <w:color w:val="auto"/>
          <w:highlight w:val="none"/>
        </w:rPr>
      </w:pPr>
      <w:r>
        <w:rPr>
          <w:rFonts w:hint="eastAsia" w:ascii="宋体" w:hAnsi="宋体"/>
          <w:color w:val="auto"/>
          <w:spacing w:val="-1"/>
          <w:sz w:val="24"/>
          <w:szCs w:val="24"/>
          <w:highlight w:val="none"/>
        </w:rPr>
        <w:t>异常恶劣的气候条件的范围：</w:t>
      </w:r>
    </w:p>
    <w:p w14:paraId="389346DC">
      <w:pPr>
        <w:spacing w:line="520" w:lineRule="exact"/>
        <w:rPr>
          <w:rFonts w:ascii="宋体" w:hAnsi="宋体"/>
          <w:b/>
          <w:bCs/>
          <w:color w:val="auto"/>
          <w:highlight w:val="none"/>
        </w:rPr>
      </w:pPr>
      <w:r>
        <w:rPr>
          <w:rFonts w:hint="eastAsia" w:ascii="宋体" w:hAnsi="宋体"/>
          <w:b/>
          <w:bCs/>
          <w:color w:val="auto"/>
          <w:sz w:val="24"/>
          <w:szCs w:val="24"/>
          <w:highlight w:val="none"/>
        </w:rPr>
        <w:t>12.1承包人暂停施工的责任</w:t>
      </w:r>
    </w:p>
    <w:p w14:paraId="7CDA00B8">
      <w:pPr>
        <w:spacing w:line="520" w:lineRule="exact"/>
        <w:rPr>
          <w:rFonts w:ascii="宋体" w:hAnsi="宋体"/>
          <w:color w:val="auto"/>
          <w:highlight w:val="none"/>
        </w:rPr>
      </w:pPr>
      <w:r>
        <w:rPr>
          <w:rFonts w:hint="eastAsia" w:ascii="宋体" w:hAnsi="宋体"/>
          <w:color w:val="auto"/>
          <w:spacing w:val="-1"/>
          <w:sz w:val="24"/>
          <w:szCs w:val="24"/>
          <w:highlight w:val="none"/>
        </w:rPr>
        <w:t>12.1（6）由承包人承担的其他暂停施工：</w:t>
      </w:r>
    </w:p>
    <w:p w14:paraId="2AEBCE08">
      <w:pPr>
        <w:spacing w:line="520" w:lineRule="exact"/>
        <w:rPr>
          <w:rFonts w:ascii="宋体" w:hAnsi="宋体"/>
          <w:b/>
          <w:bCs/>
          <w:color w:val="auto"/>
          <w:highlight w:val="none"/>
        </w:rPr>
      </w:pPr>
      <w:r>
        <w:rPr>
          <w:rFonts w:hint="eastAsia" w:ascii="宋体" w:hAnsi="宋体"/>
          <w:b/>
          <w:bCs/>
          <w:color w:val="auto"/>
          <w:sz w:val="24"/>
          <w:szCs w:val="24"/>
          <w:highlight w:val="none"/>
        </w:rPr>
        <w:t>17.3工程进度付款</w:t>
      </w:r>
    </w:p>
    <w:p w14:paraId="4898FBAF">
      <w:pPr>
        <w:spacing w:line="520" w:lineRule="exact"/>
        <w:rPr>
          <w:rFonts w:ascii="宋体" w:hAnsi="宋体"/>
          <w:color w:val="auto"/>
          <w:highlight w:val="none"/>
        </w:rPr>
      </w:pPr>
      <w:r>
        <w:rPr>
          <w:rFonts w:hint="eastAsia" w:ascii="宋体" w:hAnsi="宋体"/>
          <w:color w:val="auto"/>
          <w:spacing w:val="-1"/>
          <w:sz w:val="24"/>
          <w:szCs w:val="24"/>
          <w:highlight w:val="none"/>
        </w:rPr>
        <w:t>17.3.5农民工工资保证金的缴存时间:</w:t>
      </w:r>
    </w:p>
    <w:p w14:paraId="10CDF312">
      <w:pPr>
        <w:spacing w:line="520" w:lineRule="exact"/>
        <w:rPr>
          <w:rFonts w:ascii="宋体" w:hAnsi="宋体"/>
          <w:color w:val="auto"/>
          <w:highlight w:val="none"/>
        </w:rPr>
      </w:pPr>
      <w:r>
        <w:rPr>
          <w:rFonts w:hint="eastAsia" w:ascii="宋体" w:hAnsi="宋体"/>
          <w:color w:val="auto"/>
          <w:spacing w:val="-1"/>
          <w:sz w:val="24"/>
          <w:szCs w:val="24"/>
          <w:highlight w:val="none"/>
        </w:rPr>
        <w:t>农民工工资保证金的缴存金额:</w:t>
      </w:r>
    </w:p>
    <w:p w14:paraId="3CE06317">
      <w:pPr>
        <w:spacing w:line="520" w:lineRule="exact"/>
        <w:rPr>
          <w:rFonts w:ascii="宋体" w:hAnsi="宋体"/>
          <w:color w:val="auto"/>
          <w:highlight w:val="none"/>
        </w:rPr>
      </w:pPr>
      <w:r>
        <w:rPr>
          <w:rFonts w:hint="eastAsia" w:ascii="宋体" w:hAnsi="宋体"/>
          <w:color w:val="auto"/>
          <w:spacing w:val="-1"/>
          <w:sz w:val="24"/>
          <w:szCs w:val="24"/>
          <w:highlight w:val="none"/>
        </w:rPr>
        <w:t>农民工工资保证金的扣留条件:</w:t>
      </w:r>
    </w:p>
    <w:p w14:paraId="6C4F160B">
      <w:pPr>
        <w:spacing w:line="520" w:lineRule="exact"/>
        <w:rPr>
          <w:rFonts w:ascii="宋体" w:hAnsi="宋体"/>
          <w:color w:val="auto"/>
          <w:highlight w:val="none"/>
        </w:rPr>
      </w:pPr>
      <w:r>
        <w:rPr>
          <w:rFonts w:hint="eastAsia" w:ascii="宋体" w:hAnsi="宋体"/>
          <w:color w:val="auto"/>
          <w:spacing w:val="-1"/>
          <w:sz w:val="24"/>
          <w:szCs w:val="24"/>
          <w:highlight w:val="none"/>
        </w:rPr>
        <w:t>农民工工资保证金的返还时间:</w:t>
      </w:r>
    </w:p>
    <w:p w14:paraId="6DFFED33">
      <w:pPr>
        <w:spacing w:line="520" w:lineRule="exact"/>
        <w:rPr>
          <w:rFonts w:ascii="宋体" w:hAnsi="宋体"/>
          <w:b/>
          <w:bCs/>
          <w:color w:val="auto"/>
          <w:highlight w:val="none"/>
        </w:rPr>
      </w:pPr>
      <w:r>
        <w:rPr>
          <w:rFonts w:hint="eastAsia" w:ascii="宋体" w:hAnsi="宋体"/>
          <w:b/>
          <w:bCs/>
          <w:color w:val="auto"/>
          <w:sz w:val="24"/>
          <w:szCs w:val="24"/>
          <w:highlight w:val="none"/>
        </w:rPr>
        <w:t>21.1不可抗力的确认</w:t>
      </w:r>
    </w:p>
    <w:p w14:paraId="30F25699">
      <w:pPr>
        <w:spacing w:line="520" w:lineRule="exact"/>
        <w:rPr>
          <w:rFonts w:ascii="宋体" w:hAnsi="宋体"/>
          <w:color w:val="auto"/>
          <w:highlight w:val="none"/>
        </w:rPr>
      </w:pPr>
      <w:r>
        <w:rPr>
          <w:rFonts w:hint="eastAsia" w:ascii="宋体" w:hAnsi="宋体"/>
          <w:color w:val="auto"/>
          <w:spacing w:val="-1"/>
          <w:sz w:val="24"/>
          <w:szCs w:val="24"/>
          <w:highlight w:val="none"/>
        </w:rPr>
        <w:t>21.1.1（6）不可抗力的其他情形：</w:t>
      </w:r>
    </w:p>
    <w:p w14:paraId="32800366">
      <w:pPr>
        <w:spacing w:line="520" w:lineRule="exact"/>
        <w:rPr>
          <w:rFonts w:ascii="宋体" w:hAnsi="宋体"/>
          <w:b/>
          <w:bCs/>
          <w:color w:val="auto"/>
          <w:highlight w:val="none"/>
        </w:rPr>
      </w:pPr>
      <w:r>
        <w:rPr>
          <w:rFonts w:hint="eastAsia" w:ascii="宋体" w:hAnsi="宋体"/>
          <w:b/>
          <w:bCs/>
          <w:color w:val="auto"/>
          <w:sz w:val="24"/>
          <w:szCs w:val="24"/>
          <w:highlight w:val="none"/>
        </w:rPr>
        <w:t>22.1承包人违约</w:t>
      </w:r>
    </w:p>
    <w:p w14:paraId="3D3B607F">
      <w:pPr>
        <w:spacing w:line="520" w:lineRule="exact"/>
        <w:rPr>
          <w:rFonts w:ascii="宋体" w:hAnsi="宋体"/>
          <w:color w:val="auto"/>
          <w:highlight w:val="none"/>
        </w:rPr>
      </w:pPr>
      <w:r>
        <w:rPr>
          <w:rFonts w:hint="eastAsia" w:ascii="宋体" w:hAnsi="宋体"/>
          <w:color w:val="auto"/>
          <w:spacing w:val="-1"/>
          <w:sz w:val="24"/>
          <w:szCs w:val="24"/>
          <w:highlight w:val="none"/>
        </w:rPr>
        <w:t>22.1.2当承包人发生第22.1.1</w:t>
      </w:r>
      <w:r>
        <w:rPr>
          <w:rFonts w:hint="eastAsia" w:ascii="宋体" w:hAnsi="宋体"/>
          <w:color w:val="auto"/>
          <w:spacing w:val="-2"/>
          <w:sz w:val="24"/>
          <w:szCs w:val="24"/>
          <w:highlight w:val="none"/>
        </w:rPr>
        <w:t>项约定的违约情况时，发包人有权向承包人</w:t>
      </w:r>
      <w:r>
        <w:rPr>
          <w:rFonts w:hint="eastAsia" w:ascii="宋体" w:hAnsi="宋体"/>
          <w:color w:val="auto"/>
          <w:spacing w:val="-1"/>
          <w:sz w:val="24"/>
          <w:szCs w:val="24"/>
          <w:highlight w:val="none"/>
        </w:rPr>
        <w:t>课以违约金，具体约定如下：</w:t>
      </w:r>
    </w:p>
    <w:p w14:paraId="4826F36A">
      <w:pPr>
        <w:spacing w:line="520" w:lineRule="exact"/>
        <w:rPr>
          <w:rFonts w:ascii="宋体" w:hAnsi="宋体"/>
          <w:color w:val="auto"/>
          <w:highlight w:val="none"/>
        </w:rPr>
      </w:pPr>
      <w:r>
        <w:rPr>
          <w:rFonts w:hint="eastAsia" w:ascii="宋体" w:hAnsi="宋体"/>
          <w:color w:val="auto"/>
          <w:highlight w:val="none"/>
        </w:rPr>
        <w:t>………</w:t>
      </w:r>
    </w:p>
    <w:p w14:paraId="4C5A08E7">
      <w:pPr>
        <w:spacing w:line="520" w:lineRule="exact"/>
        <w:jc w:val="center"/>
        <w:rPr>
          <w:rFonts w:ascii="宋体" w:hAnsi="宋体"/>
          <w:b/>
          <w:bCs/>
          <w:color w:val="auto"/>
          <w:sz w:val="32"/>
          <w:szCs w:val="32"/>
          <w:highlight w:val="none"/>
        </w:rPr>
      </w:pPr>
    </w:p>
    <w:p w14:paraId="736E2CD5">
      <w:pPr>
        <w:spacing w:line="52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第三节合同附件格式</w:t>
      </w:r>
    </w:p>
    <w:p w14:paraId="695613BA">
      <w:pPr>
        <w:spacing w:line="520" w:lineRule="exact"/>
        <w:ind w:left="180"/>
        <w:rPr>
          <w:rFonts w:ascii="宋体" w:hAnsi="宋体"/>
          <w:b/>
          <w:bCs/>
          <w:color w:val="auto"/>
          <w:sz w:val="24"/>
          <w:szCs w:val="24"/>
          <w:highlight w:val="none"/>
        </w:rPr>
      </w:pPr>
      <w:r>
        <w:rPr>
          <w:rFonts w:hint="eastAsia" w:ascii="宋体" w:hAnsi="宋体"/>
          <w:b/>
          <w:bCs/>
          <w:color w:val="auto"/>
          <w:spacing w:val="-1"/>
          <w:sz w:val="24"/>
          <w:szCs w:val="24"/>
          <w:highlight w:val="none"/>
        </w:rPr>
        <w:t>附件一：合同协议书</w:t>
      </w:r>
    </w:p>
    <w:p w14:paraId="24233E63">
      <w:pPr>
        <w:spacing w:line="52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合同协议书</w:t>
      </w:r>
    </w:p>
    <w:p w14:paraId="3A529301">
      <w:pPr>
        <w:spacing w:line="520" w:lineRule="exact"/>
        <w:rPr>
          <w:rFonts w:ascii="宋体" w:hAnsi="宋体"/>
          <w:color w:val="auto"/>
          <w:sz w:val="24"/>
          <w:szCs w:val="24"/>
          <w:highlight w:val="none"/>
        </w:rPr>
      </w:pPr>
      <w:r>
        <w:rPr>
          <w:rFonts w:hint="eastAsia" w:ascii="宋体" w:hAnsi="宋体"/>
          <w:color w:val="auto"/>
          <w:spacing w:val="-12"/>
          <w:sz w:val="24"/>
          <w:szCs w:val="24"/>
          <w:highlight w:val="none"/>
        </w:rPr>
        <w:t>（发包人名称，以下简称“发包人”）为实施</w:t>
      </w:r>
      <w:r>
        <w:rPr>
          <w:rFonts w:hint="eastAsia" w:ascii="宋体" w:hAnsi="宋体"/>
          <w:color w:val="auto"/>
          <w:spacing w:val="4"/>
          <w:sz w:val="24"/>
          <w:szCs w:val="24"/>
          <w:highlight w:val="none"/>
          <w:u w:val="single"/>
        </w:rPr>
        <w:tab/>
      </w:r>
      <w:r>
        <w:rPr>
          <w:rFonts w:hint="eastAsia" w:ascii="宋体" w:hAnsi="宋体"/>
          <w:color w:val="auto"/>
          <w:spacing w:val="-1"/>
          <w:sz w:val="24"/>
          <w:szCs w:val="24"/>
          <w:highlight w:val="none"/>
        </w:rPr>
        <w:t>（项</w:t>
      </w:r>
      <w:r>
        <w:rPr>
          <w:rFonts w:hint="eastAsia" w:ascii="宋体" w:hAnsi="宋体"/>
          <w:color w:val="auto"/>
          <w:spacing w:val="-17"/>
          <w:sz w:val="24"/>
          <w:szCs w:val="24"/>
          <w:highlight w:val="none"/>
        </w:rPr>
        <w:t>目名称），已接受</w:t>
      </w:r>
      <w:r>
        <w:rPr>
          <w:rFonts w:hint="eastAsia" w:ascii="宋体" w:hAnsi="宋体"/>
          <w:color w:val="auto"/>
          <w:spacing w:val="-7"/>
          <w:sz w:val="24"/>
          <w:szCs w:val="24"/>
          <w:highlight w:val="none"/>
        </w:rPr>
        <w:t>（承包人名称，以下简称“承包人”）对该项目</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标</w:t>
      </w:r>
    </w:p>
    <w:p w14:paraId="5D98856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段施工的投标。发包人和承包人共同达成如下协议。</w:t>
      </w:r>
    </w:p>
    <w:p w14:paraId="16BA18E8">
      <w:pPr>
        <w:spacing w:line="520" w:lineRule="exact"/>
        <w:rPr>
          <w:rFonts w:ascii="宋体" w:hAnsi="宋体"/>
          <w:color w:val="auto"/>
          <w:sz w:val="24"/>
          <w:szCs w:val="24"/>
          <w:highlight w:val="none"/>
        </w:rPr>
      </w:pPr>
      <w:r>
        <w:rPr>
          <w:rFonts w:hint="eastAsia" w:ascii="宋体" w:hAnsi="宋体"/>
          <w:color w:val="auto"/>
          <w:spacing w:val="-1"/>
          <w:sz w:val="24"/>
          <w:szCs w:val="24"/>
          <w:highlight w:val="none"/>
        </w:rPr>
        <w:t>1</w:t>
      </w:r>
      <w:r>
        <w:rPr>
          <w:rFonts w:hint="eastAsia" w:ascii="宋体" w:hAnsi="宋体"/>
          <w:color w:val="auto"/>
          <w:spacing w:val="-13"/>
          <w:sz w:val="24"/>
          <w:szCs w:val="24"/>
          <w:highlight w:val="none"/>
        </w:rPr>
        <w:t>．第</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标段由</w:t>
      </w:r>
      <w:r>
        <w:rPr>
          <w:rFonts w:hint="eastAsia" w:ascii="宋体" w:hAnsi="宋体"/>
          <w:color w:val="auto"/>
          <w:spacing w:val="-1"/>
          <w:sz w:val="24"/>
          <w:szCs w:val="24"/>
          <w:highlight w:val="none"/>
          <w:u w:val="single"/>
        </w:rPr>
        <w:t>K</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u w:val="single"/>
        </w:rPr>
        <w:t>+</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至</w:t>
      </w:r>
      <w:r>
        <w:rPr>
          <w:rFonts w:hint="eastAsia" w:ascii="宋体" w:hAnsi="宋体"/>
          <w:color w:val="auto"/>
          <w:spacing w:val="-1"/>
          <w:sz w:val="24"/>
          <w:szCs w:val="24"/>
          <w:highlight w:val="none"/>
          <w:u w:val="single"/>
        </w:rPr>
        <w:t>K</w:t>
      </w:r>
      <w:r>
        <w:rPr>
          <w:rFonts w:hint="eastAsia" w:ascii="宋体" w:hAnsi="宋体"/>
          <w:color w:val="auto"/>
          <w:sz w:val="24"/>
          <w:szCs w:val="24"/>
          <w:highlight w:val="none"/>
          <w:u w:val="single"/>
        </w:rPr>
        <w:tab/>
      </w:r>
      <w:r>
        <w:rPr>
          <w:rFonts w:hint="eastAsia" w:ascii="宋体" w:hAnsi="宋体"/>
          <w:color w:val="auto"/>
          <w:spacing w:val="-1"/>
          <w:sz w:val="24"/>
          <w:szCs w:val="24"/>
          <w:highlight w:val="none"/>
          <w:u w:val="single"/>
        </w:rPr>
        <w:t>+</w:t>
      </w:r>
      <w:r>
        <w:rPr>
          <w:rFonts w:hint="eastAsia" w:ascii="宋体" w:hAnsi="宋体"/>
          <w:color w:val="auto"/>
          <w:sz w:val="24"/>
          <w:szCs w:val="24"/>
          <w:highlight w:val="none"/>
          <w:u w:val="single"/>
        </w:rPr>
        <w:tab/>
      </w:r>
      <w:r>
        <w:rPr>
          <w:rFonts w:hint="eastAsia" w:ascii="宋体" w:hAnsi="宋体"/>
          <w:color w:val="auto"/>
          <w:spacing w:val="-9"/>
          <w:sz w:val="24"/>
          <w:szCs w:val="24"/>
          <w:highlight w:val="none"/>
        </w:rPr>
        <w:t>，长约</w:t>
      </w:r>
      <w:r>
        <w:rPr>
          <w:rFonts w:hint="eastAsia" w:ascii="宋体" w:hAnsi="宋体"/>
          <w:color w:val="auto"/>
          <w:spacing w:val="8"/>
          <w:sz w:val="24"/>
          <w:szCs w:val="24"/>
          <w:highlight w:val="none"/>
          <w:u w:val="single"/>
        </w:rPr>
        <w:tab/>
      </w:r>
      <w:r>
        <w:rPr>
          <w:rFonts w:hint="eastAsia" w:ascii="宋体" w:hAnsi="宋体"/>
          <w:color w:val="auto"/>
          <w:spacing w:val="-1"/>
          <w:sz w:val="24"/>
          <w:szCs w:val="24"/>
          <w:highlight w:val="none"/>
        </w:rPr>
        <w:t>km</w:t>
      </w:r>
      <w:r>
        <w:rPr>
          <w:rFonts w:hint="eastAsia" w:ascii="宋体" w:hAnsi="宋体"/>
          <w:color w:val="auto"/>
          <w:spacing w:val="-4"/>
          <w:sz w:val="24"/>
          <w:szCs w:val="24"/>
          <w:highlight w:val="none"/>
        </w:rPr>
        <w:t>，公路等级为</w:t>
      </w:r>
      <w:r>
        <w:rPr>
          <w:rFonts w:hint="eastAsia" w:ascii="宋体" w:hAnsi="宋体"/>
          <w:color w:val="auto"/>
          <w:sz w:val="24"/>
          <w:szCs w:val="24"/>
          <w:highlight w:val="none"/>
          <w:u w:val="single"/>
        </w:rPr>
        <w:tab/>
      </w:r>
      <w:r>
        <w:rPr>
          <w:rFonts w:hint="eastAsia" w:ascii="宋体" w:hAnsi="宋体"/>
          <w:color w:val="auto"/>
          <w:spacing w:val="-13"/>
          <w:sz w:val="24"/>
          <w:szCs w:val="24"/>
          <w:highlight w:val="none"/>
        </w:rPr>
        <w:t>，设</w:t>
      </w:r>
      <w:r>
        <w:rPr>
          <w:rFonts w:hint="eastAsia" w:ascii="宋体" w:hAnsi="宋体"/>
          <w:color w:val="auto"/>
          <w:spacing w:val="-1"/>
          <w:sz w:val="24"/>
          <w:szCs w:val="24"/>
          <w:highlight w:val="none"/>
        </w:rPr>
        <w:t>计时速为</w:t>
      </w:r>
      <w:r>
        <w:rPr>
          <w:rFonts w:hint="eastAsia" w:ascii="宋体" w:hAnsi="宋体"/>
          <w:color w:val="auto"/>
          <w:spacing w:val="5"/>
          <w:sz w:val="24"/>
          <w:szCs w:val="24"/>
          <w:highlight w:val="none"/>
          <w:u w:val="single"/>
        </w:rPr>
        <w:tab/>
      </w:r>
      <w:r>
        <w:rPr>
          <w:rFonts w:hint="eastAsia" w:ascii="宋体" w:hAnsi="宋体"/>
          <w:color w:val="auto"/>
          <w:spacing w:val="-1"/>
          <w:sz w:val="24"/>
          <w:szCs w:val="24"/>
          <w:highlight w:val="none"/>
        </w:rPr>
        <w:t>，路面，有</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立交</w:t>
      </w:r>
      <w:r>
        <w:rPr>
          <w:rFonts w:hint="eastAsia" w:ascii="宋体" w:hAnsi="宋体"/>
          <w:color w:val="auto"/>
          <w:spacing w:val="-1"/>
          <w:sz w:val="24"/>
          <w:szCs w:val="24"/>
          <w:highlight w:val="none"/>
          <w:u w:val="single"/>
        </w:rPr>
        <w:tab/>
      </w:r>
      <w:r>
        <w:rPr>
          <w:rFonts w:hint="eastAsia" w:ascii="宋体" w:hAnsi="宋体"/>
          <w:color w:val="auto"/>
          <w:sz w:val="24"/>
          <w:szCs w:val="24"/>
          <w:highlight w:val="none"/>
        </w:rPr>
        <w:t>处；特大桥</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座，计长</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m</w:t>
      </w:r>
      <w:r>
        <w:rPr>
          <w:rFonts w:hint="eastAsia" w:ascii="宋体" w:hAnsi="宋体"/>
          <w:color w:val="auto"/>
          <w:sz w:val="24"/>
          <w:szCs w:val="24"/>
          <w:highlight w:val="none"/>
        </w:rPr>
        <w:t>；大中桥</w:t>
      </w:r>
      <w:r>
        <w:rPr>
          <w:rFonts w:hint="eastAsia" w:ascii="宋体" w:hAnsi="宋体"/>
          <w:color w:val="auto"/>
          <w:sz w:val="24"/>
          <w:szCs w:val="24"/>
          <w:highlight w:val="none"/>
          <w:u w:val="single"/>
        </w:rPr>
        <w:tab/>
      </w:r>
      <w:r>
        <w:rPr>
          <w:rFonts w:hint="eastAsia" w:ascii="宋体" w:hAnsi="宋体"/>
          <w:color w:val="auto"/>
          <w:sz w:val="24"/>
          <w:szCs w:val="24"/>
          <w:highlight w:val="none"/>
        </w:rPr>
        <w:t>座，</w:t>
      </w:r>
      <w:r>
        <w:rPr>
          <w:rFonts w:hint="eastAsia" w:ascii="宋体" w:hAnsi="宋体"/>
          <w:color w:val="auto"/>
          <w:spacing w:val="-1"/>
          <w:sz w:val="24"/>
          <w:szCs w:val="24"/>
          <w:highlight w:val="none"/>
        </w:rPr>
        <w:t>计长</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m；隧道</w:t>
      </w:r>
      <w:r>
        <w:rPr>
          <w:rFonts w:hint="eastAsia" w:ascii="宋体" w:hAnsi="宋体"/>
          <w:color w:val="auto"/>
          <w:spacing w:val="5"/>
          <w:sz w:val="24"/>
          <w:szCs w:val="24"/>
          <w:highlight w:val="none"/>
          <w:u w:val="single"/>
        </w:rPr>
        <w:tab/>
      </w:r>
      <w:r>
        <w:rPr>
          <w:rFonts w:hint="eastAsia" w:ascii="宋体" w:hAnsi="宋体"/>
          <w:color w:val="auto"/>
          <w:spacing w:val="-1"/>
          <w:sz w:val="24"/>
          <w:szCs w:val="24"/>
          <w:highlight w:val="none"/>
        </w:rPr>
        <w:t>座，计长</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m以及其他构造物工程等。</w:t>
      </w:r>
    </w:p>
    <w:p w14:paraId="16E79A5D">
      <w:pPr>
        <w:spacing w:line="520" w:lineRule="exact"/>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z w:val="24"/>
          <w:szCs w:val="24"/>
          <w:highlight w:val="none"/>
        </w:rPr>
        <w:t>下列文件应视为构成合同文件的组成部分：</w:t>
      </w:r>
    </w:p>
    <w:p w14:paraId="109465C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（1）本协议书及各种合同附件（含评标期间和合同谈判过程中的澄清文件和补充资料）；</w:t>
      </w:r>
    </w:p>
    <w:p w14:paraId="165BFBE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（2）中标通知书；</w:t>
      </w:r>
    </w:p>
    <w:p w14:paraId="6983A6E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（3）补遗书；</w:t>
      </w:r>
    </w:p>
    <w:p w14:paraId="000CAEA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（4）投标函及投标函附录；</w:t>
      </w:r>
    </w:p>
    <w:p w14:paraId="7ACE141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（5）项目专用合同条款；</w:t>
      </w:r>
    </w:p>
    <w:p w14:paraId="6973BCB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w:t>
      </w:r>
      <w:r>
        <w:rPr>
          <w:rFonts w:hint="eastAsia" w:ascii="宋体" w:hAnsi="宋体"/>
          <w:color w:val="auto"/>
          <w:sz w:val="24"/>
          <w:szCs w:val="24"/>
          <w:highlight w:val="none"/>
        </w:rPr>
        <w:t>）公路工程专用合同条款；</w:t>
      </w:r>
    </w:p>
    <w:p w14:paraId="129A5D2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（7）通用合同条款；</w:t>
      </w:r>
    </w:p>
    <w:p w14:paraId="16A3CA7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（8）技术规范；</w:t>
      </w:r>
    </w:p>
    <w:p w14:paraId="2B66B5A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（9）图纸；</w:t>
      </w:r>
    </w:p>
    <w:p w14:paraId="386196C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（10）已标价工程量清单；</w:t>
      </w:r>
    </w:p>
    <w:p w14:paraId="3147EA4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w:t>
      </w:r>
      <w:r>
        <w:rPr>
          <w:rFonts w:hint="eastAsia" w:ascii="宋体" w:hAnsi="宋体"/>
          <w:color w:val="auto"/>
          <w:sz w:val="24"/>
          <w:szCs w:val="24"/>
          <w:highlight w:val="none"/>
        </w:rPr>
        <w:t>）承包人有关人员、设备投入的承诺及投标文件中的施工组织设计；</w:t>
      </w:r>
    </w:p>
    <w:p w14:paraId="24EA83EA">
      <w:pPr>
        <w:spacing w:line="520" w:lineRule="exact"/>
        <w:ind w:firstLine="476" w:firstLineChars="200"/>
        <w:rPr>
          <w:rFonts w:ascii="宋体" w:hAnsi="宋体"/>
          <w:color w:val="auto"/>
          <w:spacing w:val="-1"/>
          <w:sz w:val="24"/>
          <w:szCs w:val="24"/>
          <w:highlight w:val="none"/>
        </w:rPr>
      </w:pPr>
      <w:r>
        <w:rPr>
          <w:rFonts w:hint="eastAsia" w:ascii="宋体" w:hAnsi="宋体"/>
          <w:color w:val="auto"/>
          <w:spacing w:val="-1"/>
          <w:sz w:val="24"/>
          <w:szCs w:val="24"/>
          <w:highlight w:val="none"/>
        </w:rPr>
        <w:t>（12）其他合同文件。</w:t>
      </w:r>
    </w:p>
    <w:p w14:paraId="258B7DFE">
      <w:pPr>
        <w:spacing w:line="520" w:lineRule="exact"/>
        <w:ind w:firstLine="476" w:firstLineChars="200"/>
        <w:rPr>
          <w:rFonts w:ascii="宋体" w:hAnsi="宋体"/>
          <w:b/>
          <w:bCs/>
          <w:color w:val="auto"/>
          <w:sz w:val="24"/>
          <w:szCs w:val="24"/>
          <w:highlight w:val="none"/>
        </w:rPr>
      </w:pPr>
      <w:r>
        <w:rPr>
          <w:rFonts w:hint="eastAsia" w:ascii="宋体" w:hAnsi="宋体"/>
          <w:color w:val="auto"/>
          <w:spacing w:val="-1"/>
          <w:sz w:val="24"/>
          <w:szCs w:val="24"/>
          <w:highlight w:val="none"/>
        </w:rPr>
        <w:t>3.上述文件互相补充和解释，如有不明确或不一致之处，以合同约定次序在先者为准。</w:t>
      </w:r>
    </w:p>
    <w:p w14:paraId="4AC7861F">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根据工程量清单所列的预计数量和单价或总额价计算的签约合同价：</w:t>
      </w:r>
    </w:p>
    <w:p w14:paraId="2791B26C">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人</w:t>
      </w:r>
      <w:r>
        <w:rPr>
          <w:rFonts w:hint="eastAsia" w:ascii="宋体" w:hAnsi="宋体"/>
          <w:color w:val="auto"/>
          <w:spacing w:val="-1"/>
          <w:sz w:val="24"/>
          <w:szCs w:val="24"/>
          <w:highlight w:val="none"/>
        </w:rPr>
        <w:t>民币（大写）</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元（¥</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w:t>
      </w:r>
    </w:p>
    <w:p w14:paraId="4E04B7CD">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5.承包人项目负责人：</w:t>
      </w:r>
      <w:r>
        <w:rPr>
          <w:rFonts w:hint="eastAsia" w:ascii="宋体" w:hAnsi="宋体"/>
          <w:color w:val="auto"/>
          <w:spacing w:val="-1"/>
          <w:sz w:val="24"/>
          <w:szCs w:val="24"/>
          <w:highlight w:val="none"/>
          <w:u w:val="single"/>
        </w:rPr>
        <w:tab/>
      </w:r>
      <w:r>
        <w:rPr>
          <w:rFonts w:hint="eastAsia" w:ascii="宋体" w:hAnsi="宋体"/>
          <w:color w:val="auto"/>
          <w:sz w:val="24"/>
          <w:szCs w:val="24"/>
          <w:highlight w:val="none"/>
        </w:rPr>
        <w:t>。</w:t>
      </w:r>
    </w:p>
    <w:p w14:paraId="5572AB1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6.工程质量符合</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标准。</w:t>
      </w:r>
    </w:p>
    <w:p w14:paraId="2402E2CB">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7.承包人承诺按合同约定承担工程的实施、完成及缺陷修复。</w:t>
      </w:r>
    </w:p>
    <w:p w14:paraId="0E81C73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8.发包人承诺按合同约定的条件、时间和方式向承包人支付合同价款。</w:t>
      </w:r>
    </w:p>
    <w:p w14:paraId="046EEF8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9.承包人应按照监理人指示开工，工期为</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日历天。</w:t>
      </w:r>
    </w:p>
    <w:p w14:paraId="6ED5FBFC">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10.</w:t>
      </w:r>
      <w:r>
        <w:rPr>
          <w:rFonts w:hint="eastAsia" w:ascii="宋体" w:hAnsi="宋体"/>
          <w:color w:val="auto"/>
          <w:spacing w:val="-3"/>
          <w:sz w:val="24"/>
          <w:szCs w:val="24"/>
          <w:highlight w:val="none"/>
        </w:rPr>
        <w:t>本协议书在承包人提供履约担保后，由双方法定代表人或其委托代理人签署并加盖单位章后生效。全部工程完工后经竣交工验收合格、缺陷责任期满签</w:t>
      </w:r>
      <w:r>
        <w:rPr>
          <w:rFonts w:hint="eastAsia" w:ascii="宋体" w:hAnsi="宋体"/>
          <w:color w:val="auto"/>
          <w:spacing w:val="-1"/>
          <w:sz w:val="24"/>
          <w:szCs w:val="24"/>
          <w:highlight w:val="none"/>
        </w:rPr>
        <w:t>发缺陷责任终止证书后生效。</w:t>
      </w:r>
    </w:p>
    <w:p w14:paraId="348F078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11.本协议书正本二份、副本</w:t>
      </w:r>
      <w:r>
        <w:rPr>
          <w:rFonts w:hint="eastAsia" w:ascii="宋体" w:hAnsi="宋体"/>
          <w:color w:val="auto"/>
          <w:spacing w:val="-1"/>
          <w:sz w:val="24"/>
          <w:szCs w:val="24"/>
          <w:highlight w:val="none"/>
          <w:u w:val="single"/>
        </w:rPr>
        <w:tab/>
      </w:r>
      <w:r>
        <w:rPr>
          <w:rFonts w:hint="eastAsia" w:ascii="宋体" w:hAnsi="宋体"/>
          <w:color w:val="auto"/>
          <w:sz w:val="24"/>
          <w:szCs w:val="24"/>
          <w:highlight w:val="none"/>
        </w:rPr>
        <w:t>份，合同双方各执正本一份，副本</w:t>
      </w:r>
      <w:r>
        <w:rPr>
          <w:rFonts w:hint="eastAsia" w:ascii="宋体" w:hAnsi="宋体"/>
          <w:color w:val="auto"/>
          <w:spacing w:val="-1"/>
          <w:sz w:val="24"/>
          <w:szCs w:val="24"/>
          <w:highlight w:val="none"/>
          <w:u w:val="single"/>
        </w:rPr>
        <w:tab/>
      </w:r>
      <w:r>
        <w:rPr>
          <w:rFonts w:hint="eastAsia" w:ascii="宋体" w:hAnsi="宋体"/>
          <w:color w:val="auto"/>
          <w:sz w:val="24"/>
          <w:szCs w:val="24"/>
          <w:highlight w:val="none"/>
        </w:rPr>
        <w:t>份，</w:t>
      </w:r>
      <w:r>
        <w:rPr>
          <w:rFonts w:hint="eastAsia" w:ascii="宋体" w:hAnsi="宋体"/>
          <w:color w:val="auto"/>
          <w:spacing w:val="-1"/>
          <w:sz w:val="24"/>
          <w:szCs w:val="24"/>
          <w:highlight w:val="none"/>
        </w:rPr>
        <w:t>当正本与副本的内容不一致时，以正本为准。</w:t>
      </w:r>
    </w:p>
    <w:p w14:paraId="34917219">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12.合同未尽事宜，双方另行签订补充协议。补充协议是合同的组成部分。</w:t>
      </w:r>
    </w:p>
    <w:p w14:paraId="6DCDDEAE">
      <w:pPr>
        <w:spacing w:line="520" w:lineRule="exact"/>
        <w:rPr>
          <w:rFonts w:ascii="宋体" w:hAnsi="宋体"/>
          <w:color w:val="auto"/>
          <w:spacing w:val="-1"/>
          <w:sz w:val="24"/>
          <w:szCs w:val="24"/>
          <w:highlight w:val="none"/>
        </w:rPr>
      </w:pPr>
    </w:p>
    <w:p w14:paraId="129DD8DC">
      <w:pPr>
        <w:spacing w:line="520" w:lineRule="exact"/>
        <w:rPr>
          <w:rFonts w:ascii="宋体" w:hAnsi="宋体"/>
          <w:color w:val="auto"/>
          <w:spacing w:val="-1"/>
          <w:sz w:val="24"/>
          <w:szCs w:val="24"/>
          <w:highlight w:val="none"/>
        </w:rPr>
      </w:pPr>
    </w:p>
    <w:p w14:paraId="722FC165">
      <w:pPr>
        <w:spacing w:line="520" w:lineRule="exact"/>
        <w:rPr>
          <w:rFonts w:ascii="宋体" w:hAnsi="宋体"/>
          <w:color w:val="auto"/>
          <w:spacing w:val="-1"/>
          <w:sz w:val="24"/>
          <w:szCs w:val="24"/>
          <w:highlight w:val="none"/>
        </w:rPr>
      </w:pPr>
    </w:p>
    <w:p w14:paraId="393BF6F8">
      <w:pPr>
        <w:spacing w:line="520" w:lineRule="exact"/>
        <w:rPr>
          <w:rFonts w:ascii="宋体" w:hAnsi="宋体"/>
          <w:color w:val="auto"/>
          <w:sz w:val="24"/>
          <w:szCs w:val="24"/>
          <w:highlight w:val="none"/>
        </w:rPr>
      </w:pPr>
      <w:r>
        <w:rPr>
          <w:rFonts w:hint="eastAsia" w:ascii="宋体" w:hAnsi="宋体"/>
          <w:color w:val="auto"/>
          <w:spacing w:val="-1"/>
          <w:sz w:val="24"/>
          <w:szCs w:val="24"/>
          <w:highlight w:val="none"/>
        </w:rPr>
        <w:t>发包人：</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（盖单位章）                  承包人：（盖单位章）</w:t>
      </w:r>
    </w:p>
    <w:p w14:paraId="39BF4EB3">
      <w:pPr>
        <w:spacing w:line="520" w:lineRule="exact"/>
        <w:ind w:firstLine="476" w:firstLineChars="200"/>
        <w:rPr>
          <w:rFonts w:ascii="宋体" w:hAnsi="宋体"/>
          <w:color w:val="auto"/>
          <w:spacing w:val="-1"/>
          <w:sz w:val="24"/>
          <w:szCs w:val="24"/>
          <w:highlight w:val="none"/>
        </w:rPr>
      </w:pPr>
    </w:p>
    <w:p w14:paraId="03264614">
      <w:pPr>
        <w:spacing w:line="520" w:lineRule="exact"/>
        <w:rPr>
          <w:rFonts w:ascii="宋体" w:hAnsi="宋体"/>
          <w:color w:val="auto"/>
          <w:sz w:val="24"/>
          <w:szCs w:val="24"/>
          <w:highlight w:val="none"/>
        </w:rPr>
      </w:pPr>
      <w:r>
        <w:rPr>
          <w:rFonts w:hint="eastAsia" w:ascii="宋体" w:hAnsi="宋体"/>
          <w:color w:val="auto"/>
          <w:spacing w:val="-1"/>
          <w:sz w:val="24"/>
          <w:szCs w:val="24"/>
          <w:highlight w:val="none"/>
        </w:rPr>
        <w:t xml:space="preserve">法定代表人或其委托代理人：（签字）      </w:t>
      </w:r>
      <w:r>
        <w:rPr>
          <w:rFonts w:hint="eastAsia" w:ascii="宋体" w:hAnsi="宋体"/>
          <w:color w:val="auto"/>
          <w:sz w:val="24"/>
          <w:szCs w:val="24"/>
          <w:highlight w:val="none"/>
        </w:rPr>
        <w:t>法定代表人或其委托代理人：</w:t>
      </w:r>
      <w:r>
        <w:rPr>
          <w:rFonts w:hint="eastAsia" w:ascii="宋体" w:hAnsi="宋体"/>
          <w:color w:val="auto"/>
          <w:spacing w:val="-1"/>
          <w:sz w:val="24"/>
          <w:szCs w:val="24"/>
          <w:highlight w:val="none"/>
        </w:rPr>
        <w:t>（签字）</w:t>
      </w:r>
    </w:p>
    <w:p w14:paraId="7D891AEA">
      <w:pPr>
        <w:spacing w:line="520" w:lineRule="exact"/>
        <w:ind w:left="180" w:firstLine="480" w:firstLineChars="200"/>
        <w:rPr>
          <w:rFonts w:ascii="宋体" w:hAnsi="宋体"/>
          <w:color w:val="auto"/>
          <w:sz w:val="24"/>
          <w:szCs w:val="24"/>
          <w:highlight w:val="none"/>
        </w:rPr>
      </w:pPr>
    </w:p>
    <w:p w14:paraId="2C163E20">
      <w:pPr>
        <w:spacing w:line="520" w:lineRule="exact"/>
        <w:ind w:left="180" w:firstLine="1904" w:firstLineChars="800"/>
        <w:rPr>
          <w:rFonts w:ascii="宋体" w:hAnsi="宋体"/>
          <w:color w:val="auto"/>
          <w:sz w:val="24"/>
          <w:szCs w:val="24"/>
          <w:highlight w:val="none"/>
        </w:rPr>
      </w:pPr>
      <w:r>
        <w:rPr>
          <w:rFonts w:hint="eastAsia" w:ascii="宋体" w:hAnsi="宋体"/>
          <w:color w:val="auto"/>
          <w:spacing w:val="-1"/>
          <w:sz w:val="24"/>
          <w:szCs w:val="24"/>
          <w:highlight w:val="none"/>
        </w:rPr>
        <w:t xml:space="preserve">年  月  日  </w:t>
      </w:r>
      <w:r>
        <w:rPr>
          <w:rFonts w:hint="eastAsia" w:ascii="宋体" w:hAnsi="宋体"/>
          <w:color w:val="auto"/>
          <w:spacing w:val="-1"/>
          <w:sz w:val="24"/>
          <w:szCs w:val="24"/>
          <w:highlight w:val="none"/>
        </w:rPr>
        <w:tab/>
      </w:r>
      <w:r>
        <w:rPr>
          <w:rFonts w:hint="eastAsia" w:ascii="宋体" w:hAnsi="宋体"/>
          <w:color w:val="auto"/>
          <w:spacing w:val="-1"/>
          <w:sz w:val="24"/>
          <w:szCs w:val="24"/>
          <w:highlight w:val="none"/>
        </w:rPr>
        <w:t xml:space="preserve">                      年    月    日</w:t>
      </w:r>
    </w:p>
    <w:p w14:paraId="4F1D80E3">
      <w:pPr>
        <w:spacing w:line="520" w:lineRule="exact"/>
        <w:rPr>
          <w:rFonts w:ascii="宋体" w:hAnsi="宋体"/>
          <w:b/>
          <w:bCs/>
          <w:color w:val="auto"/>
          <w:sz w:val="24"/>
          <w:szCs w:val="24"/>
          <w:highlight w:val="none"/>
        </w:rPr>
      </w:pPr>
    </w:p>
    <w:p w14:paraId="3E6CC6CA">
      <w:pPr>
        <w:spacing w:line="520" w:lineRule="exact"/>
        <w:rPr>
          <w:rFonts w:ascii="宋体" w:hAnsi="宋体"/>
          <w:b/>
          <w:bCs/>
          <w:color w:val="auto"/>
          <w:sz w:val="24"/>
          <w:szCs w:val="24"/>
          <w:highlight w:val="none"/>
        </w:rPr>
      </w:pPr>
    </w:p>
    <w:p w14:paraId="00C104F1">
      <w:pPr>
        <w:spacing w:line="520" w:lineRule="exact"/>
        <w:rPr>
          <w:rFonts w:ascii="宋体" w:hAnsi="宋体"/>
          <w:b/>
          <w:bCs/>
          <w:color w:val="auto"/>
          <w:sz w:val="24"/>
          <w:szCs w:val="24"/>
          <w:highlight w:val="none"/>
        </w:rPr>
      </w:pPr>
    </w:p>
    <w:p w14:paraId="705710BA">
      <w:pPr>
        <w:spacing w:line="520" w:lineRule="exact"/>
        <w:rPr>
          <w:rFonts w:ascii="宋体" w:hAnsi="宋体"/>
          <w:b/>
          <w:bCs/>
          <w:color w:val="auto"/>
          <w:sz w:val="24"/>
          <w:szCs w:val="24"/>
          <w:highlight w:val="none"/>
        </w:rPr>
      </w:pPr>
    </w:p>
    <w:p w14:paraId="297FCCFB">
      <w:pPr>
        <w:spacing w:line="520" w:lineRule="exact"/>
        <w:rPr>
          <w:rFonts w:ascii="宋体" w:hAnsi="宋体"/>
          <w:b/>
          <w:bCs/>
          <w:color w:val="auto"/>
          <w:sz w:val="24"/>
          <w:szCs w:val="24"/>
          <w:highlight w:val="none"/>
        </w:rPr>
      </w:pPr>
    </w:p>
    <w:p w14:paraId="3EC7AB3E">
      <w:pPr>
        <w:spacing w:line="520" w:lineRule="exact"/>
        <w:rPr>
          <w:rFonts w:ascii="宋体" w:hAnsi="宋体"/>
          <w:b/>
          <w:bCs/>
          <w:color w:val="auto"/>
          <w:sz w:val="24"/>
          <w:szCs w:val="24"/>
          <w:highlight w:val="none"/>
        </w:rPr>
      </w:pPr>
    </w:p>
    <w:p w14:paraId="2AAE7CDB">
      <w:pPr>
        <w:spacing w:line="520" w:lineRule="exact"/>
        <w:rPr>
          <w:rFonts w:ascii="宋体" w:hAnsi="宋体"/>
          <w:b/>
          <w:bCs/>
          <w:color w:val="auto"/>
          <w:sz w:val="24"/>
          <w:szCs w:val="24"/>
          <w:highlight w:val="none"/>
        </w:rPr>
      </w:pPr>
    </w:p>
    <w:p w14:paraId="6A264E78">
      <w:pPr>
        <w:spacing w:line="520" w:lineRule="exact"/>
        <w:rPr>
          <w:rFonts w:ascii="宋体" w:hAnsi="宋体"/>
          <w:b/>
          <w:bCs/>
          <w:color w:val="auto"/>
          <w:sz w:val="24"/>
          <w:szCs w:val="24"/>
          <w:highlight w:val="none"/>
        </w:rPr>
      </w:pPr>
    </w:p>
    <w:p w14:paraId="581D0AE5">
      <w:pPr>
        <w:spacing w:line="520" w:lineRule="exact"/>
        <w:rPr>
          <w:rFonts w:ascii="宋体" w:hAnsi="宋体"/>
          <w:b/>
          <w:bCs/>
          <w:color w:val="auto"/>
          <w:sz w:val="24"/>
          <w:szCs w:val="24"/>
          <w:highlight w:val="none"/>
        </w:rPr>
      </w:pPr>
      <w:r>
        <w:rPr>
          <w:rFonts w:hint="eastAsia" w:ascii="宋体" w:hAnsi="宋体"/>
          <w:b/>
          <w:bCs/>
          <w:color w:val="auto"/>
          <w:sz w:val="24"/>
          <w:szCs w:val="24"/>
          <w:highlight w:val="none"/>
        </w:rPr>
        <w:t>附件二廉政合同</w:t>
      </w:r>
    </w:p>
    <w:p w14:paraId="1FED11DD">
      <w:pPr>
        <w:spacing w:line="520" w:lineRule="exact"/>
        <w:ind w:left="182"/>
        <w:jc w:val="center"/>
        <w:rPr>
          <w:rFonts w:ascii="宋体" w:hAnsi="宋体"/>
          <w:b/>
          <w:bCs/>
          <w:color w:val="auto"/>
          <w:szCs w:val="21"/>
          <w:highlight w:val="none"/>
        </w:rPr>
      </w:pPr>
      <w:r>
        <w:rPr>
          <w:rFonts w:hint="eastAsia" w:ascii="宋体" w:hAnsi="宋体"/>
          <w:b/>
          <w:bCs/>
          <w:color w:val="auto"/>
          <w:sz w:val="24"/>
          <w:szCs w:val="24"/>
          <w:highlight w:val="none"/>
        </w:rPr>
        <w:t>廉政合同</w:t>
      </w:r>
    </w:p>
    <w:p w14:paraId="2A8E0939">
      <w:pPr>
        <w:spacing w:line="520" w:lineRule="exact"/>
        <w:ind w:firstLine="468" w:firstLineChars="200"/>
        <w:rPr>
          <w:rFonts w:ascii="宋体" w:hAnsi="宋体"/>
          <w:color w:val="auto"/>
          <w:highlight w:val="none"/>
        </w:rPr>
      </w:pPr>
      <w:r>
        <w:rPr>
          <w:rFonts w:hint="eastAsia" w:ascii="宋体" w:hAnsi="宋体"/>
          <w:color w:val="auto"/>
          <w:spacing w:val="-3"/>
          <w:sz w:val="24"/>
          <w:szCs w:val="24"/>
          <w:highlight w:val="none"/>
        </w:rPr>
        <w:t>根据《关于在交通基础设施建设中加强廉政建设的若干意见》以及有关工程建设、廉政建设的规定，为做好工程建设中的党风廉政建设，保证工程建设高效</w:t>
      </w:r>
      <w:r>
        <w:rPr>
          <w:rFonts w:hint="eastAsia" w:ascii="宋体" w:hAnsi="宋体"/>
          <w:color w:val="auto"/>
          <w:spacing w:val="-1"/>
          <w:sz w:val="24"/>
          <w:szCs w:val="24"/>
          <w:highlight w:val="none"/>
        </w:rPr>
        <w:t>优质，保证建设资金的安全和有效使用以及投资效益，（项目名称）项目法人</w:t>
      </w:r>
      <w:r>
        <w:rPr>
          <w:rFonts w:hint="eastAsia" w:ascii="宋体" w:hAnsi="宋体"/>
          <w:color w:val="auto"/>
          <w:spacing w:val="-1"/>
          <w:highlight w:val="none"/>
        </w:rPr>
        <w:tab/>
      </w:r>
      <w:r>
        <w:rPr>
          <w:rFonts w:hint="eastAsia" w:ascii="宋体" w:hAnsi="宋体"/>
          <w:color w:val="auto"/>
          <w:sz w:val="24"/>
          <w:szCs w:val="24"/>
          <w:highlight w:val="none"/>
        </w:rPr>
        <w:t>（项目法人名称，以下简称“发包人”）与该项目</w:t>
      </w:r>
      <w:r>
        <w:rPr>
          <w:rFonts w:hint="eastAsia" w:ascii="宋体" w:hAnsi="宋体"/>
          <w:color w:val="auto"/>
          <w:spacing w:val="-1"/>
          <w:highlight w:val="none"/>
          <w:u w:val="single"/>
        </w:rPr>
        <w:tab/>
      </w:r>
      <w:r>
        <w:rPr>
          <w:rFonts w:hint="eastAsia" w:ascii="宋体" w:hAnsi="宋体"/>
          <w:color w:val="auto"/>
          <w:spacing w:val="-1"/>
          <w:sz w:val="24"/>
          <w:szCs w:val="24"/>
          <w:highlight w:val="none"/>
        </w:rPr>
        <w:t>标段的施工单位</w:t>
      </w:r>
      <w:r>
        <w:rPr>
          <w:rFonts w:hint="eastAsia" w:ascii="宋体" w:hAnsi="宋体"/>
          <w:color w:val="auto"/>
          <w:highlight w:val="none"/>
          <w:u w:val="single"/>
        </w:rPr>
        <w:tab/>
      </w:r>
      <w:r>
        <w:rPr>
          <w:rFonts w:hint="eastAsia" w:ascii="宋体" w:hAnsi="宋体"/>
          <w:color w:val="auto"/>
          <w:sz w:val="24"/>
          <w:szCs w:val="24"/>
          <w:highlight w:val="none"/>
        </w:rPr>
        <w:t>（施工单位名称，以下简称“承包人”），特订立如下合同。</w:t>
      </w:r>
    </w:p>
    <w:p w14:paraId="41B2CA62">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1</w:t>
      </w:r>
      <w:r>
        <w:rPr>
          <w:rFonts w:hint="eastAsia" w:ascii="宋体" w:hAnsi="宋体"/>
          <w:color w:val="auto"/>
          <w:sz w:val="24"/>
          <w:szCs w:val="24"/>
          <w:highlight w:val="none"/>
        </w:rPr>
        <w:t>．发包人和承包人双方的权利和义务</w:t>
      </w:r>
    </w:p>
    <w:p w14:paraId="7D38404D">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（1</w:t>
      </w:r>
      <w:r>
        <w:rPr>
          <w:rFonts w:hint="eastAsia" w:ascii="宋体" w:hAnsi="宋体"/>
          <w:color w:val="auto"/>
          <w:spacing w:val="-3"/>
          <w:sz w:val="24"/>
          <w:szCs w:val="24"/>
          <w:highlight w:val="none"/>
        </w:rPr>
        <w:t>）严格遵守党的政策规定和国家有关法律法规及交通运输部的有关规定。</w:t>
      </w:r>
    </w:p>
    <w:p w14:paraId="57EB774F">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（2</w:t>
      </w:r>
      <w:r>
        <w:rPr>
          <w:rFonts w:hint="eastAsia" w:ascii="宋体" w:hAnsi="宋体"/>
          <w:color w:val="auto"/>
          <w:spacing w:val="-5"/>
          <w:sz w:val="24"/>
          <w:szCs w:val="24"/>
          <w:highlight w:val="none"/>
        </w:rPr>
        <w:t>）严格执行</w:t>
      </w:r>
      <w:r>
        <w:rPr>
          <w:rFonts w:hint="eastAsia" w:ascii="宋体" w:hAnsi="宋体"/>
          <w:color w:val="auto"/>
          <w:spacing w:val="-1"/>
          <w:highlight w:val="none"/>
          <w:u w:val="single"/>
        </w:rPr>
        <w:tab/>
      </w:r>
      <w:r>
        <w:rPr>
          <w:rFonts w:hint="eastAsia" w:ascii="宋体" w:hAnsi="宋体"/>
          <w:color w:val="auto"/>
          <w:spacing w:val="-1"/>
          <w:sz w:val="24"/>
          <w:szCs w:val="24"/>
          <w:highlight w:val="none"/>
          <w:u w:val="single"/>
        </w:rPr>
        <w:t>（项目名称）</w:t>
      </w:r>
      <w:r>
        <w:rPr>
          <w:rFonts w:hint="eastAsia" w:ascii="宋体" w:hAnsi="宋体"/>
          <w:color w:val="auto"/>
          <w:spacing w:val="-1"/>
          <w:highlight w:val="none"/>
          <w:u w:val="single"/>
        </w:rPr>
        <w:tab/>
      </w:r>
      <w:r>
        <w:rPr>
          <w:rFonts w:hint="eastAsia" w:ascii="宋体" w:hAnsi="宋体"/>
          <w:color w:val="auto"/>
          <w:spacing w:val="-2"/>
          <w:sz w:val="24"/>
          <w:szCs w:val="24"/>
          <w:highlight w:val="none"/>
        </w:rPr>
        <w:t>标段施工合同文件，自觉按合同办</w:t>
      </w:r>
      <w:r>
        <w:rPr>
          <w:rFonts w:hint="eastAsia" w:ascii="宋体" w:hAnsi="宋体"/>
          <w:color w:val="auto"/>
          <w:spacing w:val="-1"/>
          <w:sz w:val="24"/>
          <w:szCs w:val="24"/>
          <w:highlight w:val="none"/>
        </w:rPr>
        <w:t>事。</w:t>
      </w:r>
    </w:p>
    <w:p w14:paraId="0D37754B">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（3）双方的业务活动坚持公开、公正、诚信、透明的原则（法律认定的商</w:t>
      </w:r>
      <w:r>
        <w:rPr>
          <w:rFonts w:hint="eastAsia" w:ascii="宋体" w:hAnsi="宋体"/>
          <w:color w:val="auto"/>
          <w:spacing w:val="-3"/>
          <w:sz w:val="24"/>
          <w:szCs w:val="24"/>
          <w:highlight w:val="none"/>
        </w:rPr>
        <w:t>业秘密和合同文件另有规定除外），不得损害国家和集体利益，不得违反工程建</w:t>
      </w:r>
      <w:r>
        <w:rPr>
          <w:rFonts w:hint="eastAsia" w:ascii="宋体" w:hAnsi="宋体"/>
          <w:color w:val="auto"/>
          <w:spacing w:val="-1"/>
          <w:sz w:val="24"/>
          <w:szCs w:val="24"/>
          <w:highlight w:val="none"/>
        </w:rPr>
        <w:t>设管理规章制度。</w:t>
      </w:r>
    </w:p>
    <w:p w14:paraId="2CB81D3D">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（4</w:t>
      </w:r>
      <w:r>
        <w:rPr>
          <w:rFonts w:hint="eastAsia" w:ascii="宋体" w:hAnsi="宋体"/>
          <w:color w:val="auto"/>
          <w:spacing w:val="-7"/>
          <w:sz w:val="24"/>
          <w:szCs w:val="24"/>
          <w:highlight w:val="none"/>
        </w:rPr>
        <w:t>）建立健全廉政制度，开展廉政教育，设立廉政告示牌，公布举报电话，</w:t>
      </w:r>
      <w:r>
        <w:rPr>
          <w:rFonts w:hint="eastAsia" w:ascii="宋体" w:hAnsi="宋体"/>
          <w:color w:val="auto"/>
          <w:spacing w:val="-1"/>
          <w:sz w:val="24"/>
          <w:szCs w:val="24"/>
          <w:highlight w:val="none"/>
        </w:rPr>
        <w:t>监督并认真查处违法违纪行为。</w:t>
      </w:r>
    </w:p>
    <w:p w14:paraId="1780E2E4">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（5）发现对方在业务活动中有违反廉政规定的行为，有及时提醒对方纠正的权利和义务。</w:t>
      </w:r>
    </w:p>
    <w:p w14:paraId="1B167F88">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（6</w:t>
      </w:r>
      <w:r>
        <w:rPr>
          <w:rFonts w:hint="eastAsia" w:ascii="宋体" w:hAnsi="宋体"/>
          <w:color w:val="auto"/>
          <w:spacing w:val="-7"/>
          <w:sz w:val="24"/>
          <w:szCs w:val="24"/>
          <w:highlight w:val="none"/>
        </w:rPr>
        <w:t>）发现对方严重违反本合同义务条款的行为，有向其上级有关部门举报、</w:t>
      </w:r>
      <w:r>
        <w:rPr>
          <w:rFonts w:hint="eastAsia" w:ascii="宋体" w:hAnsi="宋体"/>
          <w:color w:val="auto"/>
          <w:spacing w:val="-1"/>
          <w:sz w:val="24"/>
          <w:szCs w:val="24"/>
          <w:highlight w:val="none"/>
        </w:rPr>
        <w:t>建议给予处理并要求告知处理结果的权利。</w:t>
      </w:r>
    </w:p>
    <w:p w14:paraId="6C31D352">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2．发包人的义务</w:t>
      </w:r>
    </w:p>
    <w:p w14:paraId="5BD9C207">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（1</w:t>
      </w:r>
      <w:r>
        <w:rPr>
          <w:rFonts w:hint="eastAsia" w:ascii="宋体" w:hAnsi="宋体"/>
          <w:color w:val="auto"/>
          <w:sz w:val="24"/>
          <w:szCs w:val="24"/>
          <w:highlight w:val="none"/>
        </w:rPr>
        <w:t>）发包人及其工作人员不得索要或接受承包人的礼金、有价证券和贵重物品，不得让承包人报销任何应由发包人或发包人工作人员个人支付的费用等。</w:t>
      </w:r>
    </w:p>
    <w:p w14:paraId="0CDA162A">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（2</w:t>
      </w:r>
      <w:r>
        <w:rPr>
          <w:rFonts w:hint="eastAsia" w:ascii="宋体" w:hAnsi="宋体"/>
          <w:color w:val="auto"/>
          <w:sz w:val="24"/>
          <w:szCs w:val="24"/>
          <w:highlight w:val="none"/>
        </w:rPr>
        <w:t>）发包人工作人员不得参加承包人安排的超标准宴请和娱乐活动；不得</w:t>
      </w:r>
      <w:r>
        <w:rPr>
          <w:rFonts w:hint="eastAsia" w:ascii="宋体" w:hAnsi="宋体"/>
          <w:color w:val="auto"/>
          <w:spacing w:val="-1"/>
          <w:sz w:val="24"/>
          <w:szCs w:val="24"/>
          <w:highlight w:val="none"/>
        </w:rPr>
        <w:t>接受承包人提供的通讯工具、交通工具和高档办公用品等。</w:t>
      </w:r>
    </w:p>
    <w:p w14:paraId="36331DA0">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（3</w:t>
      </w:r>
      <w:r>
        <w:rPr>
          <w:rFonts w:hint="eastAsia" w:ascii="宋体" w:hAnsi="宋体"/>
          <w:color w:val="auto"/>
          <w:sz w:val="24"/>
          <w:szCs w:val="24"/>
          <w:highlight w:val="none"/>
        </w:rPr>
        <w:t>）发包人及其工作人员不利要求或者接受承包人为其住房装修、婚丧嫁</w:t>
      </w:r>
      <w:r>
        <w:rPr>
          <w:rFonts w:hint="eastAsia" w:ascii="宋体" w:hAnsi="宋体"/>
          <w:color w:val="auto"/>
          <w:spacing w:val="-1"/>
          <w:sz w:val="24"/>
          <w:szCs w:val="24"/>
          <w:highlight w:val="none"/>
        </w:rPr>
        <w:t>娶活动、配偶子女的工作安排以及出国出境、旅游等提供方便等。</w:t>
      </w:r>
    </w:p>
    <w:p w14:paraId="5BB2E36D">
      <w:pPr>
        <w:spacing w:line="520" w:lineRule="exact"/>
        <w:ind w:firstLine="476" w:firstLineChars="200"/>
        <w:rPr>
          <w:rFonts w:ascii="宋体" w:hAnsi="宋体"/>
          <w:color w:val="auto"/>
          <w:highlight w:val="none"/>
        </w:rPr>
      </w:pPr>
      <w:bookmarkStart w:id="319" w:name="99"/>
      <w:bookmarkEnd w:id="319"/>
      <w:r>
        <w:rPr>
          <w:rFonts w:hint="eastAsia" w:ascii="宋体" w:hAnsi="宋体"/>
          <w:color w:val="auto"/>
          <w:spacing w:val="-1"/>
          <w:sz w:val="24"/>
          <w:szCs w:val="24"/>
          <w:highlight w:val="none"/>
        </w:rPr>
        <w:t>（4</w:t>
      </w:r>
      <w:r>
        <w:rPr>
          <w:rFonts w:hint="eastAsia" w:ascii="宋体" w:hAnsi="宋体"/>
          <w:color w:val="auto"/>
          <w:sz w:val="24"/>
          <w:szCs w:val="24"/>
          <w:highlight w:val="none"/>
        </w:rPr>
        <w:t>）发包人工作人员及其配偶、子女不得从事与发包人工作有关的材料设</w:t>
      </w:r>
      <w:r>
        <w:rPr>
          <w:rFonts w:hint="eastAsia" w:ascii="宋体" w:hAnsi="宋体"/>
          <w:color w:val="auto"/>
          <w:spacing w:val="-1"/>
          <w:sz w:val="24"/>
          <w:szCs w:val="24"/>
          <w:highlight w:val="none"/>
        </w:rPr>
        <w:t>备供应、工程分包、劳务等经济活动等。</w:t>
      </w:r>
    </w:p>
    <w:p w14:paraId="12D684D8">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（5</w:t>
      </w:r>
      <w:r>
        <w:rPr>
          <w:rFonts w:hint="eastAsia" w:ascii="宋体" w:hAnsi="宋体"/>
          <w:color w:val="auto"/>
          <w:sz w:val="24"/>
          <w:szCs w:val="24"/>
          <w:highlight w:val="none"/>
        </w:rPr>
        <w:t>）发包人及期工作人员不得以任何理由向承包人推荐分包单位或推销材</w:t>
      </w:r>
      <w:r>
        <w:rPr>
          <w:rFonts w:hint="eastAsia" w:ascii="宋体" w:hAnsi="宋体"/>
          <w:color w:val="auto"/>
          <w:spacing w:val="-1"/>
          <w:sz w:val="24"/>
          <w:szCs w:val="24"/>
          <w:highlight w:val="none"/>
        </w:rPr>
        <w:t>料，不得要求承包人购买合同规定外的材料和设备。</w:t>
      </w:r>
    </w:p>
    <w:p w14:paraId="61887365">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（6</w:t>
      </w:r>
      <w:r>
        <w:rPr>
          <w:rFonts w:hint="eastAsia" w:ascii="宋体" w:hAnsi="宋体"/>
          <w:color w:val="auto"/>
          <w:sz w:val="24"/>
          <w:szCs w:val="24"/>
          <w:highlight w:val="none"/>
        </w:rPr>
        <w:t>）发包人工作人员要秉公办事，不准营私舞弊，不准利用职权从事各种个人有偿中介活动和安排个人施工队伍。</w:t>
      </w:r>
    </w:p>
    <w:p w14:paraId="6EAFF380">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3．承包人的义务</w:t>
      </w:r>
    </w:p>
    <w:p w14:paraId="45B74875">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（1</w:t>
      </w:r>
      <w:r>
        <w:rPr>
          <w:rFonts w:hint="eastAsia" w:ascii="宋体" w:hAnsi="宋体"/>
          <w:color w:val="auto"/>
          <w:sz w:val="24"/>
          <w:szCs w:val="24"/>
          <w:highlight w:val="none"/>
        </w:rPr>
        <w:t>）承包人不得以任何理由向发包人及其工作人员行贿或馈赠礼金、有价</w:t>
      </w:r>
      <w:r>
        <w:rPr>
          <w:rFonts w:hint="eastAsia" w:ascii="宋体" w:hAnsi="宋体"/>
          <w:color w:val="auto"/>
          <w:spacing w:val="-1"/>
          <w:sz w:val="24"/>
          <w:szCs w:val="24"/>
          <w:highlight w:val="none"/>
        </w:rPr>
        <w:t>证券、贵重礼品。</w:t>
      </w:r>
    </w:p>
    <w:p w14:paraId="2A9BC2E1">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（2</w:t>
      </w:r>
      <w:r>
        <w:rPr>
          <w:rFonts w:hint="eastAsia" w:ascii="宋体" w:hAnsi="宋体"/>
          <w:color w:val="auto"/>
          <w:sz w:val="24"/>
          <w:szCs w:val="24"/>
          <w:highlight w:val="none"/>
        </w:rPr>
        <w:t>）承包人不得以任何名义为发包人及其工作人员报销应由发包人单位或</w:t>
      </w:r>
      <w:r>
        <w:rPr>
          <w:rFonts w:hint="eastAsia" w:ascii="宋体" w:hAnsi="宋体"/>
          <w:color w:val="auto"/>
          <w:spacing w:val="-1"/>
          <w:sz w:val="24"/>
          <w:szCs w:val="24"/>
          <w:highlight w:val="none"/>
        </w:rPr>
        <w:t>个人支付的任何费用。</w:t>
      </w:r>
    </w:p>
    <w:p w14:paraId="2F7015C7">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（3</w:t>
      </w:r>
      <w:r>
        <w:rPr>
          <w:rFonts w:hint="eastAsia" w:ascii="宋体" w:hAnsi="宋体"/>
          <w:color w:val="auto"/>
          <w:sz w:val="24"/>
          <w:szCs w:val="24"/>
          <w:highlight w:val="none"/>
        </w:rPr>
        <w:t>）承包人不得以任何理由安排发包人工作人员参加超标准宴请及娱乐活</w:t>
      </w:r>
      <w:r>
        <w:rPr>
          <w:rFonts w:hint="eastAsia" w:ascii="宋体" w:hAnsi="宋体"/>
          <w:color w:val="auto"/>
          <w:spacing w:val="-1"/>
          <w:sz w:val="24"/>
          <w:szCs w:val="24"/>
          <w:highlight w:val="none"/>
        </w:rPr>
        <w:t>动。</w:t>
      </w:r>
    </w:p>
    <w:p w14:paraId="439A94CD">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（4</w:t>
      </w:r>
      <w:r>
        <w:rPr>
          <w:rFonts w:hint="eastAsia" w:ascii="宋体" w:hAnsi="宋体"/>
          <w:color w:val="auto"/>
          <w:sz w:val="24"/>
          <w:szCs w:val="24"/>
          <w:highlight w:val="none"/>
        </w:rPr>
        <w:t>）承包人不得为发包人单位和个人购置或提供通讯工具、交通工具和高</w:t>
      </w:r>
      <w:r>
        <w:rPr>
          <w:rFonts w:hint="eastAsia" w:ascii="宋体" w:hAnsi="宋体"/>
          <w:color w:val="auto"/>
          <w:spacing w:val="-1"/>
          <w:sz w:val="24"/>
          <w:szCs w:val="24"/>
          <w:highlight w:val="none"/>
        </w:rPr>
        <w:t>档办公用品等。</w:t>
      </w:r>
    </w:p>
    <w:p w14:paraId="45DAE61D">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4．违约责任</w:t>
      </w:r>
    </w:p>
    <w:p w14:paraId="0C9CEA71">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（1</w:t>
      </w:r>
      <w:r>
        <w:rPr>
          <w:rFonts w:hint="eastAsia" w:ascii="宋体" w:hAnsi="宋体"/>
          <w:color w:val="auto"/>
          <w:spacing w:val="-2"/>
          <w:sz w:val="24"/>
          <w:szCs w:val="24"/>
          <w:highlight w:val="none"/>
        </w:rPr>
        <w:t>）发包人及其工作人员违反本合同第</w:t>
      </w:r>
      <w:r>
        <w:rPr>
          <w:rFonts w:hint="eastAsia" w:ascii="宋体" w:hAnsi="宋体"/>
          <w:color w:val="auto"/>
          <w:spacing w:val="-1"/>
          <w:sz w:val="24"/>
          <w:szCs w:val="24"/>
          <w:highlight w:val="none"/>
        </w:rPr>
        <w:t>1、2</w:t>
      </w:r>
      <w:r>
        <w:rPr>
          <w:rFonts w:hint="eastAsia" w:ascii="宋体" w:hAnsi="宋体"/>
          <w:color w:val="auto"/>
          <w:spacing w:val="-4"/>
          <w:sz w:val="24"/>
          <w:szCs w:val="24"/>
          <w:highlight w:val="none"/>
        </w:rPr>
        <w:t>条，按管理权限，依据有关规</w:t>
      </w:r>
      <w:r>
        <w:rPr>
          <w:rFonts w:hint="eastAsia" w:ascii="宋体" w:hAnsi="宋体"/>
          <w:color w:val="auto"/>
          <w:spacing w:val="-3"/>
          <w:sz w:val="24"/>
          <w:szCs w:val="24"/>
          <w:highlight w:val="none"/>
        </w:rPr>
        <w:t>定给予党纪、政纪或组织处理；涉嫌犯罪的，移交司法机关追究刑事责任；给承</w:t>
      </w:r>
      <w:r>
        <w:rPr>
          <w:rFonts w:hint="eastAsia" w:ascii="宋体" w:hAnsi="宋体"/>
          <w:color w:val="auto"/>
          <w:spacing w:val="-1"/>
          <w:sz w:val="24"/>
          <w:szCs w:val="24"/>
          <w:highlight w:val="none"/>
        </w:rPr>
        <w:t>包人单位造成经济损失的，应予以赔偿。</w:t>
      </w:r>
    </w:p>
    <w:p w14:paraId="1446D545">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（2</w:t>
      </w:r>
      <w:r>
        <w:rPr>
          <w:rFonts w:hint="eastAsia" w:ascii="宋体" w:hAnsi="宋体"/>
          <w:color w:val="auto"/>
          <w:spacing w:val="-2"/>
          <w:sz w:val="24"/>
          <w:szCs w:val="24"/>
          <w:highlight w:val="none"/>
        </w:rPr>
        <w:t>）承包人及其工作人员违反本合同第</w:t>
      </w:r>
      <w:r>
        <w:rPr>
          <w:rFonts w:hint="eastAsia" w:ascii="宋体" w:hAnsi="宋体"/>
          <w:color w:val="auto"/>
          <w:spacing w:val="-1"/>
          <w:sz w:val="24"/>
          <w:szCs w:val="24"/>
          <w:highlight w:val="none"/>
        </w:rPr>
        <w:t>1、3</w:t>
      </w:r>
      <w:r>
        <w:rPr>
          <w:rFonts w:hint="eastAsia" w:ascii="宋体" w:hAnsi="宋体"/>
          <w:color w:val="auto"/>
          <w:spacing w:val="-4"/>
          <w:sz w:val="24"/>
          <w:szCs w:val="24"/>
          <w:highlight w:val="none"/>
        </w:rPr>
        <w:t>条，按管理权限，依据有关规</w:t>
      </w:r>
      <w:r>
        <w:rPr>
          <w:rFonts w:hint="eastAsia" w:ascii="宋体" w:hAnsi="宋体"/>
          <w:color w:val="auto"/>
          <w:spacing w:val="-3"/>
          <w:sz w:val="24"/>
          <w:szCs w:val="24"/>
          <w:highlight w:val="none"/>
        </w:rPr>
        <w:t>定给予党纪、政纪或组织处理；给发包人单位造成经济损失的，应予以赔偿；情节严重的，发包人建议交通主管部门给予承包人一至三年内不得进入其主管的公</w:t>
      </w:r>
      <w:r>
        <w:rPr>
          <w:rFonts w:hint="eastAsia" w:ascii="宋体" w:hAnsi="宋体"/>
          <w:color w:val="auto"/>
          <w:spacing w:val="-1"/>
          <w:sz w:val="24"/>
          <w:szCs w:val="24"/>
          <w:highlight w:val="none"/>
        </w:rPr>
        <w:t>路建设市场的处罚。</w:t>
      </w:r>
    </w:p>
    <w:p w14:paraId="49A5E363">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5.</w:t>
      </w:r>
      <w:r>
        <w:rPr>
          <w:rFonts w:hint="eastAsia" w:ascii="宋体" w:hAnsi="宋体"/>
          <w:color w:val="auto"/>
          <w:sz w:val="24"/>
          <w:szCs w:val="24"/>
          <w:highlight w:val="none"/>
        </w:rPr>
        <w:t>双方约定：本合同由双方或双方上级单位的纪检监察部门负责监督执行。</w:t>
      </w:r>
    </w:p>
    <w:p w14:paraId="7C653CBF">
      <w:pPr>
        <w:spacing w:line="520" w:lineRule="exact"/>
        <w:ind w:firstLine="480" w:firstLineChars="200"/>
        <w:rPr>
          <w:rFonts w:ascii="宋体" w:hAnsi="宋体"/>
          <w:color w:val="auto"/>
          <w:highlight w:val="none"/>
        </w:rPr>
      </w:pPr>
      <w:r>
        <w:rPr>
          <w:rFonts w:hint="eastAsia" w:ascii="宋体" w:hAnsi="宋体"/>
          <w:color w:val="auto"/>
          <w:sz w:val="24"/>
          <w:szCs w:val="24"/>
          <w:highlight w:val="none"/>
        </w:rPr>
        <w:t>由发包人或发包人上级单位的纪检监察部门约请承包人或承包人上级单位纪检</w:t>
      </w:r>
      <w:r>
        <w:rPr>
          <w:rFonts w:hint="eastAsia" w:ascii="宋体" w:hAnsi="宋体"/>
          <w:color w:val="auto"/>
          <w:spacing w:val="-1"/>
          <w:sz w:val="24"/>
          <w:szCs w:val="24"/>
          <w:highlight w:val="none"/>
        </w:rPr>
        <w:t>监察部门对本合同执行情况进行检查，提出在本合同规定范围内的裁定意见。</w:t>
      </w:r>
    </w:p>
    <w:p w14:paraId="01BD2A17">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6.</w:t>
      </w:r>
      <w:r>
        <w:rPr>
          <w:rFonts w:hint="eastAsia" w:ascii="宋体" w:hAnsi="宋体"/>
          <w:color w:val="auto"/>
          <w:sz w:val="24"/>
          <w:szCs w:val="24"/>
          <w:highlight w:val="none"/>
        </w:rPr>
        <w:t>本合同有效期为发包人和承包人签署之日起至该工程项目竣工验收后止。</w:t>
      </w:r>
    </w:p>
    <w:p w14:paraId="6E4D8997">
      <w:pPr>
        <w:spacing w:line="520" w:lineRule="exact"/>
        <w:ind w:firstLine="476" w:firstLineChars="200"/>
        <w:rPr>
          <w:rFonts w:ascii="宋体" w:hAnsi="宋体"/>
          <w:color w:val="auto"/>
          <w:highlight w:val="none"/>
        </w:rPr>
      </w:pPr>
      <w:bookmarkStart w:id="320" w:name="100"/>
      <w:bookmarkEnd w:id="320"/>
      <w:r>
        <w:rPr>
          <w:rFonts w:hint="eastAsia" w:ascii="宋体" w:hAnsi="宋体"/>
          <w:color w:val="auto"/>
          <w:spacing w:val="-1"/>
          <w:sz w:val="24"/>
          <w:szCs w:val="24"/>
          <w:highlight w:val="none"/>
        </w:rPr>
        <w:t>7</w:t>
      </w:r>
      <w:r>
        <w:rPr>
          <w:rFonts w:hint="eastAsia" w:ascii="宋体" w:hAnsi="宋体"/>
          <w:color w:val="auto"/>
          <w:spacing w:val="-4"/>
          <w:sz w:val="24"/>
          <w:szCs w:val="24"/>
          <w:highlight w:val="none"/>
        </w:rPr>
        <w:t>．本合同作为</w:t>
      </w:r>
      <w:r>
        <w:rPr>
          <w:rFonts w:hint="eastAsia" w:ascii="宋体" w:hAnsi="宋体"/>
          <w:color w:val="auto"/>
          <w:spacing w:val="8"/>
          <w:highlight w:val="none"/>
          <w:u w:val="single"/>
        </w:rPr>
        <w:tab/>
      </w:r>
      <w:r>
        <w:rPr>
          <w:rFonts w:hint="eastAsia" w:ascii="宋体" w:hAnsi="宋体"/>
          <w:color w:val="auto"/>
          <w:spacing w:val="-1"/>
          <w:sz w:val="24"/>
          <w:szCs w:val="24"/>
          <w:highlight w:val="none"/>
          <w:u w:val="single"/>
        </w:rPr>
        <w:t>（项目名称）</w:t>
      </w:r>
      <w:r>
        <w:rPr>
          <w:rFonts w:hint="eastAsia" w:ascii="宋体" w:hAnsi="宋体"/>
          <w:color w:val="auto"/>
          <w:spacing w:val="2"/>
          <w:highlight w:val="none"/>
          <w:u w:val="single"/>
        </w:rPr>
        <w:tab/>
      </w:r>
      <w:r>
        <w:rPr>
          <w:rFonts w:hint="eastAsia" w:ascii="宋体" w:hAnsi="宋体"/>
          <w:color w:val="auto"/>
          <w:spacing w:val="-2"/>
          <w:sz w:val="24"/>
          <w:szCs w:val="24"/>
          <w:highlight w:val="none"/>
        </w:rPr>
        <w:t>标段施工合同的附件，与工程施工合同</w:t>
      </w:r>
      <w:r>
        <w:rPr>
          <w:rFonts w:hint="eastAsia" w:ascii="宋体" w:hAnsi="宋体"/>
          <w:color w:val="auto"/>
          <w:sz w:val="24"/>
          <w:szCs w:val="24"/>
          <w:highlight w:val="none"/>
        </w:rPr>
        <w:t>具有同等的法律效力，经合同双方签署后立即生效。</w:t>
      </w:r>
    </w:p>
    <w:p w14:paraId="4AB6642E">
      <w:pPr>
        <w:spacing w:line="520" w:lineRule="exact"/>
        <w:ind w:firstLine="476" w:firstLineChars="200"/>
        <w:rPr>
          <w:rFonts w:ascii="宋体" w:hAnsi="宋体"/>
          <w:color w:val="auto"/>
          <w:highlight w:val="none"/>
        </w:rPr>
      </w:pPr>
      <w:r>
        <w:rPr>
          <w:rFonts w:hint="eastAsia" w:ascii="宋体" w:hAnsi="宋体"/>
          <w:color w:val="auto"/>
          <w:spacing w:val="-1"/>
          <w:sz w:val="24"/>
          <w:szCs w:val="24"/>
          <w:highlight w:val="none"/>
        </w:rPr>
        <w:t>8</w:t>
      </w:r>
      <w:r>
        <w:rPr>
          <w:rFonts w:hint="eastAsia" w:ascii="宋体" w:hAnsi="宋体"/>
          <w:color w:val="auto"/>
          <w:sz w:val="24"/>
          <w:szCs w:val="24"/>
          <w:highlight w:val="none"/>
        </w:rPr>
        <w:t>．本合同一式四份，由发包人和承包人各执—份，送交发包人和承包人的</w:t>
      </w:r>
      <w:r>
        <w:rPr>
          <w:rFonts w:hint="eastAsia" w:ascii="宋体" w:hAnsi="宋体"/>
          <w:color w:val="auto"/>
          <w:spacing w:val="-1"/>
          <w:sz w:val="24"/>
          <w:szCs w:val="24"/>
          <w:highlight w:val="none"/>
        </w:rPr>
        <w:t>监督单位各一份</w:t>
      </w:r>
      <w:r>
        <w:rPr>
          <w:rFonts w:hint="eastAsia" w:ascii="宋体" w:hAnsi="宋体"/>
          <w:color w:val="auto"/>
          <w:highlight w:val="none"/>
        </w:rPr>
        <w:t>。</w:t>
      </w:r>
    </w:p>
    <w:p w14:paraId="13409469">
      <w:pPr>
        <w:spacing w:line="520" w:lineRule="exact"/>
        <w:ind w:left="62"/>
        <w:rPr>
          <w:rFonts w:ascii="宋体" w:hAnsi="宋体"/>
          <w:color w:val="auto"/>
          <w:highlight w:val="none"/>
        </w:rPr>
      </w:pPr>
      <w:r>
        <w:rPr>
          <w:rFonts w:hint="eastAsia" w:ascii="宋体" w:hAnsi="宋体"/>
          <w:color w:val="auto"/>
          <w:spacing w:val="-1"/>
          <w:sz w:val="24"/>
          <w:szCs w:val="24"/>
          <w:highlight w:val="none"/>
        </w:rPr>
        <w:t>发包人：</w:t>
      </w:r>
      <w:r>
        <w:rPr>
          <w:rFonts w:hint="eastAsia" w:ascii="宋体" w:hAnsi="宋体"/>
          <w:color w:val="auto"/>
          <w:highlight w:val="none"/>
          <w:u w:val="single"/>
        </w:rPr>
        <w:tab/>
      </w:r>
      <w:r>
        <w:rPr>
          <w:rFonts w:hint="eastAsia" w:ascii="宋体" w:hAnsi="宋体"/>
          <w:color w:val="auto"/>
          <w:spacing w:val="-1"/>
          <w:sz w:val="24"/>
          <w:szCs w:val="24"/>
          <w:highlight w:val="none"/>
        </w:rPr>
        <w:t>（盖单位章）承包人：（盖单位章）</w:t>
      </w:r>
    </w:p>
    <w:p w14:paraId="5C3C9E5A">
      <w:pPr>
        <w:spacing w:line="520" w:lineRule="exact"/>
        <w:ind w:left="62"/>
        <w:rPr>
          <w:rFonts w:ascii="宋体" w:hAnsi="宋体"/>
          <w:color w:val="auto"/>
          <w:highlight w:val="none"/>
        </w:rPr>
      </w:pPr>
    </w:p>
    <w:p w14:paraId="63377D82">
      <w:pPr>
        <w:spacing w:line="520" w:lineRule="exact"/>
        <w:ind w:left="62"/>
        <w:rPr>
          <w:rFonts w:ascii="宋体" w:hAnsi="宋体"/>
          <w:color w:val="auto"/>
          <w:highlight w:val="none"/>
        </w:rPr>
      </w:pPr>
      <w:r>
        <w:rPr>
          <w:rFonts w:hint="eastAsia" w:ascii="宋体" w:hAnsi="宋体"/>
          <w:color w:val="auto"/>
          <w:spacing w:val="-1"/>
          <w:sz w:val="24"/>
          <w:szCs w:val="24"/>
          <w:highlight w:val="none"/>
        </w:rPr>
        <w:t>法定代表人或其委托代理人：（签字）</w:t>
      </w:r>
      <w:r>
        <w:rPr>
          <w:rFonts w:hint="eastAsia" w:ascii="宋体" w:hAnsi="宋体"/>
          <w:color w:val="auto"/>
          <w:sz w:val="24"/>
          <w:szCs w:val="24"/>
          <w:highlight w:val="none"/>
        </w:rPr>
        <w:t>法定代表人或其委托代理人：</w:t>
      </w:r>
      <w:r>
        <w:rPr>
          <w:rFonts w:hint="eastAsia" w:ascii="宋体" w:hAnsi="宋体"/>
          <w:color w:val="auto"/>
          <w:spacing w:val="-1"/>
          <w:sz w:val="24"/>
          <w:szCs w:val="24"/>
          <w:highlight w:val="none"/>
        </w:rPr>
        <w:t>（签字）</w:t>
      </w:r>
    </w:p>
    <w:p w14:paraId="5F5EEBE3">
      <w:pPr>
        <w:spacing w:line="520" w:lineRule="exact"/>
        <w:ind w:left="62"/>
        <w:rPr>
          <w:rFonts w:ascii="宋体" w:hAnsi="宋体"/>
          <w:color w:val="auto"/>
          <w:spacing w:val="-1"/>
          <w:sz w:val="24"/>
          <w:szCs w:val="24"/>
          <w:highlight w:val="none"/>
        </w:rPr>
      </w:pPr>
    </w:p>
    <w:p w14:paraId="2E4C8C34">
      <w:pPr>
        <w:spacing w:line="520" w:lineRule="exact"/>
        <w:ind w:firstLine="2142" w:firstLineChars="900"/>
        <w:rPr>
          <w:rFonts w:ascii="宋体" w:hAnsi="宋体"/>
          <w:color w:val="auto"/>
          <w:szCs w:val="21"/>
          <w:highlight w:val="none"/>
        </w:rPr>
      </w:pPr>
      <w:r>
        <w:rPr>
          <w:rFonts w:hint="eastAsia" w:ascii="宋体" w:hAnsi="宋体"/>
          <w:color w:val="auto"/>
          <w:spacing w:val="-1"/>
          <w:sz w:val="24"/>
          <w:szCs w:val="24"/>
          <w:highlight w:val="none"/>
        </w:rPr>
        <w:t>年月日年月日</w:t>
      </w:r>
    </w:p>
    <w:p w14:paraId="3775EAFC">
      <w:pPr>
        <w:spacing w:line="520" w:lineRule="exact"/>
        <w:ind w:left="62"/>
        <w:rPr>
          <w:rFonts w:ascii="宋体" w:hAnsi="宋体"/>
          <w:color w:val="auto"/>
          <w:highlight w:val="none"/>
        </w:rPr>
      </w:pPr>
    </w:p>
    <w:p w14:paraId="79688E78">
      <w:pPr>
        <w:spacing w:line="520" w:lineRule="exact"/>
        <w:ind w:left="62"/>
        <w:rPr>
          <w:rFonts w:ascii="宋体" w:hAnsi="宋体"/>
          <w:color w:val="auto"/>
          <w:highlight w:val="none"/>
        </w:rPr>
      </w:pPr>
      <w:r>
        <w:rPr>
          <w:rFonts w:hint="eastAsia" w:ascii="宋体" w:hAnsi="宋体"/>
          <w:color w:val="auto"/>
          <w:spacing w:val="-2"/>
          <w:sz w:val="24"/>
          <w:szCs w:val="24"/>
          <w:highlight w:val="none"/>
        </w:rPr>
        <w:t>发包人监督单位：</w:t>
      </w:r>
      <w:r>
        <w:rPr>
          <w:rFonts w:hint="eastAsia" w:ascii="宋体" w:hAnsi="宋体"/>
          <w:color w:val="auto"/>
          <w:spacing w:val="-2"/>
          <w:sz w:val="24"/>
          <w:szCs w:val="24"/>
          <w:highlight w:val="none"/>
          <w:u w:val="single"/>
        </w:rPr>
        <w:t>（全称）</w:t>
      </w:r>
      <w:r>
        <w:rPr>
          <w:rFonts w:hint="eastAsia" w:ascii="宋体" w:hAnsi="宋体"/>
          <w:color w:val="auto"/>
          <w:spacing w:val="-1"/>
          <w:sz w:val="24"/>
          <w:szCs w:val="24"/>
          <w:highlight w:val="none"/>
        </w:rPr>
        <w:t>（盖单位章）</w:t>
      </w:r>
      <w:r>
        <w:rPr>
          <w:rFonts w:hint="eastAsia" w:ascii="宋体" w:hAnsi="宋体"/>
          <w:color w:val="auto"/>
          <w:spacing w:val="-1"/>
          <w:highlight w:val="none"/>
        </w:rPr>
        <w:tab/>
      </w:r>
      <w:r>
        <w:rPr>
          <w:rFonts w:hint="eastAsia" w:ascii="宋体" w:hAnsi="宋体"/>
          <w:color w:val="auto"/>
          <w:spacing w:val="-2"/>
          <w:sz w:val="24"/>
          <w:szCs w:val="24"/>
          <w:highlight w:val="none"/>
        </w:rPr>
        <w:t>承包人监督单位：</w:t>
      </w:r>
      <w:r>
        <w:rPr>
          <w:rFonts w:hint="eastAsia" w:ascii="宋体" w:hAnsi="宋体"/>
          <w:color w:val="auto"/>
          <w:spacing w:val="-2"/>
          <w:sz w:val="24"/>
          <w:szCs w:val="24"/>
          <w:highlight w:val="none"/>
          <w:u w:val="single"/>
        </w:rPr>
        <w:t>（全称）</w:t>
      </w:r>
      <w:r>
        <w:rPr>
          <w:rFonts w:hint="eastAsia" w:ascii="宋体" w:hAnsi="宋体"/>
          <w:color w:val="auto"/>
          <w:spacing w:val="-1"/>
          <w:sz w:val="24"/>
          <w:szCs w:val="24"/>
          <w:highlight w:val="none"/>
        </w:rPr>
        <w:t>（盖单位章）</w:t>
      </w:r>
    </w:p>
    <w:p w14:paraId="2EEDE8B5">
      <w:pPr>
        <w:spacing w:line="520" w:lineRule="exact"/>
        <w:ind w:firstLine="480" w:firstLineChars="200"/>
        <w:rPr>
          <w:rFonts w:ascii="宋体" w:hAnsi="宋体"/>
          <w:color w:val="auto"/>
          <w:sz w:val="24"/>
          <w:szCs w:val="24"/>
          <w:highlight w:val="none"/>
        </w:rPr>
      </w:pPr>
    </w:p>
    <w:p w14:paraId="750C485D">
      <w:pPr>
        <w:spacing w:line="520" w:lineRule="exact"/>
        <w:ind w:firstLine="482" w:firstLineChars="200"/>
        <w:rPr>
          <w:rFonts w:ascii="宋体" w:hAnsi="宋体"/>
          <w:b/>
          <w:bCs/>
          <w:color w:val="auto"/>
          <w:sz w:val="24"/>
          <w:szCs w:val="24"/>
          <w:highlight w:val="none"/>
        </w:rPr>
      </w:pPr>
    </w:p>
    <w:p w14:paraId="76CC54D2">
      <w:pPr>
        <w:spacing w:line="520" w:lineRule="exact"/>
        <w:ind w:left="181"/>
        <w:rPr>
          <w:rFonts w:ascii="宋体" w:hAnsi="宋体"/>
          <w:b/>
          <w:bCs/>
          <w:color w:val="auto"/>
          <w:sz w:val="24"/>
          <w:szCs w:val="24"/>
          <w:highlight w:val="none"/>
        </w:rPr>
      </w:pPr>
    </w:p>
    <w:p w14:paraId="4088F083">
      <w:pPr>
        <w:spacing w:line="520" w:lineRule="exact"/>
        <w:ind w:left="181"/>
        <w:rPr>
          <w:rFonts w:ascii="宋体" w:hAnsi="宋体"/>
          <w:b/>
          <w:bCs/>
          <w:color w:val="auto"/>
          <w:sz w:val="24"/>
          <w:szCs w:val="24"/>
          <w:highlight w:val="none"/>
        </w:rPr>
      </w:pPr>
    </w:p>
    <w:p w14:paraId="38B50399">
      <w:pPr>
        <w:spacing w:line="520" w:lineRule="exact"/>
        <w:ind w:left="181"/>
        <w:rPr>
          <w:rFonts w:ascii="宋体" w:hAnsi="宋体"/>
          <w:b/>
          <w:bCs/>
          <w:color w:val="auto"/>
          <w:sz w:val="24"/>
          <w:szCs w:val="24"/>
          <w:highlight w:val="none"/>
        </w:rPr>
      </w:pPr>
    </w:p>
    <w:p w14:paraId="73BF75AE">
      <w:pPr>
        <w:spacing w:line="520" w:lineRule="exact"/>
        <w:ind w:left="181"/>
        <w:rPr>
          <w:rFonts w:ascii="宋体" w:hAnsi="宋体"/>
          <w:b/>
          <w:bCs/>
          <w:color w:val="auto"/>
          <w:sz w:val="24"/>
          <w:szCs w:val="24"/>
          <w:highlight w:val="none"/>
        </w:rPr>
      </w:pPr>
    </w:p>
    <w:p w14:paraId="77EB2A48">
      <w:pPr>
        <w:spacing w:line="520" w:lineRule="exact"/>
        <w:ind w:left="181"/>
        <w:rPr>
          <w:rFonts w:ascii="宋体" w:hAnsi="宋体"/>
          <w:b/>
          <w:bCs/>
          <w:color w:val="auto"/>
          <w:sz w:val="24"/>
          <w:szCs w:val="24"/>
          <w:highlight w:val="none"/>
        </w:rPr>
      </w:pPr>
    </w:p>
    <w:p w14:paraId="79ABE021">
      <w:pPr>
        <w:spacing w:line="520" w:lineRule="exact"/>
        <w:ind w:left="181"/>
        <w:rPr>
          <w:rFonts w:ascii="宋体" w:hAnsi="宋体"/>
          <w:b/>
          <w:bCs/>
          <w:color w:val="auto"/>
          <w:sz w:val="24"/>
          <w:szCs w:val="24"/>
          <w:highlight w:val="none"/>
        </w:rPr>
      </w:pPr>
    </w:p>
    <w:p w14:paraId="3B2C3418">
      <w:pPr>
        <w:spacing w:line="520" w:lineRule="exact"/>
        <w:ind w:left="181"/>
        <w:rPr>
          <w:rFonts w:ascii="宋体" w:hAnsi="宋体"/>
          <w:b/>
          <w:bCs/>
          <w:color w:val="auto"/>
          <w:sz w:val="24"/>
          <w:szCs w:val="24"/>
          <w:highlight w:val="none"/>
        </w:rPr>
      </w:pPr>
    </w:p>
    <w:p w14:paraId="6B3EE0FD">
      <w:pPr>
        <w:spacing w:line="520" w:lineRule="exact"/>
        <w:ind w:left="181"/>
        <w:rPr>
          <w:rFonts w:ascii="宋体" w:hAnsi="宋体"/>
          <w:b/>
          <w:bCs/>
          <w:color w:val="auto"/>
          <w:sz w:val="24"/>
          <w:szCs w:val="24"/>
          <w:highlight w:val="none"/>
        </w:rPr>
      </w:pPr>
    </w:p>
    <w:p w14:paraId="4DAA5A88">
      <w:pPr>
        <w:spacing w:line="520" w:lineRule="exact"/>
        <w:ind w:left="181"/>
        <w:rPr>
          <w:rFonts w:ascii="宋体" w:hAnsi="宋体"/>
          <w:b/>
          <w:bCs/>
          <w:color w:val="auto"/>
          <w:sz w:val="24"/>
          <w:szCs w:val="24"/>
          <w:highlight w:val="none"/>
        </w:rPr>
      </w:pPr>
    </w:p>
    <w:p w14:paraId="2ADA82AF">
      <w:pPr>
        <w:spacing w:line="520" w:lineRule="exact"/>
        <w:ind w:left="181"/>
        <w:rPr>
          <w:rFonts w:ascii="宋体" w:hAnsi="宋体"/>
          <w:b/>
          <w:bCs/>
          <w:color w:val="auto"/>
          <w:sz w:val="24"/>
          <w:szCs w:val="24"/>
          <w:highlight w:val="none"/>
        </w:rPr>
      </w:pPr>
    </w:p>
    <w:p w14:paraId="2EC80A29">
      <w:pPr>
        <w:spacing w:line="520" w:lineRule="exact"/>
        <w:ind w:left="181"/>
        <w:rPr>
          <w:rFonts w:ascii="宋体" w:hAnsi="宋体"/>
          <w:b/>
          <w:bCs/>
          <w:color w:val="auto"/>
          <w:sz w:val="24"/>
          <w:szCs w:val="24"/>
          <w:highlight w:val="none"/>
        </w:rPr>
      </w:pPr>
    </w:p>
    <w:p w14:paraId="75D08F95">
      <w:pPr>
        <w:spacing w:line="520" w:lineRule="exact"/>
        <w:ind w:left="181"/>
        <w:rPr>
          <w:rFonts w:ascii="宋体" w:hAnsi="宋体"/>
          <w:b/>
          <w:bCs/>
          <w:color w:val="auto"/>
          <w:sz w:val="24"/>
          <w:szCs w:val="24"/>
          <w:highlight w:val="none"/>
        </w:rPr>
      </w:pPr>
    </w:p>
    <w:p w14:paraId="5EF4F852">
      <w:pPr>
        <w:spacing w:line="520" w:lineRule="exact"/>
        <w:ind w:left="181"/>
        <w:rPr>
          <w:rFonts w:ascii="宋体" w:hAnsi="宋体"/>
          <w:b/>
          <w:bCs/>
          <w:color w:val="auto"/>
          <w:sz w:val="24"/>
          <w:szCs w:val="24"/>
          <w:highlight w:val="none"/>
        </w:rPr>
      </w:pPr>
    </w:p>
    <w:p w14:paraId="5A7E3A4B">
      <w:pPr>
        <w:spacing w:line="520" w:lineRule="exact"/>
        <w:ind w:left="181"/>
        <w:rPr>
          <w:rFonts w:ascii="宋体" w:hAnsi="宋体"/>
          <w:b/>
          <w:bCs/>
          <w:color w:val="auto"/>
          <w:sz w:val="24"/>
          <w:szCs w:val="24"/>
          <w:highlight w:val="none"/>
        </w:rPr>
      </w:pPr>
    </w:p>
    <w:p w14:paraId="7792E457">
      <w:pPr>
        <w:spacing w:line="520" w:lineRule="exact"/>
        <w:ind w:left="181"/>
        <w:rPr>
          <w:rFonts w:ascii="宋体" w:hAnsi="宋体"/>
          <w:b/>
          <w:bCs/>
          <w:color w:val="auto"/>
          <w:sz w:val="24"/>
          <w:szCs w:val="24"/>
          <w:highlight w:val="none"/>
        </w:rPr>
      </w:pPr>
    </w:p>
    <w:p w14:paraId="3E61124A">
      <w:pPr>
        <w:spacing w:line="520" w:lineRule="exact"/>
        <w:ind w:left="181"/>
        <w:rPr>
          <w:rFonts w:ascii="宋体" w:hAnsi="宋体"/>
          <w:b/>
          <w:bCs/>
          <w:color w:val="auto"/>
          <w:sz w:val="24"/>
          <w:szCs w:val="24"/>
          <w:highlight w:val="none"/>
        </w:rPr>
      </w:pPr>
    </w:p>
    <w:p w14:paraId="2C22B460">
      <w:pPr>
        <w:spacing w:line="520" w:lineRule="exact"/>
        <w:ind w:left="181"/>
        <w:rPr>
          <w:rFonts w:ascii="宋体" w:hAnsi="宋体"/>
          <w:b/>
          <w:bCs/>
          <w:color w:val="auto"/>
          <w:sz w:val="24"/>
          <w:szCs w:val="24"/>
          <w:highlight w:val="none"/>
        </w:rPr>
      </w:pPr>
    </w:p>
    <w:p w14:paraId="19D603C5">
      <w:pPr>
        <w:spacing w:line="520" w:lineRule="exact"/>
        <w:ind w:left="181"/>
        <w:rPr>
          <w:rFonts w:ascii="宋体" w:hAnsi="宋体"/>
          <w:b/>
          <w:bCs/>
          <w:color w:val="auto"/>
          <w:sz w:val="24"/>
          <w:szCs w:val="24"/>
          <w:highlight w:val="none"/>
        </w:rPr>
      </w:pPr>
      <w:r>
        <w:rPr>
          <w:rFonts w:hint="eastAsia" w:ascii="宋体" w:hAnsi="宋体"/>
          <w:b/>
          <w:bCs/>
          <w:color w:val="auto"/>
          <w:sz w:val="24"/>
          <w:szCs w:val="24"/>
          <w:highlight w:val="none"/>
        </w:rPr>
        <w:t>附件三安全生产合同</w:t>
      </w:r>
    </w:p>
    <w:p w14:paraId="5E5A4D80">
      <w:pPr>
        <w:spacing w:line="520" w:lineRule="exact"/>
        <w:ind w:left="181"/>
        <w:jc w:val="center"/>
        <w:rPr>
          <w:rFonts w:ascii="宋体" w:hAnsi="宋体"/>
          <w:b/>
          <w:bCs/>
          <w:color w:val="auto"/>
          <w:sz w:val="24"/>
          <w:szCs w:val="24"/>
          <w:highlight w:val="none"/>
        </w:rPr>
      </w:pPr>
      <w:r>
        <w:rPr>
          <w:rFonts w:hint="eastAsia" w:ascii="宋体" w:hAnsi="宋体"/>
          <w:b/>
          <w:bCs/>
          <w:color w:val="auto"/>
          <w:sz w:val="24"/>
          <w:szCs w:val="24"/>
          <w:highlight w:val="none"/>
        </w:rPr>
        <w:t>安全生产合同</w:t>
      </w:r>
    </w:p>
    <w:p w14:paraId="1D830A20">
      <w:pPr>
        <w:spacing w:line="520" w:lineRule="exact"/>
        <w:rPr>
          <w:rFonts w:ascii="宋体" w:hAnsi="宋体"/>
          <w:color w:val="auto"/>
          <w:sz w:val="24"/>
          <w:szCs w:val="24"/>
          <w:highlight w:val="none"/>
        </w:rPr>
      </w:pPr>
      <w:r>
        <w:rPr>
          <w:rFonts w:hint="eastAsia" w:ascii="宋体" w:hAnsi="宋体"/>
          <w:color w:val="auto"/>
          <w:spacing w:val="-1"/>
          <w:sz w:val="24"/>
          <w:szCs w:val="24"/>
          <w:highlight w:val="none"/>
        </w:rPr>
        <w:t>为在</w:t>
      </w:r>
      <w:r>
        <w:rPr>
          <w:rFonts w:hint="eastAsia" w:ascii="宋体" w:hAnsi="宋体"/>
          <w:color w:val="auto"/>
          <w:sz w:val="24"/>
          <w:szCs w:val="24"/>
          <w:highlight w:val="none"/>
          <w:u w:val="single"/>
        </w:rPr>
        <w:tab/>
      </w:r>
      <w:r>
        <w:rPr>
          <w:rFonts w:hint="eastAsia" w:ascii="宋体" w:hAnsi="宋体"/>
          <w:color w:val="auto"/>
          <w:spacing w:val="-1"/>
          <w:sz w:val="24"/>
          <w:szCs w:val="24"/>
          <w:highlight w:val="none"/>
          <w:u w:val="single"/>
        </w:rPr>
        <w:t>（项目名称）</w:t>
      </w:r>
      <w:r>
        <w:rPr>
          <w:rFonts w:hint="eastAsia" w:ascii="宋体" w:hAnsi="宋体"/>
          <w:color w:val="auto"/>
          <w:spacing w:val="-1"/>
          <w:sz w:val="24"/>
          <w:szCs w:val="24"/>
          <w:highlight w:val="none"/>
          <w:u w:val="single"/>
        </w:rPr>
        <w:tab/>
      </w:r>
      <w:r>
        <w:rPr>
          <w:rFonts w:hint="eastAsia" w:ascii="宋体" w:hAnsi="宋体"/>
          <w:color w:val="auto"/>
          <w:spacing w:val="-2"/>
          <w:sz w:val="24"/>
          <w:szCs w:val="24"/>
          <w:highlight w:val="none"/>
        </w:rPr>
        <w:t>（标段）施工合同的实施过程中创造安全、高</w:t>
      </w:r>
      <w:r>
        <w:rPr>
          <w:rFonts w:hint="eastAsia" w:ascii="宋体" w:hAnsi="宋体"/>
          <w:color w:val="auto"/>
          <w:spacing w:val="-3"/>
          <w:sz w:val="24"/>
          <w:szCs w:val="24"/>
          <w:highlight w:val="none"/>
        </w:rPr>
        <w:t>效的施工环境，切实搞好本项目的安全管理工作，本项目发包人</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rPr>
        <w:t>（发包人名</w:t>
      </w:r>
      <w:r>
        <w:rPr>
          <w:rFonts w:hint="eastAsia" w:ascii="宋体" w:hAnsi="宋体"/>
          <w:color w:val="auto"/>
          <w:sz w:val="24"/>
          <w:szCs w:val="24"/>
          <w:highlight w:val="none"/>
        </w:rPr>
        <w:t>称，以下简称“发包人”）与承包人</w:t>
      </w:r>
      <w:r>
        <w:rPr>
          <w:rFonts w:hint="eastAsia" w:ascii="宋体" w:hAnsi="宋体"/>
          <w:color w:val="auto"/>
          <w:spacing w:val="-3"/>
          <w:sz w:val="24"/>
          <w:szCs w:val="24"/>
          <w:highlight w:val="none"/>
          <w:u w:val="single"/>
        </w:rPr>
        <w:tab/>
      </w:r>
      <w:r>
        <w:rPr>
          <w:rFonts w:hint="eastAsia" w:ascii="宋体" w:hAnsi="宋体"/>
          <w:color w:val="auto"/>
          <w:sz w:val="24"/>
          <w:szCs w:val="24"/>
          <w:highlight w:val="none"/>
        </w:rPr>
        <w:t>（承包人名称，以下简称“承包人”）</w:t>
      </w:r>
      <w:r>
        <w:rPr>
          <w:rFonts w:hint="eastAsia" w:ascii="宋体" w:hAnsi="宋体"/>
          <w:color w:val="auto"/>
          <w:spacing w:val="-1"/>
          <w:sz w:val="24"/>
          <w:szCs w:val="24"/>
          <w:highlight w:val="none"/>
        </w:rPr>
        <w:t>特此签订安全生产合同：</w:t>
      </w:r>
    </w:p>
    <w:p w14:paraId="4B5FE8B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1.发包人职责</w:t>
      </w:r>
    </w:p>
    <w:p w14:paraId="70591F7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（1）严格遵守国家有关安全生产的法律法规，认真执行工程承包合同中的有关安全要求。</w:t>
      </w:r>
    </w:p>
    <w:p w14:paraId="0CD4704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（2）按照“安全第一、预防为主”和坚持“管生产必须管安全”的原则进行安全生产管理，做到生产与安全工作同时计划、布置、检查、总结和评比。</w:t>
      </w:r>
    </w:p>
    <w:p w14:paraId="53770FE2">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（3）重要的安全设施必须坚持与主体工程“三同时”的原则，即：同时设计、审批，同时施工，同时验收，投入使用。</w:t>
      </w:r>
    </w:p>
    <w:p w14:paraId="5AD0629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7"/>
          <w:sz w:val="24"/>
          <w:szCs w:val="24"/>
          <w:highlight w:val="none"/>
        </w:rPr>
        <w:t>）定期召开安全生产调度会，及时传达中央及地方有关安全生产的精神。</w:t>
      </w:r>
    </w:p>
    <w:p w14:paraId="02F85EC1">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w:t>
      </w:r>
      <w:r>
        <w:rPr>
          <w:rFonts w:hint="eastAsia" w:ascii="宋体" w:hAnsi="宋体"/>
          <w:color w:val="auto"/>
          <w:sz w:val="24"/>
          <w:szCs w:val="24"/>
          <w:highlight w:val="none"/>
        </w:rPr>
        <w:t>）组织对承包人施工现场安全生产检查，监督承包人及时处理发现的各</w:t>
      </w:r>
      <w:r>
        <w:rPr>
          <w:rFonts w:hint="eastAsia" w:ascii="宋体" w:hAnsi="宋体"/>
          <w:color w:val="auto"/>
          <w:spacing w:val="-1"/>
          <w:sz w:val="24"/>
          <w:szCs w:val="24"/>
          <w:highlight w:val="none"/>
        </w:rPr>
        <w:t>种安全隐患。</w:t>
      </w:r>
    </w:p>
    <w:p w14:paraId="045FC790">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2.承包人职责</w:t>
      </w:r>
    </w:p>
    <w:p w14:paraId="100880B3">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（1）严格遵守《中华人民共和国安全生产法》、《建设工程安全生产管理</w:t>
      </w:r>
      <w:r>
        <w:rPr>
          <w:rFonts w:hint="eastAsia" w:ascii="宋体" w:hAnsi="宋体"/>
          <w:color w:val="auto"/>
          <w:spacing w:val="-7"/>
          <w:sz w:val="24"/>
          <w:szCs w:val="24"/>
          <w:highlight w:val="none"/>
        </w:rPr>
        <w:t>条例》等国家有关安全生产的法律法规、公路水运工程安全生产监督管理办法》、</w:t>
      </w:r>
      <w:r>
        <w:rPr>
          <w:rFonts w:hint="eastAsia" w:ascii="宋体" w:hAnsi="宋体"/>
          <w:color w:val="auto"/>
          <w:spacing w:val="-3"/>
          <w:sz w:val="24"/>
          <w:szCs w:val="24"/>
          <w:highlight w:val="none"/>
        </w:rPr>
        <w:t>《公路工程施工安全技术规程》和《公路筑养路机械操作规程》等有关安全生产</w:t>
      </w:r>
      <w:r>
        <w:rPr>
          <w:rFonts w:hint="eastAsia" w:ascii="宋体" w:hAnsi="宋体"/>
          <w:color w:val="auto"/>
          <w:spacing w:val="-1"/>
          <w:sz w:val="24"/>
          <w:szCs w:val="24"/>
          <w:highlight w:val="none"/>
        </w:rPr>
        <w:t>的规定。认真执行工程承包合同中的有关安全要求。</w:t>
      </w:r>
    </w:p>
    <w:p w14:paraId="5D27C48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（2</w:t>
      </w:r>
      <w:r>
        <w:rPr>
          <w:rFonts w:hint="eastAsia" w:ascii="宋体" w:hAnsi="宋体"/>
          <w:color w:val="auto"/>
          <w:sz w:val="24"/>
          <w:szCs w:val="24"/>
          <w:highlight w:val="none"/>
        </w:rPr>
        <w:t>）坚持“安全第一、预防为主”和“管生产必须管安全”的原则，加强</w:t>
      </w:r>
      <w:r>
        <w:rPr>
          <w:rFonts w:hint="eastAsia" w:ascii="宋体" w:hAnsi="宋体"/>
          <w:color w:val="auto"/>
          <w:spacing w:val="-3"/>
          <w:sz w:val="24"/>
          <w:szCs w:val="24"/>
          <w:highlight w:val="none"/>
        </w:rPr>
        <w:t>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w:t>
      </w:r>
      <w:r>
        <w:rPr>
          <w:rFonts w:hint="eastAsia" w:ascii="宋体" w:hAnsi="宋体"/>
          <w:color w:val="auto"/>
          <w:spacing w:val="-1"/>
          <w:sz w:val="24"/>
          <w:szCs w:val="24"/>
          <w:highlight w:val="none"/>
        </w:rPr>
        <w:t>评比。</w:t>
      </w:r>
    </w:p>
    <w:p w14:paraId="7C6119C5">
      <w:pPr>
        <w:spacing w:line="520" w:lineRule="exact"/>
        <w:ind w:firstLine="476" w:firstLineChars="200"/>
        <w:rPr>
          <w:rFonts w:ascii="宋体" w:hAnsi="宋体"/>
          <w:color w:val="auto"/>
          <w:sz w:val="24"/>
          <w:szCs w:val="24"/>
          <w:highlight w:val="none"/>
        </w:rPr>
      </w:pPr>
      <w:bookmarkStart w:id="321" w:name="102"/>
      <w:bookmarkEnd w:id="321"/>
      <w:r>
        <w:rPr>
          <w:rFonts w:hint="eastAsia" w:ascii="宋体" w:hAnsi="宋体"/>
          <w:color w:val="auto"/>
          <w:spacing w:val="-1"/>
          <w:sz w:val="24"/>
          <w:szCs w:val="24"/>
          <w:highlight w:val="none"/>
        </w:rPr>
        <w:t>（3</w:t>
      </w:r>
      <w:r>
        <w:rPr>
          <w:rFonts w:hint="eastAsia" w:ascii="宋体" w:hAnsi="宋体"/>
          <w:color w:val="auto"/>
          <w:spacing w:val="-7"/>
          <w:sz w:val="24"/>
          <w:szCs w:val="24"/>
          <w:highlight w:val="none"/>
        </w:rPr>
        <w:t>）建立健全安全生产责任制。从派往项目实施的项目负责人到生产工人（包</w:t>
      </w:r>
      <w:r>
        <w:rPr>
          <w:rFonts w:hint="eastAsia" w:ascii="宋体" w:hAnsi="宋体"/>
          <w:color w:val="auto"/>
          <w:spacing w:val="-3"/>
          <w:sz w:val="24"/>
          <w:szCs w:val="24"/>
          <w:highlight w:val="none"/>
        </w:rPr>
        <w:t>括临时雇请的民工）的安全生产管理系统必须做到纵向到底，—环不漏；各职能部门、人员的安全生产责任制做到横向到边，人人有责。项目负责人是安全生产的</w:t>
      </w:r>
      <w:r>
        <w:rPr>
          <w:rFonts w:hint="eastAsia" w:ascii="宋体" w:hAnsi="宋体"/>
          <w:color w:val="auto"/>
          <w:spacing w:val="-10"/>
          <w:sz w:val="24"/>
          <w:szCs w:val="24"/>
          <w:highlight w:val="none"/>
        </w:rPr>
        <w:t>第一责任人。现场设置的安全机构，应按《公路水运工程安全生产监督管理办法》</w:t>
      </w:r>
      <w:r>
        <w:rPr>
          <w:rFonts w:hint="eastAsia" w:ascii="宋体" w:hAnsi="宋体"/>
          <w:color w:val="auto"/>
          <w:spacing w:val="-3"/>
          <w:sz w:val="24"/>
          <w:szCs w:val="24"/>
          <w:highlight w:val="none"/>
        </w:rPr>
        <w:t>规定的最低数量和资质条件配备专职安全生产管理人员，专职负责所有员工的安</w:t>
      </w:r>
      <w:r>
        <w:rPr>
          <w:rFonts w:hint="eastAsia" w:ascii="宋体" w:hAnsi="宋体"/>
          <w:color w:val="auto"/>
          <w:sz w:val="24"/>
          <w:szCs w:val="24"/>
          <w:highlight w:val="none"/>
        </w:rPr>
        <w:t>全和治安保卫工作及预防事故的发生。安全机构人员有权按有关规定发布指令，</w:t>
      </w:r>
      <w:r>
        <w:rPr>
          <w:rFonts w:hint="eastAsia" w:ascii="宋体" w:hAnsi="宋体"/>
          <w:color w:val="auto"/>
          <w:spacing w:val="-1"/>
          <w:sz w:val="24"/>
          <w:szCs w:val="24"/>
          <w:highlight w:val="none"/>
        </w:rPr>
        <w:t>并采取保护性措施防止事故发生。</w:t>
      </w:r>
    </w:p>
    <w:p w14:paraId="06835798">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z w:val="24"/>
          <w:szCs w:val="24"/>
          <w:highlight w:val="none"/>
        </w:rPr>
        <w:t>）承包人在任何时候都应采取各种合理的预防措施，防止其员工发生任</w:t>
      </w:r>
      <w:r>
        <w:rPr>
          <w:rFonts w:hint="eastAsia" w:ascii="宋体" w:hAnsi="宋体"/>
          <w:color w:val="auto"/>
          <w:spacing w:val="-1"/>
          <w:sz w:val="24"/>
          <w:szCs w:val="24"/>
          <w:highlight w:val="none"/>
        </w:rPr>
        <w:t>何违法、违禁、暴力或妨碍治安的行为。</w:t>
      </w:r>
    </w:p>
    <w:p w14:paraId="697DCB2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（5）对于从事电气、起重、建筑登高架设作业、锅炉、压力容器、焊接、</w:t>
      </w:r>
      <w:r>
        <w:rPr>
          <w:rFonts w:hint="eastAsia" w:ascii="宋体" w:hAnsi="宋体"/>
          <w:color w:val="auto"/>
          <w:spacing w:val="-3"/>
          <w:sz w:val="24"/>
          <w:szCs w:val="24"/>
          <w:highlight w:val="none"/>
        </w:rPr>
        <w:t>机动车船艇驾驶、爆破、潜水、瓦斯检验等特殊工种的人员，经过专业培训，获得《安全操作合格证》后，方准持证上岗。施工现场如出现特种作业无证操作现</w:t>
      </w:r>
      <w:r>
        <w:rPr>
          <w:rFonts w:hint="eastAsia" w:ascii="宋体" w:hAnsi="宋体"/>
          <w:color w:val="auto"/>
          <w:spacing w:val="-1"/>
          <w:sz w:val="24"/>
          <w:szCs w:val="24"/>
          <w:highlight w:val="none"/>
        </w:rPr>
        <w:t>象时，项目负责人必须承担管理责任。</w:t>
      </w:r>
    </w:p>
    <w:p w14:paraId="48BB9A5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（6）对于易燃易爆的材料除应专门妥善保管之外，还应配备有足够的消防</w:t>
      </w:r>
      <w:r>
        <w:rPr>
          <w:rFonts w:hint="eastAsia" w:ascii="宋体" w:hAnsi="宋体"/>
          <w:color w:val="auto"/>
          <w:spacing w:val="-3"/>
          <w:sz w:val="24"/>
          <w:szCs w:val="24"/>
          <w:highlight w:val="none"/>
        </w:rPr>
        <w:t>设施，所有施工人员都应熟悉消防设备的性能和使用方法；承包人不得将任何种类的爆炸物给予、易货或以其他方式转让给任何其他人，或允许、容忍上述同样</w:t>
      </w:r>
      <w:r>
        <w:rPr>
          <w:rFonts w:hint="eastAsia" w:ascii="宋体" w:hAnsi="宋体"/>
          <w:color w:val="auto"/>
          <w:spacing w:val="-1"/>
          <w:sz w:val="24"/>
          <w:szCs w:val="24"/>
          <w:highlight w:val="none"/>
        </w:rPr>
        <w:t>行为。</w:t>
      </w:r>
    </w:p>
    <w:p w14:paraId="4DEF6BC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（7）操作人员上岗，必须按规定穿戴防护用品。施工负责人和安全检查员</w:t>
      </w:r>
      <w:r>
        <w:rPr>
          <w:rFonts w:hint="eastAsia" w:ascii="宋体" w:hAnsi="宋体"/>
          <w:color w:val="auto"/>
          <w:sz w:val="24"/>
          <w:szCs w:val="24"/>
          <w:highlight w:val="none"/>
        </w:rPr>
        <w:t>应随时检查劳动防护用品的穿戴情况，不按规定穿戴防护用品的人员不得上岗。</w:t>
      </w:r>
    </w:p>
    <w:p w14:paraId="3C8DEAE6">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（8</w:t>
      </w:r>
      <w:r>
        <w:rPr>
          <w:rFonts w:hint="eastAsia" w:ascii="宋体" w:hAnsi="宋体"/>
          <w:color w:val="auto"/>
          <w:sz w:val="24"/>
          <w:szCs w:val="24"/>
          <w:highlight w:val="none"/>
        </w:rPr>
        <w:t>）所有施工机具设备和高空作业的设备均应定期检查，并有安全员的签</w:t>
      </w:r>
      <w:r>
        <w:rPr>
          <w:rFonts w:hint="eastAsia" w:ascii="宋体" w:hAnsi="宋体"/>
          <w:color w:val="auto"/>
          <w:spacing w:val="-3"/>
          <w:sz w:val="24"/>
          <w:szCs w:val="24"/>
          <w:highlight w:val="none"/>
        </w:rPr>
        <w:t>字记录，保证其经常处于完好状态；不合格的机具、设备和劳动保护用品严禁使</w:t>
      </w:r>
      <w:r>
        <w:rPr>
          <w:rFonts w:hint="eastAsia" w:ascii="宋体" w:hAnsi="宋体"/>
          <w:color w:val="auto"/>
          <w:spacing w:val="-1"/>
          <w:sz w:val="24"/>
          <w:szCs w:val="24"/>
          <w:highlight w:val="none"/>
        </w:rPr>
        <w:t>用：</w:t>
      </w:r>
    </w:p>
    <w:p w14:paraId="06C51195">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（9</w:t>
      </w:r>
      <w:r>
        <w:rPr>
          <w:rFonts w:hint="eastAsia" w:ascii="宋体" w:hAnsi="宋体"/>
          <w:color w:val="auto"/>
          <w:sz w:val="24"/>
          <w:szCs w:val="24"/>
          <w:highlight w:val="none"/>
        </w:rPr>
        <w:t>）施工中采用新技术、新工艺、新设备、新材料时，必须制定相应的安</w:t>
      </w:r>
      <w:r>
        <w:rPr>
          <w:rFonts w:hint="eastAsia" w:ascii="宋体" w:hAnsi="宋体"/>
          <w:color w:val="auto"/>
          <w:spacing w:val="-1"/>
          <w:sz w:val="24"/>
          <w:szCs w:val="24"/>
          <w:highlight w:val="none"/>
        </w:rPr>
        <w:t>全技术措施，施工现场必须具有相关的安全标志牌。</w:t>
      </w:r>
    </w:p>
    <w:p w14:paraId="3BCA2627">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（10</w:t>
      </w:r>
      <w:r>
        <w:rPr>
          <w:rFonts w:hint="eastAsia" w:ascii="宋体" w:hAnsi="宋体"/>
          <w:color w:val="auto"/>
          <w:spacing w:val="-4"/>
          <w:sz w:val="24"/>
          <w:szCs w:val="24"/>
          <w:highlight w:val="none"/>
        </w:rPr>
        <w:t>）承包人必须按照本工程项目特点，组织制定本工程实施中的生产安全</w:t>
      </w:r>
      <w:r>
        <w:rPr>
          <w:rFonts w:hint="eastAsia" w:ascii="宋体" w:hAnsi="宋体"/>
          <w:color w:val="auto"/>
          <w:spacing w:val="-3"/>
          <w:sz w:val="24"/>
          <w:szCs w:val="24"/>
          <w:highlight w:val="none"/>
        </w:rPr>
        <w:t>事故应急救援预案；如果发生安全事故，应按照《国务院关于特大安全事故行政</w:t>
      </w:r>
      <w:r>
        <w:rPr>
          <w:rFonts w:hint="eastAsia" w:ascii="宋体" w:hAnsi="宋体"/>
          <w:color w:val="auto"/>
          <w:sz w:val="24"/>
          <w:szCs w:val="24"/>
          <w:highlight w:val="none"/>
        </w:rPr>
        <w:t>责任追究的规定》以及其他有关规定，及时上报有关部门，并坚持“四不放过”</w:t>
      </w:r>
      <w:r>
        <w:rPr>
          <w:rFonts w:hint="eastAsia" w:ascii="宋体" w:hAnsi="宋体"/>
          <w:color w:val="auto"/>
          <w:spacing w:val="-1"/>
          <w:sz w:val="24"/>
          <w:szCs w:val="24"/>
          <w:highlight w:val="none"/>
        </w:rPr>
        <w:t>的原则．严肃处理相关责任人。</w:t>
      </w:r>
      <w:bookmarkStart w:id="322" w:name="103"/>
      <w:bookmarkEnd w:id="322"/>
    </w:p>
    <w:p w14:paraId="3A9CDCFE">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（11</w:t>
      </w:r>
      <w:r>
        <w:rPr>
          <w:rFonts w:hint="eastAsia" w:ascii="宋体" w:hAnsi="宋体"/>
          <w:color w:val="auto"/>
          <w:spacing w:val="-3"/>
          <w:sz w:val="24"/>
          <w:szCs w:val="24"/>
          <w:highlight w:val="none"/>
        </w:rPr>
        <w:t>）安全生产费用按照《公路水运工程安全生产监督管理办法》的相关规</w:t>
      </w:r>
      <w:r>
        <w:rPr>
          <w:rFonts w:hint="eastAsia" w:ascii="宋体" w:hAnsi="宋体"/>
          <w:color w:val="auto"/>
          <w:spacing w:val="-1"/>
          <w:sz w:val="24"/>
          <w:szCs w:val="24"/>
          <w:highlight w:val="none"/>
        </w:rPr>
        <w:t>定使用和管理。</w:t>
      </w:r>
    </w:p>
    <w:p w14:paraId="59CE2D2A">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3.违约责任</w:t>
      </w:r>
    </w:p>
    <w:p w14:paraId="6C71603E">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如因发包人或承包人违约造成安全事故，将依法追究责任。</w:t>
      </w:r>
    </w:p>
    <w:p w14:paraId="7872761F">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4.</w:t>
      </w:r>
      <w:r>
        <w:rPr>
          <w:rFonts w:hint="eastAsia" w:ascii="宋体" w:hAnsi="宋体"/>
          <w:color w:val="auto"/>
          <w:spacing w:val="-3"/>
          <w:sz w:val="24"/>
          <w:szCs w:val="24"/>
          <w:highlight w:val="none"/>
        </w:rPr>
        <w:t>本合同由双方法定代表人或其授权的代理人签署并加盖单位章后生效，全</w:t>
      </w:r>
      <w:r>
        <w:rPr>
          <w:rFonts w:hint="eastAsia" w:ascii="宋体" w:hAnsi="宋体"/>
          <w:color w:val="auto"/>
          <w:spacing w:val="-1"/>
          <w:sz w:val="24"/>
          <w:szCs w:val="24"/>
          <w:highlight w:val="none"/>
        </w:rPr>
        <w:t>部工程竣工验收后失效。</w:t>
      </w:r>
    </w:p>
    <w:p w14:paraId="0B77ADE4">
      <w:pPr>
        <w:spacing w:line="520" w:lineRule="exact"/>
        <w:ind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5.</w:t>
      </w:r>
      <w:r>
        <w:rPr>
          <w:rFonts w:hint="eastAsia" w:ascii="宋体" w:hAnsi="宋体"/>
          <w:color w:val="auto"/>
          <w:spacing w:val="-2"/>
          <w:sz w:val="24"/>
          <w:szCs w:val="24"/>
          <w:highlight w:val="none"/>
        </w:rPr>
        <w:t>本合同正本—式二份，副本</w:t>
      </w:r>
      <w:r>
        <w:rPr>
          <w:rFonts w:hint="eastAsia" w:ascii="宋体" w:hAnsi="宋体"/>
          <w:color w:val="auto"/>
          <w:spacing w:val="-1"/>
          <w:sz w:val="24"/>
          <w:szCs w:val="24"/>
          <w:highlight w:val="none"/>
          <w:u w:val="single"/>
        </w:rPr>
        <w:tab/>
      </w:r>
      <w:r>
        <w:rPr>
          <w:rFonts w:hint="eastAsia" w:ascii="宋体" w:hAnsi="宋体"/>
          <w:color w:val="auto"/>
          <w:spacing w:val="-4"/>
          <w:sz w:val="24"/>
          <w:szCs w:val="24"/>
          <w:highlight w:val="none"/>
        </w:rPr>
        <w:t>份，合同双方各执正本—份，副本</w:t>
      </w:r>
      <w:r>
        <w:rPr>
          <w:rFonts w:hint="eastAsia" w:ascii="宋体" w:hAnsi="宋体"/>
          <w:color w:val="auto"/>
          <w:spacing w:val="-1"/>
          <w:sz w:val="24"/>
          <w:szCs w:val="24"/>
          <w:highlight w:val="none"/>
          <w:u w:val="single"/>
        </w:rPr>
        <w:tab/>
      </w:r>
      <w:r>
        <w:rPr>
          <w:rFonts w:hint="eastAsia" w:ascii="宋体" w:hAnsi="宋体"/>
          <w:color w:val="auto"/>
          <w:spacing w:val="-9"/>
          <w:sz w:val="24"/>
          <w:szCs w:val="24"/>
          <w:highlight w:val="none"/>
        </w:rPr>
        <w:t>份，当</w:t>
      </w:r>
      <w:r>
        <w:rPr>
          <w:rFonts w:hint="eastAsia" w:ascii="宋体" w:hAnsi="宋体"/>
          <w:color w:val="auto"/>
          <w:sz w:val="24"/>
          <w:szCs w:val="24"/>
          <w:highlight w:val="none"/>
        </w:rPr>
        <w:t>正本与副本的内容不一致时，以正本为准。</w:t>
      </w:r>
    </w:p>
    <w:p w14:paraId="17FFB28C">
      <w:pPr>
        <w:spacing w:line="520" w:lineRule="exact"/>
        <w:ind w:left="62" w:firstLine="480" w:firstLineChars="200"/>
        <w:rPr>
          <w:rFonts w:ascii="宋体" w:hAnsi="宋体"/>
          <w:color w:val="auto"/>
          <w:sz w:val="24"/>
          <w:szCs w:val="24"/>
          <w:highlight w:val="none"/>
        </w:rPr>
      </w:pPr>
    </w:p>
    <w:p w14:paraId="1EAA9987">
      <w:pPr>
        <w:spacing w:line="520" w:lineRule="exact"/>
        <w:ind w:left="6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发包人：</w:t>
      </w:r>
      <w:r>
        <w:rPr>
          <w:rFonts w:hint="eastAsia" w:ascii="宋体" w:hAnsi="宋体"/>
          <w:color w:val="auto"/>
          <w:spacing w:val="-4"/>
          <w:sz w:val="24"/>
          <w:szCs w:val="24"/>
          <w:highlight w:val="none"/>
          <w:u w:val="single"/>
        </w:rPr>
        <w:tab/>
      </w:r>
      <w:r>
        <w:rPr>
          <w:rFonts w:hint="eastAsia" w:ascii="宋体" w:hAnsi="宋体"/>
          <w:color w:val="auto"/>
          <w:spacing w:val="-1"/>
          <w:sz w:val="24"/>
          <w:szCs w:val="24"/>
          <w:highlight w:val="none"/>
        </w:rPr>
        <w:t>（盖单位章）                    承包人：（盖单位章）</w:t>
      </w:r>
    </w:p>
    <w:p w14:paraId="43D998BD">
      <w:pPr>
        <w:spacing w:line="520" w:lineRule="exact"/>
        <w:ind w:left="62" w:firstLine="476" w:firstLineChars="200"/>
        <w:rPr>
          <w:rFonts w:ascii="宋体" w:hAnsi="宋体"/>
          <w:color w:val="auto"/>
          <w:sz w:val="24"/>
          <w:szCs w:val="24"/>
          <w:highlight w:val="none"/>
        </w:rPr>
      </w:pPr>
      <w:r>
        <w:rPr>
          <w:rFonts w:hint="eastAsia" w:ascii="宋体" w:hAnsi="宋体"/>
          <w:color w:val="auto"/>
          <w:spacing w:val="-1"/>
          <w:sz w:val="24"/>
          <w:szCs w:val="24"/>
          <w:highlight w:val="none"/>
        </w:rPr>
        <w:t xml:space="preserve">法定代表人或其委托代理人：（签字）     </w:t>
      </w:r>
      <w:r>
        <w:rPr>
          <w:rFonts w:hint="eastAsia" w:ascii="宋体" w:hAnsi="宋体"/>
          <w:color w:val="auto"/>
          <w:sz w:val="24"/>
          <w:szCs w:val="24"/>
          <w:highlight w:val="none"/>
        </w:rPr>
        <w:t>法定代表人或其委托代理人：</w:t>
      </w:r>
      <w:r>
        <w:rPr>
          <w:rFonts w:hint="eastAsia" w:ascii="宋体" w:hAnsi="宋体"/>
          <w:color w:val="auto"/>
          <w:spacing w:val="-1"/>
          <w:sz w:val="24"/>
          <w:szCs w:val="24"/>
          <w:highlight w:val="none"/>
        </w:rPr>
        <w:t>（签字）</w:t>
      </w:r>
    </w:p>
    <w:p w14:paraId="2AA57A71">
      <w:pPr>
        <w:spacing w:line="520" w:lineRule="exact"/>
        <w:ind w:left="62"/>
        <w:rPr>
          <w:rFonts w:ascii="宋体" w:hAnsi="宋体"/>
          <w:color w:val="auto"/>
          <w:sz w:val="24"/>
          <w:szCs w:val="24"/>
          <w:highlight w:val="none"/>
        </w:rPr>
      </w:pPr>
    </w:p>
    <w:p w14:paraId="770C4D92">
      <w:pPr>
        <w:spacing w:line="520" w:lineRule="exact"/>
        <w:ind w:firstLine="2380" w:firstLineChars="1000"/>
        <w:rPr>
          <w:rFonts w:ascii="宋体" w:hAnsi="宋体"/>
          <w:b/>
          <w:bCs/>
          <w:color w:val="auto"/>
          <w:sz w:val="24"/>
          <w:szCs w:val="24"/>
          <w:highlight w:val="none"/>
        </w:rPr>
      </w:pPr>
      <w:r>
        <w:rPr>
          <w:rFonts w:hint="eastAsia" w:ascii="宋体" w:hAnsi="宋体"/>
          <w:color w:val="auto"/>
          <w:spacing w:val="-1"/>
          <w:sz w:val="24"/>
          <w:szCs w:val="24"/>
          <w:highlight w:val="none"/>
        </w:rPr>
        <w:t>年   月   日                        年   月   日</w:t>
      </w:r>
    </w:p>
    <w:p w14:paraId="2F2316E3">
      <w:pPr>
        <w:spacing w:line="520" w:lineRule="exact"/>
        <w:rPr>
          <w:rFonts w:ascii="宋体" w:hAnsi="宋体"/>
          <w:b/>
          <w:bCs/>
          <w:color w:val="auto"/>
          <w:sz w:val="24"/>
          <w:szCs w:val="24"/>
          <w:highlight w:val="none"/>
        </w:rPr>
      </w:pPr>
    </w:p>
    <w:p w14:paraId="15E3DC25">
      <w:pPr>
        <w:spacing w:line="520" w:lineRule="exact"/>
        <w:rPr>
          <w:rFonts w:ascii="宋体" w:hAnsi="宋体"/>
          <w:b/>
          <w:bCs/>
          <w:color w:val="auto"/>
          <w:sz w:val="24"/>
          <w:szCs w:val="24"/>
          <w:highlight w:val="none"/>
        </w:rPr>
      </w:pPr>
    </w:p>
    <w:p w14:paraId="220F609C">
      <w:pPr>
        <w:spacing w:line="520" w:lineRule="exact"/>
        <w:rPr>
          <w:rFonts w:ascii="宋体" w:hAnsi="宋体"/>
          <w:b/>
          <w:bCs/>
          <w:color w:val="auto"/>
          <w:sz w:val="24"/>
          <w:szCs w:val="24"/>
          <w:highlight w:val="none"/>
        </w:rPr>
      </w:pPr>
    </w:p>
    <w:p w14:paraId="59620A3B">
      <w:pPr>
        <w:spacing w:line="520" w:lineRule="exact"/>
        <w:rPr>
          <w:rFonts w:ascii="宋体" w:hAnsi="宋体"/>
          <w:b/>
          <w:bCs/>
          <w:color w:val="auto"/>
          <w:sz w:val="24"/>
          <w:szCs w:val="24"/>
          <w:highlight w:val="none"/>
        </w:rPr>
      </w:pPr>
    </w:p>
    <w:p w14:paraId="5BFD1219">
      <w:pPr>
        <w:spacing w:line="520" w:lineRule="exact"/>
        <w:rPr>
          <w:rFonts w:ascii="宋体" w:hAnsi="宋体"/>
          <w:b/>
          <w:bCs/>
          <w:color w:val="auto"/>
          <w:sz w:val="24"/>
          <w:szCs w:val="24"/>
          <w:highlight w:val="none"/>
        </w:rPr>
      </w:pPr>
    </w:p>
    <w:p w14:paraId="2C7CBA7D">
      <w:pPr>
        <w:spacing w:line="520" w:lineRule="exact"/>
        <w:rPr>
          <w:rFonts w:ascii="宋体" w:hAnsi="宋体"/>
          <w:b/>
          <w:bCs/>
          <w:color w:val="auto"/>
          <w:sz w:val="24"/>
          <w:szCs w:val="24"/>
          <w:highlight w:val="none"/>
        </w:rPr>
      </w:pPr>
    </w:p>
    <w:p w14:paraId="3EA1E454">
      <w:pPr>
        <w:spacing w:line="520" w:lineRule="exact"/>
        <w:rPr>
          <w:rFonts w:ascii="宋体" w:hAnsi="宋体"/>
          <w:b/>
          <w:bCs/>
          <w:color w:val="auto"/>
          <w:sz w:val="24"/>
          <w:szCs w:val="24"/>
          <w:highlight w:val="none"/>
        </w:rPr>
      </w:pPr>
    </w:p>
    <w:p w14:paraId="0058C0D1">
      <w:pPr>
        <w:spacing w:line="520" w:lineRule="exact"/>
        <w:rPr>
          <w:rFonts w:ascii="宋体" w:hAnsi="宋体"/>
          <w:b/>
          <w:bCs/>
          <w:color w:val="auto"/>
          <w:sz w:val="24"/>
          <w:szCs w:val="24"/>
          <w:highlight w:val="none"/>
        </w:rPr>
      </w:pPr>
    </w:p>
    <w:p w14:paraId="094EB3E2">
      <w:pPr>
        <w:pStyle w:val="2"/>
        <w:rPr>
          <w:color w:val="auto"/>
          <w:highlight w:val="none"/>
        </w:rPr>
      </w:pPr>
    </w:p>
    <w:p w14:paraId="188A3231">
      <w:pPr>
        <w:rPr>
          <w:color w:val="auto"/>
          <w:highlight w:val="none"/>
        </w:rPr>
      </w:pPr>
    </w:p>
    <w:p w14:paraId="70535B59">
      <w:pPr>
        <w:pStyle w:val="2"/>
        <w:rPr>
          <w:color w:val="auto"/>
          <w:highlight w:val="none"/>
        </w:rPr>
      </w:pPr>
    </w:p>
    <w:p w14:paraId="30D1346B">
      <w:pPr>
        <w:rPr>
          <w:color w:val="auto"/>
          <w:highlight w:val="none"/>
        </w:rPr>
      </w:pPr>
    </w:p>
    <w:p w14:paraId="000E6D2A">
      <w:pPr>
        <w:spacing w:line="520" w:lineRule="exact"/>
        <w:rPr>
          <w:rFonts w:ascii="宋体" w:hAnsi="宋体"/>
          <w:b/>
          <w:bCs/>
          <w:color w:val="auto"/>
          <w:sz w:val="24"/>
          <w:szCs w:val="24"/>
          <w:highlight w:val="none"/>
        </w:rPr>
      </w:pPr>
    </w:p>
    <w:p w14:paraId="3061C1DC">
      <w:pPr>
        <w:spacing w:line="520" w:lineRule="exact"/>
        <w:rPr>
          <w:rFonts w:ascii="宋体" w:hAnsi="宋体"/>
          <w:b/>
          <w:bCs/>
          <w:color w:val="auto"/>
          <w:sz w:val="24"/>
          <w:szCs w:val="24"/>
          <w:highlight w:val="none"/>
        </w:rPr>
      </w:pPr>
    </w:p>
    <w:p w14:paraId="3DB5D0A8">
      <w:pPr>
        <w:spacing w:line="520" w:lineRule="exact"/>
        <w:rPr>
          <w:rFonts w:ascii="宋体" w:hAnsi="宋体"/>
          <w:b/>
          <w:bCs/>
          <w:color w:val="auto"/>
          <w:sz w:val="24"/>
          <w:szCs w:val="24"/>
          <w:highlight w:val="none"/>
        </w:rPr>
      </w:pPr>
    </w:p>
    <w:p w14:paraId="0B98C3C4">
      <w:pPr>
        <w:spacing w:line="520" w:lineRule="exact"/>
        <w:rPr>
          <w:rFonts w:ascii="宋体" w:hAnsi="宋体"/>
          <w:b/>
          <w:bCs/>
          <w:color w:val="auto"/>
          <w:sz w:val="24"/>
          <w:szCs w:val="24"/>
          <w:highlight w:val="none"/>
        </w:rPr>
      </w:pPr>
    </w:p>
    <w:p w14:paraId="24D376AB">
      <w:pPr>
        <w:spacing w:line="520" w:lineRule="exact"/>
        <w:rPr>
          <w:rFonts w:ascii="宋体" w:hAnsi="宋体"/>
          <w:b/>
          <w:bCs/>
          <w:color w:val="auto"/>
          <w:sz w:val="24"/>
          <w:szCs w:val="24"/>
          <w:highlight w:val="none"/>
        </w:rPr>
      </w:pPr>
      <w:r>
        <w:rPr>
          <w:rFonts w:hint="eastAsia" w:ascii="宋体" w:hAnsi="宋体"/>
          <w:b/>
          <w:bCs/>
          <w:color w:val="auto"/>
          <w:sz w:val="24"/>
          <w:szCs w:val="24"/>
          <w:highlight w:val="none"/>
        </w:rPr>
        <w:t>附件四项目负责人委托书</w:t>
      </w:r>
    </w:p>
    <w:p w14:paraId="5687FD4C">
      <w:pPr>
        <w:spacing w:line="520" w:lineRule="exact"/>
        <w:ind w:left="62"/>
        <w:jc w:val="center"/>
        <w:rPr>
          <w:rFonts w:ascii="宋体" w:hAnsi="宋体"/>
          <w:b/>
          <w:bCs/>
          <w:color w:val="auto"/>
          <w:sz w:val="24"/>
          <w:szCs w:val="24"/>
          <w:highlight w:val="none"/>
        </w:rPr>
      </w:pPr>
      <w:r>
        <w:rPr>
          <w:rFonts w:hint="eastAsia" w:ascii="宋体" w:hAnsi="宋体"/>
          <w:b/>
          <w:bCs/>
          <w:color w:val="auto"/>
          <w:spacing w:val="-1"/>
          <w:sz w:val="24"/>
          <w:szCs w:val="24"/>
          <w:highlight w:val="none"/>
          <w:u w:val="single"/>
        </w:rPr>
        <w:t>（承包人全称）</w:t>
      </w:r>
    </w:p>
    <w:p w14:paraId="4C3802C2">
      <w:pPr>
        <w:spacing w:line="520" w:lineRule="exact"/>
        <w:ind w:left="62"/>
        <w:jc w:val="center"/>
        <w:rPr>
          <w:rFonts w:ascii="宋体" w:hAnsi="宋体"/>
          <w:b/>
          <w:bCs/>
          <w:color w:val="auto"/>
          <w:sz w:val="24"/>
          <w:szCs w:val="24"/>
          <w:highlight w:val="none"/>
        </w:rPr>
      </w:pPr>
      <w:r>
        <w:rPr>
          <w:rFonts w:hint="eastAsia" w:ascii="宋体" w:hAnsi="宋体"/>
          <w:b/>
          <w:bCs/>
          <w:color w:val="auto"/>
          <w:spacing w:val="-1"/>
          <w:sz w:val="24"/>
          <w:szCs w:val="24"/>
          <w:highlight w:val="none"/>
          <w:u w:val="single"/>
        </w:rPr>
        <w:t>（合同工程名称）项目负责人委任书</w:t>
      </w:r>
    </w:p>
    <w:p w14:paraId="7774101A">
      <w:pPr>
        <w:spacing w:line="520" w:lineRule="exact"/>
        <w:ind w:left="62"/>
        <w:rPr>
          <w:rFonts w:ascii="宋体" w:hAnsi="宋体"/>
          <w:color w:val="auto"/>
          <w:sz w:val="24"/>
          <w:szCs w:val="24"/>
          <w:highlight w:val="none"/>
          <w:u w:val="singl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（发包人全称）</w:t>
      </w:r>
    </w:p>
    <w:p w14:paraId="0BD3E2FB">
      <w:pPr>
        <w:spacing w:line="520" w:lineRule="exact"/>
        <w:ind w:left="62" w:firstLine="476" w:firstLineChars="200"/>
        <w:rPr>
          <w:rFonts w:ascii="宋体" w:hAnsi="宋体"/>
          <w:color w:val="auto"/>
          <w:sz w:val="24"/>
          <w:szCs w:val="24"/>
          <w:highlight w:val="none"/>
        </w:rPr>
      </w:pPr>
      <w:r>
        <w:rPr>
          <w:rFonts w:hint="eastAsia" w:ascii="宋体" w:hAnsi="宋体"/>
          <w:color w:val="auto"/>
          <w:spacing w:val="-1"/>
          <w:sz w:val="24"/>
          <w:szCs w:val="24"/>
          <w:highlight w:val="none"/>
          <w:u w:val="single"/>
        </w:rPr>
        <w:t>（承包人全称）</w:t>
      </w:r>
      <w:r>
        <w:rPr>
          <w:rFonts w:hint="eastAsia" w:ascii="宋体" w:hAnsi="宋体"/>
          <w:color w:val="auto"/>
          <w:sz w:val="24"/>
          <w:szCs w:val="24"/>
          <w:highlight w:val="none"/>
        </w:rPr>
        <w:t>法定代表人</w:t>
      </w:r>
      <w:r>
        <w:rPr>
          <w:rFonts w:hint="eastAsia" w:ascii="宋体" w:hAnsi="宋体"/>
          <w:color w:val="auto"/>
          <w:spacing w:val="-3"/>
          <w:sz w:val="24"/>
          <w:szCs w:val="24"/>
          <w:highlight w:val="none"/>
          <w:u w:val="single"/>
        </w:rPr>
        <w:t>（职务、姓名）</w:t>
      </w:r>
      <w:r>
        <w:rPr>
          <w:rFonts w:hint="eastAsia" w:ascii="宋体" w:hAnsi="宋体"/>
          <w:color w:val="auto"/>
          <w:spacing w:val="-1"/>
          <w:sz w:val="24"/>
          <w:szCs w:val="24"/>
          <w:highlight w:val="none"/>
        </w:rPr>
        <w:t>代表本单位委任</w:t>
      </w:r>
      <w:r>
        <w:rPr>
          <w:rFonts w:hint="eastAsia" w:ascii="宋体" w:hAnsi="宋体"/>
          <w:color w:val="auto"/>
          <w:spacing w:val="-3"/>
          <w:sz w:val="24"/>
          <w:szCs w:val="24"/>
          <w:highlight w:val="none"/>
          <w:u w:val="single"/>
        </w:rPr>
        <w:t>（职务、姓</w:t>
      </w:r>
      <w:r>
        <w:rPr>
          <w:rFonts w:hint="eastAsia" w:ascii="宋体" w:hAnsi="宋体"/>
          <w:color w:val="auto"/>
          <w:spacing w:val="-1"/>
          <w:sz w:val="24"/>
          <w:szCs w:val="24"/>
          <w:highlight w:val="none"/>
          <w:u w:val="single"/>
        </w:rPr>
        <w:t>名）</w:t>
      </w:r>
      <w:r>
        <w:rPr>
          <w:rFonts w:hint="eastAsia" w:ascii="宋体" w:hAnsi="宋体"/>
          <w:color w:val="auto"/>
          <w:spacing w:val="-6"/>
          <w:sz w:val="24"/>
          <w:szCs w:val="24"/>
          <w:highlight w:val="none"/>
        </w:rPr>
        <w:t>为</w:t>
      </w:r>
      <w:r>
        <w:rPr>
          <w:rFonts w:hint="eastAsia" w:ascii="宋体" w:hAnsi="宋体"/>
          <w:color w:val="auto"/>
          <w:spacing w:val="-6"/>
          <w:sz w:val="24"/>
          <w:szCs w:val="24"/>
          <w:highlight w:val="none"/>
          <w:u w:val="single"/>
        </w:rPr>
        <w:t>（合同工程名称）</w:t>
      </w:r>
      <w:r>
        <w:rPr>
          <w:rFonts w:hint="eastAsia" w:ascii="宋体" w:hAnsi="宋体"/>
          <w:color w:val="auto"/>
          <w:spacing w:val="-6"/>
          <w:sz w:val="24"/>
          <w:szCs w:val="24"/>
          <w:highlight w:val="none"/>
        </w:rPr>
        <w:t>的项目负责人。凡本合同执行中的有关技术、工程进度、</w:t>
      </w:r>
    </w:p>
    <w:p w14:paraId="4132F237">
      <w:pPr>
        <w:spacing w:line="520" w:lineRule="exact"/>
        <w:ind w:left="62" w:firstLine="468" w:firstLineChars="200"/>
        <w:rPr>
          <w:rFonts w:ascii="宋体" w:hAnsi="宋体"/>
          <w:color w:val="auto"/>
          <w:sz w:val="24"/>
          <w:szCs w:val="24"/>
          <w:highlight w:val="none"/>
        </w:rPr>
      </w:pPr>
      <w:r>
        <w:rPr>
          <w:rFonts w:hint="eastAsia" w:ascii="宋体" w:hAnsi="宋体"/>
          <w:color w:val="auto"/>
          <w:spacing w:val="-3"/>
          <w:sz w:val="24"/>
          <w:szCs w:val="24"/>
          <w:highlight w:val="none"/>
        </w:rPr>
        <w:t>现场管理、质量检验、结算与支付等方面工作，由</w:t>
      </w:r>
      <w:r>
        <w:rPr>
          <w:rFonts w:hint="eastAsia" w:ascii="宋体" w:hAnsi="宋体"/>
          <w:color w:val="auto"/>
          <w:spacing w:val="-1"/>
          <w:sz w:val="24"/>
          <w:szCs w:val="24"/>
          <w:highlight w:val="none"/>
          <w:u w:val="single"/>
        </w:rPr>
        <w:t>（姓名）</w:t>
      </w:r>
      <w:r>
        <w:rPr>
          <w:rFonts w:hint="eastAsia" w:ascii="宋体" w:hAnsi="宋体"/>
          <w:color w:val="auto"/>
          <w:sz w:val="24"/>
          <w:szCs w:val="24"/>
          <w:highlight w:val="none"/>
        </w:rPr>
        <w:t>代表本单位全面负</w:t>
      </w:r>
      <w:r>
        <w:rPr>
          <w:rFonts w:hint="eastAsia" w:ascii="宋体" w:hAnsi="宋体"/>
          <w:color w:val="auto"/>
          <w:spacing w:val="-1"/>
          <w:sz w:val="24"/>
          <w:szCs w:val="24"/>
          <w:highlight w:val="none"/>
        </w:rPr>
        <w:t>责。</w:t>
      </w:r>
    </w:p>
    <w:p w14:paraId="3556AFD9">
      <w:pPr>
        <w:spacing w:line="520" w:lineRule="exact"/>
        <w:ind w:left="62"/>
        <w:rPr>
          <w:rFonts w:ascii="宋体" w:hAnsi="宋体"/>
          <w:color w:val="auto"/>
          <w:sz w:val="24"/>
          <w:szCs w:val="24"/>
          <w:highlight w:val="none"/>
        </w:rPr>
      </w:pPr>
    </w:p>
    <w:p w14:paraId="1F905027">
      <w:pPr>
        <w:spacing w:line="520" w:lineRule="exact"/>
        <w:ind w:left="62" w:firstLine="4924" w:firstLineChars="2069"/>
        <w:rPr>
          <w:rFonts w:ascii="宋体" w:hAnsi="宋体"/>
          <w:color w:val="auto"/>
          <w:sz w:val="24"/>
          <w:szCs w:val="24"/>
          <w:highlight w:val="none"/>
        </w:rPr>
      </w:pPr>
      <w:r>
        <w:rPr>
          <w:rFonts w:hint="eastAsia" w:ascii="宋体" w:hAnsi="宋体"/>
          <w:color w:val="auto"/>
          <w:spacing w:val="-1"/>
          <w:sz w:val="24"/>
          <w:szCs w:val="24"/>
          <w:highlight w:val="none"/>
        </w:rPr>
        <w:t>承包人：</w:t>
      </w:r>
      <w:r>
        <w:rPr>
          <w:rFonts w:hint="eastAsia" w:ascii="宋体" w:hAnsi="宋体"/>
          <w:color w:val="auto"/>
          <w:spacing w:val="-1"/>
          <w:sz w:val="24"/>
          <w:szCs w:val="24"/>
          <w:highlight w:val="none"/>
          <w:u w:val="single"/>
        </w:rPr>
        <w:t>（盖单位章）</w:t>
      </w:r>
    </w:p>
    <w:p w14:paraId="11D7F99B">
      <w:pPr>
        <w:spacing w:line="520" w:lineRule="exact"/>
        <w:ind w:left="62" w:firstLine="4924" w:firstLineChars="2069"/>
        <w:rPr>
          <w:rFonts w:ascii="宋体" w:hAnsi="宋体"/>
          <w:color w:val="auto"/>
          <w:sz w:val="24"/>
          <w:szCs w:val="24"/>
          <w:highlight w:val="none"/>
        </w:rPr>
      </w:pPr>
      <w:r>
        <w:rPr>
          <w:rFonts w:hint="eastAsia" w:ascii="宋体" w:hAnsi="宋体"/>
          <w:color w:val="auto"/>
          <w:spacing w:val="-1"/>
          <w:sz w:val="24"/>
          <w:szCs w:val="24"/>
          <w:highlight w:val="none"/>
        </w:rPr>
        <w:t>法定代表人：</w:t>
      </w:r>
      <w:r>
        <w:rPr>
          <w:rFonts w:hint="eastAsia" w:ascii="宋体" w:hAnsi="宋体"/>
          <w:color w:val="auto"/>
          <w:spacing w:val="-1"/>
          <w:sz w:val="24"/>
          <w:szCs w:val="24"/>
          <w:highlight w:val="none"/>
          <w:u w:val="single"/>
        </w:rPr>
        <w:t>（职务）</w:t>
      </w:r>
    </w:p>
    <w:p w14:paraId="0A43A333">
      <w:pPr>
        <w:spacing w:line="520" w:lineRule="exact"/>
        <w:ind w:left="62" w:firstLine="4965" w:firstLineChars="2069"/>
        <w:rPr>
          <w:rFonts w:ascii="宋体" w:hAnsi="宋体"/>
          <w:color w:val="auto"/>
          <w:sz w:val="24"/>
          <w:szCs w:val="24"/>
          <w:highlight w:val="none"/>
        </w:rPr>
      </w:pPr>
    </w:p>
    <w:p w14:paraId="7B6E81DD">
      <w:pPr>
        <w:spacing w:line="520" w:lineRule="exact"/>
        <w:ind w:left="62" w:firstLine="4924" w:firstLineChars="2069"/>
        <w:rPr>
          <w:rFonts w:ascii="宋体" w:hAnsi="宋体"/>
          <w:color w:val="auto"/>
          <w:sz w:val="24"/>
          <w:szCs w:val="24"/>
          <w:highlight w:val="none"/>
        </w:rPr>
      </w:pPr>
      <w:r>
        <w:rPr>
          <w:rFonts w:hint="eastAsia" w:ascii="宋体" w:hAnsi="宋体"/>
          <w:color w:val="auto"/>
          <w:spacing w:val="-1"/>
          <w:sz w:val="24"/>
          <w:szCs w:val="24"/>
          <w:highlight w:val="none"/>
          <w:u w:val="single"/>
        </w:rPr>
        <w:t>（姓名）</w:t>
      </w:r>
    </w:p>
    <w:p w14:paraId="0B244773">
      <w:pPr>
        <w:spacing w:line="520" w:lineRule="exact"/>
        <w:ind w:left="62" w:firstLine="4965" w:firstLineChars="2069"/>
        <w:rPr>
          <w:rFonts w:ascii="宋体" w:hAnsi="宋体"/>
          <w:color w:val="auto"/>
          <w:sz w:val="24"/>
          <w:szCs w:val="24"/>
          <w:highlight w:val="none"/>
        </w:rPr>
      </w:pPr>
    </w:p>
    <w:p w14:paraId="4387CB76">
      <w:pPr>
        <w:spacing w:line="520" w:lineRule="exact"/>
        <w:ind w:left="62" w:firstLine="4924" w:firstLineChars="2069"/>
        <w:rPr>
          <w:rFonts w:ascii="宋体" w:hAnsi="宋体"/>
          <w:color w:val="auto"/>
          <w:sz w:val="24"/>
          <w:szCs w:val="24"/>
          <w:highlight w:val="none"/>
          <w:u w:val="single"/>
        </w:rPr>
      </w:pPr>
      <w:r>
        <w:rPr>
          <w:rFonts w:hint="eastAsia" w:ascii="宋体" w:hAnsi="宋体"/>
          <w:color w:val="auto"/>
          <w:spacing w:val="-1"/>
          <w:sz w:val="24"/>
          <w:szCs w:val="24"/>
          <w:highlight w:val="none"/>
          <w:u w:val="single"/>
        </w:rPr>
        <w:t>（签字）</w:t>
      </w:r>
    </w:p>
    <w:p w14:paraId="1A03B678">
      <w:pPr>
        <w:spacing w:line="520" w:lineRule="exact"/>
        <w:rPr>
          <w:rFonts w:ascii="宋体" w:hAnsi="宋体"/>
          <w:color w:val="auto"/>
          <w:sz w:val="24"/>
          <w:szCs w:val="24"/>
          <w:highlight w:val="none"/>
        </w:rPr>
      </w:pPr>
    </w:p>
    <w:p w14:paraId="56BDF3CE">
      <w:pPr>
        <w:spacing w:line="520" w:lineRule="exact"/>
        <w:ind w:left="62" w:firstLine="4924" w:firstLineChars="2069"/>
        <w:rPr>
          <w:rFonts w:ascii="宋体" w:hAnsi="宋体"/>
          <w:color w:val="auto"/>
          <w:sz w:val="24"/>
          <w:szCs w:val="24"/>
          <w:highlight w:val="none"/>
        </w:rPr>
      </w:pPr>
      <w:r>
        <w:rPr>
          <w:rFonts w:hint="eastAsia" w:ascii="宋体" w:hAnsi="宋体"/>
          <w:color w:val="auto"/>
          <w:spacing w:val="-1"/>
          <w:sz w:val="24"/>
          <w:szCs w:val="24"/>
          <w:highlight w:val="none"/>
        </w:rPr>
        <w:t>年月日</w:t>
      </w:r>
    </w:p>
    <w:p w14:paraId="2AF13F6B">
      <w:pPr>
        <w:spacing w:line="520" w:lineRule="exact"/>
        <w:ind w:left="62"/>
        <w:rPr>
          <w:rFonts w:ascii="宋体" w:hAnsi="宋体"/>
          <w:color w:val="auto"/>
          <w:sz w:val="24"/>
          <w:szCs w:val="24"/>
          <w:highlight w:val="none"/>
        </w:rPr>
      </w:pPr>
    </w:p>
    <w:p w14:paraId="45E7EAF1">
      <w:pPr>
        <w:spacing w:line="520" w:lineRule="exact"/>
        <w:ind w:left="62" w:firstLine="4998" w:firstLineChars="2100"/>
        <w:rPr>
          <w:rFonts w:ascii="宋体" w:hAnsi="宋体" w:cs="宋体"/>
          <w:b/>
          <w:bCs/>
          <w:color w:val="auto"/>
          <w:sz w:val="32"/>
          <w:szCs w:val="32"/>
          <w:highlight w:val="none"/>
        </w:rPr>
        <w:sectPr>
          <w:pgSz w:w="11906" w:h="16843"/>
          <w:pgMar w:top="1134" w:right="1417" w:bottom="1134" w:left="1531" w:header="1077" w:footer="964" w:gutter="0"/>
          <w:cols w:space="720" w:num="1"/>
          <w:docGrid w:linePitch="323" w:charSpace="0"/>
        </w:sectPr>
      </w:pPr>
      <w:r>
        <w:rPr>
          <w:rFonts w:hint="eastAsia" w:ascii="宋体" w:hAnsi="宋体"/>
          <w:color w:val="auto"/>
          <w:spacing w:val="-1"/>
          <w:sz w:val="24"/>
          <w:szCs w:val="24"/>
          <w:highlight w:val="none"/>
        </w:rPr>
        <w:t>抄送：</w:t>
      </w:r>
      <w:r>
        <w:rPr>
          <w:rFonts w:hint="eastAsia" w:ascii="宋体" w:hAnsi="宋体"/>
          <w:color w:val="auto"/>
          <w:spacing w:val="-1"/>
          <w:sz w:val="24"/>
          <w:szCs w:val="24"/>
          <w:highlight w:val="none"/>
          <w:u w:val="single"/>
        </w:rPr>
        <w:tab/>
      </w:r>
      <w:r>
        <w:rPr>
          <w:rFonts w:hint="eastAsia" w:ascii="宋体" w:hAnsi="宋体"/>
          <w:color w:val="auto"/>
          <w:spacing w:val="-1"/>
          <w:sz w:val="24"/>
          <w:szCs w:val="24"/>
          <w:highlight w:val="none"/>
          <w:u w:val="single"/>
        </w:rPr>
        <w:t>（监理人</w:t>
      </w:r>
    </w:p>
    <w:p w14:paraId="4685E27B">
      <w:pPr>
        <w:autoSpaceDE w:val="0"/>
        <w:autoSpaceDN w:val="0"/>
        <w:adjustRightInd w:val="0"/>
        <w:jc w:val="center"/>
        <w:rPr>
          <w:rFonts w:ascii="Arial" w:hAnsi="Arial" w:cs="Arial"/>
          <w:b/>
          <w:bCs/>
          <w:color w:val="auto"/>
          <w:kern w:val="0"/>
          <w:sz w:val="36"/>
          <w:szCs w:val="36"/>
          <w:highlight w:val="none"/>
        </w:rPr>
      </w:pPr>
      <w:r>
        <w:rPr>
          <w:rFonts w:hint="eastAsia" w:ascii="宋体" w:hAnsi="Arial" w:cs="宋体"/>
          <w:b/>
          <w:bCs/>
          <w:color w:val="auto"/>
          <w:kern w:val="0"/>
          <w:sz w:val="36"/>
          <w:szCs w:val="36"/>
          <w:highlight w:val="none"/>
        </w:rPr>
        <w:t>第</w:t>
      </w:r>
      <w:r>
        <w:rPr>
          <w:rFonts w:hint="eastAsia" w:ascii="宋体" w:hAnsi="Arial" w:cs="宋体"/>
          <w:b/>
          <w:bCs/>
          <w:color w:val="auto"/>
          <w:kern w:val="0"/>
          <w:sz w:val="36"/>
          <w:szCs w:val="36"/>
          <w:highlight w:val="none"/>
          <w:lang w:val="en-US" w:eastAsia="zh-CN"/>
        </w:rPr>
        <w:t>五</w:t>
      </w:r>
      <w:r>
        <w:rPr>
          <w:rFonts w:hint="eastAsia" w:ascii="宋体" w:hAnsi="Arial" w:cs="宋体"/>
          <w:b/>
          <w:bCs/>
          <w:color w:val="auto"/>
          <w:kern w:val="0"/>
          <w:sz w:val="36"/>
          <w:szCs w:val="36"/>
          <w:highlight w:val="none"/>
        </w:rPr>
        <w:t xml:space="preserve">章 </w:t>
      </w:r>
      <w:r>
        <w:rPr>
          <w:rFonts w:hint="eastAsia" w:ascii="宋体" w:hAnsi="Arial" w:cs="宋体"/>
          <w:b/>
          <w:bCs/>
          <w:color w:val="auto"/>
          <w:kern w:val="0"/>
          <w:sz w:val="36"/>
          <w:szCs w:val="36"/>
          <w:highlight w:val="none"/>
          <w:lang w:val="zh-CN"/>
        </w:rPr>
        <w:t>工程量清单（</w:t>
      </w:r>
      <w:r>
        <w:rPr>
          <w:rFonts w:hint="eastAsia" w:ascii="宋体" w:hAnsi="Arial" w:cs="宋体"/>
          <w:b/>
          <w:bCs/>
          <w:color w:val="auto"/>
          <w:kern w:val="0"/>
          <w:sz w:val="36"/>
          <w:szCs w:val="36"/>
          <w:highlight w:val="none"/>
          <w:lang w:val="en-US" w:eastAsia="zh-CN"/>
        </w:rPr>
        <w:t>另附</w:t>
      </w:r>
      <w:r>
        <w:rPr>
          <w:rFonts w:hint="eastAsia" w:ascii="宋体" w:hAnsi="Arial" w:cs="宋体"/>
          <w:b/>
          <w:bCs/>
          <w:color w:val="auto"/>
          <w:kern w:val="0"/>
          <w:sz w:val="36"/>
          <w:szCs w:val="36"/>
          <w:highlight w:val="none"/>
          <w:lang w:val="zh-CN"/>
        </w:rPr>
        <w:t>）</w:t>
      </w:r>
    </w:p>
    <w:p w14:paraId="551EB340">
      <w:pPr>
        <w:spacing w:line="520" w:lineRule="exact"/>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在三门峡市公共资源交易中心网下载</w:t>
      </w:r>
    </w:p>
    <w:p w14:paraId="4080EA30">
      <w:pPr>
        <w:spacing w:line="520" w:lineRule="exact"/>
        <w:ind w:firstLine="420" w:firstLineChars="175"/>
        <w:rPr>
          <w:rFonts w:ascii="宋体" w:hAnsi="宋体"/>
          <w:color w:val="auto"/>
          <w:sz w:val="24"/>
          <w:szCs w:val="24"/>
          <w:highlight w:val="none"/>
        </w:rPr>
      </w:pPr>
    </w:p>
    <w:p w14:paraId="6008DE48">
      <w:pPr>
        <w:spacing w:line="520" w:lineRule="exact"/>
        <w:ind w:firstLine="420" w:firstLineChars="175"/>
        <w:rPr>
          <w:rFonts w:ascii="宋体" w:hAnsi="宋体"/>
          <w:color w:val="auto"/>
          <w:sz w:val="24"/>
          <w:szCs w:val="24"/>
          <w:highlight w:val="none"/>
        </w:rPr>
      </w:pPr>
    </w:p>
    <w:p w14:paraId="7C88CCE2">
      <w:pPr>
        <w:spacing w:line="520" w:lineRule="exact"/>
        <w:ind w:firstLine="420" w:firstLineChars="175"/>
        <w:rPr>
          <w:rFonts w:ascii="宋体" w:hAnsi="宋体"/>
          <w:color w:val="auto"/>
          <w:sz w:val="24"/>
          <w:szCs w:val="24"/>
          <w:highlight w:val="none"/>
        </w:rPr>
      </w:pPr>
    </w:p>
    <w:p w14:paraId="22571476">
      <w:pPr>
        <w:spacing w:line="520" w:lineRule="exact"/>
        <w:ind w:firstLine="420" w:firstLineChars="175"/>
        <w:rPr>
          <w:rFonts w:ascii="宋体" w:hAnsi="宋体"/>
          <w:color w:val="auto"/>
          <w:sz w:val="24"/>
          <w:szCs w:val="24"/>
          <w:highlight w:val="none"/>
        </w:rPr>
      </w:pPr>
    </w:p>
    <w:p w14:paraId="1B925616">
      <w:pPr>
        <w:spacing w:line="520" w:lineRule="exact"/>
        <w:ind w:firstLine="420" w:firstLineChars="175"/>
        <w:rPr>
          <w:rFonts w:ascii="宋体" w:hAnsi="宋体"/>
          <w:color w:val="auto"/>
          <w:sz w:val="24"/>
          <w:szCs w:val="24"/>
          <w:highlight w:val="none"/>
        </w:rPr>
      </w:pPr>
    </w:p>
    <w:p w14:paraId="515C1360">
      <w:pPr>
        <w:spacing w:line="520" w:lineRule="exact"/>
        <w:ind w:firstLine="420" w:firstLineChars="175"/>
        <w:rPr>
          <w:rFonts w:ascii="宋体" w:hAnsi="宋体"/>
          <w:color w:val="auto"/>
          <w:sz w:val="24"/>
          <w:szCs w:val="24"/>
          <w:highlight w:val="none"/>
        </w:rPr>
      </w:pPr>
    </w:p>
    <w:p w14:paraId="1F82221A">
      <w:pPr>
        <w:spacing w:line="520" w:lineRule="exact"/>
        <w:ind w:firstLine="420" w:firstLineChars="175"/>
        <w:rPr>
          <w:rFonts w:ascii="宋体" w:hAnsi="宋体"/>
          <w:color w:val="auto"/>
          <w:sz w:val="24"/>
          <w:szCs w:val="24"/>
          <w:highlight w:val="none"/>
        </w:rPr>
      </w:pPr>
    </w:p>
    <w:p w14:paraId="508C6A2B">
      <w:pPr>
        <w:spacing w:line="520" w:lineRule="exact"/>
        <w:ind w:firstLine="420" w:firstLineChars="175"/>
        <w:rPr>
          <w:rFonts w:ascii="宋体" w:hAnsi="宋体"/>
          <w:color w:val="auto"/>
          <w:sz w:val="24"/>
          <w:szCs w:val="24"/>
          <w:highlight w:val="none"/>
        </w:rPr>
      </w:pPr>
    </w:p>
    <w:p w14:paraId="70254D12">
      <w:pPr>
        <w:spacing w:line="520" w:lineRule="exact"/>
        <w:ind w:firstLine="420" w:firstLineChars="175"/>
        <w:rPr>
          <w:rFonts w:ascii="宋体" w:hAnsi="宋体"/>
          <w:color w:val="auto"/>
          <w:sz w:val="24"/>
          <w:szCs w:val="24"/>
          <w:highlight w:val="none"/>
        </w:rPr>
      </w:pPr>
    </w:p>
    <w:p w14:paraId="7120F7CA">
      <w:pPr>
        <w:spacing w:line="520" w:lineRule="exact"/>
        <w:ind w:firstLine="420" w:firstLineChars="175"/>
        <w:rPr>
          <w:rFonts w:ascii="宋体" w:hAnsi="宋体"/>
          <w:color w:val="auto"/>
          <w:sz w:val="24"/>
          <w:szCs w:val="24"/>
          <w:highlight w:val="none"/>
        </w:rPr>
      </w:pPr>
    </w:p>
    <w:p w14:paraId="526D5A5A">
      <w:pPr>
        <w:spacing w:line="520" w:lineRule="exact"/>
        <w:ind w:firstLine="420" w:firstLineChars="175"/>
        <w:rPr>
          <w:rFonts w:ascii="宋体" w:hAnsi="宋体"/>
          <w:color w:val="auto"/>
          <w:sz w:val="24"/>
          <w:szCs w:val="24"/>
          <w:highlight w:val="none"/>
        </w:rPr>
      </w:pPr>
    </w:p>
    <w:p w14:paraId="168951FE">
      <w:pPr>
        <w:spacing w:line="520" w:lineRule="exact"/>
        <w:ind w:firstLine="420" w:firstLineChars="175"/>
        <w:rPr>
          <w:rFonts w:ascii="宋体" w:hAnsi="宋体"/>
          <w:color w:val="auto"/>
          <w:sz w:val="24"/>
          <w:szCs w:val="24"/>
          <w:highlight w:val="none"/>
        </w:rPr>
      </w:pPr>
    </w:p>
    <w:p w14:paraId="4B886EAF">
      <w:pPr>
        <w:spacing w:line="520" w:lineRule="exact"/>
        <w:ind w:firstLine="420" w:firstLineChars="175"/>
        <w:rPr>
          <w:rFonts w:ascii="宋体" w:hAnsi="宋体"/>
          <w:color w:val="auto"/>
          <w:sz w:val="24"/>
          <w:szCs w:val="24"/>
          <w:highlight w:val="none"/>
        </w:rPr>
      </w:pPr>
    </w:p>
    <w:p w14:paraId="695E8D9F">
      <w:pPr>
        <w:spacing w:line="520" w:lineRule="exact"/>
        <w:ind w:firstLine="420" w:firstLineChars="175"/>
        <w:rPr>
          <w:rFonts w:ascii="宋体" w:hAnsi="宋体"/>
          <w:color w:val="auto"/>
          <w:sz w:val="24"/>
          <w:szCs w:val="24"/>
          <w:highlight w:val="none"/>
        </w:rPr>
      </w:pPr>
    </w:p>
    <w:p w14:paraId="52584A7B">
      <w:pPr>
        <w:spacing w:line="520" w:lineRule="exact"/>
        <w:ind w:firstLine="420" w:firstLineChars="175"/>
        <w:rPr>
          <w:rFonts w:ascii="宋体" w:hAnsi="宋体"/>
          <w:color w:val="auto"/>
          <w:sz w:val="24"/>
          <w:szCs w:val="24"/>
          <w:highlight w:val="none"/>
        </w:rPr>
      </w:pPr>
    </w:p>
    <w:p w14:paraId="1C281A0F">
      <w:pPr>
        <w:spacing w:line="520" w:lineRule="exact"/>
        <w:ind w:firstLine="420" w:firstLineChars="175"/>
        <w:rPr>
          <w:rFonts w:ascii="宋体" w:hAnsi="宋体"/>
          <w:color w:val="auto"/>
          <w:sz w:val="24"/>
          <w:szCs w:val="24"/>
          <w:highlight w:val="none"/>
        </w:rPr>
      </w:pPr>
    </w:p>
    <w:p w14:paraId="46ADF9FF">
      <w:pPr>
        <w:spacing w:line="520" w:lineRule="exact"/>
        <w:ind w:firstLine="420" w:firstLineChars="175"/>
        <w:rPr>
          <w:rFonts w:ascii="宋体" w:hAnsi="宋体"/>
          <w:color w:val="auto"/>
          <w:sz w:val="24"/>
          <w:szCs w:val="24"/>
          <w:highlight w:val="none"/>
        </w:rPr>
      </w:pPr>
    </w:p>
    <w:p w14:paraId="39F8092F">
      <w:pPr>
        <w:spacing w:line="520" w:lineRule="exact"/>
        <w:ind w:firstLine="420" w:firstLineChars="175"/>
        <w:rPr>
          <w:rFonts w:ascii="宋体" w:hAnsi="宋体"/>
          <w:color w:val="auto"/>
          <w:sz w:val="24"/>
          <w:szCs w:val="24"/>
          <w:highlight w:val="none"/>
        </w:rPr>
      </w:pPr>
    </w:p>
    <w:p w14:paraId="3E0C9609">
      <w:pPr>
        <w:rPr>
          <w:rFonts w:hint="eastAsia" w:ascii="宋体" w:hAnsi="Arial" w:cs="宋体"/>
          <w:b/>
          <w:bCs/>
          <w:color w:val="auto"/>
          <w:kern w:val="0"/>
          <w:sz w:val="36"/>
          <w:szCs w:val="36"/>
          <w:highlight w:val="none"/>
          <w:lang w:val="zh-CN"/>
        </w:rPr>
      </w:pPr>
      <w:r>
        <w:rPr>
          <w:rFonts w:hint="eastAsia" w:ascii="宋体" w:hAnsi="Arial" w:cs="宋体"/>
          <w:b/>
          <w:bCs/>
          <w:color w:val="auto"/>
          <w:kern w:val="0"/>
          <w:sz w:val="36"/>
          <w:szCs w:val="36"/>
          <w:highlight w:val="none"/>
          <w:lang w:val="zh-CN"/>
        </w:rPr>
        <w:br w:type="page"/>
      </w:r>
    </w:p>
    <w:p w14:paraId="4443324E">
      <w:pPr>
        <w:spacing w:line="520" w:lineRule="exact"/>
        <w:jc w:val="center"/>
        <w:rPr>
          <w:rFonts w:hint="eastAsia" w:ascii="Arial" w:hAnsi="Arial" w:eastAsia="宋体" w:cs="Arial"/>
          <w:b/>
          <w:bCs/>
          <w:color w:val="auto"/>
          <w:kern w:val="0"/>
          <w:sz w:val="36"/>
          <w:szCs w:val="36"/>
          <w:highlight w:val="none"/>
          <w:lang w:eastAsia="zh-CN"/>
        </w:rPr>
      </w:pPr>
      <w:r>
        <w:rPr>
          <w:rFonts w:hint="eastAsia" w:ascii="宋体" w:hAnsi="Arial" w:cs="宋体"/>
          <w:b/>
          <w:bCs/>
          <w:color w:val="auto"/>
          <w:kern w:val="0"/>
          <w:sz w:val="36"/>
          <w:szCs w:val="36"/>
          <w:highlight w:val="none"/>
          <w:lang w:val="zh-CN"/>
        </w:rPr>
        <w:t>第</w:t>
      </w:r>
      <w:r>
        <w:rPr>
          <w:rFonts w:hint="eastAsia" w:ascii="宋体" w:hAnsi="Arial" w:cs="宋体"/>
          <w:b/>
          <w:bCs/>
          <w:color w:val="auto"/>
          <w:kern w:val="0"/>
          <w:sz w:val="36"/>
          <w:szCs w:val="36"/>
          <w:highlight w:val="none"/>
          <w:lang w:val="en-US" w:eastAsia="zh-CN"/>
        </w:rPr>
        <w:t>六</w:t>
      </w:r>
      <w:r>
        <w:rPr>
          <w:rFonts w:hint="eastAsia" w:ascii="宋体" w:hAnsi="Arial" w:cs="宋体"/>
          <w:b/>
          <w:bCs/>
          <w:color w:val="auto"/>
          <w:kern w:val="0"/>
          <w:sz w:val="36"/>
          <w:szCs w:val="36"/>
          <w:highlight w:val="none"/>
          <w:lang w:val="zh-CN"/>
        </w:rPr>
        <w:t>章</w:t>
      </w:r>
      <w:r>
        <w:rPr>
          <w:rFonts w:hint="eastAsia" w:ascii="宋体" w:hAnsi="Arial" w:cs="宋体"/>
          <w:b/>
          <w:bCs/>
          <w:color w:val="auto"/>
          <w:kern w:val="0"/>
          <w:sz w:val="36"/>
          <w:szCs w:val="36"/>
          <w:highlight w:val="none"/>
          <w:lang w:val="en-US" w:eastAsia="zh-CN"/>
        </w:rPr>
        <w:t xml:space="preserve"> 图纸（另附）</w:t>
      </w:r>
    </w:p>
    <w:p w14:paraId="5C0A5640">
      <w:pPr>
        <w:spacing w:line="520" w:lineRule="exact"/>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在三门峡市公共资源交易中心网下载</w:t>
      </w:r>
    </w:p>
    <w:p w14:paraId="2B4ABE59">
      <w:pPr>
        <w:autoSpaceDE w:val="0"/>
        <w:autoSpaceDN w:val="0"/>
        <w:adjustRightInd w:val="0"/>
        <w:spacing w:line="500" w:lineRule="exact"/>
        <w:rPr>
          <w:rFonts w:ascii="宋体" w:hAnsi="Arial" w:cs="宋体"/>
          <w:color w:val="auto"/>
          <w:kern w:val="0"/>
          <w:sz w:val="24"/>
          <w:szCs w:val="24"/>
          <w:highlight w:val="none"/>
          <w:lang w:val="zh-CN"/>
        </w:rPr>
      </w:pPr>
    </w:p>
    <w:p w14:paraId="0AD26D25">
      <w:pPr>
        <w:autoSpaceDE w:val="0"/>
        <w:autoSpaceDN w:val="0"/>
        <w:adjustRightInd w:val="0"/>
        <w:spacing w:line="500" w:lineRule="exact"/>
        <w:ind w:firstLine="420"/>
        <w:rPr>
          <w:rFonts w:ascii="宋体" w:hAnsi="Arial" w:cs="宋体"/>
          <w:color w:val="auto"/>
          <w:kern w:val="0"/>
          <w:sz w:val="24"/>
          <w:szCs w:val="24"/>
          <w:highlight w:val="none"/>
          <w:lang w:val="zh-CN"/>
        </w:rPr>
      </w:pPr>
    </w:p>
    <w:p w14:paraId="079E4903">
      <w:pPr>
        <w:autoSpaceDE w:val="0"/>
        <w:autoSpaceDN w:val="0"/>
        <w:adjustRightInd w:val="0"/>
        <w:spacing w:line="500" w:lineRule="exact"/>
        <w:ind w:firstLine="420"/>
        <w:rPr>
          <w:rFonts w:ascii="宋体" w:hAnsi="Arial" w:cs="宋体"/>
          <w:color w:val="auto"/>
          <w:kern w:val="0"/>
          <w:sz w:val="24"/>
          <w:szCs w:val="24"/>
          <w:highlight w:val="none"/>
          <w:lang w:val="zh-CN"/>
        </w:rPr>
      </w:pPr>
    </w:p>
    <w:p w14:paraId="5B8A24DF">
      <w:pPr>
        <w:autoSpaceDE w:val="0"/>
        <w:autoSpaceDN w:val="0"/>
        <w:adjustRightInd w:val="0"/>
        <w:spacing w:line="500" w:lineRule="exact"/>
        <w:ind w:firstLine="420"/>
        <w:rPr>
          <w:rFonts w:ascii="宋体" w:hAnsi="Arial" w:cs="宋体"/>
          <w:color w:val="auto"/>
          <w:kern w:val="0"/>
          <w:sz w:val="24"/>
          <w:szCs w:val="24"/>
          <w:highlight w:val="none"/>
          <w:lang w:val="zh-CN"/>
        </w:rPr>
      </w:pPr>
    </w:p>
    <w:p w14:paraId="34999D98">
      <w:pPr>
        <w:autoSpaceDE w:val="0"/>
        <w:autoSpaceDN w:val="0"/>
        <w:adjustRightInd w:val="0"/>
        <w:spacing w:line="500" w:lineRule="exact"/>
        <w:ind w:firstLine="420"/>
        <w:rPr>
          <w:rFonts w:ascii="宋体" w:hAnsi="Arial" w:cs="宋体"/>
          <w:color w:val="auto"/>
          <w:kern w:val="0"/>
          <w:sz w:val="24"/>
          <w:szCs w:val="24"/>
          <w:highlight w:val="none"/>
          <w:lang w:val="zh-CN"/>
        </w:rPr>
      </w:pPr>
    </w:p>
    <w:p w14:paraId="092ABAA9">
      <w:pPr>
        <w:autoSpaceDE w:val="0"/>
        <w:autoSpaceDN w:val="0"/>
        <w:adjustRightInd w:val="0"/>
        <w:spacing w:line="500" w:lineRule="exact"/>
        <w:ind w:firstLine="420"/>
        <w:rPr>
          <w:rFonts w:ascii="宋体" w:hAnsi="Arial" w:cs="宋体"/>
          <w:color w:val="auto"/>
          <w:kern w:val="0"/>
          <w:sz w:val="24"/>
          <w:szCs w:val="24"/>
          <w:highlight w:val="none"/>
          <w:lang w:val="zh-CN"/>
        </w:rPr>
      </w:pPr>
    </w:p>
    <w:p w14:paraId="162D14A3">
      <w:pPr>
        <w:autoSpaceDE w:val="0"/>
        <w:autoSpaceDN w:val="0"/>
        <w:adjustRightInd w:val="0"/>
        <w:spacing w:line="500" w:lineRule="exact"/>
        <w:ind w:firstLine="420"/>
        <w:rPr>
          <w:rFonts w:ascii="宋体" w:hAnsi="Arial" w:cs="宋体"/>
          <w:color w:val="auto"/>
          <w:kern w:val="0"/>
          <w:sz w:val="24"/>
          <w:szCs w:val="24"/>
          <w:highlight w:val="none"/>
          <w:lang w:val="zh-CN"/>
        </w:rPr>
      </w:pPr>
    </w:p>
    <w:p w14:paraId="2990FA46">
      <w:pPr>
        <w:autoSpaceDE w:val="0"/>
        <w:autoSpaceDN w:val="0"/>
        <w:adjustRightInd w:val="0"/>
        <w:spacing w:line="500" w:lineRule="exact"/>
        <w:ind w:firstLine="420"/>
        <w:rPr>
          <w:rFonts w:ascii="宋体" w:hAnsi="Arial" w:cs="宋体"/>
          <w:color w:val="auto"/>
          <w:kern w:val="0"/>
          <w:sz w:val="24"/>
          <w:szCs w:val="24"/>
          <w:highlight w:val="none"/>
          <w:lang w:val="zh-CN"/>
        </w:rPr>
      </w:pPr>
    </w:p>
    <w:p w14:paraId="609FD8A5">
      <w:pPr>
        <w:autoSpaceDE w:val="0"/>
        <w:autoSpaceDN w:val="0"/>
        <w:adjustRightInd w:val="0"/>
        <w:spacing w:line="500" w:lineRule="exact"/>
        <w:ind w:firstLine="420"/>
        <w:rPr>
          <w:rFonts w:ascii="宋体" w:hAnsi="Arial" w:cs="宋体"/>
          <w:color w:val="auto"/>
          <w:kern w:val="0"/>
          <w:sz w:val="24"/>
          <w:szCs w:val="24"/>
          <w:highlight w:val="none"/>
          <w:lang w:val="zh-CN"/>
        </w:rPr>
      </w:pPr>
    </w:p>
    <w:p w14:paraId="7A0C2BDD">
      <w:pPr>
        <w:autoSpaceDE w:val="0"/>
        <w:autoSpaceDN w:val="0"/>
        <w:adjustRightInd w:val="0"/>
        <w:spacing w:line="500" w:lineRule="exact"/>
        <w:ind w:firstLine="420"/>
        <w:rPr>
          <w:rFonts w:ascii="宋体" w:hAnsi="Arial" w:cs="宋体"/>
          <w:color w:val="auto"/>
          <w:kern w:val="0"/>
          <w:sz w:val="24"/>
          <w:szCs w:val="24"/>
          <w:highlight w:val="none"/>
          <w:lang w:val="zh-CN"/>
        </w:rPr>
      </w:pPr>
    </w:p>
    <w:p w14:paraId="434F9314">
      <w:pPr>
        <w:autoSpaceDE w:val="0"/>
        <w:autoSpaceDN w:val="0"/>
        <w:adjustRightInd w:val="0"/>
        <w:spacing w:line="500" w:lineRule="exact"/>
        <w:ind w:firstLine="420"/>
        <w:rPr>
          <w:rFonts w:ascii="宋体" w:hAnsi="Arial" w:cs="宋体"/>
          <w:color w:val="auto"/>
          <w:kern w:val="0"/>
          <w:sz w:val="24"/>
          <w:szCs w:val="24"/>
          <w:highlight w:val="none"/>
          <w:lang w:val="zh-CN"/>
        </w:rPr>
      </w:pPr>
    </w:p>
    <w:p w14:paraId="5CEFF672">
      <w:pPr>
        <w:keepNext/>
        <w:pageBreakBefore/>
        <w:tabs>
          <w:tab w:val="left" w:pos="4125"/>
        </w:tabs>
        <w:autoSpaceDE w:val="0"/>
        <w:autoSpaceDN w:val="0"/>
        <w:adjustRightInd w:val="0"/>
        <w:spacing w:before="480" w:after="360"/>
        <w:jc w:val="center"/>
        <w:rPr>
          <w:rFonts w:ascii="宋体" w:hAnsi="Arial" w:cs="宋体"/>
          <w:b/>
          <w:bCs/>
          <w:color w:val="auto"/>
          <w:kern w:val="0"/>
          <w:sz w:val="36"/>
          <w:szCs w:val="36"/>
          <w:highlight w:val="none"/>
          <w:lang w:val="zh-CN"/>
        </w:rPr>
      </w:pPr>
      <w:r>
        <w:rPr>
          <w:rFonts w:hint="eastAsia" w:ascii="宋体" w:hAnsi="Arial" w:cs="宋体"/>
          <w:b/>
          <w:bCs/>
          <w:color w:val="auto"/>
          <w:kern w:val="0"/>
          <w:sz w:val="36"/>
          <w:szCs w:val="36"/>
          <w:highlight w:val="none"/>
          <w:lang w:val="zh-CN"/>
        </w:rPr>
        <w:t>第</w:t>
      </w:r>
      <w:r>
        <w:rPr>
          <w:rFonts w:hint="eastAsia" w:ascii="宋体" w:hAnsi="Arial" w:cs="宋体"/>
          <w:b/>
          <w:bCs/>
          <w:color w:val="auto"/>
          <w:kern w:val="0"/>
          <w:sz w:val="36"/>
          <w:szCs w:val="36"/>
          <w:highlight w:val="none"/>
          <w:lang w:val="en-US" w:eastAsia="zh-CN"/>
        </w:rPr>
        <w:t>七</w:t>
      </w:r>
      <w:r>
        <w:rPr>
          <w:rFonts w:hint="eastAsia" w:ascii="宋体" w:hAnsi="Arial" w:cs="宋体"/>
          <w:b/>
          <w:bCs/>
          <w:color w:val="auto"/>
          <w:kern w:val="0"/>
          <w:sz w:val="36"/>
          <w:szCs w:val="36"/>
          <w:highlight w:val="none"/>
          <w:lang w:val="zh-CN"/>
        </w:rPr>
        <w:t xml:space="preserve">章 磋商响应文件格式 </w:t>
      </w:r>
    </w:p>
    <w:p w14:paraId="0AA205BA">
      <w:pPr>
        <w:spacing w:line="500" w:lineRule="exact"/>
        <w:rPr>
          <w:rFonts w:ascii="宋体" w:hAnsi="宋体"/>
          <w:color w:val="auto"/>
          <w:highlight w:val="none"/>
        </w:rPr>
      </w:pPr>
    </w:p>
    <w:p w14:paraId="22028F9E">
      <w:pPr>
        <w:spacing w:line="500" w:lineRule="exact"/>
        <w:ind w:firstLine="420" w:firstLineChars="200"/>
        <w:rPr>
          <w:rFonts w:ascii="宋体" w:hAnsi="宋体"/>
          <w:color w:val="auto"/>
          <w:highlight w:val="none"/>
        </w:rPr>
      </w:pPr>
    </w:p>
    <w:p w14:paraId="1FD8AEC8">
      <w:pPr>
        <w:spacing w:line="360" w:lineRule="auto"/>
        <w:ind w:firstLine="643" w:firstLineChars="200"/>
        <w:jc w:val="center"/>
        <w:rPr>
          <w:rFonts w:ascii="宋体" w:hAnsi="宋体"/>
          <w:color w:val="auto"/>
          <w:szCs w:val="21"/>
          <w:highlight w:val="none"/>
        </w:rPr>
      </w:pPr>
      <w:r>
        <w:rPr>
          <w:rFonts w:hint="eastAsia" w:ascii="宋体" w:hAnsi="宋体"/>
          <w:b/>
          <w:bCs/>
          <w:color w:val="auto"/>
          <w:sz w:val="32"/>
          <w:szCs w:val="32"/>
          <w:highlight w:val="none"/>
          <w:u w:val="single"/>
        </w:rPr>
        <w:t>　　　　　　　　　　　　　　　（项目名称）</w:t>
      </w:r>
    </w:p>
    <w:p w14:paraId="723C1B4F">
      <w:pPr>
        <w:spacing w:line="360" w:lineRule="auto"/>
        <w:ind w:firstLine="2520" w:firstLineChars="350"/>
        <w:rPr>
          <w:rFonts w:ascii="宋体" w:hAnsi="宋体"/>
          <w:color w:val="auto"/>
          <w:sz w:val="72"/>
          <w:szCs w:val="72"/>
          <w:highlight w:val="none"/>
        </w:rPr>
      </w:pPr>
      <w:r>
        <w:rPr>
          <w:rFonts w:hint="eastAsia" w:ascii="宋体" w:hAnsi="宋体"/>
          <w:color w:val="auto"/>
          <w:sz w:val="72"/>
          <w:szCs w:val="72"/>
          <w:highlight w:val="none"/>
        </w:rPr>
        <w:t>磋商响应文件</w:t>
      </w:r>
    </w:p>
    <w:p w14:paraId="333EB90F">
      <w:pPr>
        <w:spacing w:line="360" w:lineRule="auto"/>
        <w:ind w:firstLine="420" w:firstLineChars="200"/>
        <w:rPr>
          <w:rFonts w:ascii="宋体" w:hAnsi="宋体"/>
          <w:color w:val="auto"/>
          <w:szCs w:val="21"/>
          <w:highlight w:val="none"/>
        </w:rPr>
      </w:pPr>
    </w:p>
    <w:p w14:paraId="4FF918DE">
      <w:pPr>
        <w:spacing w:line="360" w:lineRule="auto"/>
        <w:ind w:firstLine="420" w:firstLineChars="200"/>
        <w:rPr>
          <w:rFonts w:ascii="宋体" w:hAnsi="宋体"/>
          <w:color w:val="auto"/>
          <w:highlight w:val="none"/>
        </w:rPr>
      </w:pPr>
    </w:p>
    <w:p w14:paraId="49C744D8">
      <w:pPr>
        <w:spacing w:line="360" w:lineRule="auto"/>
        <w:ind w:firstLine="420" w:firstLineChars="200"/>
        <w:rPr>
          <w:rFonts w:ascii="宋体" w:hAnsi="宋体"/>
          <w:color w:val="auto"/>
          <w:highlight w:val="none"/>
        </w:rPr>
      </w:pPr>
    </w:p>
    <w:p w14:paraId="2A8AD7D3">
      <w:pPr>
        <w:spacing w:line="360" w:lineRule="auto"/>
        <w:ind w:firstLine="420" w:firstLineChars="200"/>
        <w:rPr>
          <w:rFonts w:ascii="宋体" w:hAnsi="宋体"/>
          <w:color w:val="auto"/>
          <w:highlight w:val="none"/>
        </w:rPr>
      </w:pPr>
    </w:p>
    <w:p w14:paraId="67B6702C">
      <w:pPr>
        <w:spacing w:line="360" w:lineRule="auto"/>
        <w:ind w:firstLine="420" w:firstLineChars="200"/>
        <w:rPr>
          <w:rFonts w:ascii="宋体" w:hAnsi="宋体"/>
          <w:color w:val="auto"/>
          <w:highlight w:val="none"/>
        </w:rPr>
      </w:pPr>
    </w:p>
    <w:p w14:paraId="67B352EA">
      <w:pPr>
        <w:spacing w:line="360" w:lineRule="auto"/>
        <w:ind w:firstLine="420" w:firstLineChars="200"/>
        <w:rPr>
          <w:rFonts w:ascii="宋体" w:hAnsi="宋体"/>
          <w:color w:val="auto"/>
          <w:highlight w:val="none"/>
        </w:rPr>
      </w:pPr>
    </w:p>
    <w:p w14:paraId="5137B2A9">
      <w:pPr>
        <w:spacing w:line="360" w:lineRule="auto"/>
        <w:ind w:firstLine="420" w:firstLineChars="200"/>
        <w:rPr>
          <w:rFonts w:ascii="宋体" w:hAnsi="宋体"/>
          <w:color w:val="auto"/>
          <w:highlight w:val="none"/>
        </w:rPr>
      </w:pPr>
    </w:p>
    <w:p w14:paraId="682A2D58">
      <w:pPr>
        <w:spacing w:line="360" w:lineRule="auto"/>
        <w:rPr>
          <w:rFonts w:ascii="宋体" w:hAnsi="宋体"/>
          <w:color w:val="auto"/>
          <w:highlight w:val="none"/>
        </w:rPr>
      </w:pPr>
    </w:p>
    <w:p w14:paraId="6E54A80B">
      <w:pPr>
        <w:spacing w:line="360" w:lineRule="auto"/>
        <w:ind w:firstLine="420" w:firstLineChars="200"/>
        <w:rPr>
          <w:rFonts w:ascii="宋体" w:hAnsi="宋体"/>
          <w:color w:val="auto"/>
          <w:highlight w:val="none"/>
        </w:rPr>
      </w:pPr>
    </w:p>
    <w:p w14:paraId="7E5660E9">
      <w:pPr>
        <w:spacing w:line="400" w:lineRule="exact"/>
        <w:rPr>
          <w:rFonts w:ascii="宋体" w:hAnsi="宋体"/>
          <w:color w:val="auto"/>
          <w:highlight w:val="none"/>
        </w:rPr>
      </w:pPr>
    </w:p>
    <w:p w14:paraId="3E4B63E6">
      <w:pPr>
        <w:spacing w:line="480" w:lineRule="auto"/>
        <w:ind w:firstLine="1680" w:firstLineChars="600"/>
        <w:rPr>
          <w:rFonts w:ascii="宋体" w:hAnsi="宋体"/>
          <w:color w:val="auto"/>
          <w:sz w:val="28"/>
          <w:szCs w:val="28"/>
          <w:highlight w:val="none"/>
        </w:rPr>
      </w:pPr>
      <w:bookmarkStart w:id="323" w:name="_Toc184635138"/>
      <w:bookmarkEnd w:id="323"/>
    </w:p>
    <w:p w14:paraId="432AD47C">
      <w:pPr>
        <w:spacing w:line="480" w:lineRule="auto"/>
        <w:ind w:firstLine="1680" w:firstLineChars="600"/>
        <w:rPr>
          <w:rFonts w:ascii="宋体" w:hAnsi="宋体"/>
          <w:color w:val="auto"/>
          <w:sz w:val="28"/>
          <w:szCs w:val="28"/>
          <w:highlight w:val="none"/>
        </w:rPr>
      </w:pPr>
    </w:p>
    <w:p w14:paraId="4316D6B4">
      <w:pPr>
        <w:spacing w:line="480" w:lineRule="auto"/>
        <w:jc w:val="center"/>
        <w:rPr>
          <w:rFonts w:ascii="宋体" w:hAnsi="宋体"/>
          <w:color w:val="auto"/>
          <w:sz w:val="28"/>
          <w:szCs w:val="28"/>
          <w:highlight w:val="none"/>
        </w:rPr>
      </w:pPr>
    </w:p>
    <w:p w14:paraId="11F636E6">
      <w:pPr>
        <w:spacing w:line="480" w:lineRule="auto"/>
        <w:jc w:val="center"/>
        <w:rPr>
          <w:rFonts w:ascii="宋体" w:hAnsi="宋体"/>
          <w:color w:val="auto"/>
          <w:sz w:val="28"/>
          <w:szCs w:val="28"/>
          <w:highlight w:val="none"/>
        </w:rPr>
      </w:pPr>
    </w:p>
    <w:p w14:paraId="73BCD6B6">
      <w:pPr>
        <w:spacing w:line="480" w:lineRule="auto"/>
        <w:jc w:val="center"/>
        <w:rPr>
          <w:rFonts w:ascii="宋体"/>
          <w:color w:val="auto"/>
          <w:sz w:val="28"/>
          <w:szCs w:val="28"/>
          <w:highlight w:val="none"/>
        </w:rPr>
      </w:pPr>
      <w:r>
        <w:rPr>
          <w:rFonts w:hint="eastAsia" w:ascii="宋体" w:hAnsi="宋体"/>
          <w:color w:val="auto"/>
          <w:sz w:val="28"/>
          <w:szCs w:val="28"/>
          <w:highlight w:val="none"/>
        </w:rPr>
        <w:t>磋商</w:t>
      </w: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：（盖单位公章）</w:t>
      </w:r>
    </w:p>
    <w:p w14:paraId="54ECE37F">
      <w:pPr>
        <w:spacing w:line="480" w:lineRule="auto"/>
        <w:jc w:val="center"/>
        <w:rPr>
          <w:rFonts w:ascii="宋体"/>
          <w:color w:val="auto"/>
          <w:sz w:val="28"/>
          <w:szCs w:val="28"/>
          <w:highlight w:val="none"/>
        </w:rPr>
      </w:pPr>
      <w:r>
        <w:rPr>
          <w:rFonts w:hint="eastAsia" w:ascii="宋体" w:hAnsi="宋体"/>
          <w:color w:val="auto"/>
          <w:sz w:val="28"/>
          <w:szCs w:val="28"/>
          <w:highlight w:val="none"/>
        </w:rPr>
        <w:t>法定代表人 ：（电子签章）</w:t>
      </w:r>
    </w:p>
    <w:p w14:paraId="763031E9">
      <w:pPr>
        <w:spacing w:line="480" w:lineRule="auto"/>
        <w:jc w:val="center"/>
        <w:rPr>
          <w:rFonts w:ascii="宋体"/>
          <w:color w:val="auto"/>
          <w:sz w:val="28"/>
          <w:szCs w:val="28"/>
          <w:highlight w:val="none"/>
        </w:rPr>
      </w:pPr>
      <w:r>
        <w:rPr>
          <w:rFonts w:hint="eastAsia" w:ascii="宋体" w:hAnsi="宋体"/>
          <w:color w:val="auto"/>
          <w:sz w:val="28"/>
          <w:szCs w:val="28"/>
          <w:highlight w:val="none"/>
        </w:rPr>
        <w:t>年   月   日</w:t>
      </w:r>
    </w:p>
    <w:p w14:paraId="197609FE">
      <w:pPr>
        <w:rPr>
          <w:rFonts w:hint="eastAsia" w:ascii="宋体" w:hAnsi="宋体"/>
          <w:color w:val="auto"/>
          <w:sz w:val="32"/>
          <w:szCs w:val="32"/>
          <w:highlight w:val="none"/>
        </w:rPr>
      </w:pPr>
      <w:r>
        <w:rPr>
          <w:rFonts w:hint="eastAsia" w:ascii="宋体" w:hAnsi="宋体"/>
          <w:color w:val="auto"/>
          <w:sz w:val="32"/>
          <w:szCs w:val="32"/>
          <w:highlight w:val="none"/>
        </w:rPr>
        <w:br w:type="page"/>
      </w:r>
    </w:p>
    <w:p w14:paraId="1D5D6E70">
      <w:pPr>
        <w:spacing w:line="440" w:lineRule="exact"/>
        <w:jc w:val="center"/>
        <w:textAlignment w:val="center"/>
        <w:rPr>
          <w:rFonts w:ascii="宋体" w:hAnsi="宋体"/>
          <w:color w:val="auto"/>
          <w:sz w:val="32"/>
          <w:szCs w:val="32"/>
          <w:highlight w:val="none"/>
        </w:rPr>
      </w:pPr>
      <w:r>
        <w:rPr>
          <w:rFonts w:hint="eastAsia" w:ascii="宋体" w:hAnsi="宋体"/>
          <w:color w:val="auto"/>
          <w:sz w:val="32"/>
          <w:szCs w:val="32"/>
          <w:highlight w:val="none"/>
        </w:rPr>
        <w:t>目   录</w:t>
      </w:r>
    </w:p>
    <w:p w14:paraId="0262C305">
      <w:pPr>
        <w:spacing w:line="440" w:lineRule="exact"/>
        <w:textAlignment w:val="center"/>
        <w:rPr>
          <w:rFonts w:ascii="宋体" w:hAnsi="宋体"/>
          <w:color w:val="auto"/>
          <w:sz w:val="24"/>
          <w:szCs w:val="24"/>
          <w:highlight w:val="none"/>
        </w:rPr>
      </w:pPr>
    </w:p>
    <w:p w14:paraId="76F5DE34">
      <w:pPr>
        <w:spacing w:line="76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一、响应函及响应函附录</w:t>
      </w:r>
    </w:p>
    <w:p w14:paraId="6646714D">
      <w:pPr>
        <w:spacing w:line="76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二、法定代表人身份证明</w:t>
      </w:r>
    </w:p>
    <w:p w14:paraId="79C90712">
      <w:pPr>
        <w:spacing w:line="76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三、已标价工程量清单</w:t>
      </w:r>
    </w:p>
    <w:p w14:paraId="65E1A9A6">
      <w:pPr>
        <w:spacing w:line="76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四、施工组织设计</w:t>
      </w:r>
    </w:p>
    <w:p w14:paraId="41819648">
      <w:pPr>
        <w:spacing w:line="76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五、项目管理机构</w:t>
      </w:r>
    </w:p>
    <w:p w14:paraId="0D52368E">
      <w:pPr>
        <w:spacing w:line="76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六、企业基本情况资料</w:t>
      </w:r>
    </w:p>
    <w:p w14:paraId="2363E200">
      <w:pPr>
        <w:spacing w:line="76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七、磋商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认为需要提供的其他材料</w:t>
      </w:r>
    </w:p>
    <w:p w14:paraId="0F330C29">
      <w:pPr>
        <w:spacing w:beforeLines="100" w:line="440" w:lineRule="exact"/>
        <w:jc w:val="center"/>
        <w:textAlignment w:val="center"/>
        <w:rPr>
          <w:rFonts w:ascii="宋体" w:hAnsi="宋体"/>
          <w:color w:val="auto"/>
          <w:sz w:val="30"/>
          <w:szCs w:val="30"/>
          <w:highlight w:val="none"/>
        </w:rPr>
      </w:pPr>
    </w:p>
    <w:p w14:paraId="325FB447">
      <w:pPr>
        <w:spacing w:beforeLines="100" w:line="480" w:lineRule="exact"/>
        <w:jc w:val="center"/>
        <w:textAlignment w:val="center"/>
        <w:rPr>
          <w:rFonts w:ascii="仿宋_GB2312" w:hAnsi="宋体" w:eastAsia="仿宋_GB2312"/>
          <w:color w:val="auto"/>
          <w:sz w:val="30"/>
          <w:szCs w:val="30"/>
          <w:highlight w:val="none"/>
        </w:rPr>
      </w:pPr>
    </w:p>
    <w:p w14:paraId="212FDFFB">
      <w:pPr>
        <w:spacing w:beforeLines="100" w:line="480" w:lineRule="exact"/>
        <w:jc w:val="center"/>
        <w:textAlignment w:val="center"/>
        <w:rPr>
          <w:rFonts w:ascii="仿宋_GB2312" w:hAnsi="宋体" w:eastAsia="仿宋_GB2312"/>
          <w:color w:val="auto"/>
          <w:sz w:val="30"/>
          <w:szCs w:val="30"/>
          <w:highlight w:val="none"/>
        </w:rPr>
      </w:pPr>
    </w:p>
    <w:p w14:paraId="77CDABC6">
      <w:pPr>
        <w:spacing w:beforeLines="100" w:line="480" w:lineRule="exact"/>
        <w:jc w:val="center"/>
        <w:textAlignment w:val="center"/>
        <w:rPr>
          <w:rFonts w:ascii="仿宋_GB2312" w:hAnsi="宋体" w:eastAsia="仿宋_GB2312"/>
          <w:color w:val="auto"/>
          <w:sz w:val="30"/>
          <w:szCs w:val="30"/>
          <w:highlight w:val="none"/>
        </w:rPr>
      </w:pPr>
    </w:p>
    <w:p w14:paraId="6947C99D">
      <w:pPr>
        <w:spacing w:beforeLines="100" w:line="480" w:lineRule="exact"/>
        <w:jc w:val="center"/>
        <w:textAlignment w:val="center"/>
        <w:rPr>
          <w:rFonts w:ascii="仿宋_GB2312" w:hAnsi="宋体" w:eastAsia="仿宋_GB2312"/>
          <w:color w:val="auto"/>
          <w:sz w:val="30"/>
          <w:szCs w:val="30"/>
          <w:highlight w:val="none"/>
        </w:rPr>
      </w:pPr>
    </w:p>
    <w:p w14:paraId="6612F38F">
      <w:pPr>
        <w:spacing w:beforeLines="100" w:line="480" w:lineRule="exact"/>
        <w:jc w:val="center"/>
        <w:textAlignment w:val="center"/>
        <w:rPr>
          <w:rFonts w:ascii="仿宋_GB2312" w:hAnsi="宋体" w:eastAsia="仿宋_GB2312"/>
          <w:color w:val="auto"/>
          <w:sz w:val="30"/>
          <w:szCs w:val="30"/>
          <w:highlight w:val="none"/>
        </w:rPr>
      </w:pPr>
    </w:p>
    <w:p w14:paraId="14C12AAE">
      <w:pPr>
        <w:spacing w:beforeLines="100" w:line="480" w:lineRule="exact"/>
        <w:jc w:val="center"/>
        <w:textAlignment w:val="center"/>
        <w:rPr>
          <w:rFonts w:ascii="仿宋_GB2312" w:hAnsi="宋体" w:eastAsia="仿宋_GB2312"/>
          <w:color w:val="auto"/>
          <w:sz w:val="30"/>
          <w:szCs w:val="30"/>
          <w:highlight w:val="none"/>
        </w:rPr>
      </w:pPr>
    </w:p>
    <w:p w14:paraId="25DD1412">
      <w:pPr>
        <w:spacing w:beforeLines="100" w:line="480" w:lineRule="exact"/>
        <w:jc w:val="center"/>
        <w:textAlignment w:val="center"/>
        <w:rPr>
          <w:rFonts w:ascii="仿宋_GB2312" w:hAnsi="宋体" w:eastAsia="仿宋_GB2312"/>
          <w:color w:val="auto"/>
          <w:sz w:val="30"/>
          <w:szCs w:val="30"/>
          <w:highlight w:val="none"/>
        </w:rPr>
      </w:pPr>
    </w:p>
    <w:p w14:paraId="4F51CD65">
      <w:pPr>
        <w:spacing w:beforeLines="100" w:line="480" w:lineRule="exact"/>
        <w:jc w:val="center"/>
        <w:textAlignment w:val="center"/>
        <w:rPr>
          <w:rFonts w:ascii="仿宋_GB2312" w:hAnsi="宋体" w:eastAsia="仿宋_GB2312"/>
          <w:color w:val="auto"/>
          <w:sz w:val="30"/>
          <w:szCs w:val="30"/>
          <w:highlight w:val="none"/>
        </w:rPr>
      </w:pPr>
    </w:p>
    <w:p w14:paraId="35F326D0">
      <w:pPr>
        <w:spacing w:beforeLines="100" w:line="480" w:lineRule="exact"/>
        <w:jc w:val="center"/>
        <w:textAlignment w:val="center"/>
        <w:rPr>
          <w:rFonts w:ascii="仿宋_GB2312" w:hAnsi="宋体" w:eastAsia="仿宋_GB2312"/>
          <w:color w:val="auto"/>
          <w:sz w:val="30"/>
          <w:szCs w:val="30"/>
          <w:highlight w:val="none"/>
        </w:rPr>
      </w:pPr>
    </w:p>
    <w:p w14:paraId="37E3A61A">
      <w:pPr>
        <w:spacing w:beforeLines="100" w:line="480" w:lineRule="exact"/>
        <w:jc w:val="center"/>
        <w:textAlignment w:val="center"/>
        <w:rPr>
          <w:rFonts w:ascii="仿宋_GB2312" w:hAnsi="宋体" w:eastAsia="仿宋_GB2312"/>
          <w:color w:val="auto"/>
          <w:sz w:val="28"/>
          <w:szCs w:val="28"/>
          <w:highlight w:val="none"/>
        </w:rPr>
      </w:pPr>
      <w:r>
        <w:rPr>
          <w:rFonts w:hint="eastAsia" w:ascii="宋体" w:hAnsi="宋体"/>
          <w:color w:val="auto"/>
          <w:sz w:val="28"/>
          <w:szCs w:val="28"/>
          <w:highlight w:val="none"/>
        </w:rPr>
        <w:t>一、响应函及响应函附录</w:t>
      </w:r>
    </w:p>
    <w:p w14:paraId="31DACEA3">
      <w:pPr>
        <w:numPr>
          <w:ilvl w:val="0"/>
          <w:numId w:val="4"/>
        </w:numPr>
        <w:spacing w:beforeLines="100" w:afterLines="50" w:line="24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响应函</w:t>
      </w:r>
    </w:p>
    <w:p w14:paraId="2A0BEF12">
      <w:pPr>
        <w:autoSpaceDE w:val="0"/>
        <w:spacing w:beforeLines="100" w:afterLines="50" w:line="360" w:lineRule="exact"/>
        <w:textAlignment w:val="center"/>
        <w:rPr>
          <w:rFonts w:ascii="宋体" w:hAnsi="宋体"/>
          <w:color w:val="auto"/>
          <w:sz w:val="24"/>
          <w:szCs w:val="24"/>
          <w:highlight w:val="none"/>
        </w:rPr>
      </w:pPr>
      <w:r>
        <w:rPr>
          <w:rFonts w:hint="eastAsia" w:ascii="宋体" w:hAnsi="宋体"/>
          <w:color w:val="auto"/>
          <w:sz w:val="24"/>
          <w:szCs w:val="24"/>
          <w:highlight w:val="none"/>
        </w:rPr>
        <w:t>（招标人名称）：</w:t>
      </w:r>
    </w:p>
    <w:p w14:paraId="32E24553">
      <w:pPr>
        <w:spacing w:line="560" w:lineRule="exact"/>
        <w:ind w:firstLine="480" w:firstLineChars="200"/>
        <w:rPr>
          <w:rFonts w:ascii="宋体" w:hAnsi="宋体"/>
          <w:color w:val="auto"/>
          <w:spacing w:val="-3"/>
          <w:sz w:val="24"/>
          <w:szCs w:val="24"/>
          <w:highlight w:val="none"/>
        </w:rPr>
      </w:pPr>
      <w:r>
        <w:rPr>
          <w:rFonts w:hint="eastAsia" w:ascii="宋体" w:hAnsi="宋体"/>
          <w:color w:val="auto"/>
          <w:sz w:val="24"/>
          <w:szCs w:val="24"/>
          <w:highlight w:val="none"/>
        </w:rPr>
        <w:t>1、我方已仔细研究了</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 xml:space="preserve"> 竞争性磋商文件的全部内容，愿以人民币</w:t>
      </w:r>
      <w:r>
        <w:rPr>
          <w:rFonts w:hint="eastAsia" w:ascii="宋体" w:hAnsi="宋体"/>
          <w:color w:val="auto"/>
          <w:sz w:val="24"/>
          <w:szCs w:val="24"/>
          <w:highlight w:val="none"/>
          <w:u w:val="single"/>
        </w:rPr>
        <w:t>（大写）</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元</w:t>
      </w:r>
      <w:r>
        <w:rPr>
          <w:rFonts w:hint="eastAsia" w:ascii="宋体" w:hAnsi="宋体"/>
          <w:color w:val="auto"/>
          <w:sz w:val="24"/>
          <w:szCs w:val="24"/>
          <w:highlight w:val="none"/>
          <w:u w:val="single"/>
        </w:rPr>
        <w:t>）</w:t>
      </w:r>
      <w:r>
        <w:rPr>
          <w:rFonts w:hint="eastAsia" w:ascii="宋体" w:hAnsi="宋体"/>
          <w:color w:val="auto"/>
          <w:sz w:val="24"/>
          <w:szCs w:val="24"/>
          <w:highlight w:val="none"/>
        </w:rPr>
        <w:t>的磋商总报价，</w:t>
      </w:r>
      <w:r>
        <w:rPr>
          <w:rFonts w:hint="eastAsia" w:ascii="宋体" w:hAnsi="宋体"/>
          <w:color w:val="auto"/>
          <w:spacing w:val="-3"/>
          <w:sz w:val="24"/>
          <w:szCs w:val="24"/>
          <w:highlight w:val="none"/>
        </w:rPr>
        <w:t>按合同约定实施和完成承包工程，修补工程中的任何缺陷。</w:t>
      </w:r>
    </w:p>
    <w:p w14:paraId="2FAB8588">
      <w:pPr>
        <w:autoSpaceDE w:val="0"/>
        <w:spacing w:line="52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2、我方承诺在竞争性磋商文件规定的磋商有效期内不修改、撤销磋商响应文件。</w:t>
      </w:r>
    </w:p>
    <w:p w14:paraId="46BAF3FA">
      <w:pPr>
        <w:autoSpaceDE w:val="0"/>
        <w:spacing w:line="52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3、如我方成交：</w:t>
      </w:r>
      <w:r>
        <w:rPr>
          <w:rFonts w:hint="eastAsia" w:ascii="宋体" w:hAnsi="宋体"/>
          <w:color w:val="auto"/>
          <w:sz w:val="24"/>
          <w:szCs w:val="24"/>
          <w:highlight w:val="none"/>
        </w:rPr>
        <w:tab/>
      </w:r>
    </w:p>
    <w:p w14:paraId="60C0F1DB">
      <w:pPr>
        <w:autoSpaceDE w:val="0"/>
        <w:spacing w:line="52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 xml:space="preserve">（1）我方承诺在收到成交通知书后，在成交通知书规定的期限内与你方签订合同。      </w:t>
      </w:r>
    </w:p>
    <w:p w14:paraId="034D3234">
      <w:pPr>
        <w:autoSpaceDE w:val="0"/>
        <w:spacing w:line="52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（2）随同本响应函递交的响应函附录属于合同文件的组成部分。</w:t>
      </w:r>
    </w:p>
    <w:p w14:paraId="3E39A8E3">
      <w:pPr>
        <w:autoSpaceDE w:val="0"/>
        <w:spacing w:line="52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（3）我方承诺在合同约定的期限内完成并移交全部合同工程。</w:t>
      </w:r>
    </w:p>
    <w:p w14:paraId="0CB02A71">
      <w:pPr>
        <w:autoSpaceDE w:val="0"/>
        <w:spacing w:line="520" w:lineRule="exact"/>
        <w:ind w:firstLine="424" w:firstLineChars="177"/>
        <w:textAlignment w:val="center"/>
        <w:rPr>
          <w:rFonts w:ascii="宋体" w:hAnsi="宋体"/>
          <w:color w:val="auto"/>
          <w:sz w:val="24"/>
          <w:szCs w:val="24"/>
          <w:highlight w:val="none"/>
        </w:rPr>
      </w:pPr>
      <w:r>
        <w:rPr>
          <w:rFonts w:hint="eastAsia" w:ascii="宋体" w:hAnsi="宋体"/>
          <w:color w:val="auto"/>
          <w:sz w:val="24"/>
          <w:szCs w:val="24"/>
          <w:highlight w:val="none"/>
        </w:rPr>
        <w:t>4、我方在此声明，所递交的磋商响应文件及有关资料内容完整、真实和准确。且不存在法律法规限制磋商的任何情形。</w:t>
      </w:r>
    </w:p>
    <w:p w14:paraId="6CE78687">
      <w:pPr>
        <w:spacing w:beforeLines="100" w:afterLines="50" w:line="520" w:lineRule="exact"/>
        <w:jc w:val="left"/>
        <w:textAlignment w:val="center"/>
        <w:rPr>
          <w:rFonts w:ascii="宋体" w:hAnsi="宋体"/>
          <w:color w:val="auto"/>
          <w:sz w:val="24"/>
          <w:szCs w:val="24"/>
          <w:highlight w:val="none"/>
        </w:rPr>
      </w:pPr>
    </w:p>
    <w:p w14:paraId="009AD755">
      <w:pPr>
        <w:spacing w:line="600" w:lineRule="exact"/>
        <w:ind w:firstLine="3742"/>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：（盖单位公章）</w:t>
      </w:r>
    </w:p>
    <w:p w14:paraId="0EE71861">
      <w:pPr>
        <w:spacing w:line="600" w:lineRule="exact"/>
        <w:ind w:firstLine="3742"/>
        <w:rPr>
          <w:rFonts w:ascii="宋体" w:hAnsi="宋体"/>
          <w:color w:val="auto"/>
          <w:sz w:val="24"/>
          <w:szCs w:val="24"/>
          <w:highlight w:val="none"/>
        </w:rPr>
      </w:pPr>
      <w:r>
        <w:rPr>
          <w:rFonts w:hint="eastAsia" w:ascii="宋体" w:hAnsi="宋体"/>
          <w:color w:val="auto"/>
          <w:sz w:val="24"/>
          <w:szCs w:val="24"/>
          <w:highlight w:val="none"/>
        </w:rPr>
        <w:t>法定代表人：（电子签章）</w:t>
      </w:r>
    </w:p>
    <w:p w14:paraId="7183F8F3">
      <w:pPr>
        <w:spacing w:line="600" w:lineRule="exact"/>
        <w:ind w:firstLine="3742"/>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联系电话：</w:t>
      </w:r>
    </w:p>
    <w:p w14:paraId="30F72D56">
      <w:pPr>
        <w:spacing w:line="600" w:lineRule="exact"/>
        <w:ind w:firstLine="3742"/>
        <w:rPr>
          <w:rFonts w:ascii="宋体"/>
          <w:color w:val="auto"/>
          <w:sz w:val="24"/>
          <w:szCs w:val="24"/>
          <w:highlight w:val="none"/>
        </w:rPr>
      </w:pPr>
      <w:r>
        <w:rPr>
          <w:rFonts w:hint="eastAsia" w:ascii="宋体" w:hAnsi="宋体"/>
          <w:color w:val="auto"/>
          <w:sz w:val="24"/>
          <w:szCs w:val="24"/>
          <w:highlight w:val="none"/>
        </w:rPr>
        <w:t>日  期：年月日</w:t>
      </w:r>
    </w:p>
    <w:p w14:paraId="371CD43F">
      <w:pPr>
        <w:spacing w:beforeLines="100" w:afterLines="50" w:line="240" w:lineRule="exact"/>
        <w:jc w:val="center"/>
        <w:textAlignment w:val="center"/>
        <w:rPr>
          <w:rFonts w:ascii="宋体" w:hAnsi="宋体"/>
          <w:color w:val="auto"/>
          <w:sz w:val="24"/>
          <w:szCs w:val="24"/>
          <w:highlight w:val="none"/>
        </w:rPr>
      </w:pPr>
    </w:p>
    <w:p w14:paraId="7E3AE785">
      <w:pPr>
        <w:spacing w:beforeLines="100" w:afterLines="50" w:line="240" w:lineRule="exact"/>
        <w:jc w:val="center"/>
        <w:textAlignment w:val="center"/>
        <w:rPr>
          <w:rFonts w:ascii="宋体" w:hAnsi="宋体"/>
          <w:color w:val="auto"/>
          <w:sz w:val="24"/>
          <w:szCs w:val="24"/>
          <w:highlight w:val="none"/>
        </w:rPr>
      </w:pPr>
    </w:p>
    <w:p w14:paraId="4177EAEB">
      <w:pPr>
        <w:spacing w:beforeLines="100" w:afterLines="50" w:line="240" w:lineRule="exact"/>
        <w:jc w:val="center"/>
        <w:textAlignment w:val="center"/>
        <w:rPr>
          <w:rFonts w:ascii="宋体" w:hAnsi="宋体"/>
          <w:color w:val="auto"/>
          <w:sz w:val="24"/>
          <w:szCs w:val="24"/>
          <w:highlight w:val="none"/>
        </w:rPr>
      </w:pPr>
    </w:p>
    <w:p w14:paraId="5C1AAE5E">
      <w:pPr>
        <w:spacing w:beforeLines="100" w:afterLines="50" w:line="240" w:lineRule="exact"/>
        <w:jc w:val="center"/>
        <w:textAlignment w:val="center"/>
        <w:rPr>
          <w:rFonts w:ascii="宋体" w:hAnsi="宋体"/>
          <w:color w:val="auto"/>
          <w:sz w:val="24"/>
          <w:szCs w:val="24"/>
          <w:highlight w:val="none"/>
        </w:rPr>
      </w:pPr>
    </w:p>
    <w:p w14:paraId="3E1EC264">
      <w:pPr>
        <w:spacing w:beforeLines="100" w:afterLines="50" w:line="240" w:lineRule="exact"/>
        <w:jc w:val="center"/>
        <w:textAlignment w:val="center"/>
        <w:rPr>
          <w:rFonts w:ascii="宋体" w:hAnsi="宋体"/>
          <w:color w:val="auto"/>
          <w:sz w:val="24"/>
          <w:szCs w:val="24"/>
          <w:highlight w:val="none"/>
        </w:rPr>
      </w:pPr>
    </w:p>
    <w:p w14:paraId="745DB302">
      <w:pPr>
        <w:spacing w:beforeLines="100" w:afterLines="50" w:line="240" w:lineRule="exact"/>
        <w:jc w:val="center"/>
        <w:textAlignment w:val="center"/>
        <w:rPr>
          <w:rFonts w:ascii="宋体" w:hAnsi="宋体"/>
          <w:color w:val="auto"/>
          <w:sz w:val="24"/>
          <w:szCs w:val="24"/>
          <w:highlight w:val="none"/>
        </w:rPr>
      </w:pPr>
    </w:p>
    <w:p w14:paraId="2C40E7D4">
      <w:pPr>
        <w:spacing w:beforeLines="100" w:afterLines="50" w:line="24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（二）响应函附录</w:t>
      </w:r>
    </w:p>
    <w:tbl>
      <w:tblPr>
        <w:tblStyle w:val="17"/>
        <w:tblW w:w="8459" w:type="dxa"/>
        <w:tblInd w:w="227" w:type="dxa"/>
        <w:tblLayout w:type="fixed"/>
        <w:tblCellMar>
          <w:top w:w="0" w:type="dxa"/>
          <w:left w:w="108" w:type="dxa"/>
          <w:bottom w:w="0" w:type="dxa"/>
          <w:right w:w="108" w:type="dxa"/>
        </w:tblCellMar>
      </w:tblPr>
      <w:tblGrid>
        <w:gridCol w:w="1789"/>
        <w:gridCol w:w="2386"/>
        <w:gridCol w:w="1719"/>
        <w:gridCol w:w="2565"/>
      </w:tblGrid>
      <w:tr w14:paraId="426D167D">
        <w:tblPrEx>
          <w:tblCellMar>
            <w:top w:w="0" w:type="dxa"/>
            <w:left w:w="108" w:type="dxa"/>
            <w:bottom w:w="0" w:type="dxa"/>
            <w:right w:w="108" w:type="dxa"/>
          </w:tblCellMar>
        </w:tblPrEx>
        <w:trPr>
          <w:trHeight w:val="992" w:hRule="atLeast"/>
        </w:trPr>
        <w:tc>
          <w:tcPr>
            <w:tcW w:w="1789" w:type="dxa"/>
            <w:tcBorders>
              <w:top w:val="single" w:color="000000" w:sz="6" w:space="0"/>
              <w:left w:val="single" w:color="000000" w:sz="6" w:space="0"/>
              <w:bottom w:val="single" w:color="000000" w:sz="6" w:space="0"/>
              <w:right w:val="single" w:color="auto" w:sz="4" w:space="0"/>
            </w:tcBorders>
            <w:tcMar>
              <w:top w:w="0" w:type="dxa"/>
              <w:left w:w="0" w:type="dxa"/>
              <w:bottom w:w="0" w:type="dxa"/>
              <w:right w:w="0" w:type="dxa"/>
            </w:tcMar>
            <w:vAlign w:val="center"/>
          </w:tcPr>
          <w:p w14:paraId="178FBF17">
            <w:pPr>
              <w:spacing w:before="100" w:beforeAutospacing="1" w:line="271" w:lineRule="auto"/>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6670"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2D2A347">
            <w:pPr>
              <w:spacing w:before="100" w:beforeAutospacing="1" w:line="271" w:lineRule="auto"/>
              <w:ind w:firstLine="240" w:firstLineChars="100"/>
              <w:rPr>
                <w:rFonts w:ascii="宋体" w:hAnsi="宋体"/>
                <w:color w:val="auto"/>
                <w:sz w:val="24"/>
                <w:szCs w:val="24"/>
                <w:highlight w:val="none"/>
              </w:rPr>
            </w:pPr>
            <w:r>
              <w:rPr>
                <w:rFonts w:hint="eastAsia" w:ascii="宋体" w:hAnsi="宋体"/>
                <w:color w:val="auto"/>
                <w:sz w:val="24"/>
                <w:szCs w:val="24"/>
                <w:highlight w:val="none"/>
              </w:rPr>
              <w:t xml:space="preserve">                                   　</w:t>
            </w:r>
          </w:p>
        </w:tc>
      </w:tr>
      <w:tr w14:paraId="2BD8B81E">
        <w:tblPrEx>
          <w:tblCellMar>
            <w:top w:w="0" w:type="dxa"/>
            <w:left w:w="108" w:type="dxa"/>
            <w:bottom w:w="0" w:type="dxa"/>
            <w:right w:w="108" w:type="dxa"/>
          </w:tblCellMar>
        </w:tblPrEx>
        <w:trPr>
          <w:trHeight w:val="843" w:hRule="atLeast"/>
        </w:trPr>
        <w:tc>
          <w:tcPr>
            <w:tcW w:w="1789" w:type="dxa"/>
            <w:tcBorders>
              <w:top w:val="single" w:color="000000" w:sz="6" w:space="0"/>
              <w:left w:val="single" w:color="000000" w:sz="6" w:space="0"/>
              <w:bottom w:val="single" w:color="000000" w:sz="6" w:space="0"/>
              <w:right w:val="single" w:color="auto" w:sz="4" w:space="0"/>
            </w:tcBorders>
            <w:tcMar>
              <w:top w:w="0" w:type="dxa"/>
              <w:left w:w="0" w:type="dxa"/>
              <w:bottom w:w="0" w:type="dxa"/>
              <w:right w:w="0" w:type="dxa"/>
            </w:tcMar>
            <w:vAlign w:val="center"/>
          </w:tcPr>
          <w:p w14:paraId="11720D9C">
            <w:pPr>
              <w:spacing w:before="100" w:beforeAutospacing="1" w:line="271" w:lineRule="auto"/>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p>
        </w:tc>
        <w:tc>
          <w:tcPr>
            <w:tcW w:w="6670"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9F3E4F9">
            <w:pPr>
              <w:spacing w:before="100" w:beforeAutospacing="1" w:line="271" w:lineRule="auto"/>
              <w:jc w:val="center"/>
              <w:rPr>
                <w:rFonts w:ascii="宋体" w:hAnsi="宋体"/>
                <w:color w:val="auto"/>
                <w:sz w:val="24"/>
                <w:szCs w:val="24"/>
                <w:highlight w:val="none"/>
              </w:rPr>
            </w:pPr>
          </w:p>
        </w:tc>
      </w:tr>
      <w:tr w14:paraId="6FB4DB4C">
        <w:tblPrEx>
          <w:tblCellMar>
            <w:top w:w="0" w:type="dxa"/>
            <w:left w:w="108" w:type="dxa"/>
            <w:bottom w:w="0" w:type="dxa"/>
            <w:right w:w="108" w:type="dxa"/>
          </w:tblCellMar>
        </w:tblPrEx>
        <w:trPr>
          <w:trHeight w:val="776" w:hRule="atLeast"/>
        </w:trPr>
        <w:tc>
          <w:tcPr>
            <w:tcW w:w="178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FCB293C">
            <w:pPr>
              <w:spacing w:before="100" w:beforeAutospacing="1" w:line="3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拟派项目</w:t>
            </w:r>
            <w:r>
              <w:rPr>
                <w:rFonts w:hint="eastAsia" w:ascii="宋体" w:hAnsi="宋体"/>
                <w:color w:val="auto"/>
                <w:sz w:val="24"/>
                <w:szCs w:val="24"/>
                <w:highlight w:val="none"/>
                <w:lang w:val="en-US" w:eastAsia="zh-CN"/>
              </w:rPr>
              <w:t>经理</w:t>
            </w:r>
          </w:p>
        </w:tc>
        <w:tc>
          <w:tcPr>
            <w:tcW w:w="2386" w:type="dxa"/>
            <w:tcBorders>
              <w:top w:val="single" w:color="000000" w:sz="6" w:space="0"/>
              <w:left w:val="nil"/>
              <w:bottom w:val="single" w:color="000000" w:sz="6" w:space="0"/>
              <w:right w:val="single" w:color="auto" w:sz="4" w:space="0"/>
            </w:tcBorders>
            <w:tcMar>
              <w:top w:w="0" w:type="dxa"/>
              <w:left w:w="0" w:type="dxa"/>
              <w:bottom w:w="0" w:type="dxa"/>
              <w:right w:w="0" w:type="dxa"/>
            </w:tcMar>
            <w:vAlign w:val="center"/>
          </w:tcPr>
          <w:p w14:paraId="0086D8C5">
            <w:pPr>
              <w:spacing w:before="100" w:beforeAutospacing="1" w:line="271" w:lineRule="auto"/>
              <w:jc w:val="center"/>
              <w:rPr>
                <w:rFonts w:ascii="宋体" w:hAnsi="宋体"/>
                <w:color w:val="auto"/>
                <w:sz w:val="24"/>
                <w:szCs w:val="24"/>
                <w:highlight w:val="none"/>
              </w:rPr>
            </w:pPr>
          </w:p>
        </w:tc>
        <w:tc>
          <w:tcPr>
            <w:tcW w:w="1719" w:type="dxa"/>
            <w:tcBorders>
              <w:top w:val="single" w:color="000000" w:sz="6" w:space="0"/>
              <w:left w:val="single" w:color="auto" w:sz="4" w:space="0"/>
              <w:bottom w:val="single" w:color="000000" w:sz="6" w:space="0"/>
              <w:right w:val="single" w:color="auto" w:sz="4" w:space="0"/>
            </w:tcBorders>
            <w:tcMar>
              <w:top w:w="0" w:type="dxa"/>
              <w:left w:w="0" w:type="dxa"/>
              <w:bottom w:w="0" w:type="dxa"/>
              <w:right w:w="0" w:type="dxa"/>
            </w:tcMar>
            <w:vAlign w:val="center"/>
          </w:tcPr>
          <w:p w14:paraId="4B966F61">
            <w:pPr>
              <w:spacing w:before="100" w:beforeAutospacing="1" w:line="271" w:lineRule="auto"/>
              <w:jc w:val="center"/>
              <w:rPr>
                <w:rFonts w:ascii="宋体" w:hAnsi="宋体"/>
                <w:color w:val="auto"/>
                <w:sz w:val="24"/>
                <w:szCs w:val="24"/>
                <w:highlight w:val="none"/>
              </w:rPr>
            </w:pPr>
            <w:r>
              <w:rPr>
                <w:rFonts w:hint="eastAsia" w:ascii="宋体" w:hAnsi="宋体"/>
                <w:color w:val="auto"/>
                <w:sz w:val="24"/>
                <w:szCs w:val="24"/>
                <w:highlight w:val="none"/>
              </w:rPr>
              <w:t>证书编号</w:t>
            </w:r>
          </w:p>
        </w:tc>
        <w:tc>
          <w:tcPr>
            <w:tcW w:w="2565" w:type="dxa"/>
            <w:tcBorders>
              <w:top w:val="single" w:color="000000" w:sz="6" w:space="0"/>
              <w:left w:val="single" w:color="auto" w:sz="4" w:space="0"/>
              <w:bottom w:val="single" w:color="000000" w:sz="6" w:space="0"/>
              <w:right w:val="single" w:color="000000" w:sz="6" w:space="0"/>
            </w:tcBorders>
            <w:tcMar>
              <w:top w:w="0" w:type="dxa"/>
              <w:left w:w="0" w:type="dxa"/>
              <w:bottom w:w="0" w:type="dxa"/>
              <w:right w:w="0" w:type="dxa"/>
            </w:tcMar>
            <w:vAlign w:val="center"/>
          </w:tcPr>
          <w:p w14:paraId="082B8AA6">
            <w:pPr>
              <w:spacing w:before="100" w:beforeAutospacing="1" w:line="271" w:lineRule="auto"/>
              <w:jc w:val="center"/>
              <w:rPr>
                <w:rFonts w:ascii="宋体" w:hAnsi="宋体"/>
                <w:color w:val="auto"/>
                <w:sz w:val="24"/>
                <w:szCs w:val="24"/>
                <w:highlight w:val="none"/>
              </w:rPr>
            </w:pPr>
          </w:p>
        </w:tc>
      </w:tr>
      <w:tr w14:paraId="4B8FC253">
        <w:tblPrEx>
          <w:tblCellMar>
            <w:top w:w="0" w:type="dxa"/>
            <w:left w:w="108" w:type="dxa"/>
            <w:bottom w:w="0" w:type="dxa"/>
            <w:right w:w="108" w:type="dxa"/>
          </w:tblCellMar>
        </w:tblPrEx>
        <w:trPr>
          <w:trHeight w:val="805" w:hRule="atLeast"/>
        </w:trPr>
        <w:tc>
          <w:tcPr>
            <w:tcW w:w="178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81622EF">
            <w:pPr>
              <w:spacing w:before="100" w:beforeAutospacing="1" w:line="320" w:lineRule="exact"/>
              <w:jc w:val="center"/>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拟派技术负责人</w:t>
            </w:r>
          </w:p>
        </w:tc>
        <w:tc>
          <w:tcPr>
            <w:tcW w:w="2386" w:type="dxa"/>
            <w:tcBorders>
              <w:top w:val="single" w:color="000000" w:sz="6" w:space="0"/>
              <w:left w:val="nil"/>
              <w:bottom w:val="single" w:color="000000" w:sz="6" w:space="0"/>
              <w:right w:val="single" w:color="auto" w:sz="4" w:space="0"/>
            </w:tcBorders>
            <w:tcMar>
              <w:top w:w="0" w:type="dxa"/>
              <w:left w:w="0" w:type="dxa"/>
              <w:bottom w:w="0" w:type="dxa"/>
              <w:right w:w="0" w:type="dxa"/>
            </w:tcMar>
            <w:vAlign w:val="center"/>
          </w:tcPr>
          <w:p w14:paraId="7B2CF851">
            <w:pPr>
              <w:spacing w:before="100" w:beforeAutospacing="1" w:line="271" w:lineRule="auto"/>
              <w:jc w:val="center"/>
              <w:rPr>
                <w:rFonts w:ascii="宋体" w:hAnsi="宋体"/>
                <w:color w:val="auto"/>
                <w:sz w:val="24"/>
                <w:szCs w:val="24"/>
                <w:highlight w:val="none"/>
              </w:rPr>
            </w:pPr>
          </w:p>
        </w:tc>
        <w:tc>
          <w:tcPr>
            <w:tcW w:w="1719" w:type="dxa"/>
            <w:tcBorders>
              <w:top w:val="single" w:color="000000" w:sz="6" w:space="0"/>
              <w:left w:val="single" w:color="auto" w:sz="4" w:space="0"/>
              <w:bottom w:val="single" w:color="000000" w:sz="6" w:space="0"/>
              <w:right w:val="single" w:color="auto" w:sz="4" w:space="0"/>
            </w:tcBorders>
            <w:tcMar>
              <w:top w:w="0" w:type="dxa"/>
              <w:left w:w="0" w:type="dxa"/>
              <w:bottom w:w="0" w:type="dxa"/>
              <w:right w:w="0" w:type="dxa"/>
            </w:tcMar>
            <w:vAlign w:val="center"/>
          </w:tcPr>
          <w:p w14:paraId="49C37541">
            <w:pPr>
              <w:spacing w:before="100" w:beforeAutospacing="1" w:line="271" w:lineRule="auto"/>
              <w:jc w:val="center"/>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证书编号</w:t>
            </w:r>
          </w:p>
        </w:tc>
        <w:tc>
          <w:tcPr>
            <w:tcW w:w="2565" w:type="dxa"/>
            <w:tcBorders>
              <w:top w:val="single" w:color="000000" w:sz="6" w:space="0"/>
              <w:left w:val="single" w:color="auto" w:sz="4" w:space="0"/>
              <w:bottom w:val="single" w:color="000000" w:sz="6" w:space="0"/>
              <w:right w:val="single" w:color="000000" w:sz="6" w:space="0"/>
            </w:tcBorders>
            <w:tcMar>
              <w:top w:w="0" w:type="dxa"/>
              <w:left w:w="0" w:type="dxa"/>
              <w:bottom w:w="0" w:type="dxa"/>
              <w:right w:w="0" w:type="dxa"/>
            </w:tcMar>
            <w:vAlign w:val="center"/>
          </w:tcPr>
          <w:p w14:paraId="764ABE99">
            <w:pPr>
              <w:spacing w:before="100" w:beforeAutospacing="1" w:line="271" w:lineRule="auto"/>
              <w:jc w:val="center"/>
              <w:rPr>
                <w:rFonts w:ascii="宋体" w:hAnsi="宋体"/>
                <w:color w:val="auto"/>
                <w:sz w:val="24"/>
                <w:szCs w:val="24"/>
                <w:highlight w:val="none"/>
              </w:rPr>
            </w:pPr>
          </w:p>
        </w:tc>
      </w:tr>
      <w:tr w14:paraId="7179A7D9">
        <w:tblPrEx>
          <w:tblCellMar>
            <w:top w:w="0" w:type="dxa"/>
            <w:left w:w="108" w:type="dxa"/>
            <w:bottom w:w="0" w:type="dxa"/>
            <w:right w:w="108" w:type="dxa"/>
          </w:tblCellMar>
        </w:tblPrEx>
        <w:trPr>
          <w:trHeight w:val="1507" w:hRule="atLeast"/>
        </w:trPr>
        <w:tc>
          <w:tcPr>
            <w:tcW w:w="178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7ABD7F7">
            <w:pPr>
              <w:spacing w:before="100" w:beforeAutospacing="1" w:line="271" w:lineRule="auto"/>
              <w:ind w:left="19" w:hanging="19" w:hangingChars="8"/>
              <w:jc w:val="center"/>
              <w:rPr>
                <w:rFonts w:ascii="宋体" w:hAnsi="宋体"/>
                <w:color w:val="auto"/>
                <w:sz w:val="24"/>
                <w:szCs w:val="24"/>
                <w:highlight w:val="none"/>
              </w:rPr>
            </w:pPr>
            <w:r>
              <w:rPr>
                <w:rFonts w:hint="eastAsia" w:ascii="宋体" w:hAnsi="宋体"/>
                <w:color w:val="auto"/>
                <w:sz w:val="24"/>
                <w:szCs w:val="24"/>
                <w:highlight w:val="none"/>
              </w:rPr>
              <w:t>磋商总报价（元）</w:t>
            </w:r>
          </w:p>
        </w:tc>
        <w:tc>
          <w:tcPr>
            <w:tcW w:w="6670"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B7CCEB8">
            <w:pPr>
              <w:ind w:firstLine="249" w:firstLineChars="104"/>
              <w:rPr>
                <w:rFonts w:ascii="宋体" w:hAnsi="宋体"/>
                <w:color w:val="auto"/>
                <w:sz w:val="24"/>
                <w:szCs w:val="24"/>
                <w:highlight w:val="none"/>
              </w:rPr>
            </w:pPr>
            <w:r>
              <w:rPr>
                <w:rFonts w:hint="eastAsia" w:ascii="宋体" w:hAnsi="宋体"/>
                <w:color w:val="auto"/>
                <w:sz w:val="24"/>
                <w:szCs w:val="24"/>
                <w:highlight w:val="none"/>
              </w:rPr>
              <w:t xml:space="preserve">人民币（大写）：              </w:t>
            </w:r>
          </w:p>
          <w:p w14:paraId="66591352">
            <w:pPr>
              <w:spacing w:before="100" w:beforeAutospacing="1" w:line="271" w:lineRule="auto"/>
              <w:ind w:firstLine="249" w:firstLineChars="104"/>
              <w:rPr>
                <w:rFonts w:ascii="宋体" w:hAnsi="宋体"/>
                <w:color w:val="auto"/>
                <w:sz w:val="24"/>
                <w:szCs w:val="24"/>
                <w:highlight w:val="none"/>
              </w:rPr>
            </w:pPr>
            <w:r>
              <w:rPr>
                <w:rFonts w:hint="eastAsia" w:ascii="宋体" w:hAnsi="宋体"/>
                <w:color w:val="auto"/>
                <w:sz w:val="24"/>
                <w:szCs w:val="24"/>
                <w:highlight w:val="none"/>
              </w:rPr>
              <w:t>￥：元</w:t>
            </w:r>
          </w:p>
        </w:tc>
      </w:tr>
      <w:tr w14:paraId="1E05968D">
        <w:tblPrEx>
          <w:tblCellMar>
            <w:top w:w="0" w:type="dxa"/>
            <w:left w:w="108" w:type="dxa"/>
            <w:bottom w:w="0" w:type="dxa"/>
            <w:right w:w="108" w:type="dxa"/>
          </w:tblCellMar>
        </w:tblPrEx>
        <w:trPr>
          <w:trHeight w:val="949" w:hRule="atLeast"/>
        </w:trPr>
        <w:tc>
          <w:tcPr>
            <w:tcW w:w="178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A464751">
            <w:pPr>
              <w:spacing w:before="100" w:beforeAutospacing="1" w:line="271" w:lineRule="auto"/>
              <w:jc w:val="center"/>
              <w:rPr>
                <w:rFonts w:ascii="宋体" w:hAnsi="宋体"/>
                <w:color w:val="auto"/>
                <w:sz w:val="24"/>
                <w:szCs w:val="24"/>
                <w:highlight w:val="none"/>
              </w:rPr>
            </w:pPr>
            <w:r>
              <w:rPr>
                <w:rFonts w:hint="eastAsia" w:ascii="宋体" w:hAnsi="宋体"/>
                <w:color w:val="auto"/>
                <w:sz w:val="24"/>
                <w:szCs w:val="24"/>
                <w:highlight w:val="none"/>
              </w:rPr>
              <w:t xml:space="preserve">质量 </w:t>
            </w:r>
          </w:p>
        </w:tc>
        <w:tc>
          <w:tcPr>
            <w:tcW w:w="6670"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051B8F2">
            <w:pPr>
              <w:pStyle w:val="15"/>
              <w:shd w:val="clear" w:color="auto" w:fill="FFFFFF"/>
              <w:spacing w:after="0" w:afterAutospacing="0" w:line="500" w:lineRule="exact"/>
              <w:rPr>
                <w:rFonts w:cs="Times New Roman"/>
                <w:color w:val="auto"/>
                <w:kern w:val="2"/>
                <w:highlight w:val="none"/>
              </w:rPr>
            </w:pPr>
          </w:p>
        </w:tc>
      </w:tr>
      <w:tr w14:paraId="28C3D4A2">
        <w:tblPrEx>
          <w:tblCellMar>
            <w:top w:w="0" w:type="dxa"/>
            <w:left w:w="108" w:type="dxa"/>
            <w:bottom w:w="0" w:type="dxa"/>
            <w:right w:w="108" w:type="dxa"/>
          </w:tblCellMar>
        </w:tblPrEx>
        <w:trPr>
          <w:trHeight w:val="893" w:hRule="atLeast"/>
        </w:trPr>
        <w:tc>
          <w:tcPr>
            <w:tcW w:w="178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15D234C">
            <w:pPr>
              <w:spacing w:before="100" w:beforeAutospacing="1" w:line="271" w:lineRule="auto"/>
              <w:jc w:val="center"/>
              <w:rPr>
                <w:rFonts w:ascii="宋体" w:hAnsi="宋体"/>
                <w:color w:val="auto"/>
                <w:sz w:val="24"/>
                <w:szCs w:val="24"/>
                <w:highlight w:val="none"/>
              </w:rPr>
            </w:pPr>
            <w:r>
              <w:rPr>
                <w:rFonts w:hint="eastAsia" w:ascii="宋体" w:hAnsi="宋体"/>
                <w:color w:val="auto"/>
                <w:sz w:val="24"/>
                <w:szCs w:val="24"/>
                <w:highlight w:val="none"/>
              </w:rPr>
              <w:t xml:space="preserve">工期 </w:t>
            </w:r>
          </w:p>
        </w:tc>
        <w:tc>
          <w:tcPr>
            <w:tcW w:w="6670"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FC45695">
            <w:pPr>
              <w:spacing w:before="100" w:beforeAutospacing="1" w:after="200" w:line="320" w:lineRule="exact"/>
              <w:ind w:firstLine="24" w:firstLineChars="10"/>
              <w:rPr>
                <w:rFonts w:ascii="宋体" w:hAnsi="宋体"/>
                <w:color w:val="auto"/>
                <w:sz w:val="24"/>
                <w:szCs w:val="24"/>
                <w:highlight w:val="none"/>
              </w:rPr>
            </w:pPr>
          </w:p>
        </w:tc>
      </w:tr>
      <w:tr w14:paraId="1F1DB2B2">
        <w:tblPrEx>
          <w:tblCellMar>
            <w:top w:w="0" w:type="dxa"/>
            <w:left w:w="108" w:type="dxa"/>
            <w:bottom w:w="0" w:type="dxa"/>
            <w:right w:w="108" w:type="dxa"/>
          </w:tblCellMar>
        </w:tblPrEx>
        <w:trPr>
          <w:trHeight w:val="1217" w:hRule="atLeast"/>
        </w:trPr>
        <w:tc>
          <w:tcPr>
            <w:tcW w:w="178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42858A4">
            <w:pPr>
              <w:spacing w:before="100" w:beforeAutospacing="1" w:line="271" w:lineRule="auto"/>
              <w:ind w:left="-31" w:leftChars="-15"/>
              <w:jc w:val="center"/>
              <w:rPr>
                <w:rFonts w:ascii="宋体" w:hAnsi="宋体"/>
                <w:color w:val="auto"/>
                <w:sz w:val="24"/>
                <w:szCs w:val="24"/>
                <w:highlight w:val="none"/>
              </w:rPr>
            </w:pPr>
            <w:r>
              <w:rPr>
                <w:rFonts w:hint="eastAsia" w:ascii="宋体" w:hAnsi="宋体"/>
                <w:color w:val="auto"/>
                <w:sz w:val="24"/>
                <w:szCs w:val="24"/>
                <w:highlight w:val="none"/>
              </w:rPr>
              <w:t>磋商有效期</w:t>
            </w:r>
          </w:p>
        </w:tc>
        <w:tc>
          <w:tcPr>
            <w:tcW w:w="6670"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142C916">
            <w:pPr>
              <w:spacing w:before="100" w:beforeAutospacing="1" w:after="200" w:line="320" w:lineRule="exact"/>
              <w:rPr>
                <w:rFonts w:ascii="宋体" w:hAnsi="宋体"/>
                <w:color w:val="auto"/>
                <w:sz w:val="24"/>
                <w:szCs w:val="24"/>
                <w:highlight w:val="none"/>
              </w:rPr>
            </w:pPr>
            <w:r>
              <w:rPr>
                <w:rFonts w:hint="eastAsia" w:ascii="宋体" w:hAnsi="宋体"/>
                <w:color w:val="auto"/>
                <w:sz w:val="24"/>
                <w:szCs w:val="24"/>
                <w:highlight w:val="none"/>
              </w:rPr>
              <w:t>磋商截止之日起60日历天</w:t>
            </w:r>
          </w:p>
        </w:tc>
      </w:tr>
      <w:tr w14:paraId="47C09A43">
        <w:tblPrEx>
          <w:tblCellMar>
            <w:top w:w="0" w:type="dxa"/>
            <w:left w:w="108" w:type="dxa"/>
            <w:bottom w:w="0" w:type="dxa"/>
            <w:right w:w="108" w:type="dxa"/>
          </w:tblCellMar>
        </w:tblPrEx>
        <w:trPr>
          <w:trHeight w:val="1026" w:hRule="atLeast"/>
        </w:trPr>
        <w:tc>
          <w:tcPr>
            <w:tcW w:w="178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2CE6A07">
            <w:pPr>
              <w:spacing w:before="100" w:beforeAutospacing="1" w:line="271" w:lineRule="auto"/>
              <w:jc w:val="center"/>
              <w:rPr>
                <w:rFonts w:ascii="宋体" w:hAnsi="宋体"/>
                <w:color w:val="auto"/>
                <w:sz w:val="24"/>
                <w:szCs w:val="24"/>
                <w:highlight w:val="none"/>
              </w:rPr>
            </w:pPr>
            <w:r>
              <w:rPr>
                <w:rFonts w:hint="eastAsia" w:ascii="宋体" w:hAnsi="宋体"/>
                <w:color w:val="auto"/>
                <w:sz w:val="24"/>
                <w:szCs w:val="24"/>
                <w:highlight w:val="none"/>
              </w:rPr>
              <w:t>备注</w:t>
            </w:r>
          </w:p>
        </w:tc>
        <w:tc>
          <w:tcPr>
            <w:tcW w:w="6670"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9BBF4FF">
            <w:pPr>
              <w:spacing w:before="100" w:beforeAutospacing="1" w:line="271" w:lineRule="auto"/>
              <w:jc w:val="center"/>
              <w:rPr>
                <w:rFonts w:ascii="宋体" w:hAnsi="宋体"/>
                <w:color w:val="auto"/>
                <w:sz w:val="24"/>
                <w:szCs w:val="24"/>
                <w:highlight w:val="none"/>
              </w:rPr>
            </w:pPr>
          </w:p>
        </w:tc>
      </w:tr>
    </w:tbl>
    <w:p w14:paraId="3D674E7A">
      <w:pPr>
        <w:spacing w:line="440" w:lineRule="exact"/>
        <w:rPr>
          <w:rFonts w:ascii="宋体" w:hAnsi="宋体"/>
          <w:color w:val="auto"/>
          <w:sz w:val="24"/>
          <w:szCs w:val="24"/>
          <w:highlight w:val="none"/>
        </w:rPr>
      </w:pPr>
      <w:r>
        <w:rPr>
          <w:rFonts w:hint="eastAsia" w:ascii="宋体" w:hAnsi="宋体"/>
          <w:color w:val="auto"/>
          <w:sz w:val="24"/>
          <w:szCs w:val="24"/>
          <w:highlight w:val="none"/>
        </w:rPr>
        <w:t>　　　　　　　　　　</w:t>
      </w:r>
    </w:p>
    <w:p w14:paraId="12100ACC">
      <w:pPr>
        <w:spacing w:line="440" w:lineRule="exact"/>
        <w:ind w:firstLine="3780" w:firstLineChars="1575"/>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：（盖单位公章）</w:t>
      </w:r>
    </w:p>
    <w:p w14:paraId="5D08C9D3">
      <w:pPr>
        <w:spacing w:line="600" w:lineRule="exact"/>
        <w:ind w:firstLine="3780" w:firstLineChars="1575"/>
        <w:rPr>
          <w:rFonts w:ascii="宋体" w:hAnsi="宋体"/>
          <w:color w:val="auto"/>
          <w:sz w:val="24"/>
          <w:szCs w:val="24"/>
          <w:highlight w:val="none"/>
        </w:rPr>
      </w:pPr>
      <w:r>
        <w:rPr>
          <w:rFonts w:hint="eastAsia" w:ascii="宋体" w:hAnsi="宋体"/>
          <w:color w:val="auto"/>
          <w:sz w:val="24"/>
          <w:szCs w:val="24"/>
          <w:highlight w:val="none"/>
        </w:rPr>
        <w:t>法定代表人：（电子签章）</w:t>
      </w:r>
    </w:p>
    <w:p w14:paraId="7F697776">
      <w:pPr>
        <w:spacing w:line="600" w:lineRule="exact"/>
        <w:ind w:firstLine="3780" w:firstLineChars="1575"/>
        <w:rPr>
          <w:rFonts w:ascii="宋体"/>
          <w:color w:val="auto"/>
          <w:sz w:val="24"/>
          <w:szCs w:val="24"/>
          <w:highlight w:val="none"/>
        </w:rPr>
      </w:pPr>
      <w:r>
        <w:rPr>
          <w:rFonts w:hint="eastAsia" w:ascii="宋体" w:hAnsi="宋体"/>
          <w:color w:val="auto"/>
          <w:sz w:val="24"/>
          <w:szCs w:val="24"/>
          <w:highlight w:val="none"/>
        </w:rPr>
        <w:t>日  期：</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日</w:t>
      </w:r>
    </w:p>
    <w:p w14:paraId="37C3A5CB">
      <w:pPr>
        <w:widowControl/>
        <w:adjustRightInd w:val="0"/>
        <w:spacing w:line="600" w:lineRule="exact"/>
        <w:jc w:val="center"/>
        <w:rPr>
          <w:rFonts w:ascii="宋体" w:hAnsi="宋体"/>
          <w:b/>
          <w:bCs/>
          <w:color w:val="auto"/>
          <w:kern w:val="0"/>
          <w:sz w:val="28"/>
          <w:szCs w:val="28"/>
          <w:highlight w:val="none"/>
        </w:rPr>
      </w:pPr>
    </w:p>
    <w:p w14:paraId="7CB7D5F1">
      <w:pPr>
        <w:widowControl/>
        <w:adjustRightInd w:val="0"/>
        <w:spacing w:line="600" w:lineRule="exact"/>
        <w:jc w:val="center"/>
        <w:rPr>
          <w:rFonts w:ascii="宋体" w:hAnsi="宋体"/>
          <w:b/>
          <w:bCs/>
          <w:color w:val="auto"/>
          <w:kern w:val="0"/>
          <w:sz w:val="28"/>
          <w:szCs w:val="28"/>
          <w:highlight w:val="none"/>
        </w:rPr>
      </w:pPr>
    </w:p>
    <w:p w14:paraId="7CE2DE9E">
      <w:pPr>
        <w:rPr>
          <w:rFonts w:hint="eastAsia" w:ascii="宋体" w:hAnsi="宋体"/>
          <w:b/>
          <w:bCs/>
          <w:color w:val="auto"/>
          <w:kern w:val="0"/>
          <w:sz w:val="28"/>
          <w:szCs w:val="28"/>
          <w:highlight w:val="none"/>
        </w:rPr>
      </w:pPr>
      <w:r>
        <w:rPr>
          <w:rFonts w:hint="eastAsia" w:ascii="宋体" w:hAnsi="宋体"/>
          <w:b/>
          <w:bCs/>
          <w:color w:val="auto"/>
          <w:kern w:val="0"/>
          <w:sz w:val="28"/>
          <w:szCs w:val="28"/>
          <w:highlight w:val="none"/>
        </w:rPr>
        <w:br w:type="page"/>
      </w:r>
    </w:p>
    <w:p w14:paraId="662A7E5A">
      <w:pPr>
        <w:widowControl/>
        <w:adjustRightInd w:val="0"/>
        <w:spacing w:line="600" w:lineRule="exact"/>
        <w:jc w:val="center"/>
        <w:rPr>
          <w:rFonts w:ascii="宋体" w:hAnsi="宋体"/>
          <w:b/>
          <w:bCs/>
          <w:color w:val="auto"/>
          <w:kern w:val="0"/>
          <w:sz w:val="28"/>
          <w:szCs w:val="28"/>
          <w:highlight w:val="none"/>
        </w:rPr>
      </w:pPr>
      <w:r>
        <w:rPr>
          <w:rFonts w:hint="eastAsia" w:ascii="宋体" w:hAnsi="宋体"/>
          <w:b/>
          <w:bCs/>
          <w:color w:val="auto"/>
          <w:kern w:val="0"/>
          <w:sz w:val="28"/>
          <w:szCs w:val="28"/>
          <w:highlight w:val="none"/>
        </w:rPr>
        <w:t>二、法定代表人身份证明</w:t>
      </w:r>
    </w:p>
    <w:p w14:paraId="41DB8A65">
      <w:pPr>
        <w:widowControl/>
        <w:adjustRightInd w:val="0"/>
        <w:spacing w:line="600" w:lineRule="exact"/>
        <w:rPr>
          <w:rFonts w:ascii="宋体" w:hAnsi="宋体"/>
          <w:color w:val="auto"/>
          <w:kern w:val="0"/>
          <w:sz w:val="28"/>
          <w:szCs w:val="28"/>
          <w:highlight w:val="none"/>
        </w:rPr>
      </w:pPr>
    </w:p>
    <w:p w14:paraId="7F4B1049">
      <w:pPr>
        <w:widowControl/>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磋商</w:t>
      </w:r>
      <w:r>
        <w:rPr>
          <w:rFonts w:hint="eastAsia" w:ascii="宋体" w:hAnsi="宋体"/>
          <w:color w:val="auto"/>
          <w:kern w:val="0"/>
          <w:sz w:val="24"/>
          <w:szCs w:val="24"/>
          <w:highlight w:val="none"/>
          <w:lang w:eastAsia="zh-CN"/>
        </w:rPr>
        <w:t>供应商</w:t>
      </w:r>
      <w:r>
        <w:rPr>
          <w:rFonts w:hint="eastAsia" w:ascii="宋体" w:hAnsi="宋体"/>
          <w:color w:val="auto"/>
          <w:kern w:val="0"/>
          <w:sz w:val="24"/>
          <w:szCs w:val="24"/>
          <w:highlight w:val="none"/>
        </w:rPr>
        <w:t xml:space="preserve">名称： </w:t>
      </w:r>
    </w:p>
    <w:p w14:paraId="26CAD12D">
      <w:pPr>
        <w:widowControl/>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单位性质：</w:t>
      </w:r>
    </w:p>
    <w:p w14:paraId="727884B6">
      <w:pPr>
        <w:widowControl/>
        <w:adjustRightInd w:val="0"/>
        <w:spacing w:line="360" w:lineRule="auto"/>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地址：</w:t>
      </w:r>
    </w:p>
    <w:p w14:paraId="1DADBCA4">
      <w:pPr>
        <w:widowControl/>
        <w:adjustRightInd w:val="0"/>
        <w:spacing w:line="360" w:lineRule="auto"/>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成立时间：年月日</w:t>
      </w:r>
    </w:p>
    <w:p w14:paraId="7B5AE8ED">
      <w:pPr>
        <w:widowControl/>
        <w:adjustRightInd w:val="0"/>
        <w:spacing w:line="360" w:lineRule="auto"/>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经营期限：</w:t>
      </w:r>
    </w:p>
    <w:p w14:paraId="4FB0C5D1">
      <w:pPr>
        <w:widowControl/>
        <w:adjustRightInd w:val="0"/>
        <w:spacing w:line="360" w:lineRule="auto"/>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姓名：性别：年龄：职务：</w:t>
      </w:r>
    </w:p>
    <w:p w14:paraId="7FE86B3A">
      <w:pPr>
        <w:widowControl/>
        <w:adjustRightInd w:val="0"/>
        <w:spacing w:line="360" w:lineRule="auto"/>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系（磋商</w:t>
      </w:r>
      <w:r>
        <w:rPr>
          <w:rFonts w:hint="eastAsia" w:ascii="宋体" w:hAnsi="宋体"/>
          <w:color w:val="auto"/>
          <w:kern w:val="0"/>
          <w:sz w:val="24"/>
          <w:szCs w:val="24"/>
          <w:highlight w:val="none"/>
          <w:lang w:eastAsia="zh-CN"/>
        </w:rPr>
        <w:t>供应商</w:t>
      </w:r>
      <w:r>
        <w:rPr>
          <w:rFonts w:hint="eastAsia" w:ascii="宋体" w:hAnsi="宋体"/>
          <w:color w:val="auto"/>
          <w:kern w:val="0"/>
          <w:sz w:val="24"/>
          <w:szCs w:val="24"/>
          <w:highlight w:val="none"/>
        </w:rPr>
        <w:t>名称）的法定代表人。</w:t>
      </w:r>
    </w:p>
    <w:p w14:paraId="0A05D7C8">
      <w:pPr>
        <w:widowControl/>
        <w:adjustRightInd w:val="0"/>
        <w:spacing w:line="360" w:lineRule="auto"/>
        <w:jc w:val="left"/>
        <w:rPr>
          <w:rFonts w:ascii="宋体" w:hAnsi="宋体"/>
          <w:color w:val="auto"/>
          <w:kern w:val="0"/>
          <w:sz w:val="24"/>
          <w:szCs w:val="24"/>
          <w:highlight w:val="none"/>
        </w:rPr>
      </w:pPr>
    </w:p>
    <w:p w14:paraId="645330C8">
      <w:pPr>
        <w:widowControl/>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特此证明。</w:t>
      </w:r>
    </w:p>
    <w:p w14:paraId="1F5DE0B1">
      <w:pPr>
        <w:widowControl/>
        <w:adjustRightInd w:val="0"/>
        <w:spacing w:line="360" w:lineRule="auto"/>
        <w:ind w:firstLine="480" w:firstLineChars="200"/>
        <w:jc w:val="left"/>
        <w:rPr>
          <w:rFonts w:ascii="宋体" w:hAnsi="宋体"/>
          <w:color w:val="auto"/>
          <w:kern w:val="0"/>
          <w:sz w:val="24"/>
          <w:szCs w:val="24"/>
          <w:highlight w:val="none"/>
        </w:rPr>
      </w:pPr>
    </w:p>
    <w:tbl>
      <w:tblPr>
        <w:tblStyle w:val="17"/>
        <w:tblW w:w="7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0"/>
      </w:tblGrid>
      <w:tr w14:paraId="7CF6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7500" w:type="dxa"/>
            <w:tcBorders>
              <w:top w:val="single" w:color="auto" w:sz="4" w:space="0"/>
              <w:left w:val="single" w:color="auto" w:sz="4" w:space="0"/>
              <w:bottom w:val="single" w:color="auto" w:sz="4" w:space="0"/>
              <w:right w:val="single" w:color="auto" w:sz="4" w:space="0"/>
            </w:tcBorders>
            <w:vAlign w:val="center"/>
          </w:tcPr>
          <w:p w14:paraId="44E5E363">
            <w:pPr>
              <w:spacing w:line="440" w:lineRule="exact"/>
              <w:jc w:val="center"/>
              <w:rPr>
                <w:rFonts w:ascii="宋体" w:hAnsi="宋体"/>
                <w:color w:val="auto"/>
                <w:szCs w:val="21"/>
                <w:highlight w:val="none"/>
              </w:rPr>
            </w:pPr>
            <w:r>
              <w:rPr>
                <w:rFonts w:hint="eastAsia" w:ascii="宋体" w:hAnsi="宋体"/>
                <w:color w:val="auto"/>
                <w:sz w:val="32"/>
                <w:szCs w:val="32"/>
                <w:highlight w:val="none"/>
              </w:rPr>
              <w:t>法定代表人身份证扫描件</w:t>
            </w:r>
          </w:p>
        </w:tc>
      </w:tr>
    </w:tbl>
    <w:p w14:paraId="5365EF81">
      <w:pPr>
        <w:widowControl/>
        <w:adjustRightInd w:val="0"/>
        <w:spacing w:line="240" w:lineRule="atLeast"/>
        <w:jc w:val="left"/>
        <w:rPr>
          <w:rFonts w:ascii="宋体" w:hAnsi="宋体"/>
          <w:color w:val="auto"/>
          <w:kern w:val="0"/>
          <w:sz w:val="24"/>
          <w:szCs w:val="24"/>
          <w:highlight w:val="none"/>
        </w:rPr>
      </w:pPr>
    </w:p>
    <w:p w14:paraId="08F4FC5B">
      <w:pPr>
        <w:widowControl/>
        <w:adjustRightInd w:val="0"/>
        <w:spacing w:line="240" w:lineRule="atLeast"/>
        <w:ind w:firstLine="480" w:firstLineChars="200"/>
        <w:jc w:val="left"/>
        <w:rPr>
          <w:rFonts w:ascii="宋体" w:hAnsi="宋体"/>
          <w:color w:val="auto"/>
          <w:kern w:val="0"/>
          <w:sz w:val="24"/>
          <w:szCs w:val="24"/>
          <w:highlight w:val="none"/>
        </w:rPr>
      </w:pPr>
    </w:p>
    <w:p w14:paraId="64FCAC4C">
      <w:pPr>
        <w:widowControl/>
        <w:adjustRightInd w:val="0"/>
        <w:spacing w:line="240" w:lineRule="atLeast"/>
        <w:ind w:firstLine="480" w:firstLineChars="200"/>
        <w:jc w:val="left"/>
        <w:rPr>
          <w:rFonts w:ascii="宋体" w:hAnsi="宋体"/>
          <w:color w:val="auto"/>
          <w:kern w:val="0"/>
          <w:sz w:val="24"/>
          <w:szCs w:val="24"/>
          <w:highlight w:val="none"/>
        </w:rPr>
      </w:pPr>
    </w:p>
    <w:p w14:paraId="123E3BCA">
      <w:pPr>
        <w:widowControl/>
        <w:adjustRightInd w:val="0"/>
        <w:spacing w:line="240" w:lineRule="atLeast"/>
        <w:ind w:firstLine="480" w:firstLineChars="200"/>
        <w:jc w:val="left"/>
        <w:rPr>
          <w:rFonts w:ascii="宋体" w:hAnsi="宋体"/>
          <w:color w:val="auto"/>
          <w:kern w:val="0"/>
          <w:sz w:val="24"/>
          <w:szCs w:val="24"/>
          <w:highlight w:val="none"/>
        </w:rPr>
      </w:pPr>
    </w:p>
    <w:p w14:paraId="40F4432D">
      <w:pPr>
        <w:widowControl/>
        <w:adjustRightInd w:val="0"/>
        <w:spacing w:line="240" w:lineRule="atLeast"/>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w:t>
      </w:r>
      <w:r>
        <w:rPr>
          <w:rFonts w:hint="eastAsia" w:ascii="宋体" w:hAnsi="宋体"/>
          <w:color w:val="auto"/>
          <w:kern w:val="0"/>
          <w:sz w:val="24"/>
          <w:szCs w:val="24"/>
          <w:highlight w:val="none"/>
          <w:lang w:val="en-US" w:eastAsia="zh-CN"/>
        </w:rPr>
        <w:t xml:space="preserve">                  </w:t>
      </w:r>
      <w:r>
        <w:rPr>
          <w:rFonts w:hint="eastAsia" w:ascii="宋体" w:hAnsi="宋体"/>
          <w:color w:val="auto"/>
          <w:kern w:val="0"/>
          <w:sz w:val="24"/>
          <w:szCs w:val="24"/>
          <w:highlight w:val="none"/>
        </w:rPr>
        <w:t>磋商</w:t>
      </w:r>
      <w:r>
        <w:rPr>
          <w:rFonts w:hint="eastAsia" w:ascii="宋体" w:hAnsi="宋体"/>
          <w:color w:val="auto"/>
          <w:kern w:val="0"/>
          <w:sz w:val="24"/>
          <w:szCs w:val="24"/>
          <w:highlight w:val="none"/>
          <w:lang w:eastAsia="zh-CN"/>
        </w:rPr>
        <w:t>供应商</w:t>
      </w:r>
      <w:r>
        <w:rPr>
          <w:rFonts w:hint="eastAsia" w:ascii="宋体" w:hAnsi="宋体"/>
          <w:color w:val="auto"/>
          <w:kern w:val="0"/>
          <w:sz w:val="24"/>
          <w:szCs w:val="24"/>
          <w:highlight w:val="none"/>
        </w:rPr>
        <w:t>：（盖单位公章）</w:t>
      </w:r>
    </w:p>
    <w:p w14:paraId="68B1D23A">
      <w:pPr>
        <w:widowControl/>
        <w:adjustRightInd w:val="0"/>
        <w:spacing w:line="240" w:lineRule="atLeast"/>
        <w:ind w:firstLine="2738" w:firstLineChars="1141"/>
        <w:jc w:val="left"/>
        <w:rPr>
          <w:rFonts w:ascii="宋体" w:hAnsi="宋体"/>
          <w:color w:val="auto"/>
          <w:kern w:val="0"/>
          <w:sz w:val="24"/>
          <w:szCs w:val="24"/>
          <w:highlight w:val="none"/>
          <w:u w:val="single"/>
        </w:rPr>
      </w:pPr>
    </w:p>
    <w:p w14:paraId="67B4D781">
      <w:pPr>
        <w:widowControl/>
        <w:adjustRightInd w:val="0"/>
        <w:spacing w:line="240" w:lineRule="atLeast"/>
        <w:ind w:firstLine="2738" w:firstLineChars="1141"/>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　　  </w:t>
      </w:r>
      <w:r>
        <w:rPr>
          <w:rFonts w:hint="eastAsia" w:ascii="宋体" w:hAnsi="宋体"/>
          <w:color w:val="auto"/>
          <w:kern w:val="0"/>
          <w:sz w:val="24"/>
          <w:szCs w:val="24"/>
          <w:highlight w:val="none"/>
          <w:lang w:val="en-US" w:eastAsia="zh-CN"/>
        </w:rPr>
        <w:t xml:space="preserve">                          </w:t>
      </w:r>
      <w:r>
        <w:rPr>
          <w:rFonts w:hint="eastAsia" w:ascii="宋体" w:hAnsi="宋体"/>
          <w:color w:val="auto"/>
          <w:kern w:val="0"/>
          <w:sz w:val="24"/>
          <w:szCs w:val="24"/>
          <w:highlight w:val="none"/>
        </w:rPr>
        <w:t>年</w:t>
      </w:r>
      <w:r>
        <w:rPr>
          <w:rFonts w:hint="eastAsia" w:ascii="宋体" w:hAnsi="宋体"/>
          <w:color w:val="auto"/>
          <w:kern w:val="0"/>
          <w:sz w:val="24"/>
          <w:szCs w:val="24"/>
          <w:highlight w:val="none"/>
          <w:lang w:val="en-US" w:eastAsia="zh-CN"/>
        </w:rPr>
        <w:t xml:space="preserve"> </w:t>
      </w:r>
      <w:r>
        <w:rPr>
          <w:rFonts w:hint="eastAsia" w:ascii="宋体" w:hAnsi="宋体"/>
          <w:color w:val="auto"/>
          <w:kern w:val="0"/>
          <w:sz w:val="24"/>
          <w:szCs w:val="24"/>
          <w:highlight w:val="none"/>
        </w:rPr>
        <w:t>月</w:t>
      </w:r>
      <w:r>
        <w:rPr>
          <w:rFonts w:hint="eastAsia" w:ascii="宋体" w:hAnsi="宋体"/>
          <w:color w:val="auto"/>
          <w:kern w:val="0"/>
          <w:sz w:val="24"/>
          <w:szCs w:val="24"/>
          <w:highlight w:val="none"/>
          <w:lang w:val="en-US" w:eastAsia="zh-CN"/>
        </w:rPr>
        <w:t xml:space="preserve"> </w:t>
      </w:r>
      <w:r>
        <w:rPr>
          <w:rFonts w:hint="eastAsia" w:ascii="宋体" w:hAnsi="宋体"/>
          <w:color w:val="auto"/>
          <w:kern w:val="0"/>
          <w:sz w:val="24"/>
          <w:szCs w:val="24"/>
          <w:highlight w:val="none"/>
        </w:rPr>
        <w:t>日</w:t>
      </w:r>
    </w:p>
    <w:p w14:paraId="2B1933A9">
      <w:pPr>
        <w:widowControl/>
        <w:adjustRightInd w:val="0"/>
        <w:spacing w:line="240" w:lineRule="atLeast"/>
        <w:jc w:val="left"/>
        <w:rPr>
          <w:rFonts w:ascii="宋体" w:hAnsi="宋体"/>
          <w:color w:val="auto"/>
          <w:kern w:val="0"/>
          <w:sz w:val="18"/>
          <w:szCs w:val="18"/>
          <w:highlight w:val="none"/>
        </w:rPr>
      </w:pPr>
    </w:p>
    <w:p w14:paraId="2A2DF783">
      <w:pPr>
        <w:spacing w:beforeLines="100" w:afterLines="50" w:line="480" w:lineRule="exact"/>
        <w:textAlignment w:val="center"/>
        <w:rPr>
          <w:rFonts w:ascii="宋体" w:hAnsi="宋体"/>
          <w:color w:val="auto"/>
          <w:sz w:val="24"/>
          <w:szCs w:val="24"/>
          <w:highlight w:val="none"/>
        </w:rPr>
      </w:pPr>
    </w:p>
    <w:p w14:paraId="2D96BA1E">
      <w:pPr>
        <w:spacing w:beforeLines="100" w:afterLines="50" w:line="480" w:lineRule="exact"/>
        <w:textAlignment w:val="center"/>
        <w:rPr>
          <w:rFonts w:ascii="宋体" w:hAnsi="宋体"/>
          <w:color w:val="auto"/>
          <w:sz w:val="24"/>
          <w:szCs w:val="24"/>
          <w:highlight w:val="none"/>
        </w:rPr>
      </w:pPr>
    </w:p>
    <w:p w14:paraId="4DC61595">
      <w:pPr>
        <w:spacing w:beforeLines="100" w:afterLines="50" w:line="480" w:lineRule="exact"/>
        <w:textAlignment w:val="center"/>
        <w:rPr>
          <w:rFonts w:ascii="宋体" w:hAnsi="宋体"/>
          <w:color w:val="auto"/>
          <w:sz w:val="24"/>
          <w:szCs w:val="24"/>
          <w:highlight w:val="none"/>
        </w:rPr>
      </w:pPr>
    </w:p>
    <w:p w14:paraId="38AE8000">
      <w:pPr>
        <w:spacing w:beforeLines="100" w:afterLines="50" w:line="480" w:lineRule="exact"/>
        <w:jc w:val="center"/>
        <w:textAlignment w:val="center"/>
        <w:rPr>
          <w:rFonts w:ascii="宋体" w:hAnsi="宋体"/>
          <w:b/>
          <w:bCs/>
          <w:color w:val="auto"/>
          <w:sz w:val="28"/>
          <w:szCs w:val="28"/>
          <w:highlight w:val="none"/>
        </w:rPr>
      </w:pPr>
      <w:r>
        <w:rPr>
          <w:rFonts w:hint="eastAsia" w:ascii="宋体" w:hAnsi="宋体"/>
          <w:b/>
          <w:bCs/>
          <w:color w:val="auto"/>
          <w:sz w:val="28"/>
          <w:szCs w:val="28"/>
          <w:highlight w:val="none"/>
        </w:rPr>
        <w:t>三、已标价工程量清单</w:t>
      </w:r>
    </w:p>
    <w:p w14:paraId="7047DCA2">
      <w:pPr>
        <w:spacing w:beforeLines="100" w:afterLines="50" w:line="480" w:lineRule="exact"/>
        <w:textAlignment w:val="center"/>
        <w:rPr>
          <w:rFonts w:ascii="宋体" w:hAnsi="宋体"/>
          <w:color w:val="auto"/>
          <w:sz w:val="24"/>
          <w:szCs w:val="24"/>
          <w:highlight w:val="none"/>
        </w:rPr>
      </w:pPr>
    </w:p>
    <w:p w14:paraId="33322E4F">
      <w:pPr>
        <w:spacing w:beforeLines="100" w:afterLines="50" w:line="480" w:lineRule="exact"/>
        <w:textAlignment w:val="center"/>
        <w:rPr>
          <w:rFonts w:ascii="仿宋_GB2312" w:hAnsi="宋体" w:eastAsia="仿宋_GB2312"/>
          <w:color w:val="auto"/>
          <w:sz w:val="24"/>
          <w:szCs w:val="24"/>
          <w:highlight w:val="none"/>
        </w:rPr>
      </w:pPr>
    </w:p>
    <w:p w14:paraId="7FA997D1">
      <w:pPr>
        <w:spacing w:beforeLines="100" w:afterLines="50" w:line="480" w:lineRule="exact"/>
        <w:textAlignment w:val="center"/>
        <w:rPr>
          <w:rFonts w:ascii="仿宋_GB2312" w:hAnsi="宋体" w:eastAsia="仿宋_GB2312"/>
          <w:color w:val="auto"/>
          <w:sz w:val="24"/>
          <w:szCs w:val="24"/>
          <w:highlight w:val="none"/>
        </w:rPr>
      </w:pPr>
    </w:p>
    <w:p w14:paraId="304EBCDE">
      <w:pPr>
        <w:spacing w:beforeLines="100" w:afterLines="50" w:line="480" w:lineRule="exact"/>
        <w:textAlignment w:val="center"/>
        <w:rPr>
          <w:rFonts w:ascii="仿宋_GB2312" w:hAnsi="宋体" w:eastAsia="仿宋_GB2312"/>
          <w:color w:val="auto"/>
          <w:sz w:val="24"/>
          <w:szCs w:val="24"/>
          <w:highlight w:val="none"/>
        </w:rPr>
      </w:pPr>
    </w:p>
    <w:p w14:paraId="57EFA06A">
      <w:pPr>
        <w:spacing w:beforeLines="100" w:afterLines="50" w:line="480" w:lineRule="exact"/>
        <w:textAlignment w:val="center"/>
        <w:rPr>
          <w:rFonts w:ascii="仿宋_GB2312" w:hAnsi="宋体" w:eastAsia="仿宋_GB2312"/>
          <w:color w:val="auto"/>
          <w:sz w:val="24"/>
          <w:szCs w:val="24"/>
          <w:highlight w:val="none"/>
        </w:rPr>
      </w:pPr>
    </w:p>
    <w:p w14:paraId="52BB0590">
      <w:pPr>
        <w:spacing w:beforeLines="100" w:afterLines="50" w:line="480" w:lineRule="exact"/>
        <w:textAlignment w:val="center"/>
        <w:rPr>
          <w:rFonts w:ascii="仿宋_GB2312" w:hAnsi="宋体" w:eastAsia="仿宋_GB2312"/>
          <w:color w:val="auto"/>
          <w:sz w:val="24"/>
          <w:szCs w:val="24"/>
          <w:highlight w:val="none"/>
        </w:rPr>
      </w:pPr>
    </w:p>
    <w:p w14:paraId="44F92299">
      <w:pPr>
        <w:spacing w:beforeLines="100" w:afterLines="50" w:line="480" w:lineRule="exact"/>
        <w:textAlignment w:val="center"/>
        <w:rPr>
          <w:rFonts w:ascii="仿宋_GB2312" w:hAnsi="宋体" w:eastAsia="仿宋_GB2312"/>
          <w:color w:val="auto"/>
          <w:sz w:val="24"/>
          <w:szCs w:val="24"/>
          <w:highlight w:val="none"/>
        </w:rPr>
      </w:pPr>
    </w:p>
    <w:p w14:paraId="4E1E3EC5">
      <w:pPr>
        <w:spacing w:beforeLines="100" w:afterLines="50" w:line="480" w:lineRule="exact"/>
        <w:textAlignment w:val="center"/>
        <w:rPr>
          <w:rFonts w:ascii="仿宋_GB2312" w:hAnsi="宋体" w:eastAsia="仿宋_GB2312"/>
          <w:color w:val="auto"/>
          <w:sz w:val="24"/>
          <w:szCs w:val="24"/>
          <w:highlight w:val="none"/>
        </w:rPr>
      </w:pPr>
    </w:p>
    <w:p w14:paraId="1EC5AFC8">
      <w:pPr>
        <w:spacing w:beforeLines="100" w:afterLines="50" w:line="480" w:lineRule="exact"/>
        <w:textAlignment w:val="center"/>
        <w:rPr>
          <w:rFonts w:ascii="仿宋_GB2312" w:hAnsi="宋体" w:eastAsia="仿宋_GB2312"/>
          <w:color w:val="auto"/>
          <w:sz w:val="24"/>
          <w:szCs w:val="24"/>
          <w:highlight w:val="none"/>
        </w:rPr>
      </w:pPr>
    </w:p>
    <w:p w14:paraId="3F162A55">
      <w:pPr>
        <w:spacing w:beforeLines="100" w:afterLines="50" w:line="480" w:lineRule="exact"/>
        <w:textAlignment w:val="center"/>
        <w:rPr>
          <w:rFonts w:ascii="仿宋_GB2312" w:hAnsi="宋体" w:eastAsia="仿宋_GB2312"/>
          <w:b/>
          <w:bCs/>
          <w:color w:val="auto"/>
          <w:sz w:val="24"/>
          <w:szCs w:val="24"/>
          <w:highlight w:val="none"/>
        </w:rPr>
      </w:pPr>
    </w:p>
    <w:p w14:paraId="1CF34121">
      <w:pPr>
        <w:spacing w:beforeLines="100" w:afterLines="50" w:line="480" w:lineRule="exact"/>
        <w:textAlignment w:val="center"/>
        <w:rPr>
          <w:rFonts w:ascii="宋体" w:hAnsi="宋体"/>
          <w:b/>
          <w:bCs/>
          <w:color w:val="auto"/>
          <w:sz w:val="24"/>
          <w:szCs w:val="24"/>
          <w:highlight w:val="none"/>
        </w:rPr>
      </w:pPr>
    </w:p>
    <w:p w14:paraId="384561ED">
      <w:pPr>
        <w:spacing w:beforeLines="100" w:afterLines="50" w:line="480" w:lineRule="exact"/>
        <w:textAlignment w:val="center"/>
        <w:rPr>
          <w:rFonts w:ascii="宋体" w:hAnsi="宋体"/>
          <w:b/>
          <w:bCs/>
          <w:color w:val="auto"/>
          <w:sz w:val="24"/>
          <w:szCs w:val="24"/>
          <w:highlight w:val="none"/>
        </w:rPr>
      </w:pPr>
    </w:p>
    <w:p w14:paraId="349D4B61">
      <w:pPr>
        <w:spacing w:beforeLines="100" w:afterLines="50" w:line="480" w:lineRule="exact"/>
        <w:textAlignment w:val="center"/>
        <w:rPr>
          <w:rFonts w:ascii="宋体" w:hAnsi="宋体"/>
          <w:b/>
          <w:bCs/>
          <w:color w:val="auto"/>
          <w:sz w:val="24"/>
          <w:szCs w:val="24"/>
          <w:highlight w:val="none"/>
        </w:rPr>
      </w:pPr>
    </w:p>
    <w:p w14:paraId="7E9C091F">
      <w:pPr>
        <w:spacing w:beforeLines="100" w:afterLines="50" w:line="480" w:lineRule="exact"/>
        <w:textAlignment w:val="center"/>
        <w:rPr>
          <w:rFonts w:ascii="宋体" w:hAnsi="宋体"/>
          <w:b/>
          <w:bCs/>
          <w:color w:val="auto"/>
          <w:sz w:val="24"/>
          <w:szCs w:val="24"/>
          <w:highlight w:val="none"/>
        </w:rPr>
      </w:pPr>
    </w:p>
    <w:p w14:paraId="156737D6">
      <w:pPr>
        <w:spacing w:beforeLines="100" w:afterLines="50" w:line="480" w:lineRule="exact"/>
        <w:textAlignment w:val="center"/>
        <w:rPr>
          <w:rFonts w:ascii="宋体" w:hAnsi="宋体"/>
          <w:b/>
          <w:bCs/>
          <w:color w:val="auto"/>
          <w:sz w:val="24"/>
          <w:szCs w:val="24"/>
          <w:highlight w:val="none"/>
        </w:rPr>
      </w:pPr>
    </w:p>
    <w:p w14:paraId="76569123">
      <w:pPr>
        <w:spacing w:beforeLines="100" w:afterLines="50" w:line="480" w:lineRule="exact"/>
        <w:textAlignment w:val="center"/>
        <w:rPr>
          <w:rFonts w:ascii="宋体" w:hAnsi="宋体"/>
          <w:b/>
          <w:bCs/>
          <w:color w:val="auto"/>
          <w:sz w:val="24"/>
          <w:szCs w:val="24"/>
          <w:highlight w:val="none"/>
        </w:rPr>
      </w:pPr>
    </w:p>
    <w:p w14:paraId="45737228">
      <w:pPr>
        <w:spacing w:beforeLines="100" w:afterLines="50" w:line="480" w:lineRule="exact"/>
        <w:jc w:val="center"/>
        <w:textAlignment w:val="center"/>
        <w:rPr>
          <w:rFonts w:ascii="宋体" w:hAnsi="宋体"/>
          <w:b/>
          <w:bCs/>
          <w:color w:val="auto"/>
          <w:sz w:val="28"/>
          <w:szCs w:val="28"/>
          <w:highlight w:val="none"/>
        </w:rPr>
      </w:pPr>
    </w:p>
    <w:p w14:paraId="2BD4B5C5">
      <w:pPr>
        <w:spacing w:beforeLines="100" w:afterLines="50" w:line="480" w:lineRule="exact"/>
        <w:jc w:val="center"/>
        <w:textAlignment w:val="center"/>
        <w:rPr>
          <w:rFonts w:ascii="宋体" w:hAnsi="宋体"/>
          <w:b/>
          <w:bCs/>
          <w:color w:val="auto"/>
          <w:sz w:val="28"/>
          <w:szCs w:val="28"/>
          <w:highlight w:val="none"/>
        </w:rPr>
      </w:pPr>
    </w:p>
    <w:p w14:paraId="5E50E0F1">
      <w:pPr>
        <w:spacing w:beforeLines="100" w:afterLines="50" w:line="480" w:lineRule="exact"/>
        <w:jc w:val="center"/>
        <w:textAlignment w:val="center"/>
        <w:rPr>
          <w:rFonts w:ascii="宋体" w:hAnsi="宋体"/>
          <w:b/>
          <w:bCs/>
          <w:color w:val="auto"/>
          <w:sz w:val="24"/>
          <w:szCs w:val="24"/>
          <w:highlight w:val="none"/>
        </w:rPr>
      </w:pPr>
      <w:r>
        <w:rPr>
          <w:rFonts w:hint="eastAsia" w:ascii="宋体" w:hAnsi="宋体"/>
          <w:b/>
          <w:bCs/>
          <w:color w:val="auto"/>
          <w:sz w:val="28"/>
          <w:szCs w:val="28"/>
          <w:highlight w:val="none"/>
        </w:rPr>
        <w:t>四、施工组织设计</w:t>
      </w:r>
    </w:p>
    <w:p w14:paraId="06F3D999">
      <w:pPr>
        <w:spacing w:line="46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1．磋商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应根据竞争性磋商文件，自行编制本工程的施工组织设计：</w:t>
      </w:r>
    </w:p>
    <w:p w14:paraId="2078D978">
      <w:pPr>
        <w:spacing w:line="46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2．施工组织设计除采用文字表述外可附下列图表，图表及格式要求附后（如有）。</w:t>
      </w:r>
    </w:p>
    <w:p w14:paraId="752D4009">
      <w:pPr>
        <w:spacing w:line="46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附表一  拟投入本工程的主要施工设备表</w:t>
      </w:r>
    </w:p>
    <w:p w14:paraId="470BD593">
      <w:pPr>
        <w:spacing w:line="46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附表二  拟配备本工程的试验和检测仪器设备表</w:t>
      </w:r>
    </w:p>
    <w:p w14:paraId="6397357B">
      <w:pPr>
        <w:spacing w:line="46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附表三  劳动力计划表</w:t>
      </w:r>
    </w:p>
    <w:p w14:paraId="76C2994C">
      <w:pPr>
        <w:spacing w:line="46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附表四  计划开、竣工日期和施工进度网络图</w:t>
      </w:r>
    </w:p>
    <w:p w14:paraId="364C7128">
      <w:pPr>
        <w:spacing w:line="46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 xml:space="preserve">附表五  施工总平面图 </w:t>
      </w:r>
    </w:p>
    <w:p w14:paraId="58DDD9B0">
      <w:pPr>
        <w:spacing w:beforeLines="50" w:afterLines="100" w:line="480" w:lineRule="exact"/>
        <w:textAlignment w:val="center"/>
        <w:rPr>
          <w:rFonts w:ascii="宋体" w:hAnsi="宋体"/>
          <w:color w:val="auto"/>
          <w:sz w:val="24"/>
          <w:szCs w:val="24"/>
          <w:highlight w:val="none"/>
        </w:rPr>
      </w:pPr>
    </w:p>
    <w:p w14:paraId="7B47075A">
      <w:pPr>
        <w:spacing w:beforeLines="50" w:afterLines="100" w:line="480" w:lineRule="exact"/>
        <w:textAlignment w:val="center"/>
        <w:rPr>
          <w:rFonts w:ascii="宋体" w:hAnsi="宋体"/>
          <w:color w:val="auto"/>
          <w:sz w:val="24"/>
          <w:szCs w:val="24"/>
          <w:highlight w:val="none"/>
        </w:rPr>
      </w:pPr>
    </w:p>
    <w:p w14:paraId="4D9B7D58">
      <w:pPr>
        <w:spacing w:beforeLines="50" w:afterLines="100" w:line="480" w:lineRule="exact"/>
        <w:textAlignment w:val="center"/>
        <w:rPr>
          <w:rFonts w:ascii="宋体" w:hAnsi="宋体"/>
          <w:color w:val="auto"/>
          <w:sz w:val="24"/>
          <w:szCs w:val="24"/>
          <w:highlight w:val="none"/>
        </w:rPr>
      </w:pPr>
    </w:p>
    <w:p w14:paraId="78B6828F">
      <w:pPr>
        <w:spacing w:beforeLines="50" w:afterLines="100" w:line="480" w:lineRule="exact"/>
        <w:textAlignment w:val="center"/>
        <w:rPr>
          <w:rFonts w:ascii="宋体" w:hAnsi="宋体"/>
          <w:color w:val="auto"/>
          <w:sz w:val="24"/>
          <w:szCs w:val="24"/>
          <w:highlight w:val="none"/>
        </w:rPr>
      </w:pPr>
    </w:p>
    <w:p w14:paraId="4C19007D">
      <w:pPr>
        <w:spacing w:beforeLines="50" w:afterLines="100" w:line="480" w:lineRule="exact"/>
        <w:textAlignment w:val="center"/>
        <w:rPr>
          <w:rFonts w:ascii="宋体" w:hAnsi="宋体"/>
          <w:color w:val="auto"/>
          <w:sz w:val="24"/>
          <w:szCs w:val="24"/>
          <w:highlight w:val="none"/>
        </w:rPr>
      </w:pPr>
    </w:p>
    <w:p w14:paraId="33C0DB1E">
      <w:pPr>
        <w:spacing w:beforeLines="50" w:afterLines="100" w:line="480" w:lineRule="exact"/>
        <w:textAlignment w:val="center"/>
        <w:rPr>
          <w:rFonts w:ascii="宋体" w:hAnsi="宋体"/>
          <w:color w:val="auto"/>
          <w:sz w:val="24"/>
          <w:szCs w:val="24"/>
          <w:highlight w:val="none"/>
        </w:rPr>
      </w:pPr>
    </w:p>
    <w:p w14:paraId="11E263CE">
      <w:pPr>
        <w:spacing w:beforeLines="50" w:afterLines="100" w:line="480" w:lineRule="exact"/>
        <w:textAlignment w:val="center"/>
        <w:rPr>
          <w:rFonts w:ascii="宋体" w:hAnsi="宋体"/>
          <w:color w:val="auto"/>
          <w:sz w:val="24"/>
          <w:szCs w:val="24"/>
          <w:highlight w:val="none"/>
        </w:rPr>
      </w:pPr>
    </w:p>
    <w:p w14:paraId="005D7BB4">
      <w:pPr>
        <w:spacing w:beforeLines="50" w:afterLines="100" w:line="480" w:lineRule="exact"/>
        <w:textAlignment w:val="center"/>
        <w:rPr>
          <w:rFonts w:ascii="宋体" w:hAnsi="宋体"/>
          <w:color w:val="auto"/>
          <w:sz w:val="24"/>
          <w:szCs w:val="24"/>
          <w:highlight w:val="none"/>
        </w:rPr>
      </w:pPr>
    </w:p>
    <w:p w14:paraId="06EF1773">
      <w:pPr>
        <w:spacing w:beforeLines="50" w:afterLines="100" w:line="480" w:lineRule="exact"/>
        <w:textAlignment w:val="center"/>
        <w:rPr>
          <w:rFonts w:ascii="宋体" w:hAnsi="宋体"/>
          <w:color w:val="auto"/>
          <w:sz w:val="24"/>
          <w:szCs w:val="24"/>
          <w:highlight w:val="none"/>
        </w:rPr>
      </w:pPr>
    </w:p>
    <w:p w14:paraId="5B207753">
      <w:pPr>
        <w:spacing w:beforeLines="50" w:afterLines="100" w:line="480" w:lineRule="exact"/>
        <w:textAlignment w:val="center"/>
        <w:rPr>
          <w:rFonts w:ascii="宋体" w:hAnsi="宋体"/>
          <w:color w:val="auto"/>
          <w:sz w:val="24"/>
          <w:szCs w:val="24"/>
          <w:highlight w:val="none"/>
        </w:rPr>
      </w:pPr>
    </w:p>
    <w:p w14:paraId="54902EAA">
      <w:pPr>
        <w:spacing w:beforeLines="50" w:afterLines="100" w:line="480" w:lineRule="exact"/>
        <w:textAlignment w:val="center"/>
        <w:rPr>
          <w:rFonts w:ascii="宋体" w:hAnsi="宋体"/>
          <w:color w:val="auto"/>
          <w:sz w:val="24"/>
          <w:szCs w:val="24"/>
          <w:highlight w:val="none"/>
        </w:rPr>
      </w:pPr>
    </w:p>
    <w:p w14:paraId="53BECCEE">
      <w:pPr>
        <w:spacing w:beforeLines="50" w:afterLines="100" w:line="480" w:lineRule="exact"/>
        <w:textAlignment w:val="center"/>
        <w:rPr>
          <w:rFonts w:ascii="宋体" w:hAnsi="宋体"/>
          <w:color w:val="auto"/>
          <w:sz w:val="24"/>
          <w:szCs w:val="24"/>
          <w:highlight w:val="none"/>
        </w:rPr>
      </w:pPr>
    </w:p>
    <w:p w14:paraId="2F4255CA">
      <w:pPr>
        <w:spacing w:beforeLines="50" w:afterLines="100" w:line="480" w:lineRule="exact"/>
        <w:textAlignment w:val="center"/>
        <w:rPr>
          <w:rFonts w:ascii="宋体" w:hAnsi="宋体"/>
          <w:color w:val="auto"/>
          <w:sz w:val="24"/>
          <w:szCs w:val="24"/>
          <w:highlight w:val="none"/>
        </w:rPr>
      </w:pPr>
    </w:p>
    <w:p w14:paraId="6736DD9F">
      <w:pPr>
        <w:spacing w:beforeLines="50" w:afterLines="100" w:line="480" w:lineRule="exact"/>
        <w:textAlignment w:val="center"/>
        <w:rPr>
          <w:rFonts w:ascii="宋体" w:hAnsi="宋体"/>
          <w:color w:val="auto"/>
          <w:sz w:val="24"/>
          <w:szCs w:val="24"/>
          <w:highlight w:val="none"/>
        </w:rPr>
      </w:pPr>
      <w:r>
        <w:rPr>
          <w:rFonts w:hint="eastAsia" w:ascii="宋体" w:hAnsi="宋体"/>
          <w:color w:val="auto"/>
          <w:sz w:val="24"/>
          <w:szCs w:val="24"/>
          <w:highlight w:val="none"/>
        </w:rPr>
        <w:t>附表一：拟投入本工程的主要施工设备表</w:t>
      </w:r>
    </w:p>
    <w:tbl>
      <w:tblPr>
        <w:tblStyle w:val="17"/>
        <w:tblW w:w="82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038"/>
        <w:gridCol w:w="789"/>
        <w:gridCol w:w="863"/>
        <w:gridCol w:w="691"/>
        <w:gridCol w:w="691"/>
        <w:gridCol w:w="1147"/>
        <w:gridCol w:w="850"/>
        <w:gridCol w:w="850"/>
        <w:gridCol w:w="746"/>
      </w:tblGrid>
      <w:tr w14:paraId="33AB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628" w:type="dxa"/>
            <w:tcBorders>
              <w:top w:val="single" w:color="auto" w:sz="4" w:space="0"/>
              <w:left w:val="single" w:color="auto" w:sz="4" w:space="0"/>
              <w:bottom w:val="single" w:color="auto" w:sz="4" w:space="0"/>
              <w:right w:val="single" w:color="auto" w:sz="4" w:space="0"/>
            </w:tcBorders>
            <w:vAlign w:val="center"/>
          </w:tcPr>
          <w:p w14:paraId="66C049B4">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1038" w:type="dxa"/>
            <w:tcBorders>
              <w:top w:val="single" w:color="auto" w:sz="4" w:space="0"/>
              <w:left w:val="nil"/>
              <w:bottom w:val="single" w:color="auto" w:sz="4" w:space="0"/>
              <w:right w:val="single" w:color="auto" w:sz="4" w:space="0"/>
            </w:tcBorders>
            <w:vAlign w:val="center"/>
          </w:tcPr>
          <w:p w14:paraId="2E847631">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设备   名称</w:t>
            </w:r>
          </w:p>
        </w:tc>
        <w:tc>
          <w:tcPr>
            <w:tcW w:w="789" w:type="dxa"/>
            <w:tcBorders>
              <w:top w:val="single" w:color="auto" w:sz="4" w:space="0"/>
              <w:left w:val="nil"/>
              <w:bottom w:val="single" w:color="auto" w:sz="4" w:space="0"/>
              <w:right w:val="single" w:color="auto" w:sz="4" w:space="0"/>
            </w:tcBorders>
            <w:vAlign w:val="center"/>
          </w:tcPr>
          <w:p w14:paraId="108DC19B">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型号</w:t>
            </w:r>
          </w:p>
          <w:p w14:paraId="5FA9A27B">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规格</w:t>
            </w:r>
          </w:p>
        </w:tc>
        <w:tc>
          <w:tcPr>
            <w:tcW w:w="863" w:type="dxa"/>
            <w:tcBorders>
              <w:top w:val="single" w:color="auto" w:sz="4" w:space="0"/>
              <w:left w:val="nil"/>
              <w:bottom w:val="single" w:color="auto" w:sz="4" w:space="0"/>
              <w:right w:val="single" w:color="auto" w:sz="4" w:space="0"/>
            </w:tcBorders>
            <w:vAlign w:val="center"/>
          </w:tcPr>
          <w:p w14:paraId="188B4128">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数  量</w:t>
            </w:r>
          </w:p>
        </w:tc>
        <w:tc>
          <w:tcPr>
            <w:tcW w:w="691" w:type="dxa"/>
            <w:tcBorders>
              <w:top w:val="single" w:color="auto" w:sz="4" w:space="0"/>
              <w:left w:val="nil"/>
              <w:bottom w:val="single" w:color="auto" w:sz="4" w:space="0"/>
              <w:right w:val="single" w:color="auto" w:sz="4" w:space="0"/>
            </w:tcBorders>
            <w:vAlign w:val="center"/>
          </w:tcPr>
          <w:p w14:paraId="5EDB0731">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国别</w:t>
            </w:r>
          </w:p>
          <w:p w14:paraId="023D9658">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产地</w:t>
            </w:r>
          </w:p>
        </w:tc>
        <w:tc>
          <w:tcPr>
            <w:tcW w:w="691" w:type="dxa"/>
            <w:tcBorders>
              <w:top w:val="single" w:color="auto" w:sz="4" w:space="0"/>
              <w:left w:val="nil"/>
              <w:bottom w:val="single" w:color="auto" w:sz="4" w:space="0"/>
              <w:right w:val="single" w:color="auto" w:sz="4" w:space="0"/>
            </w:tcBorders>
            <w:vAlign w:val="center"/>
          </w:tcPr>
          <w:p w14:paraId="109D04EA">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制造</w:t>
            </w:r>
          </w:p>
          <w:p w14:paraId="2815134B">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年份</w:t>
            </w:r>
          </w:p>
        </w:tc>
        <w:tc>
          <w:tcPr>
            <w:tcW w:w="1147" w:type="dxa"/>
            <w:tcBorders>
              <w:top w:val="single" w:color="auto" w:sz="4" w:space="0"/>
              <w:left w:val="nil"/>
              <w:bottom w:val="single" w:color="auto" w:sz="4" w:space="0"/>
              <w:right w:val="single" w:color="auto" w:sz="4" w:space="0"/>
            </w:tcBorders>
            <w:vAlign w:val="center"/>
          </w:tcPr>
          <w:p w14:paraId="186B15CF">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额定功率</w:t>
            </w:r>
          </w:p>
          <w:p w14:paraId="3970B9E3">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（KW）</w:t>
            </w:r>
          </w:p>
        </w:tc>
        <w:tc>
          <w:tcPr>
            <w:tcW w:w="850" w:type="dxa"/>
            <w:tcBorders>
              <w:top w:val="single" w:color="auto" w:sz="4" w:space="0"/>
              <w:left w:val="nil"/>
              <w:bottom w:val="single" w:color="auto" w:sz="4" w:space="0"/>
              <w:right w:val="single" w:color="auto" w:sz="4" w:space="0"/>
            </w:tcBorders>
            <w:vAlign w:val="center"/>
          </w:tcPr>
          <w:p w14:paraId="73495061">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生产</w:t>
            </w:r>
          </w:p>
          <w:p w14:paraId="1CF8DC3F">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能力</w:t>
            </w:r>
          </w:p>
        </w:tc>
        <w:tc>
          <w:tcPr>
            <w:tcW w:w="850" w:type="dxa"/>
            <w:tcBorders>
              <w:top w:val="single" w:color="auto" w:sz="4" w:space="0"/>
              <w:left w:val="nil"/>
              <w:bottom w:val="single" w:color="auto" w:sz="4" w:space="0"/>
              <w:right w:val="single" w:color="auto" w:sz="4" w:space="0"/>
            </w:tcBorders>
            <w:vAlign w:val="center"/>
          </w:tcPr>
          <w:p w14:paraId="570982AB">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用于施</w:t>
            </w:r>
          </w:p>
          <w:p w14:paraId="0353B9C8">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工部位</w:t>
            </w:r>
          </w:p>
        </w:tc>
        <w:tc>
          <w:tcPr>
            <w:tcW w:w="746" w:type="dxa"/>
            <w:tcBorders>
              <w:top w:val="single" w:color="auto" w:sz="4" w:space="0"/>
              <w:left w:val="nil"/>
              <w:bottom w:val="single" w:color="auto" w:sz="4" w:space="0"/>
              <w:right w:val="single" w:color="auto" w:sz="4" w:space="0"/>
            </w:tcBorders>
            <w:vAlign w:val="center"/>
          </w:tcPr>
          <w:p w14:paraId="080CC71C">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备注</w:t>
            </w:r>
          </w:p>
        </w:tc>
      </w:tr>
      <w:tr w14:paraId="1E21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2DD32BF3">
            <w:pPr>
              <w:spacing w:line="480" w:lineRule="exact"/>
              <w:jc w:val="center"/>
              <w:textAlignment w:val="center"/>
              <w:rPr>
                <w:rFonts w:ascii="宋体" w:hAnsi="宋体"/>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1CAC41F2">
            <w:pPr>
              <w:spacing w:line="480" w:lineRule="exact"/>
              <w:jc w:val="center"/>
              <w:textAlignment w:val="center"/>
              <w:rPr>
                <w:rFonts w:ascii="宋体" w:hAnsi="宋体"/>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66FF58B7">
            <w:pPr>
              <w:spacing w:line="480" w:lineRule="exact"/>
              <w:jc w:val="center"/>
              <w:textAlignment w:val="center"/>
              <w:rPr>
                <w:rFonts w:ascii="宋体" w:hAnsi="宋体"/>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48AA13FF">
            <w:pPr>
              <w:spacing w:line="480" w:lineRule="exact"/>
              <w:jc w:val="center"/>
              <w:textAlignment w:val="center"/>
              <w:rPr>
                <w:rFonts w:ascii="宋体" w:hAnsi="宋体"/>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60F91C5B">
            <w:pPr>
              <w:spacing w:line="480" w:lineRule="exact"/>
              <w:jc w:val="center"/>
              <w:textAlignment w:val="center"/>
              <w:rPr>
                <w:rFonts w:ascii="宋体" w:hAnsi="宋体"/>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44950E99">
            <w:pPr>
              <w:spacing w:line="480" w:lineRule="exact"/>
              <w:jc w:val="center"/>
              <w:textAlignment w:val="center"/>
              <w:rPr>
                <w:rFonts w:ascii="宋体" w:hAnsi="宋体"/>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311026AC">
            <w:pPr>
              <w:spacing w:line="480" w:lineRule="exact"/>
              <w:jc w:val="center"/>
              <w:textAlignment w:val="center"/>
              <w:rPr>
                <w:rFonts w:ascii="宋体" w:hAnsi="宋体"/>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5EC6A6AF">
            <w:pPr>
              <w:spacing w:line="480" w:lineRule="exact"/>
              <w:jc w:val="center"/>
              <w:textAlignment w:val="center"/>
              <w:rPr>
                <w:rFonts w:ascii="宋体" w:hAnsi="宋体"/>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37D1A22D">
            <w:pPr>
              <w:spacing w:line="480" w:lineRule="exact"/>
              <w:jc w:val="center"/>
              <w:textAlignment w:val="center"/>
              <w:rPr>
                <w:rFonts w:ascii="宋体" w:hAnsi="宋体"/>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0CD806DE">
            <w:pPr>
              <w:spacing w:line="480" w:lineRule="exact"/>
              <w:jc w:val="center"/>
              <w:textAlignment w:val="center"/>
              <w:rPr>
                <w:rFonts w:ascii="宋体" w:hAnsi="宋体"/>
                <w:color w:val="auto"/>
                <w:sz w:val="24"/>
                <w:szCs w:val="24"/>
                <w:highlight w:val="none"/>
              </w:rPr>
            </w:pPr>
          </w:p>
        </w:tc>
      </w:tr>
      <w:tr w14:paraId="3DB0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5AFA2DF5">
            <w:pPr>
              <w:spacing w:line="480" w:lineRule="exact"/>
              <w:jc w:val="center"/>
              <w:textAlignment w:val="center"/>
              <w:rPr>
                <w:rFonts w:ascii="宋体" w:hAnsi="宋体"/>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159453D0">
            <w:pPr>
              <w:spacing w:line="480" w:lineRule="exact"/>
              <w:jc w:val="center"/>
              <w:textAlignment w:val="center"/>
              <w:rPr>
                <w:rFonts w:ascii="宋体" w:hAnsi="宋体"/>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5419B1AD">
            <w:pPr>
              <w:spacing w:line="480" w:lineRule="exact"/>
              <w:jc w:val="center"/>
              <w:textAlignment w:val="center"/>
              <w:rPr>
                <w:rFonts w:ascii="宋体" w:hAnsi="宋体"/>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695DFCAC">
            <w:pPr>
              <w:spacing w:line="480" w:lineRule="exact"/>
              <w:jc w:val="center"/>
              <w:textAlignment w:val="center"/>
              <w:rPr>
                <w:rFonts w:ascii="宋体" w:hAnsi="宋体"/>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5C549A82">
            <w:pPr>
              <w:spacing w:line="480" w:lineRule="exact"/>
              <w:jc w:val="center"/>
              <w:textAlignment w:val="center"/>
              <w:rPr>
                <w:rFonts w:ascii="宋体" w:hAnsi="宋体"/>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7A364218">
            <w:pPr>
              <w:spacing w:line="480" w:lineRule="exact"/>
              <w:jc w:val="center"/>
              <w:textAlignment w:val="center"/>
              <w:rPr>
                <w:rFonts w:ascii="宋体" w:hAnsi="宋体"/>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3CEC3264">
            <w:pPr>
              <w:spacing w:line="480" w:lineRule="exact"/>
              <w:jc w:val="center"/>
              <w:textAlignment w:val="center"/>
              <w:rPr>
                <w:rFonts w:ascii="宋体" w:hAnsi="宋体"/>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2DBEAF90">
            <w:pPr>
              <w:spacing w:line="480" w:lineRule="exact"/>
              <w:jc w:val="center"/>
              <w:textAlignment w:val="center"/>
              <w:rPr>
                <w:rFonts w:ascii="宋体" w:hAnsi="宋体"/>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30E2ADFF">
            <w:pPr>
              <w:spacing w:line="480" w:lineRule="exact"/>
              <w:jc w:val="center"/>
              <w:textAlignment w:val="center"/>
              <w:rPr>
                <w:rFonts w:ascii="宋体" w:hAnsi="宋体"/>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2EE22FDA">
            <w:pPr>
              <w:spacing w:line="480" w:lineRule="exact"/>
              <w:jc w:val="center"/>
              <w:textAlignment w:val="center"/>
              <w:rPr>
                <w:rFonts w:ascii="宋体" w:hAnsi="宋体"/>
                <w:color w:val="auto"/>
                <w:sz w:val="24"/>
                <w:szCs w:val="24"/>
                <w:highlight w:val="none"/>
              </w:rPr>
            </w:pPr>
          </w:p>
        </w:tc>
      </w:tr>
      <w:tr w14:paraId="5151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4EF356BB">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43D6B26B">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756D8838">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2CDF2E22">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66001810">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62C73A7F">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3C980EE5">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510628E1">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7F3FFC49">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02ED9DF0">
            <w:pPr>
              <w:spacing w:line="480" w:lineRule="exact"/>
              <w:jc w:val="center"/>
              <w:textAlignment w:val="center"/>
              <w:rPr>
                <w:rFonts w:ascii="仿宋_GB2312" w:hAnsi="宋体" w:eastAsia="仿宋_GB2312"/>
                <w:color w:val="auto"/>
                <w:sz w:val="24"/>
                <w:szCs w:val="24"/>
                <w:highlight w:val="none"/>
              </w:rPr>
            </w:pPr>
          </w:p>
        </w:tc>
      </w:tr>
      <w:tr w14:paraId="30FA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156D038B">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785CCD5F">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7BCE3727">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286B985A">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67D15B61">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2FE2FE78">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1544A3B6">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4B411188">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49DD4BDF">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769ADE92">
            <w:pPr>
              <w:spacing w:line="480" w:lineRule="exact"/>
              <w:jc w:val="center"/>
              <w:textAlignment w:val="center"/>
              <w:rPr>
                <w:rFonts w:ascii="仿宋_GB2312" w:hAnsi="宋体" w:eastAsia="仿宋_GB2312"/>
                <w:color w:val="auto"/>
                <w:sz w:val="24"/>
                <w:szCs w:val="24"/>
                <w:highlight w:val="none"/>
              </w:rPr>
            </w:pPr>
          </w:p>
        </w:tc>
      </w:tr>
      <w:tr w14:paraId="2CF1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31161782">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43D4205D">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099C8D3A">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1F1BF342">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16BBF64F">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08C54CD0">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68F47861">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41B2CD2B">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313C672F">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214A0E83">
            <w:pPr>
              <w:spacing w:line="480" w:lineRule="exact"/>
              <w:jc w:val="center"/>
              <w:textAlignment w:val="center"/>
              <w:rPr>
                <w:rFonts w:ascii="仿宋_GB2312" w:hAnsi="宋体" w:eastAsia="仿宋_GB2312"/>
                <w:color w:val="auto"/>
                <w:sz w:val="24"/>
                <w:szCs w:val="24"/>
                <w:highlight w:val="none"/>
              </w:rPr>
            </w:pPr>
          </w:p>
        </w:tc>
      </w:tr>
      <w:tr w14:paraId="2165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43267C37">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3EC7201C">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0068F1FD">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310FD5B6">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6DFFDFB9">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0EDEB35A">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5070FBA6">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4214B0C0">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5155C5AC">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65F53E0E">
            <w:pPr>
              <w:spacing w:line="480" w:lineRule="exact"/>
              <w:jc w:val="center"/>
              <w:textAlignment w:val="center"/>
              <w:rPr>
                <w:rFonts w:ascii="仿宋_GB2312" w:hAnsi="宋体" w:eastAsia="仿宋_GB2312"/>
                <w:color w:val="auto"/>
                <w:sz w:val="24"/>
                <w:szCs w:val="24"/>
                <w:highlight w:val="none"/>
              </w:rPr>
            </w:pPr>
          </w:p>
        </w:tc>
      </w:tr>
      <w:tr w14:paraId="316E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6C0BDA35">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31E1E391">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3E3B9347">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069BE014">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548360CE">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3FB0D2F3">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4BDFB09B">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3AF5D6FE">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557B4937">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27FB457B">
            <w:pPr>
              <w:spacing w:line="480" w:lineRule="exact"/>
              <w:jc w:val="center"/>
              <w:textAlignment w:val="center"/>
              <w:rPr>
                <w:rFonts w:ascii="仿宋_GB2312" w:hAnsi="宋体" w:eastAsia="仿宋_GB2312"/>
                <w:color w:val="auto"/>
                <w:sz w:val="24"/>
                <w:szCs w:val="24"/>
                <w:highlight w:val="none"/>
              </w:rPr>
            </w:pPr>
          </w:p>
        </w:tc>
      </w:tr>
      <w:tr w14:paraId="06D4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5A3FF3B1">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039951E0">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28436164">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6EBFED51">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487CB492">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5160C13A">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6DF847A6">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0AA33D34">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4650E650">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283A1DF5">
            <w:pPr>
              <w:spacing w:line="480" w:lineRule="exact"/>
              <w:jc w:val="center"/>
              <w:textAlignment w:val="center"/>
              <w:rPr>
                <w:rFonts w:ascii="仿宋_GB2312" w:hAnsi="宋体" w:eastAsia="仿宋_GB2312"/>
                <w:color w:val="auto"/>
                <w:sz w:val="24"/>
                <w:szCs w:val="24"/>
                <w:highlight w:val="none"/>
              </w:rPr>
            </w:pPr>
          </w:p>
        </w:tc>
      </w:tr>
      <w:tr w14:paraId="10DD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3AEFE095">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16D230EA">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5BB0145B">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4A7B6FF1">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09136D04">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40ACA675">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03DC9629">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545351CB">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779141BC">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1E976B62">
            <w:pPr>
              <w:spacing w:line="480" w:lineRule="exact"/>
              <w:jc w:val="center"/>
              <w:textAlignment w:val="center"/>
              <w:rPr>
                <w:rFonts w:ascii="仿宋_GB2312" w:hAnsi="宋体" w:eastAsia="仿宋_GB2312"/>
                <w:color w:val="auto"/>
                <w:sz w:val="24"/>
                <w:szCs w:val="24"/>
                <w:highlight w:val="none"/>
              </w:rPr>
            </w:pPr>
          </w:p>
        </w:tc>
      </w:tr>
      <w:tr w14:paraId="0761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7C9DC9AD">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317202E7">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60E098A5">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52B8862B">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7BDD6BEF">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5F30F4E6">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4F9AE805">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02415319">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06DEBC49">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586FF580">
            <w:pPr>
              <w:spacing w:line="480" w:lineRule="exact"/>
              <w:jc w:val="center"/>
              <w:textAlignment w:val="center"/>
              <w:rPr>
                <w:rFonts w:ascii="仿宋_GB2312" w:hAnsi="宋体" w:eastAsia="仿宋_GB2312"/>
                <w:color w:val="auto"/>
                <w:sz w:val="24"/>
                <w:szCs w:val="24"/>
                <w:highlight w:val="none"/>
              </w:rPr>
            </w:pPr>
          </w:p>
        </w:tc>
      </w:tr>
      <w:tr w14:paraId="0D28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596C2848">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4F51DDCB">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4F2F4EE0">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60F00A91">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053F3BA7">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43E4ED22">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55598A02">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42F23EEF">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6A668E9B">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3A9059CC">
            <w:pPr>
              <w:spacing w:line="480" w:lineRule="exact"/>
              <w:jc w:val="center"/>
              <w:textAlignment w:val="center"/>
              <w:rPr>
                <w:rFonts w:ascii="仿宋_GB2312" w:hAnsi="宋体" w:eastAsia="仿宋_GB2312"/>
                <w:color w:val="auto"/>
                <w:sz w:val="24"/>
                <w:szCs w:val="24"/>
                <w:highlight w:val="none"/>
              </w:rPr>
            </w:pPr>
          </w:p>
        </w:tc>
      </w:tr>
      <w:tr w14:paraId="1009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5BAC7880">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0274BAF4">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510AC6DF">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34A4FF72">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1D2BB394">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1E7C63A8">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7F260594">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22D0A596">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6FEF9C8D">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38206356">
            <w:pPr>
              <w:spacing w:line="480" w:lineRule="exact"/>
              <w:jc w:val="center"/>
              <w:textAlignment w:val="center"/>
              <w:rPr>
                <w:rFonts w:ascii="仿宋_GB2312" w:hAnsi="宋体" w:eastAsia="仿宋_GB2312"/>
                <w:color w:val="auto"/>
                <w:sz w:val="24"/>
                <w:szCs w:val="24"/>
                <w:highlight w:val="none"/>
              </w:rPr>
            </w:pPr>
          </w:p>
        </w:tc>
      </w:tr>
      <w:tr w14:paraId="02AE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69372430">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2DABD2FD">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53AE0A46">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0D0E5886">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05109896">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6A85B506">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61515634">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340E756B">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40003594">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6B8E2D0A">
            <w:pPr>
              <w:spacing w:line="480" w:lineRule="exact"/>
              <w:jc w:val="center"/>
              <w:textAlignment w:val="center"/>
              <w:rPr>
                <w:rFonts w:ascii="仿宋_GB2312" w:hAnsi="宋体" w:eastAsia="仿宋_GB2312"/>
                <w:color w:val="auto"/>
                <w:sz w:val="24"/>
                <w:szCs w:val="24"/>
                <w:highlight w:val="none"/>
              </w:rPr>
            </w:pPr>
          </w:p>
        </w:tc>
      </w:tr>
      <w:tr w14:paraId="1233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42135CE4">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31AE1814">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61ECDCC7">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3AB8EF79">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2E594874">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569E4E54">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74552FDA">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109643CB">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75FAF02F">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5B0C6DEE">
            <w:pPr>
              <w:spacing w:line="480" w:lineRule="exact"/>
              <w:jc w:val="center"/>
              <w:textAlignment w:val="center"/>
              <w:rPr>
                <w:rFonts w:ascii="仿宋_GB2312" w:hAnsi="宋体" w:eastAsia="仿宋_GB2312"/>
                <w:color w:val="auto"/>
                <w:sz w:val="24"/>
                <w:szCs w:val="24"/>
                <w:highlight w:val="none"/>
              </w:rPr>
            </w:pPr>
          </w:p>
        </w:tc>
      </w:tr>
      <w:tr w14:paraId="6107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3DA8430F">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7B81E6D5">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3FE6F270">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4C6620C5">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73AC7883">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7D49CA01">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17602844">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7FCBE775">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7EAD052C">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055DB365">
            <w:pPr>
              <w:spacing w:line="480" w:lineRule="exact"/>
              <w:jc w:val="center"/>
              <w:textAlignment w:val="center"/>
              <w:rPr>
                <w:rFonts w:ascii="仿宋_GB2312" w:hAnsi="宋体" w:eastAsia="仿宋_GB2312"/>
                <w:color w:val="auto"/>
                <w:sz w:val="24"/>
                <w:szCs w:val="24"/>
                <w:highlight w:val="none"/>
              </w:rPr>
            </w:pPr>
          </w:p>
        </w:tc>
      </w:tr>
      <w:tr w14:paraId="01B3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234DF345">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4EE4AF8F">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0EDB2FCA">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2EB6FE1F">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3A02CB11">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5F7DBB4F">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6237D17E">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1B0A6FFC">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63FAD123">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0D7C2F47">
            <w:pPr>
              <w:spacing w:line="480" w:lineRule="exact"/>
              <w:jc w:val="center"/>
              <w:textAlignment w:val="center"/>
              <w:rPr>
                <w:rFonts w:ascii="仿宋_GB2312" w:hAnsi="宋体" w:eastAsia="仿宋_GB2312"/>
                <w:color w:val="auto"/>
                <w:sz w:val="24"/>
                <w:szCs w:val="24"/>
                <w:highlight w:val="none"/>
              </w:rPr>
            </w:pPr>
          </w:p>
        </w:tc>
      </w:tr>
      <w:tr w14:paraId="7459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28" w:type="dxa"/>
            <w:tcBorders>
              <w:top w:val="single" w:color="auto" w:sz="4" w:space="0"/>
              <w:left w:val="single" w:color="auto" w:sz="4" w:space="0"/>
              <w:bottom w:val="single" w:color="auto" w:sz="4" w:space="0"/>
              <w:right w:val="single" w:color="auto" w:sz="4" w:space="0"/>
            </w:tcBorders>
            <w:vAlign w:val="center"/>
          </w:tcPr>
          <w:p w14:paraId="2CEB6565">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7B28532C">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215C831A">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24A60ED3">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24DA1A9E">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2101C481">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6A3E53E2">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09152238">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3E69E6F4">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48192F40">
            <w:pPr>
              <w:spacing w:line="480" w:lineRule="exact"/>
              <w:jc w:val="center"/>
              <w:textAlignment w:val="center"/>
              <w:rPr>
                <w:rFonts w:ascii="仿宋_GB2312" w:hAnsi="宋体" w:eastAsia="仿宋_GB2312"/>
                <w:color w:val="auto"/>
                <w:sz w:val="24"/>
                <w:szCs w:val="24"/>
                <w:highlight w:val="none"/>
              </w:rPr>
            </w:pPr>
          </w:p>
        </w:tc>
      </w:tr>
      <w:tr w14:paraId="1227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28" w:type="dxa"/>
            <w:tcBorders>
              <w:top w:val="single" w:color="auto" w:sz="4" w:space="0"/>
              <w:left w:val="single" w:color="auto" w:sz="4" w:space="0"/>
              <w:bottom w:val="single" w:color="auto" w:sz="4" w:space="0"/>
              <w:right w:val="single" w:color="auto" w:sz="4" w:space="0"/>
            </w:tcBorders>
            <w:vAlign w:val="center"/>
          </w:tcPr>
          <w:p w14:paraId="7168D7D0">
            <w:pPr>
              <w:spacing w:line="480" w:lineRule="exact"/>
              <w:jc w:val="center"/>
              <w:textAlignment w:val="center"/>
              <w:rPr>
                <w:rFonts w:ascii="仿宋_GB2312" w:hAnsi="宋体" w:eastAsia="仿宋_GB2312"/>
                <w:color w:val="auto"/>
                <w:sz w:val="24"/>
                <w:szCs w:val="24"/>
                <w:highlight w:val="none"/>
              </w:rPr>
            </w:pPr>
          </w:p>
        </w:tc>
        <w:tc>
          <w:tcPr>
            <w:tcW w:w="1038" w:type="dxa"/>
            <w:tcBorders>
              <w:top w:val="single" w:color="auto" w:sz="4" w:space="0"/>
              <w:left w:val="nil"/>
              <w:bottom w:val="single" w:color="auto" w:sz="4" w:space="0"/>
              <w:right w:val="single" w:color="auto" w:sz="4" w:space="0"/>
            </w:tcBorders>
            <w:vAlign w:val="center"/>
          </w:tcPr>
          <w:p w14:paraId="57D0EB79">
            <w:pPr>
              <w:spacing w:line="480" w:lineRule="exact"/>
              <w:jc w:val="center"/>
              <w:textAlignment w:val="center"/>
              <w:rPr>
                <w:rFonts w:ascii="仿宋_GB2312" w:hAnsi="宋体" w:eastAsia="仿宋_GB2312"/>
                <w:color w:val="auto"/>
                <w:sz w:val="24"/>
                <w:szCs w:val="24"/>
                <w:highlight w:val="none"/>
              </w:rPr>
            </w:pPr>
          </w:p>
        </w:tc>
        <w:tc>
          <w:tcPr>
            <w:tcW w:w="789" w:type="dxa"/>
            <w:tcBorders>
              <w:top w:val="single" w:color="auto" w:sz="4" w:space="0"/>
              <w:left w:val="nil"/>
              <w:bottom w:val="single" w:color="auto" w:sz="4" w:space="0"/>
              <w:right w:val="single" w:color="auto" w:sz="4" w:space="0"/>
            </w:tcBorders>
            <w:vAlign w:val="center"/>
          </w:tcPr>
          <w:p w14:paraId="2D157146">
            <w:pPr>
              <w:spacing w:line="480" w:lineRule="exact"/>
              <w:jc w:val="center"/>
              <w:textAlignment w:val="center"/>
              <w:rPr>
                <w:rFonts w:ascii="仿宋_GB2312" w:hAnsi="宋体" w:eastAsia="仿宋_GB2312"/>
                <w:color w:val="auto"/>
                <w:sz w:val="24"/>
                <w:szCs w:val="24"/>
                <w:highlight w:val="none"/>
              </w:rPr>
            </w:pPr>
          </w:p>
        </w:tc>
        <w:tc>
          <w:tcPr>
            <w:tcW w:w="863" w:type="dxa"/>
            <w:tcBorders>
              <w:top w:val="single" w:color="auto" w:sz="4" w:space="0"/>
              <w:left w:val="nil"/>
              <w:bottom w:val="single" w:color="auto" w:sz="4" w:space="0"/>
              <w:right w:val="single" w:color="auto" w:sz="4" w:space="0"/>
            </w:tcBorders>
            <w:vAlign w:val="center"/>
          </w:tcPr>
          <w:p w14:paraId="10FB2932">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7C841407">
            <w:pPr>
              <w:spacing w:line="480" w:lineRule="exact"/>
              <w:jc w:val="center"/>
              <w:textAlignment w:val="center"/>
              <w:rPr>
                <w:rFonts w:ascii="仿宋_GB2312" w:hAnsi="宋体" w:eastAsia="仿宋_GB2312"/>
                <w:color w:val="auto"/>
                <w:sz w:val="24"/>
                <w:szCs w:val="24"/>
                <w:highlight w:val="none"/>
              </w:rPr>
            </w:pPr>
          </w:p>
        </w:tc>
        <w:tc>
          <w:tcPr>
            <w:tcW w:w="691" w:type="dxa"/>
            <w:tcBorders>
              <w:top w:val="single" w:color="auto" w:sz="4" w:space="0"/>
              <w:left w:val="nil"/>
              <w:bottom w:val="single" w:color="auto" w:sz="4" w:space="0"/>
              <w:right w:val="single" w:color="auto" w:sz="4" w:space="0"/>
            </w:tcBorders>
            <w:vAlign w:val="center"/>
          </w:tcPr>
          <w:p w14:paraId="4EFCBD9C">
            <w:pPr>
              <w:spacing w:line="480" w:lineRule="exact"/>
              <w:jc w:val="center"/>
              <w:textAlignment w:val="center"/>
              <w:rPr>
                <w:rFonts w:ascii="仿宋_GB2312" w:hAnsi="宋体" w:eastAsia="仿宋_GB2312"/>
                <w:color w:val="auto"/>
                <w:sz w:val="24"/>
                <w:szCs w:val="24"/>
                <w:highlight w:val="none"/>
              </w:rPr>
            </w:pPr>
          </w:p>
        </w:tc>
        <w:tc>
          <w:tcPr>
            <w:tcW w:w="1147" w:type="dxa"/>
            <w:tcBorders>
              <w:top w:val="single" w:color="auto" w:sz="4" w:space="0"/>
              <w:left w:val="nil"/>
              <w:bottom w:val="single" w:color="auto" w:sz="4" w:space="0"/>
              <w:right w:val="single" w:color="auto" w:sz="4" w:space="0"/>
            </w:tcBorders>
            <w:vAlign w:val="center"/>
          </w:tcPr>
          <w:p w14:paraId="2573394E">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731FE0B9">
            <w:pPr>
              <w:spacing w:line="480" w:lineRule="exact"/>
              <w:jc w:val="center"/>
              <w:textAlignment w:val="center"/>
              <w:rPr>
                <w:rFonts w:ascii="仿宋_GB2312" w:hAnsi="宋体" w:eastAsia="仿宋_GB2312"/>
                <w:color w:val="auto"/>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14:paraId="2281141E">
            <w:pPr>
              <w:spacing w:line="480" w:lineRule="exact"/>
              <w:jc w:val="center"/>
              <w:textAlignment w:val="center"/>
              <w:rPr>
                <w:rFonts w:ascii="仿宋_GB2312" w:hAnsi="宋体" w:eastAsia="仿宋_GB2312"/>
                <w:color w:val="auto"/>
                <w:sz w:val="24"/>
                <w:szCs w:val="24"/>
                <w:highlight w:val="none"/>
              </w:rPr>
            </w:pPr>
          </w:p>
        </w:tc>
        <w:tc>
          <w:tcPr>
            <w:tcW w:w="746" w:type="dxa"/>
            <w:tcBorders>
              <w:top w:val="single" w:color="auto" w:sz="4" w:space="0"/>
              <w:left w:val="nil"/>
              <w:bottom w:val="single" w:color="auto" w:sz="4" w:space="0"/>
              <w:right w:val="single" w:color="auto" w:sz="4" w:space="0"/>
            </w:tcBorders>
            <w:vAlign w:val="center"/>
          </w:tcPr>
          <w:p w14:paraId="15570EAB">
            <w:pPr>
              <w:spacing w:line="480" w:lineRule="exact"/>
              <w:jc w:val="center"/>
              <w:textAlignment w:val="center"/>
              <w:rPr>
                <w:rFonts w:ascii="仿宋_GB2312" w:hAnsi="宋体" w:eastAsia="仿宋_GB2312"/>
                <w:color w:val="auto"/>
                <w:sz w:val="24"/>
                <w:szCs w:val="24"/>
                <w:highlight w:val="none"/>
              </w:rPr>
            </w:pPr>
          </w:p>
        </w:tc>
      </w:tr>
    </w:tbl>
    <w:p w14:paraId="3EAE8439">
      <w:pPr>
        <w:spacing w:beforeLines="50" w:afterLines="100" w:line="480" w:lineRule="exact"/>
        <w:textAlignment w:val="center"/>
        <w:rPr>
          <w:rFonts w:ascii="仿宋_GB2312" w:hAnsi="宋体" w:eastAsia="仿宋_GB2312"/>
          <w:color w:val="auto"/>
          <w:sz w:val="24"/>
          <w:szCs w:val="24"/>
          <w:highlight w:val="none"/>
        </w:rPr>
      </w:pPr>
    </w:p>
    <w:p w14:paraId="01EF88A4">
      <w:pPr>
        <w:spacing w:beforeLines="50" w:afterLines="100" w:line="480" w:lineRule="exact"/>
        <w:textAlignment w:val="center"/>
        <w:rPr>
          <w:rFonts w:ascii="仿宋_GB2312" w:hAnsi="宋体" w:eastAsia="仿宋_GB2312"/>
          <w:color w:val="auto"/>
          <w:sz w:val="24"/>
          <w:szCs w:val="24"/>
          <w:highlight w:val="none"/>
        </w:rPr>
      </w:pPr>
    </w:p>
    <w:p w14:paraId="6A7D138E">
      <w:pPr>
        <w:spacing w:beforeLines="50" w:afterLines="100" w:line="480" w:lineRule="exact"/>
        <w:textAlignment w:val="center"/>
        <w:rPr>
          <w:rFonts w:ascii="仿宋_GB2312" w:hAnsi="宋体" w:eastAsia="仿宋_GB2312"/>
          <w:color w:val="auto"/>
          <w:sz w:val="24"/>
          <w:szCs w:val="24"/>
          <w:highlight w:val="none"/>
        </w:rPr>
      </w:pPr>
    </w:p>
    <w:p w14:paraId="4FF186EF">
      <w:pPr>
        <w:spacing w:beforeLines="50" w:afterLines="100" w:line="480" w:lineRule="exact"/>
        <w:textAlignment w:val="center"/>
        <w:rPr>
          <w:rFonts w:ascii="宋体" w:hAnsi="宋体"/>
          <w:color w:val="auto"/>
          <w:sz w:val="24"/>
          <w:szCs w:val="24"/>
          <w:highlight w:val="none"/>
        </w:rPr>
      </w:pPr>
      <w:r>
        <w:rPr>
          <w:rFonts w:hint="eastAsia" w:ascii="宋体" w:hAnsi="宋体"/>
          <w:color w:val="auto"/>
          <w:sz w:val="24"/>
          <w:szCs w:val="24"/>
          <w:highlight w:val="none"/>
        </w:rPr>
        <w:t>附表二：拟配备本工程的试验和检测仪器设备表</w:t>
      </w:r>
    </w:p>
    <w:tbl>
      <w:tblPr>
        <w:tblStyle w:val="17"/>
        <w:tblW w:w="81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025"/>
        <w:gridCol w:w="647"/>
        <w:gridCol w:w="985"/>
        <w:gridCol w:w="683"/>
        <w:gridCol w:w="683"/>
        <w:gridCol w:w="1133"/>
        <w:gridCol w:w="1245"/>
        <w:gridCol w:w="1173"/>
      </w:tblGrid>
      <w:tr w14:paraId="1C05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trPr>
        <w:tc>
          <w:tcPr>
            <w:tcW w:w="620" w:type="dxa"/>
            <w:tcBorders>
              <w:top w:val="single" w:color="auto" w:sz="4" w:space="0"/>
              <w:left w:val="single" w:color="auto" w:sz="4" w:space="0"/>
              <w:bottom w:val="single" w:color="auto" w:sz="4" w:space="0"/>
              <w:right w:val="single" w:color="auto" w:sz="4" w:space="0"/>
            </w:tcBorders>
            <w:vAlign w:val="center"/>
          </w:tcPr>
          <w:p w14:paraId="596B52D4">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1025" w:type="dxa"/>
            <w:tcBorders>
              <w:top w:val="single" w:color="auto" w:sz="4" w:space="0"/>
              <w:left w:val="nil"/>
              <w:bottom w:val="single" w:color="auto" w:sz="4" w:space="0"/>
              <w:right w:val="single" w:color="auto" w:sz="4" w:space="0"/>
            </w:tcBorders>
            <w:vAlign w:val="center"/>
          </w:tcPr>
          <w:p w14:paraId="5C025A58">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仪器设备</w:t>
            </w:r>
          </w:p>
          <w:p w14:paraId="468FD490">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名    称</w:t>
            </w:r>
          </w:p>
        </w:tc>
        <w:tc>
          <w:tcPr>
            <w:tcW w:w="647" w:type="dxa"/>
            <w:tcBorders>
              <w:top w:val="single" w:color="auto" w:sz="4" w:space="0"/>
              <w:left w:val="nil"/>
              <w:bottom w:val="single" w:color="auto" w:sz="4" w:space="0"/>
              <w:right w:val="single" w:color="auto" w:sz="4" w:space="0"/>
            </w:tcBorders>
            <w:vAlign w:val="center"/>
          </w:tcPr>
          <w:p w14:paraId="1DA42431">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型号</w:t>
            </w:r>
          </w:p>
          <w:p w14:paraId="6583B479">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规格</w:t>
            </w:r>
          </w:p>
        </w:tc>
        <w:tc>
          <w:tcPr>
            <w:tcW w:w="985" w:type="dxa"/>
            <w:tcBorders>
              <w:top w:val="single" w:color="auto" w:sz="4" w:space="0"/>
              <w:left w:val="nil"/>
              <w:bottom w:val="single" w:color="auto" w:sz="4" w:space="0"/>
              <w:right w:val="single" w:color="auto" w:sz="4" w:space="0"/>
            </w:tcBorders>
            <w:vAlign w:val="center"/>
          </w:tcPr>
          <w:p w14:paraId="5AD288FC">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数  量</w:t>
            </w:r>
          </w:p>
        </w:tc>
        <w:tc>
          <w:tcPr>
            <w:tcW w:w="683" w:type="dxa"/>
            <w:tcBorders>
              <w:top w:val="single" w:color="auto" w:sz="4" w:space="0"/>
              <w:left w:val="nil"/>
              <w:bottom w:val="single" w:color="auto" w:sz="4" w:space="0"/>
              <w:right w:val="single" w:color="auto" w:sz="4" w:space="0"/>
            </w:tcBorders>
            <w:vAlign w:val="center"/>
          </w:tcPr>
          <w:p w14:paraId="7894DF89">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国别</w:t>
            </w:r>
          </w:p>
          <w:p w14:paraId="4D09AE30">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产地</w:t>
            </w:r>
          </w:p>
        </w:tc>
        <w:tc>
          <w:tcPr>
            <w:tcW w:w="683" w:type="dxa"/>
            <w:tcBorders>
              <w:top w:val="single" w:color="auto" w:sz="4" w:space="0"/>
              <w:left w:val="nil"/>
              <w:bottom w:val="single" w:color="auto" w:sz="4" w:space="0"/>
              <w:right w:val="single" w:color="auto" w:sz="4" w:space="0"/>
            </w:tcBorders>
            <w:vAlign w:val="center"/>
          </w:tcPr>
          <w:p w14:paraId="3921C4F8">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制造</w:t>
            </w:r>
          </w:p>
          <w:p w14:paraId="50BFC646">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年份</w:t>
            </w:r>
          </w:p>
        </w:tc>
        <w:tc>
          <w:tcPr>
            <w:tcW w:w="1133" w:type="dxa"/>
            <w:tcBorders>
              <w:top w:val="single" w:color="auto" w:sz="4" w:space="0"/>
              <w:left w:val="nil"/>
              <w:bottom w:val="single" w:color="auto" w:sz="4" w:space="0"/>
              <w:right w:val="single" w:color="auto" w:sz="4" w:space="0"/>
            </w:tcBorders>
            <w:vAlign w:val="center"/>
          </w:tcPr>
          <w:p w14:paraId="2D58B1CD">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已使用台</w:t>
            </w:r>
          </w:p>
          <w:p w14:paraId="6F8B367B">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时    数</w:t>
            </w:r>
          </w:p>
        </w:tc>
        <w:tc>
          <w:tcPr>
            <w:tcW w:w="1245" w:type="dxa"/>
            <w:tcBorders>
              <w:top w:val="single" w:color="auto" w:sz="4" w:space="0"/>
              <w:left w:val="nil"/>
              <w:bottom w:val="single" w:color="auto" w:sz="4" w:space="0"/>
              <w:right w:val="single" w:color="auto" w:sz="4" w:space="0"/>
            </w:tcBorders>
            <w:vAlign w:val="center"/>
          </w:tcPr>
          <w:p w14:paraId="25FBAABA">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用  途</w:t>
            </w:r>
          </w:p>
        </w:tc>
        <w:tc>
          <w:tcPr>
            <w:tcW w:w="1173" w:type="dxa"/>
            <w:tcBorders>
              <w:top w:val="single" w:color="auto" w:sz="4" w:space="0"/>
              <w:left w:val="nil"/>
              <w:bottom w:val="single" w:color="auto" w:sz="4" w:space="0"/>
              <w:right w:val="single" w:color="auto" w:sz="4" w:space="0"/>
            </w:tcBorders>
            <w:vAlign w:val="center"/>
          </w:tcPr>
          <w:p w14:paraId="7DE90C5A">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备注</w:t>
            </w:r>
          </w:p>
        </w:tc>
      </w:tr>
      <w:tr w14:paraId="14C5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3889CE33">
            <w:pPr>
              <w:spacing w:line="480" w:lineRule="exact"/>
              <w:jc w:val="center"/>
              <w:textAlignment w:val="center"/>
              <w:rPr>
                <w:rFonts w:ascii="宋体" w:hAnsi="宋体"/>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291EA0C7">
            <w:pPr>
              <w:spacing w:line="480" w:lineRule="exact"/>
              <w:jc w:val="center"/>
              <w:textAlignment w:val="center"/>
              <w:rPr>
                <w:rFonts w:ascii="宋体" w:hAnsi="宋体"/>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19233485">
            <w:pPr>
              <w:spacing w:line="480" w:lineRule="exact"/>
              <w:jc w:val="center"/>
              <w:textAlignment w:val="center"/>
              <w:rPr>
                <w:rFonts w:ascii="宋体" w:hAnsi="宋体"/>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659C7B75">
            <w:pPr>
              <w:spacing w:line="480" w:lineRule="exact"/>
              <w:jc w:val="center"/>
              <w:textAlignment w:val="center"/>
              <w:rPr>
                <w:rFonts w:ascii="宋体" w:hAnsi="宋体"/>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1C5CFA64">
            <w:pPr>
              <w:spacing w:line="480" w:lineRule="exact"/>
              <w:jc w:val="center"/>
              <w:textAlignment w:val="center"/>
              <w:rPr>
                <w:rFonts w:ascii="宋体" w:hAnsi="宋体"/>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660A4EE2">
            <w:pPr>
              <w:spacing w:line="480" w:lineRule="exact"/>
              <w:jc w:val="center"/>
              <w:textAlignment w:val="center"/>
              <w:rPr>
                <w:rFonts w:ascii="宋体" w:hAnsi="宋体"/>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50C66CCF">
            <w:pPr>
              <w:spacing w:line="480" w:lineRule="exact"/>
              <w:jc w:val="center"/>
              <w:textAlignment w:val="center"/>
              <w:rPr>
                <w:rFonts w:ascii="宋体" w:hAnsi="宋体"/>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39BC98CE">
            <w:pPr>
              <w:spacing w:line="480" w:lineRule="exact"/>
              <w:jc w:val="center"/>
              <w:textAlignment w:val="center"/>
              <w:rPr>
                <w:rFonts w:ascii="宋体" w:hAnsi="宋体"/>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24313E81">
            <w:pPr>
              <w:spacing w:line="480" w:lineRule="exact"/>
              <w:jc w:val="center"/>
              <w:textAlignment w:val="center"/>
              <w:rPr>
                <w:rFonts w:ascii="宋体" w:hAnsi="宋体"/>
                <w:color w:val="auto"/>
                <w:sz w:val="24"/>
                <w:szCs w:val="24"/>
                <w:highlight w:val="none"/>
              </w:rPr>
            </w:pPr>
          </w:p>
        </w:tc>
      </w:tr>
      <w:tr w14:paraId="71CA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7448F0EE">
            <w:pPr>
              <w:spacing w:line="480" w:lineRule="exact"/>
              <w:jc w:val="center"/>
              <w:textAlignment w:val="center"/>
              <w:rPr>
                <w:rFonts w:ascii="宋体" w:hAnsi="宋体"/>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75A08665">
            <w:pPr>
              <w:spacing w:line="480" w:lineRule="exact"/>
              <w:jc w:val="center"/>
              <w:textAlignment w:val="center"/>
              <w:rPr>
                <w:rFonts w:ascii="宋体" w:hAnsi="宋体"/>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56EC7804">
            <w:pPr>
              <w:spacing w:line="480" w:lineRule="exact"/>
              <w:jc w:val="center"/>
              <w:textAlignment w:val="center"/>
              <w:rPr>
                <w:rFonts w:ascii="宋体" w:hAnsi="宋体"/>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5F81E658">
            <w:pPr>
              <w:spacing w:line="480" w:lineRule="exact"/>
              <w:jc w:val="center"/>
              <w:textAlignment w:val="center"/>
              <w:rPr>
                <w:rFonts w:ascii="宋体" w:hAnsi="宋体"/>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1359119D">
            <w:pPr>
              <w:spacing w:line="480" w:lineRule="exact"/>
              <w:jc w:val="center"/>
              <w:textAlignment w:val="center"/>
              <w:rPr>
                <w:rFonts w:ascii="宋体" w:hAnsi="宋体"/>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010BFB11">
            <w:pPr>
              <w:spacing w:line="480" w:lineRule="exact"/>
              <w:jc w:val="center"/>
              <w:textAlignment w:val="center"/>
              <w:rPr>
                <w:rFonts w:ascii="宋体" w:hAnsi="宋体"/>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444D315C">
            <w:pPr>
              <w:spacing w:line="480" w:lineRule="exact"/>
              <w:jc w:val="center"/>
              <w:textAlignment w:val="center"/>
              <w:rPr>
                <w:rFonts w:ascii="宋体" w:hAnsi="宋体"/>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3B84BA6E">
            <w:pPr>
              <w:spacing w:line="480" w:lineRule="exact"/>
              <w:jc w:val="center"/>
              <w:textAlignment w:val="center"/>
              <w:rPr>
                <w:rFonts w:ascii="宋体" w:hAnsi="宋体"/>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5B7CC156">
            <w:pPr>
              <w:spacing w:line="480" w:lineRule="exact"/>
              <w:jc w:val="center"/>
              <w:textAlignment w:val="center"/>
              <w:rPr>
                <w:rFonts w:ascii="宋体" w:hAnsi="宋体"/>
                <w:color w:val="auto"/>
                <w:sz w:val="24"/>
                <w:szCs w:val="24"/>
                <w:highlight w:val="none"/>
              </w:rPr>
            </w:pPr>
          </w:p>
        </w:tc>
      </w:tr>
      <w:tr w14:paraId="23B4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517EA5C9">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3C12FC5D">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6FC31912">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01B3E3D1">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4C5B6829">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3F757659">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25A4A3F6">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3D35185D">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0D442667">
            <w:pPr>
              <w:spacing w:line="480" w:lineRule="exact"/>
              <w:jc w:val="center"/>
              <w:textAlignment w:val="center"/>
              <w:rPr>
                <w:rFonts w:ascii="仿宋_GB2312" w:hAnsi="宋体" w:eastAsia="仿宋_GB2312"/>
                <w:color w:val="auto"/>
                <w:sz w:val="24"/>
                <w:szCs w:val="24"/>
                <w:highlight w:val="none"/>
              </w:rPr>
            </w:pPr>
          </w:p>
        </w:tc>
      </w:tr>
      <w:tr w14:paraId="5AA8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0B452BEA">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6588BF53">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21FBB08A">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49680C50">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38BF997">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4825A59C">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6D1C12D2">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79886D1D">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2596DBC5">
            <w:pPr>
              <w:spacing w:line="480" w:lineRule="exact"/>
              <w:jc w:val="center"/>
              <w:textAlignment w:val="center"/>
              <w:rPr>
                <w:rFonts w:ascii="仿宋_GB2312" w:hAnsi="宋体" w:eastAsia="仿宋_GB2312"/>
                <w:color w:val="auto"/>
                <w:sz w:val="24"/>
                <w:szCs w:val="24"/>
                <w:highlight w:val="none"/>
              </w:rPr>
            </w:pPr>
          </w:p>
        </w:tc>
      </w:tr>
      <w:tr w14:paraId="667F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61B00250">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44305690">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1017738D">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5EDBAA61">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19F5277A">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0D415C8A">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01F7C716">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51CF6531">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19858A7E">
            <w:pPr>
              <w:spacing w:line="480" w:lineRule="exact"/>
              <w:jc w:val="center"/>
              <w:textAlignment w:val="center"/>
              <w:rPr>
                <w:rFonts w:ascii="仿宋_GB2312" w:hAnsi="宋体" w:eastAsia="仿宋_GB2312"/>
                <w:color w:val="auto"/>
                <w:sz w:val="24"/>
                <w:szCs w:val="24"/>
                <w:highlight w:val="none"/>
              </w:rPr>
            </w:pPr>
          </w:p>
        </w:tc>
      </w:tr>
      <w:tr w14:paraId="5DFE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5920AF62">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24FD98F2">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5A13A4BD">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49B028D2">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799C8CEC">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0FC53BB8">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14BAF36B">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37ED2F2E">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7AD45BB4">
            <w:pPr>
              <w:spacing w:line="480" w:lineRule="exact"/>
              <w:jc w:val="center"/>
              <w:textAlignment w:val="center"/>
              <w:rPr>
                <w:rFonts w:ascii="仿宋_GB2312" w:hAnsi="宋体" w:eastAsia="仿宋_GB2312"/>
                <w:color w:val="auto"/>
                <w:sz w:val="24"/>
                <w:szCs w:val="24"/>
                <w:highlight w:val="none"/>
              </w:rPr>
            </w:pPr>
          </w:p>
        </w:tc>
      </w:tr>
      <w:tr w14:paraId="1888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6E764D40">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3A51201B">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76B4EA0B">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3B0312F5">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4F9333AA">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14E75656">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3140FAAB">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4A7EE2B8">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63EC42AE">
            <w:pPr>
              <w:spacing w:line="480" w:lineRule="exact"/>
              <w:jc w:val="center"/>
              <w:textAlignment w:val="center"/>
              <w:rPr>
                <w:rFonts w:ascii="仿宋_GB2312" w:hAnsi="宋体" w:eastAsia="仿宋_GB2312"/>
                <w:color w:val="auto"/>
                <w:sz w:val="24"/>
                <w:szCs w:val="24"/>
                <w:highlight w:val="none"/>
              </w:rPr>
            </w:pPr>
          </w:p>
        </w:tc>
      </w:tr>
      <w:tr w14:paraId="2608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2750A7D5">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6F2A1AAC">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29354797">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1C1DFC84">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691BDEBF">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6F10A4AC">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37C5EF81">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387B305D">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7670043D">
            <w:pPr>
              <w:spacing w:line="480" w:lineRule="exact"/>
              <w:jc w:val="center"/>
              <w:textAlignment w:val="center"/>
              <w:rPr>
                <w:rFonts w:ascii="仿宋_GB2312" w:hAnsi="宋体" w:eastAsia="仿宋_GB2312"/>
                <w:color w:val="auto"/>
                <w:sz w:val="24"/>
                <w:szCs w:val="24"/>
                <w:highlight w:val="none"/>
              </w:rPr>
            </w:pPr>
          </w:p>
        </w:tc>
      </w:tr>
      <w:tr w14:paraId="4616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19CEE4C6">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4D18B10D">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3D13336A">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06DBF284">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4202CCA6">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BC3AA7F">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608885C3">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06A296D2">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2A7A4D9C">
            <w:pPr>
              <w:spacing w:line="480" w:lineRule="exact"/>
              <w:jc w:val="center"/>
              <w:textAlignment w:val="center"/>
              <w:rPr>
                <w:rFonts w:ascii="仿宋_GB2312" w:hAnsi="宋体" w:eastAsia="仿宋_GB2312"/>
                <w:color w:val="auto"/>
                <w:sz w:val="24"/>
                <w:szCs w:val="24"/>
                <w:highlight w:val="none"/>
              </w:rPr>
            </w:pPr>
          </w:p>
        </w:tc>
      </w:tr>
      <w:tr w14:paraId="3833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4A500035">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0E381C23">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35DD6ACE">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21AF215B">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5F3AFCA8">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C037875">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6CDA2C90">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38C025A6">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522D61D5">
            <w:pPr>
              <w:spacing w:line="480" w:lineRule="exact"/>
              <w:jc w:val="center"/>
              <w:textAlignment w:val="center"/>
              <w:rPr>
                <w:rFonts w:ascii="仿宋_GB2312" w:hAnsi="宋体" w:eastAsia="仿宋_GB2312"/>
                <w:color w:val="auto"/>
                <w:sz w:val="24"/>
                <w:szCs w:val="24"/>
                <w:highlight w:val="none"/>
              </w:rPr>
            </w:pPr>
          </w:p>
        </w:tc>
      </w:tr>
      <w:tr w14:paraId="5AF9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00E8D0A6">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3A3CE2EB">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17EFD1E9">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6FD0D0B9">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5CA22E61">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69388F7">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20EABB41">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2CDC7212">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3C61701C">
            <w:pPr>
              <w:spacing w:line="480" w:lineRule="exact"/>
              <w:jc w:val="center"/>
              <w:textAlignment w:val="center"/>
              <w:rPr>
                <w:rFonts w:ascii="仿宋_GB2312" w:hAnsi="宋体" w:eastAsia="仿宋_GB2312"/>
                <w:color w:val="auto"/>
                <w:sz w:val="24"/>
                <w:szCs w:val="24"/>
                <w:highlight w:val="none"/>
              </w:rPr>
            </w:pPr>
          </w:p>
        </w:tc>
      </w:tr>
      <w:tr w14:paraId="7A47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6B9F62A0">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695A3091">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51B026F4">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658088EB">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3D05895">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48629596">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52203AEC">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69BEB3B8">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68C831B6">
            <w:pPr>
              <w:spacing w:line="480" w:lineRule="exact"/>
              <w:jc w:val="center"/>
              <w:textAlignment w:val="center"/>
              <w:rPr>
                <w:rFonts w:ascii="仿宋_GB2312" w:hAnsi="宋体" w:eastAsia="仿宋_GB2312"/>
                <w:color w:val="auto"/>
                <w:sz w:val="24"/>
                <w:szCs w:val="24"/>
                <w:highlight w:val="none"/>
              </w:rPr>
            </w:pPr>
          </w:p>
        </w:tc>
      </w:tr>
      <w:tr w14:paraId="40BF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0F96CBE3">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5BBD23F0">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4E8EFF50">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45B36FF5">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3B0001B5">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1BC3E752">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383CC9B4">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67859DBC">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49D28208">
            <w:pPr>
              <w:spacing w:line="480" w:lineRule="exact"/>
              <w:jc w:val="center"/>
              <w:textAlignment w:val="center"/>
              <w:rPr>
                <w:rFonts w:ascii="仿宋_GB2312" w:hAnsi="宋体" w:eastAsia="仿宋_GB2312"/>
                <w:color w:val="auto"/>
                <w:sz w:val="24"/>
                <w:szCs w:val="24"/>
                <w:highlight w:val="none"/>
              </w:rPr>
            </w:pPr>
          </w:p>
        </w:tc>
      </w:tr>
      <w:tr w14:paraId="67C1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09EA3997">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232006A9">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319ED837">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5A1BDEE7">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34844AE2">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015587C3">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41199A6F">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044B6EB2">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0D3588B0">
            <w:pPr>
              <w:spacing w:line="480" w:lineRule="exact"/>
              <w:jc w:val="center"/>
              <w:textAlignment w:val="center"/>
              <w:rPr>
                <w:rFonts w:ascii="仿宋_GB2312" w:hAnsi="宋体" w:eastAsia="仿宋_GB2312"/>
                <w:color w:val="auto"/>
                <w:sz w:val="24"/>
                <w:szCs w:val="24"/>
                <w:highlight w:val="none"/>
              </w:rPr>
            </w:pPr>
          </w:p>
        </w:tc>
      </w:tr>
      <w:tr w14:paraId="33B0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7AFDCB8E">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5968A168">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16D051DE">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751968AD">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71F6DE94">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17144E4B">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35BFE634">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4BE0563E">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0FFE3F95">
            <w:pPr>
              <w:spacing w:line="480" w:lineRule="exact"/>
              <w:jc w:val="center"/>
              <w:textAlignment w:val="center"/>
              <w:rPr>
                <w:rFonts w:ascii="仿宋_GB2312" w:hAnsi="宋体" w:eastAsia="仿宋_GB2312"/>
                <w:color w:val="auto"/>
                <w:sz w:val="24"/>
                <w:szCs w:val="24"/>
                <w:highlight w:val="none"/>
              </w:rPr>
            </w:pPr>
          </w:p>
        </w:tc>
      </w:tr>
      <w:tr w14:paraId="15AB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308CF0F3">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4BDCAB41">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158E714D">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76F4EE5C">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D18AB72">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68F090EA">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0686873D">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5AFFF824">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122E675B">
            <w:pPr>
              <w:spacing w:line="480" w:lineRule="exact"/>
              <w:jc w:val="center"/>
              <w:textAlignment w:val="center"/>
              <w:rPr>
                <w:rFonts w:ascii="仿宋_GB2312" w:hAnsi="宋体" w:eastAsia="仿宋_GB2312"/>
                <w:color w:val="auto"/>
                <w:sz w:val="24"/>
                <w:szCs w:val="24"/>
                <w:highlight w:val="none"/>
              </w:rPr>
            </w:pPr>
          </w:p>
        </w:tc>
      </w:tr>
      <w:tr w14:paraId="2D5B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6C1D15F3">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5036F5B2">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1A08D23A">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55F4E122">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3865AB35">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493185A1">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64A84C5F">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2EC62D53">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70282659">
            <w:pPr>
              <w:spacing w:line="480" w:lineRule="exact"/>
              <w:jc w:val="center"/>
              <w:textAlignment w:val="center"/>
              <w:rPr>
                <w:rFonts w:ascii="仿宋_GB2312" w:hAnsi="宋体" w:eastAsia="仿宋_GB2312"/>
                <w:color w:val="auto"/>
                <w:sz w:val="24"/>
                <w:szCs w:val="24"/>
                <w:highlight w:val="none"/>
              </w:rPr>
            </w:pPr>
          </w:p>
        </w:tc>
      </w:tr>
      <w:tr w14:paraId="219F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2717C889">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0EAB0740">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408CD555">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2832E814">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4A98D4B8">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6408EC3">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7851E027">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0FBCED08">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5EBF8349">
            <w:pPr>
              <w:spacing w:line="480" w:lineRule="exact"/>
              <w:jc w:val="center"/>
              <w:textAlignment w:val="center"/>
              <w:rPr>
                <w:rFonts w:ascii="仿宋_GB2312" w:hAnsi="宋体" w:eastAsia="仿宋_GB2312"/>
                <w:color w:val="auto"/>
                <w:sz w:val="24"/>
                <w:szCs w:val="24"/>
                <w:highlight w:val="none"/>
              </w:rPr>
            </w:pPr>
          </w:p>
        </w:tc>
      </w:tr>
      <w:tr w14:paraId="0D02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0" w:type="dxa"/>
            <w:tcBorders>
              <w:top w:val="single" w:color="auto" w:sz="4" w:space="0"/>
              <w:left w:val="single" w:color="auto" w:sz="4" w:space="0"/>
              <w:bottom w:val="single" w:color="auto" w:sz="4" w:space="0"/>
              <w:right w:val="single" w:color="auto" w:sz="4" w:space="0"/>
            </w:tcBorders>
            <w:vAlign w:val="center"/>
          </w:tcPr>
          <w:p w14:paraId="72CFA98C">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61291411">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1A59B302">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71D6F6DF">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7063233B">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627C7B7B">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4DF9C91D">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0A8C96AD">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28861B9F">
            <w:pPr>
              <w:spacing w:line="480" w:lineRule="exact"/>
              <w:jc w:val="center"/>
              <w:textAlignment w:val="center"/>
              <w:rPr>
                <w:rFonts w:ascii="仿宋_GB2312" w:hAnsi="宋体" w:eastAsia="仿宋_GB2312"/>
                <w:color w:val="auto"/>
                <w:sz w:val="24"/>
                <w:szCs w:val="24"/>
                <w:highlight w:val="none"/>
              </w:rPr>
            </w:pPr>
          </w:p>
        </w:tc>
      </w:tr>
      <w:tr w14:paraId="7991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620" w:type="dxa"/>
            <w:tcBorders>
              <w:top w:val="single" w:color="auto" w:sz="4" w:space="0"/>
              <w:left w:val="single" w:color="auto" w:sz="4" w:space="0"/>
              <w:bottom w:val="single" w:color="auto" w:sz="4" w:space="0"/>
              <w:right w:val="single" w:color="auto" w:sz="4" w:space="0"/>
            </w:tcBorders>
            <w:vAlign w:val="center"/>
          </w:tcPr>
          <w:p w14:paraId="37209385">
            <w:pPr>
              <w:spacing w:line="480" w:lineRule="exact"/>
              <w:jc w:val="center"/>
              <w:textAlignment w:val="center"/>
              <w:rPr>
                <w:rFonts w:ascii="仿宋_GB2312" w:hAnsi="宋体" w:eastAsia="仿宋_GB2312"/>
                <w:color w:val="auto"/>
                <w:sz w:val="24"/>
                <w:szCs w:val="24"/>
                <w:highlight w:val="none"/>
              </w:rPr>
            </w:pPr>
          </w:p>
        </w:tc>
        <w:tc>
          <w:tcPr>
            <w:tcW w:w="1025" w:type="dxa"/>
            <w:tcBorders>
              <w:top w:val="single" w:color="auto" w:sz="4" w:space="0"/>
              <w:left w:val="nil"/>
              <w:bottom w:val="single" w:color="auto" w:sz="4" w:space="0"/>
              <w:right w:val="single" w:color="auto" w:sz="4" w:space="0"/>
            </w:tcBorders>
            <w:vAlign w:val="center"/>
          </w:tcPr>
          <w:p w14:paraId="0B031885">
            <w:pPr>
              <w:spacing w:line="480" w:lineRule="exact"/>
              <w:jc w:val="center"/>
              <w:textAlignment w:val="center"/>
              <w:rPr>
                <w:rFonts w:ascii="仿宋_GB2312" w:hAnsi="宋体" w:eastAsia="仿宋_GB2312"/>
                <w:color w:val="auto"/>
                <w:sz w:val="24"/>
                <w:szCs w:val="24"/>
                <w:highlight w:val="none"/>
              </w:rPr>
            </w:pPr>
          </w:p>
        </w:tc>
        <w:tc>
          <w:tcPr>
            <w:tcW w:w="647" w:type="dxa"/>
            <w:tcBorders>
              <w:top w:val="single" w:color="auto" w:sz="4" w:space="0"/>
              <w:left w:val="nil"/>
              <w:bottom w:val="single" w:color="auto" w:sz="4" w:space="0"/>
              <w:right w:val="single" w:color="auto" w:sz="4" w:space="0"/>
            </w:tcBorders>
            <w:vAlign w:val="center"/>
          </w:tcPr>
          <w:p w14:paraId="6E1E6DE7">
            <w:pPr>
              <w:spacing w:line="480" w:lineRule="exact"/>
              <w:jc w:val="center"/>
              <w:textAlignment w:val="center"/>
              <w:rPr>
                <w:rFonts w:ascii="仿宋_GB2312" w:hAnsi="宋体" w:eastAsia="仿宋_GB2312"/>
                <w:color w:val="auto"/>
                <w:sz w:val="24"/>
                <w:szCs w:val="24"/>
                <w:highlight w:val="none"/>
              </w:rPr>
            </w:pPr>
          </w:p>
        </w:tc>
        <w:tc>
          <w:tcPr>
            <w:tcW w:w="985" w:type="dxa"/>
            <w:tcBorders>
              <w:top w:val="single" w:color="auto" w:sz="4" w:space="0"/>
              <w:left w:val="nil"/>
              <w:bottom w:val="single" w:color="auto" w:sz="4" w:space="0"/>
              <w:right w:val="single" w:color="auto" w:sz="4" w:space="0"/>
            </w:tcBorders>
            <w:vAlign w:val="center"/>
          </w:tcPr>
          <w:p w14:paraId="0ED2BEDF">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2D9068D5">
            <w:pPr>
              <w:spacing w:line="480" w:lineRule="exact"/>
              <w:jc w:val="center"/>
              <w:textAlignment w:val="center"/>
              <w:rPr>
                <w:rFonts w:ascii="仿宋_GB2312" w:hAnsi="宋体" w:eastAsia="仿宋_GB2312"/>
                <w:color w:val="auto"/>
                <w:sz w:val="24"/>
                <w:szCs w:val="24"/>
                <w:highlight w:val="none"/>
              </w:rPr>
            </w:pPr>
          </w:p>
        </w:tc>
        <w:tc>
          <w:tcPr>
            <w:tcW w:w="683" w:type="dxa"/>
            <w:tcBorders>
              <w:top w:val="single" w:color="auto" w:sz="4" w:space="0"/>
              <w:left w:val="nil"/>
              <w:bottom w:val="single" w:color="auto" w:sz="4" w:space="0"/>
              <w:right w:val="single" w:color="auto" w:sz="4" w:space="0"/>
            </w:tcBorders>
            <w:vAlign w:val="center"/>
          </w:tcPr>
          <w:p w14:paraId="183EB149">
            <w:pPr>
              <w:spacing w:line="480" w:lineRule="exact"/>
              <w:jc w:val="center"/>
              <w:textAlignment w:val="center"/>
              <w:rPr>
                <w:rFonts w:ascii="仿宋_GB2312" w:hAnsi="宋体" w:eastAsia="仿宋_GB2312"/>
                <w:color w:val="auto"/>
                <w:sz w:val="24"/>
                <w:szCs w:val="24"/>
                <w:highlight w:val="none"/>
              </w:rPr>
            </w:pPr>
          </w:p>
        </w:tc>
        <w:tc>
          <w:tcPr>
            <w:tcW w:w="1133" w:type="dxa"/>
            <w:tcBorders>
              <w:top w:val="single" w:color="auto" w:sz="4" w:space="0"/>
              <w:left w:val="nil"/>
              <w:bottom w:val="single" w:color="auto" w:sz="4" w:space="0"/>
              <w:right w:val="single" w:color="auto" w:sz="4" w:space="0"/>
            </w:tcBorders>
            <w:vAlign w:val="center"/>
          </w:tcPr>
          <w:p w14:paraId="6D20F9B5">
            <w:pPr>
              <w:spacing w:line="480" w:lineRule="exact"/>
              <w:jc w:val="center"/>
              <w:textAlignment w:val="center"/>
              <w:rPr>
                <w:rFonts w:ascii="仿宋_GB2312" w:hAnsi="宋体" w:eastAsia="仿宋_GB2312"/>
                <w:color w:val="auto"/>
                <w:sz w:val="24"/>
                <w:szCs w:val="24"/>
                <w:highlight w:val="none"/>
              </w:rPr>
            </w:pPr>
          </w:p>
        </w:tc>
        <w:tc>
          <w:tcPr>
            <w:tcW w:w="1245" w:type="dxa"/>
            <w:tcBorders>
              <w:top w:val="single" w:color="auto" w:sz="4" w:space="0"/>
              <w:left w:val="nil"/>
              <w:bottom w:val="single" w:color="auto" w:sz="4" w:space="0"/>
              <w:right w:val="single" w:color="auto" w:sz="4" w:space="0"/>
            </w:tcBorders>
            <w:vAlign w:val="center"/>
          </w:tcPr>
          <w:p w14:paraId="75B73678">
            <w:pPr>
              <w:spacing w:line="480" w:lineRule="exact"/>
              <w:jc w:val="center"/>
              <w:textAlignment w:val="center"/>
              <w:rPr>
                <w:rFonts w:ascii="仿宋_GB2312" w:hAnsi="宋体" w:eastAsia="仿宋_GB2312"/>
                <w:color w:val="auto"/>
                <w:sz w:val="24"/>
                <w:szCs w:val="24"/>
                <w:highlight w:val="none"/>
              </w:rPr>
            </w:pPr>
          </w:p>
        </w:tc>
        <w:tc>
          <w:tcPr>
            <w:tcW w:w="1173" w:type="dxa"/>
            <w:tcBorders>
              <w:top w:val="single" w:color="auto" w:sz="4" w:space="0"/>
              <w:left w:val="nil"/>
              <w:bottom w:val="single" w:color="auto" w:sz="4" w:space="0"/>
              <w:right w:val="single" w:color="auto" w:sz="4" w:space="0"/>
            </w:tcBorders>
            <w:vAlign w:val="center"/>
          </w:tcPr>
          <w:p w14:paraId="23951790">
            <w:pPr>
              <w:spacing w:line="480" w:lineRule="exact"/>
              <w:jc w:val="center"/>
              <w:textAlignment w:val="center"/>
              <w:rPr>
                <w:rFonts w:ascii="仿宋_GB2312" w:hAnsi="宋体" w:eastAsia="仿宋_GB2312"/>
                <w:color w:val="auto"/>
                <w:sz w:val="24"/>
                <w:szCs w:val="24"/>
                <w:highlight w:val="none"/>
              </w:rPr>
            </w:pPr>
          </w:p>
        </w:tc>
      </w:tr>
    </w:tbl>
    <w:p w14:paraId="63E5287B">
      <w:pPr>
        <w:spacing w:beforeLines="50" w:afterLines="50" w:line="480" w:lineRule="exact"/>
        <w:textAlignment w:val="center"/>
        <w:rPr>
          <w:rFonts w:ascii="仿宋_GB2312" w:hAnsi="宋体" w:eastAsia="仿宋_GB2312"/>
          <w:color w:val="auto"/>
          <w:sz w:val="24"/>
          <w:szCs w:val="24"/>
          <w:highlight w:val="none"/>
        </w:rPr>
      </w:pPr>
    </w:p>
    <w:p w14:paraId="3FD1FD8A">
      <w:pPr>
        <w:spacing w:beforeLines="50" w:afterLines="50" w:line="480" w:lineRule="exact"/>
        <w:textAlignment w:val="center"/>
        <w:rPr>
          <w:rFonts w:ascii="宋体" w:hAnsi="宋体"/>
          <w:color w:val="auto"/>
          <w:sz w:val="24"/>
          <w:szCs w:val="24"/>
          <w:highlight w:val="none"/>
        </w:rPr>
      </w:pPr>
      <w:r>
        <w:rPr>
          <w:rFonts w:hint="eastAsia" w:ascii="宋体" w:hAnsi="宋体"/>
          <w:color w:val="auto"/>
          <w:sz w:val="24"/>
          <w:szCs w:val="24"/>
          <w:highlight w:val="none"/>
        </w:rPr>
        <w:t xml:space="preserve"> 附表三：劳动力计划表</w:t>
      </w:r>
    </w:p>
    <w:p w14:paraId="4B55A31C">
      <w:pPr>
        <w:spacing w:line="480" w:lineRule="exact"/>
        <w:ind w:right="360"/>
        <w:jc w:val="right"/>
        <w:textAlignment w:val="center"/>
        <w:rPr>
          <w:rFonts w:ascii="宋体" w:hAnsi="宋体"/>
          <w:color w:val="auto"/>
          <w:sz w:val="24"/>
          <w:szCs w:val="24"/>
          <w:highlight w:val="none"/>
        </w:rPr>
      </w:pPr>
      <w:r>
        <w:rPr>
          <w:rFonts w:hint="eastAsia" w:ascii="宋体" w:hAnsi="宋体"/>
          <w:color w:val="auto"/>
          <w:sz w:val="24"/>
          <w:szCs w:val="24"/>
          <w:highlight w:val="none"/>
        </w:rPr>
        <w:t xml:space="preserve">单位：人   </w:t>
      </w:r>
    </w:p>
    <w:tbl>
      <w:tblPr>
        <w:tblStyle w:val="17"/>
        <w:tblW w:w="831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928"/>
        <w:gridCol w:w="1014"/>
        <w:gridCol w:w="1014"/>
        <w:gridCol w:w="1014"/>
        <w:gridCol w:w="1014"/>
        <w:gridCol w:w="1014"/>
        <w:gridCol w:w="1212"/>
      </w:tblGrid>
      <w:tr w14:paraId="6B2C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101" w:type="dxa"/>
            <w:tcBorders>
              <w:top w:val="single" w:color="auto" w:sz="4" w:space="0"/>
              <w:left w:val="single" w:color="auto" w:sz="4" w:space="0"/>
              <w:bottom w:val="single" w:color="auto" w:sz="4" w:space="0"/>
              <w:right w:val="single" w:color="auto" w:sz="4" w:space="0"/>
            </w:tcBorders>
            <w:vAlign w:val="center"/>
          </w:tcPr>
          <w:p w14:paraId="54E75113">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工种</w:t>
            </w:r>
          </w:p>
        </w:tc>
        <w:tc>
          <w:tcPr>
            <w:tcW w:w="7210" w:type="dxa"/>
            <w:gridSpan w:val="7"/>
            <w:tcBorders>
              <w:top w:val="single" w:color="auto" w:sz="4" w:space="0"/>
              <w:left w:val="nil"/>
              <w:bottom w:val="single" w:color="auto" w:sz="4" w:space="0"/>
              <w:right w:val="single" w:color="auto" w:sz="4" w:space="0"/>
            </w:tcBorders>
            <w:vAlign w:val="center"/>
          </w:tcPr>
          <w:p w14:paraId="673A417C">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按工程施工阶段投入劳动力情况</w:t>
            </w:r>
          </w:p>
        </w:tc>
      </w:tr>
      <w:tr w14:paraId="0D0C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69706D39">
            <w:pPr>
              <w:spacing w:line="480" w:lineRule="exact"/>
              <w:jc w:val="center"/>
              <w:textAlignment w:val="center"/>
              <w:rPr>
                <w:rFonts w:ascii="宋体" w:hAnsi="宋体"/>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20B0B6A0">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9C4FDAF">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3B0F211">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C3510DB">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D773067">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E48FBA3">
            <w:pPr>
              <w:spacing w:line="480" w:lineRule="exact"/>
              <w:jc w:val="center"/>
              <w:textAlignment w:val="center"/>
              <w:rPr>
                <w:rFonts w:ascii="宋体" w:hAnsi="宋体"/>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5481C5BE">
            <w:pPr>
              <w:spacing w:line="480" w:lineRule="exact"/>
              <w:jc w:val="center"/>
              <w:textAlignment w:val="center"/>
              <w:rPr>
                <w:rFonts w:ascii="宋体" w:hAnsi="宋体"/>
                <w:color w:val="auto"/>
                <w:sz w:val="24"/>
                <w:szCs w:val="24"/>
                <w:highlight w:val="none"/>
              </w:rPr>
            </w:pPr>
          </w:p>
        </w:tc>
      </w:tr>
      <w:tr w14:paraId="3637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19FC4C93">
            <w:pPr>
              <w:spacing w:line="480" w:lineRule="exact"/>
              <w:jc w:val="center"/>
              <w:textAlignment w:val="center"/>
              <w:rPr>
                <w:rFonts w:ascii="宋体" w:hAnsi="宋体"/>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34A46979">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641F074F">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7FB42FC">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5EE03E3">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97B321A">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798D9BB">
            <w:pPr>
              <w:spacing w:line="480" w:lineRule="exact"/>
              <w:jc w:val="center"/>
              <w:textAlignment w:val="center"/>
              <w:rPr>
                <w:rFonts w:ascii="宋体" w:hAnsi="宋体"/>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3CE9E5DB">
            <w:pPr>
              <w:spacing w:line="480" w:lineRule="exact"/>
              <w:jc w:val="center"/>
              <w:textAlignment w:val="center"/>
              <w:rPr>
                <w:rFonts w:ascii="宋体" w:hAnsi="宋体"/>
                <w:color w:val="auto"/>
                <w:sz w:val="24"/>
                <w:szCs w:val="24"/>
                <w:highlight w:val="none"/>
              </w:rPr>
            </w:pPr>
          </w:p>
        </w:tc>
      </w:tr>
      <w:tr w14:paraId="16E6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2B5759C7">
            <w:pPr>
              <w:spacing w:line="480" w:lineRule="exact"/>
              <w:jc w:val="center"/>
              <w:textAlignment w:val="center"/>
              <w:rPr>
                <w:rFonts w:ascii="宋体" w:hAnsi="宋体"/>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362DE0C1">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2397E83">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8521902">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A4B44FF">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BB3CEF3">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639C110">
            <w:pPr>
              <w:spacing w:line="480" w:lineRule="exact"/>
              <w:jc w:val="center"/>
              <w:textAlignment w:val="center"/>
              <w:rPr>
                <w:rFonts w:ascii="宋体" w:hAnsi="宋体"/>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2DBD8431">
            <w:pPr>
              <w:spacing w:line="480" w:lineRule="exact"/>
              <w:jc w:val="center"/>
              <w:textAlignment w:val="center"/>
              <w:rPr>
                <w:rFonts w:ascii="宋体" w:hAnsi="宋体"/>
                <w:color w:val="auto"/>
                <w:sz w:val="24"/>
                <w:szCs w:val="24"/>
                <w:highlight w:val="none"/>
              </w:rPr>
            </w:pPr>
          </w:p>
        </w:tc>
      </w:tr>
      <w:tr w14:paraId="3E2D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042458EE">
            <w:pPr>
              <w:spacing w:line="480" w:lineRule="exact"/>
              <w:jc w:val="center"/>
              <w:textAlignment w:val="center"/>
              <w:rPr>
                <w:rFonts w:ascii="宋体" w:hAnsi="宋体"/>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6FE0629F">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D598302">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C8938C9">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68A8F918">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91A04CB">
            <w:pPr>
              <w:spacing w:line="480" w:lineRule="exact"/>
              <w:jc w:val="center"/>
              <w:textAlignment w:val="center"/>
              <w:rPr>
                <w:rFonts w:ascii="宋体" w:hAnsi="宋体"/>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0D9C363">
            <w:pPr>
              <w:spacing w:line="480" w:lineRule="exact"/>
              <w:jc w:val="center"/>
              <w:textAlignment w:val="center"/>
              <w:rPr>
                <w:rFonts w:ascii="宋体" w:hAnsi="宋体"/>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675AD925">
            <w:pPr>
              <w:spacing w:line="480" w:lineRule="exact"/>
              <w:jc w:val="center"/>
              <w:textAlignment w:val="center"/>
              <w:rPr>
                <w:rFonts w:ascii="宋体" w:hAnsi="宋体"/>
                <w:color w:val="auto"/>
                <w:sz w:val="24"/>
                <w:szCs w:val="24"/>
                <w:highlight w:val="none"/>
              </w:rPr>
            </w:pPr>
          </w:p>
        </w:tc>
      </w:tr>
      <w:tr w14:paraId="5221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286436AE">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03FBA062">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2F522CE">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9A24E90">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C80F98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9169C39">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6A6FA27B">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56EBAA3C">
            <w:pPr>
              <w:spacing w:line="480" w:lineRule="exact"/>
              <w:jc w:val="center"/>
              <w:textAlignment w:val="center"/>
              <w:rPr>
                <w:rFonts w:ascii="仿宋_GB2312" w:hAnsi="宋体" w:eastAsia="仿宋_GB2312"/>
                <w:color w:val="auto"/>
                <w:sz w:val="24"/>
                <w:szCs w:val="24"/>
                <w:highlight w:val="none"/>
              </w:rPr>
            </w:pPr>
          </w:p>
        </w:tc>
      </w:tr>
      <w:tr w14:paraId="0325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5598BFF3">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0308760C">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994C52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5AB36F0">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6617BB0">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2AB643E">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817B2B1">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251DB540">
            <w:pPr>
              <w:spacing w:line="480" w:lineRule="exact"/>
              <w:jc w:val="center"/>
              <w:textAlignment w:val="center"/>
              <w:rPr>
                <w:rFonts w:ascii="仿宋_GB2312" w:hAnsi="宋体" w:eastAsia="仿宋_GB2312"/>
                <w:color w:val="auto"/>
                <w:sz w:val="24"/>
                <w:szCs w:val="24"/>
                <w:highlight w:val="none"/>
              </w:rPr>
            </w:pPr>
          </w:p>
        </w:tc>
      </w:tr>
      <w:tr w14:paraId="16C6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77090855">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61E02328">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B8D6640">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49DF161">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B35343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2DC2025">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7896BE7">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39750CB4">
            <w:pPr>
              <w:spacing w:line="480" w:lineRule="exact"/>
              <w:jc w:val="center"/>
              <w:textAlignment w:val="center"/>
              <w:rPr>
                <w:rFonts w:ascii="仿宋_GB2312" w:hAnsi="宋体" w:eastAsia="仿宋_GB2312"/>
                <w:color w:val="auto"/>
                <w:sz w:val="24"/>
                <w:szCs w:val="24"/>
                <w:highlight w:val="none"/>
              </w:rPr>
            </w:pPr>
          </w:p>
        </w:tc>
      </w:tr>
      <w:tr w14:paraId="5FF0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321CC75B">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3A91A472">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B0BB15B">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D745B3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25B870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9239F1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BE7C867">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1E95948B">
            <w:pPr>
              <w:spacing w:line="480" w:lineRule="exact"/>
              <w:jc w:val="center"/>
              <w:textAlignment w:val="center"/>
              <w:rPr>
                <w:rFonts w:ascii="仿宋_GB2312" w:hAnsi="宋体" w:eastAsia="仿宋_GB2312"/>
                <w:color w:val="auto"/>
                <w:sz w:val="24"/>
                <w:szCs w:val="24"/>
                <w:highlight w:val="none"/>
              </w:rPr>
            </w:pPr>
          </w:p>
        </w:tc>
      </w:tr>
      <w:tr w14:paraId="2A07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739E6530">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1665D02D">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F379C5D">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A2A72D8">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BB36202">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76B58DE">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36804C2">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4FB10B8E">
            <w:pPr>
              <w:spacing w:line="480" w:lineRule="exact"/>
              <w:jc w:val="center"/>
              <w:textAlignment w:val="center"/>
              <w:rPr>
                <w:rFonts w:ascii="仿宋_GB2312" w:hAnsi="宋体" w:eastAsia="仿宋_GB2312"/>
                <w:color w:val="auto"/>
                <w:sz w:val="24"/>
                <w:szCs w:val="24"/>
                <w:highlight w:val="none"/>
              </w:rPr>
            </w:pPr>
          </w:p>
        </w:tc>
      </w:tr>
      <w:tr w14:paraId="1F2B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68492891">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6A00C3A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454D50C">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CC836C2">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1C369AF">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507F57F">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5E7552D">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2E21FFFB">
            <w:pPr>
              <w:spacing w:line="480" w:lineRule="exact"/>
              <w:jc w:val="center"/>
              <w:textAlignment w:val="center"/>
              <w:rPr>
                <w:rFonts w:ascii="仿宋_GB2312" w:hAnsi="宋体" w:eastAsia="仿宋_GB2312"/>
                <w:color w:val="auto"/>
                <w:sz w:val="24"/>
                <w:szCs w:val="24"/>
                <w:highlight w:val="none"/>
              </w:rPr>
            </w:pPr>
          </w:p>
        </w:tc>
      </w:tr>
      <w:tr w14:paraId="4379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77B807B3">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7AF9345D">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EC034BB">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40EE15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CB271F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868E05D">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AC6949E">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1F20A629">
            <w:pPr>
              <w:spacing w:line="480" w:lineRule="exact"/>
              <w:jc w:val="center"/>
              <w:textAlignment w:val="center"/>
              <w:rPr>
                <w:rFonts w:ascii="仿宋_GB2312" w:hAnsi="宋体" w:eastAsia="仿宋_GB2312"/>
                <w:color w:val="auto"/>
                <w:sz w:val="24"/>
                <w:szCs w:val="24"/>
                <w:highlight w:val="none"/>
              </w:rPr>
            </w:pPr>
          </w:p>
        </w:tc>
      </w:tr>
      <w:tr w14:paraId="4C92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08A5945C">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325CC827">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B72689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134066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FEEEF9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F9B5889">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6575CBDC">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5570899C">
            <w:pPr>
              <w:spacing w:line="480" w:lineRule="exact"/>
              <w:jc w:val="center"/>
              <w:textAlignment w:val="center"/>
              <w:rPr>
                <w:rFonts w:ascii="仿宋_GB2312" w:hAnsi="宋体" w:eastAsia="仿宋_GB2312"/>
                <w:color w:val="auto"/>
                <w:sz w:val="24"/>
                <w:szCs w:val="24"/>
                <w:highlight w:val="none"/>
              </w:rPr>
            </w:pPr>
          </w:p>
        </w:tc>
      </w:tr>
      <w:tr w14:paraId="76E1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5A81CFB6">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5E7D5031">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21A2FBD">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5AA3A4C">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7B0C7FD">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A68CDB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22E159F">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4CDDE7A6">
            <w:pPr>
              <w:spacing w:line="480" w:lineRule="exact"/>
              <w:jc w:val="center"/>
              <w:textAlignment w:val="center"/>
              <w:rPr>
                <w:rFonts w:ascii="仿宋_GB2312" w:hAnsi="宋体" w:eastAsia="仿宋_GB2312"/>
                <w:color w:val="auto"/>
                <w:sz w:val="24"/>
                <w:szCs w:val="24"/>
                <w:highlight w:val="none"/>
              </w:rPr>
            </w:pPr>
          </w:p>
        </w:tc>
      </w:tr>
      <w:tr w14:paraId="56EE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13218742">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18EBA22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58334DC">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9DC268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62046C88">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FE95188">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BEA0F4D">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418D5E60">
            <w:pPr>
              <w:spacing w:line="480" w:lineRule="exact"/>
              <w:jc w:val="center"/>
              <w:textAlignment w:val="center"/>
              <w:rPr>
                <w:rFonts w:ascii="仿宋_GB2312" w:hAnsi="宋体" w:eastAsia="仿宋_GB2312"/>
                <w:color w:val="auto"/>
                <w:sz w:val="24"/>
                <w:szCs w:val="24"/>
                <w:highlight w:val="none"/>
              </w:rPr>
            </w:pPr>
          </w:p>
        </w:tc>
      </w:tr>
      <w:tr w14:paraId="69C2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4EB993DA">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44C62AE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091852C">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A6B6FB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6443F0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626C6C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EB43AC9">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75EABB4A">
            <w:pPr>
              <w:spacing w:line="480" w:lineRule="exact"/>
              <w:jc w:val="center"/>
              <w:textAlignment w:val="center"/>
              <w:rPr>
                <w:rFonts w:ascii="仿宋_GB2312" w:hAnsi="宋体" w:eastAsia="仿宋_GB2312"/>
                <w:color w:val="auto"/>
                <w:sz w:val="24"/>
                <w:szCs w:val="24"/>
                <w:highlight w:val="none"/>
              </w:rPr>
            </w:pPr>
          </w:p>
        </w:tc>
      </w:tr>
      <w:tr w14:paraId="7F04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6309F5F9">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3198539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63F73E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B1B33BC">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2D317F71">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0C9285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12E7FA7">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4EA110D2">
            <w:pPr>
              <w:spacing w:line="480" w:lineRule="exact"/>
              <w:jc w:val="center"/>
              <w:textAlignment w:val="center"/>
              <w:rPr>
                <w:rFonts w:ascii="仿宋_GB2312" w:hAnsi="宋体" w:eastAsia="仿宋_GB2312"/>
                <w:color w:val="auto"/>
                <w:sz w:val="24"/>
                <w:szCs w:val="24"/>
                <w:highlight w:val="none"/>
              </w:rPr>
            </w:pPr>
          </w:p>
        </w:tc>
      </w:tr>
      <w:tr w14:paraId="5F1C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5329F2D6">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7962B7DF">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03790EF">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703B14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CF676D1">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63B24A20">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6FBF958">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4EEC9846">
            <w:pPr>
              <w:spacing w:line="480" w:lineRule="exact"/>
              <w:jc w:val="center"/>
              <w:textAlignment w:val="center"/>
              <w:rPr>
                <w:rFonts w:ascii="仿宋_GB2312" w:hAnsi="宋体" w:eastAsia="仿宋_GB2312"/>
                <w:color w:val="auto"/>
                <w:sz w:val="24"/>
                <w:szCs w:val="24"/>
                <w:highlight w:val="none"/>
              </w:rPr>
            </w:pPr>
          </w:p>
        </w:tc>
      </w:tr>
      <w:tr w14:paraId="701D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52F5B415">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6400125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AF22382">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73355BB">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0B4844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A61A177">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43D3F0D0">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68D5CE43">
            <w:pPr>
              <w:spacing w:line="480" w:lineRule="exact"/>
              <w:jc w:val="center"/>
              <w:textAlignment w:val="center"/>
              <w:rPr>
                <w:rFonts w:ascii="仿宋_GB2312" w:hAnsi="宋体" w:eastAsia="仿宋_GB2312"/>
                <w:color w:val="auto"/>
                <w:sz w:val="24"/>
                <w:szCs w:val="24"/>
                <w:highlight w:val="none"/>
              </w:rPr>
            </w:pPr>
          </w:p>
        </w:tc>
      </w:tr>
      <w:tr w14:paraId="7387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2F3F3045">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187722A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C914FB3">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9D7BB88">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0BB39A0">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A224727">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136CE793">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0D2A4628">
            <w:pPr>
              <w:spacing w:line="480" w:lineRule="exact"/>
              <w:jc w:val="center"/>
              <w:textAlignment w:val="center"/>
              <w:rPr>
                <w:rFonts w:ascii="仿宋_GB2312" w:hAnsi="宋体" w:eastAsia="仿宋_GB2312"/>
                <w:color w:val="auto"/>
                <w:sz w:val="24"/>
                <w:szCs w:val="24"/>
                <w:highlight w:val="none"/>
              </w:rPr>
            </w:pPr>
          </w:p>
        </w:tc>
      </w:tr>
      <w:tr w14:paraId="20F4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305C05D1">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62D2F88B">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0A4D4C6">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15189D7">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3CFAEE9A">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43033DC">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7408CDD">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04DCC1E7">
            <w:pPr>
              <w:spacing w:line="480" w:lineRule="exact"/>
              <w:jc w:val="center"/>
              <w:textAlignment w:val="center"/>
              <w:rPr>
                <w:rFonts w:ascii="仿宋_GB2312" w:hAnsi="宋体" w:eastAsia="仿宋_GB2312"/>
                <w:color w:val="auto"/>
                <w:sz w:val="24"/>
                <w:szCs w:val="24"/>
                <w:highlight w:val="none"/>
              </w:rPr>
            </w:pPr>
          </w:p>
        </w:tc>
      </w:tr>
      <w:tr w14:paraId="365A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Borders>
              <w:top w:val="single" w:color="auto" w:sz="4" w:space="0"/>
              <w:left w:val="single" w:color="auto" w:sz="4" w:space="0"/>
              <w:bottom w:val="single" w:color="auto" w:sz="4" w:space="0"/>
              <w:right w:val="single" w:color="auto" w:sz="4" w:space="0"/>
            </w:tcBorders>
            <w:vAlign w:val="center"/>
          </w:tcPr>
          <w:p w14:paraId="7BB861BC">
            <w:pPr>
              <w:spacing w:line="480" w:lineRule="exact"/>
              <w:jc w:val="center"/>
              <w:textAlignment w:val="center"/>
              <w:rPr>
                <w:rFonts w:ascii="仿宋_GB2312" w:hAnsi="宋体" w:eastAsia="仿宋_GB2312"/>
                <w:color w:val="auto"/>
                <w:sz w:val="24"/>
                <w:szCs w:val="24"/>
                <w:highlight w:val="none"/>
              </w:rPr>
            </w:pPr>
          </w:p>
        </w:tc>
        <w:tc>
          <w:tcPr>
            <w:tcW w:w="928" w:type="dxa"/>
            <w:tcBorders>
              <w:top w:val="single" w:color="auto" w:sz="4" w:space="0"/>
              <w:left w:val="nil"/>
              <w:bottom w:val="single" w:color="auto" w:sz="4" w:space="0"/>
              <w:right w:val="single" w:color="auto" w:sz="4" w:space="0"/>
            </w:tcBorders>
            <w:vAlign w:val="center"/>
          </w:tcPr>
          <w:p w14:paraId="0CF2AA1E">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657D4F6F">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FEA0E25">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08F1A28D">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7362D848">
            <w:pPr>
              <w:spacing w:line="480" w:lineRule="exact"/>
              <w:jc w:val="center"/>
              <w:textAlignment w:val="center"/>
              <w:rPr>
                <w:rFonts w:ascii="仿宋_GB2312" w:hAnsi="宋体" w:eastAsia="仿宋_GB2312"/>
                <w:color w:val="auto"/>
                <w:sz w:val="24"/>
                <w:szCs w:val="24"/>
                <w:highlight w:val="none"/>
              </w:rPr>
            </w:pPr>
          </w:p>
        </w:tc>
        <w:tc>
          <w:tcPr>
            <w:tcW w:w="1014" w:type="dxa"/>
            <w:tcBorders>
              <w:top w:val="single" w:color="auto" w:sz="4" w:space="0"/>
              <w:left w:val="nil"/>
              <w:bottom w:val="single" w:color="auto" w:sz="4" w:space="0"/>
              <w:right w:val="single" w:color="auto" w:sz="4" w:space="0"/>
            </w:tcBorders>
            <w:vAlign w:val="center"/>
          </w:tcPr>
          <w:p w14:paraId="5DE3E634">
            <w:pPr>
              <w:spacing w:line="480" w:lineRule="exact"/>
              <w:jc w:val="center"/>
              <w:textAlignment w:val="center"/>
              <w:rPr>
                <w:rFonts w:ascii="仿宋_GB2312" w:hAnsi="宋体" w:eastAsia="仿宋_GB2312"/>
                <w:color w:val="auto"/>
                <w:sz w:val="24"/>
                <w:szCs w:val="24"/>
                <w:highlight w:val="none"/>
              </w:rPr>
            </w:pPr>
          </w:p>
        </w:tc>
        <w:tc>
          <w:tcPr>
            <w:tcW w:w="1212" w:type="dxa"/>
            <w:tcBorders>
              <w:top w:val="single" w:color="auto" w:sz="4" w:space="0"/>
              <w:left w:val="nil"/>
              <w:bottom w:val="single" w:color="auto" w:sz="4" w:space="0"/>
              <w:right w:val="single" w:color="auto" w:sz="4" w:space="0"/>
            </w:tcBorders>
            <w:vAlign w:val="center"/>
          </w:tcPr>
          <w:p w14:paraId="6D244C1B">
            <w:pPr>
              <w:spacing w:line="480" w:lineRule="exact"/>
              <w:jc w:val="center"/>
              <w:textAlignment w:val="center"/>
              <w:rPr>
                <w:rFonts w:ascii="仿宋_GB2312" w:hAnsi="宋体" w:eastAsia="仿宋_GB2312"/>
                <w:color w:val="auto"/>
                <w:sz w:val="24"/>
                <w:szCs w:val="24"/>
                <w:highlight w:val="none"/>
              </w:rPr>
            </w:pPr>
          </w:p>
        </w:tc>
      </w:tr>
    </w:tbl>
    <w:p w14:paraId="2790E8ED">
      <w:pPr>
        <w:spacing w:beforeLines="50" w:afterLines="100" w:line="480" w:lineRule="exact"/>
        <w:jc w:val="center"/>
        <w:textAlignment w:val="center"/>
        <w:rPr>
          <w:rFonts w:ascii="宋体" w:hAnsi="宋体"/>
          <w:color w:val="auto"/>
          <w:sz w:val="28"/>
          <w:szCs w:val="28"/>
          <w:highlight w:val="none"/>
        </w:rPr>
      </w:pPr>
      <w:r>
        <w:rPr>
          <w:rFonts w:hint="eastAsia" w:ascii="仿宋_GB2312" w:hAnsi="宋体" w:eastAsia="仿宋_GB2312"/>
          <w:color w:val="auto"/>
          <w:sz w:val="24"/>
          <w:szCs w:val="24"/>
          <w:highlight w:val="none"/>
        </w:rPr>
        <w:br w:type="page"/>
      </w:r>
      <w:r>
        <w:rPr>
          <w:rFonts w:hint="eastAsia" w:ascii="宋体" w:hAnsi="宋体"/>
          <w:color w:val="auto"/>
          <w:sz w:val="28"/>
          <w:szCs w:val="28"/>
          <w:highlight w:val="none"/>
        </w:rPr>
        <w:t>附表四：计划开、竣工日期和施工进度网络图</w:t>
      </w:r>
    </w:p>
    <w:p w14:paraId="01A6DF28">
      <w:pPr>
        <w:spacing w:line="52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1．施工进度表可采用网络图和（或）横道图表示。</w:t>
      </w:r>
    </w:p>
    <w:p w14:paraId="6C75E15D">
      <w:pPr>
        <w:spacing w:beforeLines="50" w:afterLines="100" w:line="480" w:lineRule="exact"/>
        <w:jc w:val="center"/>
        <w:textAlignment w:val="center"/>
        <w:rPr>
          <w:rFonts w:ascii="宋体" w:hAnsi="宋体"/>
          <w:color w:val="auto"/>
          <w:sz w:val="28"/>
          <w:szCs w:val="28"/>
          <w:highlight w:val="none"/>
        </w:rPr>
      </w:pPr>
      <w:r>
        <w:rPr>
          <w:rFonts w:hint="eastAsia" w:ascii="宋体" w:hAnsi="宋体"/>
          <w:color w:val="auto"/>
          <w:sz w:val="24"/>
          <w:szCs w:val="24"/>
          <w:highlight w:val="none"/>
        </w:rPr>
        <w:br w:type="page"/>
      </w:r>
      <w:r>
        <w:rPr>
          <w:rFonts w:hint="eastAsia" w:ascii="宋体" w:hAnsi="宋体"/>
          <w:color w:val="auto"/>
          <w:sz w:val="28"/>
          <w:szCs w:val="28"/>
          <w:highlight w:val="none"/>
        </w:rPr>
        <w:t>附表五：施工总平面图</w:t>
      </w:r>
    </w:p>
    <w:p w14:paraId="4248EA02">
      <w:pPr>
        <w:spacing w:line="52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应递交一份施工总平面图，绘出现场临时设施布置图表并附文字说明，</w:t>
      </w:r>
      <w:r>
        <w:rPr>
          <w:rFonts w:hint="eastAsia" w:ascii="宋体" w:hAnsi="宋体"/>
          <w:color w:val="auto"/>
          <w:position w:val="2"/>
          <w:sz w:val="24"/>
          <w:szCs w:val="24"/>
          <w:highlight w:val="none"/>
        </w:rPr>
        <w:t>说明临时设施、现场办公、设备及仓储、供电、供水、卫生、生活、道路、消防等设施的情况和布置。</w:t>
      </w:r>
    </w:p>
    <w:p w14:paraId="717AF8FA">
      <w:pPr>
        <w:spacing w:beforeLines="50" w:afterLines="50" w:line="480" w:lineRule="exact"/>
        <w:textAlignment w:val="center"/>
        <w:rPr>
          <w:rFonts w:ascii="宋体" w:hAnsi="宋体"/>
          <w:color w:val="auto"/>
          <w:sz w:val="24"/>
          <w:szCs w:val="24"/>
          <w:highlight w:val="none"/>
        </w:rPr>
      </w:pPr>
      <w:r>
        <w:rPr>
          <w:rFonts w:hint="eastAsia" w:ascii="仿宋_GB2312" w:hAnsi="宋体" w:eastAsia="仿宋_GB2312"/>
          <w:color w:val="auto"/>
          <w:sz w:val="24"/>
          <w:szCs w:val="24"/>
          <w:highlight w:val="none"/>
        </w:rPr>
        <w:br w:type="page"/>
      </w:r>
    </w:p>
    <w:p w14:paraId="003D4FBD">
      <w:pPr>
        <w:spacing w:beforeLines="50" w:afterLines="50" w:line="480" w:lineRule="exact"/>
        <w:jc w:val="center"/>
        <w:textAlignment w:val="center"/>
        <w:rPr>
          <w:rFonts w:ascii="宋体" w:hAnsi="宋体"/>
          <w:b/>
          <w:bCs/>
          <w:color w:val="auto"/>
          <w:sz w:val="28"/>
          <w:szCs w:val="28"/>
          <w:highlight w:val="none"/>
        </w:rPr>
      </w:pPr>
      <w:r>
        <w:rPr>
          <w:rFonts w:hint="eastAsia" w:ascii="宋体" w:hAnsi="宋体"/>
          <w:b/>
          <w:bCs/>
          <w:color w:val="auto"/>
          <w:sz w:val="28"/>
          <w:szCs w:val="28"/>
          <w:highlight w:val="none"/>
        </w:rPr>
        <w:t>五、项目管理机构</w:t>
      </w:r>
    </w:p>
    <w:p w14:paraId="6EEE3AB6">
      <w:pPr>
        <w:spacing w:afterLines="100"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（一）项目管理机构组成表</w:t>
      </w:r>
    </w:p>
    <w:tbl>
      <w:tblPr>
        <w:tblStyle w:val="17"/>
        <w:tblW w:w="82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08"/>
        <w:gridCol w:w="708"/>
        <w:gridCol w:w="853"/>
        <w:gridCol w:w="764"/>
        <w:gridCol w:w="890"/>
        <w:gridCol w:w="790"/>
        <w:gridCol w:w="1780"/>
        <w:gridCol w:w="1070"/>
      </w:tblGrid>
      <w:tr w14:paraId="4082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restart"/>
            <w:tcBorders>
              <w:top w:val="single" w:color="auto" w:sz="4" w:space="0"/>
              <w:left w:val="single" w:color="auto" w:sz="4" w:space="0"/>
              <w:bottom w:val="single" w:color="auto" w:sz="4" w:space="0"/>
              <w:right w:val="single" w:color="auto" w:sz="4" w:space="0"/>
            </w:tcBorders>
            <w:vAlign w:val="center"/>
          </w:tcPr>
          <w:p w14:paraId="66A51EE8">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职务</w:t>
            </w:r>
          </w:p>
        </w:tc>
        <w:tc>
          <w:tcPr>
            <w:tcW w:w="708" w:type="dxa"/>
            <w:vMerge w:val="restart"/>
            <w:tcBorders>
              <w:top w:val="single" w:color="auto" w:sz="4" w:space="0"/>
              <w:left w:val="nil"/>
              <w:bottom w:val="single" w:color="auto" w:sz="4" w:space="0"/>
              <w:right w:val="single" w:color="auto" w:sz="4" w:space="0"/>
            </w:tcBorders>
            <w:vAlign w:val="center"/>
          </w:tcPr>
          <w:p w14:paraId="1E8CC16A">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姓名</w:t>
            </w:r>
          </w:p>
        </w:tc>
        <w:tc>
          <w:tcPr>
            <w:tcW w:w="708" w:type="dxa"/>
            <w:vMerge w:val="restart"/>
            <w:tcBorders>
              <w:top w:val="single" w:color="auto" w:sz="4" w:space="0"/>
              <w:left w:val="nil"/>
              <w:bottom w:val="single" w:color="auto" w:sz="4" w:space="0"/>
              <w:right w:val="single" w:color="auto" w:sz="4" w:space="0"/>
            </w:tcBorders>
            <w:vAlign w:val="center"/>
          </w:tcPr>
          <w:p w14:paraId="73AFB68B">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职称</w:t>
            </w:r>
          </w:p>
        </w:tc>
        <w:tc>
          <w:tcPr>
            <w:tcW w:w="5077" w:type="dxa"/>
            <w:gridSpan w:val="5"/>
            <w:tcBorders>
              <w:top w:val="single" w:color="auto" w:sz="4" w:space="0"/>
              <w:left w:val="nil"/>
              <w:bottom w:val="single" w:color="auto" w:sz="4" w:space="0"/>
              <w:right w:val="single" w:color="auto" w:sz="4" w:space="0"/>
            </w:tcBorders>
            <w:vAlign w:val="center"/>
          </w:tcPr>
          <w:p w14:paraId="0CA0A2D4">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执业或职业资格证明</w:t>
            </w:r>
          </w:p>
        </w:tc>
        <w:tc>
          <w:tcPr>
            <w:tcW w:w="1070" w:type="dxa"/>
            <w:vMerge w:val="restart"/>
            <w:tcBorders>
              <w:top w:val="single" w:color="auto" w:sz="4" w:space="0"/>
              <w:left w:val="nil"/>
              <w:bottom w:val="single" w:color="auto" w:sz="4" w:space="0"/>
              <w:right w:val="single" w:color="auto" w:sz="4" w:space="0"/>
            </w:tcBorders>
            <w:vAlign w:val="center"/>
          </w:tcPr>
          <w:p w14:paraId="637F8D7E">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备注</w:t>
            </w:r>
          </w:p>
        </w:tc>
      </w:tr>
      <w:tr w14:paraId="4B68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tcBorders>
              <w:top w:val="single" w:color="auto" w:sz="4" w:space="0"/>
              <w:left w:val="single" w:color="auto" w:sz="4" w:space="0"/>
              <w:bottom w:val="single" w:color="auto" w:sz="4" w:space="0"/>
              <w:right w:val="single" w:color="auto" w:sz="4" w:space="0"/>
            </w:tcBorders>
            <w:vAlign w:val="center"/>
          </w:tcPr>
          <w:p w14:paraId="6E40A868">
            <w:pPr>
              <w:widowControl/>
              <w:jc w:val="left"/>
              <w:rPr>
                <w:rFonts w:ascii="宋体" w:hAnsi="宋体"/>
                <w:color w:val="auto"/>
                <w:sz w:val="24"/>
                <w:szCs w:val="24"/>
                <w:highlight w:val="none"/>
              </w:rPr>
            </w:pPr>
          </w:p>
        </w:tc>
        <w:tc>
          <w:tcPr>
            <w:tcW w:w="708" w:type="dxa"/>
            <w:vMerge w:val="continue"/>
            <w:tcBorders>
              <w:top w:val="single" w:color="auto" w:sz="4" w:space="0"/>
              <w:left w:val="nil"/>
              <w:bottom w:val="single" w:color="auto" w:sz="4" w:space="0"/>
              <w:right w:val="single" w:color="auto" w:sz="4" w:space="0"/>
            </w:tcBorders>
            <w:vAlign w:val="center"/>
          </w:tcPr>
          <w:p w14:paraId="0BB27FF5">
            <w:pPr>
              <w:widowControl/>
              <w:jc w:val="left"/>
              <w:rPr>
                <w:rFonts w:ascii="宋体" w:hAnsi="宋体"/>
                <w:color w:val="auto"/>
                <w:sz w:val="24"/>
                <w:szCs w:val="24"/>
                <w:highlight w:val="none"/>
              </w:rPr>
            </w:pPr>
          </w:p>
        </w:tc>
        <w:tc>
          <w:tcPr>
            <w:tcW w:w="708" w:type="dxa"/>
            <w:vMerge w:val="continue"/>
            <w:tcBorders>
              <w:top w:val="single" w:color="auto" w:sz="4" w:space="0"/>
              <w:left w:val="nil"/>
              <w:bottom w:val="single" w:color="auto" w:sz="4" w:space="0"/>
              <w:right w:val="single" w:color="auto" w:sz="4" w:space="0"/>
            </w:tcBorders>
            <w:vAlign w:val="center"/>
          </w:tcPr>
          <w:p w14:paraId="0AC27903">
            <w:pPr>
              <w:widowControl/>
              <w:jc w:val="left"/>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152A2FAC">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证书名称</w:t>
            </w:r>
          </w:p>
        </w:tc>
        <w:tc>
          <w:tcPr>
            <w:tcW w:w="764" w:type="dxa"/>
            <w:tcBorders>
              <w:top w:val="single" w:color="auto" w:sz="4" w:space="0"/>
              <w:left w:val="nil"/>
              <w:bottom w:val="single" w:color="auto" w:sz="4" w:space="0"/>
              <w:right w:val="single" w:color="auto" w:sz="4" w:space="0"/>
            </w:tcBorders>
            <w:vAlign w:val="center"/>
          </w:tcPr>
          <w:p w14:paraId="26E71B9C">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级别</w:t>
            </w:r>
          </w:p>
        </w:tc>
        <w:tc>
          <w:tcPr>
            <w:tcW w:w="890" w:type="dxa"/>
            <w:tcBorders>
              <w:top w:val="single" w:color="auto" w:sz="4" w:space="0"/>
              <w:left w:val="nil"/>
              <w:bottom w:val="single" w:color="auto" w:sz="4" w:space="0"/>
              <w:right w:val="single" w:color="auto" w:sz="4" w:space="0"/>
            </w:tcBorders>
            <w:vAlign w:val="center"/>
          </w:tcPr>
          <w:p w14:paraId="7AD4360F">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证号</w:t>
            </w:r>
          </w:p>
        </w:tc>
        <w:tc>
          <w:tcPr>
            <w:tcW w:w="790" w:type="dxa"/>
            <w:tcBorders>
              <w:top w:val="single" w:color="auto" w:sz="4" w:space="0"/>
              <w:left w:val="nil"/>
              <w:bottom w:val="single" w:color="auto" w:sz="4" w:space="0"/>
              <w:right w:val="single" w:color="auto" w:sz="4" w:space="0"/>
            </w:tcBorders>
            <w:vAlign w:val="center"/>
          </w:tcPr>
          <w:p w14:paraId="636DA5C8">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专业</w:t>
            </w:r>
          </w:p>
        </w:tc>
        <w:tc>
          <w:tcPr>
            <w:tcW w:w="1780" w:type="dxa"/>
            <w:tcBorders>
              <w:top w:val="single" w:color="auto" w:sz="4" w:space="0"/>
              <w:left w:val="nil"/>
              <w:bottom w:val="single" w:color="auto" w:sz="4" w:space="0"/>
              <w:right w:val="single" w:color="auto" w:sz="4" w:space="0"/>
            </w:tcBorders>
            <w:vAlign w:val="center"/>
          </w:tcPr>
          <w:p w14:paraId="0148B02B">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养老保险</w:t>
            </w:r>
          </w:p>
          <w:p w14:paraId="213D92C6">
            <w:pPr>
              <w:spacing w:line="48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（是否交纳）</w:t>
            </w:r>
          </w:p>
        </w:tc>
        <w:tc>
          <w:tcPr>
            <w:tcW w:w="1070" w:type="dxa"/>
            <w:vMerge w:val="continue"/>
            <w:tcBorders>
              <w:top w:val="single" w:color="auto" w:sz="4" w:space="0"/>
              <w:left w:val="nil"/>
              <w:bottom w:val="single" w:color="auto" w:sz="4" w:space="0"/>
              <w:right w:val="single" w:color="auto" w:sz="4" w:space="0"/>
            </w:tcBorders>
            <w:vAlign w:val="center"/>
          </w:tcPr>
          <w:p w14:paraId="764AC581">
            <w:pPr>
              <w:widowControl/>
              <w:jc w:val="left"/>
              <w:rPr>
                <w:rFonts w:ascii="宋体" w:hAnsi="宋体"/>
                <w:color w:val="auto"/>
                <w:sz w:val="24"/>
                <w:szCs w:val="24"/>
                <w:highlight w:val="none"/>
              </w:rPr>
            </w:pPr>
          </w:p>
        </w:tc>
      </w:tr>
      <w:tr w14:paraId="7039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39BCE35F">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5388C3E0">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2FD47192">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53C8E764">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2A482C38">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57EE43B1">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30F50807">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231D02D0">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520EA6AA">
            <w:pPr>
              <w:spacing w:line="480" w:lineRule="exact"/>
              <w:jc w:val="center"/>
              <w:textAlignment w:val="center"/>
              <w:rPr>
                <w:rFonts w:ascii="宋体" w:hAnsi="宋体"/>
                <w:color w:val="auto"/>
                <w:sz w:val="24"/>
                <w:szCs w:val="24"/>
                <w:highlight w:val="none"/>
              </w:rPr>
            </w:pPr>
          </w:p>
        </w:tc>
      </w:tr>
      <w:tr w14:paraId="77B4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421BDDF4">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716B8205">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1179581B">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03E35CE6">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4A8ABC1F">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37C8B5A8">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08DD0835">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52A61473">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1B73292C">
            <w:pPr>
              <w:spacing w:line="480" w:lineRule="exact"/>
              <w:jc w:val="center"/>
              <w:textAlignment w:val="center"/>
              <w:rPr>
                <w:rFonts w:ascii="宋体" w:hAnsi="宋体"/>
                <w:color w:val="auto"/>
                <w:sz w:val="24"/>
                <w:szCs w:val="24"/>
                <w:highlight w:val="none"/>
              </w:rPr>
            </w:pPr>
          </w:p>
        </w:tc>
      </w:tr>
      <w:tr w14:paraId="5045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3F85EC58">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35A60015">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43C20AEB">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39342D3E">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01FAE2CD">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15300EFF">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046265A9">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7A84763A">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2F622A19">
            <w:pPr>
              <w:spacing w:line="480" w:lineRule="exact"/>
              <w:jc w:val="center"/>
              <w:textAlignment w:val="center"/>
              <w:rPr>
                <w:rFonts w:ascii="宋体" w:hAnsi="宋体"/>
                <w:color w:val="auto"/>
                <w:sz w:val="24"/>
                <w:szCs w:val="24"/>
                <w:highlight w:val="none"/>
              </w:rPr>
            </w:pPr>
          </w:p>
        </w:tc>
      </w:tr>
      <w:tr w14:paraId="2C34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720585AF">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0EBB0C94">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0D1117DC">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1A644C22">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7B71D287">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5511C7EA">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0C61E07D">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31A7BFC7">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63208924">
            <w:pPr>
              <w:spacing w:line="480" w:lineRule="exact"/>
              <w:jc w:val="center"/>
              <w:textAlignment w:val="center"/>
              <w:rPr>
                <w:rFonts w:ascii="宋体" w:hAnsi="宋体"/>
                <w:color w:val="auto"/>
                <w:sz w:val="24"/>
                <w:szCs w:val="24"/>
                <w:highlight w:val="none"/>
              </w:rPr>
            </w:pPr>
          </w:p>
        </w:tc>
      </w:tr>
      <w:tr w14:paraId="6F4C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45EB964D">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714450E8">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2ED53318">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0A015D35">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6893B41D">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2BC998D8">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348E8F1A">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37E8F103">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14B0E554">
            <w:pPr>
              <w:spacing w:line="480" w:lineRule="exact"/>
              <w:jc w:val="center"/>
              <w:textAlignment w:val="center"/>
              <w:rPr>
                <w:rFonts w:ascii="宋体" w:hAnsi="宋体"/>
                <w:color w:val="auto"/>
                <w:sz w:val="24"/>
                <w:szCs w:val="24"/>
                <w:highlight w:val="none"/>
              </w:rPr>
            </w:pPr>
          </w:p>
        </w:tc>
      </w:tr>
      <w:tr w14:paraId="2F88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038C117B">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2F0AACA5">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5167E3F2">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19DEF7F1">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4DD2A66A">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09520FDD">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14F20FD9">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5C32E484">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57650994">
            <w:pPr>
              <w:spacing w:line="480" w:lineRule="exact"/>
              <w:jc w:val="center"/>
              <w:textAlignment w:val="center"/>
              <w:rPr>
                <w:rFonts w:ascii="宋体" w:hAnsi="宋体"/>
                <w:color w:val="auto"/>
                <w:sz w:val="24"/>
                <w:szCs w:val="24"/>
                <w:highlight w:val="none"/>
              </w:rPr>
            </w:pPr>
          </w:p>
        </w:tc>
      </w:tr>
      <w:tr w14:paraId="29EC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73D7E405">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48E421F2">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4EA0B8CF">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28F49623">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5B790C87">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3CDA2154">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04C7B7C3">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6275F05D">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48AA6834">
            <w:pPr>
              <w:spacing w:line="480" w:lineRule="exact"/>
              <w:jc w:val="center"/>
              <w:textAlignment w:val="center"/>
              <w:rPr>
                <w:rFonts w:ascii="宋体" w:hAnsi="宋体"/>
                <w:color w:val="auto"/>
                <w:sz w:val="24"/>
                <w:szCs w:val="24"/>
                <w:highlight w:val="none"/>
              </w:rPr>
            </w:pPr>
          </w:p>
        </w:tc>
      </w:tr>
      <w:tr w14:paraId="5877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699DE941">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0E5CD502">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7B5C546B">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4F01779A">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585B3FCC">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2A3C6836">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2B4FEA03">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2089D0E8">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184A967B">
            <w:pPr>
              <w:spacing w:line="480" w:lineRule="exact"/>
              <w:jc w:val="center"/>
              <w:textAlignment w:val="center"/>
              <w:rPr>
                <w:rFonts w:ascii="宋体" w:hAnsi="宋体"/>
                <w:color w:val="auto"/>
                <w:sz w:val="24"/>
                <w:szCs w:val="24"/>
                <w:highlight w:val="none"/>
              </w:rPr>
            </w:pPr>
          </w:p>
        </w:tc>
      </w:tr>
      <w:tr w14:paraId="5518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0BD08B9D">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7BE484F4">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36108F8B">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6FB3E019">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524442A5">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69652BE6">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2D4BD54C">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46D88D9D">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59EE6954">
            <w:pPr>
              <w:spacing w:line="480" w:lineRule="exact"/>
              <w:jc w:val="center"/>
              <w:textAlignment w:val="center"/>
              <w:rPr>
                <w:rFonts w:ascii="宋体" w:hAnsi="宋体"/>
                <w:color w:val="auto"/>
                <w:sz w:val="24"/>
                <w:szCs w:val="24"/>
                <w:highlight w:val="none"/>
              </w:rPr>
            </w:pPr>
          </w:p>
        </w:tc>
      </w:tr>
      <w:tr w14:paraId="2829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6372BED1">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332C8FAA">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58957436">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359C45B4">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174FDCA2">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762394A3">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33D4002D">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642B989E">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4DCFD386">
            <w:pPr>
              <w:spacing w:line="480" w:lineRule="exact"/>
              <w:jc w:val="center"/>
              <w:textAlignment w:val="center"/>
              <w:rPr>
                <w:rFonts w:ascii="宋体" w:hAnsi="宋体"/>
                <w:color w:val="auto"/>
                <w:sz w:val="24"/>
                <w:szCs w:val="24"/>
                <w:highlight w:val="none"/>
              </w:rPr>
            </w:pPr>
          </w:p>
        </w:tc>
      </w:tr>
      <w:tr w14:paraId="2527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3528BC81">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4A0E8FE7">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2C789711">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1E409E7A">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2B9AF6C0">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595CCC70">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0D684041">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0F476275">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233173D0">
            <w:pPr>
              <w:spacing w:line="480" w:lineRule="exact"/>
              <w:jc w:val="center"/>
              <w:textAlignment w:val="center"/>
              <w:rPr>
                <w:rFonts w:ascii="宋体" w:hAnsi="宋体"/>
                <w:color w:val="auto"/>
                <w:sz w:val="24"/>
                <w:szCs w:val="24"/>
                <w:highlight w:val="none"/>
              </w:rPr>
            </w:pPr>
          </w:p>
        </w:tc>
      </w:tr>
      <w:tr w14:paraId="6250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3D0EB2DE">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66258507">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210D2DE4">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70ECA189">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2B5600D9">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0461FBDA">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6582DF61">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2DC8711F">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399B5503">
            <w:pPr>
              <w:spacing w:line="480" w:lineRule="exact"/>
              <w:jc w:val="center"/>
              <w:textAlignment w:val="center"/>
              <w:rPr>
                <w:rFonts w:ascii="宋体" w:hAnsi="宋体"/>
                <w:color w:val="auto"/>
                <w:sz w:val="24"/>
                <w:szCs w:val="24"/>
                <w:highlight w:val="none"/>
              </w:rPr>
            </w:pPr>
          </w:p>
        </w:tc>
      </w:tr>
      <w:tr w14:paraId="2780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6A5E1138">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616C676E">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4B2A21DE">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40FB27EC">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492067CD">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1FD640C8">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312DD1C4">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7360C3C4">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1BE77DBC">
            <w:pPr>
              <w:spacing w:line="480" w:lineRule="exact"/>
              <w:jc w:val="center"/>
              <w:textAlignment w:val="center"/>
              <w:rPr>
                <w:rFonts w:ascii="宋体" w:hAnsi="宋体"/>
                <w:color w:val="auto"/>
                <w:sz w:val="24"/>
                <w:szCs w:val="24"/>
                <w:highlight w:val="none"/>
              </w:rPr>
            </w:pPr>
          </w:p>
        </w:tc>
      </w:tr>
      <w:tr w14:paraId="29B1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72072AEF">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50AF9D5A">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5447AA09">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18DDE08F">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0767D1BA">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108FB8D5">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605B63F3">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63451B3A">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69321BF6">
            <w:pPr>
              <w:spacing w:line="480" w:lineRule="exact"/>
              <w:jc w:val="center"/>
              <w:textAlignment w:val="center"/>
              <w:rPr>
                <w:rFonts w:ascii="宋体" w:hAnsi="宋体"/>
                <w:color w:val="auto"/>
                <w:sz w:val="24"/>
                <w:szCs w:val="24"/>
                <w:highlight w:val="none"/>
              </w:rPr>
            </w:pPr>
          </w:p>
        </w:tc>
      </w:tr>
      <w:tr w14:paraId="3E78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14BCA52E">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127D2373">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2F044639">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31F55C0C">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4858D6EE">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0BC626B7">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5E20DD01">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513C1963">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4BA25674">
            <w:pPr>
              <w:spacing w:line="480" w:lineRule="exact"/>
              <w:jc w:val="center"/>
              <w:textAlignment w:val="center"/>
              <w:rPr>
                <w:rFonts w:ascii="宋体" w:hAnsi="宋体"/>
                <w:color w:val="auto"/>
                <w:sz w:val="24"/>
                <w:szCs w:val="24"/>
                <w:highlight w:val="none"/>
              </w:rPr>
            </w:pPr>
          </w:p>
        </w:tc>
      </w:tr>
      <w:tr w14:paraId="23C3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266AE4A8">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48E17F1A">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6E7D5CED">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3EF498D7">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4E623A70">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24FF2752">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0A49C6F1">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7594BC90">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5C783C1F">
            <w:pPr>
              <w:spacing w:line="480" w:lineRule="exact"/>
              <w:jc w:val="center"/>
              <w:textAlignment w:val="center"/>
              <w:rPr>
                <w:rFonts w:ascii="宋体" w:hAnsi="宋体"/>
                <w:color w:val="auto"/>
                <w:sz w:val="24"/>
                <w:szCs w:val="24"/>
                <w:highlight w:val="none"/>
              </w:rPr>
            </w:pPr>
          </w:p>
        </w:tc>
      </w:tr>
      <w:tr w14:paraId="09C2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5C5C3068">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087D7D82">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2633B15D">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61D2784A">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1F1F6626">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430F1698">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7CF840A7">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4C4F26F5">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119324F4">
            <w:pPr>
              <w:spacing w:line="480" w:lineRule="exact"/>
              <w:jc w:val="center"/>
              <w:textAlignment w:val="center"/>
              <w:rPr>
                <w:rFonts w:ascii="宋体" w:hAnsi="宋体"/>
                <w:color w:val="auto"/>
                <w:sz w:val="24"/>
                <w:szCs w:val="24"/>
                <w:highlight w:val="none"/>
              </w:rPr>
            </w:pPr>
          </w:p>
        </w:tc>
      </w:tr>
      <w:tr w14:paraId="4ACA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68330325">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0C83B0A0">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1189DADD">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11B2ADFA">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159D7EAE">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0F1D6461">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684FDDC1">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508FDF5C">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7605335D">
            <w:pPr>
              <w:spacing w:line="480" w:lineRule="exact"/>
              <w:jc w:val="center"/>
              <w:textAlignment w:val="center"/>
              <w:rPr>
                <w:rFonts w:ascii="宋体" w:hAnsi="宋体"/>
                <w:color w:val="auto"/>
                <w:sz w:val="24"/>
                <w:szCs w:val="24"/>
                <w:highlight w:val="none"/>
              </w:rPr>
            </w:pPr>
          </w:p>
        </w:tc>
      </w:tr>
      <w:tr w14:paraId="7DF0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tcBorders>
              <w:top w:val="single" w:color="auto" w:sz="4" w:space="0"/>
              <w:left w:val="single" w:color="auto" w:sz="4" w:space="0"/>
              <w:bottom w:val="single" w:color="auto" w:sz="4" w:space="0"/>
              <w:right w:val="single" w:color="auto" w:sz="4" w:space="0"/>
            </w:tcBorders>
            <w:vAlign w:val="center"/>
          </w:tcPr>
          <w:p w14:paraId="5A0992FB">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3A6D92D4">
            <w:pPr>
              <w:spacing w:line="480" w:lineRule="exact"/>
              <w:jc w:val="center"/>
              <w:textAlignment w:val="center"/>
              <w:rPr>
                <w:rFonts w:ascii="宋体" w:hAnsi="宋体"/>
                <w:color w:val="auto"/>
                <w:sz w:val="24"/>
                <w:szCs w:val="24"/>
                <w:highlight w:val="none"/>
              </w:rPr>
            </w:pPr>
          </w:p>
        </w:tc>
        <w:tc>
          <w:tcPr>
            <w:tcW w:w="708" w:type="dxa"/>
            <w:tcBorders>
              <w:top w:val="single" w:color="auto" w:sz="4" w:space="0"/>
              <w:left w:val="nil"/>
              <w:bottom w:val="single" w:color="auto" w:sz="4" w:space="0"/>
              <w:right w:val="single" w:color="auto" w:sz="4" w:space="0"/>
            </w:tcBorders>
            <w:vAlign w:val="center"/>
          </w:tcPr>
          <w:p w14:paraId="698E1CE1">
            <w:pPr>
              <w:spacing w:line="480" w:lineRule="exact"/>
              <w:jc w:val="center"/>
              <w:textAlignment w:val="center"/>
              <w:rPr>
                <w:rFonts w:ascii="宋体" w:hAnsi="宋体"/>
                <w:color w:val="auto"/>
                <w:sz w:val="24"/>
                <w:szCs w:val="24"/>
                <w:highlight w:val="none"/>
              </w:rPr>
            </w:pPr>
          </w:p>
        </w:tc>
        <w:tc>
          <w:tcPr>
            <w:tcW w:w="853" w:type="dxa"/>
            <w:tcBorders>
              <w:top w:val="single" w:color="auto" w:sz="4" w:space="0"/>
              <w:left w:val="nil"/>
              <w:bottom w:val="single" w:color="auto" w:sz="4" w:space="0"/>
              <w:right w:val="single" w:color="auto" w:sz="4" w:space="0"/>
            </w:tcBorders>
            <w:vAlign w:val="center"/>
          </w:tcPr>
          <w:p w14:paraId="1597D1F0">
            <w:pPr>
              <w:spacing w:line="480" w:lineRule="exact"/>
              <w:jc w:val="center"/>
              <w:textAlignment w:val="center"/>
              <w:rPr>
                <w:rFonts w:ascii="宋体" w:hAnsi="宋体"/>
                <w:color w:val="auto"/>
                <w:sz w:val="24"/>
                <w:szCs w:val="24"/>
                <w:highlight w:val="none"/>
              </w:rPr>
            </w:pPr>
          </w:p>
        </w:tc>
        <w:tc>
          <w:tcPr>
            <w:tcW w:w="764" w:type="dxa"/>
            <w:tcBorders>
              <w:top w:val="single" w:color="auto" w:sz="4" w:space="0"/>
              <w:left w:val="nil"/>
              <w:bottom w:val="single" w:color="auto" w:sz="4" w:space="0"/>
              <w:right w:val="single" w:color="auto" w:sz="4" w:space="0"/>
            </w:tcBorders>
            <w:vAlign w:val="center"/>
          </w:tcPr>
          <w:p w14:paraId="44107E87">
            <w:pPr>
              <w:spacing w:line="480" w:lineRule="exact"/>
              <w:jc w:val="center"/>
              <w:textAlignment w:val="center"/>
              <w:rPr>
                <w:rFonts w:ascii="宋体" w:hAnsi="宋体"/>
                <w:color w:val="auto"/>
                <w:sz w:val="24"/>
                <w:szCs w:val="24"/>
                <w:highlight w:val="none"/>
              </w:rPr>
            </w:pPr>
          </w:p>
        </w:tc>
        <w:tc>
          <w:tcPr>
            <w:tcW w:w="890" w:type="dxa"/>
            <w:tcBorders>
              <w:top w:val="single" w:color="auto" w:sz="4" w:space="0"/>
              <w:left w:val="nil"/>
              <w:bottom w:val="single" w:color="auto" w:sz="4" w:space="0"/>
              <w:right w:val="single" w:color="auto" w:sz="4" w:space="0"/>
            </w:tcBorders>
            <w:vAlign w:val="center"/>
          </w:tcPr>
          <w:p w14:paraId="2A1DBCB3">
            <w:pPr>
              <w:spacing w:line="480" w:lineRule="exact"/>
              <w:jc w:val="center"/>
              <w:textAlignment w:val="center"/>
              <w:rPr>
                <w:rFonts w:ascii="宋体" w:hAnsi="宋体"/>
                <w:color w:val="auto"/>
                <w:sz w:val="24"/>
                <w:szCs w:val="24"/>
                <w:highlight w:val="none"/>
              </w:rPr>
            </w:pPr>
          </w:p>
        </w:tc>
        <w:tc>
          <w:tcPr>
            <w:tcW w:w="790" w:type="dxa"/>
            <w:tcBorders>
              <w:top w:val="single" w:color="auto" w:sz="4" w:space="0"/>
              <w:left w:val="nil"/>
              <w:bottom w:val="single" w:color="auto" w:sz="4" w:space="0"/>
              <w:right w:val="single" w:color="auto" w:sz="4" w:space="0"/>
            </w:tcBorders>
            <w:vAlign w:val="center"/>
          </w:tcPr>
          <w:p w14:paraId="1418AB63">
            <w:pPr>
              <w:spacing w:line="480" w:lineRule="exact"/>
              <w:jc w:val="center"/>
              <w:textAlignment w:val="center"/>
              <w:rPr>
                <w:rFonts w:ascii="宋体" w:hAnsi="宋体"/>
                <w:color w:val="auto"/>
                <w:sz w:val="24"/>
                <w:szCs w:val="24"/>
                <w:highlight w:val="none"/>
              </w:rPr>
            </w:pPr>
          </w:p>
        </w:tc>
        <w:tc>
          <w:tcPr>
            <w:tcW w:w="1780" w:type="dxa"/>
            <w:tcBorders>
              <w:top w:val="single" w:color="auto" w:sz="4" w:space="0"/>
              <w:left w:val="nil"/>
              <w:bottom w:val="single" w:color="auto" w:sz="4" w:space="0"/>
              <w:right w:val="single" w:color="auto" w:sz="4" w:space="0"/>
            </w:tcBorders>
            <w:vAlign w:val="center"/>
          </w:tcPr>
          <w:p w14:paraId="2A2FA268">
            <w:pPr>
              <w:spacing w:line="480" w:lineRule="exact"/>
              <w:jc w:val="center"/>
              <w:textAlignment w:val="center"/>
              <w:rPr>
                <w:rFonts w:ascii="宋体" w:hAnsi="宋体"/>
                <w:color w:val="auto"/>
                <w:sz w:val="24"/>
                <w:szCs w:val="24"/>
                <w:highlight w:val="none"/>
              </w:rPr>
            </w:pPr>
          </w:p>
        </w:tc>
        <w:tc>
          <w:tcPr>
            <w:tcW w:w="1070" w:type="dxa"/>
            <w:tcBorders>
              <w:top w:val="single" w:color="auto" w:sz="4" w:space="0"/>
              <w:left w:val="nil"/>
              <w:bottom w:val="single" w:color="auto" w:sz="4" w:space="0"/>
              <w:right w:val="single" w:color="auto" w:sz="4" w:space="0"/>
            </w:tcBorders>
            <w:vAlign w:val="center"/>
          </w:tcPr>
          <w:p w14:paraId="5701E9A8">
            <w:pPr>
              <w:spacing w:line="480" w:lineRule="exact"/>
              <w:jc w:val="center"/>
              <w:textAlignment w:val="center"/>
              <w:rPr>
                <w:rFonts w:ascii="宋体" w:hAnsi="宋体"/>
                <w:color w:val="auto"/>
                <w:sz w:val="24"/>
                <w:szCs w:val="24"/>
                <w:highlight w:val="none"/>
              </w:rPr>
            </w:pPr>
          </w:p>
        </w:tc>
      </w:tr>
    </w:tbl>
    <w:p w14:paraId="00CFDAAA">
      <w:pPr>
        <w:spacing w:beforeLines="50" w:afterLines="100" w:line="400" w:lineRule="exact"/>
        <w:textAlignment w:val="center"/>
        <w:rPr>
          <w:rFonts w:ascii="宋体" w:hAnsi="宋体"/>
          <w:color w:val="auto"/>
          <w:sz w:val="24"/>
          <w:szCs w:val="24"/>
          <w:highlight w:val="none"/>
        </w:rPr>
      </w:pPr>
    </w:p>
    <w:p w14:paraId="33A6E23D">
      <w:pPr>
        <w:spacing w:beforeLines="50" w:afterLines="100" w:line="400" w:lineRule="exact"/>
        <w:textAlignment w:val="center"/>
        <w:rPr>
          <w:rFonts w:ascii="宋体" w:hAnsi="宋体"/>
          <w:color w:val="auto"/>
          <w:sz w:val="24"/>
          <w:szCs w:val="24"/>
          <w:highlight w:val="none"/>
        </w:rPr>
      </w:pPr>
    </w:p>
    <w:p w14:paraId="3027B86F">
      <w:pPr>
        <w:spacing w:beforeLines="50" w:afterLines="100" w:line="400" w:lineRule="exact"/>
        <w:jc w:val="center"/>
        <w:textAlignment w:val="center"/>
        <w:rPr>
          <w:rFonts w:ascii="宋体" w:hAnsi="宋体"/>
          <w:color w:val="auto"/>
          <w:sz w:val="24"/>
          <w:szCs w:val="24"/>
          <w:highlight w:val="none"/>
        </w:rPr>
      </w:pPr>
    </w:p>
    <w:p w14:paraId="471D9650">
      <w:pPr>
        <w:spacing w:beforeLines="50" w:afterLines="100"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（二）主要人员简历表</w:t>
      </w:r>
    </w:p>
    <w:tbl>
      <w:tblPr>
        <w:tblStyle w:val="17"/>
        <w:tblW w:w="83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989"/>
        <w:gridCol w:w="1085"/>
        <w:gridCol w:w="1219"/>
        <w:gridCol w:w="1764"/>
        <w:gridCol w:w="2240"/>
      </w:tblGrid>
      <w:tr w14:paraId="04B1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44" w:type="dxa"/>
            <w:tcBorders>
              <w:top w:val="single" w:color="auto" w:sz="4" w:space="0"/>
              <w:left w:val="single" w:color="auto" w:sz="4" w:space="0"/>
              <w:bottom w:val="single" w:color="auto" w:sz="4" w:space="0"/>
              <w:right w:val="single" w:color="auto" w:sz="4" w:space="0"/>
            </w:tcBorders>
            <w:vAlign w:val="center"/>
          </w:tcPr>
          <w:p w14:paraId="7CA5111C">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姓  名</w:t>
            </w:r>
          </w:p>
        </w:tc>
        <w:tc>
          <w:tcPr>
            <w:tcW w:w="989" w:type="dxa"/>
            <w:tcBorders>
              <w:top w:val="single" w:color="auto" w:sz="4" w:space="0"/>
              <w:left w:val="nil"/>
              <w:bottom w:val="single" w:color="auto" w:sz="4" w:space="0"/>
              <w:right w:val="single" w:color="auto" w:sz="4" w:space="0"/>
            </w:tcBorders>
            <w:vAlign w:val="center"/>
          </w:tcPr>
          <w:p w14:paraId="4E74A3F7">
            <w:pPr>
              <w:spacing w:line="400" w:lineRule="exact"/>
              <w:jc w:val="center"/>
              <w:textAlignment w:val="center"/>
              <w:rPr>
                <w:rFonts w:ascii="宋体" w:hAnsi="宋体"/>
                <w:color w:val="auto"/>
                <w:sz w:val="24"/>
                <w:szCs w:val="24"/>
                <w:highlight w:val="none"/>
              </w:rPr>
            </w:pPr>
          </w:p>
        </w:tc>
        <w:tc>
          <w:tcPr>
            <w:tcW w:w="1085" w:type="dxa"/>
            <w:tcBorders>
              <w:top w:val="single" w:color="auto" w:sz="4" w:space="0"/>
              <w:left w:val="nil"/>
              <w:bottom w:val="single" w:color="auto" w:sz="4" w:space="0"/>
              <w:right w:val="single" w:color="auto" w:sz="4" w:space="0"/>
            </w:tcBorders>
            <w:vAlign w:val="center"/>
          </w:tcPr>
          <w:p w14:paraId="0DCE9B06">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年  龄</w:t>
            </w:r>
          </w:p>
        </w:tc>
        <w:tc>
          <w:tcPr>
            <w:tcW w:w="1219" w:type="dxa"/>
            <w:tcBorders>
              <w:top w:val="single" w:color="auto" w:sz="4" w:space="0"/>
              <w:left w:val="nil"/>
              <w:bottom w:val="single" w:color="auto" w:sz="4" w:space="0"/>
              <w:right w:val="single" w:color="auto" w:sz="4" w:space="0"/>
            </w:tcBorders>
            <w:vAlign w:val="center"/>
          </w:tcPr>
          <w:p w14:paraId="204E5292">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0F4C1B7C">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学历</w:t>
            </w:r>
          </w:p>
        </w:tc>
        <w:tc>
          <w:tcPr>
            <w:tcW w:w="2240" w:type="dxa"/>
            <w:tcBorders>
              <w:top w:val="single" w:color="auto" w:sz="4" w:space="0"/>
              <w:left w:val="nil"/>
              <w:bottom w:val="single" w:color="auto" w:sz="4" w:space="0"/>
              <w:right w:val="single" w:color="auto" w:sz="4" w:space="0"/>
            </w:tcBorders>
            <w:vAlign w:val="center"/>
          </w:tcPr>
          <w:p w14:paraId="007299E1">
            <w:pPr>
              <w:spacing w:line="400" w:lineRule="exact"/>
              <w:jc w:val="center"/>
              <w:textAlignment w:val="center"/>
              <w:rPr>
                <w:rFonts w:ascii="宋体" w:hAnsi="宋体"/>
                <w:color w:val="auto"/>
                <w:sz w:val="24"/>
                <w:szCs w:val="24"/>
                <w:highlight w:val="none"/>
              </w:rPr>
            </w:pPr>
          </w:p>
        </w:tc>
      </w:tr>
      <w:tr w14:paraId="4905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044" w:type="dxa"/>
            <w:tcBorders>
              <w:top w:val="single" w:color="auto" w:sz="4" w:space="0"/>
              <w:left w:val="single" w:color="auto" w:sz="4" w:space="0"/>
              <w:bottom w:val="single" w:color="auto" w:sz="4" w:space="0"/>
              <w:right w:val="single" w:color="auto" w:sz="4" w:space="0"/>
            </w:tcBorders>
            <w:vAlign w:val="center"/>
          </w:tcPr>
          <w:p w14:paraId="2547659D">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职  称</w:t>
            </w:r>
          </w:p>
        </w:tc>
        <w:tc>
          <w:tcPr>
            <w:tcW w:w="989" w:type="dxa"/>
            <w:tcBorders>
              <w:top w:val="single" w:color="auto" w:sz="4" w:space="0"/>
              <w:left w:val="nil"/>
              <w:bottom w:val="single" w:color="auto" w:sz="4" w:space="0"/>
              <w:right w:val="single" w:color="auto" w:sz="4" w:space="0"/>
            </w:tcBorders>
            <w:vAlign w:val="center"/>
          </w:tcPr>
          <w:p w14:paraId="6B07B47B">
            <w:pPr>
              <w:spacing w:line="400" w:lineRule="exact"/>
              <w:jc w:val="center"/>
              <w:textAlignment w:val="center"/>
              <w:rPr>
                <w:rFonts w:ascii="宋体" w:hAnsi="宋体"/>
                <w:color w:val="auto"/>
                <w:sz w:val="24"/>
                <w:szCs w:val="24"/>
                <w:highlight w:val="none"/>
              </w:rPr>
            </w:pPr>
          </w:p>
        </w:tc>
        <w:tc>
          <w:tcPr>
            <w:tcW w:w="1085" w:type="dxa"/>
            <w:tcBorders>
              <w:top w:val="single" w:color="auto" w:sz="4" w:space="0"/>
              <w:left w:val="nil"/>
              <w:bottom w:val="single" w:color="auto" w:sz="4" w:space="0"/>
              <w:right w:val="single" w:color="auto" w:sz="4" w:space="0"/>
            </w:tcBorders>
            <w:vAlign w:val="center"/>
          </w:tcPr>
          <w:p w14:paraId="6DCC6691">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职  务</w:t>
            </w:r>
          </w:p>
        </w:tc>
        <w:tc>
          <w:tcPr>
            <w:tcW w:w="1219" w:type="dxa"/>
            <w:tcBorders>
              <w:top w:val="single" w:color="auto" w:sz="4" w:space="0"/>
              <w:left w:val="nil"/>
              <w:bottom w:val="single" w:color="auto" w:sz="4" w:space="0"/>
              <w:right w:val="single" w:color="auto" w:sz="4" w:space="0"/>
            </w:tcBorders>
            <w:vAlign w:val="center"/>
          </w:tcPr>
          <w:p w14:paraId="56379169">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4D62C04D">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拟在本工程</w:t>
            </w:r>
          </w:p>
          <w:p w14:paraId="1452C1B7">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任职</w:t>
            </w:r>
          </w:p>
        </w:tc>
        <w:tc>
          <w:tcPr>
            <w:tcW w:w="2240" w:type="dxa"/>
            <w:tcBorders>
              <w:top w:val="single" w:color="auto" w:sz="4" w:space="0"/>
              <w:left w:val="nil"/>
              <w:bottom w:val="single" w:color="auto" w:sz="4" w:space="0"/>
              <w:right w:val="single" w:color="auto" w:sz="4" w:space="0"/>
            </w:tcBorders>
            <w:vAlign w:val="center"/>
          </w:tcPr>
          <w:p w14:paraId="5B0AB611">
            <w:pPr>
              <w:spacing w:line="400" w:lineRule="exact"/>
              <w:jc w:val="center"/>
              <w:textAlignment w:val="center"/>
              <w:rPr>
                <w:rFonts w:ascii="宋体" w:hAnsi="宋体"/>
                <w:color w:val="auto"/>
                <w:sz w:val="24"/>
                <w:szCs w:val="24"/>
                <w:highlight w:val="none"/>
              </w:rPr>
            </w:pPr>
          </w:p>
        </w:tc>
      </w:tr>
      <w:tr w14:paraId="0412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044" w:type="dxa"/>
            <w:tcBorders>
              <w:top w:val="single" w:color="auto" w:sz="4" w:space="0"/>
              <w:left w:val="single" w:color="auto" w:sz="4" w:space="0"/>
              <w:bottom w:val="single" w:color="auto" w:sz="4" w:space="0"/>
              <w:right w:val="single" w:color="auto" w:sz="4" w:space="0"/>
            </w:tcBorders>
            <w:vAlign w:val="center"/>
          </w:tcPr>
          <w:p w14:paraId="4E7D7931">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毕业  学校</w:t>
            </w:r>
          </w:p>
        </w:tc>
        <w:tc>
          <w:tcPr>
            <w:tcW w:w="7297" w:type="dxa"/>
            <w:gridSpan w:val="5"/>
            <w:tcBorders>
              <w:top w:val="single" w:color="auto" w:sz="4" w:space="0"/>
              <w:left w:val="nil"/>
              <w:bottom w:val="single" w:color="auto" w:sz="4" w:space="0"/>
              <w:right w:val="single" w:color="auto" w:sz="4" w:space="0"/>
            </w:tcBorders>
            <w:vAlign w:val="center"/>
          </w:tcPr>
          <w:p w14:paraId="3D168234">
            <w:pPr>
              <w:spacing w:line="400" w:lineRule="exact"/>
              <w:ind w:firstLine="960" w:firstLineChars="400"/>
              <w:textAlignment w:val="center"/>
              <w:rPr>
                <w:rFonts w:ascii="宋体" w:hAnsi="宋体"/>
                <w:color w:val="auto"/>
                <w:sz w:val="24"/>
                <w:szCs w:val="24"/>
                <w:highlight w:val="none"/>
              </w:rPr>
            </w:pPr>
            <w:r>
              <w:rPr>
                <w:rFonts w:hint="eastAsia" w:ascii="宋体" w:hAnsi="宋体"/>
                <w:color w:val="auto"/>
                <w:sz w:val="24"/>
                <w:szCs w:val="24"/>
                <w:highlight w:val="none"/>
              </w:rPr>
              <w:t>年毕业于                  学校            专业</w:t>
            </w:r>
          </w:p>
        </w:tc>
      </w:tr>
      <w:tr w14:paraId="0873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341" w:type="dxa"/>
            <w:gridSpan w:val="6"/>
            <w:tcBorders>
              <w:top w:val="single" w:color="auto" w:sz="4" w:space="0"/>
              <w:left w:val="single" w:color="auto" w:sz="4" w:space="0"/>
              <w:bottom w:val="single" w:color="auto" w:sz="4" w:space="0"/>
              <w:right w:val="single" w:color="auto" w:sz="4" w:space="0"/>
            </w:tcBorders>
            <w:vAlign w:val="center"/>
          </w:tcPr>
          <w:p w14:paraId="3C556699">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主要工作经历</w:t>
            </w:r>
          </w:p>
        </w:tc>
      </w:tr>
      <w:tr w14:paraId="4A0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044" w:type="dxa"/>
            <w:tcBorders>
              <w:top w:val="single" w:color="auto" w:sz="4" w:space="0"/>
              <w:left w:val="single" w:color="auto" w:sz="4" w:space="0"/>
              <w:bottom w:val="single" w:color="auto" w:sz="4" w:space="0"/>
              <w:right w:val="single" w:color="auto" w:sz="4" w:space="0"/>
            </w:tcBorders>
            <w:vAlign w:val="center"/>
          </w:tcPr>
          <w:p w14:paraId="14653013">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时  间</w:t>
            </w:r>
          </w:p>
        </w:tc>
        <w:tc>
          <w:tcPr>
            <w:tcW w:w="3293" w:type="dxa"/>
            <w:gridSpan w:val="3"/>
            <w:tcBorders>
              <w:top w:val="single" w:color="auto" w:sz="4" w:space="0"/>
              <w:left w:val="nil"/>
              <w:bottom w:val="single" w:color="auto" w:sz="4" w:space="0"/>
              <w:right w:val="single" w:color="auto" w:sz="4" w:space="0"/>
            </w:tcBorders>
            <w:vAlign w:val="center"/>
          </w:tcPr>
          <w:p w14:paraId="74374D84">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 xml:space="preserve">参加过的项目 </w:t>
            </w:r>
          </w:p>
        </w:tc>
        <w:tc>
          <w:tcPr>
            <w:tcW w:w="1764" w:type="dxa"/>
            <w:tcBorders>
              <w:top w:val="single" w:color="auto" w:sz="4" w:space="0"/>
              <w:left w:val="nil"/>
              <w:bottom w:val="single" w:color="auto" w:sz="4" w:space="0"/>
              <w:right w:val="single" w:color="auto" w:sz="4" w:space="0"/>
            </w:tcBorders>
            <w:vAlign w:val="center"/>
          </w:tcPr>
          <w:p w14:paraId="63000EFF">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担任职务</w:t>
            </w:r>
          </w:p>
        </w:tc>
        <w:tc>
          <w:tcPr>
            <w:tcW w:w="2240" w:type="dxa"/>
            <w:tcBorders>
              <w:top w:val="single" w:color="auto" w:sz="4" w:space="0"/>
              <w:left w:val="nil"/>
              <w:bottom w:val="single" w:color="auto" w:sz="4" w:space="0"/>
              <w:right w:val="single" w:color="auto" w:sz="4" w:space="0"/>
            </w:tcBorders>
            <w:vAlign w:val="center"/>
          </w:tcPr>
          <w:p w14:paraId="36BA93AC">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发包人及联系</w:t>
            </w:r>
          </w:p>
          <w:p w14:paraId="63BACD2A">
            <w:pPr>
              <w:spacing w:line="400" w:lineRule="exact"/>
              <w:jc w:val="center"/>
              <w:textAlignment w:val="center"/>
              <w:rPr>
                <w:rFonts w:ascii="宋体" w:hAnsi="宋体"/>
                <w:color w:val="auto"/>
                <w:sz w:val="24"/>
                <w:szCs w:val="24"/>
                <w:highlight w:val="none"/>
              </w:rPr>
            </w:pPr>
            <w:r>
              <w:rPr>
                <w:rFonts w:hint="eastAsia" w:ascii="宋体" w:hAnsi="宋体"/>
                <w:color w:val="auto"/>
                <w:sz w:val="24"/>
                <w:szCs w:val="24"/>
                <w:highlight w:val="none"/>
              </w:rPr>
              <w:t>电话</w:t>
            </w:r>
          </w:p>
        </w:tc>
      </w:tr>
      <w:tr w14:paraId="65AE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44" w:type="dxa"/>
            <w:tcBorders>
              <w:top w:val="single" w:color="auto" w:sz="4" w:space="0"/>
              <w:left w:val="single" w:color="auto" w:sz="4" w:space="0"/>
              <w:bottom w:val="single" w:color="auto" w:sz="4" w:space="0"/>
              <w:right w:val="single" w:color="auto" w:sz="4" w:space="0"/>
            </w:tcBorders>
            <w:vAlign w:val="center"/>
          </w:tcPr>
          <w:p w14:paraId="297BDA20">
            <w:pPr>
              <w:spacing w:line="400" w:lineRule="exact"/>
              <w:jc w:val="center"/>
              <w:textAlignment w:val="center"/>
              <w:rPr>
                <w:rFonts w:ascii="宋体" w:hAnsi="宋体"/>
                <w:color w:val="auto"/>
                <w:sz w:val="24"/>
                <w:szCs w:val="24"/>
                <w:highlight w:val="none"/>
              </w:rPr>
            </w:pPr>
          </w:p>
        </w:tc>
        <w:tc>
          <w:tcPr>
            <w:tcW w:w="3293" w:type="dxa"/>
            <w:gridSpan w:val="3"/>
            <w:tcBorders>
              <w:top w:val="single" w:color="auto" w:sz="4" w:space="0"/>
              <w:left w:val="nil"/>
              <w:bottom w:val="single" w:color="auto" w:sz="4" w:space="0"/>
              <w:right w:val="single" w:color="auto" w:sz="4" w:space="0"/>
            </w:tcBorders>
            <w:vAlign w:val="center"/>
          </w:tcPr>
          <w:p w14:paraId="5A7A6945">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312F9F6A">
            <w:pPr>
              <w:spacing w:line="400" w:lineRule="exact"/>
              <w:jc w:val="center"/>
              <w:textAlignment w:val="center"/>
              <w:rPr>
                <w:rFonts w:ascii="宋体" w:hAnsi="宋体"/>
                <w:color w:val="auto"/>
                <w:sz w:val="24"/>
                <w:szCs w:val="24"/>
                <w:highlight w:val="none"/>
              </w:rPr>
            </w:pPr>
          </w:p>
        </w:tc>
        <w:tc>
          <w:tcPr>
            <w:tcW w:w="2240" w:type="dxa"/>
            <w:tcBorders>
              <w:top w:val="single" w:color="auto" w:sz="4" w:space="0"/>
              <w:left w:val="nil"/>
              <w:bottom w:val="single" w:color="auto" w:sz="4" w:space="0"/>
              <w:right w:val="single" w:color="auto" w:sz="4" w:space="0"/>
            </w:tcBorders>
            <w:vAlign w:val="center"/>
          </w:tcPr>
          <w:p w14:paraId="19B93ABD">
            <w:pPr>
              <w:spacing w:line="400" w:lineRule="exact"/>
              <w:jc w:val="center"/>
              <w:textAlignment w:val="center"/>
              <w:rPr>
                <w:rFonts w:ascii="宋体" w:hAnsi="宋体"/>
                <w:color w:val="auto"/>
                <w:sz w:val="24"/>
                <w:szCs w:val="24"/>
                <w:highlight w:val="none"/>
              </w:rPr>
            </w:pPr>
          </w:p>
        </w:tc>
      </w:tr>
      <w:tr w14:paraId="592B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44" w:type="dxa"/>
            <w:tcBorders>
              <w:top w:val="single" w:color="auto" w:sz="4" w:space="0"/>
              <w:left w:val="single" w:color="auto" w:sz="4" w:space="0"/>
              <w:bottom w:val="single" w:color="auto" w:sz="4" w:space="0"/>
              <w:right w:val="single" w:color="auto" w:sz="4" w:space="0"/>
            </w:tcBorders>
            <w:vAlign w:val="center"/>
          </w:tcPr>
          <w:p w14:paraId="29691CE5">
            <w:pPr>
              <w:spacing w:line="400" w:lineRule="exact"/>
              <w:jc w:val="center"/>
              <w:textAlignment w:val="center"/>
              <w:rPr>
                <w:rFonts w:ascii="宋体" w:hAnsi="宋体"/>
                <w:color w:val="auto"/>
                <w:sz w:val="24"/>
                <w:szCs w:val="24"/>
                <w:highlight w:val="none"/>
              </w:rPr>
            </w:pPr>
          </w:p>
        </w:tc>
        <w:tc>
          <w:tcPr>
            <w:tcW w:w="3293" w:type="dxa"/>
            <w:gridSpan w:val="3"/>
            <w:tcBorders>
              <w:top w:val="single" w:color="auto" w:sz="4" w:space="0"/>
              <w:left w:val="nil"/>
              <w:bottom w:val="single" w:color="auto" w:sz="4" w:space="0"/>
              <w:right w:val="single" w:color="auto" w:sz="4" w:space="0"/>
            </w:tcBorders>
            <w:vAlign w:val="center"/>
          </w:tcPr>
          <w:p w14:paraId="3127549E">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2AE9D405">
            <w:pPr>
              <w:spacing w:line="400" w:lineRule="exact"/>
              <w:jc w:val="center"/>
              <w:textAlignment w:val="center"/>
              <w:rPr>
                <w:rFonts w:ascii="宋体" w:hAnsi="宋体"/>
                <w:color w:val="auto"/>
                <w:sz w:val="24"/>
                <w:szCs w:val="24"/>
                <w:highlight w:val="none"/>
              </w:rPr>
            </w:pPr>
          </w:p>
        </w:tc>
        <w:tc>
          <w:tcPr>
            <w:tcW w:w="2240" w:type="dxa"/>
            <w:tcBorders>
              <w:top w:val="single" w:color="auto" w:sz="4" w:space="0"/>
              <w:left w:val="nil"/>
              <w:bottom w:val="single" w:color="auto" w:sz="4" w:space="0"/>
              <w:right w:val="single" w:color="auto" w:sz="4" w:space="0"/>
            </w:tcBorders>
            <w:vAlign w:val="center"/>
          </w:tcPr>
          <w:p w14:paraId="28A2434B">
            <w:pPr>
              <w:spacing w:line="400" w:lineRule="exact"/>
              <w:jc w:val="center"/>
              <w:textAlignment w:val="center"/>
              <w:rPr>
                <w:rFonts w:ascii="宋体" w:hAnsi="宋体"/>
                <w:color w:val="auto"/>
                <w:sz w:val="24"/>
                <w:szCs w:val="24"/>
                <w:highlight w:val="none"/>
              </w:rPr>
            </w:pPr>
          </w:p>
        </w:tc>
      </w:tr>
      <w:tr w14:paraId="7E89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44" w:type="dxa"/>
            <w:tcBorders>
              <w:top w:val="single" w:color="auto" w:sz="4" w:space="0"/>
              <w:left w:val="single" w:color="auto" w:sz="4" w:space="0"/>
              <w:bottom w:val="single" w:color="auto" w:sz="4" w:space="0"/>
              <w:right w:val="single" w:color="auto" w:sz="4" w:space="0"/>
            </w:tcBorders>
            <w:vAlign w:val="center"/>
          </w:tcPr>
          <w:p w14:paraId="2B8AA0B5">
            <w:pPr>
              <w:spacing w:line="400" w:lineRule="exact"/>
              <w:jc w:val="center"/>
              <w:textAlignment w:val="center"/>
              <w:rPr>
                <w:rFonts w:ascii="宋体" w:hAnsi="宋体"/>
                <w:color w:val="auto"/>
                <w:sz w:val="24"/>
                <w:szCs w:val="24"/>
                <w:highlight w:val="none"/>
              </w:rPr>
            </w:pPr>
          </w:p>
        </w:tc>
        <w:tc>
          <w:tcPr>
            <w:tcW w:w="3293" w:type="dxa"/>
            <w:gridSpan w:val="3"/>
            <w:tcBorders>
              <w:top w:val="single" w:color="auto" w:sz="4" w:space="0"/>
              <w:left w:val="nil"/>
              <w:bottom w:val="single" w:color="auto" w:sz="4" w:space="0"/>
              <w:right w:val="single" w:color="auto" w:sz="4" w:space="0"/>
            </w:tcBorders>
            <w:vAlign w:val="center"/>
          </w:tcPr>
          <w:p w14:paraId="30591A93">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65853E09">
            <w:pPr>
              <w:spacing w:line="400" w:lineRule="exact"/>
              <w:jc w:val="center"/>
              <w:textAlignment w:val="center"/>
              <w:rPr>
                <w:rFonts w:ascii="宋体" w:hAnsi="宋体"/>
                <w:color w:val="auto"/>
                <w:sz w:val="24"/>
                <w:szCs w:val="24"/>
                <w:highlight w:val="none"/>
              </w:rPr>
            </w:pPr>
          </w:p>
        </w:tc>
        <w:tc>
          <w:tcPr>
            <w:tcW w:w="2240" w:type="dxa"/>
            <w:tcBorders>
              <w:top w:val="single" w:color="auto" w:sz="4" w:space="0"/>
              <w:left w:val="nil"/>
              <w:bottom w:val="single" w:color="auto" w:sz="4" w:space="0"/>
              <w:right w:val="single" w:color="auto" w:sz="4" w:space="0"/>
            </w:tcBorders>
            <w:vAlign w:val="center"/>
          </w:tcPr>
          <w:p w14:paraId="6CE2F8B0">
            <w:pPr>
              <w:spacing w:line="400" w:lineRule="exact"/>
              <w:jc w:val="center"/>
              <w:textAlignment w:val="center"/>
              <w:rPr>
                <w:rFonts w:ascii="宋体" w:hAnsi="宋体"/>
                <w:color w:val="auto"/>
                <w:sz w:val="24"/>
                <w:szCs w:val="24"/>
                <w:highlight w:val="none"/>
              </w:rPr>
            </w:pPr>
          </w:p>
        </w:tc>
      </w:tr>
      <w:tr w14:paraId="2228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44" w:type="dxa"/>
            <w:tcBorders>
              <w:top w:val="single" w:color="auto" w:sz="4" w:space="0"/>
              <w:left w:val="single" w:color="auto" w:sz="4" w:space="0"/>
              <w:bottom w:val="single" w:color="auto" w:sz="4" w:space="0"/>
              <w:right w:val="single" w:color="auto" w:sz="4" w:space="0"/>
            </w:tcBorders>
            <w:vAlign w:val="center"/>
          </w:tcPr>
          <w:p w14:paraId="7DFC8A0E">
            <w:pPr>
              <w:spacing w:line="400" w:lineRule="exact"/>
              <w:jc w:val="center"/>
              <w:textAlignment w:val="center"/>
              <w:rPr>
                <w:rFonts w:ascii="宋体" w:hAnsi="宋体"/>
                <w:color w:val="auto"/>
                <w:sz w:val="24"/>
                <w:szCs w:val="24"/>
                <w:highlight w:val="none"/>
              </w:rPr>
            </w:pPr>
          </w:p>
        </w:tc>
        <w:tc>
          <w:tcPr>
            <w:tcW w:w="3293" w:type="dxa"/>
            <w:gridSpan w:val="3"/>
            <w:tcBorders>
              <w:top w:val="single" w:color="auto" w:sz="4" w:space="0"/>
              <w:left w:val="nil"/>
              <w:bottom w:val="single" w:color="auto" w:sz="4" w:space="0"/>
              <w:right w:val="single" w:color="auto" w:sz="4" w:space="0"/>
            </w:tcBorders>
            <w:vAlign w:val="center"/>
          </w:tcPr>
          <w:p w14:paraId="1A12EEAC">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6D2C781C">
            <w:pPr>
              <w:spacing w:line="400" w:lineRule="exact"/>
              <w:jc w:val="center"/>
              <w:textAlignment w:val="center"/>
              <w:rPr>
                <w:rFonts w:ascii="宋体" w:hAnsi="宋体"/>
                <w:color w:val="auto"/>
                <w:sz w:val="24"/>
                <w:szCs w:val="24"/>
                <w:highlight w:val="none"/>
              </w:rPr>
            </w:pPr>
          </w:p>
        </w:tc>
        <w:tc>
          <w:tcPr>
            <w:tcW w:w="2240" w:type="dxa"/>
            <w:tcBorders>
              <w:top w:val="single" w:color="auto" w:sz="4" w:space="0"/>
              <w:left w:val="nil"/>
              <w:bottom w:val="single" w:color="auto" w:sz="4" w:space="0"/>
              <w:right w:val="single" w:color="auto" w:sz="4" w:space="0"/>
            </w:tcBorders>
            <w:vAlign w:val="center"/>
          </w:tcPr>
          <w:p w14:paraId="1731C4E7">
            <w:pPr>
              <w:spacing w:line="400" w:lineRule="exact"/>
              <w:jc w:val="center"/>
              <w:textAlignment w:val="center"/>
              <w:rPr>
                <w:rFonts w:ascii="宋体" w:hAnsi="宋体"/>
                <w:color w:val="auto"/>
                <w:sz w:val="24"/>
                <w:szCs w:val="24"/>
                <w:highlight w:val="none"/>
              </w:rPr>
            </w:pPr>
          </w:p>
        </w:tc>
      </w:tr>
      <w:tr w14:paraId="0730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44" w:type="dxa"/>
            <w:tcBorders>
              <w:top w:val="single" w:color="auto" w:sz="4" w:space="0"/>
              <w:left w:val="single" w:color="auto" w:sz="4" w:space="0"/>
              <w:bottom w:val="single" w:color="auto" w:sz="4" w:space="0"/>
              <w:right w:val="single" w:color="auto" w:sz="4" w:space="0"/>
            </w:tcBorders>
            <w:vAlign w:val="center"/>
          </w:tcPr>
          <w:p w14:paraId="05375BBC">
            <w:pPr>
              <w:spacing w:line="400" w:lineRule="exact"/>
              <w:jc w:val="center"/>
              <w:textAlignment w:val="center"/>
              <w:rPr>
                <w:rFonts w:ascii="宋体" w:hAnsi="宋体"/>
                <w:color w:val="auto"/>
                <w:sz w:val="24"/>
                <w:szCs w:val="24"/>
                <w:highlight w:val="none"/>
              </w:rPr>
            </w:pPr>
          </w:p>
        </w:tc>
        <w:tc>
          <w:tcPr>
            <w:tcW w:w="3293" w:type="dxa"/>
            <w:gridSpan w:val="3"/>
            <w:tcBorders>
              <w:top w:val="single" w:color="auto" w:sz="4" w:space="0"/>
              <w:left w:val="nil"/>
              <w:bottom w:val="single" w:color="auto" w:sz="4" w:space="0"/>
              <w:right w:val="single" w:color="auto" w:sz="4" w:space="0"/>
            </w:tcBorders>
            <w:vAlign w:val="center"/>
          </w:tcPr>
          <w:p w14:paraId="195CAFDF">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3EC34223">
            <w:pPr>
              <w:spacing w:line="400" w:lineRule="exact"/>
              <w:jc w:val="center"/>
              <w:textAlignment w:val="center"/>
              <w:rPr>
                <w:rFonts w:ascii="宋体" w:hAnsi="宋体"/>
                <w:color w:val="auto"/>
                <w:sz w:val="24"/>
                <w:szCs w:val="24"/>
                <w:highlight w:val="none"/>
              </w:rPr>
            </w:pPr>
          </w:p>
        </w:tc>
        <w:tc>
          <w:tcPr>
            <w:tcW w:w="2240" w:type="dxa"/>
            <w:tcBorders>
              <w:top w:val="single" w:color="auto" w:sz="4" w:space="0"/>
              <w:left w:val="nil"/>
              <w:bottom w:val="single" w:color="auto" w:sz="4" w:space="0"/>
              <w:right w:val="single" w:color="auto" w:sz="4" w:space="0"/>
            </w:tcBorders>
            <w:vAlign w:val="center"/>
          </w:tcPr>
          <w:p w14:paraId="11D0B57D">
            <w:pPr>
              <w:spacing w:line="400" w:lineRule="exact"/>
              <w:jc w:val="center"/>
              <w:textAlignment w:val="center"/>
              <w:rPr>
                <w:rFonts w:ascii="宋体" w:hAnsi="宋体"/>
                <w:color w:val="auto"/>
                <w:sz w:val="24"/>
                <w:szCs w:val="24"/>
                <w:highlight w:val="none"/>
              </w:rPr>
            </w:pPr>
          </w:p>
        </w:tc>
      </w:tr>
      <w:tr w14:paraId="7B7F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44" w:type="dxa"/>
            <w:tcBorders>
              <w:top w:val="single" w:color="auto" w:sz="4" w:space="0"/>
              <w:left w:val="single" w:color="auto" w:sz="4" w:space="0"/>
              <w:bottom w:val="single" w:color="auto" w:sz="4" w:space="0"/>
              <w:right w:val="single" w:color="auto" w:sz="4" w:space="0"/>
            </w:tcBorders>
            <w:vAlign w:val="center"/>
          </w:tcPr>
          <w:p w14:paraId="6EC18578">
            <w:pPr>
              <w:spacing w:line="400" w:lineRule="exact"/>
              <w:jc w:val="center"/>
              <w:textAlignment w:val="center"/>
              <w:rPr>
                <w:rFonts w:ascii="宋体" w:hAnsi="宋体"/>
                <w:color w:val="auto"/>
                <w:sz w:val="24"/>
                <w:szCs w:val="24"/>
                <w:highlight w:val="none"/>
              </w:rPr>
            </w:pPr>
          </w:p>
        </w:tc>
        <w:tc>
          <w:tcPr>
            <w:tcW w:w="3293" w:type="dxa"/>
            <w:gridSpan w:val="3"/>
            <w:tcBorders>
              <w:top w:val="single" w:color="auto" w:sz="4" w:space="0"/>
              <w:left w:val="nil"/>
              <w:bottom w:val="single" w:color="auto" w:sz="4" w:space="0"/>
              <w:right w:val="single" w:color="auto" w:sz="4" w:space="0"/>
            </w:tcBorders>
            <w:vAlign w:val="center"/>
          </w:tcPr>
          <w:p w14:paraId="173B3653">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091524B7">
            <w:pPr>
              <w:spacing w:line="400" w:lineRule="exact"/>
              <w:jc w:val="center"/>
              <w:textAlignment w:val="center"/>
              <w:rPr>
                <w:rFonts w:ascii="宋体" w:hAnsi="宋体"/>
                <w:color w:val="auto"/>
                <w:sz w:val="24"/>
                <w:szCs w:val="24"/>
                <w:highlight w:val="none"/>
              </w:rPr>
            </w:pPr>
          </w:p>
        </w:tc>
        <w:tc>
          <w:tcPr>
            <w:tcW w:w="2240" w:type="dxa"/>
            <w:tcBorders>
              <w:top w:val="single" w:color="auto" w:sz="4" w:space="0"/>
              <w:left w:val="nil"/>
              <w:bottom w:val="single" w:color="auto" w:sz="4" w:space="0"/>
              <w:right w:val="single" w:color="auto" w:sz="4" w:space="0"/>
            </w:tcBorders>
            <w:vAlign w:val="center"/>
          </w:tcPr>
          <w:p w14:paraId="070C0A57">
            <w:pPr>
              <w:spacing w:line="400" w:lineRule="exact"/>
              <w:jc w:val="center"/>
              <w:textAlignment w:val="center"/>
              <w:rPr>
                <w:rFonts w:ascii="宋体" w:hAnsi="宋体"/>
                <w:color w:val="auto"/>
                <w:sz w:val="24"/>
                <w:szCs w:val="24"/>
                <w:highlight w:val="none"/>
              </w:rPr>
            </w:pPr>
          </w:p>
        </w:tc>
      </w:tr>
      <w:tr w14:paraId="5274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044" w:type="dxa"/>
            <w:tcBorders>
              <w:top w:val="single" w:color="auto" w:sz="4" w:space="0"/>
              <w:left w:val="single" w:color="auto" w:sz="4" w:space="0"/>
              <w:bottom w:val="single" w:color="auto" w:sz="4" w:space="0"/>
              <w:right w:val="single" w:color="auto" w:sz="4" w:space="0"/>
            </w:tcBorders>
            <w:vAlign w:val="center"/>
          </w:tcPr>
          <w:p w14:paraId="27A5CD6F">
            <w:pPr>
              <w:spacing w:line="400" w:lineRule="exact"/>
              <w:jc w:val="center"/>
              <w:textAlignment w:val="center"/>
              <w:rPr>
                <w:rFonts w:ascii="宋体" w:hAnsi="宋体"/>
                <w:color w:val="auto"/>
                <w:sz w:val="24"/>
                <w:szCs w:val="24"/>
                <w:highlight w:val="none"/>
              </w:rPr>
            </w:pPr>
          </w:p>
        </w:tc>
        <w:tc>
          <w:tcPr>
            <w:tcW w:w="3293" w:type="dxa"/>
            <w:gridSpan w:val="3"/>
            <w:tcBorders>
              <w:top w:val="single" w:color="auto" w:sz="4" w:space="0"/>
              <w:left w:val="nil"/>
              <w:bottom w:val="single" w:color="auto" w:sz="4" w:space="0"/>
              <w:right w:val="single" w:color="auto" w:sz="4" w:space="0"/>
            </w:tcBorders>
            <w:vAlign w:val="center"/>
          </w:tcPr>
          <w:p w14:paraId="0D998D43">
            <w:pPr>
              <w:spacing w:line="400" w:lineRule="exact"/>
              <w:jc w:val="center"/>
              <w:textAlignment w:val="center"/>
              <w:rPr>
                <w:rFonts w:ascii="宋体" w:hAnsi="宋体"/>
                <w:color w:val="auto"/>
                <w:sz w:val="24"/>
                <w:szCs w:val="24"/>
                <w:highlight w:val="none"/>
              </w:rPr>
            </w:pPr>
          </w:p>
        </w:tc>
        <w:tc>
          <w:tcPr>
            <w:tcW w:w="1764" w:type="dxa"/>
            <w:tcBorders>
              <w:top w:val="single" w:color="auto" w:sz="4" w:space="0"/>
              <w:left w:val="nil"/>
              <w:bottom w:val="single" w:color="auto" w:sz="4" w:space="0"/>
              <w:right w:val="single" w:color="auto" w:sz="4" w:space="0"/>
            </w:tcBorders>
            <w:vAlign w:val="center"/>
          </w:tcPr>
          <w:p w14:paraId="17A73D58">
            <w:pPr>
              <w:spacing w:line="400" w:lineRule="exact"/>
              <w:jc w:val="center"/>
              <w:textAlignment w:val="center"/>
              <w:rPr>
                <w:rFonts w:ascii="宋体" w:hAnsi="宋体"/>
                <w:color w:val="auto"/>
                <w:sz w:val="24"/>
                <w:szCs w:val="24"/>
                <w:highlight w:val="none"/>
              </w:rPr>
            </w:pPr>
          </w:p>
        </w:tc>
        <w:tc>
          <w:tcPr>
            <w:tcW w:w="2240" w:type="dxa"/>
            <w:tcBorders>
              <w:top w:val="single" w:color="auto" w:sz="4" w:space="0"/>
              <w:left w:val="nil"/>
              <w:bottom w:val="single" w:color="auto" w:sz="4" w:space="0"/>
              <w:right w:val="single" w:color="auto" w:sz="4" w:space="0"/>
            </w:tcBorders>
            <w:vAlign w:val="center"/>
          </w:tcPr>
          <w:p w14:paraId="732FEBD7">
            <w:pPr>
              <w:spacing w:line="400" w:lineRule="exact"/>
              <w:jc w:val="center"/>
              <w:textAlignment w:val="center"/>
              <w:rPr>
                <w:rFonts w:ascii="宋体" w:hAnsi="宋体"/>
                <w:color w:val="auto"/>
                <w:sz w:val="24"/>
                <w:szCs w:val="24"/>
                <w:highlight w:val="none"/>
              </w:rPr>
            </w:pPr>
          </w:p>
        </w:tc>
      </w:tr>
    </w:tbl>
    <w:p w14:paraId="56B377F7">
      <w:pPr>
        <w:spacing w:line="480" w:lineRule="exact"/>
        <w:textAlignment w:val="center"/>
        <w:rPr>
          <w:rFonts w:ascii="宋体" w:hAnsi="宋体"/>
          <w:color w:val="auto"/>
          <w:sz w:val="24"/>
          <w:szCs w:val="24"/>
          <w:highlight w:val="none"/>
        </w:rPr>
      </w:pPr>
    </w:p>
    <w:p w14:paraId="40811935">
      <w:pPr>
        <w:spacing w:line="480" w:lineRule="exact"/>
        <w:textAlignment w:val="center"/>
        <w:rPr>
          <w:rFonts w:ascii="宋体" w:hAnsi="宋体"/>
          <w:color w:val="auto"/>
          <w:sz w:val="24"/>
          <w:szCs w:val="24"/>
          <w:highlight w:val="none"/>
        </w:rPr>
      </w:pPr>
    </w:p>
    <w:p w14:paraId="4DDA0911">
      <w:pPr>
        <w:spacing w:line="480" w:lineRule="exact"/>
        <w:textAlignment w:val="center"/>
        <w:rPr>
          <w:rFonts w:ascii="宋体" w:hAnsi="宋体"/>
          <w:color w:val="auto"/>
          <w:sz w:val="24"/>
          <w:szCs w:val="24"/>
          <w:highlight w:val="none"/>
        </w:rPr>
      </w:pPr>
    </w:p>
    <w:p w14:paraId="594FAD7B">
      <w:pPr>
        <w:spacing w:line="480" w:lineRule="exact"/>
        <w:textAlignment w:val="center"/>
        <w:rPr>
          <w:rFonts w:ascii="宋体" w:hAnsi="宋体"/>
          <w:color w:val="auto"/>
          <w:sz w:val="24"/>
          <w:szCs w:val="24"/>
          <w:highlight w:val="none"/>
        </w:rPr>
      </w:pPr>
    </w:p>
    <w:p w14:paraId="1950D299">
      <w:pPr>
        <w:pStyle w:val="16"/>
        <w:ind w:left="63" w:right="63" w:firstLine="540"/>
        <w:rPr>
          <w:color w:val="auto"/>
          <w:highlight w:val="none"/>
        </w:rPr>
      </w:pPr>
    </w:p>
    <w:p w14:paraId="6392A74B">
      <w:pPr>
        <w:spacing w:line="480" w:lineRule="exact"/>
        <w:textAlignment w:val="center"/>
        <w:rPr>
          <w:rFonts w:ascii="宋体" w:hAnsi="宋体"/>
          <w:color w:val="auto"/>
          <w:sz w:val="24"/>
          <w:szCs w:val="24"/>
          <w:highlight w:val="none"/>
        </w:rPr>
      </w:pPr>
    </w:p>
    <w:p w14:paraId="0C95FF57">
      <w:pPr>
        <w:spacing w:line="480" w:lineRule="exact"/>
        <w:textAlignment w:val="center"/>
        <w:rPr>
          <w:rFonts w:ascii="仿宋_GB2312" w:hAnsi="宋体" w:eastAsia="仿宋_GB2312"/>
          <w:color w:val="auto"/>
          <w:sz w:val="24"/>
          <w:szCs w:val="24"/>
          <w:highlight w:val="none"/>
        </w:rPr>
      </w:pPr>
    </w:p>
    <w:p w14:paraId="26160B99">
      <w:pPr>
        <w:spacing w:line="480" w:lineRule="exact"/>
        <w:jc w:val="center"/>
        <w:textAlignment w:val="center"/>
        <w:rPr>
          <w:rFonts w:ascii="宋体" w:hAnsi="宋体"/>
          <w:color w:val="auto"/>
          <w:sz w:val="28"/>
          <w:szCs w:val="28"/>
          <w:highlight w:val="none"/>
        </w:rPr>
      </w:pPr>
    </w:p>
    <w:p w14:paraId="70E44742">
      <w:pPr>
        <w:spacing w:line="480" w:lineRule="exact"/>
        <w:jc w:val="center"/>
        <w:textAlignment w:val="center"/>
        <w:rPr>
          <w:rFonts w:ascii="宋体" w:hAnsi="宋体"/>
          <w:color w:val="auto"/>
          <w:sz w:val="28"/>
          <w:szCs w:val="28"/>
          <w:highlight w:val="none"/>
        </w:rPr>
      </w:pPr>
    </w:p>
    <w:p w14:paraId="0EC23B65">
      <w:pPr>
        <w:spacing w:line="480" w:lineRule="exact"/>
        <w:textAlignment w:val="center"/>
        <w:rPr>
          <w:rFonts w:ascii="宋体" w:hAnsi="宋体"/>
          <w:color w:val="auto"/>
          <w:sz w:val="28"/>
          <w:szCs w:val="28"/>
          <w:highlight w:val="none"/>
        </w:rPr>
      </w:pPr>
    </w:p>
    <w:p w14:paraId="2E7F2F37">
      <w:pPr>
        <w:spacing w:line="480" w:lineRule="exact"/>
        <w:jc w:val="center"/>
        <w:textAlignment w:val="center"/>
        <w:rPr>
          <w:rFonts w:ascii="宋体" w:hAnsi="宋体"/>
          <w:b/>
          <w:bCs/>
          <w:color w:val="auto"/>
          <w:sz w:val="28"/>
          <w:szCs w:val="28"/>
          <w:highlight w:val="none"/>
        </w:rPr>
      </w:pPr>
      <w:r>
        <w:rPr>
          <w:rFonts w:hint="eastAsia" w:ascii="宋体" w:hAnsi="宋体"/>
          <w:b/>
          <w:bCs/>
          <w:color w:val="auto"/>
          <w:sz w:val="28"/>
          <w:szCs w:val="28"/>
          <w:highlight w:val="none"/>
        </w:rPr>
        <w:t>六、企业基本情况资料</w:t>
      </w:r>
    </w:p>
    <w:p w14:paraId="69C38B57">
      <w:pPr>
        <w:pStyle w:val="4"/>
        <w:keepLines w:val="0"/>
        <w:widowControl/>
        <w:spacing w:line="420" w:lineRule="exact"/>
        <w:ind w:firstLine="3120" w:firstLineChars="1300"/>
        <w:rPr>
          <w:rFonts w:ascii="宋体" w:hAnsi="宋体"/>
          <w:b w:val="0"/>
          <w:bCs w:val="0"/>
          <w:color w:val="auto"/>
          <w:sz w:val="24"/>
          <w:szCs w:val="24"/>
          <w:highlight w:val="none"/>
        </w:rPr>
      </w:pPr>
      <w:bookmarkStart w:id="324" w:name="_Toc392837523"/>
      <w:bookmarkEnd w:id="324"/>
      <w:r>
        <w:rPr>
          <w:rFonts w:hint="eastAsia" w:ascii="宋体" w:hAnsi="宋体"/>
          <w:b w:val="0"/>
          <w:bCs w:val="0"/>
          <w:color w:val="auto"/>
          <w:sz w:val="24"/>
          <w:szCs w:val="24"/>
          <w:highlight w:val="none"/>
        </w:rPr>
        <w:t>（一）磋商</w:t>
      </w:r>
      <w:r>
        <w:rPr>
          <w:rFonts w:hint="eastAsia" w:ascii="宋体" w:hAnsi="宋体"/>
          <w:b w:val="0"/>
          <w:bCs w:val="0"/>
          <w:color w:val="auto"/>
          <w:sz w:val="24"/>
          <w:szCs w:val="24"/>
          <w:highlight w:val="none"/>
          <w:lang w:eastAsia="zh-CN"/>
        </w:rPr>
        <w:t>供应商</w:t>
      </w:r>
      <w:r>
        <w:rPr>
          <w:rFonts w:hint="eastAsia" w:ascii="宋体" w:hAnsi="宋体"/>
          <w:b w:val="0"/>
          <w:bCs w:val="0"/>
          <w:color w:val="auto"/>
          <w:sz w:val="24"/>
          <w:szCs w:val="24"/>
          <w:highlight w:val="none"/>
        </w:rPr>
        <w:t>基本情况表</w:t>
      </w:r>
    </w:p>
    <w:tbl>
      <w:tblPr>
        <w:tblStyle w:val="17"/>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1186"/>
        <w:gridCol w:w="981"/>
        <w:gridCol w:w="1154"/>
        <w:gridCol w:w="65"/>
        <w:gridCol w:w="1246"/>
        <w:gridCol w:w="396"/>
        <w:gridCol w:w="773"/>
        <w:gridCol w:w="1134"/>
      </w:tblGrid>
      <w:tr w14:paraId="4C6E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0F7F1F9">
            <w:pPr>
              <w:jc w:val="center"/>
              <w:rPr>
                <w:rFonts w:hint="eastAsia" w:ascii="宋体" w:hAnsi="宋体" w:eastAsia="宋体"/>
                <w:color w:val="auto"/>
                <w:highlight w:val="none"/>
                <w:lang w:eastAsia="zh-CN"/>
              </w:rPr>
            </w:pPr>
            <w:r>
              <w:rPr>
                <w:rFonts w:hint="eastAsia" w:ascii="宋体" w:hAnsi="宋体"/>
                <w:color w:val="auto"/>
                <w:highlight w:val="none"/>
              </w:rPr>
              <w:t>磋商</w:t>
            </w:r>
            <w:r>
              <w:rPr>
                <w:rFonts w:hint="eastAsia" w:ascii="宋体" w:hAnsi="宋体"/>
                <w:color w:val="auto"/>
                <w:highlight w:val="none"/>
                <w:lang w:eastAsia="zh-CN"/>
              </w:rPr>
              <w:t>供应商</w:t>
            </w:r>
          </w:p>
          <w:p w14:paraId="33810367">
            <w:pPr>
              <w:jc w:val="center"/>
              <w:rPr>
                <w:rFonts w:ascii="宋体" w:hAnsi="宋体"/>
                <w:color w:val="auto"/>
                <w:szCs w:val="21"/>
                <w:highlight w:val="none"/>
              </w:rPr>
            </w:pPr>
            <w:r>
              <w:rPr>
                <w:rFonts w:hint="eastAsia" w:ascii="宋体" w:hAnsi="宋体"/>
                <w:color w:val="auto"/>
                <w:highlight w:val="none"/>
              </w:rPr>
              <w:t>名称</w:t>
            </w:r>
          </w:p>
        </w:tc>
        <w:tc>
          <w:tcPr>
            <w:tcW w:w="6935" w:type="dxa"/>
            <w:gridSpan w:val="8"/>
            <w:tcBorders>
              <w:top w:val="single" w:color="auto" w:sz="4" w:space="0"/>
              <w:left w:val="nil"/>
              <w:bottom w:val="single" w:color="auto" w:sz="4" w:space="0"/>
              <w:right w:val="single" w:color="auto" w:sz="4" w:space="0"/>
            </w:tcBorders>
            <w:vAlign w:val="center"/>
          </w:tcPr>
          <w:p w14:paraId="2FAF5B4F">
            <w:pPr>
              <w:jc w:val="center"/>
              <w:rPr>
                <w:rFonts w:ascii="宋体" w:hAnsi="宋体"/>
                <w:color w:val="auto"/>
                <w:szCs w:val="21"/>
                <w:highlight w:val="none"/>
              </w:rPr>
            </w:pPr>
          </w:p>
        </w:tc>
      </w:tr>
      <w:tr w14:paraId="7805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F39B357">
            <w:pPr>
              <w:jc w:val="center"/>
              <w:rPr>
                <w:rFonts w:ascii="宋体" w:hAnsi="宋体"/>
                <w:color w:val="auto"/>
                <w:szCs w:val="21"/>
                <w:highlight w:val="none"/>
              </w:rPr>
            </w:pPr>
            <w:r>
              <w:rPr>
                <w:rFonts w:hint="eastAsia" w:ascii="宋体" w:hAnsi="宋体"/>
                <w:color w:val="auto"/>
                <w:highlight w:val="none"/>
              </w:rPr>
              <w:t>注册地址</w:t>
            </w:r>
          </w:p>
        </w:tc>
        <w:tc>
          <w:tcPr>
            <w:tcW w:w="3386" w:type="dxa"/>
            <w:gridSpan w:val="4"/>
            <w:tcBorders>
              <w:top w:val="single" w:color="auto" w:sz="4" w:space="0"/>
              <w:left w:val="nil"/>
              <w:bottom w:val="single" w:color="auto" w:sz="4" w:space="0"/>
              <w:right w:val="single" w:color="auto" w:sz="4" w:space="0"/>
            </w:tcBorders>
            <w:vAlign w:val="center"/>
          </w:tcPr>
          <w:p w14:paraId="022A72E3">
            <w:pPr>
              <w:jc w:val="center"/>
              <w:rPr>
                <w:rFonts w:ascii="宋体" w:hAnsi="宋体"/>
                <w:color w:val="auto"/>
                <w:szCs w:val="21"/>
                <w:highlight w:val="none"/>
              </w:rPr>
            </w:pPr>
          </w:p>
        </w:tc>
        <w:tc>
          <w:tcPr>
            <w:tcW w:w="1246" w:type="dxa"/>
            <w:tcBorders>
              <w:top w:val="single" w:color="auto" w:sz="4" w:space="0"/>
              <w:left w:val="nil"/>
              <w:bottom w:val="single" w:color="auto" w:sz="4" w:space="0"/>
              <w:right w:val="single" w:color="auto" w:sz="4" w:space="0"/>
            </w:tcBorders>
            <w:vAlign w:val="center"/>
          </w:tcPr>
          <w:p w14:paraId="3F9016C2">
            <w:pPr>
              <w:jc w:val="center"/>
              <w:rPr>
                <w:rFonts w:ascii="宋体" w:hAnsi="宋体"/>
                <w:color w:val="auto"/>
                <w:szCs w:val="21"/>
                <w:highlight w:val="none"/>
              </w:rPr>
            </w:pPr>
            <w:r>
              <w:rPr>
                <w:rFonts w:hint="eastAsia" w:ascii="宋体" w:hAnsi="宋体"/>
                <w:color w:val="auto"/>
                <w:highlight w:val="none"/>
              </w:rPr>
              <w:t>邮政编码</w:t>
            </w:r>
          </w:p>
        </w:tc>
        <w:tc>
          <w:tcPr>
            <w:tcW w:w="2303" w:type="dxa"/>
            <w:gridSpan w:val="3"/>
            <w:tcBorders>
              <w:top w:val="single" w:color="auto" w:sz="4" w:space="0"/>
              <w:left w:val="nil"/>
              <w:bottom w:val="single" w:color="auto" w:sz="4" w:space="0"/>
              <w:right w:val="single" w:color="auto" w:sz="4" w:space="0"/>
            </w:tcBorders>
            <w:vAlign w:val="center"/>
          </w:tcPr>
          <w:p w14:paraId="7B45288E">
            <w:pPr>
              <w:jc w:val="center"/>
              <w:rPr>
                <w:rFonts w:ascii="宋体" w:hAnsi="宋体"/>
                <w:color w:val="auto"/>
                <w:szCs w:val="21"/>
                <w:highlight w:val="none"/>
              </w:rPr>
            </w:pPr>
          </w:p>
        </w:tc>
      </w:tr>
      <w:tr w14:paraId="4505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vMerge w:val="restart"/>
            <w:tcBorders>
              <w:top w:val="nil"/>
              <w:left w:val="single" w:color="auto" w:sz="4" w:space="0"/>
              <w:bottom w:val="single" w:color="auto" w:sz="4" w:space="0"/>
              <w:right w:val="single" w:color="auto" w:sz="4" w:space="0"/>
            </w:tcBorders>
            <w:vAlign w:val="center"/>
          </w:tcPr>
          <w:p w14:paraId="58E6ED59">
            <w:pPr>
              <w:jc w:val="center"/>
              <w:rPr>
                <w:rFonts w:ascii="宋体" w:hAnsi="宋体"/>
                <w:color w:val="auto"/>
                <w:szCs w:val="21"/>
                <w:highlight w:val="none"/>
              </w:rPr>
            </w:pPr>
            <w:r>
              <w:rPr>
                <w:rFonts w:hint="eastAsia" w:ascii="宋体" w:hAnsi="宋体"/>
                <w:color w:val="auto"/>
                <w:highlight w:val="none"/>
              </w:rPr>
              <w:t>联系方式</w:t>
            </w:r>
          </w:p>
        </w:tc>
        <w:tc>
          <w:tcPr>
            <w:tcW w:w="1186" w:type="dxa"/>
            <w:tcBorders>
              <w:top w:val="single" w:color="auto" w:sz="4" w:space="0"/>
              <w:left w:val="nil"/>
              <w:bottom w:val="single" w:color="auto" w:sz="4" w:space="0"/>
              <w:right w:val="single" w:color="auto" w:sz="4" w:space="0"/>
            </w:tcBorders>
            <w:vAlign w:val="center"/>
          </w:tcPr>
          <w:p w14:paraId="449A8BFE">
            <w:pPr>
              <w:jc w:val="center"/>
              <w:rPr>
                <w:rFonts w:ascii="宋体" w:hAnsi="宋体"/>
                <w:color w:val="auto"/>
                <w:szCs w:val="21"/>
                <w:highlight w:val="none"/>
              </w:rPr>
            </w:pPr>
            <w:r>
              <w:rPr>
                <w:rFonts w:hint="eastAsia" w:ascii="宋体" w:hAnsi="宋体"/>
                <w:color w:val="auto"/>
                <w:highlight w:val="none"/>
              </w:rPr>
              <w:t>联系人</w:t>
            </w:r>
          </w:p>
        </w:tc>
        <w:tc>
          <w:tcPr>
            <w:tcW w:w="2200" w:type="dxa"/>
            <w:gridSpan w:val="3"/>
            <w:tcBorders>
              <w:top w:val="single" w:color="auto" w:sz="4" w:space="0"/>
              <w:left w:val="nil"/>
              <w:bottom w:val="single" w:color="auto" w:sz="4" w:space="0"/>
              <w:right w:val="single" w:color="auto" w:sz="4" w:space="0"/>
            </w:tcBorders>
            <w:vAlign w:val="center"/>
          </w:tcPr>
          <w:p w14:paraId="71F9ED44">
            <w:pPr>
              <w:jc w:val="center"/>
              <w:rPr>
                <w:rFonts w:ascii="宋体" w:hAnsi="宋体"/>
                <w:color w:val="auto"/>
                <w:szCs w:val="21"/>
                <w:highlight w:val="none"/>
              </w:rPr>
            </w:pPr>
          </w:p>
        </w:tc>
        <w:tc>
          <w:tcPr>
            <w:tcW w:w="1246" w:type="dxa"/>
            <w:tcBorders>
              <w:top w:val="single" w:color="auto" w:sz="4" w:space="0"/>
              <w:left w:val="nil"/>
              <w:bottom w:val="single" w:color="auto" w:sz="4" w:space="0"/>
              <w:right w:val="single" w:color="auto" w:sz="4" w:space="0"/>
            </w:tcBorders>
            <w:vAlign w:val="center"/>
          </w:tcPr>
          <w:p w14:paraId="245C0AA5">
            <w:pPr>
              <w:jc w:val="center"/>
              <w:rPr>
                <w:rFonts w:ascii="宋体" w:hAnsi="宋体"/>
                <w:color w:val="auto"/>
                <w:szCs w:val="21"/>
                <w:highlight w:val="none"/>
              </w:rPr>
            </w:pPr>
            <w:r>
              <w:rPr>
                <w:rFonts w:hint="eastAsia" w:ascii="宋体" w:hAnsi="宋体"/>
                <w:color w:val="auto"/>
                <w:highlight w:val="none"/>
              </w:rPr>
              <w:t>电  话</w:t>
            </w:r>
          </w:p>
        </w:tc>
        <w:tc>
          <w:tcPr>
            <w:tcW w:w="2303" w:type="dxa"/>
            <w:gridSpan w:val="3"/>
            <w:tcBorders>
              <w:top w:val="single" w:color="auto" w:sz="4" w:space="0"/>
              <w:left w:val="nil"/>
              <w:bottom w:val="single" w:color="auto" w:sz="4" w:space="0"/>
              <w:right w:val="single" w:color="auto" w:sz="4" w:space="0"/>
            </w:tcBorders>
            <w:vAlign w:val="center"/>
          </w:tcPr>
          <w:p w14:paraId="3BC81117">
            <w:pPr>
              <w:jc w:val="center"/>
              <w:rPr>
                <w:rFonts w:ascii="宋体" w:hAnsi="宋体"/>
                <w:color w:val="auto"/>
                <w:szCs w:val="21"/>
                <w:highlight w:val="none"/>
              </w:rPr>
            </w:pPr>
          </w:p>
        </w:tc>
      </w:tr>
      <w:tr w14:paraId="10DB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vMerge w:val="continue"/>
            <w:tcBorders>
              <w:top w:val="nil"/>
              <w:left w:val="single" w:color="auto" w:sz="4" w:space="0"/>
              <w:bottom w:val="single" w:color="auto" w:sz="4" w:space="0"/>
              <w:right w:val="single" w:color="auto" w:sz="4" w:space="0"/>
            </w:tcBorders>
            <w:vAlign w:val="center"/>
          </w:tcPr>
          <w:p w14:paraId="50F6CFBD">
            <w:pPr>
              <w:widowControl/>
              <w:jc w:val="left"/>
              <w:rPr>
                <w:rFonts w:ascii="宋体" w:hAnsi="宋体"/>
                <w:color w:val="auto"/>
                <w:szCs w:val="21"/>
                <w:highlight w:val="none"/>
              </w:rPr>
            </w:pPr>
          </w:p>
        </w:tc>
        <w:tc>
          <w:tcPr>
            <w:tcW w:w="1186" w:type="dxa"/>
            <w:tcBorders>
              <w:top w:val="single" w:color="auto" w:sz="4" w:space="0"/>
              <w:left w:val="nil"/>
              <w:bottom w:val="single" w:color="auto" w:sz="4" w:space="0"/>
              <w:right w:val="single" w:color="auto" w:sz="4" w:space="0"/>
            </w:tcBorders>
            <w:vAlign w:val="center"/>
          </w:tcPr>
          <w:p w14:paraId="64B6EC28">
            <w:pPr>
              <w:jc w:val="center"/>
              <w:rPr>
                <w:rFonts w:ascii="宋体" w:hAnsi="宋体"/>
                <w:color w:val="auto"/>
                <w:szCs w:val="21"/>
                <w:highlight w:val="none"/>
              </w:rPr>
            </w:pPr>
            <w:r>
              <w:rPr>
                <w:rFonts w:hint="eastAsia" w:ascii="宋体" w:hAnsi="宋体"/>
                <w:color w:val="auto"/>
                <w:highlight w:val="none"/>
              </w:rPr>
              <w:t>电子邮件</w:t>
            </w:r>
          </w:p>
        </w:tc>
        <w:tc>
          <w:tcPr>
            <w:tcW w:w="5749" w:type="dxa"/>
            <w:gridSpan w:val="7"/>
            <w:tcBorders>
              <w:top w:val="single" w:color="auto" w:sz="4" w:space="0"/>
              <w:left w:val="nil"/>
              <w:bottom w:val="single" w:color="auto" w:sz="4" w:space="0"/>
              <w:right w:val="single" w:color="auto" w:sz="4" w:space="0"/>
            </w:tcBorders>
            <w:vAlign w:val="center"/>
          </w:tcPr>
          <w:p w14:paraId="3E508327">
            <w:pPr>
              <w:jc w:val="center"/>
              <w:rPr>
                <w:rFonts w:ascii="宋体" w:hAnsi="宋体"/>
                <w:color w:val="auto"/>
                <w:szCs w:val="21"/>
                <w:highlight w:val="none"/>
              </w:rPr>
            </w:pPr>
          </w:p>
        </w:tc>
      </w:tr>
      <w:tr w14:paraId="654E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1AE5B989">
            <w:pPr>
              <w:jc w:val="center"/>
              <w:rPr>
                <w:rFonts w:ascii="宋体" w:hAnsi="宋体"/>
                <w:color w:val="auto"/>
                <w:szCs w:val="21"/>
                <w:highlight w:val="none"/>
              </w:rPr>
            </w:pPr>
            <w:r>
              <w:rPr>
                <w:rFonts w:hint="eastAsia" w:ascii="宋体" w:hAnsi="宋体"/>
                <w:color w:val="auto"/>
                <w:highlight w:val="none"/>
              </w:rPr>
              <w:t>组织机构</w:t>
            </w:r>
          </w:p>
        </w:tc>
        <w:tc>
          <w:tcPr>
            <w:tcW w:w="6935" w:type="dxa"/>
            <w:gridSpan w:val="8"/>
            <w:tcBorders>
              <w:top w:val="single" w:color="auto" w:sz="4" w:space="0"/>
              <w:left w:val="nil"/>
              <w:bottom w:val="single" w:color="auto" w:sz="4" w:space="0"/>
              <w:right w:val="single" w:color="auto" w:sz="4" w:space="0"/>
            </w:tcBorders>
            <w:vAlign w:val="center"/>
          </w:tcPr>
          <w:p w14:paraId="181A0C65">
            <w:pPr>
              <w:jc w:val="center"/>
              <w:rPr>
                <w:rFonts w:ascii="宋体" w:hAnsi="宋体"/>
                <w:color w:val="auto"/>
                <w:szCs w:val="21"/>
                <w:highlight w:val="none"/>
              </w:rPr>
            </w:pPr>
          </w:p>
        </w:tc>
      </w:tr>
      <w:tr w14:paraId="4C4E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460E8D67">
            <w:pPr>
              <w:jc w:val="center"/>
              <w:rPr>
                <w:rFonts w:ascii="宋体" w:hAnsi="宋体"/>
                <w:color w:val="auto"/>
                <w:szCs w:val="21"/>
                <w:highlight w:val="none"/>
              </w:rPr>
            </w:pPr>
            <w:r>
              <w:rPr>
                <w:rFonts w:hint="eastAsia" w:ascii="宋体" w:hAnsi="宋体"/>
                <w:color w:val="auto"/>
                <w:highlight w:val="none"/>
              </w:rPr>
              <w:t>法定代表人</w:t>
            </w:r>
          </w:p>
        </w:tc>
        <w:tc>
          <w:tcPr>
            <w:tcW w:w="1186" w:type="dxa"/>
            <w:tcBorders>
              <w:top w:val="single" w:color="auto" w:sz="4" w:space="0"/>
              <w:left w:val="nil"/>
              <w:bottom w:val="single" w:color="auto" w:sz="4" w:space="0"/>
              <w:right w:val="single" w:color="auto" w:sz="4" w:space="0"/>
            </w:tcBorders>
            <w:vAlign w:val="center"/>
          </w:tcPr>
          <w:p w14:paraId="201F1FB9">
            <w:pPr>
              <w:jc w:val="center"/>
              <w:rPr>
                <w:rFonts w:ascii="宋体" w:hAnsi="宋体"/>
                <w:color w:val="auto"/>
                <w:szCs w:val="21"/>
                <w:highlight w:val="none"/>
              </w:rPr>
            </w:pPr>
            <w:r>
              <w:rPr>
                <w:rFonts w:hint="eastAsia" w:ascii="宋体" w:hAnsi="宋体"/>
                <w:color w:val="auto"/>
                <w:highlight w:val="none"/>
              </w:rPr>
              <w:t>姓名</w:t>
            </w:r>
          </w:p>
        </w:tc>
        <w:tc>
          <w:tcPr>
            <w:tcW w:w="981" w:type="dxa"/>
            <w:tcBorders>
              <w:top w:val="single" w:color="auto" w:sz="4" w:space="0"/>
              <w:left w:val="nil"/>
              <w:bottom w:val="single" w:color="auto" w:sz="4" w:space="0"/>
              <w:right w:val="single" w:color="auto" w:sz="4" w:space="0"/>
            </w:tcBorders>
            <w:vAlign w:val="center"/>
          </w:tcPr>
          <w:p w14:paraId="2C306FCA">
            <w:pPr>
              <w:jc w:val="center"/>
              <w:rPr>
                <w:rFonts w:ascii="宋体" w:hAnsi="宋体"/>
                <w:color w:val="auto"/>
                <w:szCs w:val="21"/>
                <w:highlight w:val="none"/>
              </w:rPr>
            </w:pPr>
          </w:p>
        </w:tc>
        <w:tc>
          <w:tcPr>
            <w:tcW w:w="1219" w:type="dxa"/>
            <w:gridSpan w:val="2"/>
            <w:tcBorders>
              <w:top w:val="single" w:color="auto" w:sz="4" w:space="0"/>
              <w:left w:val="nil"/>
              <w:bottom w:val="single" w:color="auto" w:sz="4" w:space="0"/>
              <w:right w:val="single" w:color="auto" w:sz="4" w:space="0"/>
            </w:tcBorders>
            <w:vAlign w:val="center"/>
          </w:tcPr>
          <w:p w14:paraId="71F9329D">
            <w:pPr>
              <w:jc w:val="center"/>
              <w:rPr>
                <w:rFonts w:ascii="宋体" w:hAnsi="宋体"/>
                <w:color w:val="auto"/>
                <w:szCs w:val="21"/>
                <w:highlight w:val="none"/>
              </w:rPr>
            </w:pPr>
            <w:r>
              <w:rPr>
                <w:rFonts w:hint="eastAsia" w:ascii="宋体" w:hAnsi="宋体"/>
                <w:color w:val="auto"/>
                <w:highlight w:val="none"/>
              </w:rPr>
              <w:t>技术职称</w:t>
            </w:r>
          </w:p>
        </w:tc>
        <w:tc>
          <w:tcPr>
            <w:tcW w:w="1642" w:type="dxa"/>
            <w:gridSpan w:val="2"/>
            <w:tcBorders>
              <w:top w:val="single" w:color="auto" w:sz="4" w:space="0"/>
              <w:left w:val="nil"/>
              <w:bottom w:val="single" w:color="auto" w:sz="4" w:space="0"/>
              <w:right w:val="single" w:color="auto" w:sz="4" w:space="0"/>
            </w:tcBorders>
            <w:vAlign w:val="center"/>
          </w:tcPr>
          <w:p w14:paraId="42F09A40">
            <w:pPr>
              <w:jc w:val="center"/>
              <w:rPr>
                <w:rFonts w:ascii="宋体" w:hAnsi="宋体"/>
                <w:color w:val="auto"/>
                <w:szCs w:val="21"/>
                <w:highlight w:val="none"/>
              </w:rPr>
            </w:pPr>
          </w:p>
        </w:tc>
        <w:tc>
          <w:tcPr>
            <w:tcW w:w="773" w:type="dxa"/>
            <w:tcBorders>
              <w:top w:val="single" w:color="auto" w:sz="4" w:space="0"/>
              <w:left w:val="nil"/>
              <w:bottom w:val="single" w:color="auto" w:sz="4" w:space="0"/>
              <w:right w:val="single" w:color="auto" w:sz="4" w:space="0"/>
            </w:tcBorders>
            <w:vAlign w:val="center"/>
          </w:tcPr>
          <w:p w14:paraId="5ABB3AB0">
            <w:pPr>
              <w:jc w:val="center"/>
              <w:rPr>
                <w:rFonts w:ascii="宋体" w:hAnsi="宋体"/>
                <w:color w:val="auto"/>
                <w:szCs w:val="21"/>
                <w:highlight w:val="none"/>
              </w:rPr>
            </w:pPr>
            <w:r>
              <w:rPr>
                <w:rFonts w:hint="eastAsia" w:ascii="宋体" w:hAnsi="宋体"/>
                <w:color w:val="auto"/>
                <w:highlight w:val="none"/>
              </w:rPr>
              <w:t>电话</w:t>
            </w:r>
          </w:p>
        </w:tc>
        <w:tc>
          <w:tcPr>
            <w:tcW w:w="1134" w:type="dxa"/>
            <w:tcBorders>
              <w:top w:val="single" w:color="auto" w:sz="4" w:space="0"/>
              <w:left w:val="nil"/>
              <w:bottom w:val="single" w:color="auto" w:sz="4" w:space="0"/>
              <w:right w:val="single" w:color="auto" w:sz="4" w:space="0"/>
            </w:tcBorders>
            <w:vAlign w:val="center"/>
          </w:tcPr>
          <w:p w14:paraId="02720C1F">
            <w:pPr>
              <w:jc w:val="center"/>
              <w:rPr>
                <w:rFonts w:ascii="宋体" w:hAnsi="宋体"/>
                <w:color w:val="auto"/>
                <w:szCs w:val="21"/>
                <w:highlight w:val="none"/>
              </w:rPr>
            </w:pPr>
          </w:p>
        </w:tc>
      </w:tr>
      <w:tr w14:paraId="70E5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2D5D98E5">
            <w:pPr>
              <w:jc w:val="center"/>
              <w:rPr>
                <w:rFonts w:ascii="宋体" w:hAnsi="宋体"/>
                <w:color w:val="auto"/>
                <w:szCs w:val="21"/>
                <w:highlight w:val="none"/>
              </w:rPr>
            </w:pPr>
            <w:r>
              <w:rPr>
                <w:rFonts w:hint="eastAsia" w:ascii="宋体" w:hAnsi="宋体"/>
                <w:color w:val="auto"/>
                <w:highlight w:val="none"/>
              </w:rPr>
              <w:t>技术负责人</w:t>
            </w:r>
          </w:p>
        </w:tc>
        <w:tc>
          <w:tcPr>
            <w:tcW w:w="1186" w:type="dxa"/>
            <w:tcBorders>
              <w:top w:val="single" w:color="auto" w:sz="4" w:space="0"/>
              <w:left w:val="nil"/>
              <w:bottom w:val="single" w:color="auto" w:sz="4" w:space="0"/>
              <w:right w:val="single" w:color="auto" w:sz="4" w:space="0"/>
            </w:tcBorders>
            <w:vAlign w:val="center"/>
          </w:tcPr>
          <w:p w14:paraId="2C2E8758">
            <w:pPr>
              <w:jc w:val="center"/>
              <w:rPr>
                <w:rFonts w:ascii="宋体" w:hAnsi="宋体"/>
                <w:color w:val="auto"/>
                <w:szCs w:val="21"/>
                <w:highlight w:val="none"/>
              </w:rPr>
            </w:pPr>
            <w:r>
              <w:rPr>
                <w:rFonts w:hint="eastAsia" w:ascii="宋体" w:hAnsi="宋体"/>
                <w:color w:val="auto"/>
                <w:highlight w:val="none"/>
              </w:rPr>
              <w:t>姓名</w:t>
            </w:r>
          </w:p>
        </w:tc>
        <w:tc>
          <w:tcPr>
            <w:tcW w:w="981" w:type="dxa"/>
            <w:tcBorders>
              <w:top w:val="single" w:color="auto" w:sz="4" w:space="0"/>
              <w:left w:val="nil"/>
              <w:bottom w:val="single" w:color="auto" w:sz="4" w:space="0"/>
              <w:right w:val="single" w:color="auto" w:sz="4" w:space="0"/>
            </w:tcBorders>
            <w:vAlign w:val="center"/>
          </w:tcPr>
          <w:p w14:paraId="667D3D07">
            <w:pPr>
              <w:jc w:val="center"/>
              <w:rPr>
                <w:rFonts w:ascii="宋体" w:hAnsi="宋体"/>
                <w:color w:val="auto"/>
                <w:szCs w:val="21"/>
                <w:highlight w:val="none"/>
              </w:rPr>
            </w:pPr>
          </w:p>
        </w:tc>
        <w:tc>
          <w:tcPr>
            <w:tcW w:w="1219" w:type="dxa"/>
            <w:gridSpan w:val="2"/>
            <w:tcBorders>
              <w:top w:val="single" w:color="auto" w:sz="4" w:space="0"/>
              <w:left w:val="nil"/>
              <w:bottom w:val="single" w:color="auto" w:sz="4" w:space="0"/>
              <w:right w:val="single" w:color="auto" w:sz="4" w:space="0"/>
            </w:tcBorders>
            <w:vAlign w:val="center"/>
          </w:tcPr>
          <w:p w14:paraId="6BA97358">
            <w:pPr>
              <w:jc w:val="center"/>
              <w:rPr>
                <w:rFonts w:ascii="宋体" w:hAnsi="宋体"/>
                <w:color w:val="auto"/>
                <w:szCs w:val="21"/>
                <w:highlight w:val="none"/>
              </w:rPr>
            </w:pPr>
            <w:r>
              <w:rPr>
                <w:rFonts w:hint="eastAsia" w:ascii="宋体" w:hAnsi="宋体"/>
                <w:color w:val="auto"/>
                <w:highlight w:val="none"/>
              </w:rPr>
              <w:t>技术职称</w:t>
            </w:r>
          </w:p>
        </w:tc>
        <w:tc>
          <w:tcPr>
            <w:tcW w:w="1642" w:type="dxa"/>
            <w:gridSpan w:val="2"/>
            <w:tcBorders>
              <w:top w:val="single" w:color="auto" w:sz="4" w:space="0"/>
              <w:left w:val="nil"/>
              <w:bottom w:val="single" w:color="auto" w:sz="4" w:space="0"/>
              <w:right w:val="single" w:color="auto" w:sz="4" w:space="0"/>
            </w:tcBorders>
            <w:vAlign w:val="center"/>
          </w:tcPr>
          <w:p w14:paraId="7F58EDA1">
            <w:pPr>
              <w:jc w:val="center"/>
              <w:rPr>
                <w:rFonts w:ascii="宋体" w:hAnsi="宋体"/>
                <w:color w:val="auto"/>
                <w:szCs w:val="21"/>
                <w:highlight w:val="none"/>
              </w:rPr>
            </w:pPr>
          </w:p>
        </w:tc>
        <w:tc>
          <w:tcPr>
            <w:tcW w:w="773" w:type="dxa"/>
            <w:tcBorders>
              <w:top w:val="single" w:color="auto" w:sz="4" w:space="0"/>
              <w:left w:val="nil"/>
              <w:bottom w:val="single" w:color="auto" w:sz="4" w:space="0"/>
              <w:right w:val="single" w:color="auto" w:sz="4" w:space="0"/>
            </w:tcBorders>
            <w:vAlign w:val="center"/>
          </w:tcPr>
          <w:p w14:paraId="67B24C57">
            <w:pPr>
              <w:jc w:val="center"/>
              <w:rPr>
                <w:rFonts w:ascii="宋体" w:hAnsi="宋体"/>
                <w:color w:val="auto"/>
                <w:szCs w:val="21"/>
                <w:highlight w:val="none"/>
              </w:rPr>
            </w:pPr>
            <w:r>
              <w:rPr>
                <w:rFonts w:hint="eastAsia" w:ascii="宋体" w:hAnsi="宋体"/>
                <w:color w:val="auto"/>
                <w:highlight w:val="none"/>
              </w:rPr>
              <w:t>电话</w:t>
            </w:r>
          </w:p>
        </w:tc>
        <w:tc>
          <w:tcPr>
            <w:tcW w:w="1134" w:type="dxa"/>
            <w:tcBorders>
              <w:top w:val="single" w:color="auto" w:sz="4" w:space="0"/>
              <w:left w:val="nil"/>
              <w:bottom w:val="single" w:color="auto" w:sz="4" w:space="0"/>
              <w:right w:val="single" w:color="auto" w:sz="4" w:space="0"/>
            </w:tcBorders>
            <w:vAlign w:val="center"/>
          </w:tcPr>
          <w:p w14:paraId="3496B601">
            <w:pPr>
              <w:jc w:val="center"/>
              <w:rPr>
                <w:rFonts w:ascii="宋体" w:hAnsi="宋体"/>
                <w:color w:val="auto"/>
                <w:szCs w:val="21"/>
                <w:highlight w:val="none"/>
              </w:rPr>
            </w:pPr>
          </w:p>
        </w:tc>
      </w:tr>
      <w:tr w14:paraId="3711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22ED585E">
            <w:pPr>
              <w:jc w:val="center"/>
              <w:rPr>
                <w:rFonts w:ascii="宋体" w:hAnsi="宋体"/>
                <w:color w:val="auto"/>
                <w:szCs w:val="21"/>
                <w:highlight w:val="none"/>
              </w:rPr>
            </w:pPr>
            <w:r>
              <w:rPr>
                <w:rFonts w:hint="eastAsia" w:ascii="宋体" w:hAnsi="宋体"/>
                <w:color w:val="auto"/>
                <w:highlight w:val="none"/>
              </w:rPr>
              <w:t>成立时间</w:t>
            </w:r>
          </w:p>
        </w:tc>
        <w:tc>
          <w:tcPr>
            <w:tcW w:w="2167" w:type="dxa"/>
            <w:gridSpan w:val="2"/>
            <w:tcBorders>
              <w:top w:val="single" w:color="auto" w:sz="4" w:space="0"/>
              <w:left w:val="nil"/>
              <w:bottom w:val="single" w:color="auto" w:sz="4" w:space="0"/>
              <w:right w:val="single" w:color="auto" w:sz="4" w:space="0"/>
            </w:tcBorders>
            <w:vAlign w:val="center"/>
          </w:tcPr>
          <w:p w14:paraId="66F013F7">
            <w:pPr>
              <w:jc w:val="center"/>
              <w:rPr>
                <w:rFonts w:ascii="宋体" w:hAnsi="宋体"/>
                <w:color w:val="auto"/>
                <w:szCs w:val="21"/>
                <w:highlight w:val="none"/>
              </w:rPr>
            </w:pPr>
          </w:p>
        </w:tc>
        <w:tc>
          <w:tcPr>
            <w:tcW w:w="4768" w:type="dxa"/>
            <w:gridSpan w:val="6"/>
            <w:tcBorders>
              <w:top w:val="single" w:color="auto" w:sz="4" w:space="0"/>
              <w:left w:val="nil"/>
              <w:bottom w:val="single" w:color="auto" w:sz="4" w:space="0"/>
              <w:right w:val="single" w:color="auto" w:sz="4" w:space="0"/>
            </w:tcBorders>
            <w:vAlign w:val="center"/>
          </w:tcPr>
          <w:p w14:paraId="49605E8C">
            <w:pPr>
              <w:jc w:val="center"/>
              <w:rPr>
                <w:rFonts w:ascii="宋体" w:hAnsi="宋体"/>
                <w:color w:val="auto"/>
                <w:szCs w:val="21"/>
                <w:highlight w:val="none"/>
              </w:rPr>
            </w:pPr>
            <w:r>
              <w:rPr>
                <w:rFonts w:hint="eastAsia" w:ascii="宋体" w:hAnsi="宋体"/>
                <w:color w:val="auto"/>
                <w:highlight w:val="none"/>
              </w:rPr>
              <w:t>员工总人数：</w:t>
            </w:r>
          </w:p>
        </w:tc>
      </w:tr>
      <w:tr w14:paraId="4DEF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200DD19">
            <w:pPr>
              <w:jc w:val="center"/>
              <w:rPr>
                <w:rFonts w:ascii="宋体" w:hAnsi="宋体"/>
                <w:color w:val="auto"/>
                <w:szCs w:val="21"/>
                <w:highlight w:val="none"/>
              </w:rPr>
            </w:pPr>
            <w:r>
              <w:rPr>
                <w:rFonts w:hint="eastAsia" w:ascii="宋体" w:hAnsi="宋体"/>
                <w:color w:val="auto"/>
                <w:highlight w:val="none"/>
              </w:rPr>
              <w:t>企业资质等级</w:t>
            </w:r>
          </w:p>
        </w:tc>
        <w:tc>
          <w:tcPr>
            <w:tcW w:w="1186" w:type="dxa"/>
            <w:tcBorders>
              <w:top w:val="single" w:color="auto" w:sz="4" w:space="0"/>
              <w:left w:val="nil"/>
              <w:bottom w:val="single" w:color="auto" w:sz="4" w:space="0"/>
              <w:right w:val="single" w:color="auto" w:sz="4" w:space="0"/>
            </w:tcBorders>
            <w:vAlign w:val="center"/>
          </w:tcPr>
          <w:p w14:paraId="703944CE">
            <w:pPr>
              <w:jc w:val="center"/>
              <w:rPr>
                <w:rFonts w:ascii="宋体" w:hAnsi="宋体"/>
                <w:color w:val="auto"/>
                <w:szCs w:val="21"/>
                <w:highlight w:val="none"/>
              </w:rPr>
            </w:pPr>
          </w:p>
        </w:tc>
        <w:tc>
          <w:tcPr>
            <w:tcW w:w="981" w:type="dxa"/>
            <w:tcBorders>
              <w:top w:val="single" w:color="auto" w:sz="4" w:space="0"/>
              <w:left w:val="nil"/>
              <w:bottom w:val="single" w:color="auto" w:sz="4" w:space="0"/>
              <w:right w:val="single" w:color="auto" w:sz="4" w:space="0"/>
            </w:tcBorders>
            <w:vAlign w:val="center"/>
          </w:tcPr>
          <w:p w14:paraId="1AB3BA75">
            <w:pPr>
              <w:jc w:val="center"/>
              <w:rPr>
                <w:rFonts w:ascii="宋体" w:hAnsi="宋体"/>
                <w:color w:val="auto"/>
                <w:szCs w:val="21"/>
                <w:highlight w:val="none"/>
              </w:rPr>
            </w:pPr>
          </w:p>
        </w:tc>
        <w:tc>
          <w:tcPr>
            <w:tcW w:w="1154" w:type="dxa"/>
            <w:vMerge w:val="restart"/>
            <w:tcBorders>
              <w:top w:val="single" w:color="auto" w:sz="4" w:space="0"/>
              <w:left w:val="nil"/>
              <w:bottom w:val="single" w:color="auto" w:sz="4" w:space="0"/>
              <w:right w:val="single" w:color="auto" w:sz="4" w:space="0"/>
            </w:tcBorders>
            <w:vAlign w:val="center"/>
          </w:tcPr>
          <w:p w14:paraId="3BC436D6">
            <w:pPr>
              <w:jc w:val="center"/>
              <w:rPr>
                <w:rFonts w:ascii="宋体" w:hAnsi="宋体"/>
                <w:color w:val="auto"/>
                <w:szCs w:val="21"/>
                <w:highlight w:val="none"/>
              </w:rPr>
            </w:pPr>
            <w:r>
              <w:rPr>
                <w:rFonts w:hint="eastAsia" w:ascii="宋体" w:hAnsi="宋体"/>
                <w:color w:val="auto"/>
                <w:highlight w:val="none"/>
              </w:rPr>
              <w:t>其中</w:t>
            </w:r>
          </w:p>
        </w:tc>
        <w:tc>
          <w:tcPr>
            <w:tcW w:w="1707" w:type="dxa"/>
            <w:gridSpan w:val="3"/>
            <w:tcBorders>
              <w:top w:val="single" w:color="auto" w:sz="4" w:space="0"/>
              <w:left w:val="nil"/>
              <w:bottom w:val="single" w:color="auto" w:sz="4" w:space="0"/>
              <w:right w:val="single" w:color="auto" w:sz="4" w:space="0"/>
            </w:tcBorders>
            <w:vAlign w:val="center"/>
          </w:tcPr>
          <w:p w14:paraId="22D9A9BC">
            <w:pPr>
              <w:jc w:val="center"/>
              <w:rPr>
                <w:rFonts w:hint="eastAsia" w:ascii="宋体" w:hAnsi="宋体" w:eastAsia="宋体"/>
                <w:color w:val="auto"/>
                <w:szCs w:val="21"/>
                <w:highlight w:val="none"/>
                <w:lang w:val="en-US" w:eastAsia="zh-CN"/>
              </w:rPr>
            </w:pPr>
            <w:r>
              <w:rPr>
                <w:rFonts w:hint="eastAsia" w:ascii="宋体" w:hAnsi="宋体"/>
                <w:color w:val="auto"/>
                <w:highlight w:val="none"/>
              </w:rPr>
              <w:t>项目</w:t>
            </w:r>
            <w:r>
              <w:rPr>
                <w:rFonts w:hint="eastAsia" w:ascii="宋体" w:hAnsi="宋体"/>
                <w:color w:val="auto"/>
                <w:highlight w:val="none"/>
                <w:lang w:val="en-US" w:eastAsia="zh-CN"/>
              </w:rPr>
              <w:t>经理</w:t>
            </w:r>
          </w:p>
        </w:tc>
        <w:tc>
          <w:tcPr>
            <w:tcW w:w="1907" w:type="dxa"/>
            <w:gridSpan w:val="2"/>
            <w:tcBorders>
              <w:top w:val="single" w:color="auto" w:sz="4" w:space="0"/>
              <w:left w:val="nil"/>
              <w:bottom w:val="single" w:color="auto" w:sz="4" w:space="0"/>
              <w:right w:val="single" w:color="auto" w:sz="4" w:space="0"/>
            </w:tcBorders>
            <w:vAlign w:val="center"/>
          </w:tcPr>
          <w:p w14:paraId="22B0399F">
            <w:pPr>
              <w:jc w:val="center"/>
              <w:rPr>
                <w:rFonts w:ascii="宋体" w:hAnsi="宋体"/>
                <w:color w:val="auto"/>
                <w:szCs w:val="21"/>
                <w:highlight w:val="none"/>
              </w:rPr>
            </w:pPr>
          </w:p>
        </w:tc>
      </w:tr>
      <w:tr w14:paraId="4A43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9671B22">
            <w:pPr>
              <w:jc w:val="center"/>
              <w:rPr>
                <w:rFonts w:ascii="宋体" w:hAnsi="宋体"/>
                <w:color w:val="auto"/>
                <w:szCs w:val="21"/>
                <w:highlight w:val="none"/>
              </w:rPr>
            </w:pPr>
            <w:r>
              <w:rPr>
                <w:rFonts w:hint="eastAsia" w:ascii="宋体" w:hAnsi="宋体"/>
                <w:color w:val="auto"/>
                <w:highlight w:val="none"/>
              </w:rPr>
              <w:t>营业执照号</w:t>
            </w:r>
          </w:p>
        </w:tc>
        <w:tc>
          <w:tcPr>
            <w:tcW w:w="1186" w:type="dxa"/>
            <w:tcBorders>
              <w:top w:val="single" w:color="auto" w:sz="4" w:space="0"/>
              <w:left w:val="nil"/>
              <w:bottom w:val="single" w:color="auto" w:sz="4" w:space="0"/>
              <w:right w:val="single" w:color="auto" w:sz="4" w:space="0"/>
            </w:tcBorders>
            <w:vAlign w:val="center"/>
          </w:tcPr>
          <w:p w14:paraId="519D013C">
            <w:pPr>
              <w:jc w:val="center"/>
              <w:rPr>
                <w:rFonts w:ascii="宋体" w:hAnsi="宋体"/>
                <w:color w:val="auto"/>
                <w:szCs w:val="21"/>
                <w:highlight w:val="none"/>
              </w:rPr>
            </w:pPr>
          </w:p>
        </w:tc>
        <w:tc>
          <w:tcPr>
            <w:tcW w:w="981" w:type="dxa"/>
            <w:tcBorders>
              <w:top w:val="single" w:color="auto" w:sz="4" w:space="0"/>
              <w:left w:val="nil"/>
              <w:bottom w:val="single" w:color="auto" w:sz="4" w:space="0"/>
              <w:right w:val="single" w:color="auto" w:sz="4" w:space="0"/>
            </w:tcBorders>
            <w:vAlign w:val="center"/>
          </w:tcPr>
          <w:p w14:paraId="2918F5F7">
            <w:pPr>
              <w:jc w:val="center"/>
              <w:rPr>
                <w:rFonts w:ascii="宋体" w:hAnsi="宋体"/>
                <w:color w:val="auto"/>
                <w:szCs w:val="21"/>
                <w:highlight w:val="none"/>
              </w:rPr>
            </w:pPr>
          </w:p>
        </w:tc>
        <w:tc>
          <w:tcPr>
            <w:tcW w:w="1154" w:type="dxa"/>
            <w:vMerge w:val="continue"/>
            <w:tcBorders>
              <w:top w:val="single" w:color="auto" w:sz="4" w:space="0"/>
              <w:left w:val="nil"/>
              <w:bottom w:val="single" w:color="auto" w:sz="4" w:space="0"/>
              <w:right w:val="single" w:color="auto" w:sz="4" w:space="0"/>
            </w:tcBorders>
            <w:vAlign w:val="center"/>
          </w:tcPr>
          <w:p w14:paraId="7EDDCE9B">
            <w:pPr>
              <w:widowControl/>
              <w:jc w:val="left"/>
              <w:rPr>
                <w:rFonts w:ascii="宋体" w:hAnsi="宋体"/>
                <w:color w:val="auto"/>
                <w:szCs w:val="21"/>
                <w:highlight w:val="none"/>
              </w:rPr>
            </w:pPr>
          </w:p>
        </w:tc>
        <w:tc>
          <w:tcPr>
            <w:tcW w:w="1707" w:type="dxa"/>
            <w:gridSpan w:val="3"/>
            <w:tcBorders>
              <w:top w:val="single" w:color="auto" w:sz="4" w:space="0"/>
              <w:left w:val="nil"/>
              <w:bottom w:val="single" w:color="auto" w:sz="4" w:space="0"/>
              <w:right w:val="single" w:color="auto" w:sz="4" w:space="0"/>
            </w:tcBorders>
            <w:vAlign w:val="center"/>
          </w:tcPr>
          <w:p w14:paraId="71FFEED3">
            <w:pPr>
              <w:jc w:val="center"/>
              <w:rPr>
                <w:rFonts w:ascii="宋体" w:hAnsi="宋体"/>
                <w:color w:val="auto"/>
                <w:szCs w:val="21"/>
                <w:highlight w:val="none"/>
              </w:rPr>
            </w:pPr>
            <w:r>
              <w:rPr>
                <w:rFonts w:hint="eastAsia" w:ascii="宋体" w:hAnsi="宋体"/>
                <w:color w:val="auto"/>
                <w:highlight w:val="none"/>
              </w:rPr>
              <w:t>高级职称人员</w:t>
            </w:r>
          </w:p>
        </w:tc>
        <w:tc>
          <w:tcPr>
            <w:tcW w:w="1907" w:type="dxa"/>
            <w:gridSpan w:val="2"/>
            <w:tcBorders>
              <w:top w:val="single" w:color="auto" w:sz="4" w:space="0"/>
              <w:left w:val="nil"/>
              <w:bottom w:val="single" w:color="auto" w:sz="4" w:space="0"/>
              <w:right w:val="single" w:color="auto" w:sz="4" w:space="0"/>
            </w:tcBorders>
            <w:vAlign w:val="center"/>
          </w:tcPr>
          <w:p w14:paraId="3D77620E">
            <w:pPr>
              <w:jc w:val="center"/>
              <w:rPr>
                <w:rFonts w:ascii="宋体" w:hAnsi="宋体"/>
                <w:color w:val="auto"/>
                <w:szCs w:val="21"/>
                <w:highlight w:val="none"/>
              </w:rPr>
            </w:pPr>
          </w:p>
        </w:tc>
      </w:tr>
      <w:tr w14:paraId="3AC6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68140C17">
            <w:pPr>
              <w:jc w:val="center"/>
              <w:rPr>
                <w:rFonts w:ascii="宋体" w:hAnsi="宋体"/>
                <w:color w:val="auto"/>
                <w:szCs w:val="21"/>
                <w:highlight w:val="none"/>
              </w:rPr>
            </w:pPr>
            <w:r>
              <w:rPr>
                <w:rFonts w:hint="eastAsia" w:ascii="宋体" w:hAnsi="宋体"/>
                <w:color w:val="auto"/>
                <w:highlight w:val="none"/>
              </w:rPr>
              <w:t>注册资金</w:t>
            </w:r>
          </w:p>
        </w:tc>
        <w:tc>
          <w:tcPr>
            <w:tcW w:w="1186" w:type="dxa"/>
            <w:tcBorders>
              <w:top w:val="single" w:color="auto" w:sz="4" w:space="0"/>
              <w:left w:val="nil"/>
              <w:bottom w:val="single" w:color="auto" w:sz="4" w:space="0"/>
              <w:right w:val="single" w:color="auto" w:sz="4" w:space="0"/>
            </w:tcBorders>
            <w:vAlign w:val="center"/>
          </w:tcPr>
          <w:p w14:paraId="098E76DF">
            <w:pPr>
              <w:jc w:val="center"/>
              <w:rPr>
                <w:rFonts w:ascii="宋体" w:hAnsi="宋体"/>
                <w:color w:val="auto"/>
                <w:szCs w:val="21"/>
                <w:highlight w:val="none"/>
              </w:rPr>
            </w:pPr>
          </w:p>
        </w:tc>
        <w:tc>
          <w:tcPr>
            <w:tcW w:w="981" w:type="dxa"/>
            <w:tcBorders>
              <w:top w:val="single" w:color="auto" w:sz="4" w:space="0"/>
              <w:left w:val="nil"/>
              <w:bottom w:val="single" w:color="auto" w:sz="4" w:space="0"/>
              <w:right w:val="single" w:color="auto" w:sz="4" w:space="0"/>
            </w:tcBorders>
            <w:vAlign w:val="center"/>
          </w:tcPr>
          <w:p w14:paraId="57B4EBE2">
            <w:pPr>
              <w:jc w:val="center"/>
              <w:rPr>
                <w:rFonts w:ascii="宋体" w:hAnsi="宋体"/>
                <w:color w:val="auto"/>
                <w:szCs w:val="21"/>
                <w:highlight w:val="none"/>
              </w:rPr>
            </w:pPr>
          </w:p>
        </w:tc>
        <w:tc>
          <w:tcPr>
            <w:tcW w:w="1154" w:type="dxa"/>
            <w:vMerge w:val="continue"/>
            <w:tcBorders>
              <w:top w:val="single" w:color="auto" w:sz="4" w:space="0"/>
              <w:left w:val="nil"/>
              <w:bottom w:val="single" w:color="auto" w:sz="4" w:space="0"/>
              <w:right w:val="single" w:color="auto" w:sz="4" w:space="0"/>
            </w:tcBorders>
            <w:vAlign w:val="center"/>
          </w:tcPr>
          <w:p w14:paraId="615C0BB4">
            <w:pPr>
              <w:widowControl/>
              <w:jc w:val="left"/>
              <w:rPr>
                <w:rFonts w:ascii="宋体" w:hAnsi="宋体"/>
                <w:color w:val="auto"/>
                <w:szCs w:val="21"/>
                <w:highlight w:val="none"/>
              </w:rPr>
            </w:pPr>
          </w:p>
        </w:tc>
        <w:tc>
          <w:tcPr>
            <w:tcW w:w="1707" w:type="dxa"/>
            <w:gridSpan w:val="3"/>
            <w:tcBorders>
              <w:top w:val="single" w:color="auto" w:sz="4" w:space="0"/>
              <w:left w:val="nil"/>
              <w:bottom w:val="single" w:color="auto" w:sz="4" w:space="0"/>
              <w:right w:val="single" w:color="auto" w:sz="4" w:space="0"/>
            </w:tcBorders>
            <w:vAlign w:val="center"/>
          </w:tcPr>
          <w:p w14:paraId="65E41191">
            <w:pPr>
              <w:jc w:val="center"/>
              <w:rPr>
                <w:rFonts w:ascii="宋体" w:hAnsi="宋体"/>
                <w:color w:val="auto"/>
                <w:szCs w:val="21"/>
                <w:highlight w:val="none"/>
              </w:rPr>
            </w:pPr>
            <w:r>
              <w:rPr>
                <w:rFonts w:hint="eastAsia" w:ascii="宋体" w:hAnsi="宋体"/>
                <w:color w:val="auto"/>
                <w:highlight w:val="none"/>
              </w:rPr>
              <w:t>中级职称人员</w:t>
            </w:r>
          </w:p>
        </w:tc>
        <w:tc>
          <w:tcPr>
            <w:tcW w:w="1907" w:type="dxa"/>
            <w:gridSpan w:val="2"/>
            <w:tcBorders>
              <w:top w:val="single" w:color="auto" w:sz="4" w:space="0"/>
              <w:left w:val="nil"/>
              <w:bottom w:val="single" w:color="auto" w:sz="4" w:space="0"/>
              <w:right w:val="single" w:color="auto" w:sz="4" w:space="0"/>
            </w:tcBorders>
            <w:vAlign w:val="center"/>
          </w:tcPr>
          <w:p w14:paraId="6735452A">
            <w:pPr>
              <w:jc w:val="center"/>
              <w:rPr>
                <w:rFonts w:ascii="宋体" w:hAnsi="宋体"/>
                <w:color w:val="auto"/>
                <w:szCs w:val="21"/>
                <w:highlight w:val="none"/>
              </w:rPr>
            </w:pPr>
          </w:p>
        </w:tc>
      </w:tr>
      <w:tr w14:paraId="3A5F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003AD2B">
            <w:pPr>
              <w:jc w:val="center"/>
              <w:rPr>
                <w:rFonts w:ascii="宋体" w:hAnsi="宋体"/>
                <w:color w:val="auto"/>
                <w:szCs w:val="21"/>
                <w:highlight w:val="none"/>
              </w:rPr>
            </w:pPr>
            <w:r>
              <w:rPr>
                <w:rFonts w:hint="eastAsia" w:ascii="宋体" w:hAnsi="宋体"/>
                <w:color w:val="auto"/>
                <w:highlight w:val="none"/>
              </w:rPr>
              <w:t>开户银行</w:t>
            </w:r>
          </w:p>
        </w:tc>
        <w:tc>
          <w:tcPr>
            <w:tcW w:w="1186" w:type="dxa"/>
            <w:tcBorders>
              <w:top w:val="single" w:color="auto" w:sz="4" w:space="0"/>
              <w:left w:val="nil"/>
              <w:bottom w:val="single" w:color="auto" w:sz="4" w:space="0"/>
              <w:right w:val="single" w:color="auto" w:sz="4" w:space="0"/>
            </w:tcBorders>
            <w:vAlign w:val="center"/>
          </w:tcPr>
          <w:p w14:paraId="422879D8">
            <w:pPr>
              <w:jc w:val="center"/>
              <w:rPr>
                <w:rFonts w:ascii="宋体" w:hAnsi="宋体"/>
                <w:color w:val="auto"/>
                <w:szCs w:val="21"/>
                <w:highlight w:val="none"/>
              </w:rPr>
            </w:pPr>
          </w:p>
        </w:tc>
        <w:tc>
          <w:tcPr>
            <w:tcW w:w="981" w:type="dxa"/>
            <w:tcBorders>
              <w:top w:val="single" w:color="auto" w:sz="4" w:space="0"/>
              <w:left w:val="nil"/>
              <w:bottom w:val="single" w:color="auto" w:sz="4" w:space="0"/>
              <w:right w:val="single" w:color="auto" w:sz="4" w:space="0"/>
            </w:tcBorders>
            <w:vAlign w:val="center"/>
          </w:tcPr>
          <w:p w14:paraId="5780BFF3">
            <w:pPr>
              <w:jc w:val="center"/>
              <w:rPr>
                <w:rFonts w:ascii="宋体" w:hAnsi="宋体"/>
                <w:color w:val="auto"/>
                <w:szCs w:val="21"/>
                <w:highlight w:val="none"/>
              </w:rPr>
            </w:pPr>
          </w:p>
        </w:tc>
        <w:tc>
          <w:tcPr>
            <w:tcW w:w="1154" w:type="dxa"/>
            <w:vMerge w:val="continue"/>
            <w:tcBorders>
              <w:top w:val="single" w:color="auto" w:sz="4" w:space="0"/>
              <w:left w:val="nil"/>
              <w:bottom w:val="single" w:color="auto" w:sz="4" w:space="0"/>
              <w:right w:val="single" w:color="auto" w:sz="4" w:space="0"/>
            </w:tcBorders>
            <w:vAlign w:val="center"/>
          </w:tcPr>
          <w:p w14:paraId="3DC1D537">
            <w:pPr>
              <w:widowControl/>
              <w:jc w:val="left"/>
              <w:rPr>
                <w:rFonts w:ascii="宋体" w:hAnsi="宋体"/>
                <w:color w:val="auto"/>
                <w:szCs w:val="21"/>
                <w:highlight w:val="none"/>
              </w:rPr>
            </w:pPr>
          </w:p>
        </w:tc>
        <w:tc>
          <w:tcPr>
            <w:tcW w:w="1707" w:type="dxa"/>
            <w:gridSpan w:val="3"/>
            <w:tcBorders>
              <w:top w:val="single" w:color="auto" w:sz="4" w:space="0"/>
              <w:left w:val="nil"/>
              <w:bottom w:val="single" w:color="auto" w:sz="4" w:space="0"/>
              <w:right w:val="single" w:color="auto" w:sz="4" w:space="0"/>
            </w:tcBorders>
            <w:vAlign w:val="center"/>
          </w:tcPr>
          <w:p w14:paraId="2FDA9599">
            <w:pPr>
              <w:jc w:val="center"/>
              <w:rPr>
                <w:rFonts w:ascii="宋体" w:hAnsi="宋体"/>
                <w:color w:val="auto"/>
                <w:szCs w:val="21"/>
                <w:highlight w:val="none"/>
              </w:rPr>
            </w:pPr>
            <w:r>
              <w:rPr>
                <w:rFonts w:hint="eastAsia" w:ascii="宋体" w:hAnsi="宋体"/>
                <w:color w:val="auto"/>
                <w:highlight w:val="none"/>
              </w:rPr>
              <w:t>初级职称人员</w:t>
            </w:r>
          </w:p>
        </w:tc>
        <w:tc>
          <w:tcPr>
            <w:tcW w:w="1907" w:type="dxa"/>
            <w:gridSpan w:val="2"/>
            <w:tcBorders>
              <w:top w:val="single" w:color="auto" w:sz="4" w:space="0"/>
              <w:left w:val="nil"/>
              <w:bottom w:val="single" w:color="auto" w:sz="4" w:space="0"/>
              <w:right w:val="single" w:color="auto" w:sz="4" w:space="0"/>
            </w:tcBorders>
            <w:vAlign w:val="center"/>
          </w:tcPr>
          <w:p w14:paraId="666057B1">
            <w:pPr>
              <w:jc w:val="center"/>
              <w:rPr>
                <w:rFonts w:ascii="宋体" w:hAnsi="宋体"/>
                <w:color w:val="auto"/>
                <w:szCs w:val="21"/>
                <w:highlight w:val="none"/>
              </w:rPr>
            </w:pPr>
          </w:p>
        </w:tc>
      </w:tr>
      <w:tr w14:paraId="44E9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5532E5B0">
            <w:pPr>
              <w:jc w:val="center"/>
              <w:rPr>
                <w:rFonts w:ascii="宋体" w:hAnsi="宋体"/>
                <w:color w:val="auto"/>
                <w:szCs w:val="21"/>
                <w:highlight w:val="none"/>
              </w:rPr>
            </w:pPr>
            <w:r>
              <w:rPr>
                <w:rFonts w:hint="eastAsia" w:ascii="宋体" w:hAnsi="宋体"/>
                <w:color w:val="auto"/>
                <w:highlight w:val="none"/>
              </w:rPr>
              <w:t>账号</w:t>
            </w:r>
          </w:p>
        </w:tc>
        <w:tc>
          <w:tcPr>
            <w:tcW w:w="1186" w:type="dxa"/>
            <w:tcBorders>
              <w:top w:val="single" w:color="auto" w:sz="4" w:space="0"/>
              <w:left w:val="nil"/>
              <w:bottom w:val="single" w:color="auto" w:sz="4" w:space="0"/>
              <w:right w:val="single" w:color="auto" w:sz="4" w:space="0"/>
            </w:tcBorders>
            <w:vAlign w:val="center"/>
          </w:tcPr>
          <w:p w14:paraId="1D6D85B9">
            <w:pPr>
              <w:jc w:val="center"/>
              <w:rPr>
                <w:rFonts w:ascii="宋体" w:hAnsi="宋体"/>
                <w:color w:val="auto"/>
                <w:szCs w:val="21"/>
                <w:highlight w:val="none"/>
              </w:rPr>
            </w:pPr>
          </w:p>
        </w:tc>
        <w:tc>
          <w:tcPr>
            <w:tcW w:w="981" w:type="dxa"/>
            <w:tcBorders>
              <w:top w:val="single" w:color="auto" w:sz="4" w:space="0"/>
              <w:left w:val="nil"/>
              <w:bottom w:val="single" w:color="auto" w:sz="4" w:space="0"/>
              <w:right w:val="single" w:color="auto" w:sz="4" w:space="0"/>
            </w:tcBorders>
            <w:vAlign w:val="center"/>
          </w:tcPr>
          <w:p w14:paraId="25A8354E">
            <w:pPr>
              <w:jc w:val="center"/>
              <w:rPr>
                <w:rFonts w:ascii="宋体" w:hAnsi="宋体"/>
                <w:color w:val="auto"/>
                <w:szCs w:val="21"/>
                <w:highlight w:val="none"/>
              </w:rPr>
            </w:pPr>
          </w:p>
        </w:tc>
        <w:tc>
          <w:tcPr>
            <w:tcW w:w="1154" w:type="dxa"/>
            <w:vMerge w:val="continue"/>
            <w:tcBorders>
              <w:top w:val="single" w:color="auto" w:sz="4" w:space="0"/>
              <w:left w:val="nil"/>
              <w:bottom w:val="single" w:color="auto" w:sz="4" w:space="0"/>
              <w:right w:val="single" w:color="auto" w:sz="4" w:space="0"/>
            </w:tcBorders>
            <w:vAlign w:val="center"/>
          </w:tcPr>
          <w:p w14:paraId="0FEC9A01">
            <w:pPr>
              <w:widowControl/>
              <w:jc w:val="left"/>
              <w:rPr>
                <w:rFonts w:ascii="宋体" w:hAnsi="宋体"/>
                <w:color w:val="auto"/>
                <w:szCs w:val="21"/>
                <w:highlight w:val="none"/>
              </w:rPr>
            </w:pPr>
          </w:p>
        </w:tc>
        <w:tc>
          <w:tcPr>
            <w:tcW w:w="1707" w:type="dxa"/>
            <w:gridSpan w:val="3"/>
            <w:tcBorders>
              <w:top w:val="single" w:color="auto" w:sz="4" w:space="0"/>
              <w:left w:val="nil"/>
              <w:bottom w:val="single" w:color="auto" w:sz="4" w:space="0"/>
              <w:right w:val="single" w:color="auto" w:sz="4" w:space="0"/>
            </w:tcBorders>
            <w:vAlign w:val="center"/>
          </w:tcPr>
          <w:p w14:paraId="4CE9FFE2">
            <w:pPr>
              <w:jc w:val="center"/>
              <w:rPr>
                <w:rFonts w:ascii="宋体" w:hAnsi="宋体"/>
                <w:color w:val="auto"/>
                <w:szCs w:val="21"/>
                <w:highlight w:val="none"/>
              </w:rPr>
            </w:pPr>
            <w:r>
              <w:rPr>
                <w:rFonts w:hint="eastAsia" w:ascii="宋体" w:hAnsi="宋体"/>
                <w:color w:val="auto"/>
                <w:highlight w:val="none"/>
              </w:rPr>
              <w:t>技  工</w:t>
            </w:r>
          </w:p>
        </w:tc>
        <w:tc>
          <w:tcPr>
            <w:tcW w:w="1907" w:type="dxa"/>
            <w:gridSpan w:val="2"/>
            <w:tcBorders>
              <w:top w:val="single" w:color="auto" w:sz="4" w:space="0"/>
              <w:left w:val="nil"/>
              <w:bottom w:val="single" w:color="auto" w:sz="4" w:space="0"/>
              <w:right w:val="single" w:color="auto" w:sz="4" w:space="0"/>
            </w:tcBorders>
            <w:vAlign w:val="center"/>
          </w:tcPr>
          <w:p w14:paraId="6E999263">
            <w:pPr>
              <w:jc w:val="center"/>
              <w:rPr>
                <w:rFonts w:ascii="宋体" w:hAnsi="宋体"/>
                <w:color w:val="auto"/>
                <w:szCs w:val="21"/>
                <w:highlight w:val="none"/>
              </w:rPr>
            </w:pPr>
          </w:p>
        </w:tc>
      </w:tr>
      <w:tr w14:paraId="49BD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7721EA13">
            <w:pPr>
              <w:jc w:val="center"/>
              <w:rPr>
                <w:rFonts w:ascii="宋体" w:hAnsi="宋体"/>
                <w:color w:val="auto"/>
                <w:szCs w:val="21"/>
                <w:highlight w:val="none"/>
              </w:rPr>
            </w:pPr>
            <w:r>
              <w:rPr>
                <w:rFonts w:hint="eastAsia" w:ascii="宋体" w:hAnsi="宋体"/>
                <w:color w:val="auto"/>
                <w:highlight w:val="none"/>
              </w:rPr>
              <w:t>经营范围</w:t>
            </w:r>
          </w:p>
        </w:tc>
        <w:tc>
          <w:tcPr>
            <w:tcW w:w="6935" w:type="dxa"/>
            <w:gridSpan w:val="8"/>
            <w:tcBorders>
              <w:top w:val="single" w:color="auto" w:sz="4" w:space="0"/>
              <w:left w:val="nil"/>
              <w:bottom w:val="single" w:color="auto" w:sz="4" w:space="0"/>
              <w:right w:val="single" w:color="auto" w:sz="4" w:space="0"/>
            </w:tcBorders>
            <w:vAlign w:val="center"/>
          </w:tcPr>
          <w:p w14:paraId="10276E55">
            <w:pPr>
              <w:jc w:val="center"/>
              <w:rPr>
                <w:rFonts w:ascii="宋体" w:hAnsi="宋体"/>
                <w:color w:val="auto"/>
                <w:szCs w:val="21"/>
                <w:highlight w:val="none"/>
              </w:rPr>
            </w:pPr>
          </w:p>
        </w:tc>
      </w:tr>
      <w:tr w14:paraId="083A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F30BEE4">
            <w:pPr>
              <w:jc w:val="center"/>
              <w:rPr>
                <w:rFonts w:ascii="宋体" w:hAnsi="宋体"/>
                <w:color w:val="auto"/>
                <w:szCs w:val="21"/>
                <w:highlight w:val="none"/>
              </w:rPr>
            </w:pPr>
            <w:r>
              <w:rPr>
                <w:rFonts w:hint="eastAsia" w:ascii="宋体" w:hAnsi="宋体"/>
                <w:color w:val="auto"/>
                <w:highlight w:val="none"/>
              </w:rPr>
              <w:t>备注</w:t>
            </w:r>
          </w:p>
        </w:tc>
        <w:tc>
          <w:tcPr>
            <w:tcW w:w="6935" w:type="dxa"/>
            <w:gridSpan w:val="8"/>
            <w:tcBorders>
              <w:top w:val="single" w:color="auto" w:sz="4" w:space="0"/>
              <w:left w:val="nil"/>
              <w:bottom w:val="single" w:color="auto" w:sz="4" w:space="0"/>
              <w:right w:val="single" w:color="auto" w:sz="4" w:space="0"/>
            </w:tcBorders>
            <w:vAlign w:val="center"/>
          </w:tcPr>
          <w:p w14:paraId="4788E7AB">
            <w:pPr>
              <w:jc w:val="center"/>
              <w:rPr>
                <w:rFonts w:ascii="宋体" w:hAnsi="宋体"/>
                <w:color w:val="auto"/>
                <w:szCs w:val="21"/>
                <w:highlight w:val="none"/>
              </w:rPr>
            </w:pPr>
          </w:p>
        </w:tc>
      </w:tr>
      <w:tr w14:paraId="719C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322D500D">
            <w:pPr>
              <w:jc w:val="center"/>
              <w:rPr>
                <w:rFonts w:ascii="宋体" w:hAnsi="宋体"/>
                <w:color w:val="auto"/>
                <w:highlight w:val="none"/>
              </w:rPr>
            </w:pPr>
          </w:p>
        </w:tc>
        <w:tc>
          <w:tcPr>
            <w:tcW w:w="6935" w:type="dxa"/>
            <w:gridSpan w:val="8"/>
            <w:tcBorders>
              <w:top w:val="single" w:color="auto" w:sz="4" w:space="0"/>
              <w:left w:val="nil"/>
              <w:bottom w:val="single" w:color="auto" w:sz="4" w:space="0"/>
              <w:right w:val="single" w:color="auto" w:sz="4" w:space="0"/>
            </w:tcBorders>
            <w:vAlign w:val="center"/>
          </w:tcPr>
          <w:p w14:paraId="06AEA3EF">
            <w:pPr>
              <w:jc w:val="center"/>
              <w:rPr>
                <w:rFonts w:ascii="宋体" w:hAnsi="宋体"/>
                <w:color w:val="auto"/>
                <w:szCs w:val="21"/>
                <w:highlight w:val="none"/>
              </w:rPr>
            </w:pPr>
          </w:p>
        </w:tc>
      </w:tr>
    </w:tbl>
    <w:p w14:paraId="4ADF7981">
      <w:pPr>
        <w:spacing w:line="440" w:lineRule="exact"/>
        <w:rPr>
          <w:rFonts w:ascii="宋体" w:hAnsi="宋体"/>
          <w:color w:val="auto"/>
          <w:szCs w:val="21"/>
          <w:highlight w:val="none"/>
        </w:rPr>
      </w:pPr>
      <w:r>
        <w:rPr>
          <w:rFonts w:hint="eastAsia" w:ascii="宋体" w:hAnsi="宋体"/>
          <w:color w:val="auto"/>
          <w:highlight w:val="none"/>
        </w:rPr>
        <w:t>备注：本表后应附企业法人营业执照、企业资质证书等材料的原件扫描件。</w:t>
      </w:r>
    </w:p>
    <w:p w14:paraId="658097E2">
      <w:pPr>
        <w:pStyle w:val="4"/>
        <w:keepLines w:val="0"/>
        <w:widowControl/>
        <w:spacing w:line="420" w:lineRule="exact"/>
        <w:jc w:val="center"/>
        <w:rPr>
          <w:rFonts w:ascii="宋体" w:hAnsi="宋体"/>
          <w:b w:val="0"/>
          <w:bCs w:val="0"/>
          <w:color w:val="auto"/>
          <w:sz w:val="24"/>
          <w:szCs w:val="24"/>
          <w:highlight w:val="none"/>
        </w:rPr>
      </w:pPr>
      <w:r>
        <w:rPr>
          <w:rFonts w:hint="eastAsia" w:ascii="宋体" w:hAnsi="宋体"/>
          <w:color w:val="auto"/>
          <w:highlight w:val="none"/>
        </w:rPr>
        <w:br w:type="page"/>
      </w:r>
      <w:bookmarkStart w:id="325" w:name="_Toc392837524"/>
      <w:bookmarkEnd w:id="325"/>
      <w:r>
        <w:rPr>
          <w:rFonts w:hint="eastAsia" w:ascii="宋体" w:hAnsi="宋体"/>
          <w:b w:val="0"/>
          <w:bCs w:val="0"/>
          <w:color w:val="auto"/>
          <w:sz w:val="24"/>
          <w:szCs w:val="24"/>
          <w:highlight w:val="none"/>
        </w:rPr>
        <w:t>（二）近年财务状况表</w:t>
      </w:r>
    </w:p>
    <w:p w14:paraId="09CB741A">
      <w:pPr>
        <w:spacing w:line="520" w:lineRule="exact"/>
        <w:ind w:firstLine="480" w:firstLineChars="200"/>
        <w:rPr>
          <w:rFonts w:ascii="宋体" w:hAnsi="宋体"/>
          <w:color w:val="auto"/>
          <w:szCs w:val="21"/>
          <w:highlight w:val="none"/>
        </w:rPr>
      </w:pPr>
      <w:r>
        <w:rPr>
          <w:rFonts w:hint="eastAsia" w:ascii="宋体" w:hAnsi="宋体"/>
          <w:color w:val="auto"/>
          <w:sz w:val="24"/>
          <w:szCs w:val="24"/>
          <w:highlight w:val="none"/>
        </w:rPr>
        <w:t>备注：具体年份要求见磋商</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须知表。</w:t>
      </w:r>
    </w:p>
    <w:p w14:paraId="1A2FE0AD">
      <w:pPr>
        <w:pStyle w:val="4"/>
        <w:keepLines w:val="0"/>
        <w:widowControl/>
        <w:spacing w:line="420" w:lineRule="exact"/>
        <w:jc w:val="center"/>
        <w:rPr>
          <w:rFonts w:ascii="宋体" w:hAnsi="宋体"/>
          <w:b w:val="0"/>
          <w:bCs w:val="0"/>
          <w:color w:val="auto"/>
          <w:sz w:val="24"/>
          <w:szCs w:val="24"/>
          <w:highlight w:val="none"/>
        </w:rPr>
      </w:pPr>
      <w:r>
        <w:rPr>
          <w:rFonts w:hint="eastAsia" w:ascii="宋体" w:hAnsi="宋体"/>
          <w:color w:val="auto"/>
          <w:highlight w:val="none"/>
        </w:rPr>
        <w:br w:type="page"/>
      </w:r>
      <w:bookmarkStart w:id="326" w:name="_Toc392837525"/>
      <w:bookmarkEnd w:id="326"/>
      <w:r>
        <w:rPr>
          <w:rFonts w:hint="eastAsia" w:ascii="宋体" w:hAnsi="宋体"/>
          <w:b w:val="0"/>
          <w:bCs w:val="0"/>
          <w:color w:val="auto"/>
          <w:sz w:val="24"/>
          <w:szCs w:val="24"/>
          <w:highlight w:val="none"/>
        </w:rPr>
        <w:t>（三）近年完成的项目情况表</w:t>
      </w:r>
    </w:p>
    <w:tbl>
      <w:tblPr>
        <w:tblStyle w:val="17"/>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5964"/>
      </w:tblGrid>
      <w:tr w14:paraId="510A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21990BB7">
            <w:pPr>
              <w:jc w:val="center"/>
              <w:rPr>
                <w:rFonts w:ascii="宋体" w:hAnsi="宋体"/>
                <w:color w:val="auto"/>
                <w:szCs w:val="21"/>
                <w:highlight w:val="none"/>
              </w:rPr>
            </w:pPr>
            <w:r>
              <w:rPr>
                <w:rFonts w:hint="eastAsia" w:ascii="宋体" w:hAnsi="宋体"/>
                <w:color w:val="auto"/>
                <w:highlight w:val="none"/>
              </w:rPr>
              <w:t>项目名称</w:t>
            </w:r>
          </w:p>
        </w:tc>
        <w:tc>
          <w:tcPr>
            <w:tcW w:w="5964" w:type="dxa"/>
            <w:tcBorders>
              <w:top w:val="single" w:color="auto" w:sz="4" w:space="0"/>
              <w:left w:val="nil"/>
              <w:bottom w:val="single" w:color="auto" w:sz="4" w:space="0"/>
              <w:right w:val="single" w:color="auto" w:sz="4" w:space="0"/>
            </w:tcBorders>
            <w:vAlign w:val="center"/>
          </w:tcPr>
          <w:p w14:paraId="64532759">
            <w:pPr>
              <w:jc w:val="center"/>
              <w:rPr>
                <w:rFonts w:ascii="宋体" w:hAnsi="宋体"/>
                <w:color w:val="auto"/>
                <w:szCs w:val="21"/>
                <w:highlight w:val="none"/>
              </w:rPr>
            </w:pPr>
          </w:p>
        </w:tc>
      </w:tr>
      <w:tr w14:paraId="1D1B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3EF406C3">
            <w:pPr>
              <w:jc w:val="center"/>
              <w:rPr>
                <w:rFonts w:ascii="宋体" w:hAnsi="宋体"/>
                <w:color w:val="auto"/>
                <w:szCs w:val="21"/>
                <w:highlight w:val="none"/>
              </w:rPr>
            </w:pPr>
            <w:r>
              <w:rPr>
                <w:rFonts w:hint="eastAsia" w:ascii="宋体" w:hAnsi="宋体"/>
                <w:color w:val="auto"/>
                <w:highlight w:val="none"/>
              </w:rPr>
              <w:t>项目所在地</w:t>
            </w:r>
          </w:p>
        </w:tc>
        <w:tc>
          <w:tcPr>
            <w:tcW w:w="5964" w:type="dxa"/>
            <w:tcBorders>
              <w:top w:val="single" w:color="auto" w:sz="4" w:space="0"/>
              <w:left w:val="nil"/>
              <w:bottom w:val="single" w:color="auto" w:sz="4" w:space="0"/>
              <w:right w:val="single" w:color="auto" w:sz="4" w:space="0"/>
            </w:tcBorders>
            <w:vAlign w:val="center"/>
          </w:tcPr>
          <w:p w14:paraId="35CE7A19">
            <w:pPr>
              <w:jc w:val="center"/>
              <w:rPr>
                <w:rFonts w:ascii="宋体" w:hAnsi="宋体"/>
                <w:color w:val="auto"/>
                <w:szCs w:val="21"/>
                <w:highlight w:val="none"/>
              </w:rPr>
            </w:pPr>
          </w:p>
        </w:tc>
      </w:tr>
      <w:tr w14:paraId="4097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61316B28">
            <w:pPr>
              <w:jc w:val="center"/>
              <w:rPr>
                <w:rFonts w:ascii="宋体" w:hAnsi="宋体"/>
                <w:color w:val="auto"/>
                <w:szCs w:val="21"/>
                <w:highlight w:val="none"/>
              </w:rPr>
            </w:pPr>
            <w:r>
              <w:rPr>
                <w:rFonts w:hint="eastAsia" w:ascii="宋体" w:hAnsi="宋体"/>
                <w:color w:val="auto"/>
                <w:highlight w:val="none"/>
              </w:rPr>
              <w:t>发包人名称</w:t>
            </w:r>
          </w:p>
        </w:tc>
        <w:tc>
          <w:tcPr>
            <w:tcW w:w="5964" w:type="dxa"/>
            <w:tcBorders>
              <w:top w:val="single" w:color="auto" w:sz="4" w:space="0"/>
              <w:left w:val="nil"/>
              <w:bottom w:val="single" w:color="auto" w:sz="4" w:space="0"/>
              <w:right w:val="single" w:color="auto" w:sz="4" w:space="0"/>
            </w:tcBorders>
            <w:vAlign w:val="center"/>
          </w:tcPr>
          <w:p w14:paraId="1CC3FCC9">
            <w:pPr>
              <w:jc w:val="center"/>
              <w:rPr>
                <w:rFonts w:ascii="宋体" w:hAnsi="宋体"/>
                <w:color w:val="auto"/>
                <w:szCs w:val="21"/>
                <w:highlight w:val="none"/>
              </w:rPr>
            </w:pPr>
          </w:p>
        </w:tc>
      </w:tr>
      <w:tr w14:paraId="0C91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0BDB1AE3">
            <w:pPr>
              <w:jc w:val="center"/>
              <w:rPr>
                <w:rFonts w:ascii="宋体" w:hAnsi="宋体"/>
                <w:color w:val="auto"/>
                <w:szCs w:val="21"/>
                <w:highlight w:val="none"/>
              </w:rPr>
            </w:pPr>
            <w:r>
              <w:rPr>
                <w:rFonts w:hint="eastAsia" w:ascii="宋体" w:hAnsi="宋体"/>
                <w:color w:val="auto"/>
                <w:highlight w:val="none"/>
              </w:rPr>
              <w:t>发包人地址</w:t>
            </w:r>
          </w:p>
        </w:tc>
        <w:tc>
          <w:tcPr>
            <w:tcW w:w="5964" w:type="dxa"/>
            <w:tcBorders>
              <w:top w:val="single" w:color="auto" w:sz="4" w:space="0"/>
              <w:left w:val="nil"/>
              <w:bottom w:val="single" w:color="auto" w:sz="4" w:space="0"/>
              <w:right w:val="single" w:color="auto" w:sz="4" w:space="0"/>
            </w:tcBorders>
            <w:vAlign w:val="center"/>
          </w:tcPr>
          <w:p w14:paraId="58F317A4">
            <w:pPr>
              <w:jc w:val="center"/>
              <w:rPr>
                <w:rFonts w:ascii="宋体" w:hAnsi="宋体"/>
                <w:color w:val="auto"/>
                <w:szCs w:val="21"/>
                <w:highlight w:val="none"/>
              </w:rPr>
            </w:pPr>
          </w:p>
        </w:tc>
      </w:tr>
      <w:tr w14:paraId="70FA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040AC84D">
            <w:pPr>
              <w:jc w:val="center"/>
              <w:rPr>
                <w:rFonts w:ascii="宋体" w:hAnsi="宋体"/>
                <w:color w:val="auto"/>
                <w:szCs w:val="21"/>
                <w:highlight w:val="none"/>
              </w:rPr>
            </w:pPr>
            <w:r>
              <w:rPr>
                <w:rFonts w:hint="eastAsia" w:ascii="宋体" w:hAnsi="宋体"/>
                <w:color w:val="auto"/>
                <w:highlight w:val="none"/>
              </w:rPr>
              <w:t>发包人联系人及电话</w:t>
            </w:r>
          </w:p>
        </w:tc>
        <w:tc>
          <w:tcPr>
            <w:tcW w:w="5964" w:type="dxa"/>
            <w:tcBorders>
              <w:top w:val="single" w:color="auto" w:sz="4" w:space="0"/>
              <w:left w:val="nil"/>
              <w:bottom w:val="single" w:color="auto" w:sz="4" w:space="0"/>
              <w:right w:val="single" w:color="auto" w:sz="4" w:space="0"/>
            </w:tcBorders>
            <w:vAlign w:val="center"/>
          </w:tcPr>
          <w:p w14:paraId="08137EDE">
            <w:pPr>
              <w:jc w:val="center"/>
              <w:rPr>
                <w:rFonts w:ascii="宋体" w:hAnsi="宋体"/>
                <w:color w:val="auto"/>
                <w:szCs w:val="21"/>
                <w:highlight w:val="none"/>
              </w:rPr>
            </w:pPr>
          </w:p>
        </w:tc>
      </w:tr>
      <w:tr w14:paraId="667D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32178F3B">
            <w:pPr>
              <w:jc w:val="center"/>
              <w:rPr>
                <w:rFonts w:ascii="宋体" w:hAnsi="宋体"/>
                <w:color w:val="auto"/>
                <w:szCs w:val="21"/>
                <w:highlight w:val="none"/>
              </w:rPr>
            </w:pPr>
            <w:r>
              <w:rPr>
                <w:rFonts w:hint="eastAsia" w:ascii="宋体" w:hAnsi="宋体"/>
                <w:color w:val="auto"/>
                <w:highlight w:val="none"/>
              </w:rPr>
              <w:t>合同价格</w:t>
            </w:r>
          </w:p>
        </w:tc>
        <w:tc>
          <w:tcPr>
            <w:tcW w:w="5964" w:type="dxa"/>
            <w:tcBorders>
              <w:top w:val="single" w:color="auto" w:sz="4" w:space="0"/>
              <w:left w:val="nil"/>
              <w:bottom w:val="single" w:color="auto" w:sz="4" w:space="0"/>
              <w:right w:val="single" w:color="auto" w:sz="4" w:space="0"/>
            </w:tcBorders>
            <w:vAlign w:val="center"/>
          </w:tcPr>
          <w:p w14:paraId="3E010D87">
            <w:pPr>
              <w:jc w:val="center"/>
              <w:rPr>
                <w:rFonts w:ascii="宋体" w:hAnsi="宋体"/>
                <w:color w:val="auto"/>
                <w:szCs w:val="21"/>
                <w:highlight w:val="none"/>
              </w:rPr>
            </w:pPr>
          </w:p>
        </w:tc>
      </w:tr>
      <w:tr w14:paraId="777E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303B4C6D">
            <w:pPr>
              <w:jc w:val="center"/>
              <w:rPr>
                <w:rFonts w:ascii="宋体" w:hAnsi="宋体"/>
                <w:color w:val="auto"/>
                <w:szCs w:val="21"/>
                <w:highlight w:val="none"/>
              </w:rPr>
            </w:pPr>
            <w:r>
              <w:rPr>
                <w:rFonts w:hint="eastAsia" w:ascii="宋体" w:hAnsi="宋体"/>
                <w:color w:val="auto"/>
                <w:highlight w:val="none"/>
              </w:rPr>
              <w:t>开工日期</w:t>
            </w:r>
          </w:p>
        </w:tc>
        <w:tc>
          <w:tcPr>
            <w:tcW w:w="5964" w:type="dxa"/>
            <w:tcBorders>
              <w:top w:val="single" w:color="auto" w:sz="4" w:space="0"/>
              <w:left w:val="nil"/>
              <w:bottom w:val="single" w:color="auto" w:sz="4" w:space="0"/>
              <w:right w:val="single" w:color="auto" w:sz="4" w:space="0"/>
            </w:tcBorders>
            <w:vAlign w:val="center"/>
          </w:tcPr>
          <w:p w14:paraId="62CA2D57">
            <w:pPr>
              <w:jc w:val="center"/>
              <w:rPr>
                <w:rFonts w:ascii="宋体" w:hAnsi="宋体"/>
                <w:color w:val="auto"/>
                <w:szCs w:val="21"/>
                <w:highlight w:val="none"/>
              </w:rPr>
            </w:pPr>
          </w:p>
        </w:tc>
      </w:tr>
      <w:tr w14:paraId="345A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20549DE0">
            <w:pPr>
              <w:jc w:val="center"/>
              <w:rPr>
                <w:rFonts w:ascii="宋体" w:hAnsi="宋体"/>
                <w:color w:val="auto"/>
                <w:szCs w:val="21"/>
                <w:highlight w:val="none"/>
              </w:rPr>
            </w:pPr>
            <w:r>
              <w:rPr>
                <w:rFonts w:hint="eastAsia" w:ascii="宋体" w:hAnsi="宋体"/>
                <w:color w:val="auto"/>
                <w:highlight w:val="none"/>
              </w:rPr>
              <w:t>竣工日期</w:t>
            </w:r>
          </w:p>
        </w:tc>
        <w:tc>
          <w:tcPr>
            <w:tcW w:w="5964" w:type="dxa"/>
            <w:tcBorders>
              <w:top w:val="single" w:color="auto" w:sz="4" w:space="0"/>
              <w:left w:val="nil"/>
              <w:bottom w:val="single" w:color="auto" w:sz="4" w:space="0"/>
              <w:right w:val="single" w:color="auto" w:sz="4" w:space="0"/>
            </w:tcBorders>
            <w:vAlign w:val="center"/>
          </w:tcPr>
          <w:p w14:paraId="7BBCCF8B">
            <w:pPr>
              <w:jc w:val="center"/>
              <w:rPr>
                <w:rFonts w:ascii="宋体" w:hAnsi="宋体"/>
                <w:color w:val="auto"/>
                <w:szCs w:val="21"/>
                <w:highlight w:val="none"/>
              </w:rPr>
            </w:pPr>
          </w:p>
        </w:tc>
      </w:tr>
      <w:tr w14:paraId="4609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481FB893">
            <w:pPr>
              <w:jc w:val="center"/>
              <w:rPr>
                <w:rFonts w:ascii="宋体" w:hAnsi="宋体"/>
                <w:color w:val="auto"/>
                <w:szCs w:val="21"/>
                <w:highlight w:val="none"/>
              </w:rPr>
            </w:pPr>
            <w:r>
              <w:rPr>
                <w:rFonts w:hint="eastAsia" w:ascii="宋体" w:hAnsi="宋体"/>
                <w:color w:val="auto"/>
                <w:highlight w:val="none"/>
              </w:rPr>
              <w:t>承担的工作</w:t>
            </w:r>
          </w:p>
        </w:tc>
        <w:tc>
          <w:tcPr>
            <w:tcW w:w="5964" w:type="dxa"/>
            <w:tcBorders>
              <w:top w:val="single" w:color="auto" w:sz="4" w:space="0"/>
              <w:left w:val="nil"/>
              <w:bottom w:val="single" w:color="auto" w:sz="4" w:space="0"/>
              <w:right w:val="single" w:color="auto" w:sz="4" w:space="0"/>
            </w:tcBorders>
            <w:vAlign w:val="center"/>
          </w:tcPr>
          <w:p w14:paraId="00E061F7">
            <w:pPr>
              <w:jc w:val="center"/>
              <w:rPr>
                <w:rFonts w:ascii="宋体" w:hAnsi="宋体"/>
                <w:color w:val="auto"/>
                <w:szCs w:val="21"/>
                <w:highlight w:val="none"/>
              </w:rPr>
            </w:pPr>
          </w:p>
        </w:tc>
      </w:tr>
      <w:tr w14:paraId="631D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7C51A98F">
            <w:pPr>
              <w:jc w:val="center"/>
              <w:rPr>
                <w:rFonts w:ascii="宋体" w:hAnsi="宋体"/>
                <w:color w:val="auto"/>
                <w:szCs w:val="21"/>
                <w:highlight w:val="none"/>
              </w:rPr>
            </w:pPr>
            <w:r>
              <w:rPr>
                <w:rFonts w:hint="eastAsia" w:ascii="宋体" w:hAnsi="宋体"/>
                <w:color w:val="auto"/>
                <w:highlight w:val="none"/>
              </w:rPr>
              <w:t>工程质量</w:t>
            </w:r>
          </w:p>
        </w:tc>
        <w:tc>
          <w:tcPr>
            <w:tcW w:w="5964" w:type="dxa"/>
            <w:tcBorders>
              <w:top w:val="single" w:color="auto" w:sz="4" w:space="0"/>
              <w:left w:val="nil"/>
              <w:bottom w:val="single" w:color="auto" w:sz="4" w:space="0"/>
              <w:right w:val="single" w:color="auto" w:sz="4" w:space="0"/>
            </w:tcBorders>
            <w:vAlign w:val="center"/>
          </w:tcPr>
          <w:p w14:paraId="217AF5C2">
            <w:pPr>
              <w:jc w:val="center"/>
              <w:rPr>
                <w:rFonts w:ascii="宋体" w:hAnsi="宋体"/>
                <w:color w:val="auto"/>
                <w:szCs w:val="21"/>
                <w:highlight w:val="none"/>
              </w:rPr>
            </w:pPr>
          </w:p>
        </w:tc>
      </w:tr>
      <w:tr w14:paraId="3B4D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64B02909">
            <w:pPr>
              <w:jc w:val="center"/>
              <w:rPr>
                <w:rFonts w:ascii="宋体" w:hAnsi="宋体"/>
                <w:color w:val="auto"/>
                <w:szCs w:val="21"/>
                <w:highlight w:val="none"/>
              </w:rPr>
            </w:pPr>
            <w:r>
              <w:rPr>
                <w:rFonts w:hint="eastAsia" w:ascii="宋体" w:hAnsi="宋体"/>
                <w:color w:val="auto"/>
                <w:highlight w:val="none"/>
              </w:rPr>
              <w:t>建造师</w:t>
            </w:r>
          </w:p>
        </w:tc>
        <w:tc>
          <w:tcPr>
            <w:tcW w:w="5964" w:type="dxa"/>
            <w:tcBorders>
              <w:top w:val="single" w:color="auto" w:sz="4" w:space="0"/>
              <w:left w:val="nil"/>
              <w:bottom w:val="single" w:color="auto" w:sz="4" w:space="0"/>
              <w:right w:val="single" w:color="auto" w:sz="4" w:space="0"/>
            </w:tcBorders>
            <w:vAlign w:val="center"/>
          </w:tcPr>
          <w:p w14:paraId="0600BD34">
            <w:pPr>
              <w:jc w:val="center"/>
              <w:rPr>
                <w:rFonts w:ascii="宋体" w:hAnsi="宋体"/>
                <w:color w:val="auto"/>
                <w:szCs w:val="21"/>
                <w:highlight w:val="none"/>
              </w:rPr>
            </w:pPr>
          </w:p>
        </w:tc>
      </w:tr>
      <w:tr w14:paraId="643E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2352B1DD">
            <w:pPr>
              <w:jc w:val="center"/>
              <w:rPr>
                <w:rFonts w:ascii="宋体" w:hAnsi="宋体"/>
                <w:color w:val="auto"/>
                <w:szCs w:val="21"/>
                <w:highlight w:val="none"/>
              </w:rPr>
            </w:pPr>
            <w:r>
              <w:rPr>
                <w:rFonts w:hint="eastAsia" w:ascii="宋体" w:hAnsi="宋体"/>
                <w:color w:val="auto"/>
                <w:highlight w:val="none"/>
              </w:rPr>
              <w:t>技术负责人</w:t>
            </w:r>
          </w:p>
        </w:tc>
        <w:tc>
          <w:tcPr>
            <w:tcW w:w="5964" w:type="dxa"/>
            <w:tcBorders>
              <w:top w:val="single" w:color="auto" w:sz="4" w:space="0"/>
              <w:left w:val="nil"/>
              <w:bottom w:val="single" w:color="auto" w:sz="4" w:space="0"/>
              <w:right w:val="single" w:color="auto" w:sz="4" w:space="0"/>
            </w:tcBorders>
            <w:vAlign w:val="center"/>
          </w:tcPr>
          <w:p w14:paraId="531E3BEA">
            <w:pPr>
              <w:jc w:val="center"/>
              <w:rPr>
                <w:rFonts w:ascii="宋体" w:hAnsi="宋体"/>
                <w:color w:val="auto"/>
                <w:szCs w:val="21"/>
                <w:highlight w:val="none"/>
              </w:rPr>
            </w:pPr>
          </w:p>
        </w:tc>
      </w:tr>
      <w:tr w14:paraId="1235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074D26E5">
            <w:pPr>
              <w:jc w:val="center"/>
              <w:rPr>
                <w:rFonts w:ascii="宋体" w:hAnsi="宋体"/>
                <w:color w:val="auto"/>
                <w:szCs w:val="21"/>
                <w:highlight w:val="none"/>
              </w:rPr>
            </w:pPr>
            <w:r>
              <w:rPr>
                <w:rFonts w:hint="eastAsia" w:ascii="宋体" w:hAnsi="宋体"/>
                <w:color w:val="auto"/>
                <w:highlight w:val="none"/>
              </w:rPr>
              <w:t>总监理工程师及电话</w:t>
            </w:r>
          </w:p>
        </w:tc>
        <w:tc>
          <w:tcPr>
            <w:tcW w:w="5964" w:type="dxa"/>
            <w:tcBorders>
              <w:top w:val="single" w:color="auto" w:sz="4" w:space="0"/>
              <w:left w:val="nil"/>
              <w:bottom w:val="single" w:color="auto" w:sz="4" w:space="0"/>
              <w:right w:val="single" w:color="auto" w:sz="4" w:space="0"/>
            </w:tcBorders>
            <w:vAlign w:val="center"/>
          </w:tcPr>
          <w:p w14:paraId="7B1A6FF8">
            <w:pPr>
              <w:jc w:val="center"/>
              <w:rPr>
                <w:rFonts w:ascii="宋体" w:hAnsi="宋体"/>
                <w:color w:val="auto"/>
                <w:szCs w:val="21"/>
                <w:highlight w:val="none"/>
              </w:rPr>
            </w:pPr>
          </w:p>
        </w:tc>
      </w:tr>
      <w:tr w14:paraId="62F9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234F9330">
            <w:pPr>
              <w:jc w:val="center"/>
              <w:rPr>
                <w:rFonts w:ascii="宋体" w:hAnsi="宋体"/>
                <w:color w:val="auto"/>
                <w:szCs w:val="21"/>
                <w:highlight w:val="none"/>
              </w:rPr>
            </w:pPr>
            <w:r>
              <w:rPr>
                <w:rFonts w:hint="eastAsia" w:ascii="宋体" w:hAnsi="宋体"/>
                <w:color w:val="auto"/>
                <w:highlight w:val="none"/>
              </w:rPr>
              <w:t>项目描述</w:t>
            </w:r>
          </w:p>
        </w:tc>
        <w:tc>
          <w:tcPr>
            <w:tcW w:w="5964" w:type="dxa"/>
            <w:tcBorders>
              <w:top w:val="single" w:color="auto" w:sz="4" w:space="0"/>
              <w:left w:val="nil"/>
              <w:bottom w:val="single" w:color="auto" w:sz="4" w:space="0"/>
              <w:right w:val="single" w:color="auto" w:sz="4" w:space="0"/>
            </w:tcBorders>
            <w:vAlign w:val="center"/>
          </w:tcPr>
          <w:p w14:paraId="0742E17C">
            <w:pPr>
              <w:jc w:val="center"/>
              <w:rPr>
                <w:rFonts w:ascii="宋体" w:hAnsi="宋体"/>
                <w:color w:val="auto"/>
                <w:szCs w:val="21"/>
                <w:highlight w:val="none"/>
              </w:rPr>
            </w:pPr>
          </w:p>
        </w:tc>
      </w:tr>
      <w:tr w14:paraId="58D0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590E8B7A">
            <w:pPr>
              <w:jc w:val="center"/>
              <w:rPr>
                <w:rFonts w:ascii="宋体" w:hAnsi="宋体"/>
                <w:color w:val="auto"/>
                <w:szCs w:val="21"/>
                <w:highlight w:val="none"/>
              </w:rPr>
            </w:pPr>
            <w:r>
              <w:rPr>
                <w:rFonts w:hint="eastAsia" w:ascii="宋体" w:hAnsi="宋体"/>
                <w:color w:val="auto"/>
                <w:highlight w:val="none"/>
              </w:rPr>
              <w:t>备注</w:t>
            </w:r>
          </w:p>
        </w:tc>
        <w:tc>
          <w:tcPr>
            <w:tcW w:w="5964" w:type="dxa"/>
            <w:tcBorders>
              <w:top w:val="single" w:color="auto" w:sz="4" w:space="0"/>
              <w:left w:val="nil"/>
              <w:bottom w:val="single" w:color="auto" w:sz="4" w:space="0"/>
              <w:right w:val="single" w:color="auto" w:sz="4" w:space="0"/>
            </w:tcBorders>
            <w:vAlign w:val="center"/>
          </w:tcPr>
          <w:p w14:paraId="4C6066E0">
            <w:pPr>
              <w:jc w:val="center"/>
              <w:rPr>
                <w:rFonts w:ascii="宋体" w:hAnsi="宋体"/>
                <w:color w:val="auto"/>
                <w:szCs w:val="21"/>
                <w:highlight w:val="none"/>
              </w:rPr>
            </w:pPr>
          </w:p>
        </w:tc>
      </w:tr>
    </w:tbl>
    <w:p w14:paraId="09E59AFB">
      <w:pPr>
        <w:spacing w:line="440" w:lineRule="exact"/>
        <w:ind w:left="10" w:firstLine="619" w:firstLineChars="295"/>
        <w:rPr>
          <w:rFonts w:ascii="宋体" w:hAnsi="宋体"/>
          <w:color w:val="auto"/>
          <w:szCs w:val="21"/>
          <w:highlight w:val="none"/>
        </w:rPr>
      </w:pPr>
      <w:r>
        <w:rPr>
          <w:rFonts w:hint="eastAsia" w:ascii="宋体" w:hAnsi="宋体"/>
          <w:color w:val="auto"/>
          <w:highlight w:val="none"/>
        </w:rPr>
        <w:t>备注：1、 本表后附成交（中标）通知书</w:t>
      </w:r>
      <w:r>
        <w:rPr>
          <w:rFonts w:hint="eastAsia" w:ascii="宋体" w:hAnsi="宋体"/>
          <w:color w:val="auto"/>
          <w:highlight w:val="none"/>
          <w:lang w:val="en-US" w:eastAsia="zh-CN"/>
        </w:rPr>
        <w:t>及</w:t>
      </w:r>
      <w:r>
        <w:rPr>
          <w:rFonts w:hint="eastAsia" w:ascii="宋体" w:hAnsi="宋体"/>
          <w:color w:val="auto"/>
          <w:highlight w:val="none"/>
        </w:rPr>
        <w:t>合同协议书的原件扫描件，具体年份要求见磋商</w:t>
      </w:r>
      <w:r>
        <w:rPr>
          <w:rFonts w:hint="eastAsia" w:ascii="宋体" w:hAnsi="宋体"/>
          <w:color w:val="auto"/>
          <w:highlight w:val="none"/>
          <w:lang w:eastAsia="zh-CN"/>
        </w:rPr>
        <w:t>供应商</w:t>
      </w:r>
      <w:r>
        <w:rPr>
          <w:rFonts w:hint="eastAsia" w:ascii="宋体" w:hAnsi="宋体"/>
          <w:color w:val="auto"/>
          <w:highlight w:val="none"/>
        </w:rPr>
        <w:t>须知前附表。每张表格只填写一个项目，并标明序号。</w:t>
      </w:r>
    </w:p>
    <w:p w14:paraId="6C55DC6D">
      <w:pPr>
        <w:spacing w:line="380" w:lineRule="exact"/>
        <w:ind w:left="630" w:hanging="630" w:hangingChars="300"/>
        <w:rPr>
          <w:rFonts w:hint="eastAsia" w:ascii="宋体" w:hAnsi="宋体" w:eastAsia="宋体"/>
          <w:color w:val="auto"/>
          <w:highlight w:val="none"/>
          <w:lang w:eastAsia="zh-CN"/>
        </w:rPr>
      </w:pPr>
      <w:r>
        <w:rPr>
          <w:rFonts w:hint="eastAsia" w:ascii="宋体" w:hAnsi="宋体"/>
          <w:color w:val="auto"/>
          <w:highlight w:val="none"/>
        </w:rPr>
        <w:br w:type="page"/>
      </w:r>
      <w:bookmarkStart w:id="327" w:name="_Toc392837526"/>
      <w:bookmarkEnd w:id="327"/>
      <w:bookmarkStart w:id="328" w:name="_Toc392837527"/>
      <w:bookmarkEnd w:id="328"/>
    </w:p>
    <w:p w14:paraId="25E34B52">
      <w:pPr>
        <w:spacing w:line="480" w:lineRule="exact"/>
        <w:textAlignment w:val="center"/>
        <w:rPr>
          <w:rFonts w:ascii="仿宋_GB2312" w:hAnsi="宋体" w:eastAsia="仿宋_GB2312"/>
          <w:color w:val="auto"/>
          <w:sz w:val="24"/>
          <w:szCs w:val="24"/>
          <w:highlight w:val="none"/>
        </w:rPr>
      </w:pPr>
    </w:p>
    <w:p w14:paraId="39A91225">
      <w:pPr>
        <w:spacing w:line="480" w:lineRule="exact"/>
        <w:textAlignment w:val="center"/>
        <w:rPr>
          <w:rFonts w:ascii="宋体" w:hAnsi="宋体"/>
          <w:color w:val="auto"/>
          <w:kern w:val="0"/>
          <w:sz w:val="28"/>
          <w:szCs w:val="28"/>
          <w:highlight w:val="none"/>
        </w:rPr>
      </w:pPr>
    </w:p>
    <w:p w14:paraId="1ABA3838">
      <w:pPr>
        <w:spacing w:line="480" w:lineRule="exact"/>
        <w:textAlignment w:val="center"/>
        <w:rPr>
          <w:rFonts w:ascii="宋体" w:hAnsi="宋体"/>
          <w:color w:val="auto"/>
          <w:kern w:val="0"/>
          <w:sz w:val="28"/>
          <w:szCs w:val="28"/>
          <w:highlight w:val="none"/>
        </w:rPr>
      </w:pPr>
    </w:p>
    <w:p w14:paraId="68CD5349">
      <w:pPr>
        <w:spacing w:line="480" w:lineRule="exact"/>
        <w:jc w:val="center"/>
        <w:textAlignment w:val="center"/>
        <w:rPr>
          <w:rFonts w:ascii="宋体" w:hAnsi="宋体"/>
          <w:color w:val="auto"/>
          <w:kern w:val="0"/>
          <w:sz w:val="28"/>
          <w:szCs w:val="28"/>
          <w:highlight w:val="none"/>
        </w:rPr>
      </w:pPr>
      <w:r>
        <w:rPr>
          <w:rFonts w:hint="eastAsia" w:ascii="宋体" w:hAnsi="宋体"/>
          <w:color w:val="auto"/>
          <w:kern w:val="0"/>
          <w:sz w:val="28"/>
          <w:szCs w:val="28"/>
          <w:highlight w:val="none"/>
        </w:rPr>
        <w:t>（</w:t>
      </w:r>
      <w:r>
        <w:rPr>
          <w:rFonts w:hint="eastAsia" w:ascii="宋体" w:hAnsi="宋体"/>
          <w:color w:val="auto"/>
          <w:kern w:val="0"/>
          <w:sz w:val="28"/>
          <w:szCs w:val="28"/>
          <w:highlight w:val="none"/>
          <w:lang w:val="en-US" w:eastAsia="zh-CN"/>
        </w:rPr>
        <w:t>四</w:t>
      </w:r>
      <w:r>
        <w:rPr>
          <w:rFonts w:hint="eastAsia" w:ascii="宋体" w:hAnsi="宋体"/>
          <w:color w:val="auto"/>
          <w:kern w:val="0"/>
          <w:sz w:val="28"/>
          <w:szCs w:val="28"/>
          <w:highlight w:val="none"/>
        </w:rPr>
        <w:t>）  无商业贿赂及无不正当竞争行为承诺书（格式）</w:t>
      </w:r>
    </w:p>
    <w:p w14:paraId="1CF0BC8F">
      <w:pPr>
        <w:spacing w:line="480" w:lineRule="exact"/>
        <w:textAlignment w:val="center"/>
        <w:rPr>
          <w:rFonts w:ascii="仿宋_GB2312" w:hAnsi="宋体" w:eastAsia="仿宋_GB2312"/>
          <w:color w:val="auto"/>
          <w:sz w:val="24"/>
          <w:szCs w:val="24"/>
          <w:highlight w:val="none"/>
        </w:rPr>
      </w:pPr>
    </w:p>
    <w:p w14:paraId="47DE26E8">
      <w:pPr>
        <w:spacing w:line="800" w:lineRule="exact"/>
        <w:ind w:firstLine="480" w:firstLineChars="200"/>
        <w:textAlignment w:val="center"/>
        <w:rPr>
          <w:rFonts w:ascii="宋体" w:hAnsi="宋体"/>
          <w:bCs/>
          <w:color w:val="auto"/>
          <w:sz w:val="24"/>
          <w:szCs w:val="24"/>
          <w:highlight w:val="none"/>
        </w:rPr>
      </w:pPr>
      <w:r>
        <w:rPr>
          <w:rFonts w:hint="eastAsia" w:ascii="宋体" w:hAnsi="宋体"/>
          <w:bCs/>
          <w:color w:val="auto"/>
          <w:sz w:val="24"/>
          <w:szCs w:val="24"/>
          <w:highlight w:val="none"/>
        </w:rPr>
        <w:t>　我公司郑重承诺：自公司成立以来</w:t>
      </w:r>
      <w:r>
        <w:rPr>
          <w:rFonts w:hint="eastAsia" w:ascii="宋体" w:hAnsi="宋体"/>
          <w:bCs/>
          <w:color w:val="auto"/>
          <w:sz w:val="24"/>
          <w:szCs w:val="24"/>
          <w:highlight w:val="none"/>
          <w:u w:val="single"/>
        </w:rPr>
        <w:t>　　　　　（磋商</w:t>
      </w:r>
      <w:r>
        <w:rPr>
          <w:rFonts w:hint="eastAsia" w:ascii="宋体" w:hAnsi="宋体"/>
          <w:bCs/>
          <w:color w:val="auto"/>
          <w:sz w:val="24"/>
          <w:szCs w:val="24"/>
          <w:highlight w:val="none"/>
          <w:u w:val="single"/>
          <w:lang w:eastAsia="zh-CN"/>
        </w:rPr>
        <w:t>供应商</w:t>
      </w:r>
      <w:r>
        <w:rPr>
          <w:rFonts w:hint="eastAsia" w:ascii="宋体" w:hAnsi="宋体"/>
          <w:bCs/>
          <w:color w:val="auto"/>
          <w:sz w:val="24"/>
          <w:szCs w:val="24"/>
          <w:highlight w:val="none"/>
          <w:u w:val="single"/>
        </w:rPr>
        <w:t>名称）　　</w:t>
      </w:r>
      <w:r>
        <w:rPr>
          <w:rFonts w:hint="eastAsia" w:ascii="宋体" w:hAnsi="宋体"/>
          <w:bCs/>
          <w:color w:val="auto"/>
          <w:sz w:val="24"/>
          <w:szCs w:val="24"/>
          <w:highlight w:val="none"/>
        </w:rPr>
        <w:t>、法定代表人</w:t>
      </w:r>
      <w:r>
        <w:rPr>
          <w:rFonts w:hint="eastAsia" w:ascii="宋体" w:hAnsi="宋体"/>
          <w:bCs/>
          <w:color w:val="auto"/>
          <w:sz w:val="24"/>
          <w:szCs w:val="24"/>
          <w:highlight w:val="none"/>
          <w:u w:val="single"/>
        </w:rPr>
        <w:t>　　　　　　</w:t>
      </w:r>
      <w:r>
        <w:rPr>
          <w:rFonts w:hint="eastAsia" w:ascii="宋体" w:hAnsi="宋体"/>
          <w:bCs/>
          <w:color w:val="auto"/>
          <w:sz w:val="24"/>
          <w:szCs w:val="24"/>
          <w:highlight w:val="none"/>
        </w:rPr>
        <w:t>、拟派项目</w:t>
      </w:r>
      <w:r>
        <w:rPr>
          <w:rFonts w:hint="eastAsia" w:ascii="宋体" w:hAnsi="宋体"/>
          <w:bCs/>
          <w:color w:val="auto"/>
          <w:sz w:val="24"/>
          <w:szCs w:val="24"/>
          <w:highlight w:val="none"/>
          <w:lang w:val="en-US" w:eastAsia="zh-CN"/>
        </w:rPr>
        <w:t>经理</w:t>
      </w:r>
      <w:r>
        <w:rPr>
          <w:rFonts w:hint="eastAsia" w:ascii="宋体" w:hAnsi="宋体"/>
          <w:bCs/>
          <w:color w:val="auto"/>
          <w:sz w:val="24"/>
          <w:szCs w:val="24"/>
          <w:highlight w:val="none"/>
          <w:u w:val="single"/>
        </w:rPr>
        <w:t>　　　　　</w:t>
      </w:r>
      <w:r>
        <w:rPr>
          <w:rFonts w:hint="eastAsia" w:ascii="宋体" w:hAnsi="宋体"/>
          <w:bCs/>
          <w:color w:val="auto"/>
          <w:sz w:val="24"/>
          <w:szCs w:val="24"/>
          <w:highlight w:val="none"/>
        </w:rPr>
        <w:t xml:space="preserve"> 没有出现过商业贿赂和不正当竞争行为。</w:t>
      </w:r>
    </w:p>
    <w:p w14:paraId="2AF77EA6">
      <w:pPr>
        <w:spacing w:line="800" w:lineRule="exact"/>
        <w:ind w:firstLine="480" w:firstLineChars="200"/>
        <w:textAlignment w:val="center"/>
        <w:rPr>
          <w:rFonts w:ascii="宋体" w:hAnsi="宋体"/>
          <w:bCs/>
          <w:color w:val="auto"/>
          <w:sz w:val="24"/>
          <w:szCs w:val="24"/>
          <w:highlight w:val="none"/>
        </w:rPr>
      </w:pPr>
    </w:p>
    <w:p w14:paraId="399D1218">
      <w:pPr>
        <w:spacing w:line="480" w:lineRule="exact"/>
        <w:ind w:firstLine="480" w:firstLineChars="200"/>
        <w:textAlignment w:val="center"/>
        <w:rPr>
          <w:rFonts w:ascii="宋体" w:hAnsi="宋体"/>
          <w:bCs/>
          <w:color w:val="auto"/>
          <w:sz w:val="24"/>
          <w:szCs w:val="24"/>
          <w:highlight w:val="none"/>
        </w:rPr>
      </w:pPr>
      <w:r>
        <w:rPr>
          <w:rFonts w:hint="eastAsia" w:ascii="宋体" w:hAnsi="宋体"/>
          <w:bCs/>
          <w:color w:val="auto"/>
          <w:sz w:val="24"/>
          <w:szCs w:val="24"/>
          <w:highlight w:val="none"/>
        </w:rPr>
        <w:t xml:space="preserve">　　特此承诺 </w:t>
      </w:r>
    </w:p>
    <w:p w14:paraId="426B8F98">
      <w:pPr>
        <w:spacing w:line="480" w:lineRule="exact"/>
        <w:textAlignment w:val="center"/>
        <w:rPr>
          <w:rFonts w:ascii="仿宋_GB2312" w:hAnsi="宋体" w:eastAsia="仿宋_GB2312"/>
          <w:color w:val="auto"/>
          <w:sz w:val="24"/>
          <w:szCs w:val="24"/>
          <w:highlight w:val="none"/>
        </w:rPr>
      </w:pPr>
    </w:p>
    <w:p w14:paraId="009DA495">
      <w:pPr>
        <w:spacing w:line="480" w:lineRule="exact"/>
        <w:ind w:firstLine="480" w:firstLineChars="200"/>
        <w:textAlignment w:val="center"/>
        <w:rPr>
          <w:rFonts w:ascii="宋体"/>
          <w:color w:val="auto"/>
          <w:sz w:val="24"/>
          <w:szCs w:val="24"/>
          <w:highlight w:val="none"/>
        </w:rPr>
      </w:pPr>
      <w:r>
        <w:rPr>
          <w:rFonts w:hint="eastAsia" w:ascii="仿宋_GB2312" w:hAnsi="宋体" w:eastAsia="仿宋_GB2312"/>
          <w:color w:val="auto"/>
          <w:sz w:val="24"/>
          <w:szCs w:val="24"/>
          <w:highlight w:val="none"/>
        </w:rPr>
        <w:t xml:space="preserve"> 　　　　　　　　　　　</w:t>
      </w:r>
      <w:r>
        <w:rPr>
          <w:rFonts w:hint="eastAsia" w:ascii="宋体" w:hAnsi="宋体"/>
          <w:color w:val="auto"/>
          <w:sz w:val="24"/>
          <w:szCs w:val="24"/>
          <w:highlight w:val="none"/>
        </w:rPr>
        <w:t>　　</w:t>
      </w:r>
      <w:r>
        <w:rPr>
          <w:rFonts w:hint="eastAsia" w:ascii="宋体" w:hAnsi="宋体"/>
          <w:bCs/>
          <w:color w:val="auto"/>
          <w:sz w:val="24"/>
          <w:szCs w:val="24"/>
          <w:highlight w:val="none"/>
        </w:rPr>
        <w:t>磋商</w:t>
      </w:r>
      <w:r>
        <w:rPr>
          <w:rFonts w:hint="eastAsia" w:ascii="宋体" w:hAnsi="宋体"/>
          <w:bCs/>
          <w:color w:val="auto"/>
          <w:sz w:val="24"/>
          <w:szCs w:val="24"/>
          <w:highlight w:val="none"/>
          <w:lang w:eastAsia="zh-CN"/>
        </w:rPr>
        <w:t>供应商</w:t>
      </w:r>
      <w:r>
        <w:rPr>
          <w:rFonts w:hint="eastAsia" w:ascii="宋体" w:hAnsi="宋体"/>
          <w:color w:val="auto"/>
          <w:sz w:val="24"/>
          <w:szCs w:val="24"/>
          <w:highlight w:val="none"/>
        </w:rPr>
        <w:t>（盖单位公章）：</w:t>
      </w:r>
    </w:p>
    <w:p w14:paraId="1B391024">
      <w:pPr>
        <w:spacing w:line="480" w:lineRule="exact"/>
        <w:ind w:firstLine="3794" w:firstLineChars="1581"/>
        <w:rPr>
          <w:rFonts w:ascii="宋体"/>
          <w:color w:val="auto"/>
          <w:sz w:val="24"/>
          <w:szCs w:val="24"/>
          <w:highlight w:val="none"/>
        </w:rPr>
      </w:pPr>
      <w:r>
        <w:rPr>
          <w:rFonts w:hint="eastAsia" w:ascii="宋体" w:hAnsi="宋体"/>
          <w:bCs/>
          <w:color w:val="auto"/>
          <w:sz w:val="24"/>
          <w:szCs w:val="24"/>
          <w:highlight w:val="none"/>
        </w:rPr>
        <w:t>法人代表人</w:t>
      </w:r>
      <w:r>
        <w:rPr>
          <w:rFonts w:hint="eastAsia" w:ascii="宋体" w:hAnsi="宋体"/>
          <w:color w:val="auto"/>
          <w:sz w:val="24"/>
          <w:szCs w:val="24"/>
          <w:highlight w:val="none"/>
        </w:rPr>
        <w:t>（电子签章）：</w:t>
      </w:r>
    </w:p>
    <w:p w14:paraId="0B9DA610">
      <w:pPr>
        <w:spacing w:line="480" w:lineRule="exact"/>
        <w:ind w:firstLine="3794" w:firstLineChars="1581"/>
        <w:rPr>
          <w:rFonts w:ascii="宋体"/>
          <w:bCs/>
          <w:color w:val="auto"/>
          <w:sz w:val="24"/>
          <w:szCs w:val="24"/>
          <w:highlight w:val="none"/>
        </w:rPr>
      </w:pPr>
      <w:r>
        <w:rPr>
          <w:rFonts w:hint="eastAsia" w:ascii="宋体" w:hAnsi="宋体"/>
          <w:bCs/>
          <w:color w:val="auto"/>
          <w:sz w:val="24"/>
          <w:szCs w:val="24"/>
          <w:highlight w:val="none"/>
        </w:rPr>
        <w:t>日期：年月日</w:t>
      </w:r>
    </w:p>
    <w:p w14:paraId="081F8951">
      <w:pPr>
        <w:spacing w:line="480" w:lineRule="exact"/>
        <w:textAlignment w:val="center"/>
        <w:rPr>
          <w:rFonts w:ascii="仿宋_GB2312" w:hAnsi="宋体" w:eastAsia="仿宋_GB2312"/>
          <w:color w:val="auto"/>
          <w:sz w:val="24"/>
          <w:szCs w:val="24"/>
          <w:highlight w:val="none"/>
        </w:rPr>
      </w:pPr>
    </w:p>
    <w:p w14:paraId="76537D00">
      <w:pPr>
        <w:spacing w:line="480" w:lineRule="exact"/>
        <w:jc w:val="center"/>
        <w:textAlignment w:val="center"/>
        <w:rPr>
          <w:rFonts w:ascii="仿宋_GB2312" w:hAnsi="宋体" w:eastAsia="仿宋_GB2312"/>
          <w:color w:val="auto"/>
          <w:sz w:val="24"/>
          <w:szCs w:val="24"/>
          <w:highlight w:val="none"/>
        </w:rPr>
      </w:pPr>
    </w:p>
    <w:p w14:paraId="0B468225">
      <w:pPr>
        <w:spacing w:line="480" w:lineRule="exact"/>
        <w:jc w:val="center"/>
        <w:textAlignment w:val="center"/>
        <w:rPr>
          <w:rFonts w:ascii="仿宋_GB2312" w:hAnsi="宋体" w:eastAsia="仿宋_GB2312"/>
          <w:color w:val="auto"/>
          <w:sz w:val="24"/>
          <w:szCs w:val="24"/>
          <w:highlight w:val="none"/>
        </w:rPr>
      </w:pPr>
    </w:p>
    <w:p w14:paraId="6C916705">
      <w:pPr>
        <w:spacing w:line="480" w:lineRule="exact"/>
        <w:jc w:val="center"/>
        <w:textAlignment w:val="center"/>
        <w:rPr>
          <w:rFonts w:ascii="仿宋_GB2312" w:hAnsi="宋体" w:eastAsia="仿宋_GB2312"/>
          <w:color w:val="auto"/>
          <w:sz w:val="24"/>
          <w:szCs w:val="24"/>
          <w:highlight w:val="none"/>
        </w:rPr>
      </w:pPr>
    </w:p>
    <w:p w14:paraId="0A4B9F85">
      <w:pPr>
        <w:spacing w:line="480" w:lineRule="exact"/>
        <w:jc w:val="center"/>
        <w:textAlignment w:val="center"/>
        <w:rPr>
          <w:rFonts w:ascii="仿宋_GB2312" w:hAnsi="宋体" w:eastAsia="仿宋_GB2312"/>
          <w:color w:val="auto"/>
          <w:sz w:val="24"/>
          <w:szCs w:val="24"/>
          <w:highlight w:val="none"/>
        </w:rPr>
      </w:pPr>
    </w:p>
    <w:p w14:paraId="4BC8A902">
      <w:pPr>
        <w:spacing w:line="480" w:lineRule="exact"/>
        <w:jc w:val="center"/>
        <w:textAlignment w:val="center"/>
        <w:rPr>
          <w:rFonts w:ascii="仿宋_GB2312" w:hAnsi="宋体" w:eastAsia="仿宋_GB2312"/>
          <w:color w:val="auto"/>
          <w:sz w:val="24"/>
          <w:szCs w:val="24"/>
          <w:highlight w:val="none"/>
        </w:rPr>
      </w:pPr>
    </w:p>
    <w:p w14:paraId="415C02D1">
      <w:pPr>
        <w:rPr>
          <w:rFonts w:hint="eastAsia" w:ascii="宋体" w:hAnsi="宋体"/>
          <w:b w:val="0"/>
          <w:bCs w:val="0"/>
          <w:color w:val="auto"/>
          <w:sz w:val="28"/>
          <w:highlight w:val="none"/>
        </w:rPr>
      </w:pPr>
      <w:r>
        <w:rPr>
          <w:rFonts w:hint="eastAsia" w:ascii="宋体" w:hAnsi="宋体"/>
          <w:b w:val="0"/>
          <w:bCs w:val="0"/>
          <w:color w:val="auto"/>
          <w:sz w:val="28"/>
          <w:highlight w:val="none"/>
        </w:rPr>
        <w:br w:type="page"/>
      </w:r>
    </w:p>
    <w:p w14:paraId="40A13BDF">
      <w:pPr>
        <w:pStyle w:val="4"/>
        <w:keepLines w:val="0"/>
        <w:spacing w:line="420" w:lineRule="exact"/>
        <w:jc w:val="center"/>
        <w:rPr>
          <w:rFonts w:hint="eastAsia" w:ascii="宋体" w:hAnsi="宋体"/>
          <w:b w:val="0"/>
          <w:bCs w:val="0"/>
          <w:color w:val="auto"/>
          <w:sz w:val="28"/>
          <w:highlight w:val="none"/>
        </w:rPr>
      </w:pPr>
    </w:p>
    <w:p w14:paraId="4DC0BCFF">
      <w:pPr>
        <w:pStyle w:val="4"/>
        <w:keepLines w:val="0"/>
        <w:spacing w:line="420" w:lineRule="exact"/>
        <w:jc w:val="center"/>
        <w:rPr>
          <w:rFonts w:ascii="宋体" w:hAnsi="宋体"/>
          <w:b w:val="0"/>
          <w:bCs w:val="0"/>
          <w:color w:val="auto"/>
          <w:sz w:val="28"/>
          <w:highlight w:val="none"/>
        </w:rPr>
      </w:pPr>
      <w:r>
        <w:rPr>
          <w:rFonts w:hint="eastAsia" w:ascii="宋体" w:hAnsi="宋体"/>
          <w:b w:val="0"/>
          <w:bCs w:val="0"/>
          <w:color w:val="auto"/>
          <w:sz w:val="28"/>
          <w:highlight w:val="none"/>
        </w:rPr>
        <w:t>（</w:t>
      </w:r>
      <w:r>
        <w:rPr>
          <w:rFonts w:hint="eastAsia" w:ascii="宋体" w:hAnsi="宋体"/>
          <w:b w:val="0"/>
          <w:bCs w:val="0"/>
          <w:color w:val="auto"/>
          <w:sz w:val="28"/>
          <w:highlight w:val="none"/>
          <w:lang w:val="en-US" w:eastAsia="zh-CN"/>
        </w:rPr>
        <w:t>五</w:t>
      </w:r>
      <w:r>
        <w:rPr>
          <w:rFonts w:hint="eastAsia" w:ascii="宋体" w:hAnsi="宋体"/>
          <w:b w:val="0"/>
          <w:bCs w:val="0"/>
          <w:color w:val="auto"/>
          <w:sz w:val="28"/>
          <w:highlight w:val="none"/>
        </w:rPr>
        <w:t>）项目</w:t>
      </w:r>
      <w:r>
        <w:rPr>
          <w:rFonts w:hint="eastAsia" w:ascii="宋体" w:hAnsi="宋体"/>
          <w:b w:val="0"/>
          <w:bCs w:val="0"/>
          <w:color w:val="auto"/>
          <w:sz w:val="28"/>
          <w:highlight w:val="none"/>
          <w:lang w:val="en-US" w:eastAsia="zh-CN"/>
        </w:rPr>
        <w:t>经理</w:t>
      </w:r>
      <w:r>
        <w:rPr>
          <w:rFonts w:hint="eastAsia" w:ascii="宋体" w:hAnsi="宋体"/>
          <w:b w:val="0"/>
          <w:bCs w:val="0"/>
          <w:color w:val="auto"/>
          <w:sz w:val="28"/>
          <w:highlight w:val="none"/>
        </w:rPr>
        <w:t>无在建承诺书</w:t>
      </w:r>
    </w:p>
    <w:p w14:paraId="6BC2A478">
      <w:pPr>
        <w:spacing w:afterLines="100" w:line="520" w:lineRule="exact"/>
        <w:textAlignment w:val="center"/>
        <w:rPr>
          <w:rFonts w:ascii="宋体" w:hAnsi="宋体"/>
          <w:color w:val="auto"/>
          <w:sz w:val="24"/>
          <w:szCs w:val="24"/>
          <w:highlight w:val="none"/>
        </w:rPr>
      </w:pPr>
      <w:r>
        <w:rPr>
          <w:rFonts w:hint="eastAsia" w:ascii="宋体" w:hAnsi="宋体"/>
          <w:color w:val="auto"/>
          <w:sz w:val="24"/>
          <w:szCs w:val="24"/>
          <w:highlight w:val="none"/>
          <w:u w:val="single"/>
        </w:rPr>
        <w:t>（招标人名称）</w:t>
      </w:r>
      <w:r>
        <w:rPr>
          <w:rFonts w:hint="eastAsia" w:ascii="宋体" w:hAnsi="宋体"/>
          <w:color w:val="auto"/>
          <w:sz w:val="24"/>
          <w:szCs w:val="24"/>
          <w:highlight w:val="none"/>
        </w:rPr>
        <w:t>：</w:t>
      </w:r>
    </w:p>
    <w:p w14:paraId="06E83A1B">
      <w:pPr>
        <w:spacing w:line="52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我方在此声明，我方拟派往 （项目名称）（以下简称“本工程”）的项目</w:t>
      </w:r>
      <w:r>
        <w:rPr>
          <w:rFonts w:hint="eastAsia" w:ascii="宋体" w:hAnsi="宋体"/>
          <w:color w:val="auto"/>
          <w:sz w:val="24"/>
          <w:szCs w:val="24"/>
          <w:highlight w:val="none"/>
          <w:lang w:val="en-US" w:eastAsia="zh-CN"/>
        </w:rPr>
        <w:t>经理</w:t>
      </w:r>
      <w:r>
        <w:rPr>
          <w:rFonts w:hint="eastAsia" w:ascii="宋体" w:hAnsi="宋体"/>
          <w:color w:val="auto"/>
          <w:sz w:val="24"/>
          <w:szCs w:val="24"/>
          <w:highlight w:val="none"/>
        </w:rPr>
        <w:t xml:space="preserve"> （项目</w:t>
      </w:r>
      <w:r>
        <w:rPr>
          <w:rFonts w:hint="eastAsia" w:ascii="宋体" w:hAnsi="宋体"/>
          <w:color w:val="auto"/>
          <w:sz w:val="24"/>
          <w:szCs w:val="24"/>
          <w:highlight w:val="none"/>
          <w:lang w:val="en-US" w:eastAsia="zh-CN"/>
        </w:rPr>
        <w:t>经理</w:t>
      </w:r>
      <w:r>
        <w:rPr>
          <w:rFonts w:hint="eastAsia" w:ascii="宋体" w:hAnsi="宋体"/>
          <w:color w:val="auto"/>
          <w:sz w:val="24"/>
          <w:szCs w:val="24"/>
          <w:highlight w:val="none"/>
        </w:rPr>
        <w:t>姓名）目前无在建项目。</w:t>
      </w:r>
    </w:p>
    <w:p w14:paraId="02C449C9">
      <w:pPr>
        <w:spacing w:line="52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我方保证上述信息的真实和准确，并愿意承担因我方就此弄虚作假所引起的一切法律后果。</w:t>
      </w:r>
    </w:p>
    <w:p w14:paraId="1374393C">
      <w:pPr>
        <w:spacing w:line="480" w:lineRule="exact"/>
        <w:ind w:firstLine="480" w:firstLineChars="200"/>
        <w:textAlignment w:val="center"/>
        <w:rPr>
          <w:rFonts w:ascii="宋体" w:hAnsi="宋体"/>
          <w:color w:val="auto"/>
          <w:sz w:val="24"/>
          <w:szCs w:val="24"/>
          <w:highlight w:val="none"/>
        </w:rPr>
      </w:pPr>
    </w:p>
    <w:p w14:paraId="0576AB4E">
      <w:pPr>
        <w:spacing w:line="480" w:lineRule="exact"/>
        <w:ind w:firstLine="480" w:firstLineChars="200"/>
        <w:textAlignment w:val="center"/>
        <w:rPr>
          <w:rFonts w:ascii="宋体" w:hAnsi="宋体"/>
          <w:color w:val="auto"/>
          <w:sz w:val="24"/>
          <w:szCs w:val="24"/>
          <w:highlight w:val="none"/>
        </w:rPr>
      </w:pPr>
    </w:p>
    <w:p w14:paraId="69755CB9">
      <w:pPr>
        <w:spacing w:line="480" w:lineRule="exact"/>
        <w:ind w:firstLine="480" w:firstLineChars="200"/>
        <w:textAlignment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特此承诺</w:t>
      </w:r>
      <w:r>
        <w:rPr>
          <w:rFonts w:hint="eastAsia" w:ascii="宋体" w:hAnsi="宋体"/>
          <w:color w:val="auto"/>
          <w:sz w:val="24"/>
          <w:szCs w:val="24"/>
          <w:highlight w:val="none"/>
          <w:lang w:eastAsia="zh-CN"/>
        </w:rPr>
        <w:t>！</w:t>
      </w:r>
    </w:p>
    <w:p w14:paraId="32F46085">
      <w:pPr>
        <w:spacing w:line="480" w:lineRule="exact"/>
        <w:ind w:firstLine="480" w:firstLineChars="200"/>
        <w:textAlignment w:val="center"/>
        <w:rPr>
          <w:rFonts w:ascii="宋体" w:hAnsi="宋体"/>
          <w:color w:val="auto"/>
          <w:sz w:val="24"/>
          <w:szCs w:val="24"/>
          <w:highlight w:val="none"/>
        </w:rPr>
      </w:pPr>
    </w:p>
    <w:p w14:paraId="3CEF03BD">
      <w:pPr>
        <w:spacing w:line="480" w:lineRule="exact"/>
        <w:ind w:firstLine="480" w:firstLineChars="200"/>
        <w:textAlignment w:val="center"/>
        <w:rPr>
          <w:rFonts w:ascii="宋体" w:hAnsi="宋体"/>
          <w:color w:val="auto"/>
          <w:sz w:val="24"/>
          <w:szCs w:val="24"/>
          <w:highlight w:val="none"/>
        </w:rPr>
      </w:pPr>
    </w:p>
    <w:p w14:paraId="7B3137ED">
      <w:pPr>
        <w:spacing w:line="480" w:lineRule="exact"/>
        <w:ind w:firstLine="480" w:firstLineChars="200"/>
        <w:textAlignment w:val="center"/>
        <w:rPr>
          <w:rFonts w:ascii="宋体" w:hAnsi="宋体"/>
          <w:color w:val="auto"/>
          <w:sz w:val="24"/>
          <w:szCs w:val="24"/>
          <w:highlight w:val="none"/>
        </w:rPr>
      </w:pPr>
    </w:p>
    <w:p w14:paraId="0AE9EA16">
      <w:pPr>
        <w:spacing w:line="480" w:lineRule="exact"/>
        <w:ind w:firstLine="4800" w:firstLineChars="2000"/>
        <w:textAlignment w:val="center"/>
        <w:rPr>
          <w:rFonts w:ascii="宋体"/>
          <w:color w:val="auto"/>
          <w:sz w:val="24"/>
          <w:szCs w:val="24"/>
          <w:highlight w:val="none"/>
        </w:rPr>
      </w:pPr>
      <w:r>
        <w:rPr>
          <w:rFonts w:hint="eastAsia" w:ascii="宋体" w:hAnsi="宋体"/>
          <w:bCs/>
          <w:color w:val="auto"/>
          <w:sz w:val="24"/>
          <w:szCs w:val="24"/>
          <w:highlight w:val="none"/>
        </w:rPr>
        <w:t>磋商</w:t>
      </w:r>
      <w:r>
        <w:rPr>
          <w:rFonts w:hint="eastAsia" w:ascii="宋体" w:hAnsi="宋体"/>
          <w:bCs/>
          <w:color w:val="auto"/>
          <w:sz w:val="24"/>
          <w:szCs w:val="24"/>
          <w:highlight w:val="none"/>
          <w:lang w:eastAsia="zh-CN"/>
        </w:rPr>
        <w:t>供应商</w:t>
      </w:r>
      <w:r>
        <w:rPr>
          <w:rFonts w:hint="eastAsia" w:ascii="宋体" w:hAnsi="宋体"/>
          <w:color w:val="auto"/>
          <w:sz w:val="24"/>
          <w:szCs w:val="24"/>
          <w:highlight w:val="none"/>
        </w:rPr>
        <w:t>（盖单位公章）：</w:t>
      </w:r>
    </w:p>
    <w:p w14:paraId="0AC70001">
      <w:pPr>
        <w:spacing w:line="480" w:lineRule="exact"/>
        <w:ind w:firstLine="4749" w:firstLineChars="1979"/>
        <w:rPr>
          <w:rFonts w:ascii="宋体"/>
          <w:color w:val="auto"/>
          <w:sz w:val="24"/>
          <w:szCs w:val="24"/>
          <w:highlight w:val="none"/>
        </w:rPr>
      </w:pPr>
      <w:r>
        <w:rPr>
          <w:rFonts w:hint="eastAsia" w:ascii="宋体" w:hAnsi="宋体"/>
          <w:bCs/>
          <w:color w:val="auto"/>
          <w:sz w:val="24"/>
          <w:szCs w:val="24"/>
          <w:highlight w:val="none"/>
        </w:rPr>
        <w:t>法人代表人</w:t>
      </w:r>
      <w:r>
        <w:rPr>
          <w:rFonts w:hint="eastAsia" w:ascii="宋体" w:hAnsi="宋体"/>
          <w:color w:val="auto"/>
          <w:sz w:val="24"/>
          <w:szCs w:val="24"/>
          <w:highlight w:val="none"/>
        </w:rPr>
        <w:t>（电子签章）：</w:t>
      </w:r>
    </w:p>
    <w:p w14:paraId="42405AA6">
      <w:pPr>
        <w:spacing w:line="480" w:lineRule="exact"/>
        <w:ind w:firstLine="4989" w:firstLineChars="2079"/>
        <w:rPr>
          <w:rFonts w:ascii="宋体"/>
          <w:bCs/>
          <w:color w:val="auto"/>
          <w:sz w:val="24"/>
          <w:szCs w:val="24"/>
          <w:highlight w:val="none"/>
        </w:rPr>
      </w:pPr>
      <w:r>
        <w:rPr>
          <w:rFonts w:hint="eastAsia" w:ascii="宋体" w:hAnsi="宋体"/>
          <w:bCs/>
          <w:color w:val="auto"/>
          <w:sz w:val="24"/>
          <w:szCs w:val="24"/>
          <w:highlight w:val="none"/>
        </w:rPr>
        <w:t>日期：年月日</w:t>
      </w:r>
    </w:p>
    <w:p w14:paraId="2D94982A">
      <w:pPr>
        <w:spacing w:line="480" w:lineRule="exact"/>
        <w:jc w:val="center"/>
        <w:textAlignment w:val="center"/>
        <w:rPr>
          <w:rFonts w:ascii="宋体" w:hAnsi="宋体"/>
          <w:color w:val="auto"/>
          <w:kern w:val="0"/>
          <w:sz w:val="28"/>
          <w:szCs w:val="28"/>
          <w:highlight w:val="none"/>
        </w:rPr>
      </w:pPr>
    </w:p>
    <w:p w14:paraId="67977033">
      <w:pPr>
        <w:spacing w:line="480" w:lineRule="exact"/>
        <w:jc w:val="center"/>
        <w:textAlignment w:val="center"/>
        <w:rPr>
          <w:rFonts w:ascii="宋体" w:hAnsi="宋体"/>
          <w:color w:val="auto"/>
          <w:kern w:val="0"/>
          <w:sz w:val="28"/>
          <w:szCs w:val="28"/>
          <w:highlight w:val="none"/>
        </w:rPr>
      </w:pPr>
    </w:p>
    <w:p w14:paraId="2FA8DEAE">
      <w:pPr>
        <w:spacing w:line="480" w:lineRule="exact"/>
        <w:jc w:val="center"/>
        <w:textAlignment w:val="center"/>
        <w:rPr>
          <w:rFonts w:ascii="宋体" w:hAnsi="宋体"/>
          <w:color w:val="auto"/>
          <w:kern w:val="0"/>
          <w:sz w:val="28"/>
          <w:szCs w:val="28"/>
          <w:highlight w:val="none"/>
        </w:rPr>
      </w:pPr>
    </w:p>
    <w:p w14:paraId="133E96EB">
      <w:pPr>
        <w:spacing w:line="480" w:lineRule="exact"/>
        <w:jc w:val="center"/>
        <w:textAlignment w:val="center"/>
        <w:rPr>
          <w:rFonts w:ascii="宋体" w:hAnsi="宋体"/>
          <w:color w:val="auto"/>
          <w:kern w:val="0"/>
          <w:sz w:val="28"/>
          <w:szCs w:val="28"/>
          <w:highlight w:val="none"/>
        </w:rPr>
      </w:pPr>
    </w:p>
    <w:p w14:paraId="7829532F">
      <w:pPr>
        <w:spacing w:line="480" w:lineRule="exact"/>
        <w:jc w:val="center"/>
        <w:textAlignment w:val="center"/>
        <w:rPr>
          <w:rFonts w:ascii="宋体" w:hAnsi="宋体"/>
          <w:color w:val="auto"/>
          <w:kern w:val="0"/>
          <w:sz w:val="28"/>
          <w:szCs w:val="28"/>
          <w:highlight w:val="none"/>
        </w:rPr>
      </w:pPr>
    </w:p>
    <w:p w14:paraId="1FFE7B65">
      <w:pPr>
        <w:spacing w:line="480" w:lineRule="exact"/>
        <w:jc w:val="center"/>
        <w:textAlignment w:val="center"/>
        <w:rPr>
          <w:rFonts w:ascii="宋体" w:hAnsi="宋体"/>
          <w:color w:val="auto"/>
          <w:kern w:val="0"/>
          <w:sz w:val="28"/>
          <w:szCs w:val="28"/>
          <w:highlight w:val="none"/>
        </w:rPr>
      </w:pPr>
    </w:p>
    <w:p w14:paraId="6D6D082B">
      <w:pPr>
        <w:spacing w:line="480" w:lineRule="exact"/>
        <w:jc w:val="center"/>
        <w:textAlignment w:val="center"/>
        <w:rPr>
          <w:rFonts w:ascii="宋体" w:hAnsi="宋体"/>
          <w:color w:val="auto"/>
          <w:kern w:val="0"/>
          <w:sz w:val="28"/>
          <w:szCs w:val="28"/>
          <w:highlight w:val="none"/>
        </w:rPr>
      </w:pPr>
    </w:p>
    <w:p w14:paraId="0B17C2CC">
      <w:pPr>
        <w:spacing w:line="480" w:lineRule="exact"/>
        <w:jc w:val="center"/>
        <w:textAlignment w:val="center"/>
        <w:rPr>
          <w:rFonts w:ascii="宋体" w:hAnsi="宋体"/>
          <w:color w:val="auto"/>
          <w:kern w:val="0"/>
          <w:sz w:val="28"/>
          <w:szCs w:val="28"/>
          <w:highlight w:val="none"/>
        </w:rPr>
      </w:pPr>
    </w:p>
    <w:p w14:paraId="263B430D">
      <w:pPr>
        <w:spacing w:line="480" w:lineRule="exact"/>
        <w:jc w:val="center"/>
        <w:textAlignment w:val="center"/>
        <w:rPr>
          <w:rFonts w:ascii="宋体" w:hAnsi="宋体"/>
          <w:color w:val="auto"/>
          <w:kern w:val="0"/>
          <w:sz w:val="28"/>
          <w:szCs w:val="28"/>
          <w:highlight w:val="none"/>
        </w:rPr>
      </w:pPr>
    </w:p>
    <w:p w14:paraId="51EAE915">
      <w:pPr>
        <w:spacing w:line="480" w:lineRule="exact"/>
        <w:jc w:val="center"/>
        <w:textAlignment w:val="center"/>
        <w:rPr>
          <w:rFonts w:ascii="宋体" w:hAnsi="宋体"/>
          <w:color w:val="auto"/>
          <w:kern w:val="0"/>
          <w:sz w:val="28"/>
          <w:szCs w:val="28"/>
          <w:highlight w:val="none"/>
        </w:rPr>
      </w:pPr>
    </w:p>
    <w:p w14:paraId="6DECE07C">
      <w:pPr>
        <w:spacing w:line="480" w:lineRule="exact"/>
        <w:jc w:val="center"/>
        <w:textAlignment w:val="center"/>
        <w:rPr>
          <w:rFonts w:ascii="宋体" w:hAnsi="宋体"/>
          <w:color w:val="auto"/>
          <w:kern w:val="0"/>
          <w:sz w:val="28"/>
          <w:szCs w:val="28"/>
          <w:highlight w:val="none"/>
        </w:rPr>
      </w:pPr>
    </w:p>
    <w:p w14:paraId="28D1A108">
      <w:pPr>
        <w:spacing w:line="480" w:lineRule="exact"/>
        <w:jc w:val="center"/>
        <w:textAlignment w:val="center"/>
        <w:rPr>
          <w:rFonts w:ascii="宋体" w:hAnsi="宋体"/>
          <w:color w:val="auto"/>
          <w:kern w:val="0"/>
          <w:sz w:val="28"/>
          <w:szCs w:val="28"/>
          <w:highlight w:val="none"/>
        </w:rPr>
      </w:pPr>
    </w:p>
    <w:p w14:paraId="511D26C1">
      <w:pPr>
        <w:spacing w:line="360" w:lineRule="auto"/>
        <w:jc w:val="center"/>
        <w:outlineLvl w:val="0"/>
        <w:rPr>
          <w:rFonts w:ascii="宋体" w:hAnsi="宋体"/>
          <w:color w:val="auto"/>
          <w:kern w:val="0"/>
          <w:sz w:val="28"/>
          <w:szCs w:val="28"/>
          <w:highlight w:val="none"/>
          <w:lang w:val="zh-CN"/>
        </w:rPr>
      </w:pPr>
      <w:r>
        <w:rPr>
          <w:rFonts w:hint="eastAsia" w:ascii="宋体" w:hAnsi="宋体"/>
          <w:color w:val="auto"/>
          <w:kern w:val="0"/>
          <w:sz w:val="28"/>
          <w:szCs w:val="28"/>
          <w:highlight w:val="none"/>
        </w:rPr>
        <w:t>（</w:t>
      </w:r>
      <w:r>
        <w:rPr>
          <w:rFonts w:hint="eastAsia" w:ascii="宋体" w:hAnsi="宋体"/>
          <w:color w:val="auto"/>
          <w:kern w:val="0"/>
          <w:sz w:val="28"/>
          <w:szCs w:val="28"/>
          <w:highlight w:val="none"/>
          <w:lang w:val="en-US" w:eastAsia="zh-CN"/>
        </w:rPr>
        <w:t>六</w:t>
      </w:r>
      <w:r>
        <w:rPr>
          <w:rFonts w:hint="eastAsia" w:ascii="宋体" w:hAnsi="宋体"/>
          <w:color w:val="auto"/>
          <w:kern w:val="0"/>
          <w:sz w:val="28"/>
          <w:szCs w:val="28"/>
          <w:highlight w:val="none"/>
        </w:rPr>
        <w:t>）</w:t>
      </w:r>
      <w:r>
        <w:rPr>
          <w:rFonts w:hint="eastAsia" w:ascii="宋体" w:hAnsi="宋体"/>
          <w:color w:val="auto"/>
          <w:kern w:val="0"/>
          <w:sz w:val="28"/>
          <w:szCs w:val="28"/>
          <w:highlight w:val="none"/>
          <w:lang w:val="zh-CN"/>
        </w:rPr>
        <w:t>中小企业声明函（</w:t>
      </w:r>
      <w:r>
        <w:rPr>
          <w:rFonts w:hint="eastAsia" w:ascii="宋体" w:hAnsi="宋体"/>
          <w:color w:val="auto"/>
          <w:kern w:val="0"/>
          <w:sz w:val="28"/>
          <w:szCs w:val="28"/>
          <w:highlight w:val="none"/>
        </w:rPr>
        <w:t>工程</w:t>
      </w:r>
      <w:r>
        <w:rPr>
          <w:rFonts w:hint="eastAsia" w:ascii="宋体" w:hAnsi="宋体"/>
          <w:color w:val="auto"/>
          <w:kern w:val="0"/>
          <w:sz w:val="28"/>
          <w:szCs w:val="28"/>
          <w:highlight w:val="none"/>
          <w:lang w:val="zh-CN"/>
        </w:rPr>
        <w:t>）</w:t>
      </w:r>
    </w:p>
    <w:p w14:paraId="73505D39">
      <w:pPr>
        <w:spacing w:line="360" w:lineRule="auto"/>
        <w:jc w:val="center"/>
        <w:outlineLvl w:val="0"/>
        <w:rPr>
          <w:rFonts w:hint="eastAsia" w:ascii="宋体" w:hAnsi="宋体" w:eastAsia="宋体" w:cs="宋体"/>
          <w:b/>
          <w:color w:val="auto"/>
          <w:sz w:val="24"/>
          <w:szCs w:val="24"/>
          <w:highlight w:val="none"/>
        </w:rPr>
      </w:pPr>
      <w:bookmarkStart w:id="329" w:name="_Toc30273"/>
      <w:r>
        <w:rPr>
          <w:rFonts w:hint="eastAsia" w:ascii="宋体" w:hAnsi="宋体" w:eastAsia="宋体" w:cs="宋体"/>
          <w:color w:val="auto"/>
          <w:sz w:val="24"/>
          <w:szCs w:val="24"/>
          <w:highlight w:val="none"/>
        </w:rPr>
        <w:t xml:space="preserve">1. </w:t>
      </w:r>
      <w:bookmarkStart w:id="330" w:name="_Toc2073"/>
      <w:r>
        <w:rPr>
          <w:rFonts w:hint="eastAsia" w:ascii="宋体" w:hAnsi="宋体" w:eastAsia="宋体" w:cs="宋体"/>
          <w:b/>
          <w:color w:val="auto"/>
          <w:sz w:val="24"/>
          <w:szCs w:val="24"/>
          <w:highlight w:val="none"/>
        </w:rPr>
        <w:t>中小企业声明函（工程、 服务）</w:t>
      </w:r>
      <w:bookmarkEnd w:id="329"/>
      <w:bookmarkEnd w:id="330"/>
    </w:p>
    <w:p w14:paraId="619F65D1">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 郑重声明， 根据《政府采购促进中小企业发展管理办法》（财库﹝ 2020﹞ 46 号） 的规定， 本公司（联合体） 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 xml:space="preserve"> 的</w:t>
      </w:r>
      <w:r>
        <w:rPr>
          <w:rFonts w:hint="eastAsia" w:ascii="宋体" w:hAnsi="宋体" w:eastAsia="宋体" w:cs="宋体"/>
          <w:color w:val="auto"/>
          <w:sz w:val="24"/>
          <w:szCs w:val="24"/>
          <w:highlight w:val="none"/>
          <w:u w:val="single"/>
        </w:rPr>
        <w:t xml:space="preserve">（项目名称） </w:t>
      </w:r>
      <w:r>
        <w:rPr>
          <w:rFonts w:hint="eastAsia" w:ascii="宋体" w:hAnsi="宋体" w:eastAsia="宋体" w:cs="宋体"/>
          <w:color w:val="auto"/>
          <w:sz w:val="24"/>
          <w:szCs w:val="24"/>
          <w:highlight w:val="none"/>
        </w:rPr>
        <w:t>采购活动，工程的施工单位全部为符合政策要求的中小企业（或者： 服务全部由符合政策要求的中小企业承接）。 相关企业（ 含联合体中的中小企业、 签订分包意向协议的中小企业） 的具体情况如下：</w:t>
      </w:r>
    </w:p>
    <w:p w14:paraId="66C3AB2D">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1.（标的名称） </w:t>
      </w:r>
      <w:r>
        <w:rPr>
          <w:rFonts w:hint="eastAsia" w:ascii="宋体" w:hAnsi="宋体" w:eastAsia="宋体" w:cs="宋体"/>
          <w:color w:val="auto"/>
          <w:sz w:val="24"/>
          <w:szCs w:val="24"/>
          <w:highlight w:val="none"/>
        </w:rPr>
        <w:t>， 属于</w:t>
      </w:r>
      <w:r>
        <w:rPr>
          <w:rFonts w:hint="eastAsia" w:ascii="宋体" w:hAnsi="宋体" w:eastAsia="宋体" w:cs="宋体"/>
          <w:color w:val="auto"/>
          <w:sz w:val="24"/>
          <w:szCs w:val="24"/>
          <w:highlight w:val="none"/>
          <w:u w:val="single"/>
        </w:rPr>
        <w:t>（所属行业）</w:t>
      </w:r>
      <w:r>
        <w:rPr>
          <w:rFonts w:hint="eastAsia" w:ascii="宋体" w:hAnsi="宋体" w:eastAsia="宋体" w:cs="宋体"/>
          <w:color w:val="auto"/>
          <w:sz w:val="24"/>
          <w:szCs w:val="24"/>
          <w:highlight w:val="none"/>
        </w:rPr>
        <w:t>；承建（ 承接） 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 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 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万元， 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万元1， 属于</w:t>
      </w:r>
      <w:r>
        <w:rPr>
          <w:rFonts w:hint="eastAsia" w:ascii="宋体" w:hAnsi="宋体" w:eastAsia="宋体" w:cs="宋体"/>
          <w:color w:val="auto"/>
          <w:sz w:val="24"/>
          <w:szCs w:val="24"/>
          <w:highlight w:val="none"/>
          <w:u w:val="single"/>
        </w:rPr>
        <w:t>（中型企业、小型企业、 微型企业）</w:t>
      </w:r>
      <w:r>
        <w:rPr>
          <w:rFonts w:hint="eastAsia" w:ascii="宋体" w:hAnsi="宋体" w:eastAsia="宋体" w:cs="宋体"/>
          <w:color w:val="auto"/>
          <w:sz w:val="24"/>
          <w:szCs w:val="24"/>
          <w:highlight w:val="none"/>
        </w:rPr>
        <w:t>；</w:t>
      </w:r>
    </w:p>
    <w:p w14:paraId="0EE440E6">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 xml:space="preserve"> ， 属于</w:t>
      </w:r>
      <w:r>
        <w:rPr>
          <w:rFonts w:hint="eastAsia" w:ascii="宋体" w:hAnsi="宋体" w:eastAsia="宋体" w:cs="宋体"/>
          <w:color w:val="auto"/>
          <w:sz w:val="24"/>
          <w:szCs w:val="24"/>
          <w:highlight w:val="none"/>
          <w:u w:val="single"/>
        </w:rPr>
        <w:t>（所属行业）</w:t>
      </w:r>
      <w:r>
        <w:rPr>
          <w:rFonts w:hint="eastAsia" w:ascii="宋体" w:hAnsi="宋体" w:eastAsia="宋体" w:cs="宋体"/>
          <w:color w:val="auto"/>
          <w:sz w:val="24"/>
          <w:szCs w:val="24"/>
          <w:highlight w:val="none"/>
        </w:rPr>
        <w:t>；承建（ 承接） 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 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 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 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 属于</w:t>
      </w:r>
      <w:r>
        <w:rPr>
          <w:rFonts w:hint="eastAsia" w:ascii="宋体" w:hAnsi="宋体" w:eastAsia="宋体" w:cs="宋体"/>
          <w:color w:val="auto"/>
          <w:sz w:val="24"/>
          <w:szCs w:val="24"/>
          <w:highlight w:val="none"/>
          <w:u w:val="single"/>
        </w:rPr>
        <w:t>（中型企业、小型企业、 微型企业）</w:t>
      </w:r>
      <w:r>
        <w:rPr>
          <w:rFonts w:hint="eastAsia" w:ascii="宋体" w:hAnsi="宋体" w:eastAsia="宋体" w:cs="宋体"/>
          <w:color w:val="auto"/>
          <w:sz w:val="24"/>
          <w:szCs w:val="24"/>
          <w:highlight w:val="none"/>
        </w:rPr>
        <w:t>；</w:t>
      </w:r>
    </w:p>
    <w:p w14:paraId="01B38EAF">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074825BF">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 不属于大企业的分支机构， 不存在控股股东为大企业的情形， 也不存在与大企业的负责人为同一人的情形。</w:t>
      </w:r>
    </w:p>
    <w:p w14:paraId="2C650310">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 如有虚假， 将依法承担相应责任。</w:t>
      </w:r>
    </w:p>
    <w:p w14:paraId="0EE7C195">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3553D697">
      <w:pPr>
        <w:widowControl w:val="0"/>
        <w:spacing w:line="360" w:lineRule="auto"/>
        <w:ind w:firstLine="566" w:firstLineChars="2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14:paraId="6262584C">
      <w:pPr>
        <w:widowControl w:val="0"/>
        <w:spacing w:line="360" w:lineRule="auto"/>
        <w:jc w:val="both"/>
        <w:rPr>
          <w:rFonts w:hint="eastAsia" w:ascii="宋体" w:hAnsi="宋体" w:eastAsia="宋体" w:cs="宋体"/>
          <w:color w:val="auto"/>
          <w:sz w:val="24"/>
          <w:szCs w:val="24"/>
          <w:highlight w:val="none"/>
        </w:rPr>
      </w:pPr>
    </w:p>
    <w:p w14:paraId="464CA55E">
      <w:pPr>
        <w:widowControl w:val="0"/>
        <w:spacing w:line="360" w:lineRule="auto"/>
        <w:jc w:val="both"/>
        <w:rPr>
          <w:rFonts w:hint="eastAsia" w:ascii="宋体" w:hAnsi="宋体" w:eastAsia="宋体" w:cs="宋体"/>
          <w:b/>
          <w:bCs/>
          <w:color w:val="auto"/>
          <w:kern w:val="0"/>
          <w:sz w:val="24"/>
          <w:szCs w:val="24"/>
          <w:highlight w:val="none"/>
        </w:rPr>
      </w:pPr>
      <w:r>
        <w:rPr>
          <w:rFonts w:hint="eastAsia" w:ascii="宋体" w:hAnsi="宋体" w:eastAsia="宋体" w:cs="宋体"/>
          <w:color w:val="auto"/>
          <w:sz w:val="24"/>
          <w:szCs w:val="24"/>
          <w:highlight w:val="none"/>
        </w:rPr>
        <w:t xml:space="preserve">注：1 从业人员、营业收入、资产总额填报上一年度数据， 无上一年度数据的新成立企业可不填报。 </w:t>
      </w:r>
    </w:p>
    <w:p w14:paraId="09F7FB5C">
      <w:pPr>
        <w:widowControl w:val="0"/>
        <w:spacing w:line="360" w:lineRule="auto"/>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说明：</w:t>
      </w:r>
    </w:p>
    <w:p w14:paraId="11880E2B">
      <w:pP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该声明函是有针对性的，属于中小企业的填写，不属于的无需填写此项内容，但保留该声明函的格式在响应文件中并按要求盖章签字。</w:t>
      </w:r>
    </w:p>
    <w:p w14:paraId="5B959326">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C2DB55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2.供应商为监狱企业中小企业声明函</w:t>
      </w:r>
    </w:p>
    <w:p w14:paraId="37FA808A">
      <w:pPr>
        <w:rPr>
          <w:rFonts w:hint="eastAsia" w:ascii="宋体" w:hAnsi="宋体" w:eastAsia="宋体" w:cs="宋体"/>
          <w:color w:val="auto"/>
          <w:sz w:val="24"/>
          <w:szCs w:val="24"/>
          <w:highlight w:val="none"/>
        </w:rPr>
      </w:pPr>
    </w:p>
    <w:p w14:paraId="4A5972A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本企业（单位）郑重声明下列事项（按照实际情况填空）：</w:t>
      </w:r>
    </w:p>
    <w:p w14:paraId="1F62A44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本企业（单位）为直接供应商提供本企业（单位）制造的货物。</w:t>
      </w:r>
    </w:p>
    <w:p w14:paraId="568A95D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（1）本企业（单位）（请填写：是、不是）监狱企业。后附省级以上监狱管理局、戒毒管理局（含新疆生产建设兵团）出具的属于监狱企业的证明文件。</w:t>
      </w:r>
    </w:p>
    <w:p w14:paraId="704DBD2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企业（单位）（请填写：是、不是）为联合体一方，提供本企业（单位）制造的货物，由本企业（单位）承担工程、提供服务。本企业（单位）提供协议合同金额占到共同投标协议合同总金额的比例为。（非联合体投标，将本条删除。）</w:t>
      </w:r>
    </w:p>
    <w:p w14:paraId="7138271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本企业（单位）对上述声明的真实性负责。如有虚假，将依法承担相应责任。</w:t>
      </w:r>
    </w:p>
    <w:p w14:paraId="0BAC1EE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2145E338">
      <w:pPr>
        <w:keepNext w:val="0"/>
        <w:keepLines w:val="0"/>
        <w:pageBreakBefore w:val="0"/>
        <w:kinsoku/>
        <w:wordWrap/>
        <w:overflowPunct/>
        <w:topLinePunct w:val="0"/>
        <w:autoSpaceDE/>
        <w:autoSpaceDN/>
        <w:bidi w:val="0"/>
        <w:adjustRightInd/>
        <w:snapToGrid/>
        <w:spacing w:line="360" w:lineRule="auto"/>
        <w:ind w:firstLine="3240" w:firstLineChars="13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14:paraId="56B0FF6B">
      <w:pPr>
        <w:keepNext w:val="0"/>
        <w:keepLines w:val="0"/>
        <w:pageBreakBefore w:val="0"/>
        <w:kinsoku/>
        <w:wordWrap/>
        <w:overflowPunct/>
        <w:topLinePunct w:val="0"/>
        <w:autoSpaceDE/>
        <w:autoSpaceDN/>
        <w:bidi w:val="0"/>
        <w:adjustRightInd/>
        <w:snapToGrid/>
        <w:spacing w:line="360" w:lineRule="auto"/>
        <w:ind w:firstLine="3240" w:firstLineChars="13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法定代表人或授权委托人：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42CE337D">
      <w:pPr>
        <w:keepNext w:val="0"/>
        <w:keepLines w:val="0"/>
        <w:pageBreakBefore w:val="0"/>
        <w:kinsoku/>
        <w:wordWrap/>
        <w:overflowPunct/>
        <w:topLinePunct w:val="0"/>
        <w:autoSpaceDE/>
        <w:autoSpaceDN/>
        <w:bidi w:val="0"/>
        <w:adjustRightInd/>
        <w:snapToGrid/>
        <w:spacing w:line="360" w:lineRule="auto"/>
        <w:ind w:firstLine="3240" w:firstLineChars="13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月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5E8B052">
      <w:pPr>
        <w:rPr>
          <w:rFonts w:hint="eastAsia" w:ascii="宋体" w:hAnsi="宋体" w:eastAsia="宋体" w:cs="宋体"/>
          <w:color w:val="auto"/>
          <w:sz w:val="24"/>
          <w:szCs w:val="24"/>
          <w:highlight w:val="none"/>
        </w:rPr>
      </w:pPr>
    </w:p>
    <w:p w14:paraId="6409AB79">
      <w:pPr>
        <w:rPr>
          <w:rFonts w:hint="eastAsia" w:ascii="宋体" w:hAnsi="宋体" w:eastAsia="宋体" w:cs="宋体"/>
          <w:color w:val="auto"/>
          <w:sz w:val="24"/>
          <w:szCs w:val="24"/>
          <w:highlight w:val="none"/>
        </w:rPr>
      </w:pPr>
    </w:p>
    <w:p w14:paraId="271B67A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说明：符合要求的单位，按照上述格式进行填写；不属于监狱企业的无需填写此表。</w:t>
      </w:r>
    </w:p>
    <w:p w14:paraId="0A6FACC7">
      <w:pPr>
        <w:rPr>
          <w:rFonts w:hint="eastAsia" w:ascii="宋体" w:hAnsi="宋体" w:eastAsia="宋体" w:cs="宋体"/>
          <w:color w:val="auto"/>
          <w:sz w:val="24"/>
          <w:szCs w:val="24"/>
          <w:highlight w:val="none"/>
        </w:rPr>
      </w:pPr>
    </w:p>
    <w:p w14:paraId="1B6AAF29">
      <w:pPr>
        <w:rPr>
          <w:rFonts w:hint="eastAsia" w:ascii="宋体" w:hAnsi="宋体" w:eastAsia="宋体" w:cs="宋体"/>
          <w:color w:val="auto"/>
          <w:sz w:val="24"/>
          <w:szCs w:val="24"/>
          <w:highlight w:val="none"/>
        </w:rPr>
      </w:pPr>
    </w:p>
    <w:p w14:paraId="2A6F6B29">
      <w:pPr>
        <w:rPr>
          <w:rFonts w:hint="eastAsia" w:ascii="宋体" w:hAnsi="宋体" w:eastAsia="宋体" w:cs="宋体"/>
          <w:color w:val="auto"/>
          <w:sz w:val="24"/>
          <w:szCs w:val="24"/>
          <w:highlight w:val="none"/>
        </w:rPr>
      </w:pPr>
    </w:p>
    <w:p w14:paraId="51865D87">
      <w:pPr>
        <w:rPr>
          <w:rFonts w:hint="eastAsia" w:ascii="宋体" w:hAnsi="宋体" w:eastAsia="宋体" w:cs="宋体"/>
          <w:color w:val="auto"/>
          <w:sz w:val="24"/>
          <w:szCs w:val="24"/>
          <w:highlight w:val="none"/>
        </w:rPr>
      </w:pPr>
    </w:p>
    <w:p w14:paraId="3016F71B">
      <w:pPr>
        <w:rPr>
          <w:rFonts w:hint="eastAsia" w:ascii="宋体" w:hAnsi="宋体" w:eastAsia="宋体" w:cs="宋体"/>
          <w:color w:val="auto"/>
          <w:sz w:val="24"/>
          <w:szCs w:val="24"/>
          <w:highlight w:val="none"/>
        </w:rPr>
      </w:pPr>
    </w:p>
    <w:p w14:paraId="79341673">
      <w:pPr>
        <w:rPr>
          <w:rFonts w:hint="eastAsia" w:ascii="宋体" w:hAnsi="宋体" w:eastAsia="宋体" w:cs="宋体"/>
          <w:color w:val="auto"/>
          <w:sz w:val="24"/>
          <w:szCs w:val="24"/>
          <w:highlight w:val="none"/>
        </w:rPr>
      </w:pPr>
    </w:p>
    <w:p w14:paraId="60EA2E97">
      <w:pPr>
        <w:rPr>
          <w:rFonts w:hint="eastAsia" w:ascii="宋体" w:hAnsi="宋体" w:eastAsia="宋体" w:cs="宋体"/>
          <w:color w:val="auto"/>
          <w:sz w:val="24"/>
          <w:szCs w:val="24"/>
          <w:highlight w:val="none"/>
        </w:rPr>
      </w:pPr>
    </w:p>
    <w:p w14:paraId="7166831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color w:val="auto"/>
          <w:sz w:val="24"/>
          <w:szCs w:val="24"/>
          <w:highlight w:val="none"/>
        </w:rPr>
        <w:t>3.供应商为残疾人福利性单位中小企业声明函</w:t>
      </w:r>
    </w:p>
    <w:p w14:paraId="2D31B9C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581B26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（填写采购人名称）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（填写本次招标的项目名称）</w:t>
      </w:r>
      <w:r>
        <w:rPr>
          <w:rFonts w:hint="eastAsia" w:ascii="宋体" w:hAnsi="宋体" w:eastAsia="宋体" w:cs="宋体"/>
          <w:color w:val="auto"/>
          <w:sz w:val="24"/>
          <w:szCs w:val="24"/>
          <w:highlight w:val="none"/>
        </w:rPr>
        <w:t>采购活动提供本单位制造的货物（由本单位承担工程/提供服务），或者提供其他残疾人福利性单位制造的货物（不包括使用非残疾人福利性单位注册商标的货物）。</w:t>
      </w:r>
    </w:p>
    <w:p w14:paraId="2C19379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77486A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27DC01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67109863">
      <w:pPr>
        <w:keepNext w:val="0"/>
        <w:keepLines w:val="0"/>
        <w:pageBreakBefore w:val="0"/>
        <w:kinsoku/>
        <w:wordWrap/>
        <w:overflowPunct/>
        <w:topLinePunct w:val="0"/>
        <w:autoSpaceDE/>
        <w:autoSpaceDN/>
        <w:bidi w:val="0"/>
        <w:adjustRightInd/>
        <w:snapToGrid/>
        <w:spacing w:line="360" w:lineRule="auto"/>
        <w:ind w:firstLine="2592" w:firstLineChars="10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14:paraId="7301284B">
      <w:pPr>
        <w:keepNext w:val="0"/>
        <w:keepLines w:val="0"/>
        <w:pageBreakBefore w:val="0"/>
        <w:kinsoku/>
        <w:wordWrap/>
        <w:overflowPunct/>
        <w:topLinePunct w:val="0"/>
        <w:autoSpaceDE/>
        <w:autoSpaceDN/>
        <w:bidi w:val="0"/>
        <w:adjustRightInd/>
        <w:snapToGrid/>
        <w:spacing w:line="360" w:lineRule="auto"/>
        <w:ind w:firstLine="2592" w:firstLineChars="10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法定代表人或授权委托人：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56F40163">
      <w:pPr>
        <w:keepNext w:val="0"/>
        <w:keepLines w:val="0"/>
        <w:pageBreakBefore w:val="0"/>
        <w:kinsoku/>
        <w:wordWrap/>
        <w:overflowPunct/>
        <w:topLinePunct w:val="0"/>
        <w:autoSpaceDE/>
        <w:autoSpaceDN/>
        <w:bidi w:val="0"/>
        <w:adjustRightInd/>
        <w:snapToGrid/>
        <w:spacing w:line="360" w:lineRule="auto"/>
        <w:ind w:firstLine="2592" w:firstLineChars="10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月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D9BA432">
      <w:pPr>
        <w:rPr>
          <w:rFonts w:hint="eastAsia" w:ascii="宋体" w:hAnsi="宋体" w:eastAsia="宋体" w:cs="宋体"/>
          <w:color w:val="auto"/>
          <w:sz w:val="24"/>
          <w:szCs w:val="24"/>
          <w:highlight w:val="none"/>
        </w:rPr>
      </w:pPr>
    </w:p>
    <w:p w14:paraId="790E9117">
      <w:pPr>
        <w:rPr>
          <w:rFonts w:hint="eastAsia" w:ascii="宋体" w:hAnsi="宋体" w:eastAsia="宋体" w:cs="宋体"/>
          <w:color w:val="auto"/>
          <w:sz w:val="24"/>
          <w:szCs w:val="24"/>
          <w:highlight w:val="none"/>
        </w:rPr>
      </w:pPr>
    </w:p>
    <w:p w14:paraId="366EA5A3">
      <w:pPr>
        <w:rPr>
          <w:rFonts w:hint="eastAsia" w:ascii="宋体" w:hAnsi="宋体" w:eastAsia="宋体" w:cs="宋体"/>
          <w:color w:val="auto"/>
          <w:sz w:val="24"/>
          <w:szCs w:val="24"/>
          <w:highlight w:val="none"/>
        </w:rPr>
      </w:pPr>
    </w:p>
    <w:p w14:paraId="1E88CADA">
      <w:pPr>
        <w:rPr>
          <w:rFonts w:hint="eastAsia" w:ascii="宋体" w:hAnsi="宋体" w:eastAsia="宋体" w:cs="宋体"/>
          <w:color w:val="auto"/>
          <w:sz w:val="24"/>
          <w:szCs w:val="24"/>
          <w:highlight w:val="none"/>
        </w:rPr>
      </w:pPr>
    </w:p>
    <w:p w14:paraId="362BF21B">
      <w:pPr>
        <w:widowControl/>
        <w:spacing w:line="520" w:lineRule="exact"/>
        <w:ind w:firstLine="420" w:firstLineChars="175"/>
        <w:jc w:val="right"/>
        <w:rPr>
          <w:rFonts w:ascii="宋体" w:hAnsi="宋体" w:cs="宋体"/>
          <w:color w:val="auto"/>
          <w:sz w:val="24"/>
          <w:szCs w:val="24"/>
          <w:highlight w:val="none"/>
        </w:rPr>
      </w:pPr>
      <w:r>
        <w:rPr>
          <w:rFonts w:hint="eastAsia" w:ascii="宋体" w:hAnsi="宋体" w:eastAsia="宋体" w:cs="宋体"/>
          <w:color w:val="auto"/>
          <w:sz w:val="24"/>
          <w:szCs w:val="24"/>
          <w:highlight w:val="none"/>
        </w:rPr>
        <w:t>说明：符合要求的单位，按照上述格式进行填写并提供相关证明材料；不属于残疾人福利性单位的无需填写此表。</w:t>
      </w:r>
      <w:r>
        <w:rPr>
          <w:rFonts w:hint="eastAsia" w:ascii="宋体" w:hAnsi="宋体" w:cs="宋体"/>
          <w:color w:val="auto"/>
          <w:kern w:val="0"/>
          <w:sz w:val="24"/>
          <w:szCs w:val="24"/>
          <w:highlight w:val="none"/>
        </w:rPr>
        <w:t xml:space="preserve"> </w:t>
      </w:r>
    </w:p>
    <w:p w14:paraId="5378265D">
      <w:pPr>
        <w:spacing w:line="520" w:lineRule="exact"/>
        <w:rPr>
          <w:rFonts w:ascii="宋体" w:hAnsi="宋体" w:cs="宋体"/>
          <w:color w:val="auto"/>
          <w:sz w:val="24"/>
          <w:szCs w:val="24"/>
          <w:highlight w:val="none"/>
        </w:rPr>
      </w:pPr>
    </w:p>
    <w:p w14:paraId="051751C0">
      <w:pPr>
        <w:rPr>
          <w:color w:val="auto"/>
          <w:highlight w:val="none"/>
        </w:rPr>
      </w:pPr>
    </w:p>
    <w:p w14:paraId="594555B5">
      <w:pPr>
        <w:rPr>
          <w:color w:val="auto"/>
          <w:highlight w:val="none"/>
        </w:rPr>
      </w:pPr>
    </w:p>
    <w:p w14:paraId="7C00EEA5">
      <w:pPr>
        <w:rPr>
          <w:color w:val="auto"/>
          <w:highlight w:val="none"/>
        </w:rPr>
      </w:pPr>
    </w:p>
    <w:p w14:paraId="0E7D2C1F">
      <w:pPr>
        <w:rPr>
          <w:color w:val="auto"/>
          <w:highlight w:val="none"/>
        </w:rPr>
      </w:pPr>
    </w:p>
    <w:p w14:paraId="583DDDAB">
      <w:pPr>
        <w:jc w:val="center"/>
        <w:rPr>
          <w:rFonts w:ascii="宋体" w:hAnsi="宋体" w:cs="宋体"/>
          <w:b/>
          <w:bCs/>
          <w:color w:val="auto"/>
          <w:sz w:val="28"/>
          <w:highlight w:val="none"/>
        </w:rPr>
      </w:pPr>
    </w:p>
    <w:p w14:paraId="5C096F75">
      <w:pPr>
        <w:rPr>
          <w:rFonts w:hint="eastAsia" w:ascii="宋体" w:hAnsi="宋体"/>
          <w:color w:val="auto"/>
          <w:kern w:val="0"/>
          <w:sz w:val="28"/>
          <w:szCs w:val="28"/>
          <w:highlight w:val="none"/>
        </w:rPr>
      </w:pPr>
      <w:r>
        <w:rPr>
          <w:rFonts w:hint="eastAsia" w:ascii="宋体" w:hAnsi="宋体"/>
          <w:color w:val="auto"/>
          <w:kern w:val="0"/>
          <w:sz w:val="28"/>
          <w:szCs w:val="28"/>
          <w:highlight w:val="none"/>
        </w:rPr>
        <w:br w:type="page"/>
      </w:r>
    </w:p>
    <w:p w14:paraId="08866BEA">
      <w:pPr>
        <w:spacing w:line="360" w:lineRule="auto"/>
        <w:jc w:val="center"/>
        <w:outlineLvl w:val="0"/>
        <w:rPr>
          <w:rFonts w:ascii="宋体" w:hAnsi="宋体"/>
          <w:color w:val="auto"/>
          <w:kern w:val="0"/>
          <w:sz w:val="28"/>
          <w:szCs w:val="28"/>
          <w:highlight w:val="none"/>
        </w:rPr>
      </w:pPr>
      <w:r>
        <w:rPr>
          <w:rFonts w:hint="eastAsia" w:ascii="宋体" w:hAnsi="宋体"/>
          <w:color w:val="auto"/>
          <w:kern w:val="0"/>
          <w:sz w:val="28"/>
          <w:szCs w:val="28"/>
          <w:highlight w:val="none"/>
        </w:rPr>
        <w:t>（</w:t>
      </w:r>
      <w:r>
        <w:rPr>
          <w:rFonts w:hint="eastAsia" w:ascii="宋体" w:hAnsi="宋体"/>
          <w:color w:val="auto"/>
          <w:kern w:val="0"/>
          <w:sz w:val="28"/>
          <w:szCs w:val="28"/>
          <w:highlight w:val="none"/>
          <w:lang w:val="en-US" w:eastAsia="zh-CN"/>
        </w:rPr>
        <w:t>七</w:t>
      </w:r>
      <w:r>
        <w:rPr>
          <w:rFonts w:hint="eastAsia" w:ascii="宋体" w:hAnsi="宋体"/>
          <w:color w:val="auto"/>
          <w:kern w:val="0"/>
          <w:sz w:val="28"/>
          <w:szCs w:val="28"/>
          <w:highlight w:val="none"/>
        </w:rPr>
        <w:t>）农民工工资承诺书</w:t>
      </w:r>
    </w:p>
    <w:p w14:paraId="00D7AAEE">
      <w:pPr>
        <w:spacing w:afterLines="100" w:line="800" w:lineRule="exact"/>
        <w:rPr>
          <w:rFonts w:ascii="宋体" w:hAnsi="宋体"/>
          <w:color w:val="auto"/>
          <w:sz w:val="24"/>
          <w:szCs w:val="24"/>
          <w:highlight w:val="none"/>
        </w:rPr>
      </w:pPr>
      <w:r>
        <w:rPr>
          <w:rFonts w:hint="eastAsia" w:ascii="宋体" w:hAnsi="宋体"/>
          <w:color w:val="auto"/>
          <w:sz w:val="24"/>
          <w:szCs w:val="24"/>
          <w:highlight w:val="none"/>
        </w:rPr>
        <w:t>（招标人名称）：</w:t>
      </w:r>
    </w:p>
    <w:p w14:paraId="1BBB9695">
      <w:pPr>
        <w:spacing w:line="80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我方在此声明，中标后按豫人社规｛2022｝4号文件支付农</w:t>
      </w:r>
      <w:r>
        <w:rPr>
          <w:rFonts w:ascii="宋体" w:hAnsi="宋体" w:cs="仿宋_GB2312"/>
          <w:color w:val="auto"/>
          <w:sz w:val="24"/>
          <w:szCs w:val="24"/>
          <w:highlight w:val="none"/>
        </w:rPr>
        <w:t>民工工资。</w:t>
      </w:r>
    </w:p>
    <w:p w14:paraId="193D04EB">
      <w:pPr>
        <w:spacing w:line="800" w:lineRule="exact"/>
        <w:ind w:firstLine="480" w:firstLineChars="200"/>
        <w:rPr>
          <w:rFonts w:ascii="宋体" w:hAnsi="宋体"/>
          <w:color w:val="auto"/>
          <w:sz w:val="24"/>
          <w:szCs w:val="24"/>
          <w:highlight w:val="none"/>
        </w:rPr>
      </w:pPr>
    </w:p>
    <w:p w14:paraId="05602D3B">
      <w:pPr>
        <w:spacing w:line="480" w:lineRule="exact"/>
        <w:ind w:firstLine="480" w:firstLineChars="200"/>
        <w:textAlignment w:val="center"/>
        <w:rPr>
          <w:rFonts w:ascii="宋体" w:hAnsi="宋体"/>
          <w:color w:val="auto"/>
          <w:sz w:val="24"/>
          <w:szCs w:val="24"/>
          <w:highlight w:val="none"/>
        </w:rPr>
      </w:pPr>
      <w:r>
        <w:rPr>
          <w:rFonts w:hint="eastAsia" w:ascii="宋体" w:hAnsi="宋体"/>
          <w:color w:val="auto"/>
          <w:sz w:val="24"/>
          <w:szCs w:val="24"/>
          <w:highlight w:val="none"/>
        </w:rPr>
        <w:t>特此承诺</w:t>
      </w:r>
    </w:p>
    <w:p w14:paraId="0070C48F">
      <w:pPr>
        <w:spacing w:line="480" w:lineRule="exact"/>
        <w:ind w:firstLine="480" w:firstLineChars="200"/>
        <w:textAlignment w:val="center"/>
        <w:rPr>
          <w:rFonts w:ascii="宋体" w:hAnsi="宋体"/>
          <w:color w:val="auto"/>
          <w:sz w:val="24"/>
          <w:szCs w:val="24"/>
          <w:highlight w:val="none"/>
        </w:rPr>
      </w:pPr>
    </w:p>
    <w:p w14:paraId="0C6E29DC">
      <w:pPr>
        <w:spacing w:line="480" w:lineRule="exact"/>
        <w:ind w:firstLine="480" w:firstLineChars="200"/>
        <w:textAlignment w:val="center"/>
        <w:rPr>
          <w:rFonts w:ascii="宋体" w:hAnsi="宋体"/>
          <w:color w:val="auto"/>
          <w:sz w:val="24"/>
          <w:szCs w:val="24"/>
          <w:highlight w:val="none"/>
        </w:rPr>
      </w:pPr>
    </w:p>
    <w:p w14:paraId="5E026C10">
      <w:pPr>
        <w:spacing w:line="480" w:lineRule="exact"/>
        <w:ind w:firstLine="480" w:firstLineChars="200"/>
        <w:textAlignment w:val="center"/>
        <w:rPr>
          <w:rFonts w:asci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bCs/>
          <w:color w:val="auto"/>
          <w:sz w:val="24"/>
          <w:szCs w:val="24"/>
          <w:highlight w:val="none"/>
        </w:rPr>
        <w:t>磋商</w:t>
      </w:r>
      <w:r>
        <w:rPr>
          <w:rFonts w:hint="eastAsia" w:ascii="宋体" w:hAnsi="宋体"/>
          <w:bCs/>
          <w:color w:val="auto"/>
          <w:sz w:val="24"/>
          <w:szCs w:val="24"/>
          <w:highlight w:val="none"/>
          <w:lang w:eastAsia="zh-CN"/>
        </w:rPr>
        <w:t>供应商</w:t>
      </w:r>
      <w:r>
        <w:rPr>
          <w:rFonts w:hint="eastAsia" w:ascii="宋体" w:hAnsi="宋体"/>
          <w:color w:val="auto"/>
          <w:sz w:val="24"/>
          <w:szCs w:val="24"/>
          <w:highlight w:val="none"/>
        </w:rPr>
        <w:t>（盖单位公章）：</w:t>
      </w:r>
    </w:p>
    <w:p w14:paraId="546D80A8">
      <w:pPr>
        <w:spacing w:line="480" w:lineRule="exact"/>
        <w:ind w:firstLine="3794" w:firstLineChars="1581"/>
        <w:rPr>
          <w:rFonts w:ascii="宋体"/>
          <w:color w:val="auto"/>
          <w:sz w:val="24"/>
          <w:szCs w:val="24"/>
          <w:highlight w:val="none"/>
        </w:rPr>
      </w:pPr>
      <w:r>
        <w:rPr>
          <w:rFonts w:hint="eastAsia" w:ascii="宋体" w:hAnsi="宋体"/>
          <w:bCs/>
          <w:color w:val="auto"/>
          <w:sz w:val="24"/>
          <w:szCs w:val="24"/>
          <w:highlight w:val="none"/>
        </w:rPr>
        <w:t>法人代表人</w:t>
      </w:r>
      <w:r>
        <w:rPr>
          <w:rFonts w:hint="eastAsia" w:ascii="宋体" w:hAnsi="宋体"/>
          <w:color w:val="auto"/>
          <w:sz w:val="24"/>
          <w:szCs w:val="24"/>
          <w:highlight w:val="none"/>
        </w:rPr>
        <w:t>（电子签章）：</w:t>
      </w:r>
    </w:p>
    <w:p w14:paraId="260D1059">
      <w:pPr>
        <w:spacing w:line="480" w:lineRule="exact"/>
        <w:ind w:firstLine="3794" w:firstLineChars="1581"/>
        <w:rPr>
          <w:rFonts w:ascii="宋体"/>
          <w:bCs/>
          <w:color w:val="auto"/>
          <w:sz w:val="24"/>
          <w:szCs w:val="24"/>
          <w:highlight w:val="none"/>
        </w:rPr>
      </w:pPr>
      <w:r>
        <w:rPr>
          <w:rFonts w:hint="eastAsia" w:ascii="宋体" w:hAnsi="宋体"/>
          <w:bCs/>
          <w:color w:val="auto"/>
          <w:sz w:val="24"/>
          <w:szCs w:val="24"/>
          <w:highlight w:val="none"/>
        </w:rPr>
        <w:t>日期：年月日</w:t>
      </w:r>
    </w:p>
    <w:p w14:paraId="2B7D9056">
      <w:pPr>
        <w:rPr>
          <w:color w:val="auto"/>
          <w:highlight w:val="none"/>
        </w:rPr>
      </w:pPr>
    </w:p>
    <w:p w14:paraId="63CDBCF5">
      <w:pPr>
        <w:spacing w:line="480" w:lineRule="exact"/>
        <w:textAlignment w:val="center"/>
        <w:rPr>
          <w:rFonts w:ascii="仿宋_GB2312" w:hAnsi="宋体" w:eastAsia="仿宋_GB2312"/>
          <w:color w:val="auto"/>
          <w:sz w:val="24"/>
          <w:szCs w:val="24"/>
          <w:highlight w:val="none"/>
        </w:rPr>
      </w:pPr>
    </w:p>
    <w:p w14:paraId="3C95C880">
      <w:pPr>
        <w:spacing w:line="480" w:lineRule="exact"/>
        <w:textAlignment w:val="center"/>
        <w:rPr>
          <w:rFonts w:ascii="仿宋_GB2312" w:hAnsi="宋体" w:eastAsia="仿宋_GB2312"/>
          <w:color w:val="auto"/>
          <w:sz w:val="24"/>
          <w:szCs w:val="24"/>
          <w:highlight w:val="none"/>
        </w:rPr>
      </w:pPr>
    </w:p>
    <w:p w14:paraId="61B5CA3F">
      <w:pPr>
        <w:spacing w:line="480" w:lineRule="exact"/>
        <w:textAlignment w:val="center"/>
        <w:rPr>
          <w:rFonts w:ascii="仿宋_GB2312" w:hAnsi="宋体" w:eastAsia="仿宋_GB2312"/>
          <w:color w:val="auto"/>
          <w:sz w:val="24"/>
          <w:szCs w:val="24"/>
          <w:highlight w:val="none"/>
        </w:rPr>
      </w:pPr>
    </w:p>
    <w:p w14:paraId="2F32213D">
      <w:pPr>
        <w:spacing w:line="480" w:lineRule="exact"/>
        <w:textAlignment w:val="center"/>
        <w:rPr>
          <w:rFonts w:ascii="仿宋_GB2312" w:hAnsi="宋体" w:eastAsia="仿宋_GB2312"/>
          <w:color w:val="auto"/>
          <w:sz w:val="24"/>
          <w:szCs w:val="24"/>
          <w:highlight w:val="none"/>
        </w:rPr>
      </w:pPr>
    </w:p>
    <w:p w14:paraId="1F80A274">
      <w:pPr>
        <w:spacing w:line="480" w:lineRule="exact"/>
        <w:textAlignment w:val="center"/>
        <w:rPr>
          <w:rFonts w:ascii="仿宋_GB2312" w:hAnsi="宋体" w:eastAsia="仿宋_GB2312"/>
          <w:color w:val="auto"/>
          <w:sz w:val="24"/>
          <w:szCs w:val="24"/>
          <w:highlight w:val="none"/>
        </w:rPr>
      </w:pPr>
    </w:p>
    <w:p w14:paraId="7D357134">
      <w:pPr>
        <w:spacing w:line="480" w:lineRule="exact"/>
        <w:textAlignment w:val="center"/>
        <w:rPr>
          <w:rFonts w:ascii="仿宋_GB2312" w:hAnsi="宋体" w:eastAsia="仿宋_GB2312"/>
          <w:color w:val="auto"/>
          <w:sz w:val="24"/>
          <w:szCs w:val="24"/>
          <w:highlight w:val="none"/>
        </w:rPr>
      </w:pPr>
    </w:p>
    <w:p w14:paraId="501890EF">
      <w:pPr>
        <w:spacing w:line="480" w:lineRule="exact"/>
        <w:textAlignment w:val="center"/>
        <w:rPr>
          <w:rFonts w:ascii="仿宋_GB2312" w:hAnsi="宋体" w:eastAsia="仿宋_GB2312"/>
          <w:color w:val="auto"/>
          <w:sz w:val="24"/>
          <w:szCs w:val="24"/>
          <w:highlight w:val="none"/>
        </w:rPr>
      </w:pPr>
    </w:p>
    <w:p w14:paraId="7DAEDFA1">
      <w:pPr>
        <w:spacing w:line="480" w:lineRule="exact"/>
        <w:textAlignment w:val="center"/>
        <w:rPr>
          <w:rFonts w:ascii="仿宋_GB2312" w:hAnsi="宋体" w:eastAsia="仿宋_GB2312"/>
          <w:color w:val="auto"/>
          <w:sz w:val="24"/>
          <w:szCs w:val="24"/>
          <w:highlight w:val="none"/>
        </w:rPr>
      </w:pPr>
    </w:p>
    <w:p w14:paraId="3AD2ECAA">
      <w:pPr>
        <w:spacing w:line="480" w:lineRule="exact"/>
        <w:textAlignment w:val="center"/>
        <w:rPr>
          <w:rFonts w:ascii="仿宋_GB2312" w:hAnsi="宋体" w:eastAsia="仿宋_GB2312"/>
          <w:color w:val="auto"/>
          <w:sz w:val="24"/>
          <w:szCs w:val="24"/>
          <w:highlight w:val="none"/>
        </w:rPr>
      </w:pPr>
    </w:p>
    <w:p w14:paraId="55494A3C">
      <w:pPr>
        <w:spacing w:line="480" w:lineRule="exact"/>
        <w:textAlignment w:val="center"/>
        <w:rPr>
          <w:rFonts w:ascii="仿宋_GB2312" w:hAnsi="宋体" w:eastAsia="仿宋_GB2312"/>
          <w:color w:val="auto"/>
          <w:sz w:val="24"/>
          <w:szCs w:val="24"/>
          <w:highlight w:val="none"/>
        </w:rPr>
      </w:pPr>
    </w:p>
    <w:p w14:paraId="1DEE55A6">
      <w:pPr>
        <w:spacing w:line="480" w:lineRule="exact"/>
        <w:textAlignment w:val="center"/>
        <w:rPr>
          <w:rFonts w:ascii="宋体" w:hAnsi="宋体"/>
          <w:color w:val="auto"/>
          <w:sz w:val="28"/>
          <w:szCs w:val="28"/>
          <w:highlight w:val="none"/>
        </w:rPr>
      </w:pPr>
    </w:p>
    <w:p w14:paraId="0CCE3E2F">
      <w:pPr>
        <w:spacing w:line="480" w:lineRule="exact"/>
        <w:jc w:val="center"/>
        <w:textAlignment w:val="center"/>
        <w:rPr>
          <w:rFonts w:ascii="宋体" w:hAnsi="宋体"/>
          <w:b/>
          <w:bCs/>
          <w:color w:val="auto"/>
          <w:sz w:val="28"/>
          <w:szCs w:val="28"/>
          <w:highlight w:val="none"/>
        </w:rPr>
      </w:pPr>
    </w:p>
    <w:p w14:paraId="32FE0A21">
      <w:pPr>
        <w:spacing w:line="480" w:lineRule="exact"/>
        <w:jc w:val="center"/>
        <w:textAlignment w:val="center"/>
        <w:rPr>
          <w:rFonts w:ascii="宋体" w:hAnsi="宋体"/>
          <w:b/>
          <w:bCs/>
          <w:color w:val="auto"/>
          <w:sz w:val="28"/>
          <w:szCs w:val="28"/>
          <w:highlight w:val="none"/>
        </w:rPr>
      </w:pPr>
    </w:p>
    <w:p w14:paraId="7AF24386">
      <w:pPr>
        <w:spacing w:line="480" w:lineRule="exact"/>
        <w:jc w:val="center"/>
        <w:textAlignment w:val="center"/>
        <w:rPr>
          <w:rFonts w:ascii="宋体" w:hAnsi="宋体"/>
          <w:b/>
          <w:bCs/>
          <w:color w:val="auto"/>
          <w:sz w:val="28"/>
          <w:szCs w:val="28"/>
          <w:highlight w:val="none"/>
        </w:rPr>
      </w:pPr>
    </w:p>
    <w:p w14:paraId="20C9A72C">
      <w:pPr>
        <w:spacing w:line="480" w:lineRule="exact"/>
        <w:jc w:val="center"/>
        <w:textAlignment w:val="center"/>
        <w:rPr>
          <w:rFonts w:ascii="宋体" w:hAnsi="宋体"/>
          <w:b/>
          <w:bCs/>
          <w:color w:val="auto"/>
          <w:sz w:val="28"/>
          <w:szCs w:val="28"/>
          <w:highlight w:val="none"/>
        </w:rPr>
      </w:pPr>
    </w:p>
    <w:p w14:paraId="729A0BFE">
      <w:pPr>
        <w:spacing w:line="480" w:lineRule="exact"/>
        <w:jc w:val="center"/>
        <w:textAlignment w:val="center"/>
        <w:rPr>
          <w:rFonts w:ascii="宋体" w:hAnsi="宋体"/>
          <w:b/>
          <w:bCs/>
          <w:color w:val="auto"/>
          <w:sz w:val="24"/>
          <w:szCs w:val="24"/>
          <w:highlight w:val="none"/>
        </w:rPr>
      </w:pPr>
      <w:r>
        <w:rPr>
          <w:rFonts w:hint="eastAsia" w:ascii="宋体" w:hAnsi="宋体"/>
          <w:b/>
          <w:bCs/>
          <w:color w:val="auto"/>
          <w:sz w:val="28"/>
          <w:szCs w:val="28"/>
          <w:highlight w:val="none"/>
        </w:rPr>
        <w:t>七、磋商</w:t>
      </w:r>
      <w:r>
        <w:rPr>
          <w:rFonts w:hint="eastAsia" w:ascii="宋体" w:hAnsi="宋体"/>
          <w:b/>
          <w:bCs/>
          <w:color w:val="auto"/>
          <w:sz w:val="28"/>
          <w:szCs w:val="28"/>
          <w:highlight w:val="none"/>
          <w:lang w:eastAsia="zh-CN"/>
        </w:rPr>
        <w:t>供应商</w:t>
      </w:r>
      <w:r>
        <w:rPr>
          <w:rFonts w:hint="eastAsia" w:ascii="宋体" w:hAnsi="宋体"/>
          <w:b/>
          <w:bCs/>
          <w:color w:val="auto"/>
          <w:sz w:val="28"/>
          <w:szCs w:val="28"/>
          <w:highlight w:val="none"/>
        </w:rPr>
        <w:t>认为需要提供的其他材料</w:t>
      </w:r>
    </w:p>
    <w:p w14:paraId="7B2561C6">
      <w:pPr>
        <w:spacing w:line="480" w:lineRule="exact"/>
        <w:textAlignment w:val="center"/>
        <w:rPr>
          <w:rFonts w:ascii="宋体" w:hAnsi="宋体"/>
          <w:color w:val="auto"/>
          <w:sz w:val="24"/>
          <w:szCs w:val="24"/>
          <w:highlight w:val="none"/>
        </w:rPr>
      </w:pPr>
    </w:p>
    <w:p w14:paraId="34DADACE">
      <w:pPr>
        <w:spacing w:line="480" w:lineRule="exact"/>
        <w:textAlignment w:val="center"/>
        <w:rPr>
          <w:rFonts w:ascii="仿宋_GB2312" w:hAnsi="宋体" w:eastAsia="仿宋_GB2312"/>
          <w:color w:val="auto"/>
          <w:sz w:val="24"/>
          <w:szCs w:val="24"/>
          <w:highlight w:val="none"/>
        </w:rPr>
      </w:pPr>
    </w:p>
    <w:p w14:paraId="29C22133">
      <w:pPr>
        <w:spacing w:line="480" w:lineRule="exact"/>
        <w:textAlignment w:val="center"/>
        <w:rPr>
          <w:rFonts w:ascii="仿宋_GB2312" w:hAnsi="宋体" w:eastAsia="仿宋_GB2312"/>
          <w:color w:val="auto"/>
          <w:sz w:val="24"/>
          <w:szCs w:val="24"/>
          <w:highlight w:val="none"/>
        </w:rPr>
      </w:pPr>
    </w:p>
    <w:p w14:paraId="23AAB7AD">
      <w:pPr>
        <w:spacing w:line="480" w:lineRule="exact"/>
        <w:textAlignment w:val="center"/>
        <w:rPr>
          <w:rFonts w:ascii="仿宋_GB2312" w:hAnsi="宋体" w:eastAsia="仿宋_GB2312"/>
          <w:color w:val="auto"/>
          <w:sz w:val="24"/>
          <w:szCs w:val="24"/>
          <w:highlight w:val="none"/>
        </w:rPr>
      </w:pPr>
    </w:p>
    <w:p w14:paraId="6C47C977">
      <w:pPr>
        <w:spacing w:line="480" w:lineRule="exact"/>
        <w:textAlignment w:val="center"/>
        <w:rPr>
          <w:rFonts w:ascii="仿宋_GB2312" w:hAnsi="宋体" w:eastAsia="仿宋_GB2312"/>
          <w:color w:val="auto"/>
          <w:sz w:val="24"/>
          <w:szCs w:val="24"/>
          <w:highlight w:val="none"/>
        </w:rPr>
      </w:pPr>
    </w:p>
    <w:p w14:paraId="7D1A8AAE">
      <w:pPr>
        <w:spacing w:line="480" w:lineRule="exact"/>
        <w:textAlignment w:val="center"/>
        <w:rPr>
          <w:rFonts w:ascii="仿宋_GB2312" w:hAnsi="宋体" w:eastAsia="仿宋_GB2312"/>
          <w:color w:val="auto"/>
          <w:sz w:val="24"/>
          <w:szCs w:val="24"/>
          <w:highlight w:val="none"/>
        </w:rPr>
      </w:pPr>
    </w:p>
    <w:p w14:paraId="56BF9D93">
      <w:pPr>
        <w:spacing w:line="480" w:lineRule="exact"/>
        <w:textAlignment w:val="center"/>
        <w:rPr>
          <w:rFonts w:ascii="仿宋_GB2312" w:hAnsi="宋体" w:eastAsia="仿宋_GB2312"/>
          <w:color w:val="auto"/>
          <w:sz w:val="24"/>
          <w:szCs w:val="24"/>
          <w:highlight w:val="none"/>
        </w:rPr>
      </w:pPr>
    </w:p>
    <w:p w14:paraId="22C87126">
      <w:pPr>
        <w:spacing w:line="480" w:lineRule="exact"/>
        <w:textAlignment w:val="center"/>
        <w:rPr>
          <w:rFonts w:ascii="仿宋_GB2312" w:hAnsi="宋体" w:eastAsia="仿宋_GB2312"/>
          <w:color w:val="auto"/>
          <w:sz w:val="24"/>
          <w:szCs w:val="24"/>
          <w:highlight w:val="none"/>
        </w:rPr>
      </w:pPr>
    </w:p>
    <w:p w14:paraId="576F9295">
      <w:pPr>
        <w:spacing w:line="480" w:lineRule="exact"/>
        <w:textAlignment w:val="center"/>
        <w:rPr>
          <w:rFonts w:ascii="仿宋_GB2312" w:hAnsi="宋体" w:eastAsia="仿宋_GB2312"/>
          <w:color w:val="auto"/>
          <w:sz w:val="24"/>
          <w:szCs w:val="24"/>
          <w:highlight w:val="none"/>
        </w:rPr>
      </w:pPr>
    </w:p>
    <w:p w14:paraId="3D1F1AF2">
      <w:pPr>
        <w:spacing w:line="480" w:lineRule="exact"/>
        <w:textAlignment w:val="center"/>
        <w:rPr>
          <w:rFonts w:ascii="仿宋_GB2312" w:hAnsi="宋体" w:eastAsia="仿宋_GB2312"/>
          <w:color w:val="auto"/>
          <w:sz w:val="24"/>
          <w:szCs w:val="24"/>
          <w:highlight w:val="none"/>
        </w:rPr>
      </w:pPr>
    </w:p>
    <w:p w14:paraId="63193C16">
      <w:pPr>
        <w:spacing w:line="480" w:lineRule="exact"/>
        <w:textAlignment w:val="center"/>
        <w:rPr>
          <w:rFonts w:ascii="仿宋_GB2312" w:hAnsi="宋体" w:eastAsia="仿宋_GB2312"/>
          <w:color w:val="auto"/>
          <w:sz w:val="24"/>
          <w:szCs w:val="24"/>
          <w:highlight w:val="none"/>
        </w:rPr>
      </w:pPr>
    </w:p>
    <w:p w14:paraId="1382353B">
      <w:pPr>
        <w:spacing w:line="480" w:lineRule="exact"/>
        <w:textAlignment w:val="center"/>
        <w:rPr>
          <w:rFonts w:ascii="仿宋_GB2312" w:eastAsia="仿宋_GB2312"/>
          <w:color w:val="auto"/>
          <w:sz w:val="24"/>
          <w:szCs w:val="24"/>
          <w:highlight w:val="none"/>
        </w:rPr>
      </w:pPr>
    </w:p>
    <w:p w14:paraId="63FF1BB5">
      <w:pPr>
        <w:spacing w:line="480" w:lineRule="exact"/>
        <w:textAlignment w:val="center"/>
        <w:rPr>
          <w:rFonts w:ascii="仿宋_GB2312" w:eastAsia="仿宋_GB2312"/>
          <w:color w:val="auto"/>
          <w:sz w:val="24"/>
          <w:szCs w:val="24"/>
          <w:highlight w:val="none"/>
        </w:rPr>
      </w:pPr>
    </w:p>
    <w:p w14:paraId="2B6302AA">
      <w:pPr>
        <w:spacing w:line="480" w:lineRule="exact"/>
        <w:textAlignment w:val="center"/>
        <w:rPr>
          <w:rFonts w:ascii="仿宋_GB2312" w:eastAsia="仿宋_GB2312"/>
          <w:color w:val="auto"/>
          <w:sz w:val="24"/>
          <w:szCs w:val="24"/>
          <w:highlight w:val="none"/>
        </w:rPr>
      </w:pPr>
    </w:p>
    <w:p w14:paraId="181478FB">
      <w:pPr>
        <w:spacing w:line="480" w:lineRule="exact"/>
        <w:textAlignment w:val="center"/>
        <w:rPr>
          <w:rFonts w:ascii="仿宋_GB2312" w:eastAsia="仿宋_GB2312"/>
          <w:color w:val="auto"/>
          <w:sz w:val="24"/>
          <w:szCs w:val="24"/>
          <w:highlight w:val="none"/>
        </w:rPr>
      </w:pPr>
    </w:p>
    <w:p w14:paraId="420A0D1A">
      <w:pPr>
        <w:spacing w:line="480" w:lineRule="exact"/>
        <w:textAlignment w:val="center"/>
        <w:rPr>
          <w:rFonts w:ascii="仿宋_GB2312" w:eastAsia="仿宋_GB2312"/>
          <w:color w:val="auto"/>
          <w:sz w:val="24"/>
          <w:szCs w:val="24"/>
          <w:highlight w:val="none"/>
        </w:rPr>
      </w:pPr>
    </w:p>
    <w:p w14:paraId="5FE1768C">
      <w:pPr>
        <w:spacing w:line="480" w:lineRule="exact"/>
        <w:textAlignment w:val="center"/>
        <w:rPr>
          <w:rFonts w:ascii="仿宋_GB2312" w:eastAsia="仿宋_GB2312"/>
          <w:color w:val="auto"/>
          <w:sz w:val="24"/>
          <w:szCs w:val="24"/>
          <w:highlight w:val="none"/>
        </w:rPr>
      </w:pPr>
    </w:p>
    <w:p w14:paraId="7AC1C4BE">
      <w:pPr>
        <w:spacing w:line="480" w:lineRule="exact"/>
        <w:textAlignment w:val="center"/>
        <w:rPr>
          <w:rFonts w:ascii="仿宋_GB2312" w:eastAsia="仿宋_GB2312"/>
          <w:color w:val="auto"/>
          <w:sz w:val="44"/>
          <w:szCs w:val="44"/>
          <w:highlight w:val="none"/>
        </w:rPr>
      </w:pPr>
    </w:p>
    <w:p w14:paraId="3C0599C3">
      <w:pPr>
        <w:spacing w:line="480" w:lineRule="exact"/>
        <w:jc w:val="center"/>
        <w:textAlignment w:val="center"/>
        <w:rPr>
          <w:rFonts w:ascii="仿宋_GB2312" w:eastAsia="仿宋_GB2312"/>
          <w:color w:val="auto"/>
          <w:sz w:val="24"/>
          <w:szCs w:val="24"/>
          <w:highlight w:val="none"/>
        </w:rPr>
      </w:pPr>
    </w:p>
    <w:p w14:paraId="16A81F2F">
      <w:pPr>
        <w:spacing w:line="480" w:lineRule="exact"/>
        <w:textAlignment w:val="center"/>
        <w:rPr>
          <w:rFonts w:ascii="仿宋_GB2312" w:eastAsia="仿宋_GB2312"/>
          <w:color w:val="auto"/>
          <w:sz w:val="24"/>
          <w:szCs w:val="24"/>
          <w:highlight w:val="none"/>
        </w:rPr>
      </w:pPr>
    </w:p>
    <w:p w14:paraId="0B9035B8">
      <w:pPr>
        <w:spacing w:line="480" w:lineRule="exact"/>
        <w:jc w:val="center"/>
        <w:textAlignment w:val="center"/>
        <w:rPr>
          <w:rFonts w:ascii="仿宋_GB2312" w:eastAsia="仿宋_GB2312"/>
          <w:color w:val="auto"/>
          <w:sz w:val="24"/>
          <w:szCs w:val="24"/>
          <w:highlight w:val="none"/>
        </w:rPr>
      </w:pPr>
    </w:p>
    <w:p w14:paraId="45E264A5">
      <w:pPr>
        <w:jc w:val="left"/>
        <w:rPr>
          <w:color w:val="auto"/>
          <w:szCs w:val="21"/>
          <w:highlight w:val="none"/>
        </w:rPr>
      </w:pPr>
    </w:p>
    <w:p w14:paraId="30323BEF">
      <w:pPr>
        <w:rPr>
          <w:color w:val="auto"/>
          <w:highlight w:val="none"/>
        </w:rPr>
      </w:pPr>
    </w:p>
    <w:p w14:paraId="467AD080">
      <w:pPr>
        <w:rPr>
          <w:color w:val="auto"/>
          <w:highlight w:val="none"/>
        </w:rPr>
      </w:pPr>
    </w:p>
    <w:p w14:paraId="6F3EB559">
      <w:pPr>
        <w:rPr>
          <w:color w:val="auto"/>
          <w:highlight w:val="none"/>
        </w:rPr>
      </w:pPr>
    </w:p>
    <w:p w14:paraId="6BA7886F">
      <w:pPr>
        <w:rPr>
          <w:color w:val="auto"/>
          <w:highlight w:val="none"/>
        </w:rPr>
      </w:pPr>
    </w:p>
    <w:p w14:paraId="3A1382F0">
      <w:pPr>
        <w:rPr>
          <w:color w:val="auto"/>
          <w:highlight w:val="none"/>
        </w:rPr>
      </w:pPr>
    </w:p>
    <w:p w14:paraId="1D63831F">
      <w:pPr>
        <w:rPr>
          <w:color w:val="auto"/>
          <w:highlight w:val="none"/>
        </w:rPr>
      </w:pPr>
    </w:p>
    <w:p w14:paraId="3D59AD3B">
      <w:pPr>
        <w:rPr>
          <w:color w:val="auto"/>
          <w:highlight w:val="none"/>
        </w:rPr>
      </w:pPr>
    </w:p>
    <w:p w14:paraId="05949DB9">
      <w:pPr>
        <w:rPr>
          <w:color w:val="auto"/>
          <w:highlight w:val="none"/>
        </w:rPr>
      </w:pPr>
    </w:p>
    <w:sectPr>
      <w:headerReference r:id="rId6" w:type="default"/>
      <w:footerReference r:id="rId7" w:type="default"/>
      <w:footerReference r:id="rId8" w:type="even"/>
      <w:pgSz w:w="11906" w:h="16838"/>
      <w:pgMar w:top="1440" w:right="1800" w:bottom="1440" w:left="1800"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ngLiU_HKSCS">
    <w:altName w:val="PMingLiU-ExtB"/>
    <w:panose1 w:val="02020500000000000000"/>
    <w:charset w:val="88"/>
    <w:family w:val="roman"/>
    <w:pitch w:val="default"/>
    <w:sig w:usb0="00000000" w:usb1="00000000" w:usb2="00000016" w:usb3="00000000" w:csb0="001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34946">
    <w:pPr>
      <w:pStyle w:val="10"/>
      <w:jc w:val="center"/>
    </w:pPr>
  </w:p>
  <w:p w14:paraId="6BA940F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AF94D">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1866C9F">
                          <w:pPr>
                            <w:pStyle w:val="1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71866C9F">
                    <w:pPr>
                      <w:pStyle w:val="10"/>
                    </w:pPr>
                    <w:r>
                      <w:fldChar w:fldCharType="begin"/>
                    </w:r>
                    <w:r>
                      <w:instrText xml:space="preserve"> PAGE  \* MERGEFORMAT </w:instrText>
                    </w:r>
                    <w:r>
                      <w:fldChar w:fldCharType="separate"/>
                    </w:r>
                    <w:r>
                      <w:t>24</w:t>
                    </w:r>
                    <w:r>
                      <w:fldChar w:fldCharType="end"/>
                    </w:r>
                  </w:p>
                </w:txbxContent>
              </v:textbox>
            </v:shape>
          </w:pict>
        </mc:Fallback>
      </mc:AlternateContent>
    </w:r>
  </w:p>
  <w:p w14:paraId="5EC5FFD8">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FCE19">
    <w:pPr>
      <w:pStyle w:val="10"/>
      <w:jc w:val="center"/>
      <w:rPr>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73359D8">
                          <w:pPr>
                            <w:pStyle w:val="10"/>
                          </w:pPr>
                          <w:r>
                            <w:fldChar w:fldCharType="begin"/>
                          </w:r>
                          <w:r>
                            <w:instrText xml:space="preserve"> PAGE  \* MERGEFORMAT </w:instrText>
                          </w:r>
                          <w:r>
                            <w:fldChar w:fldCharType="separate"/>
                          </w:r>
                          <w:r>
                            <w:t>103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b6mdNcBAACwAwAADgAAAGRycy9lMm9Eb2MueG1srVPNjtMwEL4j8Q6W&#10;7zTZahe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TlXll2YYDKlsfVspWE3TDx3vj0h&#10;zR73gVGH60+J+eBQ7rw6sxFnYzcbhxD1viu7lWtBeHtI2FtpOVcYYZFqdnCQhfS0dHlT/vZL1u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W+pnTXAQAAsAMAAA4AAAAAAAAAAQAgAAAA&#10;HgEAAGRycy9lMm9Eb2MueG1sUEsFBgAAAAAGAAYAWQEAAGcFAAAAAA==&#10;">
              <v:fill on="f" focussize="0,0"/>
              <v:stroke on="f"/>
              <v:imagedata o:title=""/>
              <o:lock v:ext="edit" aspectratio="f"/>
              <v:textbox inset="0mm,0mm,0mm,0mm" style="mso-fit-shape-to-text:t;">
                <w:txbxContent>
                  <w:p w14:paraId="573359D8">
                    <w:pPr>
                      <w:pStyle w:val="10"/>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4FD65">
    <w:pPr>
      <w:pStyle w:val="10"/>
      <w:framePr w:wrap="around" w:vAnchor="text" w:hAnchor="margin" w:xAlign="right" w:y="1"/>
      <w:rPr>
        <w:rStyle w:val="20"/>
      </w:rPr>
    </w:pPr>
    <w:r>
      <w:fldChar w:fldCharType="begin"/>
    </w:r>
    <w:r>
      <w:rPr>
        <w:rStyle w:val="20"/>
      </w:rPr>
      <w:instrText xml:space="preserve">PAGE  </w:instrText>
    </w:r>
    <w:r>
      <w:fldChar w:fldCharType="end"/>
    </w:r>
  </w:p>
  <w:p w14:paraId="67396B16">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14D82">
    <w:pPr>
      <w:pStyle w:val="11"/>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7A2F4">
    <w:pPr>
      <w:pStyle w:val="11"/>
      <w:pBdr>
        <w:bottom w:val="none" w:color="auto" w:sz="0" w:space="0"/>
      </w:pBdr>
      <w:jc w:val="both"/>
      <w:rPr>
        <w:rFonts w:ascii="宋体" w:hAnsi="宋体" w:cs="宋体"/>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97166"/>
    <w:multiLevelType w:val="singleLevel"/>
    <w:tmpl w:val="BEF97166"/>
    <w:lvl w:ilvl="0" w:tentative="0">
      <w:start w:val="6"/>
      <w:numFmt w:val="decimal"/>
      <w:suff w:val="nothing"/>
      <w:lvlText w:val="%1．"/>
      <w:lvlJc w:val="left"/>
    </w:lvl>
  </w:abstractNum>
  <w:abstractNum w:abstractNumId="1">
    <w:nsid w:val="2FFC0BBA"/>
    <w:multiLevelType w:val="multilevel"/>
    <w:tmpl w:val="2FFC0BBA"/>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4C157B62"/>
    <w:multiLevelType w:val="multilevel"/>
    <w:tmpl w:val="4C157B62"/>
    <w:lvl w:ilvl="0" w:tentative="0">
      <w:start w:val="2"/>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6BC5D82"/>
    <w:multiLevelType w:val="multilevel"/>
    <w:tmpl w:val="76BC5D82"/>
    <w:lvl w:ilvl="0" w:tentative="0">
      <w:start w:val="1"/>
      <w:numFmt w:val="chineseCounting"/>
      <w:suff w:val="space"/>
      <w:lvlText w:val="第%1章"/>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0Y2NlNTdkZjNkNTNlNTM1ZjY1YTIzMzE3MmQxMzMifQ=="/>
  </w:docVars>
  <w:rsids>
    <w:rsidRoot w:val="39D65011"/>
    <w:rsid w:val="000C19E1"/>
    <w:rsid w:val="00103800"/>
    <w:rsid w:val="00121C79"/>
    <w:rsid w:val="00141410"/>
    <w:rsid w:val="00157B7B"/>
    <w:rsid w:val="0016012A"/>
    <w:rsid w:val="0018627B"/>
    <w:rsid w:val="00200F12"/>
    <w:rsid w:val="00211257"/>
    <w:rsid w:val="00242DA7"/>
    <w:rsid w:val="00252A82"/>
    <w:rsid w:val="00281CE8"/>
    <w:rsid w:val="002A7BD9"/>
    <w:rsid w:val="002D0249"/>
    <w:rsid w:val="00357EA1"/>
    <w:rsid w:val="003B01CE"/>
    <w:rsid w:val="003E660C"/>
    <w:rsid w:val="00410607"/>
    <w:rsid w:val="004542F9"/>
    <w:rsid w:val="004B0AA2"/>
    <w:rsid w:val="004B15C8"/>
    <w:rsid w:val="00614F10"/>
    <w:rsid w:val="006802BA"/>
    <w:rsid w:val="0068733F"/>
    <w:rsid w:val="00691CC7"/>
    <w:rsid w:val="006A49AD"/>
    <w:rsid w:val="006D48F2"/>
    <w:rsid w:val="006D52BB"/>
    <w:rsid w:val="006F53AB"/>
    <w:rsid w:val="00740771"/>
    <w:rsid w:val="00776B30"/>
    <w:rsid w:val="00794A5F"/>
    <w:rsid w:val="007A188D"/>
    <w:rsid w:val="007A479B"/>
    <w:rsid w:val="007E2F5D"/>
    <w:rsid w:val="007F75A5"/>
    <w:rsid w:val="008B26C7"/>
    <w:rsid w:val="0095636E"/>
    <w:rsid w:val="009640B2"/>
    <w:rsid w:val="00965ADF"/>
    <w:rsid w:val="009E6F1C"/>
    <w:rsid w:val="009F1901"/>
    <w:rsid w:val="00A90613"/>
    <w:rsid w:val="00A93448"/>
    <w:rsid w:val="00AD5E0B"/>
    <w:rsid w:val="00B06DC8"/>
    <w:rsid w:val="00BE4610"/>
    <w:rsid w:val="00CB2806"/>
    <w:rsid w:val="00CD0DAF"/>
    <w:rsid w:val="00CF1A05"/>
    <w:rsid w:val="00D6574A"/>
    <w:rsid w:val="00D7111B"/>
    <w:rsid w:val="00D947F2"/>
    <w:rsid w:val="00DB453D"/>
    <w:rsid w:val="00E02282"/>
    <w:rsid w:val="00E65DC2"/>
    <w:rsid w:val="00E77C6E"/>
    <w:rsid w:val="00ED2519"/>
    <w:rsid w:val="00F23A1B"/>
    <w:rsid w:val="00F25F9D"/>
    <w:rsid w:val="00F7695A"/>
    <w:rsid w:val="00FB13E4"/>
    <w:rsid w:val="00FB74A4"/>
    <w:rsid w:val="00FC265B"/>
    <w:rsid w:val="00FC730D"/>
    <w:rsid w:val="01593EC7"/>
    <w:rsid w:val="0269321C"/>
    <w:rsid w:val="03085B25"/>
    <w:rsid w:val="04F252DA"/>
    <w:rsid w:val="05441694"/>
    <w:rsid w:val="05FF746E"/>
    <w:rsid w:val="0640772D"/>
    <w:rsid w:val="0AA07F0D"/>
    <w:rsid w:val="133557A5"/>
    <w:rsid w:val="13C20EF5"/>
    <w:rsid w:val="13E72A51"/>
    <w:rsid w:val="14E03E84"/>
    <w:rsid w:val="166F2B97"/>
    <w:rsid w:val="16B000D8"/>
    <w:rsid w:val="179242A7"/>
    <w:rsid w:val="184928A6"/>
    <w:rsid w:val="18CE3774"/>
    <w:rsid w:val="18F93394"/>
    <w:rsid w:val="1A4A6561"/>
    <w:rsid w:val="1ACA4CFD"/>
    <w:rsid w:val="1ACB4B45"/>
    <w:rsid w:val="1AFE24BA"/>
    <w:rsid w:val="1DA80726"/>
    <w:rsid w:val="1E1B192D"/>
    <w:rsid w:val="1E66643E"/>
    <w:rsid w:val="1EDE04C7"/>
    <w:rsid w:val="1F4361AE"/>
    <w:rsid w:val="200310DC"/>
    <w:rsid w:val="2007072C"/>
    <w:rsid w:val="20861654"/>
    <w:rsid w:val="27F57F7F"/>
    <w:rsid w:val="29BC44C1"/>
    <w:rsid w:val="29DE41F1"/>
    <w:rsid w:val="2B940693"/>
    <w:rsid w:val="2BD650E5"/>
    <w:rsid w:val="2C760388"/>
    <w:rsid w:val="2E0143EB"/>
    <w:rsid w:val="2F771EAA"/>
    <w:rsid w:val="2FBE6464"/>
    <w:rsid w:val="30C9346B"/>
    <w:rsid w:val="317C04DD"/>
    <w:rsid w:val="31A06815"/>
    <w:rsid w:val="31C25868"/>
    <w:rsid w:val="32F61291"/>
    <w:rsid w:val="35E80D63"/>
    <w:rsid w:val="35E87B95"/>
    <w:rsid w:val="37A22F35"/>
    <w:rsid w:val="37EB3CC7"/>
    <w:rsid w:val="391A779B"/>
    <w:rsid w:val="3990503E"/>
    <w:rsid w:val="39D65011"/>
    <w:rsid w:val="3A1F3C37"/>
    <w:rsid w:val="3B002B5B"/>
    <w:rsid w:val="3B2C2DD7"/>
    <w:rsid w:val="3CD5091B"/>
    <w:rsid w:val="3F6013A1"/>
    <w:rsid w:val="3FFC2F31"/>
    <w:rsid w:val="42CE770C"/>
    <w:rsid w:val="43707FEA"/>
    <w:rsid w:val="47F374B8"/>
    <w:rsid w:val="49115C7F"/>
    <w:rsid w:val="49316009"/>
    <w:rsid w:val="4C004007"/>
    <w:rsid w:val="4C3C211E"/>
    <w:rsid w:val="4C587597"/>
    <w:rsid w:val="4F5D200F"/>
    <w:rsid w:val="531371D9"/>
    <w:rsid w:val="54F14BBA"/>
    <w:rsid w:val="556A258E"/>
    <w:rsid w:val="564D4072"/>
    <w:rsid w:val="5A547A81"/>
    <w:rsid w:val="5A980097"/>
    <w:rsid w:val="5BEF3106"/>
    <w:rsid w:val="5C5538D8"/>
    <w:rsid w:val="5CB45813"/>
    <w:rsid w:val="5E0969BF"/>
    <w:rsid w:val="5EAF36A8"/>
    <w:rsid w:val="60F0394C"/>
    <w:rsid w:val="61F93560"/>
    <w:rsid w:val="61FD2174"/>
    <w:rsid w:val="620C2E09"/>
    <w:rsid w:val="62695A87"/>
    <w:rsid w:val="63916775"/>
    <w:rsid w:val="63A22BFD"/>
    <w:rsid w:val="63E76DF3"/>
    <w:rsid w:val="650D4FEC"/>
    <w:rsid w:val="65C80A6D"/>
    <w:rsid w:val="6B9147AC"/>
    <w:rsid w:val="6DDA184C"/>
    <w:rsid w:val="6EB9491F"/>
    <w:rsid w:val="6EF847D2"/>
    <w:rsid w:val="6FE54084"/>
    <w:rsid w:val="74606980"/>
    <w:rsid w:val="74777519"/>
    <w:rsid w:val="76573613"/>
    <w:rsid w:val="7693007F"/>
    <w:rsid w:val="77C17B3F"/>
    <w:rsid w:val="7AAF1080"/>
    <w:rsid w:val="7BCC4EF7"/>
    <w:rsid w:val="7D16409D"/>
    <w:rsid w:val="7D8B3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paragraph" w:styleId="3">
    <w:name w:val="heading 3"/>
    <w:basedOn w:val="1"/>
    <w:next w:val="1"/>
    <w:qFormat/>
    <w:uiPriority w:val="99"/>
    <w:pPr>
      <w:keepNext/>
      <w:keepLines/>
      <w:spacing w:line="360" w:lineRule="auto"/>
      <w:outlineLvl w:val="2"/>
    </w:pPr>
    <w:rPr>
      <w:b/>
      <w:bCs/>
      <w:kern w:val="0"/>
      <w:sz w:val="24"/>
      <w:szCs w:val="32"/>
    </w:rPr>
  </w:style>
  <w:style w:type="paragraph" w:styleId="4">
    <w:name w:val="heading 4"/>
    <w:basedOn w:val="1"/>
    <w:next w:val="1"/>
    <w:qFormat/>
    <w:uiPriority w:val="99"/>
    <w:pPr>
      <w:keepNext/>
      <w:keepLines/>
      <w:spacing w:line="360" w:lineRule="auto"/>
      <w:outlineLvl w:val="3"/>
    </w:pPr>
    <w:rPr>
      <w:rFonts w:ascii="Arial" w:hAnsi="Arial"/>
      <w:b/>
      <w:bCs/>
      <w:kern w:val="0"/>
      <w:sz w:val="20"/>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宋体" w:hAnsi="宋体"/>
      <w:kern w:val="0"/>
      <w:sz w:val="28"/>
      <w:szCs w:val="24"/>
    </w:rPr>
  </w:style>
  <w:style w:type="paragraph" w:styleId="6">
    <w:name w:val="Body Text"/>
    <w:basedOn w:val="1"/>
    <w:next w:val="1"/>
    <w:qFormat/>
    <w:uiPriority w:val="0"/>
    <w:pPr>
      <w:adjustRightInd w:val="0"/>
      <w:spacing w:after="60" w:line="360" w:lineRule="atLeast"/>
      <w:ind w:left="72" w:leftChars="30" w:right="30" w:rightChars="30"/>
      <w:jc w:val="center"/>
      <w:textAlignment w:val="baseline"/>
    </w:pPr>
    <w:rPr>
      <w:rFonts w:asciiTheme="minorHAnsi" w:hAnsiTheme="minorHAnsi" w:eastAsiaTheme="minorEastAsia" w:cstheme="minorBidi"/>
    </w:rPr>
  </w:style>
  <w:style w:type="paragraph" w:styleId="7">
    <w:name w:val="Body Text Indent"/>
    <w:basedOn w:val="1"/>
    <w:next w:val="8"/>
    <w:semiHidden/>
    <w:unhideWhenUsed/>
    <w:qFormat/>
    <w:uiPriority w:val="99"/>
    <w:pPr>
      <w:spacing w:after="120"/>
      <w:ind w:left="420" w:leftChars="200"/>
    </w:pPr>
  </w:style>
  <w:style w:type="paragraph" w:styleId="8">
    <w:name w:val="Body Text First Indent 2"/>
    <w:basedOn w:val="7"/>
    <w:next w:val="1"/>
    <w:semiHidden/>
    <w:unhideWhenUsed/>
    <w:qFormat/>
    <w:uiPriority w:val="99"/>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paragraph" w:styleId="9">
    <w:name w:val="Plain Text"/>
    <w:basedOn w:val="1"/>
    <w:autoRedefine/>
    <w:qFormat/>
    <w:uiPriority w:val="0"/>
    <w:rPr>
      <w:rFonts w:ascii="宋体" w:hAnsi="Courier New"/>
      <w:kern w:val="0"/>
      <w:sz w:val="20"/>
      <w:szCs w:val="21"/>
    </w:rPr>
  </w:style>
  <w:style w:type="paragraph" w:styleId="10">
    <w:name w:val="footer"/>
    <w:basedOn w:val="1"/>
    <w:autoRedefine/>
    <w:qFormat/>
    <w:uiPriority w:val="99"/>
    <w:pPr>
      <w:tabs>
        <w:tab w:val="center" w:pos="4153"/>
        <w:tab w:val="right" w:pos="8306"/>
      </w:tabs>
      <w:snapToGrid w:val="0"/>
      <w:jc w:val="left"/>
    </w:pPr>
    <w:rPr>
      <w:kern w:val="0"/>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autoRedefine/>
    <w:qFormat/>
    <w:uiPriority w:val="99"/>
    <w:pPr>
      <w:spacing w:before="120" w:after="120"/>
      <w:jc w:val="left"/>
    </w:pPr>
    <w:rPr>
      <w:rFonts w:ascii="Times New Roman" w:hAnsi="Times New Roman"/>
      <w:b/>
      <w:bCs/>
      <w:caps/>
      <w:sz w:val="20"/>
      <w:szCs w:val="20"/>
    </w:rPr>
  </w:style>
  <w:style w:type="paragraph" w:styleId="13">
    <w:name w:val="Body Text 2"/>
    <w:basedOn w:val="1"/>
    <w:qFormat/>
    <w:uiPriority w:val="0"/>
    <w:rPr>
      <w:rFonts w:ascii="宋体" w:hAnsi="宋体"/>
      <w:b/>
      <w:sz w:val="28"/>
      <w:szCs w:val="20"/>
    </w:rPr>
  </w:style>
  <w:style w:type="paragraph" w:styleId="14">
    <w:name w:val="Message Header"/>
    <w:basedOn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6">
    <w:name w:val="Body Text First Indent"/>
    <w:basedOn w:val="6"/>
    <w:next w:val="8"/>
    <w:autoRedefine/>
    <w:semiHidden/>
    <w:unhideWhenUsed/>
    <w:qFormat/>
    <w:uiPriority w:val="99"/>
    <w:pPr>
      <w:spacing w:after="0" w:line="360" w:lineRule="auto"/>
      <w:ind w:firstLine="723" w:firstLineChars="200"/>
      <w:jc w:val="left"/>
    </w:pPr>
    <w:rPr>
      <w:rFonts w:ascii="MingLiU" w:hAnsi="MingLiU" w:eastAsia="宋体" w:cs="黑体"/>
      <w:spacing w:val="30"/>
      <w:szCs w:val="20"/>
      <w:lang w:eastAsia="en-US"/>
    </w:rPr>
  </w:style>
  <w:style w:type="character" w:styleId="19">
    <w:name w:val="Strong"/>
    <w:basedOn w:val="18"/>
    <w:qFormat/>
    <w:uiPriority w:val="0"/>
    <w:rPr>
      <w:b/>
      <w:bCs/>
    </w:rPr>
  </w:style>
  <w:style w:type="character" w:styleId="20">
    <w:name w:val="page number"/>
    <w:basedOn w:val="18"/>
    <w:autoRedefine/>
    <w:qFormat/>
    <w:uiPriority w:val="0"/>
  </w:style>
  <w:style w:type="character" w:styleId="21">
    <w:name w:val="FollowedHyperlink"/>
    <w:basedOn w:val="18"/>
    <w:qFormat/>
    <w:uiPriority w:val="0"/>
    <w:rPr>
      <w:color w:val="800080"/>
      <w:u w:val="none"/>
    </w:rPr>
  </w:style>
  <w:style w:type="character" w:styleId="22">
    <w:name w:val="Emphasis"/>
    <w:basedOn w:val="18"/>
    <w:qFormat/>
    <w:uiPriority w:val="0"/>
    <w:rPr>
      <w:b/>
      <w:bCs/>
    </w:rPr>
  </w:style>
  <w:style w:type="character" w:styleId="23">
    <w:name w:val="HTML Definition"/>
    <w:basedOn w:val="18"/>
    <w:qFormat/>
    <w:uiPriority w:val="0"/>
  </w:style>
  <w:style w:type="character" w:styleId="24">
    <w:name w:val="HTML Typewriter"/>
    <w:basedOn w:val="18"/>
    <w:autoRedefine/>
    <w:qFormat/>
    <w:uiPriority w:val="0"/>
    <w:rPr>
      <w:rFonts w:hint="default" w:ascii="monospace" w:hAnsi="monospace" w:eastAsia="monospace" w:cs="monospace"/>
      <w:sz w:val="20"/>
    </w:rPr>
  </w:style>
  <w:style w:type="character" w:styleId="25">
    <w:name w:val="HTML Acronym"/>
    <w:basedOn w:val="18"/>
    <w:qFormat/>
    <w:uiPriority w:val="0"/>
    <w:rPr>
      <w:bdr w:val="single" w:color="D2D2D2" w:sz="2" w:space="0"/>
      <w:shd w:val="clear" w:color="auto" w:fill="FFFFFF"/>
    </w:rPr>
  </w:style>
  <w:style w:type="character" w:styleId="26">
    <w:name w:val="HTML Variable"/>
    <w:basedOn w:val="18"/>
    <w:autoRedefine/>
    <w:qFormat/>
    <w:uiPriority w:val="0"/>
  </w:style>
  <w:style w:type="character" w:styleId="27">
    <w:name w:val="Hyperlink"/>
    <w:basedOn w:val="18"/>
    <w:autoRedefine/>
    <w:qFormat/>
    <w:uiPriority w:val="0"/>
    <w:rPr>
      <w:color w:val="0000FF"/>
      <w:u w:val="none"/>
    </w:rPr>
  </w:style>
  <w:style w:type="character" w:styleId="28">
    <w:name w:val="HTML Code"/>
    <w:basedOn w:val="18"/>
    <w:qFormat/>
    <w:uiPriority w:val="0"/>
    <w:rPr>
      <w:rFonts w:hint="default" w:ascii="monospace" w:hAnsi="monospace" w:eastAsia="monospace" w:cs="monospace"/>
      <w:sz w:val="20"/>
    </w:rPr>
  </w:style>
  <w:style w:type="character" w:styleId="29">
    <w:name w:val="HTML Cite"/>
    <w:basedOn w:val="18"/>
    <w:qFormat/>
    <w:uiPriority w:val="0"/>
  </w:style>
  <w:style w:type="character" w:styleId="30">
    <w:name w:val="HTML Keyboard"/>
    <w:basedOn w:val="18"/>
    <w:qFormat/>
    <w:uiPriority w:val="0"/>
    <w:rPr>
      <w:rFonts w:hint="default" w:ascii="monospace" w:hAnsi="monospace" w:eastAsia="monospace" w:cs="monospace"/>
      <w:sz w:val="20"/>
    </w:rPr>
  </w:style>
  <w:style w:type="character" w:styleId="31">
    <w:name w:val="HTML Sample"/>
    <w:basedOn w:val="18"/>
    <w:autoRedefine/>
    <w:qFormat/>
    <w:uiPriority w:val="0"/>
    <w:rPr>
      <w:rFonts w:ascii="monospace" w:hAnsi="monospace" w:eastAsia="monospace" w:cs="monospace"/>
    </w:rPr>
  </w:style>
  <w:style w:type="paragraph" w:customStyle="1" w:styleId="3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33">
    <w:name w:val="Message Header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34">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5">
    <w:name w:val="列出段落1"/>
    <w:autoRedefine/>
    <w:qFormat/>
    <w:uiPriority w:val="34"/>
    <w:pPr>
      <w:ind w:firstLine="420" w:firstLineChars="200"/>
    </w:pPr>
    <w:rPr>
      <w:rFonts w:ascii="Calibri" w:hAnsi="Calibri" w:eastAsia="宋体" w:cs="Times New Roman"/>
      <w:lang w:val="en-US" w:eastAsia="zh-CN" w:bidi="ar-SA"/>
    </w:rPr>
  </w:style>
  <w:style w:type="paragraph" w:customStyle="1" w:styleId="36">
    <w:name w:val="样式 标题 2 + Times New Roman 四号 非加粗 段前: 5 磅 段后: 0 磅 行距: 固定值 20..."/>
    <w:basedOn w:val="2"/>
    <w:autoRedefine/>
    <w:qFormat/>
    <w:uiPriority w:val="0"/>
    <w:pPr>
      <w:spacing w:before="100" w:after="0" w:line="400" w:lineRule="exact"/>
    </w:pPr>
    <w:rPr>
      <w:rFonts w:ascii="Times New Roman" w:hAnsi="Times New Roman" w:cs="宋体"/>
      <w:b w:val="0"/>
      <w:bCs w:val="0"/>
      <w:sz w:val="28"/>
      <w:szCs w:val="20"/>
    </w:rPr>
  </w:style>
  <w:style w:type="paragraph" w:customStyle="1" w:styleId="37">
    <w:name w:val="样式 标题 3 + (中文) 黑体 小四 非加粗 段前: 7.8 磅 段后: 0 磅 行距: 固定值 20 磅"/>
    <w:basedOn w:val="3"/>
    <w:autoRedefine/>
    <w:qFormat/>
    <w:uiPriority w:val="0"/>
    <w:pPr>
      <w:spacing w:line="400" w:lineRule="exact"/>
    </w:pPr>
    <w:rPr>
      <w:rFonts w:eastAsia="黑体" w:cs="宋体"/>
      <w:b w:val="0"/>
      <w:bCs w:val="0"/>
      <w:szCs w:val="20"/>
    </w:rPr>
  </w:style>
  <w:style w:type="paragraph" w:customStyle="1" w:styleId="3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9">
    <w:name w:val="layui-layer-tabnow"/>
    <w:basedOn w:val="18"/>
    <w:autoRedefine/>
    <w:qFormat/>
    <w:uiPriority w:val="0"/>
    <w:rPr>
      <w:bdr w:val="single" w:color="CCCCCC" w:sz="6" w:space="0"/>
      <w:shd w:val="clear" w:color="auto" w:fill="FFFFFF"/>
    </w:rPr>
  </w:style>
  <w:style w:type="character" w:customStyle="1" w:styleId="40">
    <w:name w:val="first-child"/>
    <w:basedOn w:val="18"/>
    <w:qFormat/>
    <w:uiPriority w:val="0"/>
  </w:style>
  <w:style w:type="character" w:customStyle="1" w:styleId="41">
    <w:name w:val="hover"/>
    <w:basedOn w:val="18"/>
    <w:autoRedefine/>
    <w:qFormat/>
    <w:uiPriority w:val="0"/>
    <w:rPr>
      <w:color w:val="2590EB"/>
    </w:rPr>
  </w:style>
  <w:style w:type="character" w:customStyle="1" w:styleId="42">
    <w:name w:val="hover1"/>
    <w:basedOn w:val="18"/>
    <w:qFormat/>
    <w:uiPriority w:val="0"/>
    <w:rPr>
      <w:color w:val="2590EB"/>
    </w:rPr>
  </w:style>
  <w:style w:type="character" w:customStyle="1" w:styleId="43">
    <w:name w:val="hover2"/>
    <w:basedOn w:val="18"/>
    <w:autoRedefine/>
    <w:qFormat/>
    <w:uiPriority w:val="0"/>
  </w:style>
  <w:style w:type="character" w:customStyle="1" w:styleId="44">
    <w:name w:val="mini-outputtext1"/>
    <w:basedOn w:val="18"/>
    <w:autoRedefine/>
    <w:qFormat/>
    <w:uiPriority w:val="0"/>
  </w:style>
  <w:style w:type="character" w:customStyle="1" w:styleId="45">
    <w:name w:val="hover3"/>
    <w:basedOn w:val="18"/>
    <w:autoRedefine/>
    <w:qFormat/>
    <w:uiPriority w:val="0"/>
    <w:rPr>
      <w:color w:val="2590EB"/>
    </w:rPr>
  </w:style>
  <w:style w:type="paragraph" w:customStyle="1" w:styleId="46">
    <w:name w:val="正文_1_0"/>
    <w:basedOn w:val="47"/>
    <w:next w:val="5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
    <w:name w:val="正文_2"/>
    <w:next w:val="48"/>
    <w:autoRedefine/>
    <w:qFormat/>
    <w:uiPriority w:val="0"/>
    <w:pPr>
      <w:widowControl w:val="0"/>
      <w:jc w:val="both"/>
    </w:pPr>
    <w:rPr>
      <w:rFonts w:ascii="Times New Roman" w:hAnsi="Times New Roman" w:eastAsia="宋体" w:cs="Times New Roman"/>
      <w:lang w:val="en-US" w:eastAsia="zh-CN" w:bidi="ar-SA"/>
    </w:rPr>
  </w:style>
  <w:style w:type="paragraph" w:customStyle="1" w:styleId="48">
    <w:name w:val="正文文本_1"/>
    <w:basedOn w:val="49"/>
    <w:next w:val="50"/>
    <w:autoRedefine/>
    <w:qFormat/>
    <w:uiPriority w:val="0"/>
    <w:rPr>
      <w:rFonts w:ascii="Times New Roman" w:hAnsi="Times New Roman" w:eastAsia="仿宋_GB2312" w:cs="Times New Roman"/>
      <w:kern w:val="2"/>
      <w:sz w:val="28"/>
      <w:szCs w:val="30"/>
    </w:rPr>
  </w:style>
  <w:style w:type="paragraph" w:customStyle="1" w:styleId="49">
    <w:name w:val="正文_1"/>
    <w:autoRedefine/>
    <w:qFormat/>
    <w:uiPriority w:val="0"/>
    <w:pPr>
      <w:widowControl w:val="0"/>
      <w:jc w:val="both"/>
    </w:pPr>
    <w:rPr>
      <w:rFonts w:ascii="Times New Roman" w:hAnsi="Times New Roman" w:eastAsia="宋体" w:cs="Times New Roman"/>
      <w:lang w:val="en-US" w:eastAsia="zh-CN" w:bidi="ar-SA"/>
    </w:rPr>
  </w:style>
  <w:style w:type="paragraph" w:customStyle="1" w:styleId="50">
    <w:name w:val="Default_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1">
    <w:name w:val="正文文本_0_0"/>
    <w:basedOn w:val="52"/>
    <w:next w:val="53"/>
    <w:autoRedefine/>
    <w:qFormat/>
    <w:uiPriority w:val="0"/>
    <w:pPr>
      <w:widowControl/>
      <w:adjustRightInd w:val="0"/>
      <w:spacing w:after="60" w:line="360" w:lineRule="atLeast"/>
      <w:ind w:left="72" w:leftChars="30" w:right="30" w:rightChars="30" w:firstLine="200" w:firstLineChars="200"/>
      <w:jc w:val="center"/>
    </w:pPr>
    <w:rPr>
      <w:rFonts w:ascii="Times New Roman" w:hAnsi="Times New Roman" w:eastAsia="宋体" w:cs="Times New Roman"/>
      <w:kern w:val="0"/>
      <w:sz w:val="20"/>
      <w:szCs w:val="20"/>
    </w:rPr>
  </w:style>
  <w:style w:type="paragraph" w:customStyle="1" w:styleId="52">
    <w:name w:val="正文_0_1"/>
    <w:next w:val="5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文本 2_0_0"/>
    <w:basedOn w:val="46"/>
    <w:qFormat/>
    <w:uiPriority w:val="0"/>
    <w:pPr>
      <w:jc w:val="center"/>
      <w:outlineLvl w:val="0"/>
    </w:pPr>
    <w:rPr>
      <w:rFonts w:ascii="楷体_GB2312" w:hAnsi="宋体" w:eastAsia="仿宋_GB2312" w:cs="宋体"/>
      <w:kern w:val="2"/>
      <w:sz w:val="30"/>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104</Pages>
  <Words>17052</Words>
  <Characters>18664</Characters>
  <Lines>386</Lines>
  <Paragraphs>108</Paragraphs>
  <TotalTime>11</TotalTime>
  <ScaleCrop>false</ScaleCrop>
  <LinksUpToDate>false</LinksUpToDate>
  <CharactersWithSpaces>18982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2020-08-28T02:51:00Z</dcterms:created>
  <dc:creator>slow ＇怪</dc:creator>
  <cp:lastModifiedBy>小月</cp:lastModifiedBy>
  <cp:lastPrinted>2023-04-18T08:15:00Z</cp:lastPrinted>
  <dcterms:modified xsi:type="dcterms:W3CDTF">2026-08-03T09:09:06Z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3CD893B9E5A945158E665DD08EE2E7A2_13</vt:lpwstr>
  </property>
  <property fmtid="{D5CDD505-2E9C-101B-9397-08002B2CF9AE}" pid="4" name="KSOTemplateDocerSaveRecord">
    <vt:lpwstr>eyJoZGlkIjoiYThlZDUwNDRkMTNiY2JiNTEwOTczZDQ1ZmU2ZmVhMjMiLCJ1c2VySWQiOiIzOTQwMTA4NDYifQ==</vt:lpwstr>
  </property>
</Properties>
</file>