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2CE29B">
      <w:pPr>
        <w:spacing w:line="264" w:lineRule="auto"/>
        <w:jc w:val="center"/>
        <w:outlineLvl w:val="9"/>
        <w:rPr>
          <w:rFonts w:cs="宋体" w:asciiTheme="minorEastAsia" w:hAnsiTheme="minorEastAsia" w:eastAsiaTheme="minorEastAsia"/>
          <w:sz w:val="13"/>
          <w:szCs w:val="13"/>
        </w:rPr>
      </w:pPr>
    </w:p>
    <w:p w14:paraId="40FD86C8">
      <w:pPr>
        <w:pStyle w:val="103"/>
        <w:keepNext/>
        <w:keepLines/>
        <w:shd w:val="clear" w:color="auto" w:fill="auto"/>
        <w:adjustRightInd/>
        <w:snapToGrid/>
        <w:spacing w:before="0" w:after="0" w:line="360" w:lineRule="auto"/>
        <w:outlineLvl w:val="9"/>
        <w:rPr>
          <w:rFonts w:hint="eastAsia" w:cs="宋体" w:asciiTheme="minorEastAsia" w:hAnsiTheme="minorEastAsia" w:eastAsiaTheme="minorEastAsia"/>
          <w:sz w:val="44"/>
          <w:szCs w:val="44"/>
          <w:lang w:val="en-US" w:eastAsia="zh-CN"/>
        </w:rPr>
      </w:pPr>
      <w:r>
        <w:rPr>
          <w:rFonts w:hint="eastAsia" w:asciiTheme="minorEastAsia" w:hAnsiTheme="minorEastAsia" w:eastAsiaTheme="minorEastAsia"/>
          <w:sz w:val="44"/>
          <w:szCs w:val="44"/>
          <w:lang w:eastAsia="zh-CN"/>
        </w:rPr>
        <w:t>王和村生产道路硬化项目</w:t>
      </w:r>
    </w:p>
    <w:p w14:paraId="713591B0">
      <w:pPr>
        <w:spacing w:line="264" w:lineRule="auto"/>
        <w:jc w:val="center"/>
        <w:outlineLvl w:val="9"/>
        <w:rPr>
          <w:rFonts w:cs="Calibri" w:asciiTheme="minorEastAsia" w:hAnsiTheme="minorEastAsia" w:eastAsiaTheme="minorEastAsia"/>
          <w:b/>
          <w:bCs/>
          <w:spacing w:val="20"/>
          <w:sz w:val="52"/>
          <w:szCs w:val="52"/>
        </w:rPr>
      </w:pPr>
    </w:p>
    <w:p w14:paraId="3B88A602">
      <w:pPr>
        <w:spacing w:line="264" w:lineRule="auto"/>
        <w:jc w:val="center"/>
        <w:outlineLvl w:val="9"/>
        <w:rPr>
          <w:rFonts w:cs="Calibri" w:asciiTheme="minorEastAsia" w:hAnsiTheme="minorEastAsia" w:eastAsiaTheme="minorEastAsia"/>
          <w:b/>
          <w:bCs/>
          <w:spacing w:val="20"/>
          <w:sz w:val="52"/>
          <w:szCs w:val="52"/>
        </w:rPr>
      </w:pPr>
      <w:r>
        <w:rPr>
          <w:rFonts w:hint="eastAsia" w:cs="Calibri" w:asciiTheme="minorEastAsia" w:hAnsiTheme="minorEastAsia" w:eastAsiaTheme="minorEastAsia"/>
          <w:b/>
          <w:bCs/>
          <w:spacing w:val="20"/>
          <w:sz w:val="52"/>
          <w:szCs w:val="52"/>
        </w:rPr>
        <w:t>竞争性磋商文件</w:t>
      </w:r>
    </w:p>
    <w:p w14:paraId="67946CE5">
      <w:pPr>
        <w:spacing w:line="264" w:lineRule="auto"/>
        <w:outlineLvl w:val="9"/>
        <w:rPr>
          <w:rFonts w:cs="Calibri" w:asciiTheme="minorEastAsia" w:hAnsiTheme="minorEastAsia" w:eastAsiaTheme="minorEastAsia"/>
          <w:sz w:val="28"/>
          <w:szCs w:val="28"/>
        </w:rPr>
      </w:pPr>
    </w:p>
    <w:p w14:paraId="43146595">
      <w:pPr>
        <w:spacing w:after="0" w:line="540" w:lineRule="exact"/>
        <w:ind w:firstLine="2240" w:firstLineChars="700"/>
        <w:outlineLvl w:val="9"/>
        <w:rPr>
          <w:rFonts w:cs="Calibri" w:asciiTheme="minorEastAsia" w:hAnsiTheme="minorEastAsia" w:eastAsiaTheme="minorEastAsia"/>
          <w:sz w:val="32"/>
          <w:szCs w:val="32"/>
        </w:rPr>
      </w:pPr>
      <w:r>
        <w:rPr>
          <w:rFonts w:hint="eastAsia" w:cs="Calibri" w:asciiTheme="minorEastAsia" w:hAnsiTheme="minorEastAsia" w:eastAsiaTheme="minorEastAsia"/>
          <w:sz w:val="32"/>
          <w:szCs w:val="32"/>
        </w:rPr>
        <w:t xml:space="preserve">项目编号：SGZ[2026]240-ZC168  </w:t>
      </w:r>
    </w:p>
    <w:p w14:paraId="52585ECB">
      <w:pPr>
        <w:spacing w:after="0" w:line="540" w:lineRule="exact"/>
        <w:ind w:firstLine="3840" w:firstLineChars="1200"/>
        <w:outlineLvl w:val="9"/>
        <w:rPr>
          <w:rFonts w:cs="Calibri" w:asciiTheme="minorEastAsia" w:hAnsiTheme="minorEastAsia" w:eastAsiaTheme="minorEastAsia"/>
          <w:sz w:val="32"/>
          <w:szCs w:val="32"/>
        </w:rPr>
      </w:pPr>
      <w:r>
        <w:rPr>
          <w:rFonts w:hint="eastAsia" w:cs="Calibri" w:asciiTheme="minorEastAsia" w:hAnsiTheme="minorEastAsia" w:eastAsiaTheme="minorEastAsia"/>
          <w:sz w:val="32"/>
          <w:szCs w:val="32"/>
        </w:rPr>
        <w:t>示范竟磋采购-2026-14</w:t>
      </w:r>
    </w:p>
    <w:p w14:paraId="3CD6009F">
      <w:pPr>
        <w:spacing w:after="0" w:line="540" w:lineRule="exact"/>
        <w:ind w:firstLine="2880" w:firstLineChars="1200"/>
        <w:outlineLvl w:val="9"/>
        <w:rPr>
          <w:rFonts w:cs="Calibri" w:asciiTheme="minorEastAsia" w:hAnsiTheme="minorEastAsia" w:eastAsiaTheme="minorEastAsia"/>
          <w:sz w:val="24"/>
          <w:szCs w:val="24"/>
        </w:rPr>
      </w:pPr>
    </w:p>
    <w:p w14:paraId="42E0DCAF">
      <w:pPr>
        <w:spacing w:line="264" w:lineRule="auto"/>
        <w:ind w:firstLine="2080" w:firstLineChars="650"/>
        <w:outlineLvl w:val="9"/>
        <w:rPr>
          <w:rFonts w:cs="Calibri" w:asciiTheme="minorEastAsia" w:hAnsiTheme="minorEastAsia" w:eastAsiaTheme="minorEastAsia"/>
          <w:sz w:val="32"/>
          <w:szCs w:val="32"/>
        </w:rPr>
      </w:pPr>
    </w:p>
    <w:p w14:paraId="0FE78FC1">
      <w:pPr>
        <w:spacing w:line="264" w:lineRule="auto"/>
        <w:ind w:firstLine="3698" w:firstLineChars="1151"/>
        <w:outlineLvl w:val="9"/>
        <w:rPr>
          <w:rFonts w:cs="Calibri" w:asciiTheme="minorEastAsia" w:hAnsiTheme="minorEastAsia" w:eastAsiaTheme="minorEastAsia"/>
          <w:sz w:val="32"/>
          <w:szCs w:val="32"/>
        </w:rPr>
      </w:pPr>
      <w:r>
        <w:rPr>
          <w:rFonts w:cs="宋体" w:asciiTheme="minorEastAsia" w:hAnsiTheme="minorEastAsia" w:eastAsiaTheme="minorEastAsia"/>
          <w:b/>
          <w:sz w:val="32"/>
          <w:szCs w:val="32"/>
        </w:rPr>
        <w:drawing>
          <wp:anchor distT="0" distB="0" distL="114300" distR="114300" simplePos="0" relativeHeight="251660288" behindDoc="0" locked="0" layoutInCell="1" allowOverlap="1">
            <wp:simplePos x="0" y="0"/>
            <wp:positionH relativeFrom="column">
              <wp:posOffset>1991360</wp:posOffset>
            </wp:positionH>
            <wp:positionV relativeFrom="paragraph">
              <wp:posOffset>128905</wp:posOffset>
            </wp:positionV>
            <wp:extent cx="1657350" cy="1838325"/>
            <wp:effectExtent l="0" t="0" r="3810" b="5715"/>
            <wp:wrapNone/>
            <wp:docPr id="1" name="图片 3" descr="兴建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兴建标志"/>
                    <pic:cNvPicPr>
                      <a:picLocks noChangeAspect="1" noChangeArrowheads="1"/>
                    </pic:cNvPicPr>
                  </pic:nvPicPr>
                  <pic:blipFill>
                    <a:blip r:embed="rId8" cstate="print"/>
                    <a:srcRect/>
                    <a:stretch>
                      <a:fillRect/>
                    </a:stretch>
                  </pic:blipFill>
                  <pic:spPr>
                    <a:xfrm>
                      <a:off x="0" y="0"/>
                      <a:ext cx="1657350" cy="1838325"/>
                    </a:xfrm>
                    <a:prstGeom prst="rect">
                      <a:avLst/>
                    </a:prstGeom>
                    <a:noFill/>
                    <a:ln w="9525">
                      <a:noFill/>
                      <a:miter lim="800000"/>
                      <a:headEnd/>
                      <a:tailEnd/>
                    </a:ln>
                  </pic:spPr>
                </pic:pic>
              </a:graphicData>
            </a:graphic>
          </wp:anchor>
        </w:drawing>
      </w:r>
    </w:p>
    <w:p w14:paraId="2E4B640A">
      <w:pPr>
        <w:spacing w:line="264" w:lineRule="auto"/>
        <w:ind w:firstLine="2080" w:firstLineChars="650"/>
        <w:outlineLvl w:val="9"/>
        <w:rPr>
          <w:rFonts w:cs="Calibri" w:asciiTheme="minorEastAsia" w:hAnsiTheme="minorEastAsia" w:eastAsiaTheme="minorEastAsia"/>
          <w:b/>
          <w:bCs/>
          <w:sz w:val="30"/>
          <w:szCs w:val="30"/>
        </w:rPr>
      </w:pPr>
      <w:r>
        <w:rPr>
          <w:rFonts w:hint="eastAsia" w:cs="Calibri" w:asciiTheme="minorEastAsia" w:hAnsiTheme="minorEastAsia" w:eastAsiaTheme="minorEastAsia"/>
          <w:sz w:val="32"/>
          <w:szCs w:val="32"/>
        </w:rPr>
        <w:t xml:space="preserve">           </w:t>
      </w:r>
    </w:p>
    <w:p w14:paraId="53FDD84D">
      <w:pPr>
        <w:spacing w:line="480" w:lineRule="exact"/>
        <w:ind w:firstLine="1656" w:firstLineChars="550"/>
        <w:outlineLvl w:val="9"/>
        <w:rPr>
          <w:rFonts w:cs="Calibri" w:asciiTheme="minorEastAsia" w:hAnsiTheme="minorEastAsia" w:eastAsiaTheme="minorEastAsia"/>
          <w:b/>
          <w:bCs/>
          <w:sz w:val="30"/>
          <w:szCs w:val="30"/>
        </w:rPr>
      </w:pPr>
    </w:p>
    <w:p w14:paraId="5A0C062D">
      <w:pPr>
        <w:spacing w:line="480" w:lineRule="exact"/>
        <w:ind w:firstLine="1656" w:firstLineChars="550"/>
        <w:outlineLvl w:val="9"/>
        <w:rPr>
          <w:rFonts w:cs="Calibri" w:asciiTheme="minorEastAsia" w:hAnsiTheme="minorEastAsia" w:eastAsiaTheme="minorEastAsia"/>
          <w:b/>
          <w:bCs/>
          <w:sz w:val="30"/>
          <w:szCs w:val="30"/>
        </w:rPr>
      </w:pPr>
    </w:p>
    <w:p w14:paraId="11C88CD4">
      <w:pPr>
        <w:spacing w:line="480" w:lineRule="exact"/>
        <w:ind w:firstLine="1656" w:firstLineChars="550"/>
        <w:outlineLvl w:val="9"/>
        <w:rPr>
          <w:rFonts w:cs="Calibri" w:asciiTheme="minorEastAsia" w:hAnsiTheme="minorEastAsia" w:eastAsiaTheme="minorEastAsia"/>
          <w:b/>
          <w:bCs/>
          <w:sz w:val="30"/>
          <w:szCs w:val="30"/>
        </w:rPr>
      </w:pPr>
    </w:p>
    <w:p w14:paraId="52C2A777">
      <w:pPr>
        <w:spacing w:line="480" w:lineRule="exact"/>
        <w:ind w:firstLine="1656" w:firstLineChars="550"/>
        <w:outlineLvl w:val="9"/>
        <w:rPr>
          <w:rFonts w:cs="Calibri" w:asciiTheme="minorEastAsia" w:hAnsiTheme="minorEastAsia" w:eastAsiaTheme="minorEastAsia"/>
          <w:b/>
          <w:bCs/>
          <w:sz w:val="30"/>
          <w:szCs w:val="30"/>
        </w:rPr>
      </w:pPr>
    </w:p>
    <w:p w14:paraId="60F6C08D">
      <w:pPr>
        <w:spacing w:line="480" w:lineRule="exact"/>
        <w:ind w:firstLine="1656" w:firstLineChars="550"/>
        <w:outlineLvl w:val="9"/>
        <w:rPr>
          <w:rFonts w:cs="Calibri" w:asciiTheme="minorEastAsia" w:hAnsiTheme="minorEastAsia" w:eastAsiaTheme="minorEastAsia"/>
          <w:b/>
          <w:bCs/>
          <w:sz w:val="30"/>
          <w:szCs w:val="30"/>
        </w:rPr>
      </w:pPr>
    </w:p>
    <w:p w14:paraId="5DC163F2">
      <w:pPr>
        <w:spacing w:line="480" w:lineRule="exact"/>
        <w:ind w:firstLine="1656" w:firstLineChars="550"/>
        <w:outlineLvl w:val="9"/>
        <w:rPr>
          <w:rFonts w:cs="Calibri" w:asciiTheme="minorEastAsia" w:hAnsiTheme="minorEastAsia" w:eastAsiaTheme="minorEastAsia"/>
          <w:b/>
          <w:bCs/>
          <w:sz w:val="30"/>
          <w:szCs w:val="30"/>
        </w:rPr>
      </w:pPr>
    </w:p>
    <w:p w14:paraId="65220D60">
      <w:pPr>
        <w:spacing w:line="480" w:lineRule="exact"/>
        <w:ind w:left="3829" w:leftChars="774" w:hanging="2126" w:hangingChars="706"/>
        <w:outlineLvl w:val="9"/>
        <w:rPr>
          <w:rFonts w:cs="Calibri" w:asciiTheme="minorEastAsia" w:hAnsiTheme="minorEastAsia" w:eastAsiaTheme="minorEastAsia"/>
          <w:b/>
          <w:bCs/>
          <w:sz w:val="30"/>
          <w:szCs w:val="30"/>
        </w:rPr>
      </w:pPr>
      <w:r>
        <w:rPr>
          <w:rFonts w:hint="eastAsia" w:cs="Calibri" w:asciiTheme="minorEastAsia" w:hAnsiTheme="minorEastAsia" w:eastAsiaTheme="minorEastAsia"/>
          <w:b/>
          <w:bCs/>
          <w:sz w:val="30"/>
          <w:szCs w:val="30"/>
        </w:rPr>
        <w:t>采   购   人：灵宝市大王镇人民政府</w:t>
      </w:r>
    </w:p>
    <w:p w14:paraId="7B882371">
      <w:pPr>
        <w:spacing w:line="480" w:lineRule="exact"/>
        <w:ind w:firstLine="1656" w:firstLineChars="550"/>
        <w:outlineLvl w:val="9"/>
        <w:rPr>
          <w:rFonts w:hint="eastAsia" w:cs="Calibri" w:asciiTheme="minorEastAsia" w:hAnsiTheme="minorEastAsia" w:eastAsiaTheme="minorEastAsia"/>
          <w:b/>
          <w:bCs/>
          <w:sz w:val="30"/>
          <w:szCs w:val="30"/>
          <w:lang w:eastAsia="zh-CN"/>
        </w:rPr>
      </w:pPr>
      <w:r>
        <w:rPr>
          <w:rFonts w:hint="eastAsia" w:cs="Calibri" w:asciiTheme="minorEastAsia" w:hAnsiTheme="minorEastAsia" w:eastAsiaTheme="minorEastAsia"/>
          <w:b/>
          <w:bCs/>
          <w:sz w:val="30"/>
          <w:szCs w:val="30"/>
        </w:rPr>
        <w:t>采购代理机构：</w:t>
      </w:r>
      <w:r>
        <w:rPr>
          <w:rFonts w:hint="eastAsia" w:cs="Calibri" w:asciiTheme="minorEastAsia" w:hAnsiTheme="minorEastAsia" w:eastAsiaTheme="minorEastAsia"/>
          <w:b/>
          <w:bCs/>
          <w:sz w:val="30"/>
          <w:szCs w:val="30"/>
          <w:lang w:eastAsia="zh-CN"/>
        </w:rPr>
        <w:t>兴建建设管理有限公司</w:t>
      </w:r>
    </w:p>
    <w:p w14:paraId="27C40530">
      <w:pPr>
        <w:spacing w:line="480" w:lineRule="exact"/>
        <w:ind w:firstLine="1656" w:firstLineChars="550"/>
        <w:outlineLvl w:val="9"/>
        <w:rPr>
          <w:rFonts w:asciiTheme="minorEastAsia" w:hAnsiTheme="minorEastAsia" w:eastAsiaTheme="minorEastAsia"/>
          <w:sz w:val="36"/>
          <w:szCs w:val="32"/>
        </w:rPr>
      </w:pPr>
      <w:r>
        <w:rPr>
          <w:rFonts w:hint="eastAsia" w:cs="Calibri" w:asciiTheme="minorEastAsia" w:hAnsiTheme="minorEastAsia" w:eastAsiaTheme="minorEastAsia"/>
          <w:b/>
          <w:bCs/>
          <w:sz w:val="30"/>
          <w:szCs w:val="30"/>
        </w:rPr>
        <w:t>日        期：二〇二六年</w:t>
      </w:r>
      <w:r>
        <w:rPr>
          <w:rFonts w:hint="eastAsia" w:cs="Calibri" w:asciiTheme="minorEastAsia" w:hAnsiTheme="minorEastAsia" w:eastAsiaTheme="minorEastAsia"/>
          <w:b/>
          <w:bCs/>
          <w:sz w:val="30"/>
          <w:szCs w:val="30"/>
          <w:lang w:val="en-US" w:eastAsia="zh-CN"/>
        </w:rPr>
        <w:t>八</w:t>
      </w:r>
      <w:r>
        <w:rPr>
          <w:rFonts w:hint="eastAsia" w:cs="Calibri" w:asciiTheme="minorEastAsia" w:hAnsiTheme="minorEastAsia" w:eastAsiaTheme="minorEastAsia"/>
          <w:b/>
          <w:bCs/>
          <w:sz w:val="30"/>
          <w:szCs w:val="30"/>
        </w:rPr>
        <w:t>月</w:t>
      </w:r>
      <w:bookmarkStart w:id="0" w:name="_Toc120614210"/>
      <w:bookmarkEnd w:id="0"/>
      <w:bookmarkStart w:id="1" w:name="_Toc444525600"/>
      <w:bookmarkEnd w:id="1"/>
      <w:bookmarkStart w:id="2" w:name="_Toc403986986"/>
      <w:bookmarkEnd w:id="2"/>
      <w:bookmarkStart w:id="3" w:name="_Toc447717724"/>
      <w:bookmarkEnd w:id="3"/>
      <w:bookmarkStart w:id="4" w:name="_Toc523127445"/>
      <w:bookmarkEnd w:id="4"/>
      <w:bookmarkStart w:id="5" w:name="_Toc517178990"/>
      <w:bookmarkEnd w:id="5"/>
      <w:bookmarkStart w:id="6" w:name="_Toc479757206"/>
      <w:bookmarkEnd w:id="6"/>
      <w:bookmarkStart w:id="7" w:name="_Toc446062580"/>
      <w:bookmarkEnd w:id="7"/>
      <w:bookmarkStart w:id="8" w:name="_Toc20823272"/>
      <w:bookmarkEnd w:id="8"/>
      <w:bookmarkStart w:id="9" w:name="_Toc403987193"/>
      <w:bookmarkEnd w:id="9"/>
      <w:bookmarkStart w:id="10" w:name="_Toc16938516"/>
      <w:bookmarkEnd w:id="10"/>
      <w:bookmarkStart w:id="11" w:name="_Toc446062516"/>
      <w:bookmarkEnd w:id="11"/>
      <w:bookmarkStart w:id="12" w:name="_Toc16770539"/>
    </w:p>
    <w:p w14:paraId="27AF05E4">
      <w:pPr>
        <w:adjustRightInd/>
        <w:snapToGrid/>
        <w:spacing w:after="0"/>
        <w:outlineLvl w:val="9"/>
        <w:rPr>
          <w:rFonts w:cs="Times New Roman" w:asciiTheme="minorEastAsia" w:hAnsiTheme="minorEastAsia" w:eastAsiaTheme="minorEastAsia"/>
          <w:b/>
          <w:sz w:val="36"/>
          <w:szCs w:val="32"/>
        </w:rPr>
      </w:pPr>
      <w:r>
        <w:rPr>
          <w:rFonts w:asciiTheme="minorEastAsia" w:hAnsiTheme="minorEastAsia" w:eastAsiaTheme="minorEastAsia"/>
          <w:sz w:val="36"/>
          <w:szCs w:val="32"/>
        </w:rPr>
        <w:br w:type="page"/>
      </w:r>
    </w:p>
    <w:p w14:paraId="4CE2CCCE">
      <w:pPr>
        <w:pStyle w:val="66"/>
        <w:spacing w:before="0"/>
        <w:jc w:val="center"/>
        <w:outlineLvl w:val="9"/>
        <w:rPr>
          <w:rFonts w:asciiTheme="minorEastAsia" w:hAnsiTheme="minorEastAsia" w:eastAsiaTheme="minorEastAsia"/>
          <w:color w:val="auto"/>
          <w:sz w:val="32"/>
          <w:szCs w:val="32"/>
        </w:rPr>
      </w:pPr>
      <w:r>
        <w:rPr>
          <w:rFonts w:hint="eastAsia" w:asciiTheme="minorEastAsia" w:hAnsiTheme="minorEastAsia" w:eastAsiaTheme="minorEastAsia"/>
          <w:color w:val="auto"/>
          <w:sz w:val="36"/>
          <w:szCs w:val="32"/>
        </w:rPr>
        <w:t>目    录</w:t>
      </w:r>
      <w:bookmarkEnd w:id="12"/>
    </w:p>
    <w:sdt>
      <w:sdtPr>
        <w:rPr>
          <w:rFonts w:ascii="宋体" w:hAnsi="宋体" w:eastAsia="宋体" w:cstheme="minorBidi"/>
          <w:sz w:val="21"/>
          <w:szCs w:val="22"/>
          <w:lang w:val="en-US" w:eastAsia="zh-CN" w:bidi="ar-SA"/>
        </w:rPr>
        <w:id w:val="147463737"/>
        <w15:color w:val="DBDBDB"/>
        <w:docPartObj>
          <w:docPartGallery w:val="Table of Contents"/>
          <w:docPartUnique/>
        </w:docPartObj>
      </w:sdtPr>
      <w:sdtEndPr>
        <w:rPr>
          <w:rFonts w:asciiTheme="minorEastAsia" w:hAnsiTheme="minorEastAsia" w:eastAsiaTheme="minorEastAsia" w:cstheme="minorBidi"/>
          <w:bCs/>
          <w:sz w:val="22"/>
          <w:szCs w:val="22"/>
          <w:lang w:val="en-US" w:eastAsia="zh-CN" w:bidi="ar-SA"/>
        </w:rPr>
      </w:sdtEndPr>
      <w:sdtContent>
        <w:p w14:paraId="470BFEAE">
          <w:pPr>
            <w:spacing w:before="0" w:beforeLines="0" w:after="0" w:afterLines="0" w:line="240" w:lineRule="auto"/>
            <w:ind w:left="0" w:leftChars="0" w:right="0" w:rightChars="0" w:firstLine="0" w:firstLineChars="0"/>
            <w:jc w:val="center"/>
          </w:pPr>
        </w:p>
        <w:p w14:paraId="3226638B">
          <w:pPr>
            <w:pStyle w:val="18"/>
            <w:tabs>
              <w:tab w:val="right" w:leader="dot" w:pos="9070"/>
            </w:tabs>
          </w:pPr>
          <w:r>
            <w:rPr>
              <w:rFonts w:asciiTheme="minorEastAsia" w:hAnsiTheme="minorEastAsia" w:eastAsiaTheme="minorEastAsia"/>
              <w:b/>
              <w:bCs/>
            </w:rPr>
            <w:fldChar w:fldCharType="begin"/>
          </w:r>
          <w:r>
            <w:rPr>
              <w:rFonts w:asciiTheme="minorEastAsia" w:hAnsiTheme="minorEastAsia" w:eastAsiaTheme="minorEastAsia"/>
              <w:b/>
              <w:bCs/>
            </w:rPr>
            <w:instrText xml:space="preserve">TOC \o "1-1" \h \u </w:instrText>
          </w:r>
          <w:r>
            <w:rPr>
              <w:rFonts w:asciiTheme="minorEastAsia" w:hAnsiTheme="minorEastAsia" w:eastAsiaTheme="minorEastAsia"/>
              <w:b/>
              <w:bCs/>
            </w:rPr>
            <w:fldChar w:fldCharType="separate"/>
          </w:r>
          <w:r>
            <w:rPr>
              <w:rFonts w:asciiTheme="minorEastAsia" w:hAnsiTheme="minorEastAsia" w:eastAsiaTheme="minorEastAsia"/>
              <w:bCs/>
            </w:rPr>
            <w:fldChar w:fldCharType="begin"/>
          </w:r>
          <w:r>
            <w:rPr>
              <w:rFonts w:asciiTheme="minorEastAsia" w:hAnsiTheme="minorEastAsia" w:eastAsiaTheme="minorEastAsia"/>
              <w:bCs/>
            </w:rPr>
            <w:instrText xml:space="preserve"> HYPERLINK \l _Toc5626 </w:instrText>
          </w:r>
          <w:r>
            <w:rPr>
              <w:rFonts w:asciiTheme="minorEastAsia" w:hAnsiTheme="minorEastAsia" w:eastAsiaTheme="minorEastAsia"/>
              <w:bCs/>
            </w:rPr>
            <w:fldChar w:fldCharType="separate"/>
          </w:r>
          <w:r>
            <w:rPr>
              <w:rFonts w:asciiTheme="minorEastAsia" w:hAnsiTheme="minorEastAsia" w:eastAsiaTheme="minorEastAsia"/>
              <w:bCs/>
              <w:kern w:val="36"/>
              <w:szCs w:val="36"/>
            </w:rPr>
            <w:t>第一章</w:t>
          </w:r>
          <w:r>
            <w:rPr>
              <w:rFonts w:hint="eastAsia" w:asciiTheme="minorEastAsia" w:hAnsiTheme="minorEastAsia" w:eastAsiaTheme="minorEastAsia"/>
              <w:bCs/>
              <w:kern w:val="36"/>
              <w:szCs w:val="36"/>
              <w:lang w:val="en-US" w:eastAsia="zh-CN"/>
            </w:rPr>
            <w:t xml:space="preserve">  </w:t>
          </w:r>
          <w:r>
            <w:rPr>
              <w:rFonts w:asciiTheme="minorEastAsia" w:hAnsiTheme="minorEastAsia" w:eastAsiaTheme="minorEastAsia"/>
              <w:bCs/>
              <w:kern w:val="36"/>
              <w:szCs w:val="36"/>
            </w:rPr>
            <w:t>竞争性磋商公告</w:t>
          </w:r>
          <w:r>
            <w:tab/>
          </w:r>
          <w:r>
            <w:fldChar w:fldCharType="begin"/>
          </w:r>
          <w:r>
            <w:instrText xml:space="preserve"> PAGEREF _Toc5626 \h </w:instrText>
          </w:r>
          <w:r>
            <w:fldChar w:fldCharType="separate"/>
          </w:r>
          <w:r>
            <w:t>3</w:t>
          </w:r>
          <w:r>
            <w:fldChar w:fldCharType="end"/>
          </w:r>
          <w:r>
            <w:rPr>
              <w:rFonts w:asciiTheme="minorEastAsia" w:hAnsiTheme="minorEastAsia" w:eastAsiaTheme="minorEastAsia"/>
              <w:bCs/>
            </w:rPr>
            <w:fldChar w:fldCharType="end"/>
          </w:r>
        </w:p>
        <w:p w14:paraId="59CF73D1">
          <w:pPr>
            <w:pStyle w:val="18"/>
            <w:tabs>
              <w:tab w:val="right" w:leader="dot" w:pos="9070"/>
            </w:tabs>
          </w:pPr>
          <w:r>
            <w:rPr>
              <w:rFonts w:asciiTheme="minorEastAsia" w:hAnsiTheme="minorEastAsia" w:eastAsiaTheme="minorEastAsia"/>
              <w:bCs/>
            </w:rPr>
            <w:fldChar w:fldCharType="begin"/>
          </w:r>
          <w:r>
            <w:rPr>
              <w:rFonts w:asciiTheme="minorEastAsia" w:hAnsiTheme="minorEastAsia" w:eastAsiaTheme="minorEastAsia"/>
              <w:bCs/>
            </w:rPr>
            <w:instrText xml:space="preserve"> HYPERLINK \l _Toc2824 </w:instrText>
          </w:r>
          <w:r>
            <w:rPr>
              <w:rFonts w:asciiTheme="minorEastAsia" w:hAnsiTheme="minorEastAsia" w:eastAsiaTheme="minorEastAsia"/>
              <w:bCs/>
            </w:rPr>
            <w:fldChar w:fldCharType="separate"/>
          </w:r>
          <w:r>
            <w:rPr>
              <w:rFonts w:hint="eastAsia" w:asciiTheme="minorEastAsia" w:hAnsiTheme="minorEastAsia" w:eastAsiaTheme="minorEastAsia"/>
              <w:bCs/>
              <w:szCs w:val="36"/>
            </w:rPr>
            <w:t>第二章</w:t>
          </w:r>
          <w:r>
            <w:rPr>
              <w:rFonts w:hint="eastAsia" w:asciiTheme="minorEastAsia" w:hAnsiTheme="minorEastAsia" w:eastAsiaTheme="minorEastAsia"/>
              <w:bCs/>
              <w:kern w:val="36"/>
              <w:szCs w:val="36"/>
              <w:lang w:val="en-US" w:eastAsia="zh-CN"/>
            </w:rPr>
            <w:t xml:space="preserve">  </w:t>
          </w:r>
          <w:r>
            <w:rPr>
              <w:rFonts w:hint="eastAsia" w:asciiTheme="minorEastAsia" w:hAnsiTheme="minorEastAsia" w:eastAsiaTheme="minorEastAsia"/>
              <w:bCs/>
              <w:szCs w:val="36"/>
            </w:rPr>
            <w:t>响应</w:t>
          </w:r>
          <w:r>
            <w:rPr>
              <w:rFonts w:asciiTheme="minorEastAsia" w:hAnsiTheme="minorEastAsia" w:eastAsiaTheme="minorEastAsia"/>
              <w:bCs/>
              <w:szCs w:val="36"/>
            </w:rPr>
            <w:t>人须知</w:t>
          </w:r>
          <w:r>
            <w:tab/>
          </w:r>
          <w:r>
            <w:fldChar w:fldCharType="begin"/>
          </w:r>
          <w:r>
            <w:instrText xml:space="preserve"> PAGEREF _Toc2824 \h </w:instrText>
          </w:r>
          <w:r>
            <w:fldChar w:fldCharType="separate"/>
          </w:r>
          <w:r>
            <w:t>9</w:t>
          </w:r>
          <w:r>
            <w:fldChar w:fldCharType="end"/>
          </w:r>
          <w:r>
            <w:rPr>
              <w:rFonts w:asciiTheme="minorEastAsia" w:hAnsiTheme="minorEastAsia" w:eastAsiaTheme="minorEastAsia"/>
              <w:bCs/>
            </w:rPr>
            <w:fldChar w:fldCharType="end"/>
          </w:r>
        </w:p>
        <w:p w14:paraId="2989C44F">
          <w:pPr>
            <w:pStyle w:val="18"/>
            <w:tabs>
              <w:tab w:val="right" w:leader="dot" w:pos="9070"/>
            </w:tabs>
          </w:pPr>
          <w:r>
            <w:rPr>
              <w:rFonts w:asciiTheme="minorEastAsia" w:hAnsiTheme="minorEastAsia" w:eastAsiaTheme="minorEastAsia"/>
              <w:bCs/>
            </w:rPr>
            <w:fldChar w:fldCharType="begin"/>
          </w:r>
          <w:r>
            <w:rPr>
              <w:rFonts w:asciiTheme="minorEastAsia" w:hAnsiTheme="minorEastAsia" w:eastAsiaTheme="minorEastAsia"/>
              <w:bCs/>
            </w:rPr>
            <w:instrText xml:space="preserve"> HYPERLINK \l _Toc6913 </w:instrText>
          </w:r>
          <w:r>
            <w:rPr>
              <w:rFonts w:asciiTheme="minorEastAsia" w:hAnsiTheme="minorEastAsia" w:eastAsiaTheme="minorEastAsia"/>
              <w:bCs/>
            </w:rPr>
            <w:fldChar w:fldCharType="separate"/>
          </w:r>
          <w:r>
            <w:rPr>
              <w:rFonts w:asciiTheme="minorEastAsia" w:hAnsiTheme="minorEastAsia" w:eastAsiaTheme="minorEastAsia"/>
              <w:bCs/>
              <w:szCs w:val="36"/>
            </w:rPr>
            <w:t>第三章</w:t>
          </w:r>
          <w:r>
            <w:rPr>
              <w:rFonts w:hint="eastAsia" w:asciiTheme="minorEastAsia" w:hAnsiTheme="minorEastAsia" w:eastAsiaTheme="minorEastAsia"/>
              <w:bCs/>
              <w:kern w:val="36"/>
              <w:szCs w:val="36"/>
              <w:lang w:val="en-US" w:eastAsia="zh-CN"/>
            </w:rPr>
            <w:t xml:space="preserve">  </w:t>
          </w:r>
          <w:r>
            <w:rPr>
              <w:rFonts w:asciiTheme="minorEastAsia" w:hAnsiTheme="minorEastAsia" w:eastAsiaTheme="minorEastAsia"/>
              <w:bCs/>
              <w:szCs w:val="36"/>
            </w:rPr>
            <w:t>评审标准</w:t>
          </w:r>
          <w:r>
            <w:tab/>
          </w:r>
          <w:r>
            <w:fldChar w:fldCharType="begin"/>
          </w:r>
          <w:r>
            <w:instrText xml:space="preserve"> PAGEREF _Toc6913 \h </w:instrText>
          </w:r>
          <w:r>
            <w:fldChar w:fldCharType="separate"/>
          </w:r>
          <w:r>
            <w:t>32</w:t>
          </w:r>
          <w:r>
            <w:fldChar w:fldCharType="end"/>
          </w:r>
          <w:r>
            <w:rPr>
              <w:rFonts w:asciiTheme="minorEastAsia" w:hAnsiTheme="minorEastAsia" w:eastAsiaTheme="minorEastAsia"/>
              <w:bCs/>
            </w:rPr>
            <w:fldChar w:fldCharType="end"/>
          </w:r>
        </w:p>
        <w:p w14:paraId="4FE7EAB0">
          <w:pPr>
            <w:pStyle w:val="18"/>
            <w:tabs>
              <w:tab w:val="right" w:leader="dot" w:pos="9070"/>
            </w:tabs>
          </w:pPr>
          <w:r>
            <w:rPr>
              <w:rFonts w:asciiTheme="minorEastAsia" w:hAnsiTheme="minorEastAsia" w:eastAsiaTheme="minorEastAsia"/>
              <w:bCs/>
            </w:rPr>
            <w:fldChar w:fldCharType="begin"/>
          </w:r>
          <w:r>
            <w:rPr>
              <w:rFonts w:asciiTheme="minorEastAsia" w:hAnsiTheme="minorEastAsia" w:eastAsiaTheme="minorEastAsia"/>
              <w:bCs/>
            </w:rPr>
            <w:instrText xml:space="preserve"> HYPERLINK \l _Toc14363 </w:instrText>
          </w:r>
          <w:r>
            <w:rPr>
              <w:rFonts w:asciiTheme="minorEastAsia" w:hAnsiTheme="minorEastAsia" w:eastAsiaTheme="minorEastAsia"/>
              <w:bCs/>
            </w:rPr>
            <w:fldChar w:fldCharType="separate"/>
          </w:r>
          <w:r>
            <w:rPr>
              <w:rFonts w:hint="eastAsia" w:cs="Calibri" w:asciiTheme="minorEastAsia" w:hAnsiTheme="minorEastAsia" w:eastAsiaTheme="minorEastAsia"/>
              <w:bCs/>
              <w:szCs w:val="36"/>
            </w:rPr>
            <w:t>第四章</w:t>
          </w:r>
          <w:r>
            <w:rPr>
              <w:rFonts w:hint="eastAsia" w:asciiTheme="minorEastAsia" w:hAnsiTheme="minorEastAsia" w:eastAsiaTheme="minorEastAsia"/>
              <w:bCs/>
              <w:kern w:val="36"/>
              <w:szCs w:val="36"/>
              <w:lang w:val="en-US" w:eastAsia="zh-CN"/>
            </w:rPr>
            <w:t xml:space="preserve">  </w:t>
          </w:r>
          <w:r>
            <w:rPr>
              <w:rFonts w:hint="eastAsia" w:cs="Calibri" w:asciiTheme="minorEastAsia" w:hAnsiTheme="minorEastAsia" w:eastAsiaTheme="minorEastAsia"/>
              <w:bCs/>
              <w:szCs w:val="36"/>
            </w:rPr>
            <w:t>合同条款及格式</w:t>
          </w:r>
          <w:r>
            <w:tab/>
          </w:r>
          <w:r>
            <w:fldChar w:fldCharType="begin"/>
          </w:r>
          <w:r>
            <w:instrText xml:space="preserve"> PAGEREF _Toc14363 \h </w:instrText>
          </w:r>
          <w:r>
            <w:fldChar w:fldCharType="separate"/>
          </w:r>
          <w:r>
            <w:t>41</w:t>
          </w:r>
          <w:r>
            <w:fldChar w:fldCharType="end"/>
          </w:r>
          <w:r>
            <w:rPr>
              <w:rFonts w:asciiTheme="minorEastAsia" w:hAnsiTheme="minorEastAsia" w:eastAsiaTheme="minorEastAsia"/>
              <w:bCs/>
            </w:rPr>
            <w:fldChar w:fldCharType="end"/>
          </w:r>
        </w:p>
        <w:p w14:paraId="309D053C">
          <w:pPr>
            <w:pStyle w:val="18"/>
            <w:tabs>
              <w:tab w:val="right" w:leader="dot" w:pos="9070"/>
            </w:tabs>
          </w:pPr>
          <w:r>
            <w:rPr>
              <w:rFonts w:asciiTheme="minorEastAsia" w:hAnsiTheme="minorEastAsia" w:eastAsiaTheme="minorEastAsia"/>
              <w:bCs/>
            </w:rPr>
            <w:fldChar w:fldCharType="begin"/>
          </w:r>
          <w:r>
            <w:rPr>
              <w:rFonts w:asciiTheme="minorEastAsia" w:hAnsiTheme="minorEastAsia" w:eastAsiaTheme="minorEastAsia"/>
              <w:bCs/>
            </w:rPr>
            <w:instrText xml:space="preserve"> HYPERLINK \l _Toc27247 </w:instrText>
          </w:r>
          <w:r>
            <w:rPr>
              <w:rFonts w:asciiTheme="minorEastAsia" w:hAnsiTheme="minorEastAsia" w:eastAsiaTheme="minorEastAsia"/>
              <w:bCs/>
            </w:rPr>
            <w:fldChar w:fldCharType="separate"/>
          </w:r>
          <w:r>
            <w:rPr>
              <w:rFonts w:asciiTheme="minorEastAsia" w:hAnsiTheme="minorEastAsia" w:eastAsiaTheme="minorEastAsia"/>
              <w:bCs/>
              <w:szCs w:val="36"/>
            </w:rPr>
            <w:t>第</w:t>
          </w:r>
          <w:r>
            <w:rPr>
              <w:rFonts w:hint="eastAsia" w:asciiTheme="minorEastAsia" w:hAnsiTheme="minorEastAsia" w:eastAsiaTheme="minorEastAsia"/>
              <w:bCs/>
              <w:szCs w:val="36"/>
            </w:rPr>
            <w:t>五</w:t>
          </w:r>
          <w:r>
            <w:rPr>
              <w:rFonts w:asciiTheme="minorEastAsia" w:hAnsiTheme="minorEastAsia" w:eastAsiaTheme="minorEastAsia"/>
              <w:bCs/>
              <w:szCs w:val="36"/>
            </w:rPr>
            <w:t>章</w:t>
          </w:r>
          <w:r>
            <w:rPr>
              <w:rFonts w:hint="eastAsia" w:asciiTheme="minorEastAsia" w:hAnsiTheme="minorEastAsia" w:eastAsiaTheme="minorEastAsia"/>
              <w:bCs/>
              <w:kern w:val="36"/>
              <w:szCs w:val="36"/>
              <w:lang w:val="en-US" w:eastAsia="zh-CN"/>
            </w:rPr>
            <w:t xml:space="preserve">  </w:t>
          </w:r>
          <w:r>
            <w:rPr>
              <w:rFonts w:hint="eastAsia" w:asciiTheme="minorEastAsia" w:hAnsiTheme="minorEastAsia" w:eastAsiaTheme="minorEastAsia"/>
              <w:bCs/>
              <w:szCs w:val="36"/>
            </w:rPr>
            <w:t>工程量清单（另附）</w:t>
          </w:r>
          <w:r>
            <w:tab/>
          </w:r>
          <w:r>
            <w:fldChar w:fldCharType="begin"/>
          </w:r>
          <w:r>
            <w:instrText xml:space="preserve"> PAGEREF _Toc27247 \h </w:instrText>
          </w:r>
          <w:r>
            <w:fldChar w:fldCharType="separate"/>
          </w:r>
          <w:r>
            <w:t>61</w:t>
          </w:r>
          <w:r>
            <w:fldChar w:fldCharType="end"/>
          </w:r>
          <w:r>
            <w:rPr>
              <w:rFonts w:asciiTheme="minorEastAsia" w:hAnsiTheme="minorEastAsia" w:eastAsiaTheme="minorEastAsia"/>
              <w:bCs/>
            </w:rPr>
            <w:fldChar w:fldCharType="end"/>
          </w:r>
        </w:p>
        <w:p w14:paraId="46306B93">
          <w:pPr>
            <w:pStyle w:val="18"/>
            <w:tabs>
              <w:tab w:val="right" w:leader="dot" w:pos="9070"/>
            </w:tabs>
          </w:pPr>
          <w:r>
            <w:rPr>
              <w:rFonts w:asciiTheme="minorEastAsia" w:hAnsiTheme="minorEastAsia" w:eastAsiaTheme="minorEastAsia"/>
              <w:bCs/>
            </w:rPr>
            <w:fldChar w:fldCharType="begin"/>
          </w:r>
          <w:r>
            <w:rPr>
              <w:rFonts w:asciiTheme="minorEastAsia" w:hAnsiTheme="minorEastAsia" w:eastAsiaTheme="minorEastAsia"/>
              <w:bCs/>
            </w:rPr>
            <w:instrText xml:space="preserve"> HYPERLINK \l _Toc9338 </w:instrText>
          </w:r>
          <w:r>
            <w:rPr>
              <w:rFonts w:asciiTheme="minorEastAsia" w:hAnsiTheme="minorEastAsia" w:eastAsiaTheme="minorEastAsia"/>
              <w:bCs/>
            </w:rPr>
            <w:fldChar w:fldCharType="separate"/>
          </w:r>
          <w:r>
            <w:rPr>
              <w:rFonts w:asciiTheme="minorEastAsia" w:hAnsiTheme="minorEastAsia" w:eastAsiaTheme="minorEastAsia"/>
              <w:bCs/>
              <w:szCs w:val="36"/>
            </w:rPr>
            <w:t>第</w:t>
          </w:r>
          <w:r>
            <w:rPr>
              <w:rFonts w:hint="eastAsia" w:asciiTheme="minorEastAsia" w:hAnsiTheme="minorEastAsia" w:eastAsiaTheme="minorEastAsia"/>
              <w:bCs/>
              <w:szCs w:val="36"/>
            </w:rPr>
            <w:t>六</w:t>
          </w:r>
          <w:r>
            <w:rPr>
              <w:rFonts w:asciiTheme="minorEastAsia" w:hAnsiTheme="minorEastAsia" w:eastAsiaTheme="minorEastAsia"/>
              <w:bCs/>
              <w:szCs w:val="36"/>
            </w:rPr>
            <w:t>章</w:t>
          </w:r>
          <w:r>
            <w:rPr>
              <w:rFonts w:hint="eastAsia" w:asciiTheme="minorEastAsia" w:hAnsiTheme="minorEastAsia" w:eastAsiaTheme="minorEastAsia"/>
              <w:bCs/>
              <w:kern w:val="36"/>
              <w:szCs w:val="36"/>
              <w:lang w:val="en-US" w:eastAsia="zh-CN"/>
            </w:rPr>
            <w:t xml:space="preserve">  </w:t>
          </w:r>
          <w:r>
            <w:rPr>
              <w:rFonts w:hint="eastAsia" w:asciiTheme="minorEastAsia" w:hAnsiTheme="minorEastAsia" w:eastAsiaTheme="minorEastAsia"/>
              <w:bCs/>
              <w:szCs w:val="36"/>
            </w:rPr>
            <w:t>图纸（另附）</w:t>
          </w:r>
          <w:r>
            <w:tab/>
          </w:r>
          <w:r>
            <w:fldChar w:fldCharType="begin"/>
          </w:r>
          <w:r>
            <w:instrText xml:space="preserve"> PAGEREF _Toc9338 \h </w:instrText>
          </w:r>
          <w:r>
            <w:fldChar w:fldCharType="separate"/>
          </w:r>
          <w:r>
            <w:t>62</w:t>
          </w:r>
          <w:r>
            <w:fldChar w:fldCharType="end"/>
          </w:r>
          <w:r>
            <w:rPr>
              <w:rFonts w:asciiTheme="minorEastAsia" w:hAnsiTheme="minorEastAsia" w:eastAsiaTheme="minorEastAsia"/>
              <w:bCs/>
            </w:rPr>
            <w:fldChar w:fldCharType="end"/>
          </w:r>
        </w:p>
        <w:p w14:paraId="56B84F0A">
          <w:pPr>
            <w:pStyle w:val="18"/>
            <w:tabs>
              <w:tab w:val="right" w:leader="dot" w:pos="9070"/>
            </w:tabs>
          </w:pPr>
          <w:r>
            <w:rPr>
              <w:rFonts w:asciiTheme="minorEastAsia" w:hAnsiTheme="minorEastAsia" w:eastAsiaTheme="minorEastAsia"/>
              <w:bCs/>
            </w:rPr>
            <w:fldChar w:fldCharType="begin"/>
          </w:r>
          <w:r>
            <w:rPr>
              <w:rFonts w:asciiTheme="minorEastAsia" w:hAnsiTheme="minorEastAsia" w:eastAsiaTheme="minorEastAsia"/>
              <w:bCs/>
            </w:rPr>
            <w:instrText xml:space="preserve"> HYPERLINK \l _Toc31089 </w:instrText>
          </w:r>
          <w:r>
            <w:rPr>
              <w:rFonts w:asciiTheme="minorEastAsia" w:hAnsiTheme="minorEastAsia" w:eastAsiaTheme="minorEastAsia"/>
              <w:bCs/>
            </w:rPr>
            <w:fldChar w:fldCharType="separate"/>
          </w:r>
          <w:r>
            <w:rPr>
              <w:rFonts w:asciiTheme="minorEastAsia" w:hAnsiTheme="minorEastAsia" w:eastAsiaTheme="minorEastAsia"/>
              <w:bCs/>
              <w:szCs w:val="36"/>
            </w:rPr>
            <w:t>第</w:t>
          </w:r>
          <w:r>
            <w:rPr>
              <w:rFonts w:hint="eastAsia" w:asciiTheme="minorEastAsia" w:hAnsiTheme="minorEastAsia" w:eastAsiaTheme="minorEastAsia"/>
              <w:bCs/>
              <w:szCs w:val="36"/>
            </w:rPr>
            <w:t>七</w:t>
          </w:r>
          <w:r>
            <w:rPr>
              <w:rFonts w:asciiTheme="minorEastAsia" w:hAnsiTheme="minorEastAsia" w:eastAsiaTheme="minorEastAsia"/>
              <w:bCs/>
              <w:szCs w:val="36"/>
            </w:rPr>
            <w:t>章</w:t>
          </w:r>
          <w:r>
            <w:rPr>
              <w:rFonts w:hint="eastAsia" w:asciiTheme="minorEastAsia" w:hAnsiTheme="minorEastAsia" w:eastAsiaTheme="minorEastAsia"/>
              <w:bCs/>
              <w:kern w:val="36"/>
              <w:szCs w:val="36"/>
              <w:lang w:val="en-US" w:eastAsia="zh-CN"/>
            </w:rPr>
            <w:t xml:space="preserve">  </w:t>
          </w:r>
          <w:r>
            <w:rPr>
              <w:rFonts w:asciiTheme="minorEastAsia" w:hAnsiTheme="minorEastAsia" w:eastAsiaTheme="minorEastAsia"/>
              <w:bCs/>
              <w:szCs w:val="36"/>
            </w:rPr>
            <w:t>响应文件格式</w:t>
          </w:r>
          <w:r>
            <w:tab/>
          </w:r>
          <w:r>
            <w:fldChar w:fldCharType="begin"/>
          </w:r>
          <w:r>
            <w:instrText xml:space="preserve"> PAGEREF _Toc31089 \h </w:instrText>
          </w:r>
          <w:r>
            <w:fldChar w:fldCharType="separate"/>
          </w:r>
          <w:r>
            <w:t>63</w:t>
          </w:r>
          <w:r>
            <w:fldChar w:fldCharType="end"/>
          </w:r>
          <w:r>
            <w:rPr>
              <w:rFonts w:asciiTheme="minorEastAsia" w:hAnsiTheme="minorEastAsia" w:eastAsiaTheme="minorEastAsia"/>
              <w:bCs/>
            </w:rPr>
            <w:fldChar w:fldCharType="end"/>
          </w:r>
        </w:p>
        <w:p w14:paraId="2E42FC18">
          <w:pPr>
            <w:outlineLvl w:val="9"/>
            <w:rPr>
              <w:rFonts w:asciiTheme="minorEastAsia" w:hAnsiTheme="minorEastAsia" w:eastAsiaTheme="minorEastAsia" w:cstheme="minorBidi"/>
              <w:bCs/>
              <w:sz w:val="22"/>
              <w:szCs w:val="22"/>
              <w:lang w:val="en-US" w:eastAsia="zh-CN" w:bidi="ar-SA"/>
            </w:rPr>
          </w:pPr>
          <w:r>
            <w:rPr>
              <w:rFonts w:asciiTheme="minorEastAsia" w:hAnsiTheme="minorEastAsia" w:eastAsiaTheme="minorEastAsia"/>
              <w:bCs/>
            </w:rPr>
            <w:fldChar w:fldCharType="end"/>
          </w:r>
        </w:p>
      </w:sdtContent>
    </w:sdt>
    <w:p w14:paraId="62588DC8">
      <w:pPr>
        <w:outlineLvl w:val="9"/>
        <w:rPr>
          <w:rFonts w:asciiTheme="minorEastAsia" w:hAnsiTheme="minorEastAsia" w:eastAsiaTheme="minorEastAsia" w:cstheme="minorBidi"/>
          <w:bCs/>
          <w:sz w:val="22"/>
          <w:szCs w:val="22"/>
          <w:lang w:val="en-US" w:eastAsia="zh-CN" w:bidi="ar-SA"/>
        </w:rPr>
      </w:pPr>
      <w:bookmarkStart w:id="1159" w:name="_GoBack"/>
      <w:bookmarkEnd w:id="1159"/>
    </w:p>
    <w:p w14:paraId="6BA015B5">
      <w:pPr>
        <w:outlineLvl w:val="9"/>
        <w:rPr>
          <w:rFonts w:asciiTheme="minorEastAsia" w:hAnsiTheme="minorEastAsia" w:eastAsiaTheme="minorEastAsia"/>
        </w:rPr>
      </w:pPr>
    </w:p>
    <w:p w14:paraId="4055AB74">
      <w:pPr>
        <w:spacing w:line="264" w:lineRule="auto"/>
        <w:outlineLvl w:val="9"/>
        <w:rPr>
          <w:rFonts w:asciiTheme="minorEastAsia" w:hAnsiTheme="minorEastAsia" w:eastAsiaTheme="minorEastAsia"/>
          <w:b/>
          <w:bCs/>
          <w:kern w:val="36"/>
          <w:sz w:val="32"/>
          <w:szCs w:val="32"/>
        </w:rPr>
        <w:sectPr>
          <w:pgSz w:w="11906" w:h="16838"/>
          <w:pgMar w:top="1702" w:right="1418" w:bottom="1418" w:left="1418" w:header="720" w:footer="720" w:gutter="0"/>
          <w:cols w:space="720" w:num="1"/>
          <w:docGrid w:type="lines" w:linePitch="312" w:charSpace="0"/>
        </w:sectPr>
      </w:pPr>
    </w:p>
    <w:p w14:paraId="2726FF8F">
      <w:pPr>
        <w:keepLines w:val="0"/>
        <w:widowControl/>
        <w:spacing w:before="0"/>
        <w:jc w:val="center"/>
        <w:outlineLvl w:val="0"/>
        <w:rPr>
          <w:rFonts w:asciiTheme="minorEastAsia" w:hAnsiTheme="minorEastAsia" w:eastAsiaTheme="minorEastAsia"/>
          <w:color w:val="auto"/>
          <w:kern w:val="36"/>
          <w:sz w:val="32"/>
          <w:szCs w:val="32"/>
        </w:rPr>
      </w:pPr>
      <w:bookmarkStart w:id="13" w:name="_Toc403560410"/>
      <w:bookmarkEnd w:id="13"/>
      <w:bookmarkStart w:id="14" w:name="_Toc337622590"/>
      <w:bookmarkEnd w:id="14"/>
      <w:bookmarkStart w:id="15" w:name="_Toc341993788"/>
      <w:bookmarkEnd w:id="15"/>
      <w:bookmarkStart w:id="16" w:name="_Ref352791871"/>
      <w:bookmarkEnd w:id="16"/>
      <w:bookmarkStart w:id="17" w:name="_Toc120614213"/>
      <w:bookmarkEnd w:id="17"/>
      <w:bookmarkStart w:id="18" w:name="_Toc403401434"/>
      <w:bookmarkEnd w:id="18"/>
      <w:bookmarkStart w:id="19" w:name="_Toc337620692"/>
      <w:bookmarkEnd w:id="19"/>
      <w:bookmarkStart w:id="20" w:name="_Toc337622983"/>
      <w:bookmarkEnd w:id="20"/>
      <w:bookmarkStart w:id="21" w:name="_Toc16938518"/>
      <w:bookmarkEnd w:id="21"/>
      <w:bookmarkStart w:id="22" w:name="_Toc365619242"/>
      <w:bookmarkEnd w:id="22"/>
      <w:bookmarkStart w:id="23" w:name="_Toc341992630"/>
      <w:bookmarkEnd w:id="23"/>
      <w:bookmarkStart w:id="24" w:name="_Toc20823274"/>
      <w:bookmarkEnd w:id="24"/>
      <w:bookmarkStart w:id="25" w:name="_Toc517178991"/>
      <w:bookmarkEnd w:id="25"/>
      <w:bookmarkStart w:id="26" w:name="_Toc337622251"/>
      <w:bookmarkEnd w:id="26"/>
      <w:bookmarkStart w:id="27" w:name="_Toc366517151"/>
      <w:bookmarkEnd w:id="27"/>
      <w:bookmarkStart w:id="28" w:name="_Toc341992710"/>
      <w:bookmarkEnd w:id="28"/>
      <w:bookmarkStart w:id="29" w:name="_Toc342252863"/>
      <w:bookmarkEnd w:id="29"/>
      <w:bookmarkStart w:id="30" w:name="_Toc337622640"/>
      <w:bookmarkEnd w:id="30"/>
      <w:bookmarkStart w:id="31" w:name="_Toc337622690"/>
      <w:bookmarkEnd w:id="31"/>
      <w:bookmarkStart w:id="32" w:name="_Toc513029202"/>
      <w:bookmarkEnd w:id="32"/>
      <w:bookmarkStart w:id="33" w:name="_Toc342558384"/>
      <w:bookmarkEnd w:id="33"/>
      <w:bookmarkStart w:id="34" w:name="_Toc337584958"/>
      <w:bookmarkEnd w:id="34"/>
      <w:bookmarkStart w:id="35" w:name="_Toc373781378"/>
      <w:bookmarkEnd w:id="35"/>
      <w:bookmarkStart w:id="36" w:name="_Toc337620800"/>
      <w:bookmarkEnd w:id="36"/>
      <w:bookmarkStart w:id="37" w:name="_Toc441564066"/>
      <w:bookmarkEnd w:id="37"/>
      <w:bookmarkStart w:id="38" w:name="_Toc337584877"/>
      <w:bookmarkEnd w:id="38"/>
      <w:bookmarkStart w:id="39" w:name="_Toc341993114"/>
      <w:bookmarkEnd w:id="39"/>
      <w:bookmarkStart w:id="40" w:name="_Toc337622790"/>
      <w:bookmarkEnd w:id="40"/>
      <w:bookmarkStart w:id="41" w:name="_Toc337584644"/>
      <w:bookmarkEnd w:id="41"/>
      <w:bookmarkStart w:id="42" w:name="_Toc337622278"/>
      <w:bookmarkEnd w:id="42"/>
      <w:bookmarkStart w:id="43" w:name="_Toc342497332"/>
      <w:bookmarkEnd w:id="43"/>
      <w:bookmarkStart w:id="44" w:name="_Toc341988484"/>
      <w:bookmarkEnd w:id="44"/>
      <w:bookmarkStart w:id="45" w:name="_Toc342241487"/>
      <w:bookmarkEnd w:id="45"/>
      <w:bookmarkStart w:id="46" w:name="_Toc341991044"/>
      <w:bookmarkEnd w:id="46"/>
      <w:bookmarkStart w:id="47" w:name="_Toc342374716"/>
      <w:bookmarkEnd w:id="47"/>
      <w:bookmarkStart w:id="48" w:name="_Toc337622372"/>
      <w:bookmarkEnd w:id="48"/>
      <w:bookmarkStart w:id="49" w:name="_Toc337620620"/>
      <w:bookmarkEnd w:id="49"/>
      <w:bookmarkStart w:id="50" w:name="_Toc528078006"/>
      <w:bookmarkStart w:id="51" w:name="_Toc16770540"/>
      <w:bookmarkStart w:id="52" w:name="_Toc5626"/>
      <w:r>
        <w:rPr>
          <w:rFonts w:asciiTheme="minorEastAsia" w:hAnsiTheme="minorEastAsia" w:eastAsiaTheme="minorEastAsia"/>
          <w:b/>
          <w:bCs/>
          <w:color w:val="auto"/>
          <w:kern w:val="36"/>
          <w:sz w:val="36"/>
          <w:szCs w:val="36"/>
        </w:rPr>
        <w:t>第一章</w:t>
      </w:r>
      <w:bookmarkEnd w:id="50"/>
      <w:r>
        <w:rPr>
          <w:rFonts w:hint="eastAsia" w:asciiTheme="minorEastAsia" w:hAnsiTheme="minorEastAsia" w:eastAsiaTheme="minorEastAsia"/>
          <w:b/>
          <w:bCs/>
          <w:color w:val="auto"/>
          <w:kern w:val="36"/>
          <w:sz w:val="36"/>
          <w:szCs w:val="36"/>
          <w:lang w:val="en-US" w:eastAsia="zh-CN"/>
        </w:rPr>
        <w:t xml:space="preserve">  </w:t>
      </w:r>
      <w:r>
        <w:rPr>
          <w:rFonts w:asciiTheme="minorEastAsia" w:hAnsiTheme="minorEastAsia" w:eastAsiaTheme="minorEastAsia"/>
          <w:b/>
          <w:bCs/>
          <w:color w:val="auto"/>
          <w:kern w:val="36"/>
          <w:sz w:val="36"/>
          <w:szCs w:val="36"/>
        </w:rPr>
        <w:t>竞争性磋商公告</w:t>
      </w:r>
      <w:bookmarkEnd w:id="51"/>
      <w:bookmarkEnd w:id="52"/>
    </w:p>
    <w:p w14:paraId="37AFA61B">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项目概况：</w:t>
      </w:r>
    </w:p>
    <w:p w14:paraId="7F59257C">
      <w:pPr>
        <w:spacing w:after="0" w:line="540" w:lineRule="exact"/>
        <w:ind w:firstLine="480" w:firstLineChars="200"/>
        <w:outlineLvl w:val="9"/>
        <w:rPr>
          <w:rFonts w:cs="宋体" w:asciiTheme="minorEastAsia" w:hAnsiTheme="minorEastAsia" w:eastAsiaTheme="minorEastAsia"/>
          <w:sz w:val="24"/>
          <w:szCs w:val="24"/>
        </w:rPr>
      </w:pPr>
      <w:r>
        <w:rPr>
          <w:rFonts w:hint="eastAsia" w:cs="Times New Roman" w:asciiTheme="minorEastAsia" w:hAnsiTheme="minorEastAsia" w:eastAsiaTheme="minorEastAsia"/>
          <w:kern w:val="2"/>
          <w:sz w:val="24"/>
          <w:szCs w:val="24"/>
          <w:lang w:eastAsia="zh-CN"/>
        </w:rPr>
        <w:t>王和村生产道路硬化项目</w:t>
      </w:r>
      <w:r>
        <w:rPr>
          <w:rFonts w:hint="eastAsia" w:cs="宋体" w:asciiTheme="minorEastAsia" w:hAnsiTheme="minorEastAsia" w:eastAsiaTheme="minorEastAsia"/>
          <w:sz w:val="24"/>
          <w:szCs w:val="24"/>
        </w:rPr>
        <w:t>的潜在供应商登录三门峡市公共资源交易中心网获取本项目磋商文件，并于</w:t>
      </w:r>
      <w:r>
        <w:rPr>
          <w:rFonts w:hint="eastAsia" w:cs="宋体" w:asciiTheme="minorEastAsia" w:hAnsiTheme="minorEastAsia" w:eastAsiaTheme="minorEastAsia"/>
          <w:sz w:val="24"/>
          <w:szCs w:val="24"/>
          <w:shd w:val="clear" w:color="auto" w:fill="FFFFFF"/>
          <w:lang w:eastAsia="zh-CN"/>
        </w:rPr>
        <w:t>2026年08月18日08时30分</w:t>
      </w:r>
      <w:r>
        <w:rPr>
          <w:rFonts w:hint="eastAsia" w:cs="宋体" w:asciiTheme="minorEastAsia" w:hAnsiTheme="minorEastAsia" w:eastAsiaTheme="minorEastAsia"/>
          <w:sz w:val="24"/>
          <w:szCs w:val="24"/>
        </w:rPr>
        <w:t>（北京时间）前提交响应文件。</w:t>
      </w:r>
    </w:p>
    <w:p w14:paraId="3414D78D">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一、项目基本情况</w:t>
      </w:r>
    </w:p>
    <w:p w14:paraId="33CD9FF3">
      <w:pPr>
        <w:spacing w:after="0" w:line="540" w:lineRule="exact"/>
        <w:ind w:firstLine="480" w:firstLineChars="200"/>
        <w:outlineLvl w:val="9"/>
        <w:rPr>
          <w:rFonts w:cs="宋体" w:asciiTheme="minorEastAsia" w:hAnsiTheme="minorEastAsia" w:eastAsiaTheme="minorEastAsia"/>
          <w:color w:val="FF0000"/>
          <w:sz w:val="24"/>
          <w:szCs w:val="24"/>
        </w:rPr>
      </w:pPr>
      <w:r>
        <w:rPr>
          <w:rFonts w:hint="eastAsia" w:cs="宋体" w:asciiTheme="minorEastAsia" w:hAnsiTheme="minorEastAsia" w:eastAsiaTheme="minorEastAsia"/>
          <w:sz w:val="24"/>
          <w:szCs w:val="24"/>
        </w:rPr>
        <w:t>1、项目名称：</w:t>
      </w:r>
      <w:r>
        <w:rPr>
          <w:rFonts w:hint="eastAsia" w:cs="Times New Roman" w:asciiTheme="minorEastAsia" w:hAnsiTheme="minorEastAsia" w:eastAsiaTheme="minorEastAsia"/>
          <w:kern w:val="2"/>
          <w:sz w:val="24"/>
          <w:szCs w:val="24"/>
          <w:lang w:eastAsia="zh-CN"/>
        </w:rPr>
        <w:t>王和村生产道路硬化项目</w:t>
      </w:r>
      <w:r>
        <w:rPr>
          <w:rFonts w:hint="eastAsia" w:cs="Times New Roman" w:asciiTheme="minorEastAsia" w:hAnsiTheme="minorEastAsia" w:eastAsiaTheme="minorEastAsia"/>
          <w:kern w:val="2"/>
          <w:sz w:val="24"/>
          <w:szCs w:val="24"/>
        </w:rPr>
        <w:t>；</w:t>
      </w:r>
    </w:p>
    <w:p w14:paraId="4A26DA1C">
      <w:pPr>
        <w:spacing w:after="0" w:line="540" w:lineRule="exact"/>
        <w:ind w:firstLine="480" w:firstLineChars="200"/>
        <w:outlineLvl w:val="9"/>
        <w:rPr>
          <w:rFonts w:hint="eastAsia" w:cs="Times New Roman" w:asciiTheme="minorEastAsia" w:hAnsiTheme="minorEastAsia" w:eastAsiaTheme="minorEastAsia"/>
          <w:kern w:val="2"/>
          <w:sz w:val="24"/>
          <w:szCs w:val="24"/>
          <w:lang w:eastAsia="zh-CN"/>
        </w:rPr>
      </w:pPr>
      <w:r>
        <w:rPr>
          <w:rFonts w:hint="eastAsia" w:cs="宋体" w:asciiTheme="minorEastAsia" w:hAnsiTheme="minorEastAsia" w:eastAsiaTheme="minorEastAsia"/>
          <w:sz w:val="24"/>
          <w:szCs w:val="24"/>
        </w:rPr>
        <w:t>2、</w:t>
      </w:r>
      <w:r>
        <w:rPr>
          <w:rFonts w:hint="eastAsia" w:cs="宋体" w:asciiTheme="minorEastAsia" w:hAnsiTheme="minorEastAsia" w:eastAsiaTheme="minorEastAsia"/>
          <w:color w:val="auto"/>
          <w:sz w:val="24"/>
          <w:szCs w:val="24"/>
        </w:rPr>
        <w:t>项目编号：SGZ[2026]240-ZC168</w:t>
      </w:r>
      <w:r>
        <w:rPr>
          <w:rFonts w:hint="eastAsia" w:cs="Calibri" w:asciiTheme="minorEastAsia" w:hAnsiTheme="minorEastAsia" w:eastAsiaTheme="minorEastAsia"/>
          <w:color w:val="auto"/>
          <w:sz w:val="24"/>
          <w:szCs w:val="24"/>
        </w:rPr>
        <w:t>；</w:t>
      </w:r>
      <w:r>
        <w:rPr>
          <w:rFonts w:hint="eastAsia" w:cs="Calibri" w:asciiTheme="minorEastAsia" w:hAnsiTheme="minorEastAsia" w:eastAsiaTheme="minorEastAsia"/>
          <w:sz w:val="24"/>
          <w:szCs w:val="24"/>
        </w:rPr>
        <w:t>示范竟磋采购-2026-14</w:t>
      </w:r>
      <w:r>
        <w:rPr>
          <w:rFonts w:hint="eastAsia" w:cs="Calibri" w:asciiTheme="minorEastAsia" w:hAnsiTheme="minorEastAsia" w:eastAsiaTheme="minorEastAsia"/>
          <w:sz w:val="24"/>
          <w:szCs w:val="24"/>
          <w:lang w:eastAsia="zh-CN"/>
        </w:rPr>
        <w:t>；</w:t>
      </w:r>
    </w:p>
    <w:p w14:paraId="75282675">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3、采购方式：竞争性磋商；</w:t>
      </w:r>
    </w:p>
    <w:p w14:paraId="730C5102">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4、预算金额：</w:t>
      </w:r>
      <w:r>
        <w:rPr>
          <w:rFonts w:cs="宋体" w:asciiTheme="minorEastAsia" w:hAnsiTheme="minorEastAsia" w:eastAsiaTheme="minorEastAsia"/>
          <w:sz w:val="24"/>
          <w:szCs w:val="24"/>
        </w:rPr>
        <w:t>¥</w:t>
      </w:r>
      <w:r>
        <w:rPr>
          <w:rFonts w:hint="eastAsia" w:cs="Times New Roman" w:asciiTheme="minorEastAsia" w:hAnsiTheme="minorEastAsia" w:eastAsiaTheme="minorEastAsia"/>
          <w:kern w:val="2"/>
          <w:sz w:val="24"/>
          <w:szCs w:val="24"/>
          <w:lang w:eastAsia="zh-CN"/>
        </w:rPr>
        <w:t>760227.70</w:t>
      </w:r>
      <w:r>
        <w:rPr>
          <w:rFonts w:hint="eastAsia" w:cs="宋体" w:asciiTheme="minorEastAsia" w:hAnsiTheme="minorEastAsia" w:eastAsiaTheme="minorEastAsia"/>
          <w:sz w:val="24"/>
          <w:szCs w:val="24"/>
        </w:rPr>
        <w:t>元；</w:t>
      </w:r>
    </w:p>
    <w:tbl>
      <w:tblPr>
        <w:tblStyle w:val="118"/>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622"/>
        <w:gridCol w:w="2625"/>
        <w:gridCol w:w="1789"/>
        <w:gridCol w:w="1713"/>
      </w:tblGrid>
      <w:tr w14:paraId="646AC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38" w:type="dxa"/>
            <w:vAlign w:val="center"/>
          </w:tcPr>
          <w:p w14:paraId="5F5FC719">
            <w:pPr>
              <w:adjustRightInd/>
              <w:snapToGrid/>
              <w:spacing w:after="0" w:line="54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序号</w:t>
            </w:r>
          </w:p>
        </w:tc>
        <w:tc>
          <w:tcPr>
            <w:tcW w:w="2622" w:type="dxa"/>
            <w:vAlign w:val="center"/>
          </w:tcPr>
          <w:p w14:paraId="0DD8EAA3">
            <w:pPr>
              <w:adjustRightInd/>
              <w:snapToGrid/>
              <w:spacing w:after="0" w:line="54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color w:val="auto"/>
                <w:sz w:val="24"/>
                <w:szCs w:val="24"/>
              </w:rPr>
              <w:t>包号</w:t>
            </w:r>
          </w:p>
        </w:tc>
        <w:tc>
          <w:tcPr>
            <w:tcW w:w="2625" w:type="dxa"/>
            <w:vAlign w:val="center"/>
          </w:tcPr>
          <w:p w14:paraId="6C982F88">
            <w:pPr>
              <w:adjustRightInd/>
              <w:snapToGrid/>
              <w:spacing w:after="0" w:line="54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color w:val="333333"/>
                <w:sz w:val="24"/>
                <w:szCs w:val="24"/>
              </w:rPr>
              <w:t>包名称</w:t>
            </w:r>
          </w:p>
        </w:tc>
        <w:tc>
          <w:tcPr>
            <w:tcW w:w="1789" w:type="dxa"/>
            <w:vAlign w:val="center"/>
          </w:tcPr>
          <w:p w14:paraId="0E3FC320">
            <w:pPr>
              <w:adjustRightInd/>
              <w:snapToGrid/>
              <w:spacing w:after="0" w:line="540" w:lineRule="exact"/>
              <w:jc w:val="center"/>
              <w:outlineLvl w:val="9"/>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包预算</w:t>
            </w:r>
          </w:p>
          <w:p w14:paraId="4D1EFDB2">
            <w:pPr>
              <w:adjustRightInd/>
              <w:snapToGrid/>
              <w:spacing w:after="0" w:line="54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color w:val="333333"/>
                <w:sz w:val="24"/>
                <w:szCs w:val="24"/>
              </w:rPr>
              <w:t>（万元）</w:t>
            </w:r>
          </w:p>
        </w:tc>
        <w:tc>
          <w:tcPr>
            <w:tcW w:w="1713" w:type="dxa"/>
            <w:vAlign w:val="center"/>
          </w:tcPr>
          <w:p w14:paraId="06ACAB96">
            <w:pPr>
              <w:adjustRightInd/>
              <w:snapToGrid/>
              <w:spacing w:after="0" w:line="54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color w:val="333333"/>
                <w:sz w:val="24"/>
                <w:szCs w:val="24"/>
              </w:rPr>
              <w:t>包最高限价（万元）</w:t>
            </w:r>
          </w:p>
        </w:tc>
      </w:tr>
      <w:tr w14:paraId="289D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738" w:type="dxa"/>
            <w:vAlign w:val="center"/>
          </w:tcPr>
          <w:p w14:paraId="6C0BDB91">
            <w:pPr>
              <w:adjustRightInd/>
              <w:snapToGrid/>
              <w:spacing w:after="0" w:line="540" w:lineRule="exact"/>
              <w:ind w:left="-2" w:leftChars="-100" w:hanging="218" w:hangingChars="91"/>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w:t>
            </w:r>
          </w:p>
        </w:tc>
        <w:tc>
          <w:tcPr>
            <w:tcW w:w="2622" w:type="dxa"/>
            <w:vAlign w:val="center"/>
          </w:tcPr>
          <w:p w14:paraId="5DA32941">
            <w:pPr>
              <w:spacing w:after="0" w:line="54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SGZ[2026]240-ZC168</w:t>
            </w:r>
          </w:p>
        </w:tc>
        <w:tc>
          <w:tcPr>
            <w:tcW w:w="2625" w:type="dxa"/>
            <w:vAlign w:val="center"/>
          </w:tcPr>
          <w:p w14:paraId="05C718B6">
            <w:pPr>
              <w:spacing w:after="0" w:line="540" w:lineRule="exact"/>
              <w:jc w:val="center"/>
              <w:outlineLvl w:val="9"/>
              <w:rPr>
                <w:rFonts w:hint="eastAsia"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王和村生产道路硬化项目</w:t>
            </w:r>
          </w:p>
        </w:tc>
        <w:tc>
          <w:tcPr>
            <w:tcW w:w="1789" w:type="dxa"/>
            <w:vAlign w:val="center"/>
          </w:tcPr>
          <w:p w14:paraId="495E0634">
            <w:pPr>
              <w:spacing w:after="0" w:line="540" w:lineRule="exact"/>
              <w:jc w:val="center"/>
              <w:outlineLvl w:val="9"/>
              <w:rPr>
                <w:rFonts w:hint="eastAsia"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76.02277</w:t>
            </w:r>
          </w:p>
        </w:tc>
        <w:tc>
          <w:tcPr>
            <w:tcW w:w="1713" w:type="dxa"/>
            <w:vAlign w:val="center"/>
          </w:tcPr>
          <w:p w14:paraId="773D66C6">
            <w:pPr>
              <w:spacing w:after="0" w:line="540" w:lineRule="exact"/>
              <w:jc w:val="center"/>
              <w:outlineLvl w:val="9"/>
              <w:rPr>
                <w:rFonts w:hint="eastAsia" w:cs="宋体" w:asciiTheme="minorEastAsia" w:hAnsiTheme="minorEastAsia" w:eastAsiaTheme="minorEastAsia"/>
                <w:sz w:val="24"/>
                <w:szCs w:val="24"/>
                <w:lang w:eastAsia="zh-CN"/>
              </w:rPr>
            </w:pPr>
            <w:r>
              <w:rPr>
                <w:rFonts w:hint="eastAsia" w:cs="Times New Roman" w:asciiTheme="minorEastAsia" w:hAnsiTheme="minorEastAsia" w:eastAsiaTheme="minorEastAsia"/>
                <w:sz w:val="24"/>
                <w:szCs w:val="24"/>
                <w:lang w:eastAsia="zh-CN"/>
              </w:rPr>
              <w:t>76.02277</w:t>
            </w:r>
          </w:p>
        </w:tc>
      </w:tr>
    </w:tbl>
    <w:p w14:paraId="59717C86">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5、采购需求（包括但不限于标的的名称、数量、简要技术需求或服务要求等）</w:t>
      </w:r>
    </w:p>
    <w:p w14:paraId="283FB2E8">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5.1、项目概况：</w:t>
      </w:r>
      <w:r>
        <w:rPr>
          <w:rFonts w:hint="eastAsia" w:cs="Times New Roman" w:asciiTheme="minorEastAsia" w:hAnsiTheme="minorEastAsia" w:eastAsiaTheme="minorEastAsia"/>
          <w:kern w:val="2"/>
          <w:sz w:val="24"/>
          <w:szCs w:val="24"/>
          <w:lang w:eastAsia="zh-CN"/>
        </w:rPr>
        <w:t>王和村生产道路硬化项目</w:t>
      </w:r>
      <w:r>
        <w:rPr>
          <w:rFonts w:hint="eastAsia" w:cs="Times New Roman" w:asciiTheme="minorEastAsia" w:hAnsiTheme="minorEastAsia" w:eastAsiaTheme="minorEastAsia"/>
          <w:kern w:val="2"/>
          <w:sz w:val="24"/>
          <w:szCs w:val="24"/>
        </w:rPr>
        <w:t>，</w:t>
      </w:r>
      <w:r>
        <w:rPr>
          <w:rFonts w:hint="eastAsia" w:cs="Times New Roman" w:asciiTheme="minorEastAsia" w:hAnsiTheme="minorEastAsia" w:eastAsiaTheme="minorEastAsia"/>
          <w:kern w:val="2"/>
          <w:sz w:val="24"/>
          <w:szCs w:val="24"/>
          <w:lang w:val="en-US" w:eastAsia="zh-CN"/>
        </w:rPr>
        <w:t>主要建设内容：路基清表、水泥稳定土基层、混凝土面层、切缝、减速带等</w:t>
      </w:r>
      <w:r>
        <w:rPr>
          <w:rFonts w:cs="Times New Roman" w:asciiTheme="minorEastAsia" w:hAnsiTheme="minorEastAsia" w:eastAsiaTheme="minorEastAsia"/>
          <w:kern w:val="2"/>
          <w:sz w:val="24"/>
          <w:szCs w:val="24"/>
        </w:rPr>
        <w:t>；</w:t>
      </w:r>
      <w:r>
        <w:rPr>
          <w:rFonts w:hint="eastAsia" w:cs="Times New Roman" w:asciiTheme="minorEastAsia" w:hAnsiTheme="minorEastAsia" w:eastAsiaTheme="minorEastAsia"/>
          <w:kern w:val="2"/>
          <w:sz w:val="24"/>
          <w:szCs w:val="24"/>
          <w:lang w:val="en-US" w:eastAsia="zh-CN"/>
        </w:rPr>
        <w:t>具体详见工程量清单；</w:t>
      </w:r>
      <w:r>
        <w:rPr>
          <w:rFonts w:cs="宋体" w:asciiTheme="minorEastAsia" w:hAnsiTheme="minorEastAsia" w:eastAsiaTheme="minorEastAsia"/>
          <w:sz w:val="24"/>
          <w:szCs w:val="24"/>
        </w:rPr>
        <w:t xml:space="preserve"> </w:t>
      </w:r>
    </w:p>
    <w:p w14:paraId="3B675443">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5.2、资金来源：财政资金，已落实；</w:t>
      </w:r>
    </w:p>
    <w:p w14:paraId="3780B4E9">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5.3、磋商范围：磋商文件、图纸及工程量清单等范围内的全部内容；</w:t>
      </w:r>
    </w:p>
    <w:p w14:paraId="15DAE2C7">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5.4、质量要求：达到国家现行建设工程施工验收规范及合格标准；</w:t>
      </w:r>
    </w:p>
    <w:p w14:paraId="133B531E">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5.5、</w:t>
      </w:r>
      <w:r>
        <w:rPr>
          <w:rFonts w:hint="eastAsia" w:cs="宋体" w:asciiTheme="minorEastAsia" w:hAnsiTheme="minorEastAsia" w:eastAsiaTheme="minorEastAsia"/>
          <w:color w:val="auto"/>
          <w:sz w:val="24"/>
          <w:szCs w:val="24"/>
        </w:rPr>
        <w:t>计划工期：</w:t>
      </w:r>
      <w:r>
        <w:rPr>
          <w:rFonts w:hint="eastAsia" w:cs="宋体" w:asciiTheme="minorEastAsia" w:hAnsiTheme="minorEastAsia" w:eastAsiaTheme="minorEastAsia"/>
          <w:color w:val="auto"/>
          <w:sz w:val="24"/>
          <w:szCs w:val="24"/>
          <w:lang w:eastAsia="zh-CN"/>
        </w:rPr>
        <w:t>45日历天</w:t>
      </w:r>
      <w:r>
        <w:rPr>
          <w:rFonts w:hint="eastAsia" w:cs="宋体" w:asciiTheme="minorEastAsia" w:hAnsiTheme="minorEastAsia" w:eastAsiaTheme="minorEastAsia"/>
          <w:color w:val="auto"/>
          <w:sz w:val="24"/>
          <w:szCs w:val="24"/>
        </w:rPr>
        <w:t>；</w:t>
      </w:r>
    </w:p>
    <w:p w14:paraId="7205DF31">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5.6、标段划分：本项目不划分标段；</w:t>
      </w:r>
    </w:p>
    <w:p w14:paraId="33DDD826">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6、合同履行期限：按合同约定执行；</w:t>
      </w:r>
    </w:p>
    <w:p w14:paraId="487DFFEE">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7、本项目是否接受联合体投标：否</w:t>
      </w:r>
    </w:p>
    <w:p w14:paraId="5DBC74F9">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8、是否接受进口产品：否</w:t>
      </w:r>
    </w:p>
    <w:p w14:paraId="795BACAD">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9、是否专门面向中小企业：是</w:t>
      </w:r>
    </w:p>
    <w:p w14:paraId="5B93606E">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二、供应商资格要求</w:t>
      </w:r>
    </w:p>
    <w:p w14:paraId="6B932F2A">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1、供应商符合《中华人民共和国政府采购法》第二十二条规定条件；</w:t>
      </w:r>
    </w:p>
    <w:p w14:paraId="5B52B09F">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2、落实政府采购政策满足的资格要求：</w:t>
      </w:r>
      <w:bookmarkStart w:id="53" w:name="OLE_LINK3"/>
      <w:r>
        <w:rPr>
          <w:rFonts w:hint="eastAsia" w:cs="宋体" w:asciiTheme="minorEastAsia" w:hAnsiTheme="minorEastAsia" w:eastAsiaTheme="minorEastAsia"/>
          <w:sz w:val="24"/>
          <w:szCs w:val="24"/>
        </w:rPr>
        <w:t>本项目专门面向中小企业采购，供应商必须是中小型企业(含微型企业，监狱企业及残疾人福利性单位视同小型、微型企业)，须提供《中小企业声明函》(中小企业划型标准见《关于印发中小企业划型标准规定的通知(工信部联企业[2011]300号)》)</w:t>
      </w:r>
      <w:bookmarkEnd w:id="53"/>
      <w:r>
        <w:rPr>
          <w:rFonts w:hint="eastAsia" w:cs="宋体" w:asciiTheme="minorEastAsia" w:hAnsiTheme="minorEastAsia" w:eastAsiaTheme="minorEastAsia"/>
          <w:sz w:val="24"/>
          <w:szCs w:val="24"/>
        </w:rPr>
        <w:t>；</w:t>
      </w:r>
    </w:p>
    <w:p w14:paraId="6BAEAACF">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3、本项目的特定资格条件：</w:t>
      </w:r>
    </w:p>
    <w:p w14:paraId="7C1D3D93">
      <w:pPr>
        <w:widowControl w:val="0"/>
        <w:wordWrap w:val="0"/>
        <w:adjustRightInd/>
        <w:snapToGrid/>
        <w:spacing w:after="0" w:line="6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3.1、供应商具有独立承担民事责任的能力（提供有效的企业营业执照或其他证明材料）；</w:t>
      </w:r>
    </w:p>
    <w:p w14:paraId="2A976C92">
      <w:pPr>
        <w:widowControl w:val="0"/>
        <w:wordWrap w:val="0"/>
        <w:adjustRightInd/>
        <w:snapToGrid/>
        <w:spacing w:after="0" w:line="6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3.2、供应商须具有市政公用工程施工总承包叁级（含叁级）以上资质，具有有效的安全生产许可证，并在人员、设备、资金等方面具有相应的施工能力；</w:t>
      </w:r>
    </w:p>
    <w:p w14:paraId="77D86D70">
      <w:pPr>
        <w:widowControl w:val="0"/>
        <w:wordWrap w:val="0"/>
        <w:adjustRightInd/>
        <w:snapToGrid/>
        <w:spacing w:after="0" w:line="6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3.3、拟派项目经理应具备市政公用工程专业贰级（含贰级）以上注册建造师资格，须提供注册建造师证书、安全生产考核合格证书，提供在本单位缴费的社保证明，并出具无在建新建工程承诺书（自行承诺）；</w:t>
      </w:r>
    </w:p>
    <w:p w14:paraId="002050F5">
      <w:pPr>
        <w:widowControl w:val="0"/>
        <w:wordWrap w:val="0"/>
        <w:adjustRightInd/>
        <w:snapToGrid/>
        <w:spacing w:after="0" w:line="6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3.4、供应商需提供本企业的无商业贿赂及不正当竞争行为的承诺书；</w:t>
      </w:r>
    </w:p>
    <w:p w14:paraId="7A0E43E5">
      <w:pPr>
        <w:widowControl w:val="0"/>
        <w:wordWrap w:val="0"/>
        <w:adjustRightInd/>
        <w:snapToGrid/>
        <w:spacing w:after="0" w:line="6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3.5、参加政府采购活动前3年内无行贿犯罪记录，（开标时提供《中国裁判文书网》查询结果网页截图或企业自行承诺的无行贿犯罪承诺书，查询&lt;承诺&gt;对象为“企业，法定代表人，项目经理”）；</w:t>
      </w:r>
    </w:p>
    <w:p w14:paraId="107425C7">
      <w:pPr>
        <w:widowControl w:val="0"/>
        <w:wordWrap w:val="0"/>
        <w:adjustRightInd/>
        <w:snapToGrid/>
        <w:spacing w:after="0" w:line="6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3.6、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截图要显示查询时间，查询时间自本公告发布之日起；</w:t>
      </w:r>
    </w:p>
    <w:p w14:paraId="1FC081F8">
      <w:pPr>
        <w:widowControl w:val="0"/>
        <w:adjustRightInd/>
        <w:snapToGrid/>
        <w:spacing w:after="0" w:line="5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3.7、信誉要求：</w:t>
      </w:r>
      <w:r>
        <w:rPr>
          <w:rFonts w:cs="宋体" w:asciiTheme="minorEastAsia" w:hAnsiTheme="minorEastAsia" w:eastAsiaTheme="minorEastAsia"/>
          <w:sz w:val="24"/>
          <w:szCs w:val="24"/>
        </w:rPr>
        <w:t xml:space="preserve"> </w:t>
      </w:r>
    </w:p>
    <w:p w14:paraId="7F614B9E">
      <w:pPr>
        <w:widowControl w:val="0"/>
        <w:adjustRightInd/>
        <w:snapToGrid/>
        <w:spacing w:after="0" w:line="5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3.7</w:t>
      </w:r>
      <w:r>
        <w:rPr>
          <w:rFonts w:cs="宋体" w:asciiTheme="minorEastAsia" w:hAnsiTheme="minorEastAsia" w:eastAsiaTheme="minorEastAsia"/>
          <w:sz w:val="24"/>
          <w:szCs w:val="24"/>
        </w:rPr>
        <w:t>.1、被列入全国或省级建筑市场监管公共服务平台</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黑名单</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且在管理期限内的（投标人、拟派项目经理）；</w:t>
      </w:r>
    </w:p>
    <w:p w14:paraId="56E0DB27">
      <w:pPr>
        <w:widowControl w:val="0"/>
        <w:adjustRightInd/>
        <w:snapToGrid/>
        <w:spacing w:after="0" w:line="5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3.7</w:t>
      </w:r>
      <w:r>
        <w:rPr>
          <w:rFonts w:cs="宋体" w:asciiTheme="minorEastAsia" w:hAnsiTheme="minorEastAsia" w:eastAsiaTheme="minorEastAsia"/>
          <w:sz w:val="24"/>
          <w:szCs w:val="24"/>
        </w:rPr>
        <w:t>.2、被列入</w:t>
      </w:r>
      <w:bookmarkStart w:id="54" w:name="OLE_LINK10"/>
      <w:r>
        <w:rPr>
          <w:rFonts w:cs="宋体" w:asciiTheme="minorEastAsia" w:hAnsiTheme="minorEastAsia" w:eastAsiaTheme="minorEastAsia"/>
          <w:sz w:val="24"/>
          <w:szCs w:val="24"/>
        </w:rPr>
        <w:t>国家企业信用信息公示系统</w:t>
      </w:r>
      <w:bookmarkEnd w:id="54"/>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严重违法失信名单</w:t>
      </w: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且在管理期限内的；（投标人）</w:t>
      </w:r>
    </w:p>
    <w:p w14:paraId="1A1E59AB">
      <w:pPr>
        <w:widowControl w:val="0"/>
        <w:adjustRightInd/>
        <w:snapToGrid/>
        <w:spacing w:after="0" w:line="5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3.7</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3</w:t>
      </w:r>
      <w:r>
        <w:rPr>
          <w:rFonts w:cs="宋体" w:asciiTheme="minorEastAsia" w:hAnsiTheme="minorEastAsia" w:eastAsiaTheme="minorEastAsia"/>
          <w:sz w:val="24"/>
          <w:szCs w:val="24"/>
        </w:rPr>
        <w:t>、投标所用建筑工程施工总承包资质在全国或省级建筑市场监管公共服务平台资质状况被标注资质异常状态的（投标人）；</w:t>
      </w:r>
    </w:p>
    <w:p w14:paraId="5E53AC4F">
      <w:pPr>
        <w:widowControl w:val="0"/>
        <w:adjustRightInd/>
        <w:snapToGrid/>
        <w:spacing w:after="0" w:line="500" w:lineRule="exact"/>
        <w:ind w:firstLine="480" w:firstLineChars="200"/>
        <w:outlineLvl w:val="9"/>
        <w:rPr>
          <w:rFonts w:cs="宋体" w:asciiTheme="minorEastAsia" w:hAnsiTheme="minorEastAsia" w:eastAsiaTheme="minorEastAsia"/>
          <w:sz w:val="24"/>
          <w:szCs w:val="24"/>
        </w:rPr>
      </w:pPr>
      <w:r>
        <w:rPr>
          <w:rFonts w:cs="宋体" w:asciiTheme="minorEastAsia" w:hAnsiTheme="minorEastAsia" w:eastAsiaTheme="minorEastAsia"/>
          <w:sz w:val="24"/>
          <w:szCs w:val="24"/>
        </w:rPr>
        <w:t>投标人需提供上述途径查询结果截图，并对其真实性负责。查询时间为招标公告发布之日后，投标截止时间前，查询结果需显示时间。若存在一个及以上记录的或截图不符合要求的，其投标资格应予以否决；</w:t>
      </w:r>
    </w:p>
    <w:p w14:paraId="2D11F943">
      <w:pPr>
        <w:widowControl w:val="0"/>
        <w:adjustRightInd/>
        <w:snapToGrid/>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3.8、单位负责人为同一人或者存在控股、管理关系的不同单位，不得参加同一标段投标（提供“国家企业信用信息公示系统”http://www.gsxt.gov.cn/index.html查询内容,须包含公司基本信息、股东信息及股权变更信息等全部内容）；</w:t>
      </w:r>
    </w:p>
    <w:p w14:paraId="103A78BD">
      <w:pPr>
        <w:widowControl w:val="0"/>
        <w:wordWrap w:val="0"/>
        <w:adjustRightInd/>
        <w:snapToGrid/>
        <w:spacing w:after="0" w:line="6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3.9、本项目实行资格后审；</w:t>
      </w:r>
    </w:p>
    <w:p w14:paraId="0A6B13C4">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3.10、本项目不接受联合体投标。</w:t>
      </w:r>
    </w:p>
    <w:p w14:paraId="77CD8D0B">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三、竞争性磋商文件的获取</w:t>
      </w:r>
    </w:p>
    <w:p w14:paraId="021F81E8">
      <w:pPr>
        <w:shd w:val="clear" w:color="auto" w:fill="FFFFFF"/>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1、时间：</w:t>
      </w:r>
      <w:r>
        <w:rPr>
          <w:rFonts w:hint="eastAsia" w:cs="宋体" w:asciiTheme="minorEastAsia" w:hAnsiTheme="minorEastAsia" w:eastAsiaTheme="minorEastAsia"/>
          <w:sz w:val="24"/>
          <w:szCs w:val="24"/>
        </w:rPr>
        <w:t>2026年0</w:t>
      </w:r>
      <w:r>
        <w:rPr>
          <w:rFonts w:hint="eastAsia" w:cs="宋体" w:asciiTheme="minorEastAsia" w:hAnsiTheme="minorEastAsia" w:eastAsiaTheme="minorEastAsia"/>
          <w:sz w:val="24"/>
          <w:szCs w:val="24"/>
          <w:lang w:val="en-US" w:eastAsia="zh-CN"/>
        </w:rPr>
        <w:t>8</w:t>
      </w:r>
      <w:r>
        <w:rPr>
          <w:rFonts w:hint="eastAsia" w:cs="宋体" w:asciiTheme="minorEastAsia" w:hAnsiTheme="minorEastAsia" w:eastAsiaTheme="minorEastAsia"/>
          <w:sz w:val="24"/>
          <w:szCs w:val="24"/>
        </w:rPr>
        <w:t>月</w:t>
      </w:r>
      <w:r>
        <w:rPr>
          <w:rFonts w:hint="eastAsia" w:cs="宋体" w:asciiTheme="minorEastAsia" w:hAnsiTheme="minorEastAsia" w:eastAsiaTheme="minorEastAsia"/>
          <w:sz w:val="24"/>
          <w:szCs w:val="24"/>
          <w:lang w:val="en-US" w:eastAsia="zh-CN"/>
        </w:rPr>
        <w:t>06</w:t>
      </w:r>
      <w:r>
        <w:rPr>
          <w:rFonts w:hint="eastAsia" w:cs="宋体" w:asciiTheme="minorEastAsia" w:hAnsiTheme="minorEastAsia" w:eastAsiaTheme="minorEastAsia"/>
          <w:sz w:val="24"/>
          <w:szCs w:val="24"/>
        </w:rPr>
        <w:t>日至</w:t>
      </w:r>
      <w:r>
        <w:rPr>
          <w:rFonts w:hint="eastAsia" w:cs="宋体" w:asciiTheme="minorEastAsia" w:hAnsiTheme="minorEastAsia" w:eastAsiaTheme="minorEastAsia"/>
          <w:sz w:val="24"/>
          <w:szCs w:val="24"/>
          <w:lang w:eastAsia="zh-CN"/>
        </w:rPr>
        <w:t>2026年08月18日08时30分</w:t>
      </w:r>
      <w:r>
        <w:rPr>
          <w:rFonts w:hint="eastAsia" w:cs="宋体" w:asciiTheme="minorEastAsia" w:hAnsiTheme="minorEastAsia" w:eastAsiaTheme="minorEastAsia"/>
          <w:sz w:val="24"/>
          <w:szCs w:val="24"/>
        </w:rPr>
        <w:t>；</w:t>
      </w:r>
    </w:p>
    <w:p w14:paraId="700C0B5C">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2、地点：三门峡市公共资源交易中心网；</w:t>
      </w:r>
    </w:p>
    <w:p w14:paraId="7B91B851">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3、方式：本项目没有报名环节，供应商凭CA数字证书通过三门峡市公共资源交易中心网（网址：http://gzjy.smx.gov.cn/），点击交易平台选择“市场主体登录”，在所参与项目右侧点本项目竞争性磋商文件；</w:t>
      </w:r>
    </w:p>
    <w:p w14:paraId="0018003C">
      <w:pPr>
        <w:widowControl w:val="0"/>
        <w:adjustRightInd/>
        <w:snapToGrid/>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三门峡市公共资源交易平台操作手册：</w:t>
      </w:r>
      <w:r>
        <w:rPr>
          <w:rFonts w:cs="宋体" w:asciiTheme="minorEastAsia" w:hAnsiTheme="minorEastAsia" w:eastAsiaTheme="minorEastAsia"/>
          <w:sz w:val="24"/>
          <w:szCs w:val="24"/>
        </w:rPr>
        <w:t>http://gzjy.smx.gov.cn/fwzn/004003/20200325/2b5a3a5a-f987-405c-993f-88f43e1d1ac3.html</w:t>
      </w:r>
    </w:p>
    <w:p w14:paraId="33D61091">
      <w:pPr>
        <w:wordWrap w:val="0"/>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办理CA证书：</w:t>
      </w:r>
      <w:r>
        <w:rPr>
          <w:rFonts w:cs="宋体" w:asciiTheme="minorEastAsia" w:hAnsiTheme="minorEastAsia" w:eastAsiaTheme="minorEastAsia"/>
          <w:sz w:val="24"/>
          <w:szCs w:val="24"/>
        </w:rPr>
        <w:t>http://gzjy.smx.gov.cn/bzzx/008001/20231102/4defc9b5-408e-47f2-9e9f-1f376a06ee1f.html</w:t>
      </w:r>
    </w:p>
    <w:p w14:paraId="3D15A0C4">
      <w:pPr>
        <w:shd w:val="clear" w:color="auto" w:fill="FFFFFF"/>
        <w:spacing w:after="0" w:line="540" w:lineRule="exact"/>
        <w:ind w:firstLine="480" w:firstLineChars="200"/>
        <w:outlineLvl w:val="9"/>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shd w:val="clear" w:color="auto" w:fill="FFFFFF"/>
        </w:rPr>
        <w:t>4、本项目为不见面开标项目。开标当日，投标人无需到开标现场参加开标会议，投标人应当在投标截止时间前，登陆不见面开标大厅选择登陆三门峡市公共资源电子招投标系统进行登陆http://120.194.249.36:10094/BidOpening/bidopeninghallaction/hall/login）,在线准时参加开标活动并进行投标文件解密等。每位投标人的解密时间为开标时间起30分钟内完成。未按时解密的其投标将被否决。因投标人原因未能解密、解密失败或解密超时的将被拒绝；</w:t>
      </w:r>
    </w:p>
    <w:p w14:paraId="11D349F8">
      <w:pPr>
        <w:shd w:val="clear" w:color="auto" w:fill="FFFFFF"/>
        <w:spacing w:after="0" w:line="540" w:lineRule="exact"/>
        <w:ind w:firstLine="480" w:firstLineChars="200"/>
        <w:outlineLvl w:val="9"/>
        <w:rPr>
          <w:rFonts w:cs="宋体" w:asciiTheme="minorEastAsia" w:hAnsiTheme="minorEastAsia" w:eastAsiaTheme="minorEastAsia"/>
          <w:sz w:val="24"/>
          <w:szCs w:val="24"/>
          <w:shd w:val="clear" w:color="auto" w:fill="FFFFFF"/>
        </w:rPr>
      </w:pPr>
      <w:r>
        <w:rPr>
          <w:rFonts w:hint="eastAsia" w:cs="宋体" w:asciiTheme="minorEastAsia" w:hAnsiTheme="minorEastAsia" w:eastAsiaTheme="minorEastAsia"/>
          <w:sz w:val="24"/>
          <w:szCs w:val="24"/>
          <w:shd w:val="clear" w:color="auto" w:fill="FFFFFF"/>
        </w:rPr>
        <w:t>5、根据《关于进一步加强公共资源交易管理持续优化营商环境的通知》（三公管办[2020]2号）文件的要求，磋商文件费用不再收取。</w:t>
      </w:r>
    </w:p>
    <w:p w14:paraId="41D0B0E0">
      <w:pPr>
        <w:shd w:val="clear" w:color="auto" w:fill="FFFFFF"/>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四、响应文件上传递交截止时间及地点</w:t>
      </w:r>
    </w:p>
    <w:p w14:paraId="60AEDE2B">
      <w:pPr>
        <w:shd w:val="clear" w:color="auto" w:fill="FFFFFF"/>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shd w:val="clear" w:color="auto" w:fill="FFFFFF"/>
        </w:rPr>
        <w:t>1、截止时间：</w:t>
      </w:r>
      <w:r>
        <w:rPr>
          <w:rFonts w:hint="eastAsia" w:cs="宋体" w:asciiTheme="minorEastAsia" w:hAnsiTheme="minorEastAsia" w:eastAsiaTheme="minorEastAsia"/>
          <w:sz w:val="24"/>
          <w:szCs w:val="24"/>
          <w:shd w:val="clear" w:color="auto" w:fill="FFFFFF"/>
          <w:lang w:eastAsia="zh-CN"/>
        </w:rPr>
        <w:t>2026年08月18日08时30分</w:t>
      </w:r>
      <w:r>
        <w:rPr>
          <w:rFonts w:hint="eastAsia" w:cs="宋体" w:asciiTheme="minorEastAsia" w:hAnsiTheme="minorEastAsia" w:eastAsiaTheme="minorEastAsia"/>
          <w:sz w:val="24"/>
          <w:szCs w:val="24"/>
          <w:shd w:val="clear" w:color="auto" w:fill="FFFFFF"/>
        </w:rPr>
        <w:t>（北京时间）</w:t>
      </w:r>
    </w:p>
    <w:p w14:paraId="70F29063">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2、地点：在三门峡市公共资源交易中心网中上传加密响应文件。</w:t>
      </w:r>
    </w:p>
    <w:p w14:paraId="2C59E320">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五、磋商时间及地点</w:t>
      </w:r>
    </w:p>
    <w:p w14:paraId="70B60328">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1、磋商时间：</w:t>
      </w:r>
      <w:r>
        <w:rPr>
          <w:rFonts w:hint="eastAsia" w:cs="宋体" w:asciiTheme="minorEastAsia" w:hAnsiTheme="minorEastAsia" w:eastAsiaTheme="minorEastAsia"/>
          <w:sz w:val="24"/>
          <w:szCs w:val="24"/>
          <w:lang w:eastAsia="zh-CN"/>
        </w:rPr>
        <w:t>2026年08月18日08时30分</w:t>
      </w:r>
      <w:r>
        <w:rPr>
          <w:rFonts w:hint="eastAsia" w:cs="宋体" w:asciiTheme="minorEastAsia" w:hAnsiTheme="minorEastAsia" w:eastAsiaTheme="minorEastAsia"/>
          <w:sz w:val="24"/>
          <w:szCs w:val="24"/>
        </w:rPr>
        <w:t>（北京时间）；</w:t>
      </w:r>
    </w:p>
    <w:p w14:paraId="7B55D3F3">
      <w:pPr>
        <w:widowControl w:val="0"/>
        <w:wordWrap w:val="0"/>
        <w:adjustRightInd/>
        <w:snapToGrid/>
        <w:spacing w:after="0" w:line="6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2、地点: 三门峡市公共资源交易中心五楼开标区；</w:t>
      </w:r>
    </w:p>
    <w:p w14:paraId="4A3FCCA8">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六、发布公告的媒介</w:t>
      </w:r>
    </w:p>
    <w:p w14:paraId="15CE4851">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本次竞争性磋商公告在《中国招标投标公共服务平台》、《河南省政府采购网》、《三门峡市公共资源交易中心网》同时发布。</w:t>
      </w:r>
    </w:p>
    <w:p w14:paraId="2A52DAF5">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七、其他补充事宜</w:t>
      </w:r>
    </w:p>
    <w:p w14:paraId="2CE7DD33">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1、资格评（预）审部分：资格评审（预）以响应文件为准，其上传资料真实性由供应商自行承担。</w:t>
      </w:r>
    </w:p>
    <w:p w14:paraId="0E517CD3">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2、评标打分部分：评标打分部分仍按照100分制原则进行，涉及到资格审查、企业荣誉、人员业绩、企业业绩等计分部分时，以供应商自行上传到响应文件中的相应内容为准。</w:t>
      </w:r>
    </w:p>
    <w:p w14:paraId="7533B0EB">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响应文件编制部分：在磋商文件中要求供应商按照响应文件格式进行响应文件编制，在响应文件编制时，应明确将供应商企业基本情况、资质情况、人员情况、财务情况、业绩情况编入响应文件，便于进行资格审查及评标打分以响应文件业绩信息为准，可使用电子营业执照。 </w:t>
      </w:r>
    </w:p>
    <w:p w14:paraId="09F876D9">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4、我单位（采购人）严格按三财购【2021】9号文要求的时限发布中标结果公告，发出中标通知书，签订采购合同，上传采购合同。</w:t>
      </w:r>
    </w:p>
    <w:p w14:paraId="32CDC666">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5、供应商应仔细阅读操作手册，在本公告中要求的截止时间前完成磋商文件下载等工作。因供应商操作不当等问题造成的无法下载磋商文件、无法磋商等一切后果，由供应商自行承担。</w:t>
      </w:r>
    </w:p>
    <w:p w14:paraId="7B239D40">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6、供应商递交的响应文件不论中标与否均不予退还。</w:t>
      </w:r>
    </w:p>
    <w:p w14:paraId="0C549621">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7、采购人不组织供应商踏勘现场。</w:t>
      </w:r>
    </w:p>
    <w:p w14:paraId="2A2025F7">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八、联系方式</w:t>
      </w:r>
    </w:p>
    <w:p w14:paraId="5E3B4B25">
      <w:pPr>
        <w:spacing w:after="0" w:line="540" w:lineRule="exact"/>
        <w:ind w:firstLine="480" w:firstLineChars="200"/>
        <w:outlineLvl w:val="9"/>
        <w:rPr>
          <w:rFonts w:cs="宋体" w:asciiTheme="minorEastAsia" w:hAnsiTheme="minorEastAsia" w:eastAsiaTheme="minorEastAsia"/>
          <w:sz w:val="24"/>
          <w:szCs w:val="24"/>
        </w:rPr>
      </w:pPr>
      <w:bookmarkStart w:id="55" w:name="OLE_LINK4"/>
      <w:bookmarkStart w:id="56" w:name="OLE_LINK6"/>
      <w:r>
        <w:rPr>
          <w:rFonts w:hint="eastAsia" w:cs="宋体" w:asciiTheme="minorEastAsia" w:hAnsiTheme="minorEastAsia" w:eastAsiaTheme="minorEastAsia"/>
          <w:sz w:val="24"/>
          <w:szCs w:val="24"/>
        </w:rPr>
        <w:t>监督单位：三门峡市城乡一体化示范区财政局</w:t>
      </w:r>
    </w:p>
    <w:p w14:paraId="2AC13BA8">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电话：0398-2751080</w:t>
      </w:r>
      <w:bookmarkEnd w:id="55"/>
      <w:bookmarkEnd w:id="56"/>
    </w:p>
    <w:p w14:paraId="061AAD1D">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采购人：灵宝市大王镇人民政府</w:t>
      </w:r>
    </w:p>
    <w:p w14:paraId="1614334C">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地址：灵宝市大王镇干店街</w:t>
      </w:r>
      <w:r>
        <w:rPr>
          <w:rFonts w:cs="宋体" w:asciiTheme="minorEastAsia" w:hAnsiTheme="minorEastAsia" w:eastAsiaTheme="minorEastAsia"/>
          <w:sz w:val="24"/>
          <w:szCs w:val="24"/>
        </w:rPr>
        <w:t xml:space="preserve"> </w:t>
      </w:r>
    </w:p>
    <w:p w14:paraId="0F27576A">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联系人：</w:t>
      </w:r>
      <w:r>
        <w:rPr>
          <w:rFonts w:hint="eastAsia" w:cs="宋体" w:asciiTheme="minorEastAsia" w:hAnsiTheme="minorEastAsia" w:eastAsiaTheme="minorEastAsia"/>
          <w:sz w:val="24"/>
          <w:szCs w:val="24"/>
          <w:lang w:val="en-US" w:eastAsia="zh-CN"/>
        </w:rPr>
        <w:t>亢</w:t>
      </w:r>
      <w:r>
        <w:rPr>
          <w:rFonts w:hint="eastAsia" w:cs="宋体" w:asciiTheme="minorEastAsia" w:hAnsiTheme="minorEastAsia" w:eastAsiaTheme="minorEastAsia"/>
          <w:sz w:val="24"/>
          <w:szCs w:val="24"/>
        </w:rPr>
        <w:t>女士</w:t>
      </w:r>
    </w:p>
    <w:p w14:paraId="534F09B3">
      <w:pPr>
        <w:spacing w:after="0" w:line="540" w:lineRule="exact"/>
        <w:ind w:firstLine="480" w:firstLineChars="200"/>
        <w:outlineLvl w:val="9"/>
        <w:rPr>
          <w:rFonts w:hint="default"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rPr>
        <w:t>电话：</w:t>
      </w:r>
      <w:r>
        <w:rPr>
          <w:rFonts w:hint="eastAsia" w:cs="宋体" w:asciiTheme="minorEastAsia" w:hAnsiTheme="minorEastAsia" w:eastAsiaTheme="minorEastAsia"/>
          <w:sz w:val="24"/>
          <w:szCs w:val="24"/>
          <w:lang w:val="en-US" w:eastAsia="zh-CN"/>
        </w:rPr>
        <w:t>15939866783</w:t>
      </w:r>
    </w:p>
    <w:p w14:paraId="78715CF2">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代理机构：</w:t>
      </w:r>
      <w:r>
        <w:rPr>
          <w:rFonts w:hint="eastAsia" w:cs="宋体" w:asciiTheme="minorEastAsia" w:hAnsiTheme="minorEastAsia" w:eastAsiaTheme="minorEastAsia"/>
          <w:sz w:val="24"/>
          <w:szCs w:val="24"/>
          <w:lang w:eastAsia="zh-CN"/>
        </w:rPr>
        <w:t>兴建建设管理有限公司</w:t>
      </w:r>
      <w:r>
        <w:rPr>
          <w:rFonts w:cs="宋体" w:asciiTheme="minorEastAsia" w:hAnsiTheme="minorEastAsia" w:eastAsiaTheme="minorEastAsia"/>
          <w:sz w:val="24"/>
          <w:szCs w:val="24"/>
        </w:rPr>
        <w:t xml:space="preserve"> </w:t>
      </w:r>
    </w:p>
    <w:p w14:paraId="30650C8F">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地址：河南省郑州市郑东新区商务内环路10号金成东方国际1401室</w:t>
      </w:r>
    </w:p>
    <w:p w14:paraId="791F99FB">
      <w:pPr>
        <w:spacing w:after="0" w:line="54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联系人：</w:t>
      </w:r>
      <w:r>
        <w:rPr>
          <w:rFonts w:hint="eastAsia" w:cs="宋体" w:asciiTheme="minorEastAsia" w:hAnsiTheme="minorEastAsia" w:eastAsiaTheme="minorEastAsia"/>
          <w:sz w:val="24"/>
          <w:szCs w:val="24"/>
          <w:lang w:val="en-US" w:eastAsia="zh-CN"/>
        </w:rPr>
        <w:t>许</w:t>
      </w:r>
      <w:r>
        <w:rPr>
          <w:rFonts w:hint="eastAsia" w:cs="宋体" w:asciiTheme="minorEastAsia" w:hAnsiTheme="minorEastAsia" w:eastAsiaTheme="minorEastAsia"/>
          <w:sz w:val="24"/>
          <w:szCs w:val="24"/>
        </w:rPr>
        <w:t>女士</w:t>
      </w:r>
    </w:p>
    <w:p w14:paraId="40C46827">
      <w:pPr>
        <w:spacing w:after="0" w:line="540" w:lineRule="exact"/>
        <w:ind w:firstLine="480" w:firstLineChars="200"/>
        <w:outlineLvl w:val="9"/>
        <w:rPr>
          <w:rFonts w:cs="宋体" w:asciiTheme="minorEastAsia" w:hAnsiTheme="minorEastAsia" w:eastAsiaTheme="minorEastAsia"/>
          <w:sz w:val="30"/>
          <w:szCs w:val="30"/>
        </w:rPr>
      </w:pPr>
      <w:r>
        <w:rPr>
          <w:rFonts w:hint="eastAsia" w:cs="宋体" w:asciiTheme="minorEastAsia" w:hAnsiTheme="minorEastAsia" w:eastAsiaTheme="minorEastAsia"/>
          <w:sz w:val="24"/>
          <w:szCs w:val="24"/>
        </w:rPr>
        <w:t>电话：</w:t>
      </w:r>
      <w:r>
        <w:rPr>
          <w:rFonts w:hint="eastAsia" w:cs="宋体" w:asciiTheme="minorEastAsia" w:hAnsiTheme="minorEastAsia" w:eastAsiaTheme="minorEastAsia"/>
          <w:sz w:val="24"/>
          <w:szCs w:val="24"/>
          <w:lang w:val="en-US" w:eastAsia="zh-CN"/>
        </w:rPr>
        <w:t>13949796015</w:t>
      </w:r>
      <w:r>
        <w:fldChar w:fldCharType="begin"/>
      </w:r>
      <w:r>
        <w:instrText xml:space="preserve"> HYPERLINK "mailto:380328069@qq.com第二章" </w:instrText>
      </w:r>
      <w:r>
        <w:fldChar w:fldCharType="separate"/>
      </w:r>
    </w:p>
    <w:p w14:paraId="02D567E9">
      <w:pPr>
        <w:spacing w:after="0" w:line="540" w:lineRule="exact"/>
        <w:ind w:firstLine="600" w:firstLineChars="200"/>
        <w:jc w:val="center"/>
        <w:outlineLvl w:val="0"/>
        <w:rPr>
          <w:rStyle w:val="47"/>
          <w:rFonts w:asciiTheme="minorEastAsia" w:hAnsiTheme="minorEastAsia" w:eastAsiaTheme="minorEastAsia"/>
          <w:color w:val="auto"/>
          <w:sz w:val="36"/>
        </w:rPr>
      </w:pPr>
      <w:r>
        <w:rPr>
          <w:rFonts w:hint="eastAsia" w:cs="宋体"/>
          <w:sz w:val="30"/>
          <w:szCs w:val="30"/>
        </w:rPr>
        <w:br w:type="page"/>
      </w:r>
      <w:bookmarkStart w:id="57" w:name="_Toc517178992"/>
      <w:bookmarkEnd w:id="57"/>
      <w:bookmarkStart w:id="58" w:name="_Toc2824"/>
      <w:r>
        <w:rPr>
          <w:rFonts w:cs="宋体"/>
          <w:b/>
          <w:sz w:val="30"/>
          <w:szCs w:val="30"/>
        </w:rPr>
        <w:fldChar w:fldCharType="end"/>
      </w:r>
      <w:bookmarkStart w:id="59" w:name="_Toc16770548"/>
      <w:r>
        <w:rPr>
          <w:rStyle w:val="47"/>
          <w:rFonts w:hint="eastAsia" w:asciiTheme="minorEastAsia" w:hAnsiTheme="minorEastAsia" w:eastAsiaTheme="minorEastAsia"/>
          <w:b/>
          <w:bCs/>
          <w:color w:val="auto"/>
          <w:sz w:val="36"/>
          <w:szCs w:val="36"/>
        </w:rPr>
        <w:t>第二章</w:t>
      </w:r>
      <w:r>
        <w:rPr>
          <w:rFonts w:hint="eastAsia" w:asciiTheme="minorEastAsia" w:hAnsiTheme="minorEastAsia" w:eastAsiaTheme="minorEastAsia"/>
          <w:b/>
          <w:bCs/>
          <w:color w:val="auto"/>
          <w:kern w:val="36"/>
          <w:sz w:val="36"/>
          <w:szCs w:val="36"/>
          <w:lang w:val="en-US" w:eastAsia="zh-CN"/>
        </w:rPr>
        <w:t xml:space="preserve">  </w:t>
      </w:r>
      <w:r>
        <w:rPr>
          <w:rStyle w:val="47"/>
          <w:rFonts w:hint="eastAsia" w:asciiTheme="minorEastAsia" w:hAnsiTheme="minorEastAsia" w:eastAsiaTheme="minorEastAsia"/>
          <w:b/>
          <w:bCs/>
          <w:color w:val="auto"/>
          <w:sz w:val="36"/>
          <w:szCs w:val="36"/>
        </w:rPr>
        <w:t>响应</w:t>
      </w:r>
      <w:r>
        <w:rPr>
          <w:rStyle w:val="47"/>
          <w:rFonts w:asciiTheme="minorEastAsia" w:hAnsiTheme="minorEastAsia" w:eastAsiaTheme="minorEastAsia"/>
          <w:b/>
          <w:bCs/>
          <w:color w:val="auto"/>
          <w:sz w:val="36"/>
          <w:szCs w:val="36"/>
        </w:rPr>
        <w:t>人须知</w:t>
      </w:r>
      <w:bookmarkEnd w:id="58"/>
      <w:bookmarkEnd w:id="59"/>
    </w:p>
    <w:p w14:paraId="62920831">
      <w:pPr>
        <w:keepLines w:val="0"/>
        <w:widowControl/>
        <w:spacing w:before="0" w:line="420" w:lineRule="exact"/>
        <w:jc w:val="center"/>
        <w:outlineLvl w:val="9"/>
        <w:rPr>
          <w:rFonts w:asciiTheme="minorEastAsia" w:hAnsiTheme="minorEastAsia" w:eastAsiaTheme="minorEastAsia"/>
          <w:b/>
          <w:bCs/>
          <w:color w:val="auto"/>
          <w:sz w:val="30"/>
          <w:szCs w:val="30"/>
        </w:rPr>
      </w:pPr>
      <w:bookmarkStart w:id="60" w:name="_Toc44996337"/>
      <w:bookmarkEnd w:id="60"/>
      <w:r>
        <w:rPr>
          <w:rFonts w:hint="eastAsia" w:asciiTheme="minorEastAsia" w:hAnsiTheme="minorEastAsia" w:eastAsiaTheme="minorEastAsia"/>
          <w:b/>
          <w:bCs/>
          <w:color w:val="auto"/>
          <w:sz w:val="30"/>
          <w:szCs w:val="30"/>
        </w:rPr>
        <w:t>响应人</w:t>
      </w:r>
      <w:r>
        <w:rPr>
          <w:rFonts w:asciiTheme="minorEastAsia" w:hAnsiTheme="minorEastAsia" w:eastAsiaTheme="minorEastAsia"/>
          <w:b/>
          <w:bCs/>
          <w:color w:val="auto"/>
          <w:sz w:val="30"/>
          <w:szCs w:val="30"/>
        </w:rPr>
        <w:t>须知前附表</w:t>
      </w:r>
    </w:p>
    <w:tbl>
      <w:tblPr>
        <w:tblStyle w:val="26"/>
        <w:tblW w:w="9093" w:type="dxa"/>
        <w:tblInd w:w="87" w:type="dxa"/>
        <w:tblLayout w:type="fixed"/>
        <w:tblCellMar>
          <w:top w:w="0" w:type="dxa"/>
          <w:left w:w="108" w:type="dxa"/>
          <w:bottom w:w="0" w:type="dxa"/>
          <w:right w:w="108" w:type="dxa"/>
        </w:tblCellMar>
      </w:tblPr>
      <w:tblGrid>
        <w:gridCol w:w="697"/>
        <w:gridCol w:w="1876"/>
        <w:gridCol w:w="6520"/>
      </w:tblGrid>
      <w:tr w14:paraId="747AD8BB">
        <w:tblPrEx>
          <w:tblCellMar>
            <w:top w:w="0" w:type="dxa"/>
            <w:left w:w="108" w:type="dxa"/>
            <w:bottom w:w="0" w:type="dxa"/>
            <w:right w:w="108" w:type="dxa"/>
          </w:tblCellMar>
        </w:tblPrEx>
        <w:trPr>
          <w:trHeight w:val="411" w:hRule="atLeast"/>
        </w:trPr>
        <w:tc>
          <w:tcPr>
            <w:tcW w:w="697" w:type="dxa"/>
            <w:tcBorders>
              <w:top w:val="single" w:color="auto" w:sz="4" w:space="0"/>
              <w:left w:val="single" w:color="auto" w:sz="4" w:space="0"/>
              <w:bottom w:val="single" w:color="auto" w:sz="4" w:space="0"/>
              <w:right w:val="single" w:color="auto" w:sz="4" w:space="0"/>
            </w:tcBorders>
            <w:vAlign w:val="center"/>
          </w:tcPr>
          <w:p w14:paraId="03B49E7F">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序号</w:t>
            </w:r>
          </w:p>
        </w:tc>
        <w:tc>
          <w:tcPr>
            <w:tcW w:w="1876" w:type="dxa"/>
            <w:tcBorders>
              <w:top w:val="single" w:color="auto" w:sz="4" w:space="0"/>
              <w:left w:val="nil"/>
              <w:bottom w:val="single" w:color="auto" w:sz="4" w:space="0"/>
              <w:right w:val="single" w:color="auto" w:sz="4" w:space="0"/>
            </w:tcBorders>
            <w:vAlign w:val="center"/>
          </w:tcPr>
          <w:p w14:paraId="484CF043">
            <w:pPr>
              <w:keepNext w:val="0"/>
              <w:keepLines w:val="0"/>
              <w:pageBreakBefore w:val="0"/>
              <w:kinsoku/>
              <w:overflowPunct/>
              <w:topLinePunct w:val="0"/>
              <w:autoSpaceDE/>
              <w:autoSpaceDN/>
              <w:bidi w:val="0"/>
              <w:spacing w:after="0" w:line="440" w:lineRule="exact"/>
              <w:ind w:firstLine="240" w:firstLineChars="100"/>
              <w:textAlignment w:val="auto"/>
              <w:outlineLvl w:val="9"/>
              <w:rPr>
                <w:rFonts w:ascii="宋体" w:hAnsi="宋体" w:eastAsia="宋体" w:cs="宋体"/>
                <w:sz w:val="24"/>
                <w:szCs w:val="24"/>
              </w:rPr>
            </w:pPr>
            <w:r>
              <w:rPr>
                <w:rFonts w:hint="eastAsia" w:ascii="宋体" w:hAnsi="宋体" w:eastAsia="宋体" w:cs="宋体"/>
                <w:sz w:val="24"/>
                <w:szCs w:val="24"/>
              </w:rPr>
              <w:t>条款名称</w:t>
            </w:r>
          </w:p>
        </w:tc>
        <w:tc>
          <w:tcPr>
            <w:tcW w:w="6520" w:type="dxa"/>
            <w:tcBorders>
              <w:top w:val="single" w:color="auto" w:sz="4" w:space="0"/>
              <w:left w:val="nil"/>
              <w:bottom w:val="single" w:color="auto" w:sz="4" w:space="0"/>
              <w:right w:val="single" w:color="auto" w:sz="4" w:space="0"/>
            </w:tcBorders>
            <w:vAlign w:val="center"/>
          </w:tcPr>
          <w:p w14:paraId="596D253F">
            <w:pPr>
              <w:keepNext w:val="0"/>
              <w:keepLines w:val="0"/>
              <w:pageBreakBefore w:val="0"/>
              <w:kinsoku/>
              <w:overflowPunct/>
              <w:topLinePunct w:val="0"/>
              <w:autoSpaceDE/>
              <w:autoSpaceDN/>
              <w:bidi w:val="0"/>
              <w:spacing w:after="0" w:line="440" w:lineRule="exact"/>
              <w:ind w:firstLine="1080" w:firstLineChars="450"/>
              <w:textAlignment w:val="auto"/>
              <w:outlineLvl w:val="9"/>
              <w:rPr>
                <w:rFonts w:ascii="宋体" w:hAnsi="宋体" w:eastAsia="宋体" w:cs="宋体"/>
                <w:sz w:val="24"/>
                <w:szCs w:val="24"/>
              </w:rPr>
            </w:pPr>
            <w:r>
              <w:rPr>
                <w:rFonts w:hint="eastAsia" w:ascii="宋体" w:hAnsi="宋体" w:eastAsia="宋体" w:cs="宋体"/>
                <w:sz w:val="24"/>
                <w:szCs w:val="24"/>
              </w:rPr>
              <w:t>编列内容</w:t>
            </w:r>
          </w:p>
        </w:tc>
      </w:tr>
      <w:tr w14:paraId="5A1FDCAB">
        <w:tblPrEx>
          <w:tblCellMar>
            <w:top w:w="0" w:type="dxa"/>
            <w:left w:w="108" w:type="dxa"/>
            <w:bottom w:w="0" w:type="dxa"/>
            <w:right w:w="108" w:type="dxa"/>
          </w:tblCellMar>
        </w:tblPrEx>
        <w:trPr>
          <w:trHeight w:val="614" w:hRule="atLeast"/>
        </w:trPr>
        <w:tc>
          <w:tcPr>
            <w:tcW w:w="697" w:type="dxa"/>
            <w:tcBorders>
              <w:top w:val="single" w:color="auto" w:sz="4" w:space="0"/>
              <w:left w:val="single" w:color="auto" w:sz="4" w:space="0"/>
              <w:bottom w:val="single" w:color="auto" w:sz="4" w:space="0"/>
              <w:right w:val="single" w:color="auto" w:sz="4" w:space="0"/>
            </w:tcBorders>
            <w:vAlign w:val="center"/>
          </w:tcPr>
          <w:p w14:paraId="0AB9A775">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w:t>
            </w:r>
          </w:p>
        </w:tc>
        <w:tc>
          <w:tcPr>
            <w:tcW w:w="1876" w:type="dxa"/>
            <w:tcBorders>
              <w:top w:val="single" w:color="auto" w:sz="4" w:space="0"/>
              <w:left w:val="nil"/>
              <w:bottom w:val="single" w:color="auto" w:sz="4" w:space="0"/>
              <w:right w:val="single" w:color="auto" w:sz="4" w:space="0"/>
            </w:tcBorders>
            <w:vAlign w:val="center"/>
          </w:tcPr>
          <w:p w14:paraId="13E0F011">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采购人及监督单位</w:t>
            </w:r>
          </w:p>
        </w:tc>
        <w:tc>
          <w:tcPr>
            <w:tcW w:w="6520" w:type="dxa"/>
            <w:tcBorders>
              <w:top w:val="single" w:color="auto" w:sz="4" w:space="0"/>
              <w:left w:val="nil"/>
              <w:bottom w:val="single" w:color="auto" w:sz="4" w:space="0"/>
              <w:right w:val="single" w:color="auto" w:sz="4" w:space="0"/>
            </w:tcBorders>
            <w:vAlign w:val="center"/>
          </w:tcPr>
          <w:p w14:paraId="435EFD71">
            <w:pPr>
              <w:keepNext w:val="0"/>
              <w:keepLines w:val="0"/>
              <w:pageBreakBefore w:val="0"/>
              <w:kinsoku/>
              <w:overflowPunct/>
              <w:topLinePunct w:val="0"/>
              <w:autoSpaceDE/>
              <w:autoSpaceDN/>
              <w:bidi w:val="0"/>
              <w:spacing w:after="0" w:line="440" w:lineRule="exact"/>
              <w:textAlignment w:val="auto"/>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监督单位：三门峡市城乡一体化示范区财政局</w:t>
            </w:r>
          </w:p>
          <w:p w14:paraId="2F4DFBB2">
            <w:pPr>
              <w:keepNext w:val="0"/>
              <w:keepLines w:val="0"/>
              <w:pageBreakBefore w:val="0"/>
              <w:kinsoku/>
              <w:overflowPunct/>
              <w:topLinePunct w:val="0"/>
              <w:autoSpaceDE/>
              <w:autoSpaceDN/>
              <w:bidi w:val="0"/>
              <w:spacing w:after="0" w:line="440" w:lineRule="exact"/>
              <w:textAlignment w:val="auto"/>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电话：0398-2751080</w:t>
            </w:r>
          </w:p>
          <w:p w14:paraId="6B19F660">
            <w:pPr>
              <w:keepNext w:val="0"/>
              <w:keepLines w:val="0"/>
              <w:pageBreakBefore w:val="0"/>
              <w:kinsoku/>
              <w:overflowPunct/>
              <w:topLinePunct w:val="0"/>
              <w:autoSpaceDE/>
              <w:autoSpaceDN/>
              <w:bidi w:val="0"/>
              <w:spacing w:after="0" w:line="440" w:lineRule="exact"/>
              <w:textAlignment w:val="auto"/>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采购人：灵宝市大王镇人民政府</w:t>
            </w:r>
          </w:p>
          <w:p w14:paraId="6A2AEDB0">
            <w:pPr>
              <w:keepNext w:val="0"/>
              <w:keepLines w:val="0"/>
              <w:pageBreakBefore w:val="0"/>
              <w:kinsoku/>
              <w:overflowPunct/>
              <w:topLinePunct w:val="0"/>
              <w:autoSpaceDE/>
              <w:autoSpaceDN/>
              <w:bidi w:val="0"/>
              <w:spacing w:after="0" w:line="440" w:lineRule="exact"/>
              <w:textAlignment w:val="auto"/>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地址：灵宝市大王镇干店街</w:t>
            </w:r>
            <w:r>
              <w:rPr>
                <w:rFonts w:cs="宋体" w:asciiTheme="minorEastAsia" w:hAnsiTheme="minorEastAsia" w:eastAsiaTheme="minorEastAsia"/>
                <w:sz w:val="24"/>
                <w:szCs w:val="24"/>
              </w:rPr>
              <w:t xml:space="preserve"> </w:t>
            </w:r>
          </w:p>
          <w:p w14:paraId="14DFDF12">
            <w:pPr>
              <w:keepNext w:val="0"/>
              <w:keepLines w:val="0"/>
              <w:pageBreakBefore w:val="0"/>
              <w:kinsoku/>
              <w:overflowPunct/>
              <w:topLinePunct w:val="0"/>
              <w:autoSpaceDE/>
              <w:autoSpaceDN/>
              <w:bidi w:val="0"/>
              <w:spacing w:after="0" w:line="440" w:lineRule="exact"/>
              <w:textAlignment w:val="auto"/>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联系人：</w:t>
            </w:r>
            <w:r>
              <w:rPr>
                <w:rFonts w:hint="eastAsia" w:cs="宋体" w:asciiTheme="minorEastAsia" w:hAnsiTheme="minorEastAsia" w:eastAsiaTheme="minorEastAsia"/>
                <w:sz w:val="24"/>
                <w:szCs w:val="24"/>
                <w:lang w:val="en-US" w:eastAsia="zh-CN"/>
              </w:rPr>
              <w:t>亢</w:t>
            </w:r>
            <w:r>
              <w:rPr>
                <w:rFonts w:hint="eastAsia" w:cs="宋体" w:asciiTheme="minorEastAsia" w:hAnsiTheme="minorEastAsia" w:eastAsiaTheme="minorEastAsia"/>
                <w:sz w:val="24"/>
                <w:szCs w:val="24"/>
              </w:rPr>
              <w:t>女士</w:t>
            </w:r>
          </w:p>
          <w:p w14:paraId="5B73FDD3">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32"/>
                <w:szCs w:val="32"/>
              </w:rPr>
            </w:pPr>
            <w:r>
              <w:rPr>
                <w:rFonts w:hint="eastAsia" w:cs="宋体" w:asciiTheme="minorEastAsia" w:hAnsiTheme="minorEastAsia" w:eastAsiaTheme="minorEastAsia"/>
                <w:sz w:val="24"/>
                <w:szCs w:val="24"/>
              </w:rPr>
              <w:t>电话：</w:t>
            </w:r>
            <w:r>
              <w:rPr>
                <w:rFonts w:hint="eastAsia" w:cs="宋体" w:asciiTheme="minorEastAsia" w:hAnsiTheme="minorEastAsia" w:eastAsiaTheme="minorEastAsia"/>
                <w:sz w:val="24"/>
                <w:szCs w:val="24"/>
                <w:lang w:val="en-US" w:eastAsia="zh-CN"/>
              </w:rPr>
              <w:t>15939866783</w:t>
            </w:r>
          </w:p>
        </w:tc>
      </w:tr>
      <w:tr w14:paraId="1E0DEDCA">
        <w:tblPrEx>
          <w:tblCellMar>
            <w:top w:w="0" w:type="dxa"/>
            <w:left w:w="108" w:type="dxa"/>
            <w:bottom w:w="0" w:type="dxa"/>
            <w:right w:w="108" w:type="dxa"/>
          </w:tblCellMar>
        </w:tblPrEx>
        <w:trPr>
          <w:trHeight w:val="1437" w:hRule="atLeast"/>
        </w:trPr>
        <w:tc>
          <w:tcPr>
            <w:tcW w:w="697" w:type="dxa"/>
            <w:tcBorders>
              <w:top w:val="single" w:color="auto" w:sz="4" w:space="0"/>
              <w:left w:val="single" w:color="auto" w:sz="4" w:space="0"/>
              <w:bottom w:val="single" w:color="auto" w:sz="4" w:space="0"/>
              <w:right w:val="single" w:color="auto" w:sz="4" w:space="0"/>
            </w:tcBorders>
            <w:vAlign w:val="center"/>
          </w:tcPr>
          <w:p w14:paraId="3FD1F3B5">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w:t>
            </w:r>
          </w:p>
        </w:tc>
        <w:tc>
          <w:tcPr>
            <w:tcW w:w="1876" w:type="dxa"/>
            <w:tcBorders>
              <w:top w:val="single" w:color="auto" w:sz="4" w:space="0"/>
              <w:left w:val="nil"/>
              <w:bottom w:val="single" w:color="auto" w:sz="4" w:space="0"/>
              <w:right w:val="single" w:color="auto" w:sz="4" w:space="0"/>
            </w:tcBorders>
            <w:vAlign w:val="center"/>
          </w:tcPr>
          <w:p w14:paraId="4226C9B3">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采购代理机构</w:t>
            </w:r>
          </w:p>
        </w:tc>
        <w:tc>
          <w:tcPr>
            <w:tcW w:w="6520" w:type="dxa"/>
            <w:tcBorders>
              <w:top w:val="single" w:color="auto" w:sz="4" w:space="0"/>
              <w:left w:val="nil"/>
              <w:bottom w:val="single" w:color="auto" w:sz="4" w:space="0"/>
              <w:right w:val="single" w:color="auto" w:sz="4" w:space="0"/>
            </w:tcBorders>
            <w:vAlign w:val="center"/>
          </w:tcPr>
          <w:p w14:paraId="0A1D6CEA">
            <w:pPr>
              <w:keepNext w:val="0"/>
              <w:keepLines w:val="0"/>
              <w:pageBreakBefore w:val="0"/>
              <w:kinsoku/>
              <w:overflowPunct/>
              <w:topLinePunct w:val="0"/>
              <w:autoSpaceDE/>
              <w:autoSpaceDN/>
              <w:bidi w:val="0"/>
              <w:adjustRightInd/>
              <w:snapToGrid/>
              <w:spacing w:after="0" w:line="440" w:lineRule="exact"/>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代理机构：</w:t>
            </w:r>
            <w:r>
              <w:rPr>
                <w:rFonts w:hint="eastAsia" w:ascii="宋体" w:hAnsi="宋体" w:eastAsia="宋体" w:cs="宋体"/>
                <w:sz w:val="24"/>
                <w:szCs w:val="24"/>
                <w:lang w:eastAsia="zh-CN"/>
              </w:rPr>
              <w:t>兴建建设管理有限公司</w:t>
            </w:r>
          </w:p>
          <w:p w14:paraId="67B4E9F2">
            <w:pPr>
              <w:keepNext w:val="0"/>
              <w:keepLines w:val="0"/>
              <w:pageBreakBefore w:val="0"/>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地址：河南省郑州市郑东新区商务内环路10号金成东方国际1401室</w:t>
            </w:r>
            <w:r>
              <w:rPr>
                <w:rFonts w:ascii="宋体" w:hAnsi="宋体" w:eastAsia="宋体" w:cs="宋体"/>
                <w:sz w:val="24"/>
                <w:szCs w:val="24"/>
              </w:rPr>
              <w:t xml:space="preserve"> </w:t>
            </w:r>
          </w:p>
          <w:p w14:paraId="13B6AFC2">
            <w:pPr>
              <w:keepNext w:val="0"/>
              <w:keepLines w:val="0"/>
              <w:pageBreakBefore w:val="0"/>
              <w:kinsoku/>
              <w:overflowPunct/>
              <w:topLinePunct w:val="0"/>
              <w:autoSpaceDE/>
              <w:autoSpaceDN/>
              <w:bidi w:val="0"/>
              <w:adjustRightInd/>
              <w:snapToGrid/>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许</w:t>
            </w:r>
            <w:r>
              <w:rPr>
                <w:rFonts w:hint="eastAsia" w:ascii="宋体" w:hAnsi="宋体" w:eastAsia="宋体" w:cs="宋体"/>
                <w:sz w:val="24"/>
                <w:szCs w:val="24"/>
              </w:rPr>
              <w:t>女士</w:t>
            </w:r>
          </w:p>
          <w:p w14:paraId="75A4C9B9">
            <w:pPr>
              <w:keepNext w:val="0"/>
              <w:keepLines w:val="0"/>
              <w:pageBreakBefore w:val="0"/>
              <w:kinsoku/>
              <w:overflowPunct/>
              <w:topLinePunct w:val="0"/>
              <w:autoSpaceDE/>
              <w:autoSpaceDN/>
              <w:bidi w:val="0"/>
              <w:adjustRightInd/>
              <w:snapToGrid/>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lang w:val="en-US" w:eastAsia="zh-CN"/>
              </w:rPr>
              <w:t>13949796015</w:t>
            </w:r>
          </w:p>
        </w:tc>
      </w:tr>
      <w:tr w14:paraId="6CE6F9AC">
        <w:tblPrEx>
          <w:tblCellMar>
            <w:top w:w="0" w:type="dxa"/>
            <w:left w:w="108" w:type="dxa"/>
            <w:bottom w:w="0" w:type="dxa"/>
            <w:right w:w="108" w:type="dxa"/>
          </w:tblCellMar>
        </w:tblPrEx>
        <w:trPr>
          <w:trHeight w:val="568" w:hRule="atLeast"/>
        </w:trPr>
        <w:tc>
          <w:tcPr>
            <w:tcW w:w="697" w:type="dxa"/>
            <w:tcBorders>
              <w:top w:val="single" w:color="auto" w:sz="4" w:space="0"/>
              <w:left w:val="single" w:color="auto" w:sz="4" w:space="0"/>
              <w:bottom w:val="single" w:color="auto" w:sz="4" w:space="0"/>
              <w:right w:val="single" w:color="auto" w:sz="4" w:space="0"/>
            </w:tcBorders>
            <w:vAlign w:val="center"/>
          </w:tcPr>
          <w:p w14:paraId="13607690">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w:t>
            </w:r>
          </w:p>
        </w:tc>
        <w:tc>
          <w:tcPr>
            <w:tcW w:w="1876" w:type="dxa"/>
            <w:tcBorders>
              <w:top w:val="single" w:color="auto" w:sz="4" w:space="0"/>
              <w:left w:val="nil"/>
              <w:bottom w:val="single" w:color="auto" w:sz="4" w:space="0"/>
              <w:right w:val="single" w:color="auto" w:sz="4" w:space="0"/>
            </w:tcBorders>
            <w:vAlign w:val="center"/>
          </w:tcPr>
          <w:p w14:paraId="4656A6D0">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rPr>
            </w:pPr>
            <w:r>
              <w:rPr>
                <w:rFonts w:hint="eastAsia" w:ascii="宋体" w:hAnsi="宋体" w:eastAsia="宋体" w:cs="宋体"/>
                <w:sz w:val="24"/>
                <w:szCs w:val="24"/>
              </w:rPr>
              <w:t>项目名称</w:t>
            </w:r>
          </w:p>
        </w:tc>
        <w:tc>
          <w:tcPr>
            <w:tcW w:w="6520" w:type="dxa"/>
            <w:tcBorders>
              <w:top w:val="single" w:color="auto" w:sz="4" w:space="0"/>
              <w:left w:val="nil"/>
              <w:bottom w:val="single" w:color="auto" w:sz="4" w:space="0"/>
              <w:right w:val="single" w:color="auto" w:sz="4" w:space="0"/>
            </w:tcBorders>
            <w:vAlign w:val="center"/>
          </w:tcPr>
          <w:p w14:paraId="575F3177">
            <w:pPr>
              <w:keepNext w:val="0"/>
              <w:keepLines w:val="0"/>
              <w:pageBreakBefore w:val="0"/>
              <w:kinsoku/>
              <w:overflowPunct/>
              <w:topLinePunct w:val="0"/>
              <w:autoSpaceDE/>
              <w:autoSpaceDN/>
              <w:bidi w:val="0"/>
              <w:spacing w:after="0" w:line="440" w:lineRule="exac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王和村生产道路硬化项目</w:t>
            </w:r>
          </w:p>
        </w:tc>
      </w:tr>
      <w:tr w14:paraId="4EF8FE2E">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00D399D3">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4</w:t>
            </w:r>
          </w:p>
        </w:tc>
        <w:tc>
          <w:tcPr>
            <w:tcW w:w="1876" w:type="dxa"/>
            <w:tcBorders>
              <w:top w:val="single" w:color="auto" w:sz="4" w:space="0"/>
              <w:left w:val="nil"/>
              <w:bottom w:val="single" w:color="auto" w:sz="4" w:space="0"/>
              <w:right w:val="single" w:color="auto" w:sz="4" w:space="0"/>
            </w:tcBorders>
            <w:vAlign w:val="center"/>
          </w:tcPr>
          <w:p w14:paraId="6F11247F">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rPr>
            </w:pPr>
            <w:r>
              <w:rPr>
                <w:rFonts w:hint="eastAsia" w:ascii="宋体" w:hAnsi="宋体" w:eastAsia="宋体" w:cs="宋体"/>
                <w:sz w:val="24"/>
                <w:szCs w:val="24"/>
              </w:rPr>
              <w:t>项目地点</w:t>
            </w:r>
          </w:p>
        </w:tc>
        <w:tc>
          <w:tcPr>
            <w:tcW w:w="6520" w:type="dxa"/>
            <w:tcBorders>
              <w:top w:val="single" w:color="auto" w:sz="4" w:space="0"/>
              <w:left w:val="nil"/>
              <w:bottom w:val="single" w:color="auto" w:sz="4" w:space="0"/>
              <w:right w:val="single" w:color="auto" w:sz="4" w:space="0"/>
            </w:tcBorders>
            <w:vAlign w:val="center"/>
          </w:tcPr>
          <w:p w14:paraId="2B776910">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ascii="宋体" w:hAnsi="宋体" w:eastAsia="宋体" w:cs="宋体"/>
                <w:sz w:val="24"/>
                <w:szCs w:val="24"/>
              </w:rPr>
              <w:t>大王镇</w:t>
            </w:r>
            <w:r>
              <w:rPr>
                <w:rFonts w:hint="eastAsia" w:ascii="宋体" w:hAnsi="宋体" w:eastAsia="宋体" w:cs="宋体"/>
                <w:sz w:val="24"/>
                <w:szCs w:val="24"/>
                <w:lang w:eastAsia="zh-CN"/>
              </w:rPr>
              <w:t>王和村</w:t>
            </w:r>
          </w:p>
        </w:tc>
      </w:tr>
      <w:tr w14:paraId="5CCC4DB2">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4993858F">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5</w:t>
            </w:r>
          </w:p>
        </w:tc>
        <w:tc>
          <w:tcPr>
            <w:tcW w:w="1876" w:type="dxa"/>
            <w:tcBorders>
              <w:top w:val="single" w:color="auto" w:sz="4" w:space="0"/>
              <w:left w:val="nil"/>
              <w:bottom w:val="single" w:color="auto" w:sz="4" w:space="0"/>
              <w:right w:val="single" w:color="auto" w:sz="4" w:space="0"/>
            </w:tcBorders>
            <w:vAlign w:val="center"/>
          </w:tcPr>
          <w:p w14:paraId="1F5BA1B3">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highlight w:val="yellow"/>
              </w:rPr>
            </w:pPr>
            <w:r>
              <w:rPr>
                <w:rFonts w:hint="eastAsia" w:ascii="宋体" w:hAnsi="宋体" w:eastAsia="宋体" w:cs="宋体"/>
                <w:sz w:val="24"/>
                <w:szCs w:val="24"/>
              </w:rPr>
              <w:t>项目概况</w:t>
            </w:r>
          </w:p>
        </w:tc>
        <w:tc>
          <w:tcPr>
            <w:tcW w:w="6520" w:type="dxa"/>
            <w:tcBorders>
              <w:top w:val="single" w:color="auto" w:sz="4" w:space="0"/>
              <w:left w:val="nil"/>
              <w:bottom w:val="single" w:color="auto" w:sz="4" w:space="0"/>
              <w:right w:val="single" w:color="auto" w:sz="4" w:space="0"/>
            </w:tcBorders>
            <w:vAlign w:val="center"/>
          </w:tcPr>
          <w:p w14:paraId="0A04809B">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lang w:eastAsia="zh-CN"/>
              </w:rPr>
              <w:t>王和村生产道路硬化项目</w:t>
            </w:r>
            <w:r>
              <w:rPr>
                <w:rFonts w:hint="eastAsia" w:ascii="宋体" w:hAnsi="宋体" w:eastAsia="宋体" w:cs="宋体"/>
                <w:sz w:val="24"/>
                <w:szCs w:val="24"/>
              </w:rPr>
              <w:t>，</w:t>
            </w:r>
            <w:r>
              <w:rPr>
                <w:rFonts w:hint="eastAsia" w:ascii="宋体" w:hAnsi="宋体" w:eastAsia="宋体" w:cs="宋体"/>
                <w:sz w:val="24"/>
                <w:szCs w:val="24"/>
                <w:lang w:val="en-US" w:eastAsia="zh-CN"/>
              </w:rPr>
              <w:t>主要建设内容：路基清表、水泥稳定土基层、混凝土面层、切缝、减速带等</w:t>
            </w:r>
            <w:r>
              <w:rPr>
                <w:rFonts w:hint="eastAsia" w:ascii="宋体" w:hAnsi="宋体" w:eastAsia="宋体" w:cs="宋体"/>
                <w:sz w:val="24"/>
                <w:szCs w:val="24"/>
              </w:rPr>
              <w:t>；</w:t>
            </w:r>
            <w:r>
              <w:rPr>
                <w:rFonts w:hint="eastAsia" w:ascii="宋体" w:hAnsi="宋体" w:eastAsia="宋体" w:cs="宋体"/>
                <w:sz w:val="24"/>
                <w:szCs w:val="24"/>
                <w:lang w:val="en-US" w:eastAsia="zh-CN"/>
              </w:rPr>
              <w:t>具体详见工程量清单；</w:t>
            </w:r>
          </w:p>
        </w:tc>
      </w:tr>
      <w:tr w14:paraId="0313F58D">
        <w:tblPrEx>
          <w:tblCellMar>
            <w:top w:w="0" w:type="dxa"/>
            <w:left w:w="108" w:type="dxa"/>
            <w:bottom w:w="0" w:type="dxa"/>
            <w:right w:w="108" w:type="dxa"/>
          </w:tblCellMar>
        </w:tblPrEx>
        <w:trPr>
          <w:trHeight w:val="409" w:hRule="atLeast"/>
        </w:trPr>
        <w:tc>
          <w:tcPr>
            <w:tcW w:w="697" w:type="dxa"/>
            <w:tcBorders>
              <w:top w:val="single" w:color="auto" w:sz="4" w:space="0"/>
              <w:left w:val="single" w:color="auto" w:sz="4" w:space="0"/>
              <w:bottom w:val="single" w:color="auto" w:sz="4" w:space="0"/>
              <w:right w:val="single" w:color="auto" w:sz="4" w:space="0"/>
            </w:tcBorders>
            <w:vAlign w:val="center"/>
          </w:tcPr>
          <w:p w14:paraId="10B5BDDF">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6</w:t>
            </w:r>
          </w:p>
        </w:tc>
        <w:tc>
          <w:tcPr>
            <w:tcW w:w="1876" w:type="dxa"/>
            <w:tcBorders>
              <w:top w:val="single" w:color="auto" w:sz="4" w:space="0"/>
              <w:left w:val="nil"/>
              <w:bottom w:val="single" w:color="auto" w:sz="4" w:space="0"/>
              <w:right w:val="single" w:color="auto" w:sz="4" w:space="0"/>
            </w:tcBorders>
            <w:vAlign w:val="center"/>
          </w:tcPr>
          <w:p w14:paraId="6043741E">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rPr>
            </w:pPr>
            <w:r>
              <w:rPr>
                <w:rFonts w:hint="eastAsia" w:ascii="宋体" w:hAnsi="宋体" w:eastAsia="宋体" w:cs="宋体"/>
                <w:sz w:val="24"/>
                <w:szCs w:val="24"/>
              </w:rPr>
              <w:t>预算金额</w:t>
            </w:r>
          </w:p>
        </w:tc>
        <w:tc>
          <w:tcPr>
            <w:tcW w:w="6520" w:type="dxa"/>
            <w:tcBorders>
              <w:top w:val="single" w:color="auto" w:sz="4" w:space="0"/>
              <w:left w:val="nil"/>
              <w:bottom w:val="single" w:color="auto" w:sz="4" w:space="0"/>
              <w:right w:val="single" w:color="auto" w:sz="4" w:space="0"/>
            </w:tcBorders>
            <w:vAlign w:val="center"/>
          </w:tcPr>
          <w:p w14:paraId="231117FA">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eastAsia="zh-CN"/>
              </w:rPr>
              <w:t>760227.70</w:t>
            </w:r>
            <w:r>
              <w:rPr>
                <w:rFonts w:hint="eastAsia" w:ascii="宋体" w:hAnsi="宋体" w:eastAsia="宋体" w:cs="宋体"/>
                <w:sz w:val="24"/>
                <w:szCs w:val="24"/>
              </w:rPr>
              <w:t>元</w:t>
            </w:r>
          </w:p>
        </w:tc>
      </w:tr>
      <w:tr w14:paraId="45310CD7">
        <w:tblPrEx>
          <w:tblCellMar>
            <w:top w:w="0" w:type="dxa"/>
            <w:left w:w="108" w:type="dxa"/>
            <w:bottom w:w="0" w:type="dxa"/>
            <w:right w:w="108" w:type="dxa"/>
          </w:tblCellMar>
        </w:tblPrEx>
        <w:trPr>
          <w:trHeight w:val="489" w:hRule="atLeast"/>
        </w:trPr>
        <w:tc>
          <w:tcPr>
            <w:tcW w:w="697" w:type="dxa"/>
            <w:tcBorders>
              <w:top w:val="single" w:color="auto" w:sz="4" w:space="0"/>
              <w:left w:val="single" w:color="auto" w:sz="4" w:space="0"/>
              <w:bottom w:val="single" w:color="auto" w:sz="4" w:space="0"/>
              <w:right w:val="single" w:color="auto" w:sz="4" w:space="0"/>
            </w:tcBorders>
            <w:vAlign w:val="center"/>
          </w:tcPr>
          <w:p w14:paraId="724295E5">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7</w:t>
            </w:r>
          </w:p>
        </w:tc>
        <w:tc>
          <w:tcPr>
            <w:tcW w:w="1876" w:type="dxa"/>
            <w:tcBorders>
              <w:top w:val="single" w:color="auto" w:sz="4" w:space="0"/>
              <w:left w:val="nil"/>
              <w:bottom w:val="single" w:color="auto" w:sz="4" w:space="0"/>
              <w:right w:val="single" w:color="auto" w:sz="4" w:space="0"/>
            </w:tcBorders>
            <w:vAlign w:val="center"/>
          </w:tcPr>
          <w:p w14:paraId="0A2DCA77">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rPr>
            </w:pPr>
            <w:r>
              <w:rPr>
                <w:rFonts w:hint="eastAsia" w:ascii="宋体" w:hAnsi="宋体" w:eastAsia="宋体" w:cs="宋体"/>
                <w:sz w:val="24"/>
                <w:szCs w:val="24"/>
              </w:rPr>
              <w:t>资金来源</w:t>
            </w:r>
          </w:p>
        </w:tc>
        <w:tc>
          <w:tcPr>
            <w:tcW w:w="6520" w:type="dxa"/>
            <w:tcBorders>
              <w:top w:val="single" w:color="auto" w:sz="4" w:space="0"/>
              <w:left w:val="nil"/>
              <w:bottom w:val="single" w:color="auto" w:sz="4" w:space="0"/>
              <w:right w:val="single" w:color="auto" w:sz="4" w:space="0"/>
            </w:tcBorders>
            <w:vAlign w:val="center"/>
          </w:tcPr>
          <w:p w14:paraId="4F7583E2">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财政资金，已落实</w:t>
            </w:r>
          </w:p>
        </w:tc>
      </w:tr>
      <w:tr w14:paraId="4F148B34">
        <w:tblPrEx>
          <w:tblCellMar>
            <w:top w:w="0" w:type="dxa"/>
            <w:left w:w="108" w:type="dxa"/>
            <w:bottom w:w="0" w:type="dxa"/>
            <w:right w:w="108" w:type="dxa"/>
          </w:tblCellMar>
        </w:tblPrEx>
        <w:trPr>
          <w:trHeight w:val="383" w:hRule="atLeast"/>
        </w:trPr>
        <w:tc>
          <w:tcPr>
            <w:tcW w:w="697" w:type="dxa"/>
            <w:tcBorders>
              <w:top w:val="single" w:color="auto" w:sz="4" w:space="0"/>
              <w:left w:val="single" w:color="auto" w:sz="4" w:space="0"/>
              <w:bottom w:val="single" w:color="auto" w:sz="4" w:space="0"/>
              <w:right w:val="single" w:color="auto" w:sz="4" w:space="0"/>
            </w:tcBorders>
            <w:vAlign w:val="center"/>
          </w:tcPr>
          <w:p w14:paraId="5F226FD8">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8</w:t>
            </w:r>
          </w:p>
        </w:tc>
        <w:tc>
          <w:tcPr>
            <w:tcW w:w="1876" w:type="dxa"/>
            <w:tcBorders>
              <w:top w:val="single" w:color="auto" w:sz="4" w:space="0"/>
              <w:left w:val="nil"/>
              <w:bottom w:val="single" w:color="auto" w:sz="4" w:space="0"/>
              <w:right w:val="single" w:color="auto" w:sz="4" w:space="0"/>
            </w:tcBorders>
            <w:vAlign w:val="center"/>
          </w:tcPr>
          <w:p w14:paraId="02D70B96">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磋商范围</w:t>
            </w:r>
          </w:p>
        </w:tc>
        <w:tc>
          <w:tcPr>
            <w:tcW w:w="6520" w:type="dxa"/>
            <w:tcBorders>
              <w:top w:val="single" w:color="auto" w:sz="4" w:space="0"/>
              <w:left w:val="nil"/>
              <w:bottom w:val="single" w:color="auto" w:sz="4" w:space="0"/>
              <w:right w:val="single" w:color="auto" w:sz="4" w:space="0"/>
            </w:tcBorders>
            <w:vAlign w:val="center"/>
          </w:tcPr>
          <w:p w14:paraId="31FED41D">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竞争性磋商文件、图纸和工程量清单所包含的全部内容</w:t>
            </w:r>
          </w:p>
        </w:tc>
      </w:tr>
      <w:tr w14:paraId="708CF049">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0B098A5C">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9</w:t>
            </w:r>
          </w:p>
        </w:tc>
        <w:tc>
          <w:tcPr>
            <w:tcW w:w="1876" w:type="dxa"/>
            <w:tcBorders>
              <w:top w:val="single" w:color="auto" w:sz="4" w:space="0"/>
              <w:left w:val="nil"/>
              <w:bottom w:val="single" w:color="auto" w:sz="4" w:space="0"/>
              <w:right w:val="single" w:color="auto" w:sz="4" w:space="0"/>
            </w:tcBorders>
            <w:vAlign w:val="center"/>
          </w:tcPr>
          <w:p w14:paraId="75C6F390">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计划工期</w:t>
            </w:r>
          </w:p>
        </w:tc>
        <w:tc>
          <w:tcPr>
            <w:tcW w:w="6520" w:type="dxa"/>
            <w:tcBorders>
              <w:top w:val="single" w:color="auto" w:sz="4" w:space="0"/>
              <w:left w:val="nil"/>
              <w:bottom w:val="single" w:color="auto" w:sz="4" w:space="0"/>
              <w:right w:val="single" w:color="auto" w:sz="4" w:space="0"/>
            </w:tcBorders>
          </w:tcPr>
          <w:p w14:paraId="64369E32">
            <w:pPr>
              <w:pStyle w:val="105"/>
              <w:keepNext w:val="0"/>
              <w:keepLines w:val="0"/>
              <w:pageBreakBefore w:val="0"/>
              <w:shd w:val="clear" w:color="auto" w:fill="auto"/>
              <w:kinsoku/>
              <w:overflowPunct/>
              <w:topLinePunct w:val="0"/>
              <w:autoSpaceDE/>
              <w:autoSpaceDN/>
              <w:bidi w:val="0"/>
              <w:adjustRightInd/>
              <w:snapToGrid/>
              <w:spacing w:after="0" w:line="440" w:lineRule="exact"/>
              <w:ind w:firstLine="0"/>
              <w:textAlignment w:val="auto"/>
              <w:outlineLvl w:val="9"/>
              <w:rPr>
                <w:rFonts w:hint="eastAsia" w:ascii="宋体" w:hAnsi="宋体" w:eastAsia="宋体" w:cs="宋体"/>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45日历天</w:t>
            </w:r>
          </w:p>
        </w:tc>
      </w:tr>
      <w:tr w14:paraId="2DD32A78">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vAlign w:val="center"/>
          </w:tcPr>
          <w:p w14:paraId="0C4FCBC4">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10</w:t>
            </w:r>
          </w:p>
        </w:tc>
        <w:tc>
          <w:tcPr>
            <w:tcW w:w="1876" w:type="dxa"/>
            <w:tcBorders>
              <w:top w:val="single" w:color="auto" w:sz="4" w:space="0"/>
              <w:left w:val="nil"/>
              <w:bottom w:val="single" w:color="auto" w:sz="4" w:space="0"/>
              <w:right w:val="single" w:color="auto" w:sz="4" w:space="0"/>
            </w:tcBorders>
            <w:vAlign w:val="center"/>
          </w:tcPr>
          <w:p w14:paraId="37300819">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质量要求</w:t>
            </w:r>
          </w:p>
        </w:tc>
        <w:tc>
          <w:tcPr>
            <w:tcW w:w="6520" w:type="dxa"/>
            <w:tcBorders>
              <w:top w:val="single" w:color="auto" w:sz="4" w:space="0"/>
              <w:left w:val="nil"/>
              <w:bottom w:val="single" w:color="auto" w:sz="4" w:space="0"/>
              <w:right w:val="single" w:color="auto" w:sz="4" w:space="0"/>
            </w:tcBorders>
          </w:tcPr>
          <w:p w14:paraId="49384212">
            <w:pPr>
              <w:pStyle w:val="105"/>
              <w:keepNext w:val="0"/>
              <w:keepLines w:val="0"/>
              <w:pageBreakBefore w:val="0"/>
              <w:shd w:val="clear" w:color="auto" w:fill="auto"/>
              <w:kinsoku/>
              <w:overflowPunct/>
              <w:topLinePunct w:val="0"/>
              <w:autoSpaceDE/>
              <w:autoSpaceDN/>
              <w:bidi w:val="0"/>
              <w:adjustRightInd/>
              <w:snapToGrid/>
              <w:spacing w:after="0" w:line="440" w:lineRule="exact"/>
              <w:ind w:firstLine="0"/>
              <w:textAlignment w:val="auto"/>
              <w:outlineLvl w:val="9"/>
              <w:rPr>
                <w:rFonts w:ascii="宋体" w:hAnsi="宋体" w:eastAsia="宋体" w:cs="宋体"/>
                <w:sz w:val="24"/>
                <w:szCs w:val="24"/>
                <w:shd w:val="clear" w:color="auto" w:fill="FFFFFF"/>
              </w:rPr>
            </w:pPr>
            <w:r>
              <w:rPr>
                <w:rFonts w:hint="eastAsia" w:ascii="宋体" w:hAnsi="宋体" w:eastAsia="宋体" w:cs="宋体"/>
                <w:sz w:val="24"/>
                <w:szCs w:val="24"/>
              </w:rPr>
              <w:t>达到国家现行建设工程施工验收规范及合格标准</w:t>
            </w:r>
          </w:p>
        </w:tc>
      </w:tr>
      <w:tr w14:paraId="3A816586">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46A27AB1">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11</w:t>
            </w:r>
          </w:p>
        </w:tc>
        <w:tc>
          <w:tcPr>
            <w:tcW w:w="1876" w:type="dxa"/>
            <w:tcBorders>
              <w:top w:val="single" w:color="auto" w:sz="4" w:space="0"/>
              <w:left w:val="nil"/>
              <w:bottom w:val="single" w:color="auto" w:sz="4" w:space="0"/>
              <w:right w:val="single" w:color="auto" w:sz="4" w:space="0"/>
            </w:tcBorders>
            <w:vAlign w:val="center"/>
          </w:tcPr>
          <w:p w14:paraId="6E78673C">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rPr>
            </w:pPr>
            <w:r>
              <w:rPr>
                <w:rFonts w:hint="eastAsia" w:ascii="宋体" w:hAnsi="宋体" w:eastAsia="宋体" w:cs="宋体"/>
                <w:sz w:val="24"/>
                <w:szCs w:val="24"/>
              </w:rPr>
              <w:t>标段划分</w:t>
            </w:r>
          </w:p>
        </w:tc>
        <w:tc>
          <w:tcPr>
            <w:tcW w:w="6520" w:type="dxa"/>
            <w:tcBorders>
              <w:top w:val="single" w:color="auto" w:sz="4" w:space="0"/>
              <w:left w:val="nil"/>
              <w:bottom w:val="single" w:color="auto" w:sz="4" w:space="0"/>
              <w:right w:val="single" w:color="auto" w:sz="4" w:space="0"/>
            </w:tcBorders>
            <w:vAlign w:val="center"/>
          </w:tcPr>
          <w:p w14:paraId="029F0224">
            <w:pPr>
              <w:keepNext w:val="0"/>
              <w:keepLines w:val="0"/>
              <w:pageBreakBefore w:val="0"/>
              <w:shd w:val="clear" w:color="auto" w:fill="FFFFFF"/>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本项目不分标段</w:t>
            </w:r>
          </w:p>
        </w:tc>
      </w:tr>
      <w:tr w14:paraId="1655CA00">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8363546">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12</w:t>
            </w:r>
          </w:p>
        </w:tc>
        <w:tc>
          <w:tcPr>
            <w:tcW w:w="1876" w:type="dxa"/>
            <w:tcBorders>
              <w:top w:val="single" w:color="auto" w:sz="4" w:space="0"/>
              <w:left w:val="nil"/>
              <w:bottom w:val="single" w:color="auto" w:sz="4" w:space="0"/>
              <w:right w:val="single" w:color="auto" w:sz="4" w:space="0"/>
            </w:tcBorders>
            <w:vAlign w:val="center"/>
          </w:tcPr>
          <w:p w14:paraId="0C554BBF">
            <w:pPr>
              <w:keepNext w:val="0"/>
              <w:keepLines w:val="0"/>
              <w:pageBreakBefore w:val="0"/>
              <w:kinsoku/>
              <w:overflowPunct/>
              <w:topLinePunct w:val="0"/>
              <w:autoSpaceDE/>
              <w:autoSpaceDN/>
              <w:bidi w:val="0"/>
              <w:spacing w:after="0" w:line="440" w:lineRule="exact"/>
              <w:ind w:firstLine="360" w:firstLineChars="150"/>
              <w:textAlignment w:val="auto"/>
              <w:outlineLvl w:val="9"/>
              <w:rPr>
                <w:rFonts w:ascii="宋体" w:hAnsi="宋体" w:eastAsia="宋体" w:cs="宋体"/>
                <w:sz w:val="24"/>
                <w:szCs w:val="24"/>
              </w:rPr>
            </w:pPr>
            <w:r>
              <w:rPr>
                <w:rFonts w:hint="eastAsia" w:ascii="宋体" w:hAnsi="宋体" w:eastAsia="宋体" w:cs="宋体"/>
                <w:sz w:val="24"/>
                <w:szCs w:val="24"/>
              </w:rPr>
              <w:t>资格要求</w:t>
            </w:r>
          </w:p>
        </w:tc>
        <w:tc>
          <w:tcPr>
            <w:tcW w:w="6520" w:type="dxa"/>
            <w:tcBorders>
              <w:top w:val="single" w:color="auto" w:sz="4" w:space="0"/>
              <w:left w:val="nil"/>
              <w:bottom w:val="single" w:color="auto" w:sz="4" w:space="0"/>
              <w:right w:val="single" w:color="auto" w:sz="4" w:space="0"/>
            </w:tcBorders>
            <w:vAlign w:val="center"/>
          </w:tcPr>
          <w:p w14:paraId="537C7FE7">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1、供应商符合《中华人民共和国政府采购法》第二十二条规定条件；</w:t>
            </w:r>
          </w:p>
          <w:p w14:paraId="766CB7FE">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2、落实政府采购政策满足的资格要求：本项目专门面向中小企业采购，供应商必须是中小型企业(含微型企业，监狱企业及残疾人福利性单位视同小型、微型企业)，须提供《中小企业声明函》(中小企业划型标准见《关于印发中小企业划型标准规定的通知(工信部联企业[2011]300号)》);</w:t>
            </w:r>
          </w:p>
          <w:p w14:paraId="3C5D0C75">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3、本项目的特定资格条件：</w:t>
            </w:r>
          </w:p>
          <w:p w14:paraId="314085BC">
            <w:pPr>
              <w:keepNext w:val="0"/>
              <w:keepLines w:val="0"/>
              <w:pageBreakBefore w:val="0"/>
              <w:widowControl w:val="0"/>
              <w:kinsoku/>
              <w:wordWrap w:val="0"/>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3.1、供应商具有独立承担民事责任的能力（提供有效的企业营业执照或其他证明材料）；</w:t>
            </w:r>
          </w:p>
          <w:p w14:paraId="1B731A38">
            <w:pPr>
              <w:keepNext w:val="0"/>
              <w:keepLines w:val="0"/>
              <w:pageBreakBefore w:val="0"/>
              <w:widowControl w:val="0"/>
              <w:kinsoku/>
              <w:wordWrap w:val="0"/>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3.2、供应商须具有市政公用工程施工总承包叁级（含叁级）以上资质，具有有效的安全生产许可证，并在人员、设备、资金等方面具有相应的施工能力；</w:t>
            </w:r>
          </w:p>
          <w:p w14:paraId="3AAD55B5">
            <w:pPr>
              <w:keepNext w:val="0"/>
              <w:keepLines w:val="0"/>
              <w:pageBreakBefore w:val="0"/>
              <w:widowControl w:val="0"/>
              <w:kinsoku/>
              <w:wordWrap w:val="0"/>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3.3、拟派项目经理应具备市政公用工程专业贰级（含贰级）以上注册建造师资格，须提供注册建造师证书、安全生产考核合格证书，提供在本单位缴费的社保证明，并出具无在建新建工程承诺书（自行承诺）；</w:t>
            </w:r>
          </w:p>
          <w:p w14:paraId="29DC85C3">
            <w:pPr>
              <w:keepNext w:val="0"/>
              <w:keepLines w:val="0"/>
              <w:pageBreakBefore w:val="0"/>
              <w:widowControl w:val="0"/>
              <w:kinsoku/>
              <w:wordWrap w:val="0"/>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3.4、供应商需提供本企业的无商业贿赂及不正当竞争行为的承诺书；</w:t>
            </w:r>
          </w:p>
          <w:p w14:paraId="66A60C22">
            <w:pPr>
              <w:keepNext w:val="0"/>
              <w:keepLines w:val="0"/>
              <w:pageBreakBefore w:val="0"/>
              <w:widowControl w:val="0"/>
              <w:kinsoku/>
              <w:wordWrap w:val="0"/>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3.5、参加政府采购活动前3年内无行贿犯罪记录，（开标时提供《中国裁判文书网》查询结果网页截图或企业自行承诺的无行贿犯罪承诺书，查询&lt;承诺&gt;对象为“企业，法定代表人，项目经理”）；</w:t>
            </w:r>
          </w:p>
          <w:p w14:paraId="33A05386">
            <w:pPr>
              <w:keepNext w:val="0"/>
              <w:keepLines w:val="0"/>
              <w:pageBreakBefore w:val="0"/>
              <w:widowControl w:val="0"/>
              <w:kinsoku/>
              <w:wordWrap w:val="0"/>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3.6、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截图要显示查询时间，查询时间自本公告发布之日起；</w:t>
            </w:r>
          </w:p>
          <w:p w14:paraId="3A7E01C5">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3.7、信誉要求：</w:t>
            </w:r>
            <w:r>
              <w:rPr>
                <w:rFonts w:ascii="宋体" w:hAnsi="宋体" w:eastAsia="宋体" w:cs="宋体"/>
                <w:sz w:val="24"/>
                <w:szCs w:val="24"/>
              </w:rPr>
              <w:t xml:space="preserve"> </w:t>
            </w:r>
          </w:p>
          <w:p w14:paraId="5B47B669">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3.7</w:t>
            </w:r>
            <w:r>
              <w:rPr>
                <w:rFonts w:ascii="宋体" w:hAnsi="宋体" w:eastAsia="宋体" w:cs="宋体"/>
                <w:sz w:val="24"/>
                <w:szCs w:val="24"/>
              </w:rPr>
              <w:t>.1、被列入全国或省级建筑市场监管公共服务平台</w:t>
            </w:r>
            <w:r>
              <w:rPr>
                <w:rFonts w:hint="eastAsia" w:ascii="宋体" w:hAnsi="宋体" w:eastAsia="宋体" w:cs="宋体"/>
                <w:sz w:val="24"/>
                <w:szCs w:val="24"/>
              </w:rPr>
              <w:t>“</w:t>
            </w:r>
            <w:r>
              <w:rPr>
                <w:rFonts w:ascii="宋体" w:hAnsi="宋体" w:eastAsia="宋体" w:cs="宋体"/>
                <w:sz w:val="24"/>
                <w:szCs w:val="24"/>
              </w:rPr>
              <w:t>黑名单</w:t>
            </w:r>
            <w:r>
              <w:rPr>
                <w:rFonts w:hint="eastAsia" w:ascii="宋体" w:hAnsi="宋体" w:eastAsia="宋体" w:cs="宋体"/>
                <w:sz w:val="24"/>
                <w:szCs w:val="24"/>
              </w:rPr>
              <w:t>”</w:t>
            </w:r>
            <w:r>
              <w:rPr>
                <w:rFonts w:ascii="宋体" w:hAnsi="宋体" w:eastAsia="宋体" w:cs="宋体"/>
                <w:sz w:val="24"/>
                <w:szCs w:val="24"/>
              </w:rPr>
              <w:t>且在管理期限内的（投标人、拟派项目经理）；</w:t>
            </w:r>
          </w:p>
          <w:p w14:paraId="6757155D">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3.7</w:t>
            </w:r>
            <w:r>
              <w:rPr>
                <w:rFonts w:ascii="宋体" w:hAnsi="宋体" w:eastAsia="宋体" w:cs="宋体"/>
                <w:sz w:val="24"/>
                <w:szCs w:val="24"/>
              </w:rPr>
              <w:t>.2、被列入国家企业信用信息公示系统</w:t>
            </w:r>
            <w:r>
              <w:rPr>
                <w:rFonts w:hint="eastAsia" w:ascii="宋体" w:hAnsi="宋体" w:eastAsia="宋体" w:cs="宋体"/>
                <w:sz w:val="24"/>
                <w:szCs w:val="24"/>
              </w:rPr>
              <w:t>“</w:t>
            </w:r>
            <w:r>
              <w:rPr>
                <w:rFonts w:ascii="宋体" w:hAnsi="宋体" w:eastAsia="宋体" w:cs="宋体"/>
                <w:sz w:val="24"/>
                <w:szCs w:val="24"/>
              </w:rPr>
              <w:t>严重违法失信名单</w:t>
            </w:r>
            <w:r>
              <w:rPr>
                <w:rFonts w:hint="eastAsia" w:ascii="宋体" w:hAnsi="宋体" w:eastAsia="宋体" w:cs="宋体"/>
                <w:sz w:val="24"/>
                <w:szCs w:val="24"/>
              </w:rPr>
              <w:t>”</w:t>
            </w:r>
            <w:r>
              <w:rPr>
                <w:rFonts w:ascii="宋体" w:hAnsi="宋体" w:eastAsia="宋体" w:cs="宋体"/>
                <w:sz w:val="24"/>
                <w:szCs w:val="24"/>
              </w:rPr>
              <w:t>且在管理期限内的；（投标人）</w:t>
            </w:r>
          </w:p>
          <w:p w14:paraId="22B06510">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3.7</w:t>
            </w:r>
            <w:r>
              <w:rPr>
                <w:rFonts w:ascii="宋体" w:hAnsi="宋体" w:eastAsia="宋体" w:cs="宋体"/>
                <w:sz w:val="24"/>
                <w:szCs w:val="24"/>
              </w:rPr>
              <w:t>.</w:t>
            </w:r>
            <w:r>
              <w:rPr>
                <w:rFonts w:hint="eastAsia" w:ascii="宋体" w:hAnsi="宋体" w:eastAsia="宋体" w:cs="宋体"/>
                <w:sz w:val="24"/>
                <w:szCs w:val="24"/>
              </w:rPr>
              <w:t>3</w:t>
            </w:r>
            <w:r>
              <w:rPr>
                <w:rFonts w:ascii="宋体" w:hAnsi="宋体" w:eastAsia="宋体" w:cs="宋体"/>
                <w:sz w:val="24"/>
                <w:szCs w:val="24"/>
              </w:rPr>
              <w:t>、投标所用建筑工程施工总承包资质在全国或省级建筑市场监管公共服务平台资质状况被标注资质异常状态的（投标人）；</w:t>
            </w:r>
          </w:p>
          <w:p w14:paraId="0CFEAAF3">
            <w:pPr>
              <w:keepNext w:val="0"/>
              <w:keepLines w:val="0"/>
              <w:pageBreakBefore w:val="0"/>
              <w:widowControl w:val="0"/>
              <w:kinsoku/>
              <w:overflowPunct/>
              <w:topLinePunct w:val="0"/>
              <w:autoSpaceDE/>
              <w:autoSpaceDN/>
              <w:bidi w:val="0"/>
              <w:adjustRightInd/>
              <w:snapToGrid/>
              <w:spacing w:after="0" w:line="440" w:lineRule="exact"/>
              <w:textAlignment w:val="auto"/>
              <w:outlineLvl w:val="9"/>
              <w:rPr>
                <w:rFonts w:ascii="宋体" w:hAnsi="宋体" w:eastAsia="宋体" w:cs="宋体"/>
                <w:sz w:val="24"/>
                <w:szCs w:val="24"/>
              </w:rPr>
            </w:pPr>
            <w:r>
              <w:rPr>
                <w:rFonts w:ascii="宋体" w:hAnsi="宋体" w:eastAsia="宋体" w:cs="宋体"/>
                <w:sz w:val="24"/>
                <w:szCs w:val="24"/>
              </w:rPr>
              <w:t>投标人需提供上述途径查询结果截图，并对其真实性负责。查询时间为招标公告发布之日后，投标截止时间前，查询结果需显示时间。若存在一个及以上记录的或截图不符合要求的，其投标资格应予以否决；</w:t>
            </w:r>
          </w:p>
          <w:p w14:paraId="7F3E204F">
            <w:pPr>
              <w:keepNext w:val="0"/>
              <w:keepLines w:val="0"/>
              <w:pageBreakBefore w:val="0"/>
              <w:widowControl w:val="0"/>
              <w:kinsoku/>
              <w:overflowPunct/>
              <w:topLinePunct w:val="0"/>
              <w:autoSpaceDE/>
              <w:autoSpaceDN/>
              <w:bidi w:val="0"/>
              <w:adjustRightInd/>
              <w:snapToGrid/>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3.8、单位负责人为同一人或者存在控股、管理关系的不同单位，不得参加同一标段投标（提供“国家企业信用信息公示系统”http://www.gsxt.gov.cn/index.html查询内容,须包含公司基本信息、股东信息及股权变更信息等全部内容）；</w:t>
            </w:r>
          </w:p>
          <w:p w14:paraId="467D4CAA">
            <w:pPr>
              <w:keepNext w:val="0"/>
              <w:keepLines w:val="0"/>
              <w:pageBreakBefore w:val="0"/>
              <w:widowControl w:val="0"/>
              <w:kinsoku/>
              <w:wordWrap w:val="0"/>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3.9、本项目实行资格后审；</w:t>
            </w:r>
          </w:p>
          <w:p w14:paraId="2D592341">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3.10、本项目不接受联合体投标。</w:t>
            </w:r>
          </w:p>
        </w:tc>
      </w:tr>
      <w:tr w14:paraId="6BC32BE3">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8CE7554">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13</w:t>
            </w:r>
          </w:p>
        </w:tc>
        <w:tc>
          <w:tcPr>
            <w:tcW w:w="1876" w:type="dxa"/>
            <w:tcBorders>
              <w:top w:val="single" w:color="auto" w:sz="4" w:space="0"/>
              <w:left w:val="nil"/>
              <w:bottom w:val="single" w:color="auto" w:sz="4" w:space="0"/>
              <w:right w:val="single" w:color="auto" w:sz="4" w:space="0"/>
            </w:tcBorders>
            <w:vAlign w:val="center"/>
          </w:tcPr>
          <w:p w14:paraId="24FEACB5">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踏勘现场</w:t>
            </w:r>
          </w:p>
        </w:tc>
        <w:tc>
          <w:tcPr>
            <w:tcW w:w="6520" w:type="dxa"/>
            <w:tcBorders>
              <w:top w:val="single" w:color="auto" w:sz="4" w:space="0"/>
              <w:left w:val="nil"/>
              <w:bottom w:val="single" w:color="auto" w:sz="4" w:space="0"/>
              <w:right w:val="single" w:color="auto" w:sz="4" w:space="0"/>
            </w:tcBorders>
            <w:vAlign w:val="center"/>
          </w:tcPr>
          <w:p w14:paraId="5D92235C">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■不组织，供应商自行踏勘</w:t>
            </w:r>
          </w:p>
        </w:tc>
      </w:tr>
      <w:tr w14:paraId="68A97C42">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419CA250">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14</w:t>
            </w:r>
          </w:p>
        </w:tc>
        <w:tc>
          <w:tcPr>
            <w:tcW w:w="1876" w:type="dxa"/>
            <w:tcBorders>
              <w:top w:val="single" w:color="auto" w:sz="4" w:space="0"/>
              <w:left w:val="nil"/>
              <w:bottom w:val="single" w:color="auto" w:sz="4" w:space="0"/>
              <w:right w:val="single" w:color="auto" w:sz="4" w:space="0"/>
            </w:tcBorders>
            <w:vAlign w:val="center"/>
          </w:tcPr>
          <w:p w14:paraId="1C8C721D">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供应商提出问题的截止时间</w:t>
            </w:r>
          </w:p>
        </w:tc>
        <w:tc>
          <w:tcPr>
            <w:tcW w:w="6520" w:type="dxa"/>
            <w:tcBorders>
              <w:top w:val="single" w:color="auto" w:sz="4" w:space="0"/>
              <w:left w:val="nil"/>
              <w:bottom w:val="single" w:color="auto" w:sz="4" w:space="0"/>
              <w:right w:val="single" w:color="auto" w:sz="4" w:space="0"/>
            </w:tcBorders>
            <w:vAlign w:val="center"/>
          </w:tcPr>
          <w:p w14:paraId="2CB0CD58">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响应性文件递交截止时间5天前</w:t>
            </w:r>
          </w:p>
        </w:tc>
      </w:tr>
      <w:tr w14:paraId="4AD9C73F">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03DE51B1">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15</w:t>
            </w:r>
          </w:p>
        </w:tc>
        <w:tc>
          <w:tcPr>
            <w:tcW w:w="1876" w:type="dxa"/>
            <w:tcBorders>
              <w:top w:val="single" w:color="auto" w:sz="4" w:space="0"/>
              <w:left w:val="nil"/>
              <w:bottom w:val="single" w:color="auto" w:sz="4" w:space="0"/>
              <w:right w:val="single" w:color="auto" w:sz="4" w:space="0"/>
            </w:tcBorders>
            <w:vAlign w:val="center"/>
          </w:tcPr>
          <w:p w14:paraId="4D198DF2">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采购人书面澄清的时间</w:t>
            </w:r>
          </w:p>
        </w:tc>
        <w:tc>
          <w:tcPr>
            <w:tcW w:w="6520" w:type="dxa"/>
            <w:tcBorders>
              <w:top w:val="single" w:color="auto" w:sz="4" w:space="0"/>
              <w:left w:val="nil"/>
              <w:bottom w:val="single" w:color="auto" w:sz="4" w:space="0"/>
              <w:right w:val="single" w:color="auto" w:sz="4" w:space="0"/>
            </w:tcBorders>
            <w:vAlign w:val="center"/>
          </w:tcPr>
          <w:p w14:paraId="0951F250">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响应性文件递交截止时间5天前</w:t>
            </w:r>
          </w:p>
        </w:tc>
      </w:tr>
      <w:tr w14:paraId="585CDC2F">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6A62E52A">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16</w:t>
            </w:r>
          </w:p>
        </w:tc>
        <w:tc>
          <w:tcPr>
            <w:tcW w:w="1876" w:type="dxa"/>
            <w:tcBorders>
              <w:top w:val="single" w:color="auto" w:sz="4" w:space="0"/>
              <w:left w:val="nil"/>
              <w:bottom w:val="single" w:color="auto" w:sz="4" w:space="0"/>
              <w:right w:val="single" w:color="auto" w:sz="4" w:space="0"/>
            </w:tcBorders>
            <w:vAlign w:val="center"/>
          </w:tcPr>
          <w:p w14:paraId="793106B3">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分包</w:t>
            </w:r>
          </w:p>
        </w:tc>
        <w:tc>
          <w:tcPr>
            <w:tcW w:w="6520" w:type="dxa"/>
            <w:tcBorders>
              <w:top w:val="single" w:color="auto" w:sz="4" w:space="0"/>
              <w:left w:val="nil"/>
              <w:bottom w:val="single" w:color="auto" w:sz="4" w:space="0"/>
              <w:right w:val="single" w:color="auto" w:sz="4" w:space="0"/>
            </w:tcBorders>
            <w:vAlign w:val="center"/>
          </w:tcPr>
          <w:p w14:paraId="10399AF3">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■不允许</w:t>
            </w:r>
          </w:p>
        </w:tc>
      </w:tr>
      <w:tr w14:paraId="12DF16C9">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29F2EB97">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17</w:t>
            </w:r>
          </w:p>
        </w:tc>
        <w:tc>
          <w:tcPr>
            <w:tcW w:w="1876" w:type="dxa"/>
            <w:tcBorders>
              <w:top w:val="single" w:color="auto" w:sz="4" w:space="0"/>
              <w:left w:val="nil"/>
              <w:bottom w:val="single" w:color="auto" w:sz="4" w:space="0"/>
              <w:right w:val="single" w:color="auto" w:sz="4" w:space="0"/>
            </w:tcBorders>
            <w:vAlign w:val="center"/>
          </w:tcPr>
          <w:p w14:paraId="7FFEE1DF">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偏离</w:t>
            </w:r>
          </w:p>
        </w:tc>
        <w:tc>
          <w:tcPr>
            <w:tcW w:w="6520" w:type="dxa"/>
            <w:tcBorders>
              <w:top w:val="single" w:color="auto" w:sz="4" w:space="0"/>
              <w:left w:val="nil"/>
              <w:bottom w:val="single" w:color="auto" w:sz="4" w:space="0"/>
              <w:right w:val="single" w:color="auto" w:sz="4" w:space="0"/>
            </w:tcBorders>
            <w:vAlign w:val="center"/>
          </w:tcPr>
          <w:p w14:paraId="5D499980">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■不允许</w:t>
            </w:r>
          </w:p>
        </w:tc>
      </w:tr>
      <w:tr w14:paraId="69F99EF9">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71B43E2">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18</w:t>
            </w:r>
          </w:p>
        </w:tc>
        <w:tc>
          <w:tcPr>
            <w:tcW w:w="1876" w:type="dxa"/>
            <w:tcBorders>
              <w:top w:val="single" w:color="auto" w:sz="4" w:space="0"/>
              <w:left w:val="nil"/>
              <w:bottom w:val="single" w:color="auto" w:sz="4" w:space="0"/>
              <w:right w:val="single" w:color="auto" w:sz="4" w:space="0"/>
            </w:tcBorders>
            <w:vAlign w:val="center"/>
          </w:tcPr>
          <w:p w14:paraId="196CE675">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供应商确认收到磋商文件的澄清时间</w:t>
            </w:r>
          </w:p>
        </w:tc>
        <w:tc>
          <w:tcPr>
            <w:tcW w:w="6520" w:type="dxa"/>
            <w:tcBorders>
              <w:top w:val="single" w:color="auto" w:sz="4" w:space="0"/>
              <w:left w:val="nil"/>
              <w:bottom w:val="single" w:color="auto" w:sz="4" w:space="0"/>
              <w:right w:val="single" w:color="auto" w:sz="4" w:space="0"/>
            </w:tcBorders>
            <w:vAlign w:val="center"/>
          </w:tcPr>
          <w:p w14:paraId="5A5ACE01">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收到澄清后24小时内（以发出时间为准）</w:t>
            </w:r>
          </w:p>
        </w:tc>
      </w:tr>
      <w:tr w14:paraId="6B35E081">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49CF438">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19</w:t>
            </w:r>
          </w:p>
        </w:tc>
        <w:tc>
          <w:tcPr>
            <w:tcW w:w="1876" w:type="dxa"/>
            <w:tcBorders>
              <w:top w:val="single" w:color="auto" w:sz="4" w:space="0"/>
              <w:left w:val="nil"/>
              <w:bottom w:val="single" w:color="auto" w:sz="4" w:space="0"/>
              <w:right w:val="single" w:color="auto" w:sz="4" w:space="0"/>
            </w:tcBorders>
            <w:vAlign w:val="center"/>
          </w:tcPr>
          <w:p w14:paraId="4A9C1EA7">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供应商确认收到磋商文件的修改时间</w:t>
            </w:r>
          </w:p>
        </w:tc>
        <w:tc>
          <w:tcPr>
            <w:tcW w:w="6520" w:type="dxa"/>
            <w:tcBorders>
              <w:top w:val="single" w:color="auto" w:sz="4" w:space="0"/>
              <w:left w:val="nil"/>
              <w:bottom w:val="single" w:color="auto" w:sz="4" w:space="0"/>
              <w:right w:val="single" w:color="auto" w:sz="4" w:space="0"/>
            </w:tcBorders>
            <w:vAlign w:val="center"/>
          </w:tcPr>
          <w:p w14:paraId="7AC7C542">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收到澄清后24小时内（以发出时间为准）</w:t>
            </w:r>
          </w:p>
        </w:tc>
      </w:tr>
      <w:tr w14:paraId="47FD4D96">
        <w:tblPrEx>
          <w:tblCellMar>
            <w:top w:w="0" w:type="dxa"/>
            <w:left w:w="108" w:type="dxa"/>
            <w:bottom w:w="0" w:type="dxa"/>
            <w:right w:w="108" w:type="dxa"/>
          </w:tblCellMar>
        </w:tblPrEx>
        <w:trPr>
          <w:trHeight w:val="52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1450042C">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20</w:t>
            </w:r>
          </w:p>
        </w:tc>
        <w:tc>
          <w:tcPr>
            <w:tcW w:w="1876" w:type="dxa"/>
            <w:tcBorders>
              <w:top w:val="single" w:color="auto" w:sz="4" w:space="0"/>
              <w:left w:val="nil"/>
              <w:bottom w:val="single" w:color="auto" w:sz="4" w:space="0"/>
              <w:right w:val="single" w:color="auto" w:sz="4" w:space="0"/>
            </w:tcBorders>
            <w:vAlign w:val="center"/>
          </w:tcPr>
          <w:p w14:paraId="17072BE4">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磋商文件费</w:t>
            </w:r>
          </w:p>
        </w:tc>
        <w:tc>
          <w:tcPr>
            <w:tcW w:w="6520" w:type="dxa"/>
            <w:tcBorders>
              <w:top w:val="single" w:color="auto" w:sz="4" w:space="0"/>
              <w:left w:val="nil"/>
              <w:bottom w:val="single" w:color="auto" w:sz="4" w:space="0"/>
              <w:right w:val="single" w:color="auto" w:sz="4" w:space="0"/>
            </w:tcBorders>
            <w:vAlign w:val="center"/>
          </w:tcPr>
          <w:p w14:paraId="066463FD">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根据《关于进一步加强公共资源交易管理持续优化营商环境的通知》（三公管办〔2020〕2号）文件的要求,磋商文件费用不再收取。</w:t>
            </w:r>
          </w:p>
        </w:tc>
      </w:tr>
      <w:tr w14:paraId="7BA92C18">
        <w:tblPrEx>
          <w:tblCellMar>
            <w:top w:w="0" w:type="dxa"/>
            <w:left w:w="108" w:type="dxa"/>
            <w:bottom w:w="0" w:type="dxa"/>
            <w:right w:w="108" w:type="dxa"/>
          </w:tblCellMar>
        </w:tblPrEx>
        <w:trPr>
          <w:trHeight w:val="57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69F8D987">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21</w:t>
            </w:r>
          </w:p>
        </w:tc>
        <w:tc>
          <w:tcPr>
            <w:tcW w:w="1876" w:type="dxa"/>
            <w:tcBorders>
              <w:top w:val="single" w:color="auto" w:sz="4" w:space="0"/>
              <w:left w:val="nil"/>
              <w:bottom w:val="single" w:color="auto" w:sz="4" w:space="0"/>
              <w:right w:val="single" w:color="auto" w:sz="4" w:space="0"/>
            </w:tcBorders>
            <w:vAlign w:val="center"/>
          </w:tcPr>
          <w:p w14:paraId="1A3DBA41">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磋商保证金</w:t>
            </w:r>
          </w:p>
        </w:tc>
        <w:tc>
          <w:tcPr>
            <w:tcW w:w="6520" w:type="dxa"/>
            <w:tcBorders>
              <w:top w:val="single" w:color="auto" w:sz="4" w:space="0"/>
              <w:left w:val="nil"/>
              <w:bottom w:val="single" w:color="auto" w:sz="4" w:space="0"/>
              <w:right w:val="single" w:color="auto" w:sz="4" w:space="0"/>
            </w:tcBorders>
            <w:vAlign w:val="center"/>
          </w:tcPr>
          <w:p w14:paraId="51B566D9">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根据《河南省财政厅关于优化政府采购营商环境有关问题的通知》（豫财购【2019】4号）的规定，磋商保证金不再收取。</w:t>
            </w:r>
          </w:p>
        </w:tc>
      </w:tr>
      <w:tr w14:paraId="3D4A4C0C">
        <w:tblPrEx>
          <w:tblCellMar>
            <w:top w:w="0" w:type="dxa"/>
            <w:left w:w="108" w:type="dxa"/>
            <w:bottom w:w="0" w:type="dxa"/>
            <w:right w:w="108" w:type="dxa"/>
          </w:tblCellMar>
        </w:tblPrEx>
        <w:trPr>
          <w:trHeight w:val="954"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8584969">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22</w:t>
            </w:r>
          </w:p>
        </w:tc>
        <w:tc>
          <w:tcPr>
            <w:tcW w:w="1876" w:type="dxa"/>
            <w:tcBorders>
              <w:top w:val="single" w:color="auto" w:sz="4" w:space="0"/>
              <w:left w:val="nil"/>
              <w:bottom w:val="single" w:color="auto" w:sz="4" w:space="0"/>
              <w:right w:val="single" w:color="auto" w:sz="4" w:space="0"/>
            </w:tcBorders>
            <w:vAlign w:val="center"/>
          </w:tcPr>
          <w:p w14:paraId="5758F299">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磋商响应文件递交截止时间</w:t>
            </w:r>
          </w:p>
        </w:tc>
        <w:tc>
          <w:tcPr>
            <w:tcW w:w="6520" w:type="dxa"/>
            <w:tcBorders>
              <w:top w:val="single" w:color="auto" w:sz="4" w:space="0"/>
              <w:left w:val="nil"/>
              <w:bottom w:val="single" w:color="auto" w:sz="4" w:space="0"/>
              <w:right w:val="single" w:color="auto" w:sz="4" w:space="0"/>
            </w:tcBorders>
            <w:vAlign w:val="center"/>
          </w:tcPr>
          <w:p w14:paraId="41A2A343">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lang w:eastAsia="zh-CN"/>
              </w:rPr>
              <w:t>2026年08月18日08时30分</w:t>
            </w:r>
            <w:r>
              <w:rPr>
                <w:rFonts w:hint="eastAsia" w:ascii="宋体" w:hAnsi="宋体" w:eastAsia="宋体" w:cs="宋体"/>
                <w:sz w:val="24"/>
                <w:szCs w:val="24"/>
              </w:rPr>
              <w:t>（北京时间）</w:t>
            </w:r>
          </w:p>
        </w:tc>
      </w:tr>
      <w:tr w14:paraId="54565D13">
        <w:tblPrEx>
          <w:tblCellMar>
            <w:top w:w="0" w:type="dxa"/>
            <w:left w:w="108" w:type="dxa"/>
            <w:bottom w:w="0" w:type="dxa"/>
            <w:right w:w="108" w:type="dxa"/>
          </w:tblCellMar>
        </w:tblPrEx>
        <w:trPr>
          <w:trHeight w:val="467"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0F29FA74">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23</w:t>
            </w:r>
          </w:p>
        </w:tc>
        <w:tc>
          <w:tcPr>
            <w:tcW w:w="1876" w:type="dxa"/>
            <w:tcBorders>
              <w:top w:val="single" w:color="auto" w:sz="4" w:space="0"/>
              <w:left w:val="nil"/>
              <w:bottom w:val="single" w:color="auto" w:sz="4" w:space="0"/>
              <w:right w:val="single" w:color="auto" w:sz="4" w:space="0"/>
            </w:tcBorders>
            <w:vAlign w:val="center"/>
          </w:tcPr>
          <w:p w14:paraId="15A1E1AD">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磋商时间</w:t>
            </w:r>
          </w:p>
        </w:tc>
        <w:tc>
          <w:tcPr>
            <w:tcW w:w="6520" w:type="dxa"/>
            <w:tcBorders>
              <w:top w:val="single" w:color="auto" w:sz="4" w:space="0"/>
              <w:left w:val="nil"/>
              <w:bottom w:val="single" w:color="auto" w:sz="4" w:space="0"/>
              <w:right w:val="single" w:color="auto" w:sz="4" w:space="0"/>
            </w:tcBorders>
            <w:vAlign w:val="center"/>
          </w:tcPr>
          <w:p w14:paraId="3B130144">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lang w:eastAsia="zh-CN"/>
              </w:rPr>
              <w:t>2026年08月18日08时30分</w:t>
            </w:r>
            <w:r>
              <w:rPr>
                <w:rFonts w:hint="eastAsia" w:ascii="宋体" w:hAnsi="宋体" w:eastAsia="宋体" w:cs="宋体"/>
                <w:sz w:val="24"/>
                <w:szCs w:val="24"/>
              </w:rPr>
              <w:t xml:space="preserve">（北京时间） </w:t>
            </w:r>
          </w:p>
        </w:tc>
      </w:tr>
      <w:tr w14:paraId="2D618ABE">
        <w:tblPrEx>
          <w:tblCellMar>
            <w:top w:w="0" w:type="dxa"/>
            <w:left w:w="108" w:type="dxa"/>
            <w:bottom w:w="0" w:type="dxa"/>
            <w:right w:w="108" w:type="dxa"/>
          </w:tblCellMar>
        </w:tblPrEx>
        <w:trPr>
          <w:trHeight w:val="471"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FCA67C4">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24</w:t>
            </w:r>
          </w:p>
        </w:tc>
        <w:tc>
          <w:tcPr>
            <w:tcW w:w="1876" w:type="dxa"/>
            <w:tcBorders>
              <w:top w:val="single" w:color="auto" w:sz="4" w:space="0"/>
              <w:left w:val="nil"/>
              <w:bottom w:val="single" w:color="auto" w:sz="4" w:space="0"/>
              <w:right w:val="single" w:color="auto" w:sz="4" w:space="0"/>
            </w:tcBorders>
            <w:vAlign w:val="center"/>
          </w:tcPr>
          <w:p w14:paraId="4602F85B">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磋商地点</w:t>
            </w:r>
          </w:p>
        </w:tc>
        <w:tc>
          <w:tcPr>
            <w:tcW w:w="6520" w:type="dxa"/>
            <w:tcBorders>
              <w:top w:val="single" w:color="auto" w:sz="4" w:space="0"/>
              <w:left w:val="nil"/>
              <w:bottom w:val="single" w:color="auto" w:sz="4" w:space="0"/>
              <w:right w:val="single" w:color="auto" w:sz="4" w:space="0"/>
            </w:tcBorders>
            <w:vAlign w:val="center"/>
          </w:tcPr>
          <w:p w14:paraId="30A93B18">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三门峡市公共资源交易中心</w:t>
            </w:r>
            <w:r>
              <w:rPr>
                <w:rFonts w:hint="eastAsia" w:ascii="宋体" w:hAnsi="宋体" w:eastAsia="宋体" w:cs="宋体"/>
                <w:color w:val="auto"/>
                <w:sz w:val="24"/>
                <w:szCs w:val="24"/>
              </w:rPr>
              <w:t>开标</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室</w:t>
            </w:r>
          </w:p>
        </w:tc>
      </w:tr>
      <w:tr w14:paraId="03083F3D">
        <w:tblPrEx>
          <w:tblCellMar>
            <w:top w:w="0" w:type="dxa"/>
            <w:left w:w="108" w:type="dxa"/>
            <w:bottom w:w="0" w:type="dxa"/>
            <w:right w:w="108" w:type="dxa"/>
          </w:tblCellMar>
        </w:tblPrEx>
        <w:trPr>
          <w:trHeight w:val="471"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13CF092">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25</w:t>
            </w:r>
          </w:p>
        </w:tc>
        <w:tc>
          <w:tcPr>
            <w:tcW w:w="1876" w:type="dxa"/>
            <w:tcBorders>
              <w:top w:val="single" w:color="auto" w:sz="4" w:space="0"/>
              <w:left w:val="nil"/>
              <w:bottom w:val="single" w:color="auto" w:sz="4" w:space="0"/>
              <w:right w:val="single" w:color="auto" w:sz="4" w:space="0"/>
            </w:tcBorders>
            <w:vAlign w:val="center"/>
          </w:tcPr>
          <w:p w14:paraId="3B66C0DB">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评标地点</w:t>
            </w:r>
          </w:p>
        </w:tc>
        <w:tc>
          <w:tcPr>
            <w:tcW w:w="6520" w:type="dxa"/>
            <w:tcBorders>
              <w:top w:val="single" w:color="auto" w:sz="4" w:space="0"/>
              <w:left w:val="nil"/>
              <w:bottom w:val="single" w:color="auto" w:sz="4" w:space="0"/>
              <w:right w:val="single" w:color="auto" w:sz="4" w:space="0"/>
            </w:tcBorders>
            <w:vAlign w:val="center"/>
          </w:tcPr>
          <w:p w14:paraId="76AB51D0">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三门峡市公共资源交易中心</w:t>
            </w:r>
            <w:r>
              <w:rPr>
                <w:rFonts w:hint="eastAsia" w:ascii="宋体" w:hAnsi="宋体" w:eastAsia="宋体" w:cs="宋体"/>
                <w:color w:val="auto"/>
                <w:sz w:val="24"/>
                <w:szCs w:val="24"/>
              </w:rPr>
              <w:t>评标</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室</w:t>
            </w:r>
          </w:p>
        </w:tc>
      </w:tr>
      <w:tr w14:paraId="0E980633">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FE013E8">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26</w:t>
            </w:r>
          </w:p>
        </w:tc>
        <w:tc>
          <w:tcPr>
            <w:tcW w:w="1876" w:type="dxa"/>
            <w:tcBorders>
              <w:top w:val="single" w:color="auto" w:sz="4" w:space="0"/>
              <w:left w:val="nil"/>
              <w:bottom w:val="single" w:color="auto" w:sz="4" w:space="0"/>
              <w:right w:val="single" w:color="auto" w:sz="4" w:space="0"/>
            </w:tcBorders>
            <w:vAlign w:val="center"/>
          </w:tcPr>
          <w:p w14:paraId="2A898134">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磋商小组的组建</w:t>
            </w:r>
          </w:p>
        </w:tc>
        <w:tc>
          <w:tcPr>
            <w:tcW w:w="6520" w:type="dxa"/>
            <w:tcBorders>
              <w:top w:val="single" w:color="auto" w:sz="4" w:space="0"/>
              <w:left w:val="nil"/>
              <w:bottom w:val="single" w:color="auto" w:sz="4" w:space="0"/>
              <w:right w:val="single" w:color="auto" w:sz="4" w:space="0"/>
            </w:tcBorders>
            <w:vAlign w:val="center"/>
          </w:tcPr>
          <w:p w14:paraId="4DD0C851">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磋商小组构成：采购人代表及有关经济、技术等方面的专家共3人组成，其中采购人代表1人，经济、技术等方面的专家各1人。</w:t>
            </w:r>
          </w:p>
          <w:p w14:paraId="0C658E7E">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专家确定方式：开标后从河南省财政专家库中随机抽取。</w:t>
            </w:r>
          </w:p>
          <w:p w14:paraId="5E751867">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注：采购人代表评委无评标劳务费用</w:t>
            </w:r>
          </w:p>
        </w:tc>
      </w:tr>
      <w:tr w14:paraId="7AB5870F">
        <w:tblPrEx>
          <w:tblCellMar>
            <w:top w:w="0" w:type="dxa"/>
            <w:left w:w="108" w:type="dxa"/>
            <w:bottom w:w="0" w:type="dxa"/>
            <w:right w:w="108" w:type="dxa"/>
          </w:tblCellMar>
        </w:tblPrEx>
        <w:trPr>
          <w:trHeight w:val="558"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7B007050">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27</w:t>
            </w:r>
          </w:p>
        </w:tc>
        <w:tc>
          <w:tcPr>
            <w:tcW w:w="1876" w:type="dxa"/>
            <w:tcBorders>
              <w:top w:val="single" w:color="auto" w:sz="4" w:space="0"/>
              <w:left w:val="nil"/>
              <w:bottom w:val="single" w:color="auto" w:sz="4" w:space="0"/>
              <w:right w:val="single" w:color="auto" w:sz="4" w:space="0"/>
            </w:tcBorders>
            <w:vAlign w:val="center"/>
          </w:tcPr>
          <w:p w14:paraId="18BAA757">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授权评委小组推荐成交候选人</w:t>
            </w:r>
          </w:p>
        </w:tc>
        <w:tc>
          <w:tcPr>
            <w:tcW w:w="6520" w:type="dxa"/>
            <w:tcBorders>
              <w:top w:val="single" w:color="auto" w:sz="4" w:space="0"/>
              <w:left w:val="nil"/>
              <w:bottom w:val="single" w:color="auto" w:sz="4" w:space="0"/>
              <w:right w:val="single" w:color="auto" w:sz="4" w:space="0"/>
            </w:tcBorders>
            <w:vAlign w:val="center"/>
          </w:tcPr>
          <w:p w14:paraId="1C17C4B0">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是，推荐的成交候选人数：3个</w:t>
            </w:r>
          </w:p>
          <w:p w14:paraId="50362BEC">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排名第一的成交候选人若放弃中标、因不可抗力提出不能履行合同，采购人可以确定排名第二的成交候选人为中标人。排名第二的成交候选人因前款原因不能签订合同的，采购人可以确定排名第三的成交候选人为中标人。</w:t>
            </w:r>
          </w:p>
        </w:tc>
      </w:tr>
      <w:tr w14:paraId="18797A92">
        <w:tblPrEx>
          <w:tblCellMar>
            <w:top w:w="0" w:type="dxa"/>
            <w:left w:w="108" w:type="dxa"/>
            <w:bottom w:w="0" w:type="dxa"/>
            <w:right w:w="108" w:type="dxa"/>
          </w:tblCellMar>
        </w:tblPrEx>
        <w:trPr>
          <w:trHeight w:val="514"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6A0BC9D9">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28</w:t>
            </w:r>
          </w:p>
        </w:tc>
        <w:tc>
          <w:tcPr>
            <w:tcW w:w="1876" w:type="dxa"/>
            <w:tcBorders>
              <w:top w:val="single" w:color="auto" w:sz="4" w:space="0"/>
              <w:left w:val="nil"/>
              <w:bottom w:val="single" w:color="auto" w:sz="4" w:space="0"/>
              <w:right w:val="single" w:color="auto" w:sz="4" w:space="0"/>
            </w:tcBorders>
            <w:vAlign w:val="center"/>
          </w:tcPr>
          <w:p w14:paraId="1CAB4615">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签订合同时间</w:t>
            </w:r>
          </w:p>
        </w:tc>
        <w:tc>
          <w:tcPr>
            <w:tcW w:w="6520" w:type="dxa"/>
            <w:tcBorders>
              <w:top w:val="single" w:color="auto" w:sz="4" w:space="0"/>
              <w:left w:val="nil"/>
              <w:bottom w:val="single" w:color="auto" w:sz="4" w:space="0"/>
              <w:right w:val="single" w:color="auto" w:sz="4" w:space="0"/>
            </w:tcBorders>
            <w:vAlign w:val="center"/>
          </w:tcPr>
          <w:p w14:paraId="1A7A0B8E">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成交通知书发出后2个工作日内</w:t>
            </w:r>
          </w:p>
        </w:tc>
      </w:tr>
      <w:tr w14:paraId="4E202691">
        <w:tblPrEx>
          <w:tblCellMar>
            <w:top w:w="0" w:type="dxa"/>
            <w:left w:w="108" w:type="dxa"/>
            <w:bottom w:w="0" w:type="dxa"/>
            <w:right w:w="108" w:type="dxa"/>
          </w:tblCellMar>
        </w:tblPrEx>
        <w:trPr>
          <w:trHeight w:val="489"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636242F7">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29</w:t>
            </w:r>
          </w:p>
        </w:tc>
        <w:tc>
          <w:tcPr>
            <w:tcW w:w="1876" w:type="dxa"/>
            <w:tcBorders>
              <w:top w:val="single" w:color="auto" w:sz="4" w:space="0"/>
              <w:left w:val="nil"/>
              <w:bottom w:val="single" w:color="auto" w:sz="4" w:space="0"/>
              <w:right w:val="single" w:color="auto" w:sz="4" w:space="0"/>
            </w:tcBorders>
            <w:vAlign w:val="center"/>
          </w:tcPr>
          <w:p w14:paraId="55BD6F4D">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磋商有效期</w:t>
            </w:r>
          </w:p>
        </w:tc>
        <w:tc>
          <w:tcPr>
            <w:tcW w:w="6520" w:type="dxa"/>
            <w:tcBorders>
              <w:top w:val="single" w:color="auto" w:sz="4" w:space="0"/>
              <w:left w:val="nil"/>
              <w:bottom w:val="single" w:color="auto" w:sz="4" w:space="0"/>
              <w:right w:val="single" w:color="auto" w:sz="4" w:space="0"/>
            </w:tcBorders>
            <w:vAlign w:val="center"/>
          </w:tcPr>
          <w:p w14:paraId="6EFDA708">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磋商截止时间起90日历天</w:t>
            </w:r>
          </w:p>
        </w:tc>
      </w:tr>
      <w:tr w14:paraId="11ACAF5C">
        <w:tblPrEx>
          <w:tblCellMar>
            <w:top w:w="0" w:type="dxa"/>
            <w:left w:w="108" w:type="dxa"/>
            <w:bottom w:w="0" w:type="dxa"/>
            <w:right w:w="108" w:type="dxa"/>
          </w:tblCellMar>
        </w:tblPrEx>
        <w:trPr>
          <w:trHeight w:val="90"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07E97B1">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30</w:t>
            </w:r>
          </w:p>
        </w:tc>
        <w:tc>
          <w:tcPr>
            <w:tcW w:w="1876" w:type="dxa"/>
            <w:tcBorders>
              <w:top w:val="single" w:color="auto" w:sz="4" w:space="0"/>
              <w:left w:val="nil"/>
              <w:bottom w:val="single" w:color="auto" w:sz="4" w:space="0"/>
              <w:right w:val="single" w:color="auto" w:sz="4" w:space="0"/>
            </w:tcBorders>
            <w:vAlign w:val="center"/>
          </w:tcPr>
          <w:p w14:paraId="11A26728">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磋商程序</w:t>
            </w:r>
          </w:p>
        </w:tc>
        <w:tc>
          <w:tcPr>
            <w:tcW w:w="6520" w:type="dxa"/>
            <w:tcBorders>
              <w:top w:val="single" w:color="auto" w:sz="4" w:space="0"/>
              <w:left w:val="nil"/>
              <w:bottom w:val="single" w:color="auto" w:sz="4" w:space="0"/>
              <w:right w:val="single" w:color="auto" w:sz="4" w:space="0"/>
            </w:tcBorders>
            <w:vAlign w:val="center"/>
          </w:tcPr>
          <w:p w14:paraId="22E631BD">
            <w:pPr>
              <w:keepNext w:val="0"/>
              <w:keepLines w:val="0"/>
              <w:pageBreakBefore w:val="0"/>
              <w:kinsoku/>
              <w:overflowPunct/>
              <w:topLinePunct w:val="0"/>
              <w:autoSpaceDE/>
              <w:autoSpaceDN/>
              <w:bidi w:val="0"/>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按电子化磋商响应文件上传的时间顺序磋商。</w:t>
            </w:r>
          </w:p>
        </w:tc>
      </w:tr>
      <w:tr w14:paraId="119F11DC">
        <w:tblPrEx>
          <w:tblCellMar>
            <w:top w:w="0" w:type="dxa"/>
            <w:left w:w="108" w:type="dxa"/>
            <w:bottom w:w="0" w:type="dxa"/>
            <w:right w:w="108" w:type="dxa"/>
          </w:tblCellMar>
        </w:tblPrEx>
        <w:trPr>
          <w:trHeight w:val="442"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4BB3D502">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31</w:t>
            </w:r>
          </w:p>
        </w:tc>
        <w:tc>
          <w:tcPr>
            <w:tcW w:w="1876" w:type="dxa"/>
            <w:tcBorders>
              <w:top w:val="single" w:color="auto" w:sz="4" w:space="0"/>
              <w:left w:val="nil"/>
              <w:bottom w:val="single" w:color="auto" w:sz="4" w:space="0"/>
              <w:right w:val="single" w:color="auto" w:sz="4" w:space="0"/>
            </w:tcBorders>
            <w:vAlign w:val="center"/>
          </w:tcPr>
          <w:p w14:paraId="5884A198">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招标控制价</w:t>
            </w:r>
          </w:p>
        </w:tc>
        <w:tc>
          <w:tcPr>
            <w:tcW w:w="6520" w:type="dxa"/>
            <w:tcBorders>
              <w:top w:val="single" w:color="auto" w:sz="4" w:space="0"/>
              <w:left w:val="nil"/>
              <w:bottom w:val="single" w:color="auto" w:sz="4" w:space="0"/>
              <w:right w:val="single" w:color="auto" w:sz="4" w:space="0"/>
            </w:tcBorders>
            <w:vAlign w:val="center"/>
          </w:tcPr>
          <w:p w14:paraId="64D41846">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本项目的招标控制价为</w:t>
            </w:r>
            <w:r>
              <w:rPr>
                <w:rFonts w:ascii="宋体" w:hAnsi="宋体" w:eastAsia="宋体" w:cs="宋体"/>
                <w:sz w:val="24"/>
                <w:szCs w:val="24"/>
              </w:rPr>
              <w:t>¥</w:t>
            </w:r>
            <w:r>
              <w:rPr>
                <w:rFonts w:hint="eastAsia" w:ascii="宋体" w:hAnsi="宋体" w:eastAsia="宋体" w:cs="宋体"/>
                <w:sz w:val="24"/>
                <w:szCs w:val="24"/>
                <w:lang w:eastAsia="zh-CN"/>
              </w:rPr>
              <w:t>760227.70</w:t>
            </w:r>
            <w:r>
              <w:rPr>
                <w:rFonts w:hint="eastAsia" w:ascii="宋体" w:hAnsi="宋体" w:eastAsia="宋体" w:cs="宋体"/>
                <w:sz w:val="24"/>
                <w:szCs w:val="24"/>
              </w:rPr>
              <w:t>元；</w:t>
            </w:r>
          </w:p>
          <w:p w14:paraId="07C70D81">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凡供应商的磋商报价超出“招标控制价”（不含等于“招标控制价”）的，其投标将被否决。</w:t>
            </w:r>
          </w:p>
        </w:tc>
      </w:tr>
      <w:tr w14:paraId="64FF25B0">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49A3F786">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32</w:t>
            </w:r>
          </w:p>
        </w:tc>
        <w:tc>
          <w:tcPr>
            <w:tcW w:w="1876" w:type="dxa"/>
            <w:tcBorders>
              <w:top w:val="single" w:color="auto" w:sz="4" w:space="0"/>
              <w:left w:val="nil"/>
              <w:bottom w:val="single" w:color="auto" w:sz="4" w:space="0"/>
              <w:right w:val="single" w:color="auto" w:sz="4" w:space="0"/>
            </w:tcBorders>
            <w:vAlign w:val="center"/>
          </w:tcPr>
          <w:p w14:paraId="141902C0">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电子投标文件签章</w:t>
            </w:r>
          </w:p>
        </w:tc>
        <w:tc>
          <w:tcPr>
            <w:tcW w:w="6520" w:type="dxa"/>
            <w:tcBorders>
              <w:top w:val="single" w:color="auto" w:sz="4" w:space="0"/>
              <w:left w:val="nil"/>
              <w:bottom w:val="single" w:color="auto" w:sz="4" w:space="0"/>
              <w:right w:val="single" w:color="auto" w:sz="4" w:space="0"/>
            </w:tcBorders>
            <w:vAlign w:val="center"/>
          </w:tcPr>
          <w:p w14:paraId="13D832CE">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1、供应商在生成电子化响应文件后，应对电子化响应文件进行签章，未进行签章的视为无效投标。</w:t>
            </w:r>
          </w:p>
          <w:p w14:paraId="64D5ED1A">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2、磋商文件中要求法定代表人或授权委托人签字或盖章的，供应商在进行电子化响应文件签章时，以签盖法定代表人电子签章为准。电子化响应文件具体制作教材请投标人通过CA证书登录三门峡市公共资源电子化交易系统在右上角“组建下载”中查看。</w:t>
            </w:r>
          </w:p>
        </w:tc>
      </w:tr>
      <w:tr w14:paraId="1C5C1045">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4A1F7BCD">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33</w:t>
            </w:r>
          </w:p>
        </w:tc>
        <w:tc>
          <w:tcPr>
            <w:tcW w:w="1876" w:type="dxa"/>
            <w:tcBorders>
              <w:top w:val="single" w:color="auto" w:sz="4" w:space="0"/>
              <w:left w:val="nil"/>
              <w:bottom w:val="single" w:color="auto" w:sz="4" w:space="0"/>
              <w:right w:val="single" w:color="auto" w:sz="4" w:space="0"/>
            </w:tcBorders>
            <w:vAlign w:val="center"/>
          </w:tcPr>
          <w:p w14:paraId="7AF0A5CA">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注意事项</w:t>
            </w:r>
          </w:p>
        </w:tc>
        <w:tc>
          <w:tcPr>
            <w:tcW w:w="6520" w:type="dxa"/>
            <w:tcBorders>
              <w:top w:val="single" w:color="auto" w:sz="4" w:space="0"/>
              <w:left w:val="nil"/>
              <w:bottom w:val="single" w:color="auto" w:sz="4" w:space="0"/>
              <w:right w:val="single" w:color="auto" w:sz="4" w:space="0"/>
            </w:tcBorders>
            <w:vAlign w:val="center"/>
          </w:tcPr>
          <w:p w14:paraId="31E6E7A4">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1、资格评（预）审部分：资格评（预）以响应文件为准，其上传资料真实性由供应商自行承担。</w:t>
            </w:r>
          </w:p>
          <w:p w14:paraId="07F73749">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2、评标打分部分：评标打分部分仍按照100分制原则进行，涉及到资格审查、企业荣誉、人员业绩、企业业绩等计分部分时，以供应商自行上传到响应文件中的相应内容为准。</w:t>
            </w:r>
          </w:p>
          <w:p w14:paraId="4DF4A85B">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 xml:space="preserve">3、响应文件编制部分：在磋商文件中要求供应商按照响应文件格式进行响应文件编制，在响应文件编制时，应明确将供应商企业基本情况、资质情况、人员情况、财务情况、业绩情况编入响应文件，便于进行资格审查及评标打分以响应文件业绩信息为准，可使用电子营业执照。 </w:t>
            </w:r>
          </w:p>
          <w:p w14:paraId="574251C7">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4、我单位（采购人）严格按三财购【2021】9号文要求的时限发布中标结果公告，发出中标通知书，签订采购合同，上传采购合同。</w:t>
            </w:r>
          </w:p>
        </w:tc>
      </w:tr>
      <w:tr w14:paraId="73A22116">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C1596D5">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34</w:t>
            </w:r>
          </w:p>
        </w:tc>
        <w:tc>
          <w:tcPr>
            <w:tcW w:w="1876" w:type="dxa"/>
            <w:tcBorders>
              <w:top w:val="single" w:color="auto" w:sz="4" w:space="0"/>
              <w:left w:val="nil"/>
              <w:bottom w:val="single" w:color="auto" w:sz="4" w:space="0"/>
              <w:right w:val="single" w:color="auto" w:sz="4" w:space="0"/>
            </w:tcBorders>
            <w:vAlign w:val="center"/>
          </w:tcPr>
          <w:p w14:paraId="7D4391C2">
            <w:pPr>
              <w:keepNext w:val="0"/>
              <w:keepLines w:val="0"/>
              <w:pageBreakBefore w:val="0"/>
              <w:widowControl w:val="0"/>
              <w:tabs>
                <w:tab w:val="left" w:pos="720"/>
              </w:tabs>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需要补充的其他内容</w:t>
            </w:r>
          </w:p>
        </w:tc>
        <w:tc>
          <w:tcPr>
            <w:tcW w:w="6520" w:type="dxa"/>
            <w:tcBorders>
              <w:top w:val="single" w:color="auto" w:sz="4" w:space="0"/>
              <w:left w:val="nil"/>
              <w:bottom w:val="single" w:color="auto" w:sz="4" w:space="0"/>
              <w:right w:val="single" w:color="auto" w:sz="4" w:space="0"/>
            </w:tcBorders>
            <w:vAlign w:val="center"/>
          </w:tcPr>
          <w:p w14:paraId="7DFCB543">
            <w:pPr>
              <w:keepNext w:val="0"/>
              <w:keepLines w:val="0"/>
              <w:pageBreakBefore w:val="0"/>
              <w:widowControl w:val="0"/>
              <w:tabs>
                <w:tab w:val="left" w:pos="720"/>
              </w:tabs>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1. 成交人与采购人签订合同后，将合同副本原件一份报采购代理机构备案 。</w:t>
            </w:r>
          </w:p>
          <w:p w14:paraId="1696C4F2">
            <w:pPr>
              <w:keepNext w:val="0"/>
              <w:keepLines w:val="0"/>
              <w:pageBreakBefore w:val="0"/>
              <w:widowControl w:val="0"/>
              <w:tabs>
                <w:tab w:val="left" w:pos="720"/>
              </w:tabs>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sz w:val="24"/>
                <w:szCs w:val="24"/>
              </w:rPr>
              <w:t>2. 本次采购标的对应的中小企业划分标准所属行业为“建筑业”，所属行业界定标准参考《中小企业划型标准规定》。</w:t>
            </w:r>
          </w:p>
        </w:tc>
      </w:tr>
      <w:tr w14:paraId="7613067E">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5101740E">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35</w:t>
            </w:r>
          </w:p>
        </w:tc>
        <w:tc>
          <w:tcPr>
            <w:tcW w:w="1876" w:type="dxa"/>
            <w:tcBorders>
              <w:top w:val="single" w:color="auto" w:sz="4" w:space="0"/>
              <w:left w:val="nil"/>
              <w:bottom w:val="single" w:color="auto" w:sz="4" w:space="0"/>
              <w:right w:val="single" w:color="auto" w:sz="4" w:space="0"/>
            </w:tcBorders>
            <w:vAlign w:val="center"/>
          </w:tcPr>
          <w:p w14:paraId="09E1CB6E">
            <w:pPr>
              <w:keepNext w:val="0"/>
              <w:keepLines w:val="0"/>
              <w:pageBreakBefore w:val="0"/>
              <w:kinsoku/>
              <w:overflowPunct/>
              <w:topLinePunct w:val="0"/>
              <w:autoSpaceDE/>
              <w:autoSpaceDN/>
              <w:bidi w:val="0"/>
              <w:spacing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招标代理服务费</w:t>
            </w:r>
          </w:p>
        </w:tc>
        <w:tc>
          <w:tcPr>
            <w:tcW w:w="6520" w:type="dxa"/>
            <w:tcBorders>
              <w:top w:val="single" w:color="auto" w:sz="4" w:space="0"/>
              <w:left w:val="nil"/>
              <w:bottom w:val="single" w:color="auto" w:sz="4" w:space="0"/>
              <w:right w:val="single" w:color="auto" w:sz="4" w:space="0"/>
            </w:tcBorders>
            <w:vAlign w:val="center"/>
          </w:tcPr>
          <w:p w14:paraId="60B3BA64">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代理费用收取标准：本项目招标代理费用参考河南省招标投标协会豫招办[2023]002号文《河南省招标投标协会关于印发《河南省招标代理服务收费指导意见》的通知》中关于招标代理服务费收费标准，招标代理服务费用由中标人按照以上标准支付。</w:t>
            </w:r>
          </w:p>
          <w:p w14:paraId="4B074F32">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收款单位：兴建建设管理有限公司灵宝分公司</w:t>
            </w:r>
          </w:p>
          <w:p w14:paraId="66519822">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开 户 行：中国工商银行灵宝老城支行</w:t>
            </w:r>
          </w:p>
          <w:p w14:paraId="4C8FA2EC">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sz w:val="24"/>
                <w:szCs w:val="24"/>
              </w:rPr>
            </w:pPr>
            <w:r>
              <w:rPr>
                <w:rFonts w:hint="eastAsia" w:ascii="宋体" w:hAnsi="宋体" w:eastAsia="宋体" w:cs="宋体"/>
                <w:sz w:val="24"/>
                <w:szCs w:val="24"/>
              </w:rPr>
              <w:t>账    号：1713121009200023695</w:t>
            </w:r>
          </w:p>
        </w:tc>
      </w:tr>
      <w:tr w14:paraId="205CA58A">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shd w:val="clear" w:color="auto" w:fill="auto"/>
            <w:vAlign w:val="center"/>
          </w:tcPr>
          <w:p w14:paraId="35D6B257">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36</w:t>
            </w:r>
          </w:p>
        </w:tc>
        <w:tc>
          <w:tcPr>
            <w:tcW w:w="1876" w:type="dxa"/>
            <w:tcBorders>
              <w:top w:val="single" w:color="auto" w:sz="4" w:space="0"/>
              <w:left w:val="nil"/>
              <w:bottom w:val="single" w:color="auto" w:sz="4" w:space="0"/>
              <w:right w:val="single" w:color="auto" w:sz="4" w:space="0"/>
            </w:tcBorders>
            <w:vAlign w:val="center"/>
          </w:tcPr>
          <w:p w14:paraId="0D4E947D">
            <w:pPr>
              <w:keepNext w:val="0"/>
              <w:keepLines w:val="0"/>
              <w:pageBreakBefore w:val="0"/>
              <w:kinsoku/>
              <w:overflowPunct/>
              <w:topLinePunct w:val="0"/>
              <w:autoSpaceDE/>
              <w:autoSpaceDN/>
              <w:bidi w:val="0"/>
              <w:spacing w:line="440" w:lineRule="exact"/>
              <w:jc w:val="center"/>
              <w:textAlignment w:val="auto"/>
              <w:outlineLvl w:val="9"/>
              <w:rPr>
                <w:rFonts w:ascii="宋体" w:hAnsi="宋体" w:eastAsia="宋体" w:cs="宋体"/>
                <w:sz w:val="24"/>
                <w:szCs w:val="24"/>
              </w:rPr>
            </w:pPr>
            <w:r>
              <w:rPr>
                <w:rFonts w:hint="eastAsia" w:ascii="宋体" w:hAnsi="宋体" w:eastAsia="宋体" w:cs="宋体"/>
                <w:kern w:val="10"/>
                <w:sz w:val="24"/>
                <w:szCs w:val="24"/>
              </w:rPr>
              <w:t>政府采购政策</w:t>
            </w:r>
          </w:p>
        </w:tc>
        <w:tc>
          <w:tcPr>
            <w:tcW w:w="6520" w:type="dxa"/>
            <w:tcBorders>
              <w:top w:val="single" w:color="auto" w:sz="4" w:space="0"/>
              <w:left w:val="nil"/>
              <w:bottom w:val="single" w:color="auto" w:sz="4" w:space="0"/>
              <w:right w:val="single" w:color="auto" w:sz="4" w:space="0"/>
            </w:tcBorders>
            <w:vAlign w:val="center"/>
          </w:tcPr>
          <w:p w14:paraId="56854CD4">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1、根据财政部、工业和信息化部《政府采购促进中小企业发展管理办法》（财库〔2020〕46 号）的规定，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0E918FC">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在政府采购活动中，供应商提供的货物、工程或者服务符合下列情形的，享受本办法规定的中小企业扶持政策：</w:t>
            </w:r>
          </w:p>
          <w:p w14:paraId="3D890C37">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（一）在货物采购项目中，货物由中小企业制造，即货物由中小企业生产且使用该中小企业商号或者注册商标；</w:t>
            </w:r>
          </w:p>
          <w:p w14:paraId="4A488966">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（二）在工程采购项目中，工程由中小企业承建，即工程施工单位为中小企业；</w:t>
            </w:r>
          </w:p>
          <w:p w14:paraId="1ACF8FDC">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 以联合体形式参加政府采购活动，联合体各方均为中小企业的，联合体视同中小企业。其中，联合体各方均为小微企业的，联合体视同小微企业。</w:t>
            </w:r>
          </w:p>
          <w:p w14:paraId="0133FE55">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2、中小企业参加政府采购活动时，应当出具《中小企业声明函》（本次采购标的对应的中小企业划分标准依据《中小企业划型标准规定》（工信部联企业〔2011〕300 号）），否则不享受相关中小企业扶持政策。</w:t>
            </w:r>
          </w:p>
          <w:p w14:paraId="646E9DFF">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3、根据财政部司法部《关于政府采购支持监狱企业发展有关问题的通知》（财库〔2014〕68号）规定，监狱企业视同小型、微型企业，享受评审中价格扣除等政府采购促进中小企业发展的政府采购政策。</w:t>
            </w:r>
          </w:p>
          <w:p w14:paraId="20DF02D2">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4、根据财政部民政部中国残疾人联合会《关于促进残疾人就业政府采购政策的通知》（财库〔2017〕141号）规定，残疾人福利性单位视同小型、微型企业，享受评审中价格扣除等政府采购促进中小企业发展的政府采购政策。</w:t>
            </w:r>
          </w:p>
          <w:p w14:paraId="05D03168">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sz w:val="24"/>
                <w:szCs w:val="24"/>
              </w:rPr>
            </w:pPr>
            <w:r>
              <w:rPr>
                <w:rFonts w:hint="eastAsia" w:ascii="宋体" w:hAnsi="宋体" w:eastAsia="宋体" w:cs="宋体"/>
                <w:kern w:val="2"/>
                <w:sz w:val="24"/>
                <w:szCs w:val="24"/>
              </w:rPr>
              <w:t>5、同一供应商（包括联合体），中小微企业产品、监狱企业产品、残疾人福利性单位产品价格扣除优惠只享受一次，不得重复享受。</w:t>
            </w:r>
          </w:p>
        </w:tc>
      </w:tr>
      <w:tr w14:paraId="680B8062">
        <w:tblPrEx>
          <w:tblCellMar>
            <w:top w:w="0" w:type="dxa"/>
            <w:left w:w="108" w:type="dxa"/>
            <w:bottom w:w="0" w:type="dxa"/>
            <w:right w:w="108" w:type="dxa"/>
          </w:tblCellMar>
        </w:tblPrEx>
        <w:trPr>
          <w:trHeight w:val="683" w:hRule="atLeast"/>
        </w:trPr>
        <w:tc>
          <w:tcPr>
            <w:tcW w:w="697" w:type="dxa"/>
            <w:tcBorders>
              <w:top w:val="single" w:color="auto" w:sz="4" w:space="0"/>
              <w:left w:val="single" w:color="auto" w:sz="4" w:space="0"/>
              <w:bottom w:val="single" w:color="auto" w:sz="4" w:space="0"/>
              <w:right w:val="single" w:color="auto" w:sz="4" w:space="0"/>
            </w:tcBorders>
            <w:vAlign w:val="center"/>
          </w:tcPr>
          <w:p w14:paraId="795AB2AE">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sz w:val="24"/>
                <w:szCs w:val="24"/>
              </w:rPr>
              <w:t>37</w:t>
            </w:r>
          </w:p>
        </w:tc>
        <w:tc>
          <w:tcPr>
            <w:tcW w:w="1876" w:type="dxa"/>
            <w:tcBorders>
              <w:top w:val="single" w:color="auto" w:sz="4" w:space="0"/>
              <w:left w:val="nil"/>
              <w:bottom w:val="single" w:color="auto" w:sz="4" w:space="0"/>
              <w:right w:val="single" w:color="auto" w:sz="4" w:space="0"/>
            </w:tcBorders>
            <w:vAlign w:val="center"/>
          </w:tcPr>
          <w:p w14:paraId="0DBB2467">
            <w:pPr>
              <w:keepNext w:val="0"/>
              <w:keepLines w:val="0"/>
              <w:pageBreakBefore w:val="0"/>
              <w:kinsoku/>
              <w:overflowPunct/>
              <w:topLinePunct w:val="0"/>
              <w:autoSpaceDE/>
              <w:autoSpaceDN/>
              <w:bidi w:val="0"/>
              <w:spacing w:after="0" w:line="440" w:lineRule="exact"/>
              <w:jc w:val="center"/>
              <w:textAlignment w:val="auto"/>
              <w:outlineLvl w:val="9"/>
              <w:rPr>
                <w:rFonts w:ascii="宋体" w:hAnsi="宋体" w:eastAsia="宋体" w:cs="宋体"/>
                <w:sz w:val="24"/>
                <w:szCs w:val="24"/>
              </w:rPr>
            </w:pPr>
            <w:r>
              <w:rPr>
                <w:rFonts w:hint="eastAsia" w:ascii="宋体" w:hAnsi="宋体" w:eastAsia="宋体" w:cs="宋体"/>
                <w:b/>
                <w:bCs/>
                <w:sz w:val="24"/>
                <w:szCs w:val="24"/>
              </w:rPr>
              <w:t>电子化交易注意事项</w:t>
            </w:r>
          </w:p>
        </w:tc>
        <w:tc>
          <w:tcPr>
            <w:tcW w:w="6520" w:type="dxa"/>
            <w:tcBorders>
              <w:top w:val="single" w:color="auto" w:sz="4" w:space="0"/>
              <w:left w:val="nil"/>
              <w:bottom w:val="single" w:color="auto" w:sz="4" w:space="0"/>
              <w:right w:val="single" w:color="auto" w:sz="4" w:space="0"/>
            </w:tcBorders>
            <w:vAlign w:val="center"/>
          </w:tcPr>
          <w:p w14:paraId="6D6C4268">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本项目为电子化、无纸化交易项目，投标文件是供应商、供应商（以下简称“供应商”）通过中心投标文件制作系统制作，并经过电子签章和加密后生成的电子版投标文件。供应商投标时，将不再接受任何纸质文件资料。</w:t>
            </w:r>
          </w:p>
          <w:p w14:paraId="6E3EE7BF">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电子化投标文件具体制作文件请点击</w:t>
            </w:r>
            <w:r>
              <w:rPr>
                <w:rFonts w:hint="eastAsia" w:ascii="宋体" w:hAnsi="宋体" w:eastAsia="宋体" w:cs="宋体"/>
                <w:sz w:val="24"/>
                <w:szCs w:val="24"/>
              </w:rPr>
              <w:t>https://download.bqpoint.com/download/downloaddetail.html?SourceFrom=Ztb&amp;ZtbSoftXiaQuCode=1506&amp;ZtbSoftType=tballinclusive</w:t>
            </w:r>
            <w:r>
              <w:rPr>
                <w:rFonts w:hint="eastAsia" w:ascii="宋体" w:hAnsi="宋体" w:eastAsia="宋体" w:cs="宋体"/>
                <w:kern w:val="2"/>
                <w:sz w:val="24"/>
                <w:szCs w:val="24"/>
              </w:rPr>
              <w:t>进行下载。</w:t>
            </w:r>
          </w:p>
          <w:p w14:paraId="7905F957">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温馨提示：本项目为电子化、无纸化交易项目，供应商时不接受任何纸质资料，为保证您能投标成功，请需仔细阅读以下条款。</w:t>
            </w:r>
          </w:p>
          <w:p w14:paraId="3E05FAC0">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一、电子化投标</w:t>
            </w:r>
          </w:p>
          <w:p w14:paraId="3C8F2C0F">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（一）电子化投标文件的签章</w:t>
            </w:r>
          </w:p>
          <w:p w14:paraId="614ADEB1">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1、供应商在生成电子化投标文件后，应对电子化投标文件进行签章，未进行签章的视为无效投标。</w:t>
            </w:r>
          </w:p>
          <w:p w14:paraId="6A7F3FB4">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2、投标文件中要求法定代表人或授权委托人签字或盖章的，供应商在进行电子化投标文件签章时，以签盖法定代表人签章为准。</w:t>
            </w:r>
          </w:p>
          <w:p w14:paraId="3E8CDED7">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（二）电子化投标文件的格式及上传投标</w:t>
            </w:r>
          </w:p>
          <w:p w14:paraId="2A79478F">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1、供应商所上传的电子化投标文件，应是通过中心投标文件制作系统制作的（投标文件制作工具下载地址：https://download.bqpoint.com/download/downloaddetail.html?SourceFrom=Ztb&amp;ZtbSoftXiaQuCode=1506&amp;ZtbSoftType=tballinclusive），经过签章和加密后生成的电子版投标文件。生成的电子版投标文件包含用于投标文件上传的主文件（后缀为.smxtf） ，和用于应急补救的投标文件备份文件（后缀为.nsmxtf），备份文件主要用于电子化开标出现技术问题后的补救，请供应商随身携带。</w:t>
            </w:r>
          </w:p>
          <w:p w14:paraId="33D66E95">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注：（1）供应商投报多个标段的，需要每个标段单独制作电子投标文件。</w:t>
            </w:r>
          </w:p>
          <w:p w14:paraId="66253B9A">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2、电子化投标文件应在投标截止时间前成功上传至三门峡市公共资源电子化交易系统。至投标截止时间止，仍未上传成功的电子化投标文件将不予接收。</w:t>
            </w:r>
          </w:p>
          <w:p w14:paraId="0593E144">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35AB10E5">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技术联系电话：0398-3117871</w:t>
            </w:r>
          </w:p>
          <w:p w14:paraId="7F40D312">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新点客服电话：4009980000</w:t>
            </w:r>
          </w:p>
          <w:p w14:paraId="14892288">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（三）电子化项目供应商、解密、唱标、评标</w:t>
            </w:r>
          </w:p>
          <w:p w14:paraId="49657A1F">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1、本项目采用电子化、无纸化进行招标，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投标文件解密等</w:t>
            </w:r>
          </w:p>
          <w:p w14:paraId="7B4279C0">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2、电子化投标文件采用一次加密方式。开标时，由供应商使用CA 证书，在规定时间内对其电子化投标文件进行解密。每位供应商的解密时间为开标时间起30 分钟内，如在规定时间内未完成解密的，其投标文件不予开标、唱标。</w:t>
            </w:r>
          </w:p>
          <w:p w14:paraId="1EF49089">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3、电子化投标文件异常情况的处理</w:t>
            </w:r>
          </w:p>
          <w:p w14:paraId="7792B707">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如出现供应商的电子投标文件无法解密等异常情况，供应商应及时致电技术部门处理。投标文件异常，按以下步骤进行处理：</w:t>
            </w:r>
          </w:p>
          <w:p w14:paraId="64027846">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（1）首先由技术人员进行问题排查。</w:t>
            </w:r>
          </w:p>
          <w:p w14:paraId="3B41DDD3">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（2）经技术人员排查后，是供应商文件自身问题导致投标文件无法解密的，该投标文件将不予接收、解密和唱标。开标会议继续进行。</w:t>
            </w:r>
          </w:p>
          <w:p w14:paraId="5AFFF863">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（3）经技术人员排查后，如果是电子化交易系统问题造成投标文件无法解密的，将由技术人员对问题进行处理。</w:t>
            </w:r>
          </w:p>
          <w:p w14:paraId="6A88C9F2">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4、待所有供应商磋商响应文件解密完成后，由中介服务机构操作，对所有已解密投标文件进行唱标。</w:t>
            </w:r>
          </w:p>
          <w:p w14:paraId="630E6A54">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供应商应保证在开标期间电话、电脑、网络能够正常工作，磋商响应人因停电、电脑病毒、网络堵塞等原因，未在规定的解密时间内对投标文件进行解密的，其投标文件不予接收、唱标。</w:t>
            </w:r>
          </w:p>
          <w:p w14:paraId="0FC7AB5C">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5、开标时供应商可登录到交易系统中在开标大厅中点击开标一览表查看自己的投标报价。如对自己的唱标内容有异议的，应在唱标内容显示后10分钟内向系统中质疑。供应商未在规定时间内提出质疑的，视为认可唱标内容。</w:t>
            </w:r>
          </w:p>
          <w:p w14:paraId="1D328AC0">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6、评标时，磋商小组对电子化投标文件有质疑的，将通过电子化交易系统对供应商发起质疑。质疑回复内容确认后，供应商的回复文件必须以经过磋商响应人和其法定代表人签章的PDF格式文件为准，并通过电子化交易系统提交至磋商小组。</w:t>
            </w:r>
          </w:p>
          <w:p w14:paraId="69C3E1E6">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7、</w:t>
            </w:r>
            <w:r>
              <w:rPr>
                <w:rFonts w:hint="eastAsia" w:ascii="宋体" w:hAnsi="宋体" w:eastAsia="宋体" w:cs="宋体"/>
                <w:sz w:val="24"/>
                <w:szCs w:val="24"/>
              </w:rPr>
              <w:t>响应人应在开标结束后，应该</w:t>
            </w:r>
            <w:bookmarkStart w:id="61" w:name="OLE_LINK131"/>
            <w:bookmarkStart w:id="62" w:name="OLE_LINK130"/>
            <w:r>
              <w:rPr>
                <w:rFonts w:hint="eastAsia" w:ascii="宋体" w:hAnsi="宋体" w:eastAsia="宋体" w:cs="宋体"/>
                <w:sz w:val="24"/>
                <w:szCs w:val="24"/>
              </w:rPr>
              <w:t>守在系统前，进行二轮或多轮报价或者磋商小组提出的答疑，报价和答疑时间为30分钟，若供应商错过时间或时间不够无法延时而导致文件无效或废标，由供应商自行承担责任。代理机构无义务必须通知到每个供应商进行报价或答疑。供应商若出现问题导致文件无效或废标，供应商自行承担责任。</w:t>
            </w:r>
            <w:bookmarkEnd w:id="61"/>
            <w:bookmarkEnd w:id="62"/>
          </w:p>
          <w:p w14:paraId="61CC6C79">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二、相关证书原件的提交</w:t>
            </w:r>
          </w:p>
          <w:p w14:paraId="667B7F9C">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本项目实行资格后审，审查内容以投标截止时间前在三门峡市公共资源交易系统上传的投标文件的信息为准。其上传资料真实性由投标人自行承担。评标委员会对原件的核验工作按以下条款进行：</w:t>
            </w:r>
          </w:p>
          <w:p w14:paraId="21C81955">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一）评标时，评委以投标截止时间前在三门峡市公共资源交易系统上传的投标文件的信息为准。其上传资料真实性由投标人自行承担。否则，由此造成应得分而未得分或资格审查不合格等情况的，由供应商承担责任。开评标现场不接受投标人所提交的任何原件。</w:t>
            </w:r>
          </w:p>
          <w:p w14:paraId="19C772D1">
            <w:pPr>
              <w:keepNext w:val="0"/>
              <w:keepLines w:val="0"/>
              <w:pageBreakBefore w:val="0"/>
              <w:widowControl w:val="0"/>
              <w:kinsoku/>
              <w:overflowPunct/>
              <w:topLinePunct w:val="0"/>
              <w:autoSpaceDE/>
              <w:autoSpaceDN/>
              <w:bidi w:val="0"/>
              <w:adjustRightInd/>
              <w:snapToGrid/>
              <w:spacing w:after="0" w:line="440" w:lineRule="exact"/>
              <w:jc w:val="both"/>
              <w:textAlignment w:val="auto"/>
              <w:outlineLvl w:val="9"/>
              <w:rPr>
                <w:rFonts w:ascii="宋体" w:hAnsi="宋体" w:eastAsia="宋体" w:cs="宋体"/>
                <w:kern w:val="2"/>
                <w:sz w:val="24"/>
                <w:szCs w:val="24"/>
              </w:rPr>
            </w:pPr>
            <w:r>
              <w:rPr>
                <w:rFonts w:hint="eastAsia" w:ascii="宋体" w:hAnsi="宋体" w:eastAsia="宋体" w:cs="宋体"/>
                <w:kern w:val="2"/>
                <w:sz w:val="24"/>
                <w:szCs w:val="24"/>
              </w:rPr>
              <w:t>（二）供应商需应仔细阅读操作手册，保证上传内容齐全，真实有效，原件扫描件清晰可辨。因供应商上传原因导致应得分项而未得分或资格审查不合格等情况的，由磋商响应人自行承担责任。</w:t>
            </w:r>
          </w:p>
          <w:p w14:paraId="62D7BC94">
            <w:pPr>
              <w:keepNext w:val="0"/>
              <w:keepLines w:val="0"/>
              <w:pageBreakBefore w:val="0"/>
              <w:kinsoku/>
              <w:overflowPunct/>
              <w:topLinePunct w:val="0"/>
              <w:autoSpaceDE/>
              <w:autoSpaceDN/>
              <w:bidi w:val="0"/>
              <w:spacing w:after="0" w:line="440" w:lineRule="exact"/>
              <w:textAlignment w:val="auto"/>
              <w:outlineLvl w:val="9"/>
              <w:rPr>
                <w:rFonts w:ascii="宋体" w:hAnsi="宋体" w:eastAsia="宋体" w:cs="宋体"/>
                <w:kern w:val="2"/>
                <w:sz w:val="24"/>
                <w:szCs w:val="24"/>
              </w:rPr>
            </w:pPr>
            <w:r>
              <w:rPr>
                <w:rFonts w:hint="eastAsia" w:ascii="宋体" w:hAnsi="宋体" w:eastAsia="宋体" w:cs="宋体"/>
                <w:kern w:val="2"/>
                <w:sz w:val="24"/>
                <w:szCs w:val="24"/>
              </w:rPr>
              <w:t>提示：本项目为电子化、无纸化交易项目，开标时不再接受任何纸质资料，为保证您能投标成功，请需仔细阅读以上条款。</w:t>
            </w:r>
          </w:p>
        </w:tc>
      </w:tr>
    </w:tbl>
    <w:p w14:paraId="1E7C7BFA">
      <w:pPr>
        <w:spacing w:after="0" w:line="500" w:lineRule="exact"/>
        <w:outlineLvl w:val="9"/>
        <w:rPr>
          <w:rFonts w:cs="宋体" w:asciiTheme="minorEastAsia" w:hAnsiTheme="minorEastAsia" w:eastAsiaTheme="minorEastAsia"/>
          <w:b/>
          <w:bCs/>
          <w:kern w:val="28"/>
          <w:sz w:val="24"/>
          <w:szCs w:val="24"/>
        </w:rPr>
      </w:pPr>
      <w:bookmarkStart w:id="63" w:name="_Toc20823275"/>
      <w:bookmarkEnd w:id="63"/>
      <w:bookmarkStart w:id="64" w:name="_Toc513029203"/>
      <w:bookmarkEnd w:id="64"/>
      <w:bookmarkStart w:id="65" w:name="_Toc120614214"/>
      <w:bookmarkEnd w:id="65"/>
      <w:bookmarkStart w:id="66" w:name="_Toc16938519"/>
      <w:bookmarkEnd w:id="66"/>
      <w:bookmarkStart w:id="67" w:name="_Toc517178993"/>
      <w:bookmarkEnd w:id="67"/>
      <w:bookmarkStart w:id="68" w:name="_Toc528078008"/>
      <w:bookmarkStart w:id="69" w:name="_Toc16770549"/>
      <w:r>
        <w:rPr>
          <w:rFonts w:asciiTheme="minorEastAsia" w:hAnsiTheme="minorEastAsia" w:eastAsiaTheme="minorEastAsia"/>
        </w:rPr>
        <w:br w:type="page"/>
      </w:r>
      <w:bookmarkEnd w:id="68"/>
      <w:bookmarkEnd w:id="69"/>
      <w:bookmarkStart w:id="70" w:name="_Toc179632546"/>
      <w:bookmarkStart w:id="71" w:name="_Toc246996918"/>
      <w:bookmarkStart w:id="72" w:name="_Toc144974497"/>
      <w:bookmarkStart w:id="73" w:name="_Toc152042305"/>
      <w:bookmarkStart w:id="74" w:name="_Toc152045529"/>
      <w:bookmarkStart w:id="75" w:name="_Toc296602420"/>
      <w:bookmarkStart w:id="76" w:name="_Toc246996175"/>
      <w:bookmarkStart w:id="77" w:name="_Toc247085689"/>
      <w:r>
        <w:rPr>
          <w:rFonts w:hint="eastAsia" w:cs="宋体" w:asciiTheme="minorEastAsia" w:hAnsiTheme="minorEastAsia" w:eastAsiaTheme="minorEastAsia"/>
          <w:b/>
          <w:bCs/>
          <w:kern w:val="28"/>
          <w:sz w:val="24"/>
          <w:szCs w:val="24"/>
        </w:rPr>
        <w:t>1. 总则</w:t>
      </w:r>
      <w:bookmarkEnd w:id="70"/>
      <w:bookmarkEnd w:id="71"/>
      <w:bookmarkEnd w:id="72"/>
      <w:bookmarkEnd w:id="73"/>
      <w:bookmarkEnd w:id="74"/>
      <w:bookmarkEnd w:id="75"/>
      <w:bookmarkEnd w:id="76"/>
      <w:bookmarkEnd w:id="77"/>
    </w:p>
    <w:p w14:paraId="30C22D53">
      <w:pPr>
        <w:spacing w:before="0" w:line="500" w:lineRule="exact"/>
        <w:ind w:firstLine="240" w:firstLineChars="100"/>
        <w:outlineLvl w:val="9"/>
        <w:rPr>
          <w:rFonts w:cs="宋体" w:asciiTheme="minorEastAsia" w:hAnsiTheme="minorEastAsia" w:eastAsiaTheme="minorEastAsia"/>
          <w:sz w:val="24"/>
          <w:szCs w:val="24"/>
        </w:rPr>
      </w:pPr>
      <w:bookmarkStart w:id="78" w:name="_Toc247085690"/>
      <w:bookmarkStart w:id="79" w:name="_Toc179632547"/>
      <w:bookmarkStart w:id="80" w:name="_Toc144974498"/>
      <w:bookmarkStart w:id="81" w:name="_Toc296602421"/>
      <w:bookmarkStart w:id="82" w:name="_Toc246996919"/>
      <w:bookmarkStart w:id="83" w:name="_Toc152042306"/>
      <w:bookmarkStart w:id="84" w:name="_Toc152045530"/>
      <w:bookmarkStart w:id="85" w:name="_Toc77586820"/>
      <w:bookmarkStart w:id="86" w:name="_Toc77586913"/>
      <w:bookmarkStart w:id="87" w:name="_Toc246996176"/>
      <w:r>
        <w:rPr>
          <w:rFonts w:hint="eastAsia" w:cs="宋体" w:asciiTheme="minorEastAsia" w:hAnsiTheme="minorEastAsia" w:eastAsiaTheme="minorEastAsia"/>
          <w:sz w:val="24"/>
          <w:szCs w:val="24"/>
        </w:rPr>
        <w:t>1.1 项目概况</w:t>
      </w:r>
      <w:bookmarkEnd w:id="78"/>
      <w:bookmarkEnd w:id="79"/>
      <w:bookmarkEnd w:id="80"/>
      <w:bookmarkEnd w:id="81"/>
      <w:bookmarkEnd w:id="82"/>
      <w:bookmarkEnd w:id="83"/>
      <w:bookmarkEnd w:id="84"/>
      <w:bookmarkEnd w:id="85"/>
      <w:bookmarkEnd w:id="86"/>
      <w:bookmarkEnd w:id="87"/>
    </w:p>
    <w:p w14:paraId="1EF879A2">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1.1.1根据《政府采购竞争性磋商采购方式管理暂行办法》等有关法律、法规和规章的规定，本磋商项目已具备磋商条件，现对本项目施工进行竞争性磋商。</w:t>
      </w:r>
    </w:p>
    <w:p w14:paraId="5FA3DB2A">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1.1.2 本磋商项目采购人：见供应商须知前附表。</w:t>
      </w:r>
    </w:p>
    <w:p w14:paraId="02005554">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1.1.3 本磋商项目招标代理机构：见供应商须知前附表。</w:t>
      </w:r>
    </w:p>
    <w:p w14:paraId="73E9DE6F">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1.1.4 本磋商项目名称：见供应商须知前附表。</w:t>
      </w:r>
    </w:p>
    <w:p w14:paraId="363A9309">
      <w:pPr>
        <w:spacing w:before="0" w:line="500" w:lineRule="exact"/>
        <w:ind w:firstLine="240" w:firstLineChars="100"/>
        <w:outlineLvl w:val="9"/>
        <w:rPr>
          <w:rFonts w:cs="宋体" w:asciiTheme="minorEastAsia" w:hAnsiTheme="minorEastAsia" w:eastAsiaTheme="minorEastAsia"/>
          <w:sz w:val="24"/>
          <w:szCs w:val="24"/>
        </w:rPr>
      </w:pPr>
      <w:bookmarkStart w:id="88" w:name="_Toc77586821"/>
      <w:bookmarkStart w:id="89" w:name="_Toc152045531"/>
      <w:bookmarkStart w:id="90" w:name="_Toc246996920"/>
      <w:bookmarkStart w:id="91" w:name="_Toc246996177"/>
      <w:bookmarkStart w:id="92" w:name="_Toc77586914"/>
      <w:bookmarkStart w:id="93" w:name="_Toc247085691"/>
      <w:bookmarkStart w:id="94" w:name="_Toc152042307"/>
      <w:bookmarkStart w:id="95" w:name="_Toc296602422"/>
      <w:bookmarkStart w:id="96" w:name="_Toc179632548"/>
      <w:bookmarkStart w:id="97" w:name="_Toc144974499"/>
      <w:r>
        <w:rPr>
          <w:rFonts w:hint="eastAsia" w:cs="宋体" w:asciiTheme="minorEastAsia" w:hAnsiTheme="minorEastAsia" w:eastAsiaTheme="minorEastAsia"/>
          <w:sz w:val="24"/>
          <w:szCs w:val="24"/>
        </w:rPr>
        <w:t>1.2 资金来源和落实情况</w:t>
      </w:r>
      <w:bookmarkEnd w:id="88"/>
      <w:bookmarkEnd w:id="89"/>
      <w:bookmarkEnd w:id="90"/>
      <w:bookmarkEnd w:id="91"/>
      <w:bookmarkEnd w:id="92"/>
      <w:bookmarkEnd w:id="93"/>
      <w:bookmarkEnd w:id="94"/>
      <w:bookmarkEnd w:id="95"/>
      <w:bookmarkEnd w:id="96"/>
      <w:bookmarkEnd w:id="97"/>
    </w:p>
    <w:p w14:paraId="02844088">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1.2.1 本磋商项目的资金来源及出资比例：见供应商须知前附表。</w:t>
      </w:r>
    </w:p>
    <w:p w14:paraId="32ED8FDA">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1.2.2 本磋商项目的资金落实情况：见供应商须知前附表。</w:t>
      </w:r>
    </w:p>
    <w:p w14:paraId="10546BBA">
      <w:pPr>
        <w:spacing w:before="0" w:line="500" w:lineRule="exact"/>
        <w:ind w:firstLine="240" w:firstLineChars="100"/>
        <w:outlineLvl w:val="9"/>
        <w:rPr>
          <w:rFonts w:cs="宋体" w:asciiTheme="minorEastAsia" w:hAnsiTheme="minorEastAsia" w:eastAsiaTheme="minorEastAsia"/>
          <w:sz w:val="24"/>
          <w:szCs w:val="24"/>
        </w:rPr>
      </w:pPr>
      <w:bookmarkStart w:id="98" w:name="_Toc246996921"/>
      <w:bookmarkStart w:id="99" w:name="_Toc179632549"/>
      <w:bookmarkStart w:id="100" w:name="_Toc246996178"/>
      <w:bookmarkStart w:id="101" w:name="_Toc152045532"/>
      <w:bookmarkStart w:id="102" w:name="_Toc247085692"/>
      <w:bookmarkStart w:id="103" w:name="_Toc77586915"/>
      <w:bookmarkStart w:id="104" w:name="_Toc296602423"/>
      <w:bookmarkStart w:id="105" w:name="_Toc77586822"/>
      <w:bookmarkStart w:id="106" w:name="_Toc152042308"/>
      <w:bookmarkStart w:id="107" w:name="_Toc144974500"/>
      <w:r>
        <w:rPr>
          <w:rFonts w:hint="eastAsia" w:cs="宋体" w:asciiTheme="minorEastAsia" w:hAnsiTheme="minorEastAsia" w:eastAsiaTheme="minorEastAsia"/>
          <w:sz w:val="24"/>
          <w:szCs w:val="24"/>
        </w:rPr>
        <w:t>1.3 磋商范围、工期、质量要求</w:t>
      </w:r>
      <w:bookmarkEnd w:id="98"/>
      <w:bookmarkEnd w:id="99"/>
      <w:bookmarkEnd w:id="100"/>
      <w:bookmarkEnd w:id="101"/>
      <w:bookmarkEnd w:id="102"/>
      <w:bookmarkEnd w:id="103"/>
      <w:bookmarkEnd w:id="104"/>
      <w:bookmarkEnd w:id="105"/>
      <w:bookmarkEnd w:id="106"/>
      <w:bookmarkEnd w:id="107"/>
    </w:p>
    <w:p w14:paraId="292EC4DE">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1.3.1 本次磋商范围：见供应商须知前附表。</w:t>
      </w:r>
    </w:p>
    <w:p w14:paraId="51D0E767">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1.3.2 本磋商项目的工期：见供应商须知前附表。</w:t>
      </w:r>
    </w:p>
    <w:p w14:paraId="6EAEB117">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1.3.3 本磋商项目的质量要求：见供应商须知前附表。</w:t>
      </w:r>
    </w:p>
    <w:p w14:paraId="77BDA59F">
      <w:pPr>
        <w:spacing w:before="0" w:line="500" w:lineRule="exact"/>
        <w:ind w:firstLine="240" w:firstLineChars="100"/>
        <w:outlineLvl w:val="9"/>
        <w:rPr>
          <w:rFonts w:cs="宋体" w:asciiTheme="minorEastAsia" w:hAnsiTheme="minorEastAsia" w:eastAsiaTheme="minorEastAsia"/>
          <w:sz w:val="24"/>
          <w:szCs w:val="24"/>
        </w:rPr>
      </w:pPr>
      <w:bookmarkStart w:id="108" w:name="_Toc246996922"/>
      <w:bookmarkStart w:id="109" w:name="_Toc77586916"/>
      <w:bookmarkStart w:id="110" w:name="_Toc247085693"/>
      <w:bookmarkStart w:id="111" w:name="_Toc246996179"/>
      <w:bookmarkStart w:id="112" w:name="_Toc152042310"/>
      <w:bookmarkStart w:id="113" w:name="_Toc296602424"/>
      <w:bookmarkStart w:id="114" w:name="_Toc179632551"/>
      <w:bookmarkStart w:id="115" w:name="_Toc77586823"/>
      <w:bookmarkStart w:id="116" w:name="_Toc152045534"/>
      <w:bookmarkStart w:id="117" w:name="_Toc144974502"/>
      <w:r>
        <w:rPr>
          <w:rFonts w:hint="eastAsia" w:cs="宋体" w:asciiTheme="minorEastAsia" w:hAnsiTheme="minorEastAsia" w:eastAsiaTheme="minorEastAsia"/>
          <w:sz w:val="24"/>
          <w:szCs w:val="24"/>
        </w:rPr>
        <w:t>1.4 供应商资格要求</w:t>
      </w:r>
      <w:bookmarkEnd w:id="108"/>
      <w:bookmarkEnd w:id="109"/>
      <w:bookmarkEnd w:id="110"/>
      <w:bookmarkEnd w:id="111"/>
      <w:bookmarkEnd w:id="112"/>
      <w:bookmarkEnd w:id="113"/>
      <w:bookmarkEnd w:id="114"/>
      <w:bookmarkEnd w:id="115"/>
      <w:bookmarkEnd w:id="116"/>
      <w:bookmarkEnd w:id="117"/>
    </w:p>
    <w:p w14:paraId="64A7EB5D">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1.4.1.1、供应商符合《中华人民共和国政府采购法》第二十二条规定条件；</w:t>
      </w:r>
    </w:p>
    <w:p w14:paraId="48DD922A">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1.4.1.2、落实政府采购政策满足的资格要求：本项目专门面向中小企业采购，供应商必须是中小型企业(含微型企业，监狱企业及残疾人福利性单位视同小型、微型企业)，须提供《中小企业声明函》(中小企业划型标准见《关于印发中小企业划型标准规定的通知(工信部联企业[2011]300号)》);</w:t>
      </w:r>
    </w:p>
    <w:p w14:paraId="5F262C62">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1.4.1.3、本项目的特定资格要求：</w:t>
      </w:r>
    </w:p>
    <w:p w14:paraId="1AF1C0AC">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（1）、供应商具有独立承担民事责任的能力（提供有效的企业营业执照或其他证明材料）；</w:t>
      </w:r>
    </w:p>
    <w:p w14:paraId="061F7266">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（2）、供应商须具有市政公用工程施工总承包叁级（含叁级）以上资质，具有有效的安全生产许可证，并在人员、设备、资金等方面具有相应的施工能力；</w:t>
      </w:r>
    </w:p>
    <w:p w14:paraId="3CA25DF5">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3）、拟派项目经理应具备市政公用工程专业贰级（含贰级）以上注册建造师资格，须提供注册建造师证书、安全生产考核合格证书，提供在本单位缴费的社保证明，并出具无在建新建工程承诺书（自行承诺）；</w:t>
      </w:r>
    </w:p>
    <w:p w14:paraId="09B25082">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（4）、供应商需提供本企业的无商业贿赂及不正当竞争行为的承诺书；</w:t>
      </w:r>
    </w:p>
    <w:p w14:paraId="50ABFBB8">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（5）、参加政府采购活动前3年内无行贿犯罪记录，（开标时提供《中国裁判文书网》查询结果网页截图或企业自行承诺的无行贿犯罪承诺书，查询&lt;承诺&gt;对象为“企业，法定代表人，项目经理”）；</w:t>
      </w:r>
    </w:p>
    <w:p w14:paraId="125C3126">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6）、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截图要显示查询时间，查询时间自本公告发布之日起；</w:t>
      </w:r>
    </w:p>
    <w:p w14:paraId="088C0A7A">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 xml:space="preserve">（7）、信誉要求： </w:t>
      </w:r>
    </w:p>
    <w:p w14:paraId="7F7E0124">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（7.1）、被列入全国或省级建筑市场监管公共服务平台“黑名单”且在管理期限内的（投标人、拟派项目经理）；</w:t>
      </w:r>
    </w:p>
    <w:p w14:paraId="09111C5E">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（7.2）、被列入国家企业信用信息公示系统“严重违法失信名单”且在管理期限内的；（投标人）</w:t>
      </w:r>
    </w:p>
    <w:p w14:paraId="52B2DEA8">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（7.3）、投标所用建筑工程施工总承包资质在全国或省级建筑市场监管公共服务平台资质状况被标注资质异常状态的（投标人）；</w:t>
      </w:r>
    </w:p>
    <w:p w14:paraId="5EDC15B0">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投标人需提供上述途径查询结果截图，并对其真实性负责。查询时间为招标公告发布之日后，投标截止时间前，查询结果需显示时间。若存在一个及以上记录的或截图不符合要求的，其投标资格应予以否决；</w:t>
      </w:r>
    </w:p>
    <w:p w14:paraId="72DEE6A2">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8）、单位负责人为同一人或者存在控股、管理关系的不同单位，不得参加同一标段投标（提供“国家企业信用信息公示系统”http://www.gsxt.gov.cn/index.html查询内容,须包含公司基本信息、股东信息及股权变更信息等全部内容）；</w:t>
      </w:r>
    </w:p>
    <w:p w14:paraId="296BA5DB">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（9）、本项目实行资格后审；</w:t>
      </w:r>
    </w:p>
    <w:p w14:paraId="491C2EC0">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（10）、本项目不接受联合体投标。</w:t>
      </w:r>
    </w:p>
    <w:p w14:paraId="0FDDD48A">
      <w:pPr>
        <w:pStyle w:val="63"/>
        <w:spacing w:before="0" w:beforeAutospacing="0" w:after="0" w:line="500" w:lineRule="exact"/>
        <w:ind w:left="0" w:firstLine="480" w:firstLineChars="200"/>
        <w:outlineLvl w:val="9"/>
        <w:rPr>
          <w:rFonts w:hint="default" w:cs="宋体" w:asciiTheme="minorEastAsia" w:hAnsiTheme="minorEastAsia" w:eastAsiaTheme="minorEastAsia"/>
          <w:b w:val="0"/>
        </w:rPr>
      </w:pPr>
      <w:r>
        <w:rPr>
          <w:rFonts w:cs="宋体" w:asciiTheme="minorEastAsia" w:hAnsiTheme="minorEastAsia" w:eastAsiaTheme="minorEastAsia"/>
          <w:b w:val="0"/>
        </w:rPr>
        <w:t>1.4.2 供应商须知规定本磋商项目不接受联合体投标。</w:t>
      </w:r>
    </w:p>
    <w:p w14:paraId="3E3DD673">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1.4.3 供应商不得存在下列情形之一：</w:t>
      </w:r>
    </w:p>
    <w:p w14:paraId="3AB38660">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（1）为采购人不具有独立法人资格的附属机构（单位）；</w:t>
      </w:r>
    </w:p>
    <w:p w14:paraId="7783B2CF">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（2）为本磋商项目前期准备提供设计或咨询服务的； </w:t>
      </w:r>
    </w:p>
    <w:p w14:paraId="5B77ED8C">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（3）为本磋商项目的监理人；</w:t>
      </w:r>
    </w:p>
    <w:p w14:paraId="4FA72727">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（4）为本磋商项目的代建人； </w:t>
      </w:r>
    </w:p>
    <w:p w14:paraId="5F0B4F95">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（5）为本磋商项目提供招标代理服务的； </w:t>
      </w:r>
    </w:p>
    <w:p w14:paraId="1413E85B">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（6）与本磋商项目的监理人或代建人或招标代理机构同为一个法定代表人的；</w:t>
      </w:r>
    </w:p>
    <w:p w14:paraId="7069D196">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（7）与本磋商项目的监理人或代建人或招标代理机构相互控股或参股的；</w:t>
      </w:r>
    </w:p>
    <w:p w14:paraId="43CF64D0">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（8）与本磋商项目的监理人或代建人或招标代理机构相互任职或工作的；</w:t>
      </w:r>
    </w:p>
    <w:p w14:paraId="436D4002">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（9）被责令停业的； </w:t>
      </w:r>
    </w:p>
    <w:p w14:paraId="64E70D7A">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（10）被暂停或取消投标资格的； </w:t>
      </w:r>
    </w:p>
    <w:p w14:paraId="022E8014">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（11）财产被接管或冻结的；</w:t>
      </w:r>
    </w:p>
    <w:p w14:paraId="212CAB8D">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（12）在最近三年内有骗取成交或严重违约或重大工程质量问题的。</w:t>
      </w:r>
    </w:p>
    <w:p w14:paraId="404CFB6E">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（13）单位负责人为同一人或者存在直接控股、管理关系的不同供应商，不得参加同一合同项下的政府采购活动。</w:t>
      </w:r>
    </w:p>
    <w:p w14:paraId="1FBBC679">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（14）为采购项目提供整体设计、规范编制或者项目管理、监理、检测等服务的供应商，不得再参加该采购项目的其他采购活动。</w:t>
      </w:r>
    </w:p>
    <w:p w14:paraId="6C8F428A">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（15）与招标人存在利害关系可能影响招标公正性的法人、其他组织或者个人，不得参加投标。</w:t>
      </w:r>
    </w:p>
    <w:p w14:paraId="79E70CD2">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（16）单位负责人为同一人或者存在控股、管理关系的不同单位，不得参加同一标段投标或者未划分标段的同一招标项目投标。</w:t>
      </w:r>
    </w:p>
    <w:p w14:paraId="3724176B">
      <w:pPr>
        <w:spacing w:before="0" w:line="500" w:lineRule="exact"/>
        <w:ind w:firstLine="240" w:firstLineChars="100"/>
        <w:outlineLvl w:val="9"/>
        <w:rPr>
          <w:rFonts w:cs="宋体" w:asciiTheme="minorEastAsia" w:hAnsiTheme="minorEastAsia" w:eastAsiaTheme="minorEastAsia"/>
          <w:sz w:val="24"/>
          <w:szCs w:val="24"/>
        </w:rPr>
      </w:pPr>
      <w:bookmarkStart w:id="118" w:name="_Toc77586917"/>
      <w:bookmarkStart w:id="119" w:name="_Toc77586824"/>
      <w:bookmarkStart w:id="120" w:name="_Toc179632552"/>
      <w:bookmarkStart w:id="121" w:name="_Toc152042311"/>
      <w:bookmarkStart w:id="122" w:name="_Toc152045535"/>
      <w:bookmarkStart w:id="123" w:name="_Toc144974503"/>
      <w:r>
        <w:rPr>
          <w:rFonts w:hint="eastAsia" w:cs="宋体" w:asciiTheme="minorEastAsia" w:hAnsiTheme="minorEastAsia" w:eastAsiaTheme="minorEastAsia"/>
          <w:sz w:val="24"/>
          <w:szCs w:val="24"/>
        </w:rPr>
        <w:t>1.5 费用承担</w:t>
      </w:r>
      <w:bookmarkEnd w:id="118"/>
      <w:bookmarkEnd w:id="119"/>
      <w:bookmarkEnd w:id="120"/>
      <w:bookmarkEnd w:id="121"/>
      <w:bookmarkEnd w:id="122"/>
      <w:bookmarkEnd w:id="123"/>
    </w:p>
    <w:p w14:paraId="5CF11ADC">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供应商准备和参加投标活动发生的费用自理。</w:t>
      </w:r>
    </w:p>
    <w:p w14:paraId="4BE21FD4">
      <w:pPr>
        <w:spacing w:before="0" w:line="500" w:lineRule="exact"/>
        <w:ind w:firstLine="240" w:firstLineChars="100"/>
        <w:outlineLvl w:val="9"/>
        <w:rPr>
          <w:rFonts w:cs="宋体" w:asciiTheme="minorEastAsia" w:hAnsiTheme="minorEastAsia" w:eastAsiaTheme="minorEastAsia"/>
          <w:sz w:val="24"/>
          <w:szCs w:val="24"/>
        </w:rPr>
      </w:pPr>
      <w:bookmarkStart w:id="124" w:name="_Toc179632553"/>
      <w:bookmarkStart w:id="125" w:name="_Toc296602426"/>
      <w:bookmarkStart w:id="126" w:name="_Toc144974504"/>
      <w:bookmarkStart w:id="127" w:name="_Toc77586918"/>
      <w:bookmarkStart w:id="128" w:name="_Toc152045536"/>
      <w:bookmarkStart w:id="129" w:name="_Toc246996924"/>
      <w:bookmarkStart w:id="130" w:name="_Toc77586825"/>
      <w:bookmarkStart w:id="131" w:name="_Toc246996181"/>
      <w:bookmarkStart w:id="132" w:name="_Toc152042312"/>
      <w:bookmarkStart w:id="133" w:name="_Toc247085695"/>
      <w:r>
        <w:rPr>
          <w:rFonts w:hint="eastAsia" w:cs="宋体" w:asciiTheme="minorEastAsia" w:hAnsiTheme="minorEastAsia" w:eastAsiaTheme="minorEastAsia"/>
          <w:sz w:val="24"/>
          <w:szCs w:val="24"/>
        </w:rPr>
        <w:t>1.6 保密</w:t>
      </w:r>
      <w:bookmarkEnd w:id="124"/>
      <w:bookmarkEnd w:id="125"/>
      <w:bookmarkEnd w:id="126"/>
      <w:bookmarkEnd w:id="127"/>
      <w:bookmarkEnd w:id="128"/>
      <w:bookmarkEnd w:id="129"/>
      <w:bookmarkEnd w:id="130"/>
      <w:bookmarkEnd w:id="131"/>
      <w:bookmarkEnd w:id="132"/>
      <w:bookmarkEnd w:id="133"/>
    </w:p>
    <w:p w14:paraId="1ED9FAD4">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参与招标投标活动的各方应对竞争性磋商文件和磋商响应文件中的商业和技术等秘密保密，违者应对由此造成的后果承担法律责任。 </w:t>
      </w:r>
    </w:p>
    <w:p w14:paraId="15600BBB">
      <w:pPr>
        <w:pStyle w:val="61"/>
        <w:spacing w:before="0" w:beforeAutospacing="0" w:after="0" w:line="500" w:lineRule="exact"/>
        <w:ind w:left="0"/>
        <w:outlineLvl w:val="9"/>
        <w:rPr>
          <w:rFonts w:cs="宋体" w:asciiTheme="minorEastAsia" w:hAnsiTheme="minorEastAsia" w:eastAsiaTheme="minorEastAsia"/>
          <w:b/>
          <w:color w:val="auto"/>
          <w:sz w:val="24"/>
          <w:szCs w:val="24"/>
        </w:rPr>
      </w:pPr>
      <w:bookmarkStart w:id="134" w:name="_Toc144974505"/>
      <w:bookmarkStart w:id="135" w:name="_Toc247085696"/>
      <w:bookmarkStart w:id="136" w:name="_Toc77586826"/>
      <w:bookmarkStart w:id="137" w:name="_Toc179632554"/>
      <w:bookmarkStart w:id="138" w:name="_Toc246996925"/>
      <w:bookmarkStart w:id="139" w:name="_Toc296602427"/>
      <w:bookmarkStart w:id="140" w:name="_Toc246996182"/>
      <w:bookmarkStart w:id="141" w:name="_Toc77586919"/>
      <w:bookmarkStart w:id="142" w:name="_Toc152042313"/>
      <w:bookmarkStart w:id="143" w:name="_Toc152045537"/>
      <w:r>
        <w:rPr>
          <w:rFonts w:hint="eastAsia" w:cs="宋体" w:asciiTheme="minorEastAsia" w:hAnsiTheme="minorEastAsia" w:eastAsiaTheme="minorEastAsia"/>
          <w:b/>
          <w:color w:val="auto"/>
          <w:sz w:val="24"/>
          <w:szCs w:val="24"/>
        </w:rPr>
        <w:t>1.7 语言</w:t>
      </w:r>
      <w:bookmarkEnd w:id="134"/>
      <w:r>
        <w:rPr>
          <w:rFonts w:hint="eastAsia" w:cs="宋体" w:asciiTheme="minorEastAsia" w:hAnsiTheme="minorEastAsia" w:eastAsiaTheme="minorEastAsia"/>
          <w:b/>
          <w:color w:val="auto"/>
          <w:sz w:val="24"/>
          <w:szCs w:val="24"/>
        </w:rPr>
        <w:t>文字</w:t>
      </w:r>
      <w:bookmarkEnd w:id="135"/>
      <w:bookmarkEnd w:id="136"/>
      <w:bookmarkEnd w:id="137"/>
      <w:bookmarkEnd w:id="138"/>
      <w:bookmarkEnd w:id="139"/>
      <w:bookmarkEnd w:id="140"/>
      <w:bookmarkEnd w:id="141"/>
      <w:bookmarkEnd w:id="142"/>
      <w:bookmarkEnd w:id="143"/>
    </w:p>
    <w:p w14:paraId="61E4934C">
      <w:pPr>
        <w:spacing w:after="0" w:line="500" w:lineRule="exact"/>
        <w:ind w:firstLine="480" w:firstLineChars="200"/>
        <w:outlineLvl w:val="9"/>
        <w:rPr>
          <w:rFonts w:cs="宋体" w:asciiTheme="minorEastAsia" w:hAnsiTheme="minorEastAsia" w:eastAsiaTheme="minorEastAsia"/>
          <w:sz w:val="24"/>
          <w:szCs w:val="24"/>
        </w:rPr>
      </w:pPr>
      <w:bookmarkStart w:id="144" w:name="_Toc144974506"/>
      <w:bookmarkStart w:id="145" w:name="_Toc247085697"/>
      <w:bookmarkStart w:id="146" w:name="_Toc246996183"/>
      <w:bookmarkStart w:id="147" w:name="_Toc152042314"/>
      <w:bookmarkStart w:id="148" w:name="_Toc152045538"/>
      <w:bookmarkStart w:id="149" w:name="_Toc246996926"/>
      <w:bookmarkStart w:id="150" w:name="_Toc179632555"/>
      <w:r>
        <w:rPr>
          <w:rFonts w:hint="eastAsia" w:cs="宋体" w:asciiTheme="minorEastAsia" w:hAnsiTheme="minorEastAsia" w:eastAsiaTheme="minorEastAsia"/>
          <w:sz w:val="24"/>
          <w:szCs w:val="24"/>
        </w:rPr>
        <w:t>招标磋商响应文件使用的语言文字为中文。专用术语使用外文的，应附有中文注释。</w:t>
      </w:r>
    </w:p>
    <w:p w14:paraId="6D234A2B">
      <w:pPr>
        <w:spacing w:before="0" w:line="500" w:lineRule="exact"/>
        <w:outlineLvl w:val="9"/>
        <w:rPr>
          <w:rFonts w:cs="宋体" w:asciiTheme="minorEastAsia" w:hAnsiTheme="minorEastAsia" w:eastAsiaTheme="minorEastAsia"/>
          <w:sz w:val="24"/>
          <w:szCs w:val="24"/>
        </w:rPr>
      </w:pPr>
      <w:bookmarkStart w:id="151" w:name="_Toc77586827"/>
      <w:bookmarkStart w:id="152" w:name="_Toc296602428"/>
      <w:bookmarkStart w:id="153" w:name="_Toc77586920"/>
      <w:r>
        <w:rPr>
          <w:rFonts w:hint="eastAsia" w:cs="宋体" w:asciiTheme="minorEastAsia" w:hAnsiTheme="minorEastAsia" w:eastAsiaTheme="minorEastAsia"/>
          <w:sz w:val="24"/>
          <w:szCs w:val="24"/>
        </w:rPr>
        <w:t>1.8 计量单位</w:t>
      </w:r>
      <w:bookmarkEnd w:id="144"/>
      <w:bookmarkEnd w:id="145"/>
      <w:bookmarkEnd w:id="146"/>
      <w:bookmarkEnd w:id="147"/>
      <w:bookmarkEnd w:id="148"/>
      <w:bookmarkEnd w:id="149"/>
      <w:bookmarkEnd w:id="150"/>
      <w:bookmarkEnd w:id="151"/>
      <w:bookmarkEnd w:id="152"/>
      <w:bookmarkEnd w:id="153"/>
    </w:p>
    <w:p w14:paraId="399A677C">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所有计量均采用中华人民共和国法定计量单位。</w:t>
      </w:r>
    </w:p>
    <w:p w14:paraId="6C496972">
      <w:pPr>
        <w:spacing w:before="0" w:line="500" w:lineRule="exact"/>
        <w:outlineLvl w:val="9"/>
        <w:rPr>
          <w:rFonts w:cs="宋体" w:asciiTheme="minorEastAsia" w:hAnsiTheme="minorEastAsia" w:eastAsiaTheme="minorEastAsia"/>
          <w:sz w:val="24"/>
          <w:szCs w:val="24"/>
        </w:rPr>
      </w:pPr>
      <w:bookmarkStart w:id="154" w:name="_Toc247527563"/>
      <w:bookmarkStart w:id="155" w:name="_Toc144974507"/>
      <w:bookmarkStart w:id="156" w:name="_Toc152045539"/>
      <w:bookmarkStart w:id="157" w:name="_Toc247592876"/>
      <w:bookmarkStart w:id="158" w:name="_Toc77586828"/>
      <w:bookmarkStart w:id="159" w:name="_Toc296602429"/>
      <w:bookmarkStart w:id="160" w:name="_Toc247513962"/>
      <w:bookmarkStart w:id="161" w:name="_Toc77586921"/>
      <w:bookmarkStart w:id="162" w:name="_Toc152042315"/>
      <w:r>
        <w:rPr>
          <w:rFonts w:hint="eastAsia" w:cs="宋体" w:asciiTheme="minorEastAsia" w:hAnsiTheme="minorEastAsia" w:eastAsiaTheme="minorEastAsia"/>
          <w:sz w:val="24"/>
          <w:szCs w:val="24"/>
        </w:rPr>
        <w:t>1.9 踏勘现场</w:t>
      </w:r>
      <w:bookmarkEnd w:id="154"/>
      <w:bookmarkEnd w:id="155"/>
      <w:bookmarkEnd w:id="156"/>
      <w:bookmarkEnd w:id="157"/>
      <w:bookmarkEnd w:id="158"/>
      <w:bookmarkEnd w:id="159"/>
      <w:bookmarkEnd w:id="160"/>
      <w:bookmarkEnd w:id="161"/>
      <w:bookmarkEnd w:id="162"/>
    </w:p>
    <w:p w14:paraId="131AD11E">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1.9.1 采购人不组织现场踏勘，由供应商自行踏勘。 </w:t>
      </w:r>
    </w:p>
    <w:p w14:paraId="060619BA">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1.9.2 供应商踏勘现场发生的费用自理。</w:t>
      </w:r>
    </w:p>
    <w:p w14:paraId="474789E3">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1.9.3 供应商自行负责在踏勘现场中所发生的人员伤亡和财产损失。</w:t>
      </w:r>
    </w:p>
    <w:p w14:paraId="58078958">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1.9.4 供应商在踏勘现场中看到的工程场地和相关的周边环境情况，供应商在编制磋商响应文件时参考，采购人不对供应商据此作出的判断和决策负责。</w:t>
      </w:r>
    </w:p>
    <w:p w14:paraId="4F96A4EA">
      <w:pPr>
        <w:spacing w:before="0" w:line="500" w:lineRule="exact"/>
        <w:outlineLvl w:val="9"/>
        <w:rPr>
          <w:rFonts w:cs="宋体" w:asciiTheme="minorEastAsia" w:hAnsiTheme="minorEastAsia" w:eastAsiaTheme="minorEastAsia"/>
          <w:sz w:val="24"/>
          <w:szCs w:val="24"/>
        </w:rPr>
      </w:pPr>
      <w:bookmarkStart w:id="163" w:name="_Toc247513963"/>
      <w:bookmarkStart w:id="164" w:name="_Toc152045540"/>
      <w:bookmarkStart w:id="165" w:name="_Toc296602430"/>
      <w:bookmarkStart w:id="166" w:name="_Toc247527564"/>
      <w:bookmarkStart w:id="167" w:name="_Toc247592877"/>
      <w:bookmarkStart w:id="168" w:name="_Toc77586829"/>
      <w:bookmarkStart w:id="169" w:name="_Toc152042316"/>
      <w:bookmarkStart w:id="170" w:name="_Toc77586922"/>
      <w:bookmarkStart w:id="171" w:name="_Toc144974508"/>
      <w:r>
        <w:rPr>
          <w:rFonts w:hint="eastAsia" w:cs="宋体" w:asciiTheme="minorEastAsia" w:hAnsiTheme="minorEastAsia" w:eastAsiaTheme="minorEastAsia"/>
          <w:sz w:val="24"/>
          <w:szCs w:val="24"/>
        </w:rPr>
        <w:t>1.10 投标预备会</w:t>
      </w:r>
      <w:bookmarkEnd w:id="163"/>
      <w:bookmarkEnd w:id="164"/>
      <w:bookmarkEnd w:id="165"/>
      <w:bookmarkEnd w:id="166"/>
      <w:bookmarkEnd w:id="167"/>
      <w:bookmarkEnd w:id="168"/>
      <w:bookmarkEnd w:id="169"/>
      <w:bookmarkEnd w:id="170"/>
      <w:bookmarkEnd w:id="171"/>
      <w:bookmarkStart w:id="172" w:name="_Toc296602431"/>
    </w:p>
    <w:p w14:paraId="6316BBA5">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不召开</w:t>
      </w:r>
    </w:p>
    <w:p w14:paraId="13A594A0">
      <w:pPr>
        <w:spacing w:before="0" w:line="500" w:lineRule="exact"/>
        <w:outlineLvl w:val="9"/>
        <w:rPr>
          <w:rFonts w:cs="宋体" w:asciiTheme="minorEastAsia" w:hAnsiTheme="minorEastAsia" w:eastAsiaTheme="minorEastAsia"/>
          <w:sz w:val="24"/>
          <w:szCs w:val="24"/>
        </w:rPr>
      </w:pPr>
      <w:bookmarkStart w:id="173" w:name="_Toc77586830"/>
      <w:bookmarkStart w:id="174" w:name="_Toc77586923"/>
      <w:r>
        <w:rPr>
          <w:rFonts w:hint="eastAsia" w:cs="宋体" w:asciiTheme="minorEastAsia" w:hAnsiTheme="minorEastAsia" w:eastAsiaTheme="minorEastAsia"/>
          <w:sz w:val="24"/>
          <w:szCs w:val="24"/>
        </w:rPr>
        <w:t xml:space="preserve">1.11 </w:t>
      </w:r>
      <w:bookmarkEnd w:id="172"/>
      <w:r>
        <w:rPr>
          <w:rFonts w:hint="eastAsia" w:cs="宋体" w:asciiTheme="minorEastAsia" w:hAnsiTheme="minorEastAsia" w:eastAsiaTheme="minorEastAsia"/>
          <w:sz w:val="24"/>
          <w:szCs w:val="24"/>
        </w:rPr>
        <w:t>分包</w:t>
      </w:r>
      <w:bookmarkEnd w:id="173"/>
      <w:bookmarkEnd w:id="174"/>
    </w:p>
    <w:p w14:paraId="09BE6367">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不允许</w:t>
      </w:r>
    </w:p>
    <w:p w14:paraId="011AA5E5">
      <w:pPr>
        <w:spacing w:before="0" w:line="500" w:lineRule="exact"/>
        <w:outlineLvl w:val="9"/>
        <w:rPr>
          <w:rFonts w:cs="宋体" w:asciiTheme="minorEastAsia" w:hAnsiTheme="minorEastAsia" w:eastAsiaTheme="minorEastAsia"/>
          <w:sz w:val="24"/>
          <w:szCs w:val="24"/>
        </w:rPr>
      </w:pPr>
      <w:bookmarkStart w:id="175" w:name="_Toc247085701"/>
      <w:bookmarkStart w:id="176" w:name="_Toc296602432"/>
      <w:bookmarkStart w:id="177" w:name="_Toc246996187"/>
      <w:bookmarkStart w:id="178" w:name="_Toc152042318"/>
      <w:bookmarkStart w:id="179" w:name="_Toc179632560"/>
      <w:bookmarkStart w:id="180" w:name="_Toc77586924"/>
      <w:bookmarkStart w:id="181" w:name="_Toc152045542"/>
      <w:bookmarkStart w:id="182" w:name="_Toc246996930"/>
      <w:bookmarkStart w:id="183" w:name="_Toc144974510"/>
      <w:bookmarkStart w:id="184" w:name="_Toc77586831"/>
      <w:r>
        <w:rPr>
          <w:rFonts w:hint="eastAsia" w:cs="宋体" w:asciiTheme="minorEastAsia" w:hAnsiTheme="minorEastAsia" w:eastAsiaTheme="minorEastAsia"/>
          <w:sz w:val="24"/>
          <w:szCs w:val="24"/>
        </w:rPr>
        <w:t>2. 竞争性磋商文件</w:t>
      </w:r>
      <w:bookmarkEnd w:id="175"/>
      <w:bookmarkEnd w:id="176"/>
      <w:bookmarkEnd w:id="177"/>
      <w:bookmarkEnd w:id="178"/>
      <w:bookmarkEnd w:id="179"/>
      <w:bookmarkEnd w:id="180"/>
      <w:bookmarkEnd w:id="181"/>
      <w:bookmarkEnd w:id="182"/>
      <w:bookmarkEnd w:id="183"/>
      <w:bookmarkEnd w:id="184"/>
    </w:p>
    <w:p w14:paraId="60272FBA">
      <w:pPr>
        <w:spacing w:before="0" w:line="500" w:lineRule="exact"/>
        <w:outlineLvl w:val="9"/>
        <w:rPr>
          <w:rFonts w:cs="宋体" w:asciiTheme="minorEastAsia" w:hAnsiTheme="minorEastAsia" w:eastAsiaTheme="minorEastAsia"/>
          <w:sz w:val="24"/>
          <w:szCs w:val="24"/>
        </w:rPr>
      </w:pPr>
      <w:bookmarkStart w:id="185" w:name="_Toc144974511"/>
      <w:bookmarkStart w:id="186" w:name="_Toc77586925"/>
      <w:bookmarkStart w:id="187" w:name="_Toc77586832"/>
      <w:bookmarkStart w:id="188" w:name="_Toc247085702"/>
      <w:bookmarkStart w:id="189" w:name="_Toc152042319"/>
      <w:bookmarkStart w:id="190" w:name="_Toc296602433"/>
      <w:bookmarkStart w:id="191" w:name="_Toc152045543"/>
      <w:bookmarkStart w:id="192" w:name="_Toc246996188"/>
      <w:bookmarkStart w:id="193" w:name="_Toc246996931"/>
      <w:bookmarkStart w:id="194" w:name="_Toc179632561"/>
      <w:r>
        <w:rPr>
          <w:rFonts w:hint="eastAsia" w:cs="宋体" w:asciiTheme="minorEastAsia" w:hAnsiTheme="minorEastAsia" w:eastAsiaTheme="minorEastAsia"/>
          <w:sz w:val="24"/>
          <w:szCs w:val="24"/>
        </w:rPr>
        <w:t>2.1 竞争性磋商文件的组成</w:t>
      </w:r>
      <w:bookmarkEnd w:id="185"/>
      <w:bookmarkEnd w:id="186"/>
      <w:bookmarkEnd w:id="187"/>
      <w:bookmarkEnd w:id="188"/>
      <w:bookmarkEnd w:id="189"/>
      <w:bookmarkEnd w:id="190"/>
      <w:bookmarkEnd w:id="191"/>
      <w:bookmarkEnd w:id="192"/>
      <w:bookmarkEnd w:id="193"/>
      <w:bookmarkEnd w:id="194"/>
    </w:p>
    <w:p w14:paraId="4ABE5E7E">
      <w:pPr>
        <w:spacing w:after="0" w:line="500" w:lineRule="exact"/>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2.1.1 本竞争性磋商文件包括：</w:t>
      </w:r>
    </w:p>
    <w:p w14:paraId="5997D183">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详见磋商文件</w:t>
      </w:r>
    </w:p>
    <w:p w14:paraId="7788E978">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2.1.2根据本章第2.2款和第2.3款对竞争性磋商文件所作的澄清、修改，构成竞争性磋商文件的组成部分。</w:t>
      </w:r>
    </w:p>
    <w:p w14:paraId="04C3CE04">
      <w:pPr>
        <w:spacing w:before="0" w:line="500" w:lineRule="exact"/>
        <w:outlineLvl w:val="9"/>
        <w:rPr>
          <w:rFonts w:cs="宋体" w:asciiTheme="minorEastAsia" w:hAnsiTheme="minorEastAsia" w:eastAsiaTheme="minorEastAsia"/>
          <w:sz w:val="24"/>
          <w:szCs w:val="24"/>
        </w:rPr>
      </w:pPr>
      <w:bookmarkStart w:id="195" w:name="_Toc296602434"/>
      <w:bookmarkStart w:id="196" w:name="_Toc152045544"/>
      <w:bookmarkStart w:id="197" w:name="_Toc77586926"/>
      <w:bookmarkStart w:id="198" w:name="_Toc144974512"/>
      <w:bookmarkStart w:id="199" w:name="_Toc246996189"/>
      <w:bookmarkStart w:id="200" w:name="_Toc247085703"/>
      <w:bookmarkStart w:id="201" w:name="_Toc246996932"/>
      <w:bookmarkStart w:id="202" w:name="_Toc77586833"/>
      <w:bookmarkStart w:id="203" w:name="_Toc179632562"/>
      <w:bookmarkStart w:id="204" w:name="_Toc152042320"/>
      <w:r>
        <w:rPr>
          <w:rFonts w:hint="eastAsia" w:cs="宋体" w:asciiTheme="minorEastAsia" w:hAnsiTheme="minorEastAsia" w:eastAsiaTheme="minorEastAsia"/>
          <w:sz w:val="24"/>
          <w:szCs w:val="24"/>
        </w:rPr>
        <w:t>2.2 竞争性磋商文件的澄清</w:t>
      </w:r>
      <w:bookmarkEnd w:id="195"/>
      <w:bookmarkEnd w:id="196"/>
      <w:bookmarkEnd w:id="197"/>
      <w:bookmarkEnd w:id="198"/>
      <w:bookmarkEnd w:id="199"/>
      <w:bookmarkEnd w:id="200"/>
      <w:bookmarkEnd w:id="201"/>
      <w:bookmarkEnd w:id="202"/>
      <w:bookmarkEnd w:id="203"/>
      <w:bookmarkEnd w:id="204"/>
      <w:r>
        <w:rPr>
          <w:rFonts w:hint="eastAsia" w:cs="宋体" w:asciiTheme="minorEastAsia" w:hAnsiTheme="minorEastAsia" w:eastAsiaTheme="minorEastAsia"/>
          <w:sz w:val="24"/>
          <w:szCs w:val="24"/>
        </w:rPr>
        <w:t xml:space="preserve"> </w:t>
      </w:r>
    </w:p>
    <w:p w14:paraId="4AA7CCA1">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2.2.1 供应商应仔细阅读和检查竞争性磋商文件的全部内容。如发现缺页或附件不全，应及时向采购人提出，以便补齐。如有疑问，应在供应商须知前附表规定的时间前以书面的形式，要求采购人对竞争性磋商文件予以澄清。</w:t>
      </w:r>
    </w:p>
    <w:p w14:paraId="4788FF22">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2.2.2竞争性磋商文件的澄清将以公告形式发布到</w:t>
      </w:r>
      <w:r>
        <w:rPr>
          <w:rFonts w:cs="宋体" w:asciiTheme="minorEastAsia" w:hAnsiTheme="minorEastAsia" w:eastAsiaTheme="minorEastAsia"/>
          <w:sz w:val="24"/>
          <w:szCs w:val="24"/>
        </w:rPr>
        <w:t>网上</w:t>
      </w:r>
      <w:r>
        <w:rPr>
          <w:rFonts w:hint="eastAsia" w:cs="宋体" w:asciiTheme="minorEastAsia" w:hAnsiTheme="minorEastAsia" w:eastAsiaTheme="minorEastAsia"/>
          <w:sz w:val="24"/>
          <w:szCs w:val="24"/>
        </w:rPr>
        <w:t xml:space="preserve">，但不指明澄清问题的来源。如果澄清发出的时间距供应商须知前附表规定的投标截止时间不足5天，并且澄清内容影响磋商响应文件编制的，将相应延长磋商截止时间。 </w:t>
      </w:r>
    </w:p>
    <w:p w14:paraId="6BA7ABB5">
      <w:pPr>
        <w:spacing w:before="0" w:line="500" w:lineRule="exact"/>
        <w:outlineLvl w:val="9"/>
        <w:rPr>
          <w:rFonts w:cs="宋体" w:asciiTheme="minorEastAsia" w:hAnsiTheme="minorEastAsia" w:eastAsiaTheme="minorEastAsia"/>
          <w:sz w:val="24"/>
          <w:szCs w:val="24"/>
        </w:rPr>
      </w:pPr>
      <w:bookmarkStart w:id="205" w:name="_Toc246996190"/>
      <w:bookmarkStart w:id="206" w:name="_Toc144974513"/>
      <w:bookmarkStart w:id="207" w:name="_Toc179632563"/>
      <w:bookmarkStart w:id="208" w:name="_Toc77586927"/>
      <w:bookmarkStart w:id="209" w:name="_Toc152042321"/>
      <w:bookmarkStart w:id="210" w:name="_Toc77586834"/>
      <w:bookmarkStart w:id="211" w:name="_Toc247085704"/>
      <w:bookmarkStart w:id="212" w:name="_Toc246996933"/>
      <w:bookmarkStart w:id="213" w:name="_Toc296602435"/>
      <w:bookmarkStart w:id="214" w:name="_Toc152045545"/>
      <w:r>
        <w:rPr>
          <w:rFonts w:hint="eastAsia" w:cs="宋体" w:asciiTheme="minorEastAsia" w:hAnsiTheme="minorEastAsia" w:eastAsiaTheme="minorEastAsia"/>
          <w:sz w:val="24"/>
          <w:szCs w:val="24"/>
        </w:rPr>
        <w:t>2.3 竞争性磋商文件的修改</w:t>
      </w:r>
      <w:bookmarkEnd w:id="205"/>
      <w:bookmarkEnd w:id="206"/>
      <w:bookmarkEnd w:id="207"/>
      <w:bookmarkEnd w:id="208"/>
      <w:bookmarkEnd w:id="209"/>
      <w:bookmarkEnd w:id="210"/>
      <w:bookmarkEnd w:id="211"/>
      <w:bookmarkEnd w:id="212"/>
      <w:bookmarkEnd w:id="213"/>
      <w:bookmarkEnd w:id="214"/>
    </w:p>
    <w:p w14:paraId="55BF7705">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2.3.1采购人可以书面形式修改竞争性磋商文件，但如果修改竞争性磋商文件的时间距投标截止时间不足5天，并且修改内容影响磋商响应文件编制的，将相应延长磋商截止时间。</w:t>
      </w:r>
    </w:p>
    <w:p w14:paraId="19C40764">
      <w:pPr>
        <w:spacing w:before="0" w:line="500" w:lineRule="exact"/>
        <w:outlineLvl w:val="9"/>
        <w:rPr>
          <w:rFonts w:cs="宋体" w:asciiTheme="minorEastAsia" w:hAnsiTheme="minorEastAsia" w:eastAsiaTheme="minorEastAsia"/>
          <w:sz w:val="24"/>
          <w:szCs w:val="24"/>
        </w:rPr>
      </w:pPr>
      <w:bookmarkStart w:id="215" w:name="_Toc77586835"/>
      <w:bookmarkStart w:id="216" w:name="_Toc296602436"/>
      <w:bookmarkStart w:id="217" w:name="_Toc247085705"/>
      <w:bookmarkStart w:id="218" w:name="_Toc77586928"/>
      <w:bookmarkStart w:id="219" w:name="_Toc152045546"/>
      <w:bookmarkStart w:id="220" w:name="_Toc152042322"/>
      <w:bookmarkStart w:id="221" w:name="_Toc246996934"/>
      <w:bookmarkStart w:id="222" w:name="_Toc246996191"/>
      <w:bookmarkStart w:id="223" w:name="_Toc179632564"/>
      <w:bookmarkStart w:id="224" w:name="_Toc144974514"/>
      <w:r>
        <w:rPr>
          <w:rFonts w:hint="eastAsia" w:cs="宋体" w:asciiTheme="minorEastAsia" w:hAnsiTheme="minorEastAsia" w:eastAsiaTheme="minorEastAsia"/>
          <w:sz w:val="24"/>
          <w:szCs w:val="24"/>
        </w:rPr>
        <w:t>3. 竞争性磋商文件</w:t>
      </w:r>
      <w:bookmarkEnd w:id="215"/>
      <w:bookmarkEnd w:id="216"/>
      <w:bookmarkEnd w:id="217"/>
      <w:bookmarkEnd w:id="218"/>
      <w:bookmarkEnd w:id="219"/>
      <w:bookmarkEnd w:id="220"/>
      <w:bookmarkEnd w:id="221"/>
      <w:bookmarkEnd w:id="222"/>
      <w:bookmarkEnd w:id="223"/>
      <w:bookmarkEnd w:id="224"/>
    </w:p>
    <w:p w14:paraId="5087A7C5">
      <w:pPr>
        <w:spacing w:before="0" w:line="500" w:lineRule="exact"/>
        <w:outlineLvl w:val="9"/>
        <w:rPr>
          <w:rFonts w:cs="宋体" w:asciiTheme="minorEastAsia" w:hAnsiTheme="minorEastAsia" w:eastAsiaTheme="minorEastAsia"/>
          <w:sz w:val="24"/>
          <w:szCs w:val="24"/>
        </w:rPr>
      </w:pPr>
      <w:bookmarkStart w:id="225" w:name="_Toc246996935"/>
      <w:bookmarkStart w:id="226" w:name="_Toc179632565"/>
      <w:bookmarkStart w:id="227" w:name="_Toc152042323"/>
      <w:bookmarkStart w:id="228" w:name="_Toc296602437"/>
      <w:bookmarkStart w:id="229" w:name="_Toc144974515"/>
      <w:bookmarkStart w:id="230" w:name="_Toc152045547"/>
      <w:bookmarkStart w:id="231" w:name="_Toc77586929"/>
      <w:bookmarkStart w:id="232" w:name="_Toc247085706"/>
      <w:bookmarkStart w:id="233" w:name="_Toc77586836"/>
      <w:bookmarkStart w:id="234" w:name="_Toc246996192"/>
      <w:r>
        <w:rPr>
          <w:rFonts w:hint="eastAsia" w:cs="宋体" w:asciiTheme="minorEastAsia" w:hAnsiTheme="minorEastAsia" w:eastAsiaTheme="minorEastAsia"/>
          <w:sz w:val="24"/>
          <w:szCs w:val="24"/>
        </w:rPr>
        <w:t>3.1 竞争性磋商文件的组成</w:t>
      </w:r>
      <w:bookmarkEnd w:id="225"/>
      <w:bookmarkEnd w:id="226"/>
      <w:bookmarkEnd w:id="227"/>
      <w:bookmarkEnd w:id="228"/>
      <w:bookmarkEnd w:id="229"/>
      <w:bookmarkEnd w:id="230"/>
      <w:bookmarkEnd w:id="231"/>
      <w:bookmarkEnd w:id="232"/>
      <w:bookmarkEnd w:id="233"/>
      <w:bookmarkEnd w:id="234"/>
    </w:p>
    <w:p w14:paraId="4ACD2895">
      <w:pPr>
        <w:spacing w:after="0" w:line="500" w:lineRule="exact"/>
        <w:ind w:firstLine="410" w:firstLineChars="171"/>
        <w:outlineLvl w:val="9"/>
        <w:rPr>
          <w:rFonts w:cs="宋体" w:asciiTheme="minorEastAsia" w:hAnsiTheme="minorEastAsia" w:eastAsiaTheme="minorEastAsia"/>
          <w:sz w:val="24"/>
          <w:szCs w:val="24"/>
        </w:rPr>
      </w:pPr>
      <w:bookmarkStart w:id="235" w:name="_Toc247085707"/>
      <w:bookmarkStart w:id="236" w:name="_Toc246996193"/>
      <w:bookmarkStart w:id="237" w:name="_Toc152045548"/>
      <w:bookmarkStart w:id="238" w:name="_Toc152042324"/>
      <w:bookmarkStart w:id="239" w:name="_Toc179632566"/>
      <w:bookmarkStart w:id="240" w:name="_Toc246996936"/>
      <w:bookmarkStart w:id="241" w:name="_Toc296602438"/>
      <w:bookmarkStart w:id="242" w:name="_Toc144974516"/>
      <w:r>
        <w:rPr>
          <w:rFonts w:hint="eastAsia" w:cs="宋体" w:asciiTheme="minorEastAsia" w:hAnsiTheme="minorEastAsia" w:eastAsiaTheme="minorEastAsia"/>
          <w:sz w:val="24"/>
          <w:szCs w:val="24"/>
        </w:rPr>
        <w:t>详见磋商文件</w:t>
      </w:r>
    </w:p>
    <w:p w14:paraId="6B3D5C36">
      <w:pPr>
        <w:spacing w:before="0" w:line="500" w:lineRule="exact"/>
        <w:outlineLvl w:val="9"/>
        <w:rPr>
          <w:rFonts w:cs="宋体" w:asciiTheme="minorEastAsia" w:hAnsiTheme="minorEastAsia" w:eastAsiaTheme="minorEastAsia"/>
          <w:sz w:val="24"/>
          <w:szCs w:val="24"/>
        </w:rPr>
      </w:pPr>
      <w:bookmarkStart w:id="243" w:name="_Toc77586837"/>
      <w:bookmarkStart w:id="244" w:name="_Toc77586930"/>
      <w:r>
        <w:rPr>
          <w:rFonts w:hint="eastAsia" w:cs="宋体" w:asciiTheme="minorEastAsia" w:hAnsiTheme="minorEastAsia" w:eastAsiaTheme="minorEastAsia"/>
          <w:sz w:val="24"/>
          <w:szCs w:val="24"/>
        </w:rPr>
        <w:t>3.2 磋商报价</w:t>
      </w:r>
      <w:bookmarkEnd w:id="235"/>
      <w:bookmarkEnd w:id="236"/>
      <w:bookmarkEnd w:id="237"/>
      <w:bookmarkEnd w:id="238"/>
      <w:bookmarkEnd w:id="239"/>
      <w:bookmarkEnd w:id="240"/>
      <w:bookmarkEnd w:id="241"/>
      <w:bookmarkEnd w:id="242"/>
      <w:bookmarkEnd w:id="243"/>
      <w:bookmarkEnd w:id="244"/>
    </w:p>
    <w:p w14:paraId="7E40C551">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3.2.1 根据竞争性磋商文件规定的工程内容，供应商应对本次招标工程的全部工作内容进行报价。磋商报价应是竞争性磋商文件所确定的磋商范围内的全部工作内容的价格体现。 </w:t>
      </w:r>
    </w:p>
    <w:p w14:paraId="120B94C6">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3.2.2磋商报价应包括竞争性磋商文件及技术规范等规定的，实施和完成招标工程直至竣工验收合格，及达到质量和工期目标、安全文明、环境保护等要求,正式交付采购人使用前所需的全部费用。</w:t>
      </w:r>
    </w:p>
    <w:p w14:paraId="7AD3A16C">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3.2.3供应商的磋商报价根据竞争性磋商文件、工程量清单、答疑等，充分考虑市场价格、风险因素，在合理范围内自主报价，但不得低于企业实际成本。</w:t>
      </w:r>
    </w:p>
    <w:p w14:paraId="75572957">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3.2.4供应商应结合自身条件，并充分考虑本工程施工难度、工期的要求、质量要求以及市场因素、现场环境因素、社会因素、市场价格调整因素等各方面原因合理报价。磋商报价将被认为已综合考虑了在施工全过程中可能发生的全部不可预见费用。成交人无权再以任何理由提出延长工期、增加价款或索赔等要求。</w:t>
      </w:r>
    </w:p>
    <w:p w14:paraId="6A547C7A">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3.2.5供应商在磋商报价前可踏勘施工现场，充分考虑工地现状条件可能影响到工程正常施工的所有风险因素。无论供应商是否进行了上述现场踏勘工作，其磋商报价中均将被认为已包含有工地现状在施工作业期间发生的全部不可预见的风险费用，供应商成交后则无权因此要求任何工期或费用上的索赔。</w:t>
      </w:r>
    </w:p>
    <w:p w14:paraId="092D7874">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3.3.6施工期间由于工程条件发生变化或供应商原因造成施工方案的更改，所增加的措施费用及工期一概不予调整，相应的费用供应商应在磋商报价中充分考虑，采购人不再另行支付。</w:t>
      </w:r>
    </w:p>
    <w:p w14:paraId="3524F426">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3.2.7磋商报价要求</w:t>
      </w:r>
    </w:p>
    <w:p w14:paraId="3D053C75">
      <w:pPr>
        <w:widowControl w:val="0"/>
        <w:numPr>
          <w:ilvl w:val="0"/>
          <w:numId w:val="1"/>
        </w:numPr>
        <w:adjustRightInd/>
        <w:snapToGrid/>
        <w:spacing w:after="0" w:line="500" w:lineRule="exact"/>
        <w:ind w:firstLine="480" w:firstLineChars="200"/>
        <w:jc w:val="both"/>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各供应商在投标时必须在磋商响应文件中提供一份完整的工程量清单；</w:t>
      </w:r>
    </w:p>
    <w:p w14:paraId="2A766E0D">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（2）各供应商作为有经验的承包商，应充分考虑该工程实施时的各种风险，并将其考虑在本次投标报价各清单项目的综合单价中，结算时综合单价不做调整（合同另有约定的除外）；</w:t>
      </w:r>
    </w:p>
    <w:p w14:paraId="74438BFE">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（3）本次磋商的最终投标总报价不得高于磋商控制价，高于磋商控制价的报价将不再评审；</w:t>
      </w:r>
    </w:p>
    <w:p w14:paraId="1A01A922">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（4）磋商响应文件报价中的单价和总价全部采用人民币表示。 </w:t>
      </w:r>
    </w:p>
    <w:p w14:paraId="37E1C089">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（5）本项目为竞争性磋商方式，需要二次报价，必要时候也可采取多轮报价。</w:t>
      </w:r>
    </w:p>
    <w:p w14:paraId="5E9D435F">
      <w:pPr>
        <w:spacing w:before="0" w:line="500" w:lineRule="exact"/>
        <w:outlineLvl w:val="9"/>
        <w:rPr>
          <w:rFonts w:cs="宋体" w:asciiTheme="minorEastAsia" w:hAnsiTheme="minorEastAsia" w:eastAsiaTheme="minorEastAsia"/>
          <w:sz w:val="24"/>
          <w:szCs w:val="24"/>
        </w:rPr>
      </w:pPr>
      <w:bookmarkStart w:id="245" w:name="_Toc296602439"/>
      <w:bookmarkStart w:id="246" w:name="_Toc179632567"/>
      <w:bookmarkStart w:id="247" w:name="_Toc77586931"/>
      <w:bookmarkStart w:id="248" w:name="_Toc144974517"/>
      <w:bookmarkStart w:id="249" w:name="_Toc246996937"/>
      <w:bookmarkStart w:id="250" w:name="_Toc152045549"/>
      <w:bookmarkStart w:id="251" w:name="_Toc152042325"/>
      <w:bookmarkStart w:id="252" w:name="_Toc247085708"/>
      <w:bookmarkStart w:id="253" w:name="_Toc77586838"/>
      <w:bookmarkStart w:id="254" w:name="_Toc246996194"/>
      <w:r>
        <w:rPr>
          <w:rFonts w:hint="eastAsia" w:cs="宋体" w:asciiTheme="minorEastAsia" w:hAnsiTheme="minorEastAsia" w:eastAsiaTheme="minorEastAsia"/>
          <w:sz w:val="24"/>
          <w:szCs w:val="24"/>
        </w:rPr>
        <w:t>3.3 磋商有效期</w:t>
      </w:r>
      <w:bookmarkEnd w:id="245"/>
      <w:bookmarkEnd w:id="246"/>
      <w:bookmarkEnd w:id="247"/>
      <w:bookmarkEnd w:id="248"/>
      <w:bookmarkEnd w:id="249"/>
      <w:bookmarkEnd w:id="250"/>
      <w:bookmarkEnd w:id="251"/>
      <w:bookmarkEnd w:id="252"/>
      <w:bookmarkEnd w:id="253"/>
      <w:bookmarkEnd w:id="254"/>
    </w:p>
    <w:p w14:paraId="4A46BF32">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3.3.1 磋商有效期为：</w:t>
      </w:r>
      <w:r>
        <w:rPr>
          <w:rFonts w:hint="eastAsia" w:ascii="宋体" w:hAnsi="宋体" w:eastAsia="宋体" w:cs="宋体"/>
          <w:sz w:val="24"/>
          <w:szCs w:val="24"/>
        </w:rPr>
        <w:t>磋商截止时间起90日历天</w:t>
      </w:r>
      <w:r>
        <w:rPr>
          <w:rFonts w:hint="eastAsia" w:cs="宋体" w:asciiTheme="minorEastAsia" w:hAnsiTheme="minorEastAsia" w:eastAsiaTheme="minorEastAsia"/>
          <w:sz w:val="24"/>
          <w:szCs w:val="24"/>
        </w:rPr>
        <w:t>。</w:t>
      </w:r>
    </w:p>
    <w:p w14:paraId="224B9834">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3.3.2在磋商有效期内，供应商撤销或修改其磋商响应文件的，应承担磋商文件和法律规定的责任。</w:t>
      </w:r>
    </w:p>
    <w:p w14:paraId="50404541">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3.3.3出现特殊情况需要延长投标有效期的，采购人以书面形式通知所有供应商延长投标有效期。</w:t>
      </w:r>
    </w:p>
    <w:p w14:paraId="7A9242BE">
      <w:pPr>
        <w:spacing w:before="0" w:line="500" w:lineRule="exact"/>
        <w:outlineLvl w:val="9"/>
        <w:rPr>
          <w:rFonts w:cs="宋体" w:asciiTheme="minorEastAsia" w:hAnsiTheme="minorEastAsia" w:eastAsiaTheme="minorEastAsia"/>
          <w:sz w:val="24"/>
          <w:szCs w:val="24"/>
        </w:rPr>
      </w:pPr>
      <w:bookmarkStart w:id="255" w:name="_Toc246996195"/>
      <w:bookmarkStart w:id="256" w:name="_Toc144974518"/>
      <w:bookmarkStart w:id="257" w:name="_Toc296602440"/>
      <w:bookmarkStart w:id="258" w:name="_Toc179632568"/>
      <w:bookmarkStart w:id="259" w:name="_Toc246996938"/>
      <w:bookmarkStart w:id="260" w:name="_Toc152042326"/>
      <w:bookmarkStart w:id="261" w:name="_Toc247085709"/>
      <w:bookmarkStart w:id="262" w:name="_Toc152045550"/>
      <w:bookmarkStart w:id="263" w:name="_Toc77586839"/>
      <w:bookmarkStart w:id="264" w:name="_Toc77586932"/>
      <w:r>
        <w:rPr>
          <w:rFonts w:hint="eastAsia" w:cs="宋体" w:asciiTheme="minorEastAsia" w:hAnsiTheme="minorEastAsia" w:eastAsiaTheme="minorEastAsia"/>
          <w:sz w:val="24"/>
          <w:szCs w:val="24"/>
        </w:rPr>
        <w:t xml:space="preserve">3.4 </w:t>
      </w:r>
      <w:bookmarkEnd w:id="255"/>
      <w:bookmarkEnd w:id="256"/>
      <w:bookmarkEnd w:id="257"/>
      <w:bookmarkEnd w:id="258"/>
      <w:bookmarkEnd w:id="259"/>
      <w:bookmarkEnd w:id="260"/>
      <w:bookmarkEnd w:id="261"/>
      <w:bookmarkEnd w:id="262"/>
      <w:r>
        <w:rPr>
          <w:rFonts w:hint="eastAsia" w:cs="宋体" w:asciiTheme="minorEastAsia" w:hAnsiTheme="minorEastAsia" w:eastAsiaTheme="minorEastAsia"/>
          <w:sz w:val="24"/>
          <w:szCs w:val="24"/>
        </w:rPr>
        <w:t>磋商保证金</w:t>
      </w:r>
      <w:bookmarkEnd w:id="263"/>
      <w:bookmarkEnd w:id="264"/>
    </w:p>
    <w:p w14:paraId="4B00AC96">
      <w:pPr>
        <w:spacing w:after="0" w:line="500" w:lineRule="exact"/>
        <w:ind w:firstLine="240" w:firstLineChars="1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本项目不收取磋商保证金。</w:t>
      </w:r>
    </w:p>
    <w:p w14:paraId="01A833A9">
      <w:pPr>
        <w:spacing w:after="0" w:line="500" w:lineRule="exact"/>
        <w:outlineLvl w:val="9"/>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3.5 供应商基本情况表</w:t>
      </w:r>
    </w:p>
    <w:p w14:paraId="1A9BFD81">
      <w:pPr>
        <w:spacing w:after="0" w:line="500" w:lineRule="exact"/>
        <w:ind w:firstLine="484" w:firstLineChars="202"/>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3.5.1 “近年完成的类似项目情况表”可附建设工程施工合同的扫描件，具体年份要求见供应商须知前附表。每张表格只填写一个项目，并标明序号。</w:t>
      </w:r>
    </w:p>
    <w:p w14:paraId="294513D9">
      <w:pPr>
        <w:spacing w:after="0" w:line="500" w:lineRule="exact"/>
        <w:ind w:firstLine="484" w:firstLineChars="202"/>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3.5.2 “正在施工和新承接的项目情况表”可附建设工程施工合同扫描件。每张表格只填写一个项目，并标明序号。</w:t>
      </w:r>
    </w:p>
    <w:p w14:paraId="6F738C6D">
      <w:pPr>
        <w:spacing w:after="0" w:line="500" w:lineRule="exact"/>
        <w:ind w:firstLine="484" w:firstLineChars="202"/>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3.5.3 “近年发生的诉讼及仲裁情况”应说明相关情况，可附法院或仲裁机构作出的判决、裁决等有关法律文书扫描件，具体年份要求见供应商须知前附表。</w:t>
      </w:r>
    </w:p>
    <w:p w14:paraId="0F0EA699">
      <w:pPr>
        <w:spacing w:before="0" w:line="500" w:lineRule="exact"/>
        <w:outlineLvl w:val="9"/>
        <w:rPr>
          <w:rFonts w:cs="宋体" w:asciiTheme="minorEastAsia" w:hAnsiTheme="minorEastAsia" w:eastAsiaTheme="minorEastAsia"/>
          <w:sz w:val="24"/>
          <w:szCs w:val="24"/>
        </w:rPr>
      </w:pPr>
      <w:bookmarkStart w:id="265" w:name="_Toc77586840"/>
      <w:bookmarkStart w:id="266" w:name="_Toc77586933"/>
      <w:r>
        <w:rPr>
          <w:rFonts w:hint="eastAsia" w:cs="宋体" w:asciiTheme="minorEastAsia" w:hAnsiTheme="minorEastAsia" w:eastAsiaTheme="minorEastAsia"/>
          <w:sz w:val="24"/>
          <w:szCs w:val="24"/>
        </w:rPr>
        <w:t>3.6磋商响应文件的编制</w:t>
      </w:r>
      <w:bookmarkEnd w:id="265"/>
      <w:bookmarkEnd w:id="266"/>
    </w:p>
    <w:p w14:paraId="119C8EDE">
      <w:pPr>
        <w:spacing w:after="0" w:line="500" w:lineRule="exact"/>
        <w:ind w:firstLine="480" w:firstLineChars="200"/>
        <w:outlineLvl w:val="9"/>
        <w:rPr>
          <w:rFonts w:cs="宋体" w:asciiTheme="minorEastAsia" w:hAnsiTheme="minorEastAsia" w:eastAsiaTheme="minorEastAsia"/>
          <w:sz w:val="24"/>
          <w:szCs w:val="24"/>
        </w:rPr>
      </w:pPr>
      <w:bookmarkStart w:id="267" w:name="_Toc152042331"/>
      <w:bookmarkStart w:id="268" w:name="_Toc144974523"/>
      <w:bookmarkStart w:id="269" w:name="_Toc247085713"/>
      <w:bookmarkStart w:id="270" w:name="_Toc296602443"/>
      <w:bookmarkStart w:id="271" w:name="_Toc246996942"/>
      <w:bookmarkStart w:id="272" w:name="_Toc152045555"/>
      <w:bookmarkStart w:id="273" w:name="_Toc246996199"/>
      <w:bookmarkStart w:id="274" w:name="_Toc179632573"/>
      <w:r>
        <w:rPr>
          <w:rFonts w:hint="eastAsia" w:cs="宋体" w:asciiTheme="minorEastAsia" w:hAnsiTheme="minorEastAsia" w:eastAsiaTheme="minorEastAsia"/>
          <w:sz w:val="24"/>
          <w:szCs w:val="24"/>
        </w:rPr>
        <w:t>3.6.1磋商响应文件可按第七章“磋商响应文件格式”进行编写，如有必要，可以增加附页作为磋商响应文件的组成部分。其中，投标函附录在满足竞争性磋商文件实质性要求的基础上，可以提出比竞争性磋商文件要求更有利于采购人的承诺。</w:t>
      </w:r>
    </w:p>
    <w:p w14:paraId="5F098CEA">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3.6.2 磋商响应文件应当对竞争性磋商文件有关项目工期、磋商有效期、质量要求、招标范围等实质性内容作出响应。</w:t>
      </w:r>
    </w:p>
    <w:p w14:paraId="51DD4927">
      <w:pPr>
        <w:spacing w:after="0" w:line="500" w:lineRule="exact"/>
        <w:ind w:firstLine="480" w:firstLineChars="200"/>
        <w:outlineLvl w:val="9"/>
        <w:rPr>
          <w:rFonts w:asciiTheme="minorEastAsia" w:hAnsiTheme="minorEastAsia" w:eastAsiaTheme="minorEastAsia"/>
          <w:sz w:val="24"/>
          <w:szCs w:val="24"/>
        </w:rPr>
      </w:pPr>
      <w:r>
        <w:rPr>
          <w:rFonts w:hint="eastAsia" w:cs="宋体" w:asciiTheme="minorEastAsia" w:hAnsiTheme="minorEastAsia" w:eastAsiaTheme="minorEastAsia"/>
          <w:sz w:val="24"/>
          <w:szCs w:val="24"/>
        </w:rPr>
        <w:t>3.6.3</w:t>
      </w:r>
      <w:r>
        <w:rPr>
          <w:rFonts w:hint="eastAsia" w:asciiTheme="minorEastAsia" w:hAnsiTheme="minorEastAsia" w:eastAsiaTheme="minorEastAsia"/>
          <w:sz w:val="24"/>
          <w:szCs w:val="24"/>
        </w:rPr>
        <w:t>供应商所上传的电子化</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文件，应是通过中心投标文件制作系统制作的（投标文件制作工具下载地址：</w:t>
      </w:r>
      <w:r>
        <w:rPr>
          <w:rFonts w:asciiTheme="minorEastAsia" w:hAnsiTheme="minorEastAsia" w:eastAsiaTheme="minorEastAsia"/>
          <w:sz w:val="24"/>
          <w:szCs w:val="24"/>
        </w:rPr>
        <w:t>https://download.bqpoint.com/download/downloaddetail.html?SourceFrom=Ztb&amp;ZtbSoftXiaQuCode=1506&amp;ZtbSoftType=tballinclusive</w:t>
      </w:r>
      <w:r>
        <w:rPr>
          <w:rFonts w:hint="eastAsia" w:asciiTheme="minorEastAsia" w:hAnsiTheme="minorEastAsia" w:eastAsiaTheme="minorEastAsia"/>
          <w:sz w:val="24"/>
          <w:szCs w:val="24"/>
        </w:rPr>
        <w:t>），经过签章和加密后生成的电子版磋商响应文件。其中包含用于</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文件上传的主文件（后缀为.smxtf）和用于应急补救的</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文件备份文件（后缀为.nsmxtf）。</w:t>
      </w:r>
    </w:p>
    <w:p w14:paraId="63E9C79E">
      <w:pPr>
        <w:spacing w:after="0" w:line="500" w:lineRule="exact"/>
        <w:ind w:firstLine="480" w:firstLineChars="200"/>
        <w:outlineLvl w:val="9"/>
        <w:rPr>
          <w:rFonts w:asciiTheme="minorEastAsia" w:hAnsiTheme="minorEastAsia" w:eastAsiaTheme="minorEastAsia"/>
          <w:b/>
          <w:sz w:val="24"/>
          <w:szCs w:val="24"/>
        </w:rPr>
      </w:pPr>
      <w:r>
        <w:rPr>
          <w:rFonts w:hint="eastAsia" w:asciiTheme="minorEastAsia" w:hAnsiTheme="minorEastAsia" w:eastAsiaTheme="minorEastAsia"/>
          <w:sz w:val="24"/>
          <w:szCs w:val="24"/>
        </w:rPr>
        <w:t>电子化投标文件具体制作教材请供应商点击以下链接学习</w:t>
      </w:r>
      <w:r>
        <w:rPr>
          <w:rFonts w:asciiTheme="minorEastAsia" w:hAnsiTheme="minorEastAsia" w:eastAsiaTheme="minorEastAsia"/>
          <w:sz w:val="24"/>
          <w:szCs w:val="24"/>
        </w:rPr>
        <w:t>http://gzjy.smx.gov.cn/bzzx/008001/20200325/4a2f9fa3-b923-4ddd-bd6f-138a0b63f7d1.html</w:t>
      </w:r>
    </w:p>
    <w:p w14:paraId="42B3B974">
      <w:pPr>
        <w:spacing w:before="0" w:line="500" w:lineRule="exact"/>
        <w:outlineLvl w:val="9"/>
        <w:rPr>
          <w:rFonts w:cs="宋体" w:asciiTheme="minorEastAsia" w:hAnsiTheme="minorEastAsia" w:eastAsiaTheme="minorEastAsia"/>
          <w:sz w:val="24"/>
          <w:szCs w:val="24"/>
        </w:rPr>
      </w:pPr>
      <w:bookmarkStart w:id="275" w:name="_Toc77586841"/>
      <w:bookmarkStart w:id="276" w:name="_Toc77586934"/>
      <w:r>
        <w:rPr>
          <w:rFonts w:hint="eastAsia" w:cs="宋体" w:asciiTheme="minorEastAsia" w:hAnsiTheme="minorEastAsia" w:eastAsiaTheme="minorEastAsia"/>
          <w:sz w:val="24"/>
          <w:szCs w:val="24"/>
        </w:rPr>
        <w:t>3.7备选投标方案</w:t>
      </w:r>
      <w:bookmarkEnd w:id="275"/>
      <w:bookmarkEnd w:id="276"/>
    </w:p>
    <w:p w14:paraId="6D9F893B">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不允许供应商递交备选投标方案。</w:t>
      </w:r>
    </w:p>
    <w:p w14:paraId="075E626D">
      <w:pPr>
        <w:spacing w:before="0" w:line="500" w:lineRule="exact"/>
        <w:outlineLvl w:val="9"/>
        <w:rPr>
          <w:rFonts w:cs="宋体" w:asciiTheme="minorEastAsia" w:hAnsiTheme="minorEastAsia" w:eastAsiaTheme="minorEastAsia"/>
          <w:sz w:val="24"/>
          <w:szCs w:val="24"/>
        </w:rPr>
      </w:pPr>
      <w:bookmarkStart w:id="277" w:name="_Toc77586842"/>
      <w:bookmarkStart w:id="278" w:name="_Toc77586935"/>
      <w:r>
        <w:rPr>
          <w:rFonts w:hint="eastAsia" w:cs="宋体" w:asciiTheme="minorEastAsia" w:hAnsiTheme="minorEastAsia" w:eastAsiaTheme="minorEastAsia"/>
          <w:sz w:val="24"/>
          <w:szCs w:val="24"/>
        </w:rPr>
        <w:t>4. 投标</w:t>
      </w:r>
      <w:bookmarkEnd w:id="267"/>
      <w:bookmarkEnd w:id="268"/>
      <w:bookmarkEnd w:id="269"/>
      <w:bookmarkEnd w:id="270"/>
      <w:bookmarkEnd w:id="271"/>
      <w:bookmarkEnd w:id="272"/>
      <w:bookmarkEnd w:id="273"/>
      <w:bookmarkEnd w:id="274"/>
      <w:bookmarkEnd w:id="277"/>
      <w:bookmarkEnd w:id="278"/>
    </w:p>
    <w:p w14:paraId="50CDC7BF">
      <w:pPr>
        <w:spacing w:before="0" w:line="500" w:lineRule="exact"/>
        <w:outlineLvl w:val="9"/>
        <w:rPr>
          <w:rFonts w:cs="宋体" w:asciiTheme="minorEastAsia" w:hAnsiTheme="minorEastAsia" w:eastAsiaTheme="minorEastAsia"/>
          <w:sz w:val="24"/>
          <w:szCs w:val="24"/>
        </w:rPr>
      </w:pPr>
      <w:bookmarkStart w:id="279" w:name="_Toc296602444"/>
      <w:bookmarkStart w:id="280" w:name="_Toc179632574"/>
      <w:bookmarkStart w:id="281" w:name="_Toc246996200"/>
      <w:bookmarkStart w:id="282" w:name="_Toc247085714"/>
      <w:bookmarkStart w:id="283" w:name="_Toc144974524"/>
      <w:bookmarkStart w:id="284" w:name="_Toc152042332"/>
      <w:bookmarkStart w:id="285" w:name="_Toc152045556"/>
      <w:bookmarkStart w:id="286" w:name="_Toc246996943"/>
      <w:bookmarkStart w:id="287" w:name="_Toc77586843"/>
      <w:bookmarkStart w:id="288" w:name="_Toc77586936"/>
      <w:r>
        <w:rPr>
          <w:rFonts w:hint="eastAsia" w:cs="宋体" w:asciiTheme="minorEastAsia" w:hAnsiTheme="minorEastAsia" w:eastAsiaTheme="minorEastAsia"/>
          <w:sz w:val="24"/>
          <w:szCs w:val="24"/>
        </w:rPr>
        <w:t>4.1 磋商响应文件的</w:t>
      </w:r>
      <w:bookmarkEnd w:id="279"/>
      <w:bookmarkEnd w:id="280"/>
      <w:bookmarkEnd w:id="281"/>
      <w:bookmarkEnd w:id="282"/>
      <w:bookmarkEnd w:id="283"/>
      <w:bookmarkEnd w:id="284"/>
      <w:bookmarkEnd w:id="285"/>
      <w:bookmarkEnd w:id="286"/>
      <w:r>
        <w:rPr>
          <w:rFonts w:hint="eastAsia" w:cs="宋体" w:asciiTheme="minorEastAsia" w:hAnsiTheme="minorEastAsia" w:eastAsiaTheme="minorEastAsia"/>
          <w:sz w:val="24"/>
          <w:szCs w:val="24"/>
        </w:rPr>
        <w:t>签署</w:t>
      </w:r>
      <w:bookmarkEnd w:id="287"/>
      <w:bookmarkEnd w:id="288"/>
    </w:p>
    <w:p w14:paraId="727308A4">
      <w:pPr>
        <w:spacing w:after="0" w:line="500" w:lineRule="exact"/>
        <w:ind w:firstLine="465"/>
        <w:outlineLvl w:val="9"/>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4.1.1供应商在进行电子化磋商响应文件签章时，竞争性磋商文件中要求供应商盖章的，以签盖单位章为准；要求法定代表人签章的，以签盖法定代表人电子签章为准</w:t>
      </w:r>
      <w:r>
        <w:rPr>
          <w:rFonts w:hint="eastAsia" w:cs="宋体" w:asciiTheme="minorEastAsia" w:hAnsiTheme="minorEastAsia" w:eastAsiaTheme="minorEastAsia"/>
          <w:sz w:val="24"/>
          <w:szCs w:val="24"/>
        </w:rPr>
        <w:t>。电子化磋商响应文件具体制作教材请供应商通过CA证书登录三门峡市公共资源电子化交易系统在右上角“组件下载”中查看。</w:t>
      </w:r>
      <w:bookmarkStart w:id="289" w:name="_Toc77586844"/>
      <w:bookmarkStart w:id="290" w:name="_Toc77586937"/>
    </w:p>
    <w:p w14:paraId="2E8FD202">
      <w:pPr>
        <w:spacing w:after="0" w:line="500" w:lineRule="exact"/>
        <w:outlineLvl w:val="9"/>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4.2 磋商响应文件的上传</w:t>
      </w:r>
      <w:bookmarkEnd w:id="289"/>
      <w:bookmarkEnd w:id="290"/>
    </w:p>
    <w:p w14:paraId="27B27F8C">
      <w:pPr>
        <w:spacing w:after="0" w:line="500" w:lineRule="exact"/>
        <w:ind w:firstLine="480"/>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电子化磋商响应文件应在投标截止时间前成功上传至三门峡市公共资源电子化交易系统。至投标截止时间止，仍未上传成功的电子化</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文件将不予接收。</w:t>
      </w:r>
    </w:p>
    <w:p w14:paraId="1865301C">
      <w:pPr>
        <w:spacing w:after="0" w:line="500" w:lineRule="exact"/>
        <w:ind w:firstLine="480"/>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注：如按照电子化投标操作教材制作完成的电子化</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无法上传的，供应商应在投标截止时间前尽早的联系中心技术人员，以便有充分的时间进行处理。供应商应充分考虑到处理技术问题和上传数据等工作所需的时间问题，电子化磋商响应文件未在投标截止时间前成功上传的，其磋商响应文件不予接收。</w:t>
      </w:r>
    </w:p>
    <w:p w14:paraId="24599CDA">
      <w:pPr>
        <w:spacing w:before="0" w:line="500" w:lineRule="exact"/>
        <w:outlineLvl w:val="9"/>
        <w:rPr>
          <w:rFonts w:cs="宋体" w:asciiTheme="minorEastAsia" w:hAnsiTheme="minorEastAsia" w:eastAsiaTheme="minorEastAsia"/>
          <w:sz w:val="24"/>
          <w:szCs w:val="24"/>
        </w:rPr>
      </w:pPr>
      <w:bookmarkStart w:id="291" w:name="_Toc77586845"/>
      <w:bookmarkStart w:id="292" w:name="_Toc77586938"/>
      <w:r>
        <w:rPr>
          <w:rFonts w:hint="eastAsia" w:cs="宋体" w:asciiTheme="minorEastAsia" w:hAnsiTheme="minorEastAsia" w:eastAsiaTheme="minorEastAsia"/>
          <w:sz w:val="24"/>
          <w:szCs w:val="24"/>
        </w:rPr>
        <w:t>4.3 磋商响应文件的修改与撤回</w:t>
      </w:r>
      <w:bookmarkEnd w:id="291"/>
      <w:bookmarkEnd w:id="292"/>
    </w:p>
    <w:p w14:paraId="788144F8">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4.3.1在投标截止时间之后，供应商不得补充、修改电子化磋商响应文件。</w:t>
      </w:r>
    </w:p>
    <w:p w14:paraId="59E74080">
      <w:pPr>
        <w:spacing w:before="0" w:line="500" w:lineRule="exact"/>
        <w:outlineLvl w:val="9"/>
        <w:rPr>
          <w:rFonts w:cs="宋体" w:asciiTheme="minorEastAsia" w:hAnsiTheme="minorEastAsia" w:eastAsiaTheme="minorEastAsia"/>
          <w:sz w:val="24"/>
          <w:szCs w:val="24"/>
        </w:rPr>
      </w:pPr>
      <w:bookmarkStart w:id="293" w:name="_Toc144974527"/>
      <w:bookmarkStart w:id="294" w:name="_Toc296602447"/>
      <w:bookmarkStart w:id="295" w:name="_Toc179632577"/>
      <w:bookmarkStart w:id="296" w:name="_Toc246996203"/>
      <w:bookmarkStart w:id="297" w:name="_Toc152042335"/>
      <w:bookmarkStart w:id="298" w:name="_Toc152045559"/>
      <w:bookmarkStart w:id="299" w:name="_Toc247085717"/>
      <w:bookmarkStart w:id="300" w:name="_Toc246996946"/>
      <w:bookmarkStart w:id="301" w:name="_Toc77586939"/>
      <w:bookmarkStart w:id="302" w:name="_Toc77586846"/>
      <w:r>
        <w:rPr>
          <w:rFonts w:hint="eastAsia" w:cs="宋体" w:asciiTheme="minorEastAsia" w:hAnsiTheme="minorEastAsia" w:eastAsiaTheme="minorEastAsia"/>
          <w:sz w:val="24"/>
          <w:szCs w:val="24"/>
        </w:rPr>
        <w:t xml:space="preserve">5. </w:t>
      </w:r>
      <w:bookmarkEnd w:id="293"/>
      <w:bookmarkEnd w:id="294"/>
      <w:bookmarkEnd w:id="295"/>
      <w:bookmarkEnd w:id="296"/>
      <w:bookmarkEnd w:id="297"/>
      <w:bookmarkEnd w:id="298"/>
      <w:bookmarkEnd w:id="299"/>
      <w:bookmarkEnd w:id="300"/>
      <w:r>
        <w:rPr>
          <w:rFonts w:hint="eastAsia" w:cs="宋体" w:asciiTheme="minorEastAsia" w:hAnsiTheme="minorEastAsia" w:eastAsiaTheme="minorEastAsia"/>
          <w:sz w:val="24"/>
          <w:szCs w:val="24"/>
        </w:rPr>
        <w:t>磋商</w:t>
      </w:r>
      <w:bookmarkEnd w:id="301"/>
      <w:bookmarkEnd w:id="302"/>
    </w:p>
    <w:p w14:paraId="27698723">
      <w:pPr>
        <w:spacing w:after="0" w:line="500" w:lineRule="exact"/>
        <w:ind w:firstLine="422" w:firstLineChars="176"/>
        <w:outlineLvl w:val="9"/>
        <w:rPr>
          <w:rFonts w:asciiTheme="minorEastAsia" w:hAnsiTheme="minorEastAsia" w:eastAsiaTheme="minorEastAsia"/>
          <w:sz w:val="24"/>
          <w:szCs w:val="24"/>
        </w:rPr>
      </w:pPr>
      <w:bookmarkStart w:id="303" w:name="_Toc246996206"/>
      <w:bookmarkStart w:id="304" w:name="_Toc179632579"/>
      <w:bookmarkStart w:id="305" w:name="_Toc152045561"/>
      <w:bookmarkStart w:id="306" w:name="_Toc296602451"/>
      <w:bookmarkStart w:id="307" w:name="_Toc152045562"/>
      <w:bookmarkStart w:id="308" w:name="_Toc179632580"/>
      <w:bookmarkStart w:id="309" w:name="_Toc246996949"/>
      <w:bookmarkStart w:id="310" w:name="_Toc247085720"/>
      <w:bookmarkStart w:id="311" w:name="_Toc152042337"/>
      <w:bookmarkStart w:id="312" w:name="_Toc144974530"/>
      <w:bookmarkStart w:id="313" w:name="_Toc152042338"/>
      <w:bookmarkStart w:id="314" w:name="_Toc144974529"/>
      <w:r>
        <w:rPr>
          <w:rFonts w:hint="eastAsia" w:asciiTheme="minorEastAsia" w:hAnsiTheme="minorEastAsia" w:eastAsiaTheme="minorEastAsia"/>
          <w:sz w:val="24"/>
          <w:szCs w:val="24"/>
        </w:rPr>
        <w:t>5.1本项目采用电子化、无纸化进行招标，开标当日，供应商无需到开标现场参加开标会议，供应商应当在投标截止时间前，登陆不见面开标大厅选择登陆三门峡市公共资源电子招投标系统进行登陆（网址为http://120.194.249.36:10094/BidOpening/bidopeninghallaction/hall/login）,在线准时参加开标活动并进行磋商响应文件解密等。</w:t>
      </w:r>
    </w:p>
    <w:p w14:paraId="3C7DBE20">
      <w:pPr>
        <w:spacing w:after="0" w:line="500" w:lineRule="exact"/>
        <w:ind w:firstLine="422" w:firstLineChars="176"/>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5.2 电子化磋商响应文件采用一次加密方式。开标时，由供应商使用CA 证书，在规定时间内对其电子化</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文件进行解密。每位供应商的解密时间为开标时间起30分钟内，如在规定时间内未完成解密的，其</w:t>
      </w:r>
      <w:r>
        <w:rPr>
          <w:rFonts w:hint="eastAsia" w:cs="宋体" w:asciiTheme="minorEastAsia" w:hAnsiTheme="minorEastAsia" w:eastAsiaTheme="minorEastAsia"/>
          <w:sz w:val="24"/>
          <w:szCs w:val="24"/>
        </w:rPr>
        <w:t>磋商响应</w:t>
      </w:r>
      <w:r>
        <w:rPr>
          <w:rFonts w:hint="eastAsia" w:asciiTheme="minorEastAsia" w:hAnsiTheme="minorEastAsia" w:eastAsiaTheme="minorEastAsia"/>
          <w:sz w:val="24"/>
          <w:szCs w:val="24"/>
        </w:rPr>
        <w:t>文件不予开标、唱标。每位供应商的解密时间为开标时间起30分钟内完成。</w:t>
      </w:r>
    </w:p>
    <w:p w14:paraId="3E288DBA">
      <w:pPr>
        <w:spacing w:after="0" w:line="500" w:lineRule="exact"/>
        <w:ind w:firstLine="480" w:firstLineChars="200"/>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5.3 电子化磋商响应文件解密异常的处理</w:t>
      </w:r>
    </w:p>
    <w:p w14:paraId="6F0641BC">
      <w:pPr>
        <w:spacing w:after="0" w:line="500" w:lineRule="exact"/>
        <w:ind w:firstLine="422" w:firstLineChars="176"/>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如出现供应商的电子磋商响应文件无法解密等异常情况，供应商应及时致电技术人员处理。磋商响应文件异常，按以下步骤进行处理：</w:t>
      </w:r>
    </w:p>
    <w:p w14:paraId="09794174">
      <w:pPr>
        <w:spacing w:after="0" w:line="500" w:lineRule="exact"/>
        <w:ind w:firstLine="422" w:firstLineChars="176"/>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（1）首先由技术人员进行问题排查。</w:t>
      </w:r>
    </w:p>
    <w:p w14:paraId="1628B40C">
      <w:pPr>
        <w:spacing w:after="0" w:line="500" w:lineRule="exact"/>
        <w:ind w:firstLine="422" w:firstLineChars="176"/>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（2）经技术人员排查后，是供应商文件自身问题导致磋商响应文件无法解密的，该磋商响应文件将不予接收、解密和唱标。开标会议继续进行。</w:t>
      </w:r>
    </w:p>
    <w:p w14:paraId="4A1DB066">
      <w:pPr>
        <w:spacing w:after="0" w:line="500" w:lineRule="exact"/>
        <w:ind w:firstLine="422" w:firstLineChars="176"/>
        <w:outlineLvl w:val="9"/>
        <w:rPr>
          <w:rFonts w:asciiTheme="minorEastAsia" w:hAnsiTheme="minorEastAsia" w:eastAsiaTheme="minorEastAsia"/>
          <w:sz w:val="24"/>
          <w:szCs w:val="24"/>
        </w:rPr>
      </w:pPr>
      <w:r>
        <w:rPr>
          <w:rFonts w:hint="eastAsia" w:asciiTheme="minorEastAsia" w:hAnsiTheme="minorEastAsia" w:eastAsiaTheme="minorEastAsia"/>
          <w:sz w:val="24"/>
          <w:szCs w:val="24"/>
        </w:rPr>
        <w:t>（3）经技术人员排查后，如果是电子化交易系统问题造成磋商响应文件无法解密的，将由技术人员对问题进行处理。</w:t>
      </w:r>
    </w:p>
    <w:p w14:paraId="6746A612">
      <w:pPr>
        <w:spacing w:after="0" w:line="500" w:lineRule="exact"/>
        <w:ind w:firstLine="422" w:firstLineChars="176"/>
        <w:outlineLvl w:val="9"/>
        <w:rPr>
          <w:rFonts w:asciiTheme="minorEastAsia" w:hAnsiTheme="minorEastAsia" w:eastAsiaTheme="minorEastAsia"/>
          <w:sz w:val="24"/>
          <w:szCs w:val="24"/>
        </w:rPr>
      </w:pPr>
      <w:r>
        <w:rPr>
          <w:rFonts w:hint="eastAsia" w:ascii="宋体" w:hAnsi="宋体" w:eastAsia="宋体" w:cs="宋体"/>
          <w:sz w:val="24"/>
          <w:szCs w:val="24"/>
        </w:rPr>
        <w:t>（4）响应人应在开标结束后，应该守在系统前，进行二轮或多轮报价或者磋商小组提出的答疑，报价和答疑时间为30分钟，若供应商错过时间或时间不够无法延时而导致文件无效或废标，由供应商自行承担责任。代理机构无义务必须通知到每个供应商进行报价或答疑。供应商若出现问题导致文件无效或废标，供应商自行承担责任。</w:t>
      </w:r>
    </w:p>
    <w:bookmarkEnd w:id="303"/>
    <w:bookmarkEnd w:id="304"/>
    <w:bookmarkEnd w:id="305"/>
    <w:bookmarkEnd w:id="306"/>
    <w:bookmarkEnd w:id="307"/>
    <w:bookmarkEnd w:id="308"/>
    <w:bookmarkEnd w:id="309"/>
    <w:bookmarkEnd w:id="310"/>
    <w:bookmarkEnd w:id="311"/>
    <w:bookmarkEnd w:id="312"/>
    <w:bookmarkEnd w:id="313"/>
    <w:bookmarkEnd w:id="314"/>
    <w:p w14:paraId="73092E73">
      <w:pPr>
        <w:spacing w:before="0" w:line="500" w:lineRule="exact"/>
        <w:outlineLvl w:val="9"/>
        <w:rPr>
          <w:rFonts w:cs="宋体" w:asciiTheme="minorEastAsia" w:hAnsiTheme="minorEastAsia" w:eastAsiaTheme="minorEastAsia"/>
          <w:sz w:val="24"/>
          <w:szCs w:val="24"/>
        </w:rPr>
      </w:pPr>
      <w:bookmarkStart w:id="315" w:name="_Toc246996207"/>
      <w:bookmarkStart w:id="316" w:name="_Toc246996950"/>
      <w:bookmarkStart w:id="317" w:name="_Toc144974531"/>
      <w:bookmarkStart w:id="318" w:name="_Toc77586847"/>
      <w:bookmarkStart w:id="319" w:name="_Toc152045563"/>
      <w:bookmarkStart w:id="320" w:name="_Toc152042339"/>
      <w:bookmarkStart w:id="321" w:name="_Toc247085721"/>
      <w:bookmarkStart w:id="322" w:name="_Toc296602452"/>
      <w:bookmarkStart w:id="323" w:name="_Toc179632581"/>
      <w:bookmarkStart w:id="324" w:name="_Toc77586940"/>
      <w:r>
        <w:rPr>
          <w:rFonts w:hint="eastAsia" w:cs="宋体" w:asciiTheme="minorEastAsia" w:hAnsiTheme="minorEastAsia" w:eastAsiaTheme="minorEastAsia"/>
          <w:sz w:val="24"/>
          <w:szCs w:val="24"/>
        </w:rPr>
        <w:t>5.4 磋商小组</w:t>
      </w:r>
      <w:bookmarkEnd w:id="315"/>
      <w:bookmarkEnd w:id="316"/>
      <w:bookmarkEnd w:id="317"/>
      <w:bookmarkEnd w:id="318"/>
      <w:bookmarkEnd w:id="319"/>
      <w:bookmarkEnd w:id="320"/>
      <w:bookmarkEnd w:id="321"/>
      <w:bookmarkEnd w:id="322"/>
      <w:bookmarkEnd w:id="323"/>
      <w:bookmarkEnd w:id="324"/>
    </w:p>
    <w:p w14:paraId="19D96189">
      <w:pPr>
        <w:spacing w:after="0" w:line="500" w:lineRule="exact"/>
        <w:ind w:firstLine="480" w:firstLineChars="200"/>
        <w:outlineLvl w:val="9"/>
        <w:rPr>
          <w:rFonts w:cs="宋体" w:asciiTheme="minorEastAsia" w:hAnsiTheme="minorEastAsia" w:eastAsiaTheme="minorEastAsia"/>
          <w:kern w:val="44"/>
          <w:sz w:val="24"/>
          <w:szCs w:val="24"/>
        </w:rPr>
      </w:pPr>
      <w:r>
        <w:rPr>
          <w:rFonts w:hint="eastAsia" w:cs="宋体" w:asciiTheme="minorEastAsia" w:hAnsiTheme="minorEastAsia" w:eastAsiaTheme="minorEastAsia"/>
          <w:sz w:val="24"/>
          <w:szCs w:val="24"/>
        </w:rPr>
        <w:t xml:space="preserve">5.4.1 </w:t>
      </w:r>
      <w:r>
        <w:rPr>
          <w:rFonts w:hint="eastAsia" w:cs="宋体" w:asciiTheme="minorEastAsia" w:hAnsiTheme="minorEastAsia" w:eastAsiaTheme="minorEastAsia"/>
          <w:kern w:val="44"/>
          <w:sz w:val="24"/>
          <w:szCs w:val="24"/>
        </w:rPr>
        <w:t>磋商小组：</w:t>
      </w:r>
      <w:r>
        <w:rPr>
          <w:rFonts w:hint="eastAsia" w:cs="Calibri" w:asciiTheme="minorEastAsia" w:hAnsiTheme="minorEastAsia" w:eastAsiaTheme="minorEastAsia"/>
          <w:sz w:val="24"/>
          <w:szCs w:val="24"/>
        </w:rPr>
        <w:t>采购人代表及有关经济、技术等方面的专家共3人组成，其中：采购人代表1人，经济、技术等方面的专家各1人。</w:t>
      </w:r>
    </w:p>
    <w:p w14:paraId="3F0CC912">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kern w:val="44"/>
          <w:sz w:val="24"/>
          <w:szCs w:val="24"/>
        </w:rPr>
        <w:t>专家确定方式</w:t>
      </w:r>
      <w:r>
        <w:rPr>
          <w:rFonts w:hint="eastAsia" w:cs="Calibri" w:asciiTheme="minorEastAsia" w:hAnsiTheme="minorEastAsia" w:eastAsiaTheme="minorEastAsia"/>
          <w:sz w:val="24"/>
          <w:szCs w:val="24"/>
        </w:rPr>
        <w:t>：开标后从河南省财政专家库中随机抽取。</w:t>
      </w:r>
    </w:p>
    <w:p w14:paraId="7A0ECFF4">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5.4.2磋商小组对所有供应商的磋商响应文件进行评审，按评审后得分由高到低顺序排列，递交给采购人。</w:t>
      </w:r>
    </w:p>
    <w:p w14:paraId="356F772C">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5.4.3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7E3848B4">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w:t>
      </w:r>
      <w:r>
        <w:rPr>
          <w:rFonts w:hint="eastAsia" w:cs="宋体" w:asciiTheme="minorEastAsia" w:hAnsiTheme="minorEastAsia" w:eastAsiaTheme="minorEastAsia"/>
          <w:sz w:val="24"/>
          <w:szCs w:val="24"/>
          <w:lang w:val="en-US" w:eastAsia="zh-CN"/>
        </w:rPr>
        <w:t>4</w:t>
      </w:r>
      <w:r>
        <w:rPr>
          <w:rFonts w:hint="eastAsia" w:cs="宋体" w:asciiTheme="minorEastAsia" w:hAnsiTheme="minorEastAsia" w:eastAsiaTheme="minorEastAsia"/>
          <w:sz w:val="24"/>
          <w:szCs w:val="24"/>
        </w:rPr>
        <w:t>磋商小组成员和评审工作有关人员不得干预或者影响正常评审工作，不得明示或者暗示其倾向性、引导性意见，不得修改磋商文件确定的评审程序、评审方法，不得征询采购人代表的倾向性意见，不得记录、复制或带走任何评审资料。成交候选人确定后，磋商小组不得修改评审结果或者要求重新评审，但因初步审查认定错误或价格计算错误需依法重新评审的除外。应在评审报告中明确记载。</w:t>
      </w:r>
    </w:p>
    <w:p w14:paraId="063B1359">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5.4.</w:t>
      </w:r>
      <w:r>
        <w:rPr>
          <w:rFonts w:hint="eastAsia" w:cs="宋体" w:asciiTheme="minorEastAsia" w:hAnsiTheme="minorEastAsia" w:eastAsiaTheme="minorEastAsia"/>
          <w:sz w:val="24"/>
          <w:szCs w:val="24"/>
          <w:lang w:val="en-US" w:eastAsia="zh-CN"/>
        </w:rPr>
        <w:t>5</w:t>
      </w:r>
      <w:r>
        <w:rPr>
          <w:rFonts w:hint="eastAsia" w:cs="宋体" w:asciiTheme="minorEastAsia" w:hAnsiTheme="minorEastAsia" w:eastAsiaTheme="minorEastAsia"/>
          <w:sz w:val="24"/>
          <w:szCs w:val="24"/>
        </w:rPr>
        <w:t>磋商小组成员有下列情形之一的，应当回避：</w:t>
      </w:r>
    </w:p>
    <w:p w14:paraId="6D3AD6F7">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（1）供应商或供应商主要负责人的近亲属；</w:t>
      </w:r>
    </w:p>
    <w:p w14:paraId="4D243D9B">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（2）项目主管部门或者行政监督部门的人员；</w:t>
      </w:r>
    </w:p>
    <w:p w14:paraId="6EAC9CB6">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（3）与供应商有经济利益关系；</w:t>
      </w:r>
    </w:p>
    <w:p w14:paraId="5B4EC274">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（4）曾因在招标、评标以及其他与招标投标有关活动中从事违法行为而受过行政处罚或刑事处罚的；</w:t>
      </w:r>
    </w:p>
    <w:p w14:paraId="1D4BE12F">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（5）与供应商有其他利害关系。</w:t>
      </w:r>
    </w:p>
    <w:p w14:paraId="7B15196B">
      <w:pPr>
        <w:spacing w:after="0" w:line="500" w:lineRule="exact"/>
        <w:outlineLvl w:val="9"/>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5.5磋商原则和方法</w:t>
      </w:r>
    </w:p>
    <w:p w14:paraId="7D6910CB">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5.5.1坚持公开、公平、公正的原则。</w:t>
      </w:r>
    </w:p>
    <w:p w14:paraId="2996FD07">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5.5.2磋商在磋商小组应当集中与单一供应商分别进行磋商，磋商小组将遵照磋商原则，公正、平等地对待所有供应商。</w:t>
      </w:r>
    </w:p>
    <w:p w14:paraId="24D91EA6">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5.5.3评审方法</w:t>
      </w:r>
    </w:p>
    <w:p w14:paraId="25AD22A6">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（1）初步评审（是否响应竞争性磋商文件的要求），确定合格的供应商。</w:t>
      </w:r>
    </w:p>
    <w:p w14:paraId="5DB7D5B1">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2</w:t>
      </w:r>
      <w:r>
        <w:rPr>
          <w:rFonts w:hint="eastAsia" w:cs="宋体" w:asciiTheme="minorEastAsia" w:hAnsiTheme="minorEastAsia" w:eastAsiaTheme="minorEastAsia"/>
          <w:sz w:val="24"/>
          <w:szCs w:val="24"/>
        </w:rPr>
        <w:t>）各供应商依据各自情况进行最后报价。</w:t>
      </w:r>
    </w:p>
    <w:p w14:paraId="4681D1E4">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）磋商小组采用综合评分法对提交最后报价的供应商的响应文件和最后报价进行综合评分。</w:t>
      </w:r>
    </w:p>
    <w:p w14:paraId="6354EC86">
      <w:pPr>
        <w:spacing w:after="0" w:line="500" w:lineRule="exact"/>
        <w:ind w:firstLine="410" w:firstLineChars="171"/>
        <w:outlineLvl w:val="9"/>
        <w:rPr>
          <w:rFonts w:cs="宋体" w:asciiTheme="minorEastAsia" w:hAnsiTheme="minorEastAsia" w:eastAsiaTheme="minorEastAsia"/>
          <w:b/>
          <w:bCs/>
          <w:kern w:val="28"/>
          <w:sz w:val="24"/>
          <w:szCs w:val="24"/>
        </w:rPr>
      </w:pPr>
      <w:r>
        <w:rPr>
          <w:rFonts w:hint="eastAsia" w:ascii="宋体" w:hAnsi="宋体" w:eastAsia="宋体" w:cs="宋体"/>
          <w:sz w:val="24"/>
          <w:szCs w:val="24"/>
        </w:rPr>
        <w:t>5.5.4</w:t>
      </w:r>
      <w:bookmarkStart w:id="325" w:name="OLE_LINK5"/>
      <w:r>
        <w:rPr>
          <w:rFonts w:hint="eastAsia" w:ascii="宋体" w:hAnsi="宋体" w:eastAsia="宋体" w:cs="宋体"/>
          <w:sz w:val="24"/>
          <w:szCs w:val="24"/>
        </w:rPr>
        <w:t>响应人应在开标结束后，应该守在系统前，进行二轮或多轮报价或者磋商小组提出的答疑，报价和答疑时间为30分钟，若供应商错过时间或时间不够无法延时而导致文件无效或废标，由供应商自行承担责任。代理机构无义务必须通知到每个供应商进行报价或答疑。供应商若出现问题导致文件无效或废标，供应商自行承担责任。</w:t>
      </w:r>
    </w:p>
    <w:bookmarkEnd w:id="325"/>
    <w:p w14:paraId="0ACB1716">
      <w:pPr>
        <w:spacing w:after="0" w:line="500" w:lineRule="exact"/>
        <w:outlineLvl w:val="9"/>
        <w:rPr>
          <w:rFonts w:cs="宋体" w:asciiTheme="minorEastAsia" w:hAnsiTheme="minorEastAsia" w:eastAsiaTheme="minorEastAsia"/>
          <w:b/>
          <w:bCs/>
          <w:kern w:val="28"/>
          <w:sz w:val="24"/>
          <w:szCs w:val="24"/>
        </w:rPr>
      </w:pPr>
      <w:r>
        <w:rPr>
          <w:rFonts w:hint="eastAsia" w:cs="宋体" w:asciiTheme="minorEastAsia" w:hAnsiTheme="minorEastAsia" w:eastAsiaTheme="minorEastAsia"/>
          <w:b/>
          <w:bCs/>
          <w:kern w:val="28"/>
          <w:sz w:val="24"/>
          <w:szCs w:val="24"/>
        </w:rPr>
        <w:t>5.6对供应商的评价</w:t>
      </w:r>
    </w:p>
    <w:p w14:paraId="6AAE983A">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5.6.1磋商小组只对已判定为实质性响应且通过初步审查的磋商响应文件进行详细评价和比较。</w:t>
      </w:r>
    </w:p>
    <w:p w14:paraId="56B8F4B9">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5.6.2磋商小组所有成员应当集中与单一供应商分别进行磋商，并给予所有参加磋商的供应商平等的磋商机会。磋商完成后，要求其在规定时间内提交最后报价。</w:t>
      </w:r>
    </w:p>
    <w:p w14:paraId="6F1F97EC">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5.6.3经磋商确定最终工程需求和提交最后报价的供应商后，磋商小组采用综合评分法对提交最后报价的供应商的磋商响应文件和最后报价进行综合评分。</w:t>
      </w:r>
    </w:p>
    <w:p w14:paraId="1DCF38DB">
      <w:pPr>
        <w:spacing w:after="0" w:line="500" w:lineRule="exact"/>
        <w:ind w:firstLine="410" w:firstLineChars="171"/>
        <w:outlineLvl w:val="9"/>
        <w:rPr>
          <w:rFonts w:hint="eastAsia" w:eastAsia="宋体" w:cs="宋体" w:asciiTheme="minorEastAsia" w:hAnsiTheme="minorEastAsia"/>
          <w:sz w:val="24"/>
          <w:szCs w:val="24"/>
          <w:lang w:eastAsia="zh-CN"/>
        </w:rPr>
      </w:pPr>
      <w:r>
        <w:rPr>
          <w:rFonts w:hint="eastAsia" w:ascii="宋体" w:hAnsi="宋体" w:eastAsia="宋体" w:cs="宋体"/>
          <w:sz w:val="24"/>
          <w:szCs w:val="24"/>
        </w:rPr>
        <w:t>5.6.4本次竞争性磋商分为两轮报价或多轮报价。供应商响应性文件中的报价作为第一次报价，不得高于项目预算金额且不公开；第二轮报价不得高于预算金额, 参与评标报价以最终报价为准，参与最终报价的供应</w:t>
      </w:r>
      <w:r>
        <w:rPr>
          <w:rFonts w:hint="eastAsia" w:ascii="宋体" w:hAnsi="宋体" w:eastAsia="宋体" w:cs="宋体"/>
          <w:sz w:val="24"/>
          <w:szCs w:val="24"/>
          <w:lang w:val="en-US" w:eastAsia="zh-CN"/>
        </w:rPr>
        <w:t>商</w:t>
      </w:r>
      <w:r>
        <w:rPr>
          <w:rFonts w:hint="eastAsia" w:ascii="宋体" w:hAnsi="宋体" w:eastAsia="宋体" w:cs="宋体"/>
          <w:sz w:val="24"/>
          <w:szCs w:val="24"/>
        </w:rPr>
        <w:t>不得少于三家</w:t>
      </w:r>
      <w:r>
        <w:rPr>
          <w:rFonts w:hint="eastAsia" w:ascii="宋体" w:hAnsi="宋体" w:eastAsia="宋体" w:cs="宋体"/>
          <w:sz w:val="24"/>
          <w:szCs w:val="24"/>
          <w:lang w:eastAsia="zh-CN"/>
        </w:rPr>
        <w:t>。</w:t>
      </w:r>
    </w:p>
    <w:p w14:paraId="60680062">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5.6.5磋商小组根据综合评分情况，按评审得分由高到低的顺序确定成交候选人，并编写评审报告。评审得分相同的，按照最后报价由低到高的顺序确定，评审得分且最后报价相同的，按照技术指标优劣顺序确定成交候选人。评审报告由磋商小组全体人员签字。磋商小组成员对评审报告有异议的，磋商小组按照少数服从多数的原则推荐成交候选人，磋商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D739080">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5.6.6如果第一名供应商放弃成交资格或因不可抗力提出不能履行合同、竞争性磋商文件规定应当提交履约担保而在规定的期限内未能提交的，采购人可以按照评审报告推荐的成交候选人名单，确定下一成交候选人为成交人，也可以重新开展采购活动。</w:t>
      </w:r>
    </w:p>
    <w:p w14:paraId="3FD36F23">
      <w:pPr>
        <w:spacing w:after="0" w:line="500" w:lineRule="exact"/>
        <w:outlineLvl w:val="9"/>
        <w:rPr>
          <w:rFonts w:cs="宋体" w:asciiTheme="minorEastAsia" w:hAnsiTheme="minorEastAsia" w:eastAsiaTheme="minorEastAsia"/>
          <w:b/>
          <w:bCs/>
          <w:sz w:val="24"/>
          <w:szCs w:val="24"/>
        </w:rPr>
      </w:pPr>
      <w:bookmarkStart w:id="326" w:name="_Toc296602455"/>
      <w:bookmarkStart w:id="327" w:name="_Toc152042342"/>
      <w:bookmarkStart w:id="328" w:name="_Toc144974534"/>
      <w:bookmarkStart w:id="329" w:name="_Toc246996953"/>
      <w:bookmarkStart w:id="330" w:name="_Toc246996210"/>
      <w:bookmarkStart w:id="331" w:name="_Toc152045566"/>
      <w:bookmarkStart w:id="332" w:name="_Toc247085724"/>
      <w:bookmarkStart w:id="333" w:name="_Toc179632584"/>
      <w:r>
        <w:rPr>
          <w:rFonts w:hint="eastAsia" w:cs="宋体" w:asciiTheme="minorEastAsia" w:hAnsiTheme="minorEastAsia" w:eastAsiaTheme="minorEastAsia"/>
          <w:b/>
          <w:bCs/>
          <w:sz w:val="24"/>
          <w:szCs w:val="24"/>
        </w:rPr>
        <w:t>5.7确定成交人</w:t>
      </w:r>
    </w:p>
    <w:p w14:paraId="7D9833D2">
      <w:pPr>
        <w:spacing w:after="0" w:line="500" w:lineRule="exact"/>
        <w:ind w:firstLine="410" w:firstLineChars="171"/>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磋商小组应当根据综合评分情况，按照评审有高到低的顺序推荐成交候选人，并编写评标报告。</w:t>
      </w:r>
    </w:p>
    <w:p w14:paraId="20907D59">
      <w:pPr>
        <w:spacing w:before="0" w:line="500" w:lineRule="exact"/>
        <w:outlineLvl w:val="9"/>
        <w:rPr>
          <w:rFonts w:cs="宋体" w:asciiTheme="minorEastAsia" w:hAnsiTheme="minorEastAsia" w:eastAsiaTheme="minorEastAsia"/>
          <w:sz w:val="24"/>
          <w:szCs w:val="24"/>
        </w:rPr>
      </w:pPr>
      <w:bookmarkStart w:id="334" w:name="_Toc77586848"/>
      <w:bookmarkStart w:id="335" w:name="_Toc77586941"/>
      <w:r>
        <w:rPr>
          <w:rFonts w:hint="eastAsia" w:cs="宋体" w:asciiTheme="minorEastAsia" w:hAnsiTheme="minorEastAsia" w:eastAsiaTheme="minorEastAsia"/>
          <w:sz w:val="24"/>
          <w:szCs w:val="24"/>
        </w:rPr>
        <w:t>6. 合同授予</w:t>
      </w:r>
      <w:bookmarkEnd w:id="326"/>
      <w:bookmarkEnd w:id="327"/>
      <w:bookmarkEnd w:id="328"/>
      <w:bookmarkEnd w:id="329"/>
      <w:bookmarkEnd w:id="330"/>
      <w:bookmarkEnd w:id="331"/>
      <w:bookmarkEnd w:id="332"/>
      <w:bookmarkEnd w:id="333"/>
      <w:bookmarkEnd w:id="334"/>
      <w:bookmarkEnd w:id="335"/>
    </w:p>
    <w:p w14:paraId="448C11C1">
      <w:pPr>
        <w:spacing w:before="0" w:line="500" w:lineRule="exact"/>
        <w:outlineLvl w:val="9"/>
        <w:rPr>
          <w:rFonts w:cs="宋体" w:asciiTheme="minorEastAsia" w:hAnsiTheme="minorEastAsia" w:eastAsiaTheme="minorEastAsia"/>
          <w:sz w:val="24"/>
          <w:szCs w:val="24"/>
        </w:rPr>
      </w:pPr>
      <w:bookmarkStart w:id="336" w:name="_Toc246996211"/>
      <w:bookmarkStart w:id="337" w:name="_Toc246996954"/>
      <w:bookmarkStart w:id="338" w:name="_Toc247085725"/>
      <w:bookmarkStart w:id="339" w:name="_Toc77586942"/>
      <w:bookmarkStart w:id="340" w:name="_Toc179632585"/>
      <w:bookmarkStart w:id="341" w:name="_Toc152045567"/>
      <w:bookmarkStart w:id="342" w:name="_Toc152042343"/>
      <w:bookmarkStart w:id="343" w:name="_Toc296602456"/>
      <w:bookmarkStart w:id="344" w:name="_Toc144974535"/>
      <w:bookmarkStart w:id="345" w:name="_Toc77586849"/>
      <w:r>
        <w:rPr>
          <w:rFonts w:hint="eastAsia" w:cs="宋体" w:asciiTheme="minorEastAsia" w:hAnsiTheme="minorEastAsia" w:eastAsiaTheme="minorEastAsia"/>
          <w:sz w:val="24"/>
          <w:szCs w:val="24"/>
        </w:rPr>
        <w:t>6.1 定标方式</w:t>
      </w:r>
      <w:bookmarkEnd w:id="336"/>
      <w:bookmarkEnd w:id="337"/>
      <w:bookmarkEnd w:id="338"/>
      <w:bookmarkEnd w:id="339"/>
      <w:bookmarkEnd w:id="340"/>
      <w:bookmarkEnd w:id="341"/>
      <w:bookmarkEnd w:id="342"/>
      <w:bookmarkEnd w:id="343"/>
      <w:bookmarkEnd w:id="344"/>
      <w:bookmarkEnd w:id="345"/>
    </w:p>
    <w:p w14:paraId="5CE57AF2">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采购人依据磋商小组推荐的成交候选人确定成交人。</w:t>
      </w:r>
    </w:p>
    <w:p w14:paraId="4D7D069F">
      <w:pPr>
        <w:spacing w:before="0" w:line="500" w:lineRule="exact"/>
        <w:outlineLvl w:val="9"/>
        <w:rPr>
          <w:rFonts w:cs="宋体" w:asciiTheme="minorEastAsia" w:hAnsiTheme="minorEastAsia" w:eastAsiaTheme="minorEastAsia"/>
          <w:sz w:val="24"/>
          <w:szCs w:val="24"/>
        </w:rPr>
      </w:pPr>
      <w:bookmarkStart w:id="346" w:name="_Toc77586943"/>
      <w:bookmarkStart w:id="347" w:name="_Toc77586850"/>
      <w:bookmarkStart w:id="348" w:name="_Toc296602457"/>
      <w:r>
        <w:rPr>
          <w:rFonts w:hint="eastAsia" w:cs="宋体" w:asciiTheme="minorEastAsia" w:hAnsiTheme="minorEastAsia" w:eastAsiaTheme="minorEastAsia"/>
          <w:sz w:val="24"/>
          <w:szCs w:val="24"/>
        </w:rPr>
        <w:t>6.2 成交候选人公示</w:t>
      </w:r>
      <w:bookmarkEnd w:id="346"/>
      <w:bookmarkEnd w:id="347"/>
      <w:bookmarkEnd w:id="348"/>
    </w:p>
    <w:p w14:paraId="7E551284">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采购人在供应商须知前附表规定的媒介公示成交候选人。</w:t>
      </w:r>
    </w:p>
    <w:p w14:paraId="5920456C">
      <w:pPr>
        <w:spacing w:before="0" w:line="500" w:lineRule="exact"/>
        <w:outlineLvl w:val="9"/>
        <w:rPr>
          <w:rFonts w:cs="宋体" w:asciiTheme="minorEastAsia" w:hAnsiTheme="minorEastAsia" w:eastAsiaTheme="minorEastAsia"/>
          <w:sz w:val="24"/>
          <w:szCs w:val="24"/>
        </w:rPr>
      </w:pPr>
      <w:bookmarkStart w:id="349" w:name="_Toc77586944"/>
      <w:bookmarkStart w:id="350" w:name="_Toc77586851"/>
      <w:bookmarkStart w:id="351" w:name="_Toc296602458"/>
      <w:bookmarkStart w:id="352" w:name="_Toc152045568"/>
      <w:bookmarkStart w:id="353" w:name="_Toc144974536"/>
      <w:bookmarkStart w:id="354" w:name="_Toc246996212"/>
      <w:bookmarkStart w:id="355" w:name="_Toc152042344"/>
      <w:bookmarkStart w:id="356" w:name="_Toc246996955"/>
      <w:bookmarkStart w:id="357" w:name="_Toc247085726"/>
      <w:bookmarkStart w:id="358" w:name="_Toc179632586"/>
      <w:r>
        <w:rPr>
          <w:rFonts w:hint="eastAsia" w:cs="宋体" w:asciiTheme="minorEastAsia" w:hAnsiTheme="minorEastAsia" w:eastAsiaTheme="minorEastAsia"/>
          <w:sz w:val="24"/>
          <w:szCs w:val="24"/>
        </w:rPr>
        <w:t>6.3 成交通知</w:t>
      </w:r>
      <w:bookmarkEnd w:id="349"/>
      <w:bookmarkEnd w:id="350"/>
      <w:bookmarkEnd w:id="351"/>
      <w:bookmarkEnd w:id="352"/>
      <w:bookmarkEnd w:id="353"/>
      <w:bookmarkEnd w:id="354"/>
      <w:bookmarkEnd w:id="355"/>
      <w:bookmarkEnd w:id="356"/>
      <w:bookmarkEnd w:id="357"/>
      <w:bookmarkEnd w:id="358"/>
    </w:p>
    <w:p w14:paraId="69780C99">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在本章第3.3款规定的投标有效期内，采购人以书面形式向成交人发出成交通知书，同时将成交结果通知未成交的供应商。</w:t>
      </w:r>
    </w:p>
    <w:p w14:paraId="2F525E20">
      <w:pPr>
        <w:spacing w:before="0" w:line="500" w:lineRule="exact"/>
        <w:outlineLvl w:val="9"/>
        <w:rPr>
          <w:rFonts w:cs="宋体" w:asciiTheme="minorEastAsia" w:hAnsiTheme="minorEastAsia" w:eastAsiaTheme="minorEastAsia"/>
          <w:sz w:val="24"/>
          <w:szCs w:val="24"/>
        </w:rPr>
      </w:pPr>
      <w:bookmarkStart w:id="359" w:name="_Toc144974537"/>
      <w:bookmarkStart w:id="360" w:name="_Toc179632587"/>
      <w:bookmarkStart w:id="361" w:name="_Toc77586852"/>
      <w:bookmarkStart w:id="362" w:name="_Toc247085727"/>
      <w:bookmarkStart w:id="363" w:name="_Toc246996213"/>
      <w:bookmarkStart w:id="364" w:name="_Toc152042345"/>
      <w:bookmarkStart w:id="365" w:name="_Toc77586945"/>
      <w:bookmarkStart w:id="366" w:name="_Toc246996956"/>
      <w:bookmarkStart w:id="367" w:name="_Toc296602459"/>
      <w:bookmarkStart w:id="368" w:name="_Toc152045569"/>
      <w:r>
        <w:rPr>
          <w:rFonts w:hint="eastAsia" w:cs="宋体" w:asciiTheme="minorEastAsia" w:hAnsiTheme="minorEastAsia" w:eastAsiaTheme="minorEastAsia"/>
          <w:sz w:val="24"/>
          <w:szCs w:val="24"/>
        </w:rPr>
        <w:t xml:space="preserve">6.4 </w:t>
      </w:r>
      <w:bookmarkEnd w:id="359"/>
      <w:bookmarkEnd w:id="360"/>
      <w:bookmarkEnd w:id="361"/>
      <w:bookmarkEnd w:id="362"/>
      <w:bookmarkEnd w:id="363"/>
      <w:bookmarkEnd w:id="364"/>
      <w:bookmarkEnd w:id="365"/>
      <w:bookmarkEnd w:id="366"/>
      <w:bookmarkEnd w:id="367"/>
      <w:bookmarkEnd w:id="368"/>
      <w:bookmarkStart w:id="369" w:name="_Toc246996214"/>
      <w:bookmarkStart w:id="370" w:name="_Toc179632588"/>
      <w:bookmarkStart w:id="371" w:name="_Toc296602460"/>
      <w:bookmarkStart w:id="372" w:name="_Toc246996957"/>
      <w:bookmarkStart w:id="373" w:name="_Toc152045570"/>
      <w:bookmarkStart w:id="374" w:name="_Toc152042346"/>
      <w:bookmarkStart w:id="375" w:name="_Toc247085728"/>
      <w:bookmarkStart w:id="376" w:name="_Toc144974538"/>
      <w:bookmarkStart w:id="377" w:name="_Toc77586853"/>
      <w:bookmarkStart w:id="378" w:name="_Toc77586946"/>
      <w:r>
        <w:rPr>
          <w:rFonts w:hint="eastAsia" w:cs="宋体" w:asciiTheme="minorEastAsia" w:hAnsiTheme="minorEastAsia" w:eastAsiaTheme="minorEastAsia"/>
          <w:sz w:val="24"/>
          <w:szCs w:val="24"/>
        </w:rPr>
        <w:t>签订合同</w:t>
      </w:r>
      <w:bookmarkEnd w:id="369"/>
      <w:bookmarkEnd w:id="370"/>
      <w:bookmarkEnd w:id="371"/>
      <w:bookmarkEnd w:id="372"/>
      <w:bookmarkEnd w:id="373"/>
      <w:bookmarkEnd w:id="374"/>
      <w:bookmarkEnd w:id="375"/>
      <w:bookmarkEnd w:id="376"/>
      <w:bookmarkEnd w:id="377"/>
      <w:bookmarkEnd w:id="378"/>
    </w:p>
    <w:p w14:paraId="7512F71E">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6.4.1采购人和成交人应当自成交通知书发出之日起2个工作日内，根据竞争性磋商文件和成交人的磋商响应文件订立书面合同。成交人无正当理由拒签合同的，采购人取消其成交资格，给采购人造成的损失应当予以赔偿。</w:t>
      </w:r>
      <w:bookmarkStart w:id="379" w:name="_Toc77586947"/>
      <w:bookmarkStart w:id="380" w:name="_Toc296602461"/>
      <w:bookmarkStart w:id="381" w:name="_Toc77586854"/>
    </w:p>
    <w:p w14:paraId="5CAFD2FA">
      <w:pPr>
        <w:spacing w:after="0" w:line="500" w:lineRule="exact"/>
        <w:outlineLvl w:val="9"/>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7. 纪律和监督</w:t>
      </w:r>
      <w:bookmarkEnd w:id="379"/>
      <w:bookmarkEnd w:id="380"/>
      <w:bookmarkEnd w:id="381"/>
      <w:bookmarkStart w:id="382" w:name="_Toc144974543"/>
      <w:bookmarkStart w:id="383" w:name="_Toc179632593"/>
      <w:bookmarkStart w:id="384" w:name="_Toc152045575"/>
      <w:bookmarkStart w:id="385" w:name="_Toc246996962"/>
      <w:bookmarkStart w:id="386" w:name="_Toc77586948"/>
      <w:bookmarkStart w:id="387" w:name="_Toc296590983"/>
      <w:bookmarkStart w:id="388" w:name="_Toc152042351"/>
      <w:bookmarkStart w:id="389" w:name="_Toc77586855"/>
      <w:bookmarkStart w:id="390" w:name="_Toc247085733"/>
      <w:bookmarkStart w:id="391" w:name="_Toc296602462"/>
      <w:bookmarkStart w:id="392" w:name="_Toc246996219"/>
    </w:p>
    <w:p w14:paraId="3435496D">
      <w:pPr>
        <w:spacing w:after="0" w:line="500" w:lineRule="exact"/>
        <w:outlineLvl w:val="9"/>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7.1 对采购人的纪律要求</w:t>
      </w:r>
      <w:bookmarkEnd w:id="382"/>
      <w:bookmarkEnd w:id="383"/>
      <w:bookmarkEnd w:id="384"/>
      <w:bookmarkEnd w:id="385"/>
      <w:bookmarkEnd w:id="386"/>
      <w:bookmarkEnd w:id="387"/>
      <w:bookmarkEnd w:id="388"/>
      <w:bookmarkEnd w:id="389"/>
      <w:bookmarkEnd w:id="390"/>
      <w:bookmarkEnd w:id="391"/>
      <w:bookmarkEnd w:id="392"/>
    </w:p>
    <w:p w14:paraId="2AD35AA9">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采购人不得泄漏招标投标活动中应当保密的情况和资料，不得与供应商串通损害国家利益、社会公共利益或者他人合法权益。</w:t>
      </w:r>
    </w:p>
    <w:p w14:paraId="773D70F5">
      <w:pPr>
        <w:spacing w:before="0" w:line="500" w:lineRule="exact"/>
        <w:outlineLvl w:val="9"/>
        <w:rPr>
          <w:rFonts w:cs="宋体" w:asciiTheme="minorEastAsia" w:hAnsiTheme="minorEastAsia" w:eastAsiaTheme="minorEastAsia"/>
          <w:sz w:val="24"/>
          <w:szCs w:val="24"/>
        </w:rPr>
      </w:pPr>
      <w:bookmarkStart w:id="393" w:name="_Toc152042352"/>
      <w:bookmarkStart w:id="394" w:name="_Toc152045576"/>
      <w:bookmarkStart w:id="395" w:name="_Toc246996220"/>
      <w:bookmarkStart w:id="396" w:name="_Toc179632594"/>
      <w:bookmarkStart w:id="397" w:name="_Toc144974544"/>
      <w:bookmarkStart w:id="398" w:name="_Toc77586949"/>
      <w:bookmarkStart w:id="399" w:name="_Toc296602463"/>
      <w:bookmarkStart w:id="400" w:name="_Toc77586856"/>
      <w:bookmarkStart w:id="401" w:name="_Toc247085734"/>
      <w:bookmarkStart w:id="402" w:name="_Toc246996963"/>
      <w:r>
        <w:rPr>
          <w:rFonts w:hint="eastAsia" w:cs="宋体" w:asciiTheme="minorEastAsia" w:hAnsiTheme="minorEastAsia" w:eastAsiaTheme="minorEastAsia"/>
          <w:sz w:val="24"/>
          <w:szCs w:val="24"/>
        </w:rPr>
        <w:t>7.2 对供应商的纪律要求</w:t>
      </w:r>
      <w:bookmarkEnd w:id="393"/>
      <w:bookmarkEnd w:id="394"/>
      <w:bookmarkEnd w:id="395"/>
      <w:bookmarkEnd w:id="396"/>
      <w:bookmarkEnd w:id="397"/>
      <w:bookmarkEnd w:id="398"/>
      <w:bookmarkEnd w:id="399"/>
      <w:bookmarkEnd w:id="400"/>
      <w:bookmarkEnd w:id="401"/>
      <w:bookmarkEnd w:id="402"/>
    </w:p>
    <w:p w14:paraId="248EF1E0">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供应商不得相互串通投标或者与采购人串通投标，不得向采购人或者磋商小组成员行贿谋取成交，不得以他人名义投标或者以其他方式弄虚作假骗取成交；供应商不得以任何方式干扰、影响评标工作。</w:t>
      </w:r>
    </w:p>
    <w:p w14:paraId="45A5BF24">
      <w:pPr>
        <w:spacing w:before="0" w:line="500" w:lineRule="exact"/>
        <w:outlineLvl w:val="9"/>
        <w:rPr>
          <w:rFonts w:cs="宋体" w:asciiTheme="minorEastAsia" w:hAnsiTheme="minorEastAsia" w:eastAsiaTheme="minorEastAsia"/>
          <w:sz w:val="24"/>
          <w:szCs w:val="24"/>
        </w:rPr>
      </w:pPr>
      <w:bookmarkStart w:id="403" w:name="_Toc246996964"/>
      <w:bookmarkStart w:id="404" w:name="_Toc179632595"/>
      <w:bookmarkStart w:id="405" w:name="_Toc152042353"/>
      <w:bookmarkStart w:id="406" w:name="_Toc247085735"/>
      <w:bookmarkStart w:id="407" w:name="_Toc77586857"/>
      <w:bookmarkStart w:id="408" w:name="_Toc77586950"/>
      <w:bookmarkStart w:id="409" w:name="_Toc296602464"/>
      <w:bookmarkStart w:id="410" w:name="_Toc144974545"/>
      <w:bookmarkStart w:id="411" w:name="_Toc152045577"/>
      <w:bookmarkStart w:id="412" w:name="_Toc246996221"/>
      <w:r>
        <w:rPr>
          <w:rFonts w:hint="eastAsia" w:cs="宋体" w:asciiTheme="minorEastAsia" w:hAnsiTheme="minorEastAsia" w:eastAsiaTheme="minorEastAsia"/>
          <w:sz w:val="24"/>
          <w:szCs w:val="24"/>
        </w:rPr>
        <w:t>7.3 对磋商小组成员的纪律要求</w:t>
      </w:r>
      <w:bookmarkEnd w:id="403"/>
      <w:bookmarkEnd w:id="404"/>
      <w:bookmarkEnd w:id="405"/>
      <w:bookmarkEnd w:id="406"/>
      <w:bookmarkEnd w:id="407"/>
      <w:bookmarkEnd w:id="408"/>
      <w:bookmarkEnd w:id="409"/>
      <w:bookmarkEnd w:id="410"/>
      <w:bookmarkEnd w:id="411"/>
      <w:bookmarkEnd w:id="412"/>
    </w:p>
    <w:p w14:paraId="5ED18439">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磋商小组成员不得收受他人的财物或者其他好处，不得向他人透漏对磋商响应文件的评审和比较、成交候选人的推荐情况以及评标有关的其他情况。在评标活动中，磋商小组成员应当客观、公正地履行职责，遵守职业道德，不得擅离职守，影响评标程序正常进行，不得使用第三章“评标办法”没有规定的评审因素和标准进行评标。</w:t>
      </w:r>
    </w:p>
    <w:p w14:paraId="5D6A6EBE">
      <w:pPr>
        <w:spacing w:before="0" w:line="500" w:lineRule="exact"/>
        <w:outlineLvl w:val="9"/>
        <w:rPr>
          <w:rFonts w:cs="宋体" w:asciiTheme="minorEastAsia" w:hAnsiTheme="minorEastAsia" w:eastAsiaTheme="minorEastAsia"/>
          <w:sz w:val="24"/>
          <w:szCs w:val="24"/>
        </w:rPr>
      </w:pPr>
      <w:bookmarkStart w:id="413" w:name="_Toc296602465"/>
      <w:bookmarkStart w:id="414" w:name="_Toc179632596"/>
      <w:bookmarkStart w:id="415" w:name="_Toc152042354"/>
      <w:bookmarkStart w:id="416" w:name="_Toc246996965"/>
      <w:bookmarkStart w:id="417" w:name="_Toc77586858"/>
      <w:bookmarkStart w:id="418" w:name="_Toc77586951"/>
      <w:bookmarkStart w:id="419" w:name="_Toc246996222"/>
      <w:bookmarkStart w:id="420" w:name="_Toc247085736"/>
      <w:bookmarkStart w:id="421" w:name="_Toc152045578"/>
      <w:bookmarkStart w:id="422" w:name="_Toc144974546"/>
      <w:r>
        <w:rPr>
          <w:rFonts w:hint="eastAsia" w:cs="宋体" w:asciiTheme="minorEastAsia" w:hAnsiTheme="minorEastAsia" w:eastAsiaTheme="minorEastAsia"/>
          <w:sz w:val="24"/>
          <w:szCs w:val="24"/>
        </w:rPr>
        <w:t>7.4 对与评标活动有关的工作人员的纪律要求</w:t>
      </w:r>
      <w:bookmarkEnd w:id="413"/>
      <w:bookmarkEnd w:id="414"/>
      <w:bookmarkEnd w:id="415"/>
      <w:bookmarkEnd w:id="416"/>
      <w:bookmarkEnd w:id="417"/>
      <w:bookmarkEnd w:id="418"/>
      <w:bookmarkEnd w:id="419"/>
      <w:bookmarkEnd w:id="420"/>
      <w:bookmarkEnd w:id="421"/>
    </w:p>
    <w:p w14:paraId="29F513BE">
      <w:pPr>
        <w:spacing w:after="0" w:line="500" w:lineRule="exact"/>
        <w:ind w:firstLine="480" w:firstLineChars="200"/>
        <w:outlineLvl w:val="9"/>
        <w:rPr>
          <w:rFonts w:cs="宋体" w:asciiTheme="minorEastAsia" w:hAnsiTheme="minorEastAsia" w:eastAsiaTheme="minorEastAsia"/>
          <w:sz w:val="24"/>
          <w:szCs w:val="24"/>
        </w:rPr>
      </w:pPr>
      <w:bookmarkStart w:id="423" w:name="_Toc152042355"/>
      <w:r>
        <w:rPr>
          <w:rFonts w:hint="eastAsia" w:cs="宋体" w:asciiTheme="minorEastAsia" w:hAnsiTheme="minorEastAsia" w:eastAsiaTheme="minorEastAsia"/>
          <w:sz w:val="24"/>
          <w:szCs w:val="24"/>
        </w:rPr>
        <w:t>与评标活动有关的工作人员不得收受他人的财物或者其他好处，不得向他人透漏对磋商响应文件的评审和比较、成交候选人的推荐情况以及评标有关的其他情况。在评标活动中，与评标活动有关的工作人员不得擅离职守，影响评标程序正常进行。</w:t>
      </w:r>
      <w:bookmarkEnd w:id="423"/>
    </w:p>
    <w:p w14:paraId="1B4706FD">
      <w:pPr>
        <w:spacing w:before="0" w:line="500" w:lineRule="exact"/>
        <w:outlineLvl w:val="9"/>
        <w:rPr>
          <w:rFonts w:cs="宋体" w:asciiTheme="minorEastAsia" w:hAnsiTheme="minorEastAsia" w:eastAsiaTheme="minorEastAsia"/>
          <w:sz w:val="24"/>
          <w:szCs w:val="24"/>
        </w:rPr>
      </w:pPr>
      <w:bookmarkStart w:id="424" w:name="_Toc152045579"/>
      <w:bookmarkStart w:id="425" w:name="_Toc179632597"/>
      <w:bookmarkStart w:id="426" w:name="_Toc77586859"/>
      <w:bookmarkStart w:id="427" w:name="_Toc247085737"/>
      <w:bookmarkStart w:id="428" w:name="_Toc152042356"/>
      <w:bookmarkStart w:id="429" w:name="_Toc77586952"/>
      <w:bookmarkStart w:id="430" w:name="_Toc246996966"/>
      <w:bookmarkStart w:id="431" w:name="_Toc246996223"/>
      <w:bookmarkStart w:id="432" w:name="_Toc296602466"/>
      <w:r>
        <w:rPr>
          <w:rFonts w:hint="eastAsia" w:cs="宋体" w:asciiTheme="minorEastAsia" w:hAnsiTheme="minorEastAsia" w:eastAsiaTheme="minorEastAsia"/>
          <w:sz w:val="24"/>
          <w:szCs w:val="24"/>
        </w:rPr>
        <w:t>7.5 投诉</w:t>
      </w:r>
      <w:bookmarkEnd w:id="422"/>
      <w:bookmarkEnd w:id="424"/>
      <w:bookmarkEnd w:id="425"/>
      <w:bookmarkEnd w:id="426"/>
      <w:bookmarkEnd w:id="427"/>
      <w:bookmarkEnd w:id="428"/>
      <w:bookmarkEnd w:id="429"/>
      <w:bookmarkEnd w:id="430"/>
      <w:bookmarkEnd w:id="431"/>
      <w:bookmarkEnd w:id="432"/>
    </w:p>
    <w:p w14:paraId="30029378">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供应商和其他利害关系人认为本次招标活动违反法律、法规和规章规定的，有权向有关行政监督部门投诉。</w:t>
      </w:r>
    </w:p>
    <w:p w14:paraId="30EB06ED">
      <w:pPr>
        <w:tabs>
          <w:tab w:val="left" w:pos="3520"/>
        </w:tabs>
        <w:spacing w:after="0" w:line="500" w:lineRule="exact"/>
        <w:outlineLvl w:val="9"/>
        <w:rPr>
          <w:rFonts w:cs="宋体" w:asciiTheme="minorEastAsia" w:hAnsiTheme="minorEastAsia" w:eastAsiaTheme="minorEastAsia"/>
          <w:b/>
          <w:sz w:val="24"/>
          <w:szCs w:val="24"/>
        </w:rPr>
      </w:pPr>
      <w:bookmarkStart w:id="433" w:name="_Toc246996224"/>
      <w:bookmarkStart w:id="434" w:name="_Toc144974547"/>
      <w:bookmarkStart w:id="435" w:name="_Toc152045580"/>
      <w:bookmarkStart w:id="436" w:name="_Toc247085738"/>
      <w:bookmarkStart w:id="437" w:name="_Toc179632598"/>
      <w:bookmarkStart w:id="438" w:name="_Toc296602467"/>
      <w:bookmarkStart w:id="439" w:name="_Toc246996967"/>
      <w:bookmarkStart w:id="440" w:name="_Toc77586860"/>
      <w:bookmarkStart w:id="441" w:name="_Toc77586953"/>
      <w:bookmarkStart w:id="442" w:name="_Toc152042357"/>
      <w:r>
        <w:rPr>
          <w:rFonts w:hint="eastAsia" w:cs="宋体" w:asciiTheme="minorEastAsia" w:hAnsiTheme="minorEastAsia" w:eastAsiaTheme="minorEastAsia"/>
          <w:b/>
          <w:sz w:val="24"/>
          <w:szCs w:val="24"/>
        </w:rPr>
        <w:t>8.需要补充的其他内容</w:t>
      </w:r>
      <w:bookmarkEnd w:id="433"/>
      <w:bookmarkEnd w:id="434"/>
      <w:bookmarkEnd w:id="435"/>
      <w:bookmarkEnd w:id="436"/>
      <w:bookmarkEnd w:id="437"/>
      <w:bookmarkEnd w:id="438"/>
      <w:bookmarkEnd w:id="439"/>
      <w:bookmarkEnd w:id="440"/>
      <w:bookmarkEnd w:id="441"/>
      <w:bookmarkEnd w:id="442"/>
      <w:r>
        <w:rPr>
          <w:rFonts w:cs="宋体" w:asciiTheme="minorEastAsia" w:hAnsiTheme="minorEastAsia" w:eastAsiaTheme="minorEastAsia"/>
          <w:b/>
          <w:sz w:val="24"/>
          <w:szCs w:val="24"/>
        </w:rPr>
        <w:tab/>
      </w:r>
    </w:p>
    <w:p w14:paraId="237086FE">
      <w:pPr>
        <w:spacing w:after="0" w:line="500" w:lineRule="exact"/>
        <w:ind w:firstLine="480" w:firstLineChars="200"/>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需要补充的其他内容：见供应商须知前附表。</w:t>
      </w:r>
    </w:p>
    <w:p w14:paraId="676B53E5">
      <w:pPr>
        <w:outlineLvl w:val="9"/>
        <w:rPr>
          <w:rFonts w:asciiTheme="minorEastAsia" w:hAnsiTheme="minorEastAsia" w:eastAsiaTheme="minorEastAsia"/>
        </w:rPr>
      </w:pPr>
    </w:p>
    <w:p w14:paraId="31FE0137">
      <w:pPr>
        <w:pStyle w:val="64"/>
        <w:spacing w:before="0" w:after="0" w:line="400" w:lineRule="exact"/>
        <w:outlineLvl w:val="0"/>
        <w:rPr>
          <w:rFonts w:hint="default" w:asciiTheme="minorEastAsia" w:hAnsiTheme="minorEastAsia" w:eastAsiaTheme="minorEastAsia"/>
        </w:rPr>
      </w:pPr>
      <w:bookmarkStart w:id="443" w:name="_Toc517179003"/>
      <w:bookmarkEnd w:id="443"/>
      <w:bookmarkStart w:id="444" w:name="_Toc20823314"/>
      <w:bookmarkEnd w:id="444"/>
      <w:bookmarkStart w:id="445" w:name="_Toc513029242"/>
      <w:bookmarkEnd w:id="445"/>
      <w:bookmarkStart w:id="446" w:name="_Toc517178999"/>
      <w:bookmarkEnd w:id="446"/>
      <w:bookmarkStart w:id="447" w:name="_Toc120614281"/>
      <w:bookmarkEnd w:id="447"/>
      <w:bookmarkStart w:id="448" w:name="_Toc49090575"/>
      <w:bookmarkEnd w:id="448"/>
      <w:bookmarkStart w:id="449" w:name="_Toc120614221"/>
      <w:bookmarkEnd w:id="449"/>
      <w:bookmarkStart w:id="450" w:name="_Toc479757207"/>
      <w:bookmarkEnd w:id="450"/>
      <w:bookmarkStart w:id="451" w:name="_Hlt16619475"/>
      <w:bookmarkEnd w:id="451"/>
      <w:bookmarkStart w:id="452" w:name="_Hlt16619369"/>
      <w:bookmarkEnd w:id="452"/>
      <w:bookmarkStart w:id="453" w:name="_Toc479757211"/>
      <w:bookmarkEnd w:id="453"/>
      <w:bookmarkStart w:id="454" w:name="_Toc26554093"/>
      <w:bookmarkEnd w:id="454"/>
      <w:bookmarkStart w:id="455" w:name="_Toc462564139"/>
      <w:bookmarkEnd w:id="455"/>
      <w:bookmarkStart w:id="456" w:name="_Toc16770582"/>
      <w:bookmarkStart w:id="457" w:name="_Toc528078062"/>
      <w:bookmarkStart w:id="458" w:name="_Toc6913"/>
      <w:r>
        <w:rPr>
          <w:rFonts w:asciiTheme="minorEastAsia" w:hAnsiTheme="minorEastAsia" w:eastAsiaTheme="minorEastAsia"/>
          <w:b/>
          <w:bCs/>
          <w:sz w:val="36"/>
          <w:szCs w:val="36"/>
        </w:rPr>
        <w:t>第三章</w:t>
      </w:r>
      <w:r>
        <w:rPr>
          <w:rFonts w:hint="eastAsia" w:asciiTheme="minorEastAsia" w:hAnsiTheme="minorEastAsia" w:eastAsiaTheme="minorEastAsia"/>
          <w:b/>
          <w:bCs/>
          <w:color w:val="auto"/>
          <w:kern w:val="36"/>
          <w:sz w:val="36"/>
          <w:szCs w:val="36"/>
          <w:lang w:val="en-US" w:eastAsia="zh-CN"/>
        </w:rPr>
        <w:t xml:space="preserve">  </w:t>
      </w:r>
      <w:r>
        <w:rPr>
          <w:rFonts w:asciiTheme="minorEastAsia" w:hAnsiTheme="minorEastAsia" w:eastAsiaTheme="minorEastAsia"/>
          <w:b/>
          <w:bCs/>
          <w:sz w:val="36"/>
          <w:szCs w:val="36"/>
        </w:rPr>
        <w:t>评审标准</w:t>
      </w:r>
      <w:bookmarkEnd w:id="456"/>
      <w:bookmarkEnd w:id="457"/>
      <w:bookmarkEnd w:id="458"/>
    </w:p>
    <w:p w14:paraId="4B450225">
      <w:pPr>
        <w:spacing w:line="400" w:lineRule="exact"/>
        <w:ind w:firstLine="420"/>
        <w:outlineLvl w:val="9"/>
        <w:rPr>
          <w:rFonts w:cs="Calibri" w:asciiTheme="minorEastAsia" w:hAnsiTheme="minorEastAsia" w:eastAsiaTheme="minorEastAsia"/>
          <w:sz w:val="24"/>
        </w:rPr>
      </w:pPr>
      <w:bookmarkStart w:id="459" w:name="OLE_LINK2"/>
      <w:bookmarkEnd w:id="459"/>
      <w:bookmarkStart w:id="460" w:name="OLE_LINK1"/>
      <w:r>
        <w:rPr>
          <w:rFonts w:hint="eastAsia" w:cs="Calibri" w:asciiTheme="minorEastAsia" w:hAnsiTheme="minorEastAsia" w:eastAsiaTheme="minorEastAsia"/>
          <w:sz w:val="24"/>
        </w:rPr>
        <w:t>本次竞争性磋商的评审分为初步审查和详细审查。详细审查采用综合评分法，总分为100分。</w:t>
      </w:r>
      <w:bookmarkEnd w:id="460"/>
    </w:p>
    <w:p w14:paraId="37267353">
      <w:pPr>
        <w:spacing w:line="400" w:lineRule="exact"/>
        <w:outlineLvl w:val="9"/>
        <w:rPr>
          <w:rFonts w:cs="Calibri" w:asciiTheme="minorEastAsia" w:hAnsiTheme="minorEastAsia" w:eastAsiaTheme="minorEastAsia"/>
          <w:b/>
          <w:bCs/>
          <w:sz w:val="24"/>
        </w:rPr>
      </w:pPr>
      <w:r>
        <w:rPr>
          <w:rFonts w:hint="eastAsia" w:cs="Calibri" w:asciiTheme="minorEastAsia" w:hAnsiTheme="minorEastAsia" w:eastAsiaTheme="minorEastAsia"/>
          <w:b/>
          <w:bCs/>
          <w:sz w:val="24"/>
        </w:rPr>
        <w:t>1、评标办法前附表</w:t>
      </w:r>
    </w:p>
    <w:tbl>
      <w:tblPr>
        <w:tblStyle w:val="26"/>
        <w:tblW w:w="9553"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764"/>
        <w:gridCol w:w="1548"/>
        <w:gridCol w:w="6472"/>
      </w:tblGrid>
      <w:tr w14:paraId="6E7EF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533" w:type="dxa"/>
            <w:gridSpan w:val="2"/>
            <w:tcBorders>
              <w:top w:val="single" w:color="auto" w:sz="4" w:space="0"/>
              <w:left w:val="single" w:color="auto" w:sz="4" w:space="0"/>
              <w:bottom w:val="single" w:color="auto" w:sz="4" w:space="0"/>
              <w:right w:val="single" w:color="auto" w:sz="4" w:space="0"/>
            </w:tcBorders>
            <w:vAlign w:val="center"/>
          </w:tcPr>
          <w:p w14:paraId="55922ADB">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b/>
                <w:bCs/>
                <w:color w:val="auto"/>
                <w:sz w:val="22"/>
                <w:szCs w:val="22"/>
              </w:rPr>
            </w:pPr>
            <w:r>
              <w:rPr>
                <w:rFonts w:asciiTheme="minorEastAsia" w:hAnsiTheme="minorEastAsia" w:eastAsiaTheme="minorEastAsia"/>
                <w:b/>
                <w:bCs/>
                <w:color w:val="auto"/>
                <w:sz w:val="22"/>
                <w:szCs w:val="22"/>
              </w:rPr>
              <w:t>条款号</w:t>
            </w:r>
          </w:p>
        </w:tc>
        <w:tc>
          <w:tcPr>
            <w:tcW w:w="1548" w:type="dxa"/>
            <w:tcBorders>
              <w:top w:val="single" w:color="auto" w:sz="4" w:space="0"/>
              <w:left w:val="nil"/>
              <w:bottom w:val="single" w:color="auto" w:sz="4" w:space="0"/>
              <w:right w:val="single" w:color="auto" w:sz="4" w:space="0"/>
            </w:tcBorders>
            <w:vAlign w:val="center"/>
          </w:tcPr>
          <w:p w14:paraId="541F769A">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b/>
                <w:bCs/>
                <w:color w:val="auto"/>
                <w:sz w:val="22"/>
                <w:szCs w:val="22"/>
              </w:rPr>
            </w:pPr>
            <w:r>
              <w:rPr>
                <w:rFonts w:asciiTheme="minorEastAsia" w:hAnsiTheme="minorEastAsia" w:eastAsiaTheme="minorEastAsia"/>
                <w:b/>
                <w:bCs/>
                <w:color w:val="auto"/>
                <w:sz w:val="22"/>
                <w:szCs w:val="22"/>
              </w:rPr>
              <w:t>评审因素</w:t>
            </w:r>
          </w:p>
        </w:tc>
        <w:tc>
          <w:tcPr>
            <w:tcW w:w="6472" w:type="dxa"/>
            <w:tcBorders>
              <w:top w:val="single" w:color="auto" w:sz="4" w:space="0"/>
              <w:left w:val="nil"/>
              <w:bottom w:val="single" w:color="auto" w:sz="4" w:space="0"/>
              <w:right w:val="single" w:color="auto" w:sz="4" w:space="0"/>
            </w:tcBorders>
            <w:vAlign w:val="center"/>
          </w:tcPr>
          <w:p w14:paraId="238BC7BD">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b/>
                <w:bCs/>
                <w:color w:val="auto"/>
                <w:sz w:val="22"/>
                <w:szCs w:val="22"/>
              </w:rPr>
            </w:pPr>
            <w:r>
              <w:rPr>
                <w:rFonts w:asciiTheme="minorEastAsia" w:hAnsiTheme="minorEastAsia" w:eastAsiaTheme="minorEastAsia"/>
                <w:b/>
                <w:bCs/>
                <w:color w:val="auto"/>
                <w:sz w:val="22"/>
                <w:szCs w:val="22"/>
              </w:rPr>
              <w:t>评审标准</w:t>
            </w:r>
          </w:p>
        </w:tc>
      </w:tr>
      <w:tr w14:paraId="6200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769" w:type="dxa"/>
            <w:vMerge w:val="restart"/>
            <w:tcBorders>
              <w:top w:val="nil"/>
              <w:left w:val="single" w:color="auto" w:sz="4" w:space="0"/>
              <w:bottom w:val="single" w:color="auto" w:sz="4" w:space="0"/>
              <w:right w:val="single" w:color="auto" w:sz="4" w:space="0"/>
            </w:tcBorders>
            <w:vAlign w:val="center"/>
          </w:tcPr>
          <w:p w14:paraId="5B56941D">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1.1</w:t>
            </w:r>
          </w:p>
        </w:tc>
        <w:tc>
          <w:tcPr>
            <w:tcW w:w="764" w:type="dxa"/>
            <w:vMerge w:val="restart"/>
            <w:tcBorders>
              <w:top w:val="nil"/>
              <w:left w:val="nil"/>
              <w:bottom w:val="single" w:color="auto" w:sz="4" w:space="0"/>
              <w:right w:val="single" w:color="auto" w:sz="4" w:space="0"/>
            </w:tcBorders>
            <w:vAlign w:val="center"/>
          </w:tcPr>
          <w:p w14:paraId="217A0425">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符合性评审标准</w:t>
            </w:r>
          </w:p>
        </w:tc>
        <w:tc>
          <w:tcPr>
            <w:tcW w:w="1548" w:type="dxa"/>
            <w:tcBorders>
              <w:top w:val="single" w:color="auto" w:sz="4" w:space="0"/>
              <w:left w:val="nil"/>
              <w:bottom w:val="single" w:color="auto" w:sz="4" w:space="0"/>
              <w:right w:val="single" w:color="auto" w:sz="4" w:space="0"/>
            </w:tcBorders>
            <w:vAlign w:val="center"/>
          </w:tcPr>
          <w:p w14:paraId="356B1B08">
            <w:pPr>
              <w:pStyle w:val="44"/>
              <w:keepNext w:val="0"/>
              <w:keepLines w:val="0"/>
              <w:pageBreakBefore w:val="0"/>
              <w:widowControl/>
              <w:kinsoku/>
              <w:overflowPunct/>
              <w:topLinePunct w:val="0"/>
              <w:bidi w:val="0"/>
              <w:spacing w:before="0" w:beforeAutospacing="0" w:after="0" w:line="400" w:lineRule="exact"/>
              <w:textAlignment w:val="auto"/>
              <w:outlineLvl w:val="9"/>
              <w:rPr>
                <w:rFonts w:hint="default" w:asciiTheme="minorEastAsia" w:hAnsiTheme="minorEastAsia" w:eastAsiaTheme="minorEastAsia"/>
                <w:color w:val="auto"/>
                <w:sz w:val="22"/>
                <w:szCs w:val="22"/>
              </w:rPr>
            </w:pPr>
            <w:bookmarkStart w:id="461" w:name="OLE_LINK11"/>
            <w:bookmarkStart w:id="462" w:name="OLE_LINK9"/>
            <w:r>
              <w:rPr>
                <w:rFonts w:asciiTheme="minorEastAsia" w:hAnsiTheme="minorEastAsia" w:eastAsiaTheme="minorEastAsia"/>
                <w:color w:val="auto"/>
                <w:sz w:val="22"/>
                <w:szCs w:val="22"/>
              </w:rPr>
              <w:t>响应人名称</w:t>
            </w:r>
            <w:bookmarkEnd w:id="461"/>
            <w:bookmarkEnd w:id="462"/>
          </w:p>
        </w:tc>
        <w:tc>
          <w:tcPr>
            <w:tcW w:w="6472" w:type="dxa"/>
            <w:tcBorders>
              <w:top w:val="single" w:color="auto" w:sz="4" w:space="0"/>
              <w:left w:val="nil"/>
              <w:bottom w:val="single" w:color="auto" w:sz="4" w:space="0"/>
              <w:right w:val="single" w:color="auto" w:sz="4" w:space="0"/>
            </w:tcBorders>
            <w:vAlign w:val="center"/>
          </w:tcPr>
          <w:p w14:paraId="7E180009">
            <w:pPr>
              <w:pStyle w:val="44"/>
              <w:keepNext w:val="0"/>
              <w:keepLines w:val="0"/>
              <w:pageBreakBefore w:val="0"/>
              <w:widowControl/>
              <w:kinsoku/>
              <w:overflowPunct/>
              <w:topLinePunct w:val="0"/>
              <w:bidi w:val="0"/>
              <w:snapToGrid w:val="0"/>
              <w:spacing w:before="0" w:beforeAutospacing="0" w:after="0" w:line="400" w:lineRule="exact"/>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与营业执照等证件一致</w:t>
            </w:r>
          </w:p>
        </w:tc>
      </w:tr>
      <w:tr w14:paraId="05F0B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769" w:type="dxa"/>
            <w:vMerge w:val="continue"/>
            <w:tcBorders>
              <w:top w:val="nil"/>
              <w:left w:val="single" w:color="auto" w:sz="4" w:space="0"/>
              <w:bottom w:val="single" w:color="auto" w:sz="4" w:space="0"/>
              <w:right w:val="single" w:color="auto" w:sz="4" w:space="0"/>
            </w:tcBorders>
            <w:vAlign w:val="center"/>
          </w:tcPr>
          <w:p w14:paraId="5C7D1811">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045C0171">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vAlign w:val="center"/>
          </w:tcPr>
          <w:p w14:paraId="534ADA2A">
            <w:pPr>
              <w:pStyle w:val="44"/>
              <w:keepNext w:val="0"/>
              <w:keepLines w:val="0"/>
              <w:pageBreakBefore w:val="0"/>
              <w:widowControl/>
              <w:kinsoku/>
              <w:overflowPunct/>
              <w:topLinePunct w:val="0"/>
              <w:bidi w:val="0"/>
              <w:spacing w:before="0" w:beforeAutospacing="0" w:after="0" w:line="400" w:lineRule="exact"/>
              <w:textAlignment w:val="auto"/>
              <w:outlineLvl w:val="9"/>
              <w:rPr>
                <w:rFonts w:hint="default" w:asciiTheme="minorEastAsia" w:hAnsiTheme="minorEastAsia" w:eastAsiaTheme="minorEastAsia"/>
                <w:color w:val="auto"/>
                <w:sz w:val="22"/>
                <w:szCs w:val="22"/>
              </w:rPr>
            </w:pPr>
            <w:bookmarkStart w:id="463" w:name="OLE_LINK12"/>
            <w:bookmarkStart w:id="464" w:name="OLE_LINK13"/>
            <w:r>
              <w:rPr>
                <w:rFonts w:asciiTheme="minorEastAsia" w:hAnsiTheme="minorEastAsia" w:eastAsiaTheme="minorEastAsia"/>
                <w:color w:val="auto"/>
                <w:sz w:val="22"/>
                <w:szCs w:val="22"/>
              </w:rPr>
              <w:t>签字或盖章</w:t>
            </w:r>
            <w:bookmarkEnd w:id="463"/>
            <w:bookmarkEnd w:id="464"/>
          </w:p>
        </w:tc>
        <w:tc>
          <w:tcPr>
            <w:tcW w:w="6472" w:type="dxa"/>
            <w:tcBorders>
              <w:top w:val="single" w:color="auto" w:sz="4" w:space="0"/>
              <w:left w:val="nil"/>
              <w:bottom w:val="single" w:color="auto" w:sz="4" w:space="0"/>
              <w:right w:val="single" w:color="auto" w:sz="4" w:space="0"/>
            </w:tcBorders>
            <w:vAlign w:val="center"/>
          </w:tcPr>
          <w:p w14:paraId="650759CF">
            <w:pPr>
              <w:pStyle w:val="44"/>
              <w:keepNext w:val="0"/>
              <w:keepLines w:val="0"/>
              <w:pageBreakBefore w:val="0"/>
              <w:widowControl/>
              <w:kinsoku/>
              <w:overflowPunct/>
              <w:topLinePunct w:val="0"/>
              <w:bidi w:val="0"/>
              <w:snapToGrid w:val="0"/>
              <w:spacing w:before="0" w:beforeAutospacing="0" w:after="0" w:line="400" w:lineRule="exact"/>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符合竞争性磋商文件要求的签字、盖章（竞争性磋商文件中要求法定代表人或授权委托人签字或盖章的，响应人在进行电子化投标文件签章时，以签盖法定代表人电子签章为准）</w:t>
            </w:r>
          </w:p>
        </w:tc>
      </w:tr>
      <w:tr w14:paraId="437BE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69" w:type="dxa"/>
            <w:vMerge w:val="continue"/>
            <w:tcBorders>
              <w:top w:val="nil"/>
              <w:left w:val="single" w:color="auto" w:sz="4" w:space="0"/>
              <w:bottom w:val="single" w:color="auto" w:sz="4" w:space="0"/>
              <w:right w:val="single" w:color="auto" w:sz="4" w:space="0"/>
            </w:tcBorders>
            <w:vAlign w:val="center"/>
          </w:tcPr>
          <w:p w14:paraId="484917FA">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7CB25996">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vAlign w:val="center"/>
          </w:tcPr>
          <w:p w14:paraId="5FF87A08">
            <w:pPr>
              <w:pStyle w:val="44"/>
              <w:keepNext w:val="0"/>
              <w:keepLines w:val="0"/>
              <w:pageBreakBefore w:val="0"/>
              <w:widowControl/>
              <w:kinsoku/>
              <w:overflowPunct/>
              <w:topLinePunct w:val="0"/>
              <w:bidi w:val="0"/>
              <w:spacing w:before="0" w:beforeAutospacing="0" w:after="0" w:line="400" w:lineRule="exact"/>
              <w:textAlignment w:val="auto"/>
              <w:outlineLvl w:val="9"/>
              <w:rPr>
                <w:rFonts w:hint="default" w:asciiTheme="minorEastAsia" w:hAnsiTheme="minorEastAsia" w:eastAsiaTheme="minorEastAsia"/>
                <w:color w:val="auto"/>
                <w:sz w:val="22"/>
                <w:szCs w:val="22"/>
              </w:rPr>
            </w:pPr>
            <w:bookmarkStart w:id="465" w:name="OLE_LINK14"/>
            <w:r>
              <w:rPr>
                <w:rFonts w:asciiTheme="minorEastAsia" w:hAnsiTheme="minorEastAsia" w:eastAsiaTheme="minorEastAsia"/>
                <w:color w:val="auto"/>
                <w:sz w:val="22"/>
                <w:szCs w:val="22"/>
              </w:rPr>
              <w:t>响应文件格式</w:t>
            </w:r>
            <w:bookmarkEnd w:id="465"/>
          </w:p>
        </w:tc>
        <w:tc>
          <w:tcPr>
            <w:tcW w:w="6472" w:type="dxa"/>
            <w:tcBorders>
              <w:top w:val="single" w:color="auto" w:sz="4" w:space="0"/>
              <w:left w:val="nil"/>
              <w:bottom w:val="single" w:color="auto" w:sz="4" w:space="0"/>
              <w:right w:val="single" w:color="auto" w:sz="4" w:space="0"/>
            </w:tcBorders>
            <w:vAlign w:val="center"/>
          </w:tcPr>
          <w:p w14:paraId="3A73F3EF">
            <w:pPr>
              <w:pStyle w:val="44"/>
              <w:keepNext w:val="0"/>
              <w:keepLines w:val="0"/>
              <w:pageBreakBefore w:val="0"/>
              <w:widowControl/>
              <w:kinsoku/>
              <w:overflowPunct/>
              <w:topLinePunct w:val="0"/>
              <w:bidi w:val="0"/>
              <w:spacing w:before="0" w:beforeAutospacing="0" w:after="0" w:line="400" w:lineRule="exact"/>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符合第七章“响应文件格式”的要求。</w:t>
            </w:r>
          </w:p>
        </w:tc>
      </w:tr>
      <w:tr w14:paraId="73C7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69" w:type="dxa"/>
            <w:vMerge w:val="continue"/>
            <w:tcBorders>
              <w:top w:val="nil"/>
              <w:left w:val="single" w:color="auto" w:sz="4" w:space="0"/>
              <w:bottom w:val="single" w:color="auto" w:sz="4" w:space="0"/>
              <w:right w:val="single" w:color="auto" w:sz="4" w:space="0"/>
            </w:tcBorders>
            <w:vAlign w:val="center"/>
          </w:tcPr>
          <w:p w14:paraId="19399CA7">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49E5F6F0">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vAlign w:val="center"/>
          </w:tcPr>
          <w:p w14:paraId="61BBB5D5">
            <w:pPr>
              <w:pStyle w:val="44"/>
              <w:keepNext w:val="0"/>
              <w:keepLines w:val="0"/>
              <w:pageBreakBefore w:val="0"/>
              <w:widowControl/>
              <w:kinsoku/>
              <w:overflowPunct/>
              <w:topLinePunct w:val="0"/>
              <w:bidi w:val="0"/>
              <w:spacing w:before="0" w:beforeAutospacing="0" w:after="0" w:line="400" w:lineRule="exact"/>
              <w:textAlignment w:val="auto"/>
              <w:outlineLvl w:val="9"/>
              <w:rPr>
                <w:rFonts w:hint="default" w:asciiTheme="minorEastAsia" w:hAnsiTheme="minorEastAsia" w:eastAsiaTheme="minorEastAsia"/>
                <w:color w:val="auto"/>
                <w:sz w:val="22"/>
                <w:szCs w:val="22"/>
              </w:rPr>
            </w:pPr>
            <w:bookmarkStart w:id="466" w:name="OLE_LINK15"/>
            <w:bookmarkStart w:id="467" w:name="OLE_LINK16"/>
            <w:r>
              <w:rPr>
                <w:rFonts w:asciiTheme="minorEastAsia" w:hAnsiTheme="minorEastAsia" w:eastAsiaTheme="minorEastAsia"/>
                <w:color w:val="auto"/>
                <w:sz w:val="22"/>
                <w:szCs w:val="22"/>
              </w:rPr>
              <w:t>报价唯一</w:t>
            </w:r>
            <w:bookmarkEnd w:id="466"/>
            <w:bookmarkEnd w:id="467"/>
          </w:p>
        </w:tc>
        <w:tc>
          <w:tcPr>
            <w:tcW w:w="6472" w:type="dxa"/>
            <w:tcBorders>
              <w:top w:val="single" w:color="auto" w:sz="4" w:space="0"/>
              <w:left w:val="nil"/>
              <w:bottom w:val="single" w:color="auto" w:sz="4" w:space="0"/>
              <w:right w:val="single" w:color="auto" w:sz="4" w:space="0"/>
            </w:tcBorders>
            <w:vAlign w:val="center"/>
          </w:tcPr>
          <w:p w14:paraId="67A7BEAD">
            <w:pPr>
              <w:pStyle w:val="44"/>
              <w:keepNext w:val="0"/>
              <w:keepLines w:val="0"/>
              <w:pageBreakBefore w:val="0"/>
              <w:widowControl/>
              <w:kinsoku/>
              <w:overflowPunct/>
              <w:topLinePunct w:val="0"/>
              <w:bidi w:val="0"/>
              <w:snapToGrid w:val="0"/>
              <w:spacing w:before="0" w:beforeAutospacing="0" w:after="0" w:line="400" w:lineRule="exact"/>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只能有一个有效报价，且不超过最高限价</w:t>
            </w:r>
          </w:p>
        </w:tc>
      </w:tr>
      <w:tr w14:paraId="5091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69" w:type="dxa"/>
            <w:vMerge w:val="restart"/>
            <w:tcBorders>
              <w:top w:val="nil"/>
              <w:left w:val="single" w:color="auto" w:sz="4" w:space="0"/>
              <w:bottom w:val="single" w:color="auto" w:sz="4" w:space="0"/>
              <w:right w:val="single" w:color="auto" w:sz="4" w:space="0"/>
            </w:tcBorders>
            <w:vAlign w:val="center"/>
          </w:tcPr>
          <w:p w14:paraId="4509C015">
            <w:pPr>
              <w:pStyle w:val="44"/>
              <w:keepNext w:val="0"/>
              <w:keepLines w:val="0"/>
              <w:pageBreakBefore w:val="0"/>
              <w:widowControl/>
              <w:kinsoku/>
              <w:overflowPunct/>
              <w:topLinePunct w:val="0"/>
              <w:bidi w:val="0"/>
              <w:spacing w:before="0" w:beforeAutospacing="0" w:after="0" w:line="400" w:lineRule="exact"/>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1.2</w:t>
            </w:r>
          </w:p>
        </w:tc>
        <w:tc>
          <w:tcPr>
            <w:tcW w:w="764" w:type="dxa"/>
            <w:vMerge w:val="restart"/>
            <w:tcBorders>
              <w:top w:val="nil"/>
              <w:left w:val="nil"/>
              <w:bottom w:val="single" w:color="auto" w:sz="4" w:space="0"/>
              <w:right w:val="single" w:color="auto" w:sz="4" w:space="0"/>
            </w:tcBorders>
            <w:vAlign w:val="center"/>
          </w:tcPr>
          <w:p w14:paraId="614BDBCD">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资格评审标准</w:t>
            </w:r>
          </w:p>
        </w:tc>
        <w:tc>
          <w:tcPr>
            <w:tcW w:w="1548" w:type="dxa"/>
            <w:tcBorders>
              <w:top w:val="single" w:color="auto" w:sz="4" w:space="0"/>
              <w:left w:val="nil"/>
              <w:bottom w:val="single" w:color="auto" w:sz="4" w:space="0"/>
              <w:right w:val="single" w:color="auto" w:sz="4" w:space="0"/>
            </w:tcBorders>
            <w:vAlign w:val="center"/>
          </w:tcPr>
          <w:p w14:paraId="12F43BAD">
            <w:pPr>
              <w:keepNext w:val="0"/>
              <w:keepLines w:val="0"/>
              <w:pageBreakBefore w:val="0"/>
              <w:kinsoku/>
              <w:overflowPunct/>
              <w:topLinePunct w:val="0"/>
              <w:bidi w:val="0"/>
              <w:spacing w:after="0" w:line="400" w:lineRule="exact"/>
              <w:textAlignment w:val="auto"/>
              <w:outlineLvl w:val="9"/>
              <w:rPr>
                <w:rFonts w:ascii="宋体" w:hAnsi="宋体" w:eastAsia="宋体"/>
              </w:rPr>
            </w:pPr>
            <w:r>
              <w:rPr>
                <w:rFonts w:hint="eastAsia" w:ascii="宋体" w:hAnsi="宋体" w:eastAsia="宋体"/>
              </w:rPr>
              <w:t>满足《中华人民共和国政府采购法》第二十二条规定</w:t>
            </w:r>
          </w:p>
        </w:tc>
        <w:tc>
          <w:tcPr>
            <w:tcW w:w="6472" w:type="dxa"/>
            <w:tcBorders>
              <w:top w:val="single" w:color="auto" w:sz="4" w:space="0"/>
              <w:left w:val="nil"/>
              <w:bottom w:val="single" w:color="auto" w:sz="4" w:space="0"/>
              <w:right w:val="single" w:color="auto" w:sz="4" w:space="0"/>
            </w:tcBorders>
            <w:vAlign w:val="center"/>
          </w:tcPr>
          <w:p w14:paraId="04D58506">
            <w:pPr>
              <w:keepNext w:val="0"/>
              <w:keepLines w:val="0"/>
              <w:pageBreakBefore w:val="0"/>
              <w:kinsoku/>
              <w:overflowPunct/>
              <w:topLinePunct w:val="0"/>
              <w:bidi w:val="0"/>
              <w:spacing w:after="0" w:line="400" w:lineRule="exact"/>
              <w:textAlignment w:val="auto"/>
              <w:outlineLvl w:val="9"/>
              <w:rPr>
                <w:rFonts w:ascii="宋体" w:hAnsi="宋体" w:eastAsia="宋体"/>
              </w:rPr>
            </w:pPr>
            <w:r>
              <w:rPr>
                <w:rFonts w:hint="eastAsia" w:ascii="宋体" w:hAnsi="宋体" w:eastAsia="宋体"/>
              </w:rPr>
              <w:t>满供应商符合《中华人民共和国政府采购法》第二十二条规定条件（供应商只需提供承诺书，不需要提供证明材料，对承诺书的真实性负责）</w:t>
            </w:r>
          </w:p>
        </w:tc>
      </w:tr>
      <w:tr w14:paraId="3AF9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69" w:type="dxa"/>
            <w:vMerge w:val="continue"/>
            <w:tcBorders>
              <w:top w:val="nil"/>
              <w:left w:val="single" w:color="auto" w:sz="4" w:space="0"/>
              <w:bottom w:val="single" w:color="auto" w:sz="4" w:space="0"/>
              <w:right w:val="single" w:color="auto" w:sz="4" w:space="0"/>
            </w:tcBorders>
            <w:vAlign w:val="center"/>
          </w:tcPr>
          <w:p w14:paraId="1E2CD9D2">
            <w:pPr>
              <w:pStyle w:val="44"/>
              <w:keepNext w:val="0"/>
              <w:keepLines w:val="0"/>
              <w:pageBreakBefore w:val="0"/>
              <w:widowControl/>
              <w:kinsoku/>
              <w:overflowPunct/>
              <w:topLinePunct w:val="0"/>
              <w:bidi w:val="0"/>
              <w:spacing w:before="0" w:beforeAutospacing="0" w:after="0" w:line="400" w:lineRule="exact"/>
              <w:textAlignment w:val="auto"/>
              <w:outlineLvl w:val="9"/>
              <w:rPr>
                <w:rFonts w:hint="default" w:asciiTheme="minorEastAsia" w:hAnsiTheme="minorEastAsia" w:eastAsiaTheme="minorEastAsia"/>
                <w:color w:val="auto"/>
                <w:sz w:val="22"/>
                <w:szCs w:val="22"/>
              </w:rPr>
            </w:pPr>
          </w:p>
        </w:tc>
        <w:tc>
          <w:tcPr>
            <w:tcW w:w="764" w:type="dxa"/>
            <w:vMerge w:val="continue"/>
            <w:tcBorders>
              <w:top w:val="nil"/>
              <w:left w:val="nil"/>
              <w:bottom w:val="single" w:color="auto" w:sz="4" w:space="0"/>
              <w:right w:val="single" w:color="auto" w:sz="4" w:space="0"/>
            </w:tcBorders>
            <w:vAlign w:val="center"/>
          </w:tcPr>
          <w:p w14:paraId="28812833">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color w:val="auto"/>
                <w:sz w:val="22"/>
                <w:szCs w:val="22"/>
              </w:rPr>
            </w:pPr>
          </w:p>
        </w:tc>
        <w:tc>
          <w:tcPr>
            <w:tcW w:w="1548" w:type="dxa"/>
            <w:tcBorders>
              <w:top w:val="single" w:color="auto" w:sz="4" w:space="0"/>
              <w:left w:val="nil"/>
              <w:bottom w:val="single" w:color="auto" w:sz="4" w:space="0"/>
              <w:right w:val="single" w:color="auto" w:sz="4" w:space="0"/>
            </w:tcBorders>
            <w:vAlign w:val="center"/>
          </w:tcPr>
          <w:p w14:paraId="48B8CCAC">
            <w:pPr>
              <w:pStyle w:val="44"/>
              <w:keepNext w:val="0"/>
              <w:keepLines w:val="0"/>
              <w:pageBreakBefore w:val="0"/>
              <w:widowControl/>
              <w:kinsoku/>
              <w:overflowPunct/>
              <w:topLinePunct w:val="0"/>
              <w:bidi w:val="0"/>
              <w:spacing w:before="0" w:beforeAutospacing="0" w:after="0" w:line="400" w:lineRule="exact"/>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营业执照</w:t>
            </w:r>
          </w:p>
        </w:tc>
        <w:tc>
          <w:tcPr>
            <w:tcW w:w="6472" w:type="dxa"/>
            <w:tcBorders>
              <w:top w:val="single" w:color="auto" w:sz="4" w:space="0"/>
              <w:left w:val="nil"/>
              <w:bottom w:val="single" w:color="auto" w:sz="4" w:space="0"/>
              <w:right w:val="single" w:color="auto" w:sz="4" w:space="0"/>
            </w:tcBorders>
            <w:vAlign w:val="center"/>
          </w:tcPr>
          <w:p w14:paraId="4AF8D693">
            <w:pPr>
              <w:pStyle w:val="44"/>
              <w:keepNext w:val="0"/>
              <w:keepLines w:val="0"/>
              <w:pageBreakBefore w:val="0"/>
              <w:widowControl/>
              <w:kinsoku/>
              <w:overflowPunct/>
              <w:topLinePunct w:val="0"/>
              <w:bidi w:val="0"/>
              <w:snapToGrid w:val="0"/>
              <w:spacing w:before="0" w:beforeAutospacing="0" w:after="0" w:line="400" w:lineRule="exact"/>
              <w:textAlignment w:val="auto"/>
              <w:outlineLvl w:val="9"/>
              <w:rPr>
                <w:rFonts w:hint="default" w:asciiTheme="minorEastAsia" w:hAnsiTheme="minorEastAsia" w:eastAsiaTheme="minorEastAsia"/>
                <w:color w:val="auto"/>
                <w:sz w:val="22"/>
                <w:szCs w:val="22"/>
              </w:rPr>
            </w:pPr>
            <w:r>
              <w:rPr>
                <w:rFonts w:cstheme="minorBidi"/>
                <w:color w:val="auto"/>
                <w:sz w:val="22"/>
                <w:szCs w:val="22"/>
              </w:rPr>
              <w:t>供应商具有独立承担民事责任的能力（提供有效的企业营业执照或其他证明材料）</w:t>
            </w:r>
          </w:p>
        </w:tc>
      </w:tr>
      <w:tr w14:paraId="7CA18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69" w:type="dxa"/>
            <w:vMerge w:val="continue"/>
            <w:tcBorders>
              <w:top w:val="nil"/>
              <w:left w:val="single" w:color="auto" w:sz="4" w:space="0"/>
              <w:bottom w:val="single" w:color="auto" w:sz="4" w:space="0"/>
              <w:right w:val="single" w:color="auto" w:sz="4" w:space="0"/>
            </w:tcBorders>
            <w:vAlign w:val="center"/>
          </w:tcPr>
          <w:p w14:paraId="7B5D6402">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226CA131">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vAlign w:val="center"/>
          </w:tcPr>
          <w:p w14:paraId="4B4A2395">
            <w:pPr>
              <w:keepNext w:val="0"/>
              <w:keepLines w:val="0"/>
              <w:pageBreakBefore w:val="0"/>
              <w:kinsoku/>
              <w:overflowPunct/>
              <w:topLinePunct w:val="0"/>
              <w:bidi w:val="0"/>
              <w:spacing w:after="0" w:line="400" w:lineRule="exact"/>
              <w:textAlignment w:val="auto"/>
              <w:outlineLvl w:val="9"/>
              <w:rPr>
                <w:rFonts w:cs="Calibri" w:asciiTheme="minorEastAsia" w:hAnsiTheme="minorEastAsia" w:eastAsiaTheme="minorEastAsia"/>
              </w:rPr>
            </w:pPr>
            <w:bookmarkStart w:id="468" w:name="OLE_LINK18"/>
            <w:bookmarkStart w:id="469" w:name="OLE_LINK17"/>
            <w:r>
              <w:rPr>
                <w:rFonts w:hint="eastAsia" w:asciiTheme="minorEastAsia" w:hAnsiTheme="minorEastAsia" w:eastAsiaTheme="minorEastAsia"/>
              </w:rPr>
              <w:t>资质要求</w:t>
            </w:r>
            <w:bookmarkEnd w:id="468"/>
            <w:bookmarkEnd w:id="469"/>
          </w:p>
        </w:tc>
        <w:tc>
          <w:tcPr>
            <w:tcW w:w="6472" w:type="dxa"/>
            <w:tcBorders>
              <w:top w:val="single" w:color="auto" w:sz="4" w:space="0"/>
              <w:left w:val="nil"/>
              <w:bottom w:val="single" w:color="auto" w:sz="4" w:space="0"/>
              <w:right w:val="single" w:color="auto" w:sz="4" w:space="0"/>
            </w:tcBorders>
            <w:vAlign w:val="center"/>
          </w:tcPr>
          <w:p w14:paraId="3AC3C920">
            <w:pPr>
              <w:keepNext w:val="0"/>
              <w:keepLines w:val="0"/>
              <w:pageBreakBefore w:val="0"/>
              <w:widowControl w:val="0"/>
              <w:kinsoku/>
              <w:overflowPunct/>
              <w:topLinePunct w:val="0"/>
              <w:bidi w:val="0"/>
              <w:adjustRightInd/>
              <w:snapToGrid/>
              <w:spacing w:after="0" w:line="400" w:lineRule="exact"/>
              <w:jc w:val="both"/>
              <w:textAlignment w:val="auto"/>
              <w:outlineLvl w:val="9"/>
              <w:rPr>
                <w:rFonts w:ascii="宋体" w:hAnsi="宋体" w:eastAsia="宋体"/>
              </w:rPr>
            </w:pPr>
            <w:r>
              <w:rPr>
                <w:rFonts w:hint="eastAsia" w:ascii="宋体" w:hAnsi="宋体" w:eastAsia="宋体"/>
              </w:rPr>
              <w:t>供应商须具有市政公用工程施工总承包叁级（含叁级）以上资质，具有有效的安全生产许可证，并在人员、设备、资金等方面具有相应的施工能力</w:t>
            </w:r>
          </w:p>
        </w:tc>
      </w:tr>
      <w:tr w14:paraId="5A65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769" w:type="dxa"/>
            <w:vMerge w:val="continue"/>
            <w:tcBorders>
              <w:top w:val="nil"/>
              <w:left w:val="single" w:color="auto" w:sz="4" w:space="0"/>
              <w:bottom w:val="single" w:color="auto" w:sz="4" w:space="0"/>
              <w:right w:val="single" w:color="auto" w:sz="4" w:space="0"/>
            </w:tcBorders>
            <w:vAlign w:val="center"/>
          </w:tcPr>
          <w:p w14:paraId="5A20F7AF">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638C2E37">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right w:val="single" w:color="auto" w:sz="4" w:space="0"/>
            </w:tcBorders>
            <w:vAlign w:val="center"/>
          </w:tcPr>
          <w:p w14:paraId="5404A17D">
            <w:pPr>
              <w:keepNext w:val="0"/>
              <w:keepLines w:val="0"/>
              <w:pageBreakBefore w:val="0"/>
              <w:kinsoku/>
              <w:overflowPunct/>
              <w:topLinePunct w:val="0"/>
              <w:bidi w:val="0"/>
              <w:spacing w:after="0" w:line="400" w:lineRule="exact"/>
              <w:jc w:val="both"/>
              <w:textAlignment w:val="auto"/>
              <w:outlineLvl w:val="9"/>
              <w:rPr>
                <w:rFonts w:asciiTheme="minorEastAsia" w:hAnsiTheme="minorEastAsia" w:eastAsiaTheme="minorEastAsia"/>
              </w:rPr>
            </w:pPr>
            <w:bookmarkStart w:id="470" w:name="OLE_LINK20"/>
            <w:bookmarkStart w:id="471" w:name="OLE_LINK19"/>
            <w:r>
              <w:rPr>
                <w:rFonts w:hint="eastAsia" w:asciiTheme="minorEastAsia" w:hAnsiTheme="minorEastAsia" w:eastAsiaTheme="minorEastAsia"/>
              </w:rPr>
              <w:t>项目经理</w:t>
            </w:r>
            <w:bookmarkEnd w:id="470"/>
            <w:bookmarkEnd w:id="471"/>
          </w:p>
        </w:tc>
        <w:tc>
          <w:tcPr>
            <w:tcW w:w="6472" w:type="dxa"/>
            <w:tcBorders>
              <w:top w:val="single" w:color="auto" w:sz="4" w:space="0"/>
              <w:left w:val="nil"/>
              <w:right w:val="single" w:color="auto" w:sz="4" w:space="0"/>
            </w:tcBorders>
            <w:vAlign w:val="center"/>
          </w:tcPr>
          <w:p w14:paraId="2790A701">
            <w:pPr>
              <w:keepNext w:val="0"/>
              <w:keepLines w:val="0"/>
              <w:pageBreakBefore w:val="0"/>
              <w:widowControl w:val="0"/>
              <w:kinsoku/>
              <w:wordWrap w:val="0"/>
              <w:overflowPunct/>
              <w:topLinePunct w:val="0"/>
              <w:bidi w:val="0"/>
              <w:adjustRightInd/>
              <w:snapToGrid/>
              <w:spacing w:after="0" w:line="400" w:lineRule="exact"/>
              <w:jc w:val="both"/>
              <w:textAlignment w:val="auto"/>
              <w:outlineLvl w:val="9"/>
              <w:rPr>
                <w:rFonts w:ascii="宋体" w:hAnsi="宋体" w:eastAsia="宋体"/>
              </w:rPr>
            </w:pPr>
            <w:r>
              <w:rPr>
                <w:rFonts w:hint="eastAsia" w:ascii="宋体" w:hAnsi="宋体" w:eastAsia="宋体"/>
              </w:rPr>
              <w:t>拟派项目经理应具备市政公用工程专业贰级（含贰级）以上注册建造师资格，须提供注册建造师证书、安全生产考核合格证书，提供在本单位缴费的社保证明，并出具</w:t>
            </w:r>
            <w:r>
              <w:rPr>
                <w:rFonts w:hint="eastAsia" w:ascii="宋体" w:hAnsi="宋体" w:eastAsia="宋体"/>
                <w:color w:val="auto"/>
              </w:rPr>
              <w:t>无在建新建工程</w:t>
            </w:r>
            <w:r>
              <w:rPr>
                <w:rFonts w:hint="eastAsia" w:ascii="宋体" w:hAnsi="宋体" w:eastAsia="宋体"/>
              </w:rPr>
              <w:t>承诺书（自行承诺）</w:t>
            </w:r>
          </w:p>
        </w:tc>
      </w:tr>
      <w:tr w14:paraId="10023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69" w:type="dxa"/>
            <w:vMerge w:val="continue"/>
            <w:tcBorders>
              <w:top w:val="nil"/>
              <w:left w:val="single" w:color="auto" w:sz="4" w:space="0"/>
              <w:bottom w:val="single" w:color="auto" w:sz="4" w:space="0"/>
              <w:right w:val="single" w:color="auto" w:sz="4" w:space="0"/>
            </w:tcBorders>
            <w:vAlign w:val="center"/>
          </w:tcPr>
          <w:p w14:paraId="4CAF416D">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583C6D3F">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tcPr>
          <w:p w14:paraId="0F547A51">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bookmarkStart w:id="472" w:name="OLE_LINK22"/>
            <w:bookmarkStart w:id="473" w:name="OLE_LINK23"/>
            <w:r>
              <w:rPr>
                <w:rFonts w:hint="eastAsia" w:asciiTheme="minorEastAsia" w:hAnsiTheme="minorEastAsia" w:eastAsiaTheme="minorEastAsia"/>
              </w:rPr>
              <w:t>无商业贿赂及无不正当竞争承诺</w:t>
            </w:r>
            <w:bookmarkEnd w:id="472"/>
            <w:bookmarkEnd w:id="473"/>
          </w:p>
        </w:tc>
        <w:tc>
          <w:tcPr>
            <w:tcW w:w="6472" w:type="dxa"/>
            <w:tcBorders>
              <w:top w:val="single" w:color="auto" w:sz="4" w:space="0"/>
              <w:left w:val="nil"/>
              <w:bottom w:val="single" w:color="auto" w:sz="4" w:space="0"/>
              <w:right w:val="single" w:color="auto" w:sz="4" w:space="0"/>
            </w:tcBorders>
          </w:tcPr>
          <w:p w14:paraId="6D6B5DCD">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r>
              <w:rPr>
                <w:rFonts w:hint="eastAsia" w:asciiTheme="minorEastAsia" w:hAnsiTheme="minorEastAsia" w:eastAsiaTheme="minorEastAsia"/>
              </w:rPr>
              <w:t>供应商需提供本企业的无商业贿赂及不正当竞争行为的承诺书；</w:t>
            </w:r>
          </w:p>
        </w:tc>
      </w:tr>
      <w:tr w14:paraId="48D3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769" w:type="dxa"/>
            <w:vMerge w:val="continue"/>
            <w:tcBorders>
              <w:top w:val="nil"/>
              <w:left w:val="single" w:color="auto" w:sz="4" w:space="0"/>
              <w:bottom w:val="single" w:color="auto" w:sz="4" w:space="0"/>
              <w:right w:val="single" w:color="auto" w:sz="4" w:space="0"/>
            </w:tcBorders>
            <w:vAlign w:val="center"/>
          </w:tcPr>
          <w:p w14:paraId="4134A328">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676D3687">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tcPr>
          <w:p w14:paraId="2CDB8976">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bookmarkStart w:id="474" w:name="OLE_LINK25"/>
            <w:bookmarkStart w:id="475" w:name="OLE_LINK24"/>
            <w:r>
              <w:rPr>
                <w:rFonts w:hint="eastAsia" w:asciiTheme="minorEastAsia" w:hAnsiTheme="minorEastAsia" w:eastAsiaTheme="minorEastAsia"/>
              </w:rPr>
              <w:t>无行贿犯罪记录</w:t>
            </w:r>
            <w:bookmarkEnd w:id="474"/>
            <w:bookmarkEnd w:id="475"/>
          </w:p>
        </w:tc>
        <w:tc>
          <w:tcPr>
            <w:tcW w:w="6472" w:type="dxa"/>
            <w:tcBorders>
              <w:top w:val="single" w:color="auto" w:sz="4" w:space="0"/>
              <w:left w:val="nil"/>
              <w:bottom w:val="single" w:color="auto" w:sz="4" w:space="0"/>
              <w:right w:val="single" w:color="auto" w:sz="4" w:space="0"/>
            </w:tcBorders>
          </w:tcPr>
          <w:p w14:paraId="3C3004F2">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r>
              <w:rPr>
                <w:rFonts w:hint="eastAsia" w:asciiTheme="minorEastAsia" w:hAnsiTheme="minorEastAsia" w:eastAsiaTheme="minorEastAsia"/>
              </w:rPr>
              <w:t>参加政府采购活动前3年内无行贿犯罪记录，（开标时提供《中国裁判文书网》查询结果网页截图或企业自行承诺的无行贿犯罪承诺书，查询&lt;承诺&gt;对象为“企业，法定代表人，项目经理”）</w:t>
            </w:r>
          </w:p>
        </w:tc>
      </w:tr>
      <w:tr w14:paraId="02287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2" w:hRule="atLeast"/>
        </w:trPr>
        <w:tc>
          <w:tcPr>
            <w:tcW w:w="769" w:type="dxa"/>
            <w:vMerge w:val="continue"/>
            <w:tcBorders>
              <w:top w:val="nil"/>
              <w:left w:val="single" w:color="auto" w:sz="4" w:space="0"/>
              <w:bottom w:val="single" w:color="auto" w:sz="4" w:space="0"/>
              <w:right w:val="single" w:color="auto" w:sz="4" w:space="0"/>
            </w:tcBorders>
            <w:vAlign w:val="center"/>
          </w:tcPr>
          <w:p w14:paraId="6E91AB8E">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1D77EDA6">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right w:val="single" w:color="auto" w:sz="4" w:space="0"/>
            </w:tcBorders>
            <w:vAlign w:val="center"/>
          </w:tcPr>
          <w:p w14:paraId="50C6D074">
            <w:pPr>
              <w:keepNext w:val="0"/>
              <w:keepLines w:val="0"/>
              <w:pageBreakBefore w:val="0"/>
              <w:kinsoku/>
              <w:overflowPunct/>
              <w:topLinePunct w:val="0"/>
              <w:bidi w:val="0"/>
              <w:spacing w:after="0" w:line="400" w:lineRule="exact"/>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信用查询</w:t>
            </w:r>
          </w:p>
        </w:tc>
        <w:tc>
          <w:tcPr>
            <w:tcW w:w="6472" w:type="dxa"/>
            <w:tcBorders>
              <w:top w:val="single" w:color="auto" w:sz="4" w:space="0"/>
              <w:left w:val="nil"/>
              <w:right w:val="single" w:color="auto" w:sz="4" w:space="0"/>
            </w:tcBorders>
            <w:vAlign w:val="center"/>
          </w:tcPr>
          <w:p w14:paraId="6AD9FB2A">
            <w:pPr>
              <w:keepNext w:val="0"/>
              <w:keepLines w:val="0"/>
              <w:pageBreakBefore w:val="0"/>
              <w:widowControl w:val="0"/>
              <w:kinsoku/>
              <w:overflowPunct/>
              <w:topLinePunct w:val="0"/>
              <w:bidi w:val="0"/>
              <w:adjustRightInd/>
              <w:snapToGrid/>
              <w:spacing w:after="0" w:line="400" w:lineRule="exact"/>
              <w:jc w:val="both"/>
              <w:textAlignment w:val="auto"/>
              <w:outlineLvl w:val="9"/>
            </w:pPr>
            <w:r>
              <w:rPr>
                <w:rFonts w:hint="eastAsia" w:asciiTheme="minorEastAsia" w:hAnsiTheme="minorEastAsia" w:eastAsiaTheme="minorEastAsia"/>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供应商。【查询渠道：“信用中国”网站（www.creditchina.gov.cn）、中国执行信息公开网（http://zxgk.court.gov.cn）、中国政府采购网（www.ccgp.gov.cn）】，提供公告后网页查询截图、信用报告。截图要显示查询时间，查询时间自本公告发布之日起；</w:t>
            </w:r>
          </w:p>
        </w:tc>
      </w:tr>
      <w:tr w14:paraId="46BAF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2" w:hRule="atLeast"/>
        </w:trPr>
        <w:tc>
          <w:tcPr>
            <w:tcW w:w="769" w:type="dxa"/>
            <w:vMerge w:val="continue"/>
            <w:tcBorders>
              <w:top w:val="nil"/>
              <w:left w:val="single" w:color="auto" w:sz="4" w:space="0"/>
              <w:bottom w:val="single" w:color="auto" w:sz="4" w:space="0"/>
              <w:right w:val="single" w:color="auto" w:sz="4" w:space="0"/>
            </w:tcBorders>
            <w:vAlign w:val="center"/>
          </w:tcPr>
          <w:p w14:paraId="18975A4F">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4A350373">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right w:val="single" w:color="auto" w:sz="4" w:space="0"/>
            </w:tcBorders>
            <w:vAlign w:val="center"/>
          </w:tcPr>
          <w:p w14:paraId="5ABFACE6">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bookmarkStart w:id="476" w:name="OLE_LINK26"/>
            <w:r>
              <w:rPr>
                <w:rFonts w:hint="eastAsia" w:asciiTheme="minorEastAsia" w:hAnsiTheme="minorEastAsia" w:eastAsiaTheme="minorEastAsia"/>
              </w:rPr>
              <w:t>信誉要求</w:t>
            </w:r>
            <w:bookmarkEnd w:id="476"/>
          </w:p>
        </w:tc>
        <w:tc>
          <w:tcPr>
            <w:tcW w:w="6472" w:type="dxa"/>
            <w:tcBorders>
              <w:top w:val="single" w:color="auto" w:sz="4" w:space="0"/>
              <w:left w:val="nil"/>
              <w:right w:val="single" w:color="auto" w:sz="4" w:space="0"/>
            </w:tcBorders>
            <w:vAlign w:val="center"/>
          </w:tcPr>
          <w:p w14:paraId="726AF88C">
            <w:pPr>
              <w:keepNext w:val="0"/>
              <w:keepLines w:val="0"/>
              <w:pageBreakBefore w:val="0"/>
              <w:widowControl w:val="0"/>
              <w:kinsoku/>
              <w:overflowPunct/>
              <w:topLinePunct w:val="0"/>
              <w:bidi w:val="0"/>
              <w:adjustRightInd/>
              <w:snapToGrid/>
              <w:spacing w:after="0" w:line="400" w:lineRule="exact"/>
              <w:jc w:val="both"/>
              <w:textAlignment w:val="auto"/>
              <w:outlineLvl w:val="9"/>
              <w:rPr>
                <w:rFonts w:asciiTheme="minorEastAsia" w:hAnsiTheme="minorEastAsia" w:eastAsiaTheme="minorEastAsia"/>
              </w:rPr>
            </w:pPr>
            <w:r>
              <w:rPr>
                <w:rFonts w:asciiTheme="minorEastAsia" w:hAnsiTheme="minorEastAsia" w:eastAsiaTheme="minorEastAsia"/>
              </w:rPr>
              <w:t>1、被列入全国或省级建筑市场监管公共服务平台</w:t>
            </w:r>
            <w:r>
              <w:rPr>
                <w:rFonts w:hint="eastAsia" w:asciiTheme="minorEastAsia" w:hAnsiTheme="minorEastAsia" w:eastAsiaTheme="minorEastAsia"/>
              </w:rPr>
              <w:t>“</w:t>
            </w:r>
            <w:r>
              <w:rPr>
                <w:rFonts w:asciiTheme="minorEastAsia" w:hAnsiTheme="minorEastAsia" w:eastAsiaTheme="minorEastAsia"/>
              </w:rPr>
              <w:t>黑名单</w:t>
            </w:r>
            <w:r>
              <w:rPr>
                <w:rFonts w:hint="eastAsia" w:asciiTheme="minorEastAsia" w:hAnsiTheme="minorEastAsia" w:eastAsiaTheme="minorEastAsia"/>
              </w:rPr>
              <w:t>”</w:t>
            </w:r>
            <w:r>
              <w:rPr>
                <w:rFonts w:asciiTheme="minorEastAsia" w:hAnsiTheme="minorEastAsia" w:eastAsiaTheme="minorEastAsia"/>
              </w:rPr>
              <w:t>且在管理期限内的（投标人、拟派项目经理）；</w:t>
            </w:r>
          </w:p>
          <w:p w14:paraId="4A1E1804">
            <w:pPr>
              <w:keepNext w:val="0"/>
              <w:keepLines w:val="0"/>
              <w:pageBreakBefore w:val="0"/>
              <w:widowControl w:val="0"/>
              <w:kinsoku/>
              <w:overflowPunct/>
              <w:topLinePunct w:val="0"/>
              <w:bidi w:val="0"/>
              <w:adjustRightInd/>
              <w:snapToGrid/>
              <w:spacing w:after="0" w:line="400" w:lineRule="exact"/>
              <w:jc w:val="both"/>
              <w:textAlignment w:val="auto"/>
              <w:outlineLvl w:val="9"/>
              <w:rPr>
                <w:rFonts w:asciiTheme="minorEastAsia" w:hAnsiTheme="minorEastAsia" w:eastAsiaTheme="minorEastAsia"/>
              </w:rPr>
            </w:pPr>
            <w:r>
              <w:rPr>
                <w:rFonts w:asciiTheme="minorEastAsia" w:hAnsiTheme="minorEastAsia" w:eastAsiaTheme="minorEastAsia"/>
              </w:rPr>
              <w:t>2、被列入国家企业信用信息公示系统</w:t>
            </w:r>
            <w:r>
              <w:rPr>
                <w:rFonts w:hint="eastAsia" w:asciiTheme="minorEastAsia" w:hAnsiTheme="minorEastAsia" w:eastAsiaTheme="minorEastAsia"/>
              </w:rPr>
              <w:t>“</w:t>
            </w:r>
            <w:r>
              <w:rPr>
                <w:rFonts w:asciiTheme="minorEastAsia" w:hAnsiTheme="minorEastAsia" w:eastAsiaTheme="minorEastAsia"/>
              </w:rPr>
              <w:t>严重违法失信名单</w:t>
            </w:r>
            <w:r>
              <w:rPr>
                <w:rFonts w:hint="eastAsia" w:asciiTheme="minorEastAsia" w:hAnsiTheme="minorEastAsia" w:eastAsiaTheme="minorEastAsia"/>
              </w:rPr>
              <w:t>”</w:t>
            </w:r>
            <w:r>
              <w:rPr>
                <w:rFonts w:asciiTheme="minorEastAsia" w:hAnsiTheme="minorEastAsia" w:eastAsiaTheme="minorEastAsia"/>
              </w:rPr>
              <w:t>且在管理期限内的；（投标人）</w:t>
            </w:r>
          </w:p>
          <w:p w14:paraId="4DD65734">
            <w:pPr>
              <w:keepNext w:val="0"/>
              <w:keepLines w:val="0"/>
              <w:pageBreakBefore w:val="0"/>
              <w:widowControl w:val="0"/>
              <w:kinsoku/>
              <w:overflowPunct/>
              <w:topLinePunct w:val="0"/>
              <w:bidi w:val="0"/>
              <w:adjustRightInd/>
              <w:snapToGrid/>
              <w:spacing w:after="0" w:line="400" w:lineRule="exact"/>
              <w:jc w:val="both"/>
              <w:textAlignment w:val="auto"/>
              <w:outlineLvl w:val="9"/>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、投标所用建筑工程施工总承包资质在全国或省级建筑市场监管公共服务平台资质状况被标注资质异常状态的（投标人）；</w:t>
            </w:r>
          </w:p>
          <w:p w14:paraId="6E166C73">
            <w:pPr>
              <w:keepNext w:val="0"/>
              <w:keepLines w:val="0"/>
              <w:pageBreakBefore w:val="0"/>
              <w:widowControl w:val="0"/>
              <w:kinsoku/>
              <w:overflowPunct/>
              <w:topLinePunct w:val="0"/>
              <w:bidi w:val="0"/>
              <w:adjustRightInd/>
              <w:snapToGrid/>
              <w:spacing w:after="0" w:line="400" w:lineRule="exact"/>
              <w:textAlignment w:val="auto"/>
              <w:outlineLvl w:val="9"/>
              <w:rPr>
                <w:rFonts w:asciiTheme="minorEastAsia" w:hAnsiTheme="minorEastAsia" w:eastAsiaTheme="minorEastAsia"/>
              </w:rPr>
            </w:pPr>
            <w:r>
              <w:rPr>
                <w:rFonts w:asciiTheme="minorEastAsia" w:hAnsiTheme="minorEastAsia" w:eastAsiaTheme="minorEastAsia"/>
              </w:rPr>
              <w:t>投标人需提供上述途径查询结果截图，并对其真实性负责。查询时间为招标公告发布之日后，投标截止时间前，查询结果需显示时间。若存在一个及以上记录的或截图不符合要求的，其投标资格应予以否决；</w:t>
            </w:r>
          </w:p>
        </w:tc>
      </w:tr>
      <w:tr w14:paraId="6DBB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trPr>
        <w:tc>
          <w:tcPr>
            <w:tcW w:w="769" w:type="dxa"/>
            <w:vMerge w:val="continue"/>
            <w:tcBorders>
              <w:top w:val="nil"/>
              <w:left w:val="single" w:color="auto" w:sz="4" w:space="0"/>
              <w:bottom w:val="single" w:color="auto" w:sz="4" w:space="0"/>
              <w:right w:val="single" w:color="auto" w:sz="4" w:space="0"/>
            </w:tcBorders>
            <w:vAlign w:val="center"/>
          </w:tcPr>
          <w:p w14:paraId="5F0CB472">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00515020">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right w:val="single" w:color="auto" w:sz="4" w:space="0"/>
            </w:tcBorders>
            <w:vAlign w:val="center"/>
          </w:tcPr>
          <w:p w14:paraId="0B5B79EE">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bookmarkStart w:id="477" w:name="OLE_LINK27"/>
            <w:bookmarkStart w:id="478" w:name="OLE_LINK28"/>
            <w:r>
              <w:rPr>
                <w:rFonts w:hint="eastAsia" w:asciiTheme="minorEastAsia" w:hAnsiTheme="minorEastAsia" w:eastAsiaTheme="minorEastAsia"/>
              </w:rPr>
              <w:t>国家企业信用信息公示系统</w:t>
            </w:r>
            <w:bookmarkEnd w:id="477"/>
            <w:bookmarkEnd w:id="478"/>
          </w:p>
        </w:tc>
        <w:tc>
          <w:tcPr>
            <w:tcW w:w="6472" w:type="dxa"/>
            <w:tcBorders>
              <w:top w:val="single" w:color="auto" w:sz="4" w:space="0"/>
              <w:left w:val="nil"/>
              <w:right w:val="single" w:color="auto" w:sz="4" w:space="0"/>
            </w:tcBorders>
            <w:vAlign w:val="center"/>
          </w:tcPr>
          <w:p w14:paraId="4F4FDD25">
            <w:pPr>
              <w:keepNext w:val="0"/>
              <w:keepLines w:val="0"/>
              <w:pageBreakBefore w:val="0"/>
              <w:widowControl w:val="0"/>
              <w:kinsoku/>
              <w:overflowPunct/>
              <w:topLinePunct w:val="0"/>
              <w:bidi w:val="0"/>
              <w:adjustRightInd/>
              <w:snapToGrid/>
              <w:spacing w:after="0" w:line="400" w:lineRule="exact"/>
              <w:jc w:val="both"/>
              <w:textAlignment w:val="auto"/>
              <w:outlineLvl w:val="9"/>
              <w:rPr>
                <w:rFonts w:asciiTheme="minorEastAsia" w:hAnsiTheme="minorEastAsia" w:eastAsiaTheme="minorEastAsia"/>
              </w:rPr>
            </w:pPr>
            <w:r>
              <w:rPr>
                <w:rFonts w:hint="eastAsia" w:asciiTheme="minorEastAsia" w:hAnsiTheme="minorEastAsia" w:eastAsiaTheme="minorEastAsia"/>
              </w:rPr>
              <w:t>单位负责人为同一人或者存在控股、管理关系的不同单位，不得参加同一标段投标（提供“国家企业信用信息公示系统”http://www.gsxt.gov.cn/index.html查询内容,须包含公司基本信息、股东信息及股权变更信息等全部内容）</w:t>
            </w:r>
          </w:p>
        </w:tc>
      </w:tr>
      <w:tr w14:paraId="2656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769" w:type="dxa"/>
            <w:vMerge w:val="continue"/>
            <w:tcBorders>
              <w:top w:val="nil"/>
              <w:left w:val="single" w:color="auto" w:sz="4" w:space="0"/>
              <w:bottom w:val="single" w:color="auto" w:sz="4" w:space="0"/>
              <w:right w:val="single" w:color="auto" w:sz="4" w:space="0"/>
            </w:tcBorders>
            <w:vAlign w:val="center"/>
          </w:tcPr>
          <w:p w14:paraId="268B5594">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4D7A51CC">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right w:val="single" w:color="auto" w:sz="4" w:space="0"/>
            </w:tcBorders>
            <w:vAlign w:val="center"/>
          </w:tcPr>
          <w:p w14:paraId="3E0DA63E">
            <w:pPr>
              <w:keepNext w:val="0"/>
              <w:keepLines w:val="0"/>
              <w:pageBreakBefore w:val="0"/>
              <w:kinsoku/>
              <w:overflowPunct/>
              <w:topLinePunct w:val="0"/>
              <w:bidi w:val="0"/>
              <w:spacing w:after="0" w:line="400" w:lineRule="exact"/>
              <w:textAlignment w:val="auto"/>
              <w:outlineLvl w:val="9"/>
              <w:rPr>
                <w:rFonts w:cs="Calibri" w:asciiTheme="minorEastAsia" w:hAnsiTheme="minorEastAsia" w:eastAsiaTheme="minorEastAsia"/>
              </w:rPr>
            </w:pPr>
            <w:bookmarkStart w:id="479" w:name="OLE_LINK30"/>
            <w:bookmarkStart w:id="480" w:name="OLE_LINK29"/>
            <w:r>
              <w:rPr>
                <w:rFonts w:hint="eastAsia" w:cs="Calibri" w:asciiTheme="minorEastAsia" w:hAnsiTheme="minorEastAsia" w:eastAsiaTheme="minorEastAsia"/>
              </w:rPr>
              <w:t>联合体投标</w:t>
            </w:r>
            <w:bookmarkEnd w:id="479"/>
            <w:bookmarkEnd w:id="480"/>
          </w:p>
        </w:tc>
        <w:tc>
          <w:tcPr>
            <w:tcW w:w="6472" w:type="dxa"/>
            <w:tcBorders>
              <w:top w:val="single" w:color="auto" w:sz="4" w:space="0"/>
              <w:left w:val="nil"/>
              <w:right w:val="single" w:color="auto" w:sz="4" w:space="0"/>
            </w:tcBorders>
            <w:vAlign w:val="center"/>
          </w:tcPr>
          <w:p w14:paraId="24E20FB6">
            <w:pPr>
              <w:keepNext w:val="0"/>
              <w:keepLines w:val="0"/>
              <w:pageBreakBefore w:val="0"/>
              <w:widowControl w:val="0"/>
              <w:kinsoku/>
              <w:overflowPunct/>
              <w:topLinePunct w:val="0"/>
              <w:bidi w:val="0"/>
              <w:adjustRightInd/>
              <w:snapToGrid/>
              <w:spacing w:after="0" w:line="400" w:lineRule="exact"/>
              <w:jc w:val="both"/>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本项目不接受联合体投标（自行承诺）</w:t>
            </w:r>
          </w:p>
        </w:tc>
      </w:tr>
      <w:tr w14:paraId="2D565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69" w:type="dxa"/>
            <w:vMerge w:val="continue"/>
            <w:tcBorders>
              <w:top w:val="nil"/>
              <w:left w:val="single" w:color="auto" w:sz="4" w:space="0"/>
              <w:bottom w:val="single" w:color="auto" w:sz="4" w:space="0"/>
              <w:right w:val="single" w:color="auto" w:sz="4" w:space="0"/>
            </w:tcBorders>
            <w:vAlign w:val="center"/>
          </w:tcPr>
          <w:p w14:paraId="5598F164">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00726C38">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right w:val="single" w:color="auto" w:sz="4" w:space="0"/>
            </w:tcBorders>
            <w:vAlign w:val="center"/>
          </w:tcPr>
          <w:p w14:paraId="4F4FF2EA">
            <w:pPr>
              <w:keepNext w:val="0"/>
              <w:keepLines w:val="0"/>
              <w:pageBreakBefore w:val="0"/>
              <w:kinsoku/>
              <w:overflowPunct/>
              <w:topLinePunct w:val="0"/>
              <w:bidi w:val="0"/>
              <w:spacing w:after="0" w:line="400" w:lineRule="exact"/>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中小企业声明函</w:t>
            </w:r>
          </w:p>
        </w:tc>
        <w:tc>
          <w:tcPr>
            <w:tcW w:w="6472" w:type="dxa"/>
            <w:tcBorders>
              <w:top w:val="single" w:color="auto" w:sz="4" w:space="0"/>
              <w:left w:val="nil"/>
              <w:right w:val="single" w:color="auto" w:sz="4" w:space="0"/>
            </w:tcBorders>
            <w:vAlign w:val="center"/>
          </w:tcPr>
          <w:p w14:paraId="68A5D385">
            <w:pPr>
              <w:keepNext w:val="0"/>
              <w:keepLines w:val="0"/>
              <w:pageBreakBefore w:val="0"/>
              <w:kinsoku/>
              <w:overflowPunct/>
              <w:topLinePunct w:val="0"/>
              <w:bidi w:val="0"/>
              <w:spacing w:after="0" w:line="400" w:lineRule="exact"/>
              <w:textAlignment w:val="auto"/>
              <w:outlineLvl w:val="9"/>
              <w:rPr>
                <w:rFonts w:cs="Calibri" w:asciiTheme="minorEastAsia" w:hAnsiTheme="minorEastAsia" w:eastAsiaTheme="minorEastAsia"/>
              </w:rPr>
            </w:pPr>
            <w:r>
              <w:rPr>
                <w:rFonts w:cs="Calibri" w:asciiTheme="minorEastAsia" w:hAnsiTheme="minorEastAsia" w:eastAsiaTheme="minorEastAsia"/>
              </w:rPr>
              <w:t>是否提供</w:t>
            </w:r>
            <w:r>
              <w:rPr>
                <w:rFonts w:hint="eastAsia" w:cs="Calibri" w:asciiTheme="minorEastAsia" w:hAnsiTheme="minorEastAsia" w:eastAsiaTheme="minorEastAsia"/>
              </w:rPr>
              <w:t>中小企业声明函</w:t>
            </w:r>
          </w:p>
        </w:tc>
      </w:tr>
      <w:tr w14:paraId="6F889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9" w:type="dxa"/>
            <w:vMerge w:val="restart"/>
            <w:tcBorders>
              <w:top w:val="nil"/>
              <w:left w:val="single" w:color="auto" w:sz="4" w:space="0"/>
              <w:bottom w:val="single" w:color="auto" w:sz="4" w:space="0"/>
              <w:right w:val="single" w:color="auto" w:sz="4" w:space="0"/>
            </w:tcBorders>
            <w:vAlign w:val="center"/>
          </w:tcPr>
          <w:p w14:paraId="693CBDBB">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1.3</w:t>
            </w:r>
          </w:p>
        </w:tc>
        <w:tc>
          <w:tcPr>
            <w:tcW w:w="764" w:type="dxa"/>
            <w:vMerge w:val="restart"/>
            <w:tcBorders>
              <w:top w:val="nil"/>
              <w:left w:val="nil"/>
              <w:bottom w:val="single" w:color="auto" w:sz="4" w:space="0"/>
              <w:right w:val="single" w:color="auto" w:sz="4" w:space="0"/>
            </w:tcBorders>
            <w:vAlign w:val="center"/>
          </w:tcPr>
          <w:p w14:paraId="00A8835C">
            <w:pPr>
              <w:pStyle w:val="44"/>
              <w:keepNext w:val="0"/>
              <w:keepLines w:val="0"/>
              <w:pageBreakBefore w:val="0"/>
              <w:widowControl/>
              <w:kinsoku/>
              <w:overflowPunct/>
              <w:topLinePunct w:val="0"/>
              <w:bidi w:val="0"/>
              <w:spacing w:before="0" w:beforeAutospacing="0" w:after="0" w:line="400" w:lineRule="exact"/>
              <w:jc w:val="center"/>
              <w:textAlignment w:val="auto"/>
              <w:outlineLvl w:val="9"/>
              <w:rPr>
                <w:rFonts w:hint="default" w:asciiTheme="minorEastAsia" w:hAnsiTheme="minorEastAsia" w:eastAsiaTheme="minorEastAsia"/>
                <w:color w:val="auto"/>
                <w:sz w:val="22"/>
                <w:szCs w:val="22"/>
              </w:rPr>
            </w:pPr>
            <w:r>
              <w:rPr>
                <w:rFonts w:asciiTheme="minorEastAsia" w:hAnsiTheme="minorEastAsia" w:eastAsiaTheme="minorEastAsia"/>
                <w:color w:val="auto"/>
                <w:sz w:val="22"/>
                <w:szCs w:val="22"/>
              </w:rPr>
              <w:t>响应性评审标准</w:t>
            </w:r>
          </w:p>
        </w:tc>
        <w:tc>
          <w:tcPr>
            <w:tcW w:w="1548" w:type="dxa"/>
            <w:tcBorders>
              <w:top w:val="single" w:color="auto" w:sz="4" w:space="0"/>
              <w:left w:val="nil"/>
              <w:bottom w:val="single" w:color="auto" w:sz="4" w:space="0"/>
              <w:right w:val="single" w:color="auto" w:sz="4" w:space="0"/>
            </w:tcBorders>
          </w:tcPr>
          <w:p w14:paraId="186E878A">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bookmarkStart w:id="481" w:name="OLE_LINK31"/>
            <w:bookmarkStart w:id="482" w:name="OLE_LINK32"/>
            <w:r>
              <w:rPr>
                <w:rFonts w:hint="eastAsia" w:cs="Calibri" w:asciiTheme="minorEastAsia" w:hAnsiTheme="minorEastAsia" w:eastAsiaTheme="minorEastAsia"/>
              </w:rPr>
              <w:t>磋商范围</w:t>
            </w:r>
            <w:bookmarkEnd w:id="481"/>
            <w:bookmarkEnd w:id="482"/>
          </w:p>
        </w:tc>
        <w:tc>
          <w:tcPr>
            <w:tcW w:w="6472" w:type="dxa"/>
            <w:tcBorders>
              <w:top w:val="single" w:color="auto" w:sz="4" w:space="0"/>
              <w:left w:val="nil"/>
              <w:bottom w:val="single" w:color="auto" w:sz="4" w:space="0"/>
              <w:right w:val="single" w:color="auto" w:sz="4" w:space="0"/>
            </w:tcBorders>
          </w:tcPr>
          <w:p w14:paraId="1EEC3C51">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详见投标人须知前附表</w:t>
            </w:r>
          </w:p>
        </w:tc>
      </w:tr>
      <w:tr w14:paraId="5DB9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9" w:type="dxa"/>
            <w:vMerge w:val="continue"/>
            <w:tcBorders>
              <w:top w:val="nil"/>
              <w:left w:val="single" w:color="auto" w:sz="4" w:space="0"/>
              <w:bottom w:val="single" w:color="auto" w:sz="4" w:space="0"/>
              <w:right w:val="single" w:color="auto" w:sz="4" w:space="0"/>
            </w:tcBorders>
            <w:vAlign w:val="center"/>
          </w:tcPr>
          <w:p w14:paraId="0CCCF43B">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28D4135D">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tcPr>
          <w:p w14:paraId="16216997">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bookmarkStart w:id="483" w:name="OLE_LINK33"/>
            <w:bookmarkStart w:id="484" w:name="OLE_LINK34"/>
            <w:r>
              <w:rPr>
                <w:rFonts w:hint="eastAsia" w:cs="Calibri" w:asciiTheme="minorEastAsia" w:hAnsiTheme="minorEastAsia" w:eastAsiaTheme="minorEastAsia"/>
              </w:rPr>
              <w:t>计划工期</w:t>
            </w:r>
            <w:bookmarkEnd w:id="483"/>
            <w:bookmarkEnd w:id="484"/>
          </w:p>
        </w:tc>
        <w:tc>
          <w:tcPr>
            <w:tcW w:w="6472" w:type="dxa"/>
            <w:tcBorders>
              <w:top w:val="single" w:color="auto" w:sz="4" w:space="0"/>
              <w:left w:val="nil"/>
              <w:bottom w:val="single" w:color="auto" w:sz="4" w:space="0"/>
              <w:right w:val="single" w:color="auto" w:sz="4" w:space="0"/>
            </w:tcBorders>
          </w:tcPr>
          <w:p w14:paraId="4B32F11A">
            <w:pPr>
              <w:keepNext w:val="0"/>
              <w:keepLines w:val="0"/>
              <w:pageBreakBefore w:val="0"/>
              <w:kinsoku/>
              <w:overflowPunct/>
              <w:topLinePunct w:val="0"/>
              <w:bidi w:val="0"/>
              <w:spacing w:after="0" w:line="400" w:lineRule="exact"/>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详见投标人须知前附表</w:t>
            </w:r>
          </w:p>
        </w:tc>
      </w:tr>
      <w:tr w14:paraId="0A240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9" w:type="dxa"/>
            <w:vMerge w:val="continue"/>
            <w:tcBorders>
              <w:top w:val="nil"/>
              <w:left w:val="single" w:color="auto" w:sz="4" w:space="0"/>
              <w:bottom w:val="single" w:color="auto" w:sz="4" w:space="0"/>
              <w:right w:val="single" w:color="auto" w:sz="4" w:space="0"/>
            </w:tcBorders>
            <w:vAlign w:val="center"/>
          </w:tcPr>
          <w:p w14:paraId="10C787CC">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3CE847B2">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tcPr>
          <w:p w14:paraId="3F4E917C">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bookmarkStart w:id="485" w:name="OLE_LINK35"/>
            <w:bookmarkStart w:id="486" w:name="OLE_LINK36"/>
            <w:r>
              <w:rPr>
                <w:rFonts w:hint="eastAsia" w:cs="Calibri" w:asciiTheme="minorEastAsia" w:hAnsiTheme="minorEastAsia" w:eastAsiaTheme="minorEastAsia"/>
              </w:rPr>
              <w:t>质量要求</w:t>
            </w:r>
            <w:bookmarkEnd w:id="485"/>
            <w:bookmarkEnd w:id="486"/>
          </w:p>
        </w:tc>
        <w:tc>
          <w:tcPr>
            <w:tcW w:w="6472" w:type="dxa"/>
            <w:tcBorders>
              <w:top w:val="single" w:color="auto" w:sz="4" w:space="0"/>
              <w:left w:val="nil"/>
              <w:bottom w:val="single" w:color="auto" w:sz="4" w:space="0"/>
              <w:right w:val="single" w:color="auto" w:sz="4" w:space="0"/>
            </w:tcBorders>
          </w:tcPr>
          <w:p w14:paraId="131D4D8F">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详见投标人须知前附表</w:t>
            </w:r>
          </w:p>
        </w:tc>
      </w:tr>
      <w:tr w14:paraId="3A10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9" w:type="dxa"/>
            <w:vMerge w:val="continue"/>
            <w:tcBorders>
              <w:top w:val="nil"/>
              <w:left w:val="single" w:color="auto" w:sz="4" w:space="0"/>
              <w:bottom w:val="single" w:color="auto" w:sz="4" w:space="0"/>
              <w:right w:val="single" w:color="auto" w:sz="4" w:space="0"/>
            </w:tcBorders>
            <w:vAlign w:val="center"/>
          </w:tcPr>
          <w:p w14:paraId="35898585">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188E1481">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tcPr>
          <w:p w14:paraId="2FE1F225">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bookmarkStart w:id="487" w:name="OLE_LINK38"/>
            <w:bookmarkStart w:id="488" w:name="OLE_LINK37"/>
            <w:r>
              <w:rPr>
                <w:rFonts w:hint="eastAsia" w:cs="Calibri" w:asciiTheme="minorEastAsia" w:hAnsiTheme="minorEastAsia" w:eastAsiaTheme="minorEastAsia"/>
              </w:rPr>
              <w:t>磋商有效期</w:t>
            </w:r>
            <w:bookmarkEnd w:id="487"/>
            <w:bookmarkEnd w:id="488"/>
          </w:p>
        </w:tc>
        <w:tc>
          <w:tcPr>
            <w:tcW w:w="6472" w:type="dxa"/>
            <w:tcBorders>
              <w:top w:val="single" w:color="auto" w:sz="4" w:space="0"/>
              <w:left w:val="nil"/>
              <w:bottom w:val="single" w:color="auto" w:sz="4" w:space="0"/>
              <w:right w:val="single" w:color="auto" w:sz="4" w:space="0"/>
            </w:tcBorders>
          </w:tcPr>
          <w:p w14:paraId="4CCA350B">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详见投标人须知前附表</w:t>
            </w:r>
          </w:p>
        </w:tc>
      </w:tr>
      <w:tr w14:paraId="5232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9" w:type="dxa"/>
            <w:vMerge w:val="continue"/>
            <w:tcBorders>
              <w:top w:val="nil"/>
              <w:left w:val="single" w:color="auto" w:sz="4" w:space="0"/>
              <w:bottom w:val="single" w:color="auto" w:sz="4" w:space="0"/>
              <w:right w:val="single" w:color="auto" w:sz="4" w:space="0"/>
            </w:tcBorders>
            <w:vAlign w:val="center"/>
          </w:tcPr>
          <w:p w14:paraId="13006E61">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7256AFFF">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tcPr>
          <w:p w14:paraId="614F4ACF">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bookmarkStart w:id="489" w:name="OLE_LINK39"/>
            <w:r>
              <w:rPr>
                <w:rFonts w:cs="Calibri" w:asciiTheme="minorEastAsia" w:hAnsiTheme="minorEastAsia" w:eastAsiaTheme="minorEastAsia"/>
              </w:rPr>
              <w:t>其他要求</w:t>
            </w:r>
            <w:bookmarkEnd w:id="489"/>
          </w:p>
        </w:tc>
        <w:tc>
          <w:tcPr>
            <w:tcW w:w="6472" w:type="dxa"/>
            <w:tcBorders>
              <w:top w:val="single" w:color="auto" w:sz="4" w:space="0"/>
              <w:left w:val="nil"/>
              <w:bottom w:val="single" w:color="auto" w:sz="4" w:space="0"/>
              <w:right w:val="single" w:color="auto" w:sz="4" w:space="0"/>
            </w:tcBorders>
          </w:tcPr>
          <w:p w14:paraId="5FE210AE">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r>
              <w:rPr>
                <w:rFonts w:cs="Calibri" w:asciiTheme="minorEastAsia" w:hAnsiTheme="minorEastAsia" w:eastAsiaTheme="minorEastAsia"/>
              </w:rPr>
              <w:t>磋商文件规定的其他要求</w:t>
            </w:r>
          </w:p>
        </w:tc>
      </w:tr>
      <w:tr w14:paraId="7B01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69" w:type="dxa"/>
            <w:vMerge w:val="continue"/>
            <w:tcBorders>
              <w:top w:val="nil"/>
              <w:left w:val="single" w:color="auto" w:sz="4" w:space="0"/>
              <w:bottom w:val="single" w:color="auto" w:sz="4" w:space="0"/>
              <w:right w:val="single" w:color="auto" w:sz="4" w:space="0"/>
            </w:tcBorders>
            <w:vAlign w:val="center"/>
          </w:tcPr>
          <w:p w14:paraId="37F61251">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764" w:type="dxa"/>
            <w:vMerge w:val="continue"/>
            <w:tcBorders>
              <w:top w:val="nil"/>
              <w:left w:val="nil"/>
              <w:bottom w:val="single" w:color="auto" w:sz="4" w:space="0"/>
              <w:right w:val="single" w:color="auto" w:sz="4" w:space="0"/>
            </w:tcBorders>
            <w:vAlign w:val="center"/>
          </w:tcPr>
          <w:p w14:paraId="4145C54F">
            <w:pPr>
              <w:keepNext w:val="0"/>
              <w:keepLines w:val="0"/>
              <w:pageBreakBefore w:val="0"/>
              <w:kinsoku/>
              <w:overflowPunct/>
              <w:topLinePunct w:val="0"/>
              <w:bidi w:val="0"/>
              <w:spacing w:after="0" w:line="400" w:lineRule="exact"/>
              <w:textAlignment w:val="auto"/>
              <w:outlineLvl w:val="9"/>
              <w:rPr>
                <w:rFonts w:asciiTheme="minorEastAsia" w:hAnsiTheme="minorEastAsia" w:eastAsiaTheme="minorEastAsia"/>
              </w:rPr>
            </w:pPr>
          </w:p>
        </w:tc>
        <w:tc>
          <w:tcPr>
            <w:tcW w:w="1548" w:type="dxa"/>
            <w:tcBorders>
              <w:top w:val="single" w:color="auto" w:sz="4" w:space="0"/>
              <w:left w:val="nil"/>
              <w:bottom w:val="single" w:color="auto" w:sz="4" w:space="0"/>
              <w:right w:val="single" w:color="auto" w:sz="4" w:space="0"/>
            </w:tcBorders>
          </w:tcPr>
          <w:p w14:paraId="7FB99C45">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控制价</w:t>
            </w:r>
          </w:p>
        </w:tc>
        <w:tc>
          <w:tcPr>
            <w:tcW w:w="6472" w:type="dxa"/>
            <w:tcBorders>
              <w:top w:val="single" w:color="auto" w:sz="4" w:space="0"/>
              <w:left w:val="nil"/>
              <w:bottom w:val="single" w:color="auto" w:sz="4" w:space="0"/>
              <w:right w:val="single" w:color="auto" w:sz="4" w:space="0"/>
            </w:tcBorders>
          </w:tcPr>
          <w:p w14:paraId="4227B145">
            <w:pPr>
              <w:keepNext w:val="0"/>
              <w:keepLines w:val="0"/>
              <w:pageBreakBefore w:val="0"/>
              <w:kinsoku/>
              <w:overflowPunct/>
              <w:topLinePunct w:val="0"/>
              <w:bidi w:val="0"/>
              <w:spacing w:after="0" w:line="400" w:lineRule="exact"/>
              <w:ind w:firstLine="33" w:firstLineChars="15"/>
              <w:textAlignment w:val="auto"/>
              <w:outlineLvl w:val="9"/>
              <w:rPr>
                <w:rFonts w:cs="Calibri" w:asciiTheme="minorEastAsia" w:hAnsiTheme="minorEastAsia" w:eastAsiaTheme="minorEastAsia"/>
              </w:rPr>
            </w:pPr>
            <w:r>
              <w:rPr>
                <w:rFonts w:hint="eastAsia" w:cs="Calibri" w:asciiTheme="minorEastAsia" w:hAnsiTheme="minorEastAsia" w:eastAsiaTheme="minorEastAsia"/>
              </w:rPr>
              <w:t>供应商磋商报价不得高于预算金额，否则按照无效标处理。</w:t>
            </w:r>
          </w:p>
        </w:tc>
      </w:tr>
    </w:tbl>
    <w:p w14:paraId="3BFE9EA0">
      <w:pPr>
        <w:spacing w:line="400" w:lineRule="exact"/>
        <w:outlineLvl w:val="9"/>
        <w:rPr>
          <w:rFonts w:cs="Calibri" w:asciiTheme="minorEastAsia" w:hAnsiTheme="minorEastAsia" w:eastAsiaTheme="minorEastAsia"/>
          <w:b/>
          <w:bCs/>
          <w:sz w:val="24"/>
        </w:rPr>
      </w:pPr>
    </w:p>
    <w:p w14:paraId="09CA114B">
      <w:pPr>
        <w:spacing w:line="264" w:lineRule="auto"/>
        <w:outlineLvl w:val="9"/>
        <w:rPr>
          <w:rFonts w:cs="仿宋_GB2312" w:asciiTheme="minorEastAsia" w:hAnsiTheme="minorEastAsia" w:eastAsiaTheme="minorEastAsia"/>
          <w:b/>
          <w:kern w:val="1"/>
          <w:sz w:val="24"/>
          <w:lang w:val="zh-CN"/>
        </w:rPr>
      </w:pPr>
      <w:bookmarkStart w:id="490" w:name="_Toc512514899"/>
      <w:bookmarkEnd w:id="490"/>
      <w:bookmarkStart w:id="491" w:name="_Toc517179004"/>
      <w:bookmarkEnd w:id="491"/>
    </w:p>
    <w:p w14:paraId="5E7A37F5">
      <w:pPr>
        <w:adjustRightInd/>
        <w:snapToGrid/>
        <w:spacing w:after="0"/>
        <w:outlineLvl w:val="9"/>
        <w:rPr>
          <w:rFonts w:cs="仿宋_GB2312" w:asciiTheme="minorEastAsia" w:hAnsiTheme="minorEastAsia" w:eastAsiaTheme="minorEastAsia"/>
          <w:b/>
          <w:kern w:val="1"/>
          <w:sz w:val="24"/>
          <w:lang w:val="zh-CN"/>
        </w:rPr>
      </w:pPr>
      <w:r>
        <w:rPr>
          <w:rFonts w:cs="仿宋_GB2312" w:asciiTheme="minorEastAsia" w:hAnsiTheme="minorEastAsia" w:eastAsiaTheme="minorEastAsia"/>
          <w:b/>
          <w:kern w:val="1"/>
          <w:sz w:val="24"/>
          <w:lang w:val="zh-CN"/>
        </w:rPr>
        <w:br w:type="page"/>
      </w:r>
    </w:p>
    <w:p w14:paraId="242DB8B5">
      <w:pPr>
        <w:spacing w:line="264" w:lineRule="auto"/>
        <w:jc w:val="center"/>
        <w:outlineLvl w:val="9"/>
        <w:rPr>
          <w:rFonts w:cs="仿宋_GB2312" w:asciiTheme="minorEastAsia" w:hAnsiTheme="minorEastAsia" w:eastAsiaTheme="minorEastAsia"/>
          <w:b/>
          <w:kern w:val="1"/>
          <w:sz w:val="24"/>
          <w:lang w:val="zh-CN"/>
        </w:rPr>
      </w:pPr>
      <w:r>
        <w:rPr>
          <w:rFonts w:hint="eastAsia" w:cs="仿宋_GB2312" w:asciiTheme="minorEastAsia" w:hAnsiTheme="minorEastAsia" w:eastAsiaTheme="minorEastAsia"/>
          <w:b/>
          <w:kern w:val="1"/>
          <w:sz w:val="24"/>
          <w:lang w:val="zh-CN"/>
        </w:rPr>
        <w:t>二、详细评审</w:t>
      </w:r>
    </w:p>
    <w:p w14:paraId="3202311B">
      <w:pPr>
        <w:spacing w:line="264" w:lineRule="auto"/>
        <w:outlineLvl w:val="9"/>
        <w:rPr>
          <w:rFonts w:cs="仿宋_GB2312" w:asciiTheme="minorEastAsia" w:hAnsiTheme="minorEastAsia" w:eastAsiaTheme="minorEastAsia"/>
          <w:b/>
          <w:kern w:val="1"/>
          <w:sz w:val="24"/>
          <w:lang w:val="zh-CN"/>
        </w:rPr>
      </w:pPr>
    </w:p>
    <w:tbl>
      <w:tblPr>
        <w:tblStyle w:val="26"/>
        <w:tblW w:w="10586" w:type="dxa"/>
        <w:tblInd w:w="-251" w:type="dxa"/>
        <w:tblLayout w:type="fixed"/>
        <w:tblCellMar>
          <w:top w:w="0" w:type="dxa"/>
          <w:left w:w="108" w:type="dxa"/>
          <w:bottom w:w="0" w:type="dxa"/>
          <w:right w:w="108" w:type="dxa"/>
        </w:tblCellMar>
      </w:tblPr>
      <w:tblGrid>
        <w:gridCol w:w="726"/>
        <w:gridCol w:w="868"/>
        <w:gridCol w:w="608"/>
        <w:gridCol w:w="917"/>
        <w:gridCol w:w="4895"/>
        <w:gridCol w:w="1134"/>
        <w:gridCol w:w="1438"/>
      </w:tblGrid>
      <w:tr w14:paraId="242A7C76">
        <w:tblPrEx>
          <w:tblCellMar>
            <w:top w:w="0" w:type="dxa"/>
            <w:left w:w="108" w:type="dxa"/>
            <w:bottom w:w="0" w:type="dxa"/>
            <w:right w:w="108" w:type="dxa"/>
          </w:tblCellMar>
        </w:tblPrEx>
        <w:trPr>
          <w:gridAfter w:val="1"/>
          <w:wAfter w:w="1438" w:type="dxa"/>
          <w:trHeight w:val="518" w:hRule="atLeast"/>
        </w:trPr>
        <w:tc>
          <w:tcPr>
            <w:tcW w:w="9148" w:type="dxa"/>
            <w:gridSpan w:val="6"/>
            <w:tcBorders>
              <w:top w:val="single" w:color="000000" w:sz="6" w:space="0"/>
              <w:left w:val="single" w:color="000000" w:sz="12" w:space="0"/>
              <w:bottom w:val="single" w:color="000000" w:sz="6" w:space="0"/>
              <w:right w:val="single" w:color="000000" w:sz="12" w:space="0"/>
            </w:tcBorders>
            <w:vAlign w:val="center"/>
          </w:tcPr>
          <w:p w14:paraId="5503C270">
            <w:pPr>
              <w:adjustRightInd/>
              <w:snapToGrid/>
              <w:spacing w:after="0" w:line="400" w:lineRule="exact"/>
              <w:jc w:val="center"/>
              <w:outlineLvl w:val="9"/>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b/>
                <w:kern w:val="1"/>
                <w:sz w:val="24"/>
                <w:szCs w:val="24"/>
                <w:lang w:eastAsia="en-US" w:bidi="en-US"/>
              </w:rPr>
              <w:t>评分部分（满分100分）</w:t>
            </w:r>
          </w:p>
        </w:tc>
      </w:tr>
      <w:tr w14:paraId="7FBB6ED0">
        <w:tblPrEx>
          <w:tblCellMar>
            <w:top w:w="0" w:type="dxa"/>
            <w:left w:w="108" w:type="dxa"/>
            <w:bottom w:w="0" w:type="dxa"/>
            <w:right w:w="108" w:type="dxa"/>
          </w:tblCellMar>
        </w:tblPrEx>
        <w:trPr>
          <w:gridAfter w:val="1"/>
          <w:wAfter w:w="1438" w:type="dxa"/>
          <w:trHeight w:val="691" w:hRule="atLeast"/>
        </w:trPr>
        <w:tc>
          <w:tcPr>
            <w:tcW w:w="1594" w:type="dxa"/>
            <w:gridSpan w:val="2"/>
            <w:tcBorders>
              <w:top w:val="single" w:color="000000" w:sz="6" w:space="0"/>
              <w:left w:val="single" w:color="000000" w:sz="6" w:space="0"/>
              <w:bottom w:val="single" w:color="000000" w:sz="6" w:space="0"/>
              <w:right w:val="single" w:color="000000" w:sz="6" w:space="0"/>
            </w:tcBorders>
            <w:vAlign w:val="center"/>
          </w:tcPr>
          <w:p w14:paraId="6CEED98B">
            <w:pPr>
              <w:adjustRightInd/>
              <w:snapToGrid/>
              <w:spacing w:after="0" w:line="400" w:lineRule="exact"/>
              <w:ind w:left="210" w:hanging="210"/>
              <w:jc w:val="center"/>
              <w:outlineLvl w:val="9"/>
              <w:rPr>
                <w:rFonts w:cs="宋体" w:asciiTheme="minorEastAsia" w:hAnsiTheme="minorEastAsia" w:eastAsiaTheme="minorEastAsia"/>
                <w:kern w:val="1"/>
                <w:sz w:val="24"/>
                <w:szCs w:val="24"/>
                <w:highlight w:val="none"/>
                <w:lang w:eastAsia="en-US" w:bidi="en-US"/>
              </w:rPr>
            </w:pPr>
            <w:r>
              <w:rPr>
                <w:rFonts w:hint="eastAsia" w:cs="宋体" w:asciiTheme="minorEastAsia" w:hAnsiTheme="minorEastAsia" w:eastAsiaTheme="minorEastAsia"/>
                <w:kern w:val="1"/>
                <w:sz w:val="24"/>
                <w:szCs w:val="24"/>
                <w:highlight w:val="none"/>
                <w:lang w:eastAsia="en-US" w:bidi="en-US"/>
              </w:rPr>
              <w:t>分值构成</w:t>
            </w:r>
          </w:p>
          <w:p w14:paraId="1CBC8215">
            <w:pPr>
              <w:adjustRightInd/>
              <w:snapToGrid/>
              <w:spacing w:after="0" w:line="400" w:lineRule="exact"/>
              <w:ind w:left="210" w:hanging="210"/>
              <w:jc w:val="center"/>
              <w:outlineLvl w:val="9"/>
              <w:rPr>
                <w:rFonts w:cs="宋体" w:asciiTheme="minorEastAsia" w:hAnsiTheme="minorEastAsia" w:eastAsiaTheme="minorEastAsia"/>
                <w:kern w:val="1"/>
                <w:sz w:val="24"/>
                <w:szCs w:val="24"/>
                <w:highlight w:val="none"/>
                <w:lang w:eastAsia="en-US" w:bidi="en-US"/>
              </w:rPr>
            </w:pPr>
            <w:r>
              <w:rPr>
                <w:rFonts w:hint="eastAsia" w:cs="宋体" w:asciiTheme="minorEastAsia" w:hAnsiTheme="minorEastAsia" w:eastAsiaTheme="minorEastAsia"/>
                <w:kern w:val="1"/>
                <w:sz w:val="24"/>
                <w:szCs w:val="24"/>
                <w:highlight w:val="none"/>
                <w:lang w:eastAsia="en-US" w:bidi="en-US"/>
              </w:rPr>
              <w:t>(总分100分)</w:t>
            </w:r>
          </w:p>
        </w:tc>
        <w:tc>
          <w:tcPr>
            <w:tcW w:w="7554" w:type="dxa"/>
            <w:gridSpan w:val="4"/>
            <w:tcBorders>
              <w:top w:val="single" w:color="000000" w:sz="6" w:space="0"/>
              <w:left w:val="single" w:color="000000" w:sz="6" w:space="0"/>
              <w:bottom w:val="single" w:color="000000" w:sz="6" w:space="0"/>
              <w:right w:val="single" w:color="000000" w:sz="12" w:space="0"/>
            </w:tcBorders>
            <w:vAlign w:val="center"/>
          </w:tcPr>
          <w:p w14:paraId="04D6510D">
            <w:pPr>
              <w:adjustRightInd/>
              <w:snapToGrid/>
              <w:spacing w:after="0" w:line="400" w:lineRule="exact"/>
              <w:outlineLvl w:val="9"/>
              <w:rPr>
                <w:rFonts w:cs="宋体" w:asciiTheme="minorEastAsia" w:hAnsiTheme="minorEastAsia" w:eastAsiaTheme="minorEastAsia"/>
                <w:kern w:val="1"/>
                <w:sz w:val="24"/>
                <w:szCs w:val="24"/>
                <w:highlight w:val="none"/>
                <w:lang w:bidi="en-US"/>
              </w:rPr>
            </w:pPr>
            <w:r>
              <w:rPr>
                <w:rFonts w:hint="eastAsia" w:cs="宋体" w:asciiTheme="minorEastAsia" w:hAnsiTheme="minorEastAsia" w:eastAsiaTheme="minorEastAsia"/>
                <w:kern w:val="1"/>
                <w:sz w:val="24"/>
                <w:szCs w:val="24"/>
                <w:highlight w:val="none"/>
                <w:lang w:bidi="en-US"/>
              </w:rPr>
              <w:t>商务标：</w:t>
            </w:r>
            <w:r>
              <w:rPr>
                <w:rFonts w:hint="eastAsia" w:cs="宋体" w:asciiTheme="minorEastAsia" w:hAnsiTheme="minorEastAsia" w:eastAsiaTheme="minorEastAsia"/>
                <w:kern w:val="1"/>
                <w:sz w:val="24"/>
                <w:szCs w:val="24"/>
                <w:highlight w:val="none"/>
                <w:u w:val="single"/>
                <w:lang w:bidi="en-US"/>
              </w:rPr>
              <w:t>30</w:t>
            </w:r>
            <w:r>
              <w:rPr>
                <w:rFonts w:hint="eastAsia" w:cs="宋体" w:asciiTheme="minorEastAsia" w:hAnsiTheme="minorEastAsia" w:eastAsiaTheme="minorEastAsia"/>
                <w:kern w:val="1"/>
                <w:sz w:val="24"/>
                <w:szCs w:val="24"/>
                <w:highlight w:val="none"/>
                <w:lang w:bidi="en-US"/>
              </w:rPr>
              <w:t>分</w:t>
            </w:r>
          </w:p>
          <w:p w14:paraId="2A1A77B4">
            <w:pPr>
              <w:adjustRightInd/>
              <w:snapToGrid/>
              <w:spacing w:after="0" w:line="400" w:lineRule="exact"/>
              <w:outlineLvl w:val="9"/>
              <w:rPr>
                <w:rFonts w:cs="宋体" w:asciiTheme="minorEastAsia" w:hAnsiTheme="minorEastAsia" w:eastAsiaTheme="minorEastAsia"/>
                <w:kern w:val="1"/>
                <w:sz w:val="24"/>
                <w:szCs w:val="24"/>
                <w:highlight w:val="none"/>
                <w:lang w:bidi="en-US"/>
              </w:rPr>
            </w:pPr>
            <w:r>
              <w:rPr>
                <w:rFonts w:hint="eastAsia" w:cs="宋体" w:asciiTheme="minorEastAsia" w:hAnsiTheme="minorEastAsia" w:eastAsiaTheme="minorEastAsia"/>
                <w:kern w:val="1"/>
                <w:sz w:val="24"/>
                <w:szCs w:val="24"/>
                <w:highlight w:val="none"/>
                <w:lang w:bidi="en-US"/>
              </w:rPr>
              <w:t>技术标：</w:t>
            </w:r>
            <w:r>
              <w:rPr>
                <w:rFonts w:hint="eastAsia" w:cs="宋体" w:asciiTheme="minorEastAsia" w:hAnsiTheme="minorEastAsia" w:eastAsiaTheme="minorEastAsia"/>
                <w:kern w:val="1"/>
                <w:sz w:val="24"/>
                <w:szCs w:val="24"/>
                <w:highlight w:val="none"/>
                <w:u w:val="single"/>
                <w:lang w:bidi="en-US"/>
              </w:rPr>
              <w:t>45</w:t>
            </w:r>
            <w:r>
              <w:rPr>
                <w:rFonts w:hint="eastAsia" w:cs="宋体" w:asciiTheme="minorEastAsia" w:hAnsiTheme="minorEastAsia" w:eastAsiaTheme="minorEastAsia"/>
                <w:kern w:val="1"/>
                <w:sz w:val="24"/>
                <w:szCs w:val="24"/>
                <w:highlight w:val="none"/>
                <w:lang w:bidi="en-US"/>
              </w:rPr>
              <w:t>分</w:t>
            </w:r>
          </w:p>
          <w:p w14:paraId="00106C90">
            <w:pPr>
              <w:adjustRightInd/>
              <w:snapToGrid/>
              <w:spacing w:after="0" w:line="400" w:lineRule="exact"/>
              <w:outlineLvl w:val="9"/>
              <w:rPr>
                <w:rFonts w:cs="宋体" w:asciiTheme="minorEastAsia" w:hAnsiTheme="minorEastAsia" w:eastAsiaTheme="minorEastAsia"/>
                <w:kern w:val="1"/>
                <w:sz w:val="24"/>
                <w:szCs w:val="24"/>
                <w:highlight w:val="none"/>
                <w:lang w:bidi="en-US"/>
              </w:rPr>
            </w:pPr>
            <w:r>
              <w:rPr>
                <w:rFonts w:hint="eastAsia" w:cs="宋体" w:asciiTheme="minorEastAsia" w:hAnsiTheme="minorEastAsia" w:eastAsiaTheme="minorEastAsia"/>
                <w:kern w:val="1"/>
                <w:sz w:val="24"/>
                <w:szCs w:val="24"/>
                <w:highlight w:val="none"/>
                <w:lang w:bidi="en-US"/>
              </w:rPr>
              <w:t>综合标：</w:t>
            </w:r>
            <w:r>
              <w:rPr>
                <w:rFonts w:hint="eastAsia" w:cs="宋体" w:asciiTheme="minorEastAsia" w:hAnsiTheme="minorEastAsia" w:eastAsiaTheme="minorEastAsia"/>
                <w:kern w:val="1"/>
                <w:sz w:val="24"/>
                <w:szCs w:val="24"/>
                <w:highlight w:val="none"/>
                <w:u w:val="single"/>
                <w:lang w:bidi="en-US"/>
              </w:rPr>
              <w:t>25</w:t>
            </w:r>
            <w:r>
              <w:rPr>
                <w:rFonts w:hint="eastAsia" w:cs="宋体" w:asciiTheme="minorEastAsia" w:hAnsiTheme="minorEastAsia" w:eastAsiaTheme="minorEastAsia"/>
                <w:kern w:val="1"/>
                <w:sz w:val="24"/>
                <w:szCs w:val="24"/>
                <w:highlight w:val="none"/>
                <w:lang w:bidi="en-US"/>
              </w:rPr>
              <w:t>分</w:t>
            </w:r>
          </w:p>
        </w:tc>
      </w:tr>
      <w:tr w14:paraId="0EDF38B7">
        <w:tblPrEx>
          <w:tblCellMar>
            <w:top w:w="0" w:type="dxa"/>
            <w:left w:w="108" w:type="dxa"/>
            <w:bottom w:w="0" w:type="dxa"/>
            <w:right w:w="108" w:type="dxa"/>
          </w:tblCellMar>
        </w:tblPrEx>
        <w:trPr>
          <w:gridAfter w:val="1"/>
          <w:wAfter w:w="1438" w:type="dxa"/>
          <w:trHeight w:val="207" w:hRule="atLeast"/>
        </w:trPr>
        <w:tc>
          <w:tcPr>
            <w:tcW w:w="1594" w:type="dxa"/>
            <w:gridSpan w:val="2"/>
            <w:tcBorders>
              <w:top w:val="single" w:color="000000" w:sz="6" w:space="0"/>
              <w:left w:val="single" w:color="000000" w:sz="6" w:space="0"/>
              <w:bottom w:val="single" w:color="000000" w:sz="6" w:space="0"/>
              <w:right w:val="single" w:color="000000" w:sz="6" w:space="0"/>
            </w:tcBorders>
            <w:vAlign w:val="center"/>
          </w:tcPr>
          <w:p w14:paraId="74AA1435">
            <w:pPr>
              <w:adjustRightInd/>
              <w:snapToGrid/>
              <w:spacing w:after="0" w:line="400" w:lineRule="exact"/>
              <w:jc w:val="center"/>
              <w:outlineLvl w:val="9"/>
              <w:rPr>
                <w:rFonts w:cs="宋体" w:asciiTheme="minorEastAsia" w:hAnsiTheme="minorEastAsia" w:eastAsiaTheme="minorEastAsia"/>
                <w:b/>
                <w:kern w:val="1"/>
                <w:sz w:val="24"/>
                <w:szCs w:val="24"/>
                <w:lang w:eastAsia="en-US" w:bidi="en-US"/>
              </w:rPr>
            </w:pPr>
            <w:r>
              <w:rPr>
                <w:rFonts w:hint="eastAsia" w:cs="宋体" w:asciiTheme="minorEastAsia" w:hAnsiTheme="minorEastAsia" w:eastAsiaTheme="minorEastAsia"/>
                <w:b/>
                <w:kern w:val="1"/>
                <w:sz w:val="24"/>
                <w:szCs w:val="24"/>
                <w:lang w:eastAsia="en-US" w:bidi="en-US"/>
              </w:rPr>
              <w:t>评分因素</w:t>
            </w:r>
          </w:p>
        </w:tc>
        <w:tc>
          <w:tcPr>
            <w:tcW w:w="7554" w:type="dxa"/>
            <w:gridSpan w:val="4"/>
            <w:tcBorders>
              <w:top w:val="single" w:color="000000" w:sz="6" w:space="0"/>
              <w:left w:val="single" w:color="000000" w:sz="6" w:space="0"/>
              <w:bottom w:val="single" w:color="000000" w:sz="6" w:space="0"/>
              <w:right w:val="single" w:color="000000" w:sz="12" w:space="0"/>
            </w:tcBorders>
            <w:vAlign w:val="center"/>
          </w:tcPr>
          <w:p w14:paraId="092D21D7">
            <w:pPr>
              <w:adjustRightInd/>
              <w:snapToGrid/>
              <w:spacing w:after="0" w:line="400" w:lineRule="exact"/>
              <w:jc w:val="center"/>
              <w:outlineLvl w:val="9"/>
              <w:rPr>
                <w:rFonts w:cs="宋体" w:asciiTheme="minorEastAsia" w:hAnsiTheme="minorEastAsia" w:eastAsiaTheme="minorEastAsia"/>
                <w:b/>
                <w:kern w:val="1"/>
                <w:sz w:val="24"/>
                <w:szCs w:val="24"/>
                <w:lang w:eastAsia="en-US" w:bidi="en-US"/>
              </w:rPr>
            </w:pPr>
            <w:r>
              <w:rPr>
                <w:rFonts w:hint="eastAsia" w:cs="宋体" w:asciiTheme="minorEastAsia" w:hAnsiTheme="minorEastAsia" w:eastAsiaTheme="minorEastAsia"/>
                <w:b/>
                <w:kern w:val="1"/>
                <w:sz w:val="24"/>
                <w:szCs w:val="24"/>
                <w:lang w:eastAsia="en-US" w:bidi="en-US"/>
              </w:rPr>
              <w:t>评分标准</w:t>
            </w:r>
          </w:p>
        </w:tc>
      </w:tr>
      <w:tr w14:paraId="0EFC0DC8">
        <w:tblPrEx>
          <w:tblCellMar>
            <w:top w:w="0" w:type="dxa"/>
            <w:left w:w="108" w:type="dxa"/>
            <w:bottom w:w="0" w:type="dxa"/>
            <w:right w:w="108" w:type="dxa"/>
          </w:tblCellMar>
        </w:tblPrEx>
        <w:trPr>
          <w:gridAfter w:val="1"/>
          <w:wAfter w:w="1438" w:type="dxa"/>
          <w:trHeight w:val="602" w:hRule="atLeast"/>
        </w:trPr>
        <w:tc>
          <w:tcPr>
            <w:tcW w:w="726" w:type="dxa"/>
            <w:tcBorders>
              <w:top w:val="single" w:color="000000" w:sz="6" w:space="0"/>
              <w:left w:val="single" w:color="000000" w:sz="4" w:space="0"/>
              <w:bottom w:val="single" w:color="000000" w:sz="6" w:space="0"/>
              <w:right w:val="single" w:color="000000" w:sz="6" w:space="0"/>
            </w:tcBorders>
            <w:vAlign w:val="center"/>
          </w:tcPr>
          <w:p w14:paraId="5F9227C6">
            <w:pPr>
              <w:adjustRightInd/>
              <w:snapToGrid/>
              <w:spacing w:after="0" w:line="400" w:lineRule="exact"/>
              <w:jc w:val="center"/>
              <w:outlineLvl w:val="9"/>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商务标（</w:t>
            </w:r>
            <w:r>
              <w:rPr>
                <w:rFonts w:hint="eastAsia" w:cs="宋体" w:asciiTheme="minorEastAsia" w:hAnsiTheme="minorEastAsia" w:eastAsiaTheme="minorEastAsia"/>
                <w:kern w:val="1"/>
                <w:sz w:val="24"/>
                <w:szCs w:val="24"/>
                <w:lang w:bidi="en-US"/>
              </w:rPr>
              <w:t>3</w:t>
            </w:r>
            <w:r>
              <w:rPr>
                <w:rFonts w:hint="eastAsia" w:cs="宋体" w:asciiTheme="minorEastAsia" w:hAnsiTheme="minorEastAsia" w:eastAsiaTheme="minorEastAsia"/>
                <w:kern w:val="1"/>
                <w:sz w:val="24"/>
                <w:szCs w:val="24"/>
                <w:lang w:eastAsia="en-US" w:bidi="en-US"/>
              </w:rPr>
              <w:t>0分）</w:t>
            </w:r>
          </w:p>
        </w:tc>
        <w:tc>
          <w:tcPr>
            <w:tcW w:w="868" w:type="dxa"/>
            <w:tcBorders>
              <w:top w:val="single" w:color="000000" w:sz="6" w:space="0"/>
              <w:left w:val="single" w:color="000000" w:sz="4" w:space="0"/>
              <w:bottom w:val="single" w:color="000000" w:sz="6" w:space="0"/>
              <w:right w:val="single" w:color="000000" w:sz="6" w:space="0"/>
            </w:tcBorders>
            <w:vAlign w:val="center"/>
          </w:tcPr>
          <w:p w14:paraId="6109BB40">
            <w:pPr>
              <w:adjustRightInd/>
              <w:snapToGrid/>
              <w:spacing w:after="0" w:line="400" w:lineRule="exact"/>
              <w:jc w:val="center"/>
              <w:outlineLvl w:val="9"/>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投标报价</w:t>
            </w:r>
          </w:p>
        </w:tc>
        <w:tc>
          <w:tcPr>
            <w:tcW w:w="7554" w:type="dxa"/>
            <w:gridSpan w:val="4"/>
            <w:tcBorders>
              <w:top w:val="single" w:color="000000" w:sz="6" w:space="0"/>
              <w:left w:val="single" w:color="000000" w:sz="6" w:space="0"/>
              <w:bottom w:val="single" w:color="000000" w:sz="6" w:space="0"/>
              <w:right w:val="single" w:color="000000" w:sz="12" w:space="0"/>
            </w:tcBorders>
            <w:vAlign w:val="center"/>
          </w:tcPr>
          <w:p w14:paraId="37ACD27B">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1、综合评分法中的价格分统一采用低价优先法计算，即满足磋商文件要求且最后报价最低的供应商的价格为磋商基准价，其价格分为满分。</w:t>
            </w:r>
          </w:p>
          <w:p w14:paraId="24FFAB2C">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2、其他供应商的价格分统一按照下列公式计算：磋商报价得分=（磋商基准价/最后磋商报价）×30</w:t>
            </w:r>
          </w:p>
          <w:p w14:paraId="37928095">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注：（1）分值计算保留两位小数。</w:t>
            </w:r>
          </w:p>
          <w:p w14:paraId="69441EC9">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（2）本项目专门面向中小企业采购，不再进行价格扣除。参加政府采购活动的中小企业应当提供《中小企业声明函》；</w:t>
            </w:r>
          </w:p>
          <w:p w14:paraId="73EBB7DD">
            <w:pPr>
              <w:adjustRightInd/>
              <w:snapToGrid/>
              <w:spacing w:after="0" w:line="400" w:lineRule="exact"/>
              <w:outlineLvl w:val="9"/>
              <w:rPr>
                <w:rFonts w:cs="宋体" w:asciiTheme="minorEastAsia" w:hAnsiTheme="minorEastAsia" w:eastAsiaTheme="minorEastAsia"/>
                <w:sz w:val="24"/>
                <w:szCs w:val="24"/>
                <w:highlight w:val="yellow"/>
                <w:lang w:bidi="en-US"/>
              </w:rPr>
            </w:pPr>
            <w:r>
              <w:rPr>
                <w:rFonts w:hint="eastAsia" w:cs="宋体" w:asciiTheme="minorEastAsia" w:hAnsiTheme="minorEastAsia" w:eastAsiaTheme="minorEastAsia"/>
                <w:sz w:val="24"/>
                <w:szCs w:val="24"/>
                <w:lang w:bidi="en-US"/>
              </w:rPr>
              <w:t>3、磋商小组认为供应商的报价明显低于其他通过符合性审查供应商的报价，有可能影响工程质量或者不能诚信履约的，应当要求其在合理的时间内提供说明，必要时提交相关证明材料；供应商不能证明其报价合理性的，磋商小组应当将其作为无效文件处理。</w:t>
            </w:r>
          </w:p>
        </w:tc>
      </w:tr>
      <w:tr w14:paraId="063E5614">
        <w:tblPrEx>
          <w:tblCellMar>
            <w:top w:w="0" w:type="dxa"/>
            <w:left w:w="108" w:type="dxa"/>
            <w:bottom w:w="0" w:type="dxa"/>
            <w:right w:w="108" w:type="dxa"/>
          </w:tblCellMar>
        </w:tblPrEx>
        <w:trPr>
          <w:gridAfter w:val="1"/>
          <w:wAfter w:w="1438" w:type="dxa"/>
          <w:trHeight w:val="406" w:hRule="atLeast"/>
        </w:trPr>
        <w:tc>
          <w:tcPr>
            <w:tcW w:w="726" w:type="dxa"/>
            <w:vMerge w:val="restart"/>
            <w:tcBorders>
              <w:top w:val="single" w:color="000000" w:sz="6" w:space="0"/>
              <w:left w:val="single" w:color="000000" w:sz="6" w:space="0"/>
              <w:right w:val="single" w:color="000000" w:sz="4" w:space="0"/>
            </w:tcBorders>
            <w:vAlign w:val="center"/>
          </w:tcPr>
          <w:p w14:paraId="22C9C152">
            <w:pPr>
              <w:adjustRightInd/>
              <w:snapToGrid/>
              <w:spacing w:after="0" w:line="400" w:lineRule="exact"/>
              <w:jc w:val="center"/>
              <w:outlineLvl w:val="9"/>
              <w:rPr>
                <w:rFonts w:cs="宋体" w:asciiTheme="minorEastAsia" w:hAnsiTheme="minorEastAsia" w:eastAsiaTheme="minorEastAsia"/>
                <w:spacing w:val="6"/>
                <w:kern w:val="1"/>
                <w:sz w:val="24"/>
                <w:szCs w:val="24"/>
                <w:lang w:eastAsia="en-US" w:bidi="en-US"/>
              </w:rPr>
            </w:pPr>
            <w:r>
              <w:rPr>
                <w:rFonts w:hint="eastAsia" w:cs="宋体" w:asciiTheme="minorEastAsia" w:hAnsiTheme="minorEastAsia" w:eastAsiaTheme="minorEastAsia"/>
                <w:spacing w:val="6"/>
                <w:kern w:val="1"/>
                <w:sz w:val="24"/>
                <w:szCs w:val="24"/>
                <w:lang w:eastAsia="en-US" w:bidi="en-US"/>
              </w:rPr>
              <w:t>技术标</w:t>
            </w:r>
          </w:p>
          <w:p w14:paraId="6DD27E50">
            <w:pPr>
              <w:adjustRightInd/>
              <w:snapToGrid/>
              <w:spacing w:after="0" w:line="400" w:lineRule="exact"/>
              <w:jc w:val="center"/>
              <w:outlineLvl w:val="9"/>
              <w:rPr>
                <w:rFonts w:cs="宋体" w:asciiTheme="minorEastAsia" w:hAnsiTheme="minorEastAsia" w:eastAsiaTheme="minorEastAsia"/>
                <w:spacing w:val="6"/>
                <w:kern w:val="1"/>
                <w:sz w:val="24"/>
                <w:szCs w:val="24"/>
                <w:lang w:eastAsia="en-US" w:bidi="en-US"/>
              </w:rPr>
            </w:pPr>
            <w:r>
              <w:rPr>
                <w:rFonts w:hint="eastAsia" w:cs="宋体" w:asciiTheme="minorEastAsia" w:hAnsiTheme="minorEastAsia" w:eastAsiaTheme="minorEastAsia"/>
                <w:spacing w:val="6"/>
                <w:kern w:val="1"/>
                <w:sz w:val="24"/>
                <w:szCs w:val="24"/>
                <w:lang w:eastAsia="en-US" w:bidi="en-US"/>
              </w:rPr>
              <w:t>（</w:t>
            </w:r>
            <w:r>
              <w:rPr>
                <w:rFonts w:hint="eastAsia" w:cs="宋体" w:asciiTheme="minorEastAsia" w:hAnsiTheme="minorEastAsia" w:eastAsiaTheme="minorEastAsia"/>
                <w:spacing w:val="6"/>
                <w:kern w:val="1"/>
                <w:sz w:val="24"/>
                <w:szCs w:val="24"/>
                <w:lang w:bidi="en-US"/>
              </w:rPr>
              <w:t>45</w:t>
            </w:r>
            <w:r>
              <w:rPr>
                <w:rFonts w:hint="eastAsia" w:cs="宋体" w:asciiTheme="minorEastAsia" w:hAnsiTheme="minorEastAsia" w:eastAsiaTheme="minorEastAsia"/>
                <w:spacing w:val="6"/>
                <w:kern w:val="1"/>
                <w:sz w:val="24"/>
                <w:szCs w:val="24"/>
                <w:lang w:eastAsia="en-US" w:bidi="en-US"/>
              </w:rPr>
              <w:t>分）</w:t>
            </w:r>
          </w:p>
        </w:tc>
        <w:tc>
          <w:tcPr>
            <w:tcW w:w="868" w:type="dxa"/>
            <w:vMerge w:val="restart"/>
            <w:tcBorders>
              <w:top w:val="single" w:color="000000" w:sz="6" w:space="0"/>
              <w:left w:val="single" w:color="000000" w:sz="6" w:space="0"/>
              <w:right w:val="single" w:color="000000" w:sz="4" w:space="0"/>
            </w:tcBorders>
            <w:vAlign w:val="center"/>
          </w:tcPr>
          <w:p w14:paraId="2B8B0973">
            <w:pPr>
              <w:adjustRightInd/>
              <w:snapToGrid/>
              <w:spacing w:after="0" w:line="400" w:lineRule="exact"/>
              <w:jc w:val="center"/>
              <w:outlineLvl w:val="9"/>
              <w:rPr>
                <w:rFonts w:cs="宋体" w:asciiTheme="minorEastAsia" w:hAnsiTheme="minorEastAsia" w:eastAsiaTheme="minorEastAsia"/>
                <w:spacing w:val="6"/>
                <w:kern w:val="1"/>
                <w:sz w:val="24"/>
                <w:szCs w:val="24"/>
                <w:lang w:bidi="en-US"/>
              </w:rPr>
            </w:pPr>
            <w:r>
              <w:rPr>
                <w:rFonts w:hint="eastAsia" w:cs="宋体" w:asciiTheme="minorEastAsia" w:hAnsiTheme="minorEastAsia" w:eastAsiaTheme="minorEastAsia"/>
                <w:spacing w:val="6"/>
                <w:kern w:val="1"/>
                <w:sz w:val="24"/>
                <w:szCs w:val="24"/>
                <w:lang w:bidi="en-US"/>
              </w:rPr>
              <w:t>施工组织设计</w:t>
            </w:r>
          </w:p>
          <w:p w14:paraId="75497851">
            <w:pPr>
              <w:adjustRightInd/>
              <w:snapToGrid/>
              <w:spacing w:after="0" w:line="400" w:lineRule="exact"/>
              <w:jc w:val="center"/>
              <w:outlineLvl w:val="9"/>
              <w:rPr>
                <w:rFonts w:cs="宋体" w:asciiTheme="minorEastAsia" w:hAnsiTheme="minorEastAsia" w:eastAsiaTheme="minorEastAsia"/>
                <w:spacing w:val="6"/>
                <w:kern w:val="1"/>
                <w:sz w:val="24"/>
                <w:szCs w:val="24"/>
                <w:lang w:bidi="en-US"/>
              </w:rPr>
            </w:pPr>
            <w:r>
              <w:rPr>
                <w:rFonts w:hint="eastAsia" w:cs="宋体" w:asciiTheme="minorEastAsia" w:hAnsiTheme="minorEastAsia" w:eastAsiaTheme="minorEastAsia"/>
                <w:spacing w:val="6"/>
                <w:kern w:val="1"/>
                <w:sz w:val="24"/>
                <w:szCs w:val="24"/>
                <w:lang w:bidi="en-US"/>
              </w:rPr>
              <w:t>评分标准</w:t>
            </w:r>
          </w:p>
        </w:tc>
        <w:tc>
          <w:tcPr>
            <w:tcW w:w="1525" w:type="dxa"/>
            <w:gridSpan w:val="2"/>
            <w:vMerge w:val="restart"/>
            <w:tcBorders>
              <w:top w:val="single" w:color="000000" w:sz="6" w:space="0"/>
              <w:left w:val="single" w:color="000000" w:sz="4" w:space="0"/>
              <w:right w:val="single" w:color="000000" w:sz="6" w:space="0"/>
            </w:tcBorders>
            <w:vAlign w:val="center"/>
          </w:tcPr>
          <w:p w14:paraId="55C212F4">
            <w:pPr>
              <w:spacing w:after="0" w:line="360" w:lineRule="auto"/>
              <w:jc w:val="both"/>
              <w:outlineLvl w:val="9"/>
              <w:rPr>
                <w:rFonts w:cs="宋体" w:asciiTheme="minorEastAsia" w:hAnsiTheme="minorEastAsia" w:eastAsiaTheme="minorEastAsia"/>
                <w:sz w:val="24"/>
                <w:szCs w:val="24"/>
              </w:rPr>
            </w:pPr>
            <w:r>
              <w:rPr>
                <w:rFonts w:hint="eastAsia" w:ascii="宋体" w:hAnsi="宋体" w:eastAsia="宋体" w:cs="Times New Roman"/>
                <w:sz w:val="24"/>
                <w:szCs w:val="24"/>
                <w:lang w:val="zh-CN"/>
              </w:rPr>
              <w:t>1.</w:t>
            </w:r>
            <w:bookmarkStart w:id="492" w:name="OLE_LINK41"/>
            <w:bookmarkStart w:id="493" w:name="OLE_LINK40"/>
            <w:r>
              <w:rPr>
                <w:rFonts w:hint="eastAsia" w:ascii="宋体" w:hAnsi="宋体" w:eastAsia="宋体" w:cs="Times New Roman"/>
                <w:sz w:val="24"/>
                <w:szCs w:val="24"/>
              </w:rPr>
              <w:t>主要施工方法</w:t>
            </w:r>
            <w:bookmarkEnd w:id="492"/>
            <w:bookmarkEnd w:id="493"/>
            <w:r>
              <w:rPr>
                <w:rFonts w:hint="eastAsia" w:ascii="宋体" w:hAnsi="宋体" w:eastAsia="宋体" w:cs="Times New Roman"/>
                <w:sz w:val="24"/>
                <w:szCs w:val="24"/>
              </w:rPr>
              <w:t>（0-8分）</w:t>
            </w:r>
            <w:r>
              <w:rPr>
                <w:rFonts w:hint="eastAsia" w:ascii="宋体" w:hAnsi="宋体" w:eastAsia="宋体" w:cs="Times New Roman"/>
                <w:sz w:val="24"/>
                <w:szCs w:val="24"/>
                <w:lang w:val="zh-CN"/>
              </w:rPr>
              <w:t xml:space="preserve"> </w:t>
            </w:r>
          </w:p>
        </w:tc>
        <w:tc>
          <w:tcPr>
            <w:tcW w:w="4895" w:type="dxa"/>
            <w:vMerge w:val="restart"/>
            <w:tcBorders>
              <w:top w:val="single" w:color="000000" w:sz="6" w:space="0"/>
              <w:left w:val="single" w:color="000000" w:sz="6" w:space="0"/>
              <w:right w:val="single" w:color="000000" w:sz="12" w:space="0"/>
            </w:tcBorders>
            <w:vAlign w:val="center"/>
          </w:tcPr>
          <w:p w14:paraId="564B0F3D">
            <w:pPr>
              <w:adjustRightInd/>
              <w:snapToGrid/>
              <w:spacing w:after="0" w:line="400" w:lineRule="exact"/>
              <w:outlineLvl w:val="9"/>
              <w:rPr>
                <w:rFonts w:cs="宋体" w:asciiTheme="minorEastAsia" w:hAnsiTheme="minorEastAsia" w:eastAsiaTheme="minorEastAsia"/>
                <w:sz w:val="24"/>
                <w:szCs w:val="24"/>
                <w:lang w:bidi="en-US"/>
              </w:rPr>
            </w:pPr>
            <w:r>
              <w:rPr>
                <w:rFonts w:hint="eastAsia" w:ascii="宋体" w:hAnsi="宋体" w:eastAsia="宋体" w:cs="Times New Roman"/>
                <w:sz w:val="24"/>
                <w:szCs w:val="24"/>
              </w:rPr>
              <w:t>各</w:t>
            </w:r>
            <w:r>
              <w:rPr>
                <w:rFonts w:hint="eastAsia" w:cs="宋体" w:asciiTheme="minorEastAsia" w:hAnsiTheme="minorEastAsia" w:eastAsiaTheme="minorEastAsia"/>
                <w:sz w:val="24"/>
                <w:szCs w:val="24"/>
                <w:lang w:bidi="en-US"/>
              </w:rPr>
              <w:t>项主要内容的施工方案和措施</w:t>
            </w:r>
          </w:p>
          <w:p w14:paraId="79919EB7">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内容完整、切实可行，完全符合本项目需求的得8分；</w:t>
            </w:r>
          </w:p>
          <w:p w14:paraId="3854B2E7">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内容较为完善、较切实可行，较符合本项目需求的得，得6分；</w:t>
            </w:r>
          </w:p>
          <w:p w14:paraId="0A72FADA">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内容基本完善，基本可行，基本符合本项目需求的得4分；</w:t>
            </w:r>
          </w:p>
          <w:p w14:paraId="49004F40">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内容存在不合理项、存在实施难度的得2分；</w:t>
            </w:r>
          </w:p>
          <w:p w14:paraId="7CBE9127">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5BB3B046">
            <w:pPr>
              <w:adjustRightInd/>
              <w:snapToGrid/>
              <w:spacing w:after="0" w:line="400" w:lineRule="exact"/>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en-US"/>
              </w:rPr>
              <w:t>未针对本项描述的得0分。</w:t>
            </w:r>
          </w:p>
        </w:tc>
        <w:tc>
          <w:tcPr>
            <w:tcW w:w="1134" w:type="dxa"/>
            <w:vMerge w:val="restart"/>
            <w:tcBorders>
              <w:top w:val="single" w:color="000000" w:sz="6" w:space="0"/>
              <w:left w:val="single" w:color="000000" w:sz="6" w:space="0"/>
              <w:right w:val="single" w:color="000000" w:sz="12" w:space="0"/>
            </w:tcBorders>
            <w:vAlign w:val="center"/>
          </w:tcPr>
          <w:p w14:paraId="3A211818">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0-8分</w:t>
            </w:r>
          </w:p>
        </w:tc>
      </w:tr>
      <w:tr w14:paraId="00F9B6F6">
        <w:tblPrEx>
          <w:tblCellMar>
            <w:top w:w="0" w:type="dxa"/>
            <w:left w:w="108" w:type="dxa"/>
            <w:bottom w:w="0" w:type="dxa"/>
            <w:right w:w="108" w:type="dxa"/>
          </w:tblCellMar>
        </w:tblPrEx>
        <w:trPr>
          <w:trHeight w:val="406" w:hRule="atLeast"/>
        </w:trPr>
        <w:tc>
          <w:tcPr>
            <w:tcW w:w="726" w:type="dxa"/>
            <w:vMerge w:val="continue"/>
            <w:tcBorders>
              <w:left w:val="single" w:color="000000" w:sz="6" w:space="0"/>
              <w:right w:val="single" w:color="000000" w:sz="4" w:space="0"/>
            </w:tcBorders>
          </w:tcPr>
          <w:p w14:paraId="2619E7A0">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71E16DB5">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1525" w:type="dxa"/>
            <w:gridSpan w:val="2"/>
            <w:vMerge w:val="continue"/>
            <w:tcBorders>
              <w:left w:val="single" w:color="000000" w:sz="4" w:space="0"/>
              <w:bottom w:val="single" w:color="000000" w:sz="6" w:space="0"/>
              <w:right w:val="single" w:color="000000" w:sz="6" w:space="0"/>
            </w:tcBorders>
            <w:vAlign w:val="center"/>
          </w:tcPr>
          <w:p w14:paraId="25CAE430">
            <w:pPr>
              <w:spacing w:after="0" w:line="360" w:lineRule="auto"/>
              <w:jc w:val="both"/>
              <w:outlineLvl w:val="9"/>
              <w:rPr>
                <w:rFonts w:ascii="宋体" w:hAnsi="宋体" w:eastAsia="宋体" w:cs="Times New Roman"/>
                <w:sz w:val="24"/>
                <w:szCs w:val="24"/>
                <w:lang w:val="zh-CN"/>
              </w:rPr>
            </w:pPr>
          </w:p>
        </w:tc>
        <w:tc>
          <w:tcPr>
            <w:tcW w:w="4895" w:type="dxa"/>
            <w:vMerge w:val="continue"/>
            <w:tcBorders>
              <w:left w:val="single" w:color="000000" w:sz="6" w:space="0"/>
              <w:bottom w:val="single" w:color="000000" w:sz="6" w:space="0"/>
              <w:right w:val="single" w:color="000000" w:sz="12" w:space="0"/>
            </w:tcBorders>
            <w:vAlign w:val="center"/>
          </w:tcPr>
          <w:p w14:paraId="6DF6D974">
            <w:pPr>
              <w:spacing w:after="0" w:line="360" w:lineRule="auto"/>
              <w:jc w:val="both"/>
              <w:outlineLvl w:val="9"/>
              <w:rPr>
                <w:rFonts w:ascii="宋体" w:hAnsi="宋体" w:eastAsia="宋体" w:cs="Times New Roman"/>
                <w:sz w:val="24"/>
                <w:szCs w:val="24"/>
                <w:lang w:val="zh-CN"/>
              </w:rPr>
            </w:pPr>
          </w:p>
        </w:tc>
        <w:tc>
          <w:tcPr>
            <w:tcW w:w="1134" w:type="dxa"/>
            <w:vMerge w:val="continue"/>
            <w:tcBorders>
              <w:left w:val="single" w:color="000000" w:sz="6" w:space="0"/>
              <w:bottom w:val="single" w:color="000000" w:sz="6" w:space="0"/>
              <w:right w:val="single" w:color="000000" w:sz="12" w:space="0"/>
            </w:tcBorders>
            <w:vAlign w:val="center"/>
          </w:tcPr>
          <w:p w14:paraId="643BB700">
            <w:pPr>
              <w:spacing w:after="0" w:line="400" w:lineRule="exact"/>
              <w:jc w:val="center"/>
              <w:outlineLvl w:val="9"/>
              <w:rPr>
                <w:rFonts w:cs="宋体" w:asciiTheme="minorEastAsia" w:hAnsiTheme="minorEastAsia" w:eastAsiaTheme="minorEastAsia"/>
                <w:sz w:val="24"/>
                <w:szCs w:val="24"/>
              </w:rPr>
            </w:pPr>
          </w:p>
        </w:tc>
        <w:tc>
          <w:tcPr>
            <w:tcW w:w="1438" w:type="dxa"/>
            <w:vAlign w:val="center"/>
          </w:tcPr>
          <w:p w14:paraId="3283ABD7">
            <w:pPr>
              <w:adjustRightInd/>
              <w:snapToGrid/>
              <w:spacing w:after="0" w:line="400" w:lineRule="exact"/>
              <w:jc w:val="center"/>
              <w:outlineLvl w:val="9"/>
              <w:rPr>
                <w:rFonts w:cs="宋体" w:asciiTheme="minorEastAsia" w:hAnsiTheme="minorEastAsia" w:eastAsiaTheme="minorEastAsia"/>
                <w:kern w:val="1"/>
                <w:sz w:val="24"/>
                <w:szCs w:val="24"/>
                <w:lang w:bidi="en-US"/>
              </w:rPr>
            </w:pPr>
          </w:p>
        </w:tc>
      </w:tr>
      <w:tr w14:paraId="186B5508">
        <w:tblPrEx>
          <w:tblCellMar>
            <w:top w:w="0" w:type="dxa"/>
            <w:left w:w="108" w:type="dxa"/>
            <w:bottom w:w="0" w:type="dxa"/>
            <w:right w:w="108" w:type="dxa"/>
          </w:tblCellMar>
        </w:tblPrEx>
        <w:trPr>
          <w:gridAfter w:val="1"/>
          <w:wAfter w:w="1438" w:type="dxa"/>
          <w:trHeight w:val="363" w:hRule="atLeast"/>
        </w:trPr>
        <w:tc>
          <w:tcPr>
            <w:tcW w:w="726" w:type="dxa"/>
            <w:vMerge w:val="continue"/>
            <w:tcBorders>
              <w:left w:val="single" w:color="000000" w:sz="6" w:space="0"/>
              <w:right w:val="single" w:color="000000" w:sz="4" w:space="0"/>
            </w:tcBorders>
          </w:tcPr>
          <w:p w14:paraId="25A65E26">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2BDC81ED">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1525" w:type="dxa"/>
            <w:gridSpan w:val="2"/>
            <w:tcBorders>
              <w:top w:val="single" w:color="000000" w:sz="6" w:space="0"/>
              <w:left w:val="single" w:color="000000" w:sz="4" w:space="0"/>
              <w:bottom w:val="single" w:color="000000" w:sz="6" w:space="0"/>
              <w:right w:val="single" w:color="000000" w:sz="6" w:space="0"/>
            </w:tcBorders>
            <w:vAlign w:val="center"/>
          </w:tcPr>
          <w:p w14:paraId="2F03A1D4">
            <w:p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rPr>
              <w:t>2.工程施工重点、难点分析及对策（0-6分）</w:t>
            </w:r>
          </w:p>
        </w:tc>
        <w:tc>
          <w:tcPr>
            <w:tcW w:w="4895" w:type="dxa"/>
            <w:tcBorders>
              <w:top w:val="single" w:color="000000" w:sz="6" w:space="0"/>
              <w:left w:val="single" w:color="000000" w:sz="6" w:space="0"/>
              <w:bottom w:val="single" w:color="000000" w:sz="6" w:space="0"/>
              <w:right w:val="single" w:color="000000" w:sz="12" w:space="0"/>
            </w:tcBorders>
            <w:vAlign w:val="center"/>
          </w:tcPr>
          <w:p w14:paraId="30A95121">
            <w:pPr>
              <w:adjustRightInd/>
              <w:snapToGrid/>
              <w:spacing w:after="0" w:line="400" w:lineRule="exact"/>
              <w:outlineLvl w:val="9"/>
              <w:rPr>
                <w:rFonts w:ascii="宋体" w:hAnsi="宋体" w:eastAsia="宋体" w:cs="Times New Roman"/>
                <w:sz w:val="24"/>
                <w:szCs w:val="24"/>
              </w:rPr>
            </w:pPr>
            <w:r>
              <w:rPr>
                <w:rFonts w:hint="eastAsia" w:ascii="宋体" w:hAnsi="宋体" w:eastAsia="宋体" w:cs="Times New Roman"/>
                <w:sz w:val="24"/>
                <w:szCs w:val="24"/>
              </w:rPr>
              <w:t>工程施工中重难点问题及关键过程分析</w:t>
            </w:r>
          </w:p>
          <w:p w14:paraId="7F3272E3">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内容完整、切实可行，完全符合本项目需求的得6分；</w:t>
            </w:r>
          </w:p>
          <w:p w14:paraId="4BBEBA81">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内容较为完善、较切实可行，较符合本项目需求的得，得4分；</w:t>
            </w:r>
          </w:p>
          <w:p w14:paraId="616857FD">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内容基本完善，基本可行，基本符合本项目需求的得2分；</w:t>
            </w:r>
          </w:p>
          <w:p w14:paraId="1467DBB6">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3D722F69">
            <w:pPr>
              <w:spacing w:after="0" w:line="360" w:lineRule="auto"/>
              <w:jc w:val="both"/>
              <w:outlineLvl w:val="9"/>
              <w:rPr>
                <w:rFonts w:ascii="宋体" w:hAnsi="宋体" w:eastAsia="宋体" w:cs="Times New Roman"/>
                <w:sz w:val="24"/>
                <w:szCs w:val="24"/>
                <w:lang w:val="zh-CN"/>
              </w:rPr>
            </w:pPr>
            <w:r>
              <w:rPr>
                <w:rFonts w:hint="eastAsia" w:cs="宋体" w:asciiTheme="minorEastAsia" w:hAnsiTheme="minorEastAsia" w:eastAsiaTheme="minorEastAsia"/>
                <w:sz w:val="24"/>
                <w:szCs w:val="24"/>
                <w:lang w:bidi="en-US"/>
              </w:rPr>
              <w:t>未针对本项描述的得0分。</w:t>
            </w:r>
          </w:p>
        </w:tc>
        <w:tc>
          <w:tcPr>
            <w:tcW w:w="1134" w:type="dxa"/>
            <w:tcBorders>
              <w:top w:val="single" w:color="000000" w:sz="6" w:space="0"/>
              <w:left w:val="single" w:color="000000" w:sz="6" w:space="0"/>
              <w:bottom w:val="single" w:color="000000" w:sz="6" w:space="0"/>
              <w:right w:val="single" w:color="000000" w:sz="12" w:space="0"/>
            </w:tcBorders>
            <w:vAlign w:val="center"/>
          </w:tcPr>
          <w:p w14:paraId="564F5D97">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0-6分</w:t>
            </w:r>
          </w:p>
        </w:tc>
      </w:tr>
      <w:tr w14:paraId="3A79FB01">
        <w:tblPrEx>
          <w:tblCellMar>
            <w:top w:w="0" w:type="dxa"/>
            <w:left w:w="108" w:type="dxa"/>
            <w:bottom w:w="0" w:type="dxa"/>
            <w:right w:w="108" w:type="dxa"/>
          </w:tblCellMar>
        </w:tblPrEx>
        <w:trPr>
          <w:gridAfter w:val="1"/>
          <w:wAfter w:w="1438" w:type="dxa"/>
          <w:trHeight w:val="349" w:hRule="atLeast"/>
        </w:trPr>
        <w:tc>
          <w:tcPr>
            <w:tcW w:w="726" w:type="dxa"/>
            <w:vMerge w:val="continue"/>
            <w:tcBorders>
              <w:left w:val="single" w:color="000000" w:sz="6" w:space="0"/>
              <w:right w:val="single" w:color="000000" w:sz="4" w:space="0"/>
            </w:tcBorders>
          </w:tcPr>
          <w:p w14:paraId="50563497">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101701BF">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1525" w:type="dxa"/>
            <w:gridSpan w:val="2"/>
            <w:tcBorders>
              <w:top w:val="single" w:color="000000" w:sz="6" w:space="0"/>
              <w:left w:val="single" w:color="000000" w:sz="4" w:space="0"/>
              <w:bottom w:val="single" w:color="000000" w:sz="6" w:space="0"/>
              <w:right w:val="single" w:color="000000" w:sz="6" w:space="0"/>
            </w:tcBorders>
            <w:vAlign w:val="center"/>
          </w:tcPr>
          <w:p w14:paraId="17B03C08">
            <w:p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lang w:val="zh-CN"/>
              </w:rPr>
              <w:t>3.</w:t>
            </w:r>
            <w:r>
              <w:rPr>
                <w:rFonts w:hint="eastAsia" w:ascii="宋体" w:hAnsi="宋体" w:eastAsia="宋体" w:cs="Times New Roman"/>
                <w:sz w:val="24"/>
                <w:szCs w:val="24"/>
              </w:rPr>
              <w:t>质量管理体系与措施（0-4分）</w:t>
            </w:r>
          </w:p>
        </w:tc>
        <w:tc>
          <w:tcPr>
            <w:tcW w:w="4895" w:type="dxa"/>
            <w:tcBorders>
              <w:top w:val="single" w:color="000000" w:sz="6" w:space="0"/>
              <w:left w:val="single" w:color="000000" w:sz="6" w:space="0"/>
              <w:bottom w:val="single" w:color="000000" w:sz="6" w:space="0"/>
              <w:right w:val="single" w:color="000000" w:sz="12" w:space="0"/>
            </w:tcBorders>
            <w:vAlign w:val="center"/>
          </w:tcPr>
          <w:p w14:paraId="29262C96">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包含但不限于以下方面：质量管理的组织机构及职责、项目质量目标、制度及保障措施、关键分部主体结构严格按照强制性标准实施、建立项目建设过程质量检查制度，制定纠正和预防措施等方面；</w:t>
            </w:r>
          </w:p>
          <w:p w14:paraId="3AB6E05C">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内容完整、切实可行，完全符合本项目需求的得4分；</w:t>
            </w:r>
          </w:p>
          <w:p w14:paraId="12BD96A1">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内容较为完善、较切实可行，较符合本项目需求的得，得3分；</w:t>
            </w:r>
          </w:p>
          <w:p w14:paraId="4826C8F7">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内容基本完善，基本可行，基本符合本项目需求的得2分；</w:t>
            </w:r>
          </w:p>
          <w:p w14:paraId="6BD51B01">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42D87B18">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未针对本项描述的得0分。</w:t>
            </w:r>
          </w:p>
        </w:tc>
        <w:tc>
          <w:tcPr>
            <w:tcW w:w="1134" w:type="dxa"/>
            <w:tcBorders>
              <w:top w:val="single" w:color="000000" w:sz="6" w:space="0"/>
              <w:left w:val="single" w:color="000000" w:sz="6" w:space="0"/>
              <w:bottom w:val="single" w:color="000000" w:sz="6" w:space="0"/>
              <w:right w:val="single" w:color="000000" w:sz="12" w:space="0"/>
            </w:tcBorders>
            <w:vAlign w:val="center"/>
          </w:tcPr>
          <w:p w14:paraId="060FE6CA">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0-4分</w:t>
            </w:r>
          </w:p>
        </w:tc>
      </w:tr>
      <w:tr w14:paraId="47771812">
        <w:tblPrEx>
          <w:tblCellMar>
            <w:top w:w="0" w:type="dxa"/>
            <w:left w:w="108" w:type="dxa"/>
            <w:bottom w:w="0" w:type="dxa"/>
            <w:right w:w="108" w:type="dxa"/>
          </w:tblCellMar>
        </w:tblPrEx>
        <w:trPr>
          <w:gridAfter w:val="1"/>
          <w:wAfter w:w="1438" w:type="dxa"/>
          <w:trHeight w:val="364" w:hRule="atLeast"/>
        </w:trPr>
        <w:tc>
          <w:tcPr>
            <w:tcW w:w="726" w:type="dxa"/>
            <w:vMerge w:val="continue"/>
            <w:tcBorders>
              <w:left w:val="single" w:color="000000" w:sz="6" w:space="0"/>
              <w:right w:val="single" w:color="000000" w:sz="4" w:space="0"/>
            </w:tcBorders>
          </w:tcPr>
          <w:p w14:paraId="3547B919">
            <w:pPr>
              <w:adjustRightInd/>
              <w:snapToGrid/>
              <w:spacing w:after="0" w:line="400" w:lineRule="exact"/>
              <w:outlineLvl w:val="9"/>
              <w:rPr>
                <w:rFonts w:cs="宋体" w:asciiTheme="minorEastAsia" w:hAnsiTheme="minorEastAsia" w:eastAsiaTheme="minorEastAsia"/>
                <w:kern w:val="1"/>
                <w:sz w:val="24"/>
                <w:szCs w:val="24"/>
                <w:lang w:eastAsia="en-US" w:bidi="en-US"/>
              </w:rPr>
            </w:pPr>
          </w:p>
        </w:tc>
        <w:tc>
          <w:tcPr>
            <w:tcW w:w="868" w:type="dxa"/>
            <w:vMerge w:val="continue"/>
            <w:tcBorders>
              <w:left w:val="single" w:color="000000" w:sz="6" w:space="0"/>
              <w:right w:val="single" w:color="000000" w:sz="4" w:space="0"/>
            </w:tcBorders>
          </w:tcPr>
          <w:p w14:paraId="76BC59A3">
            <w:pPr>
              <w:adjustRightInd/>
              <w:snapToGrid/>
              <w:spacing w:after="0" w:line="400" w:lineRule="exact"/>
              <w:outlineLvl w:val="9"/>
              <w:rPr>
                <w:rFonts w:cs="宋体" w:asciiTheme="minorEastAsia" w:hAnsiTheme="minorEastAsia" w:eastAsiaTheme="minorEastAsia"/>
                <w:kern w:val="1"/>
                <w:sz w:val="24"/>
                <w:szCs w:val="24"/>
                <w:lang w:eastAsia="en-US" w:bidi="en-US"/>
              </w:rPr>
            </w:pPr>
          </w:p>
        </w:tc>
        <w:tc>
          <w:tcPr>
            <w:tcW w:w="1525" w:type="dxa"/>
            <w:gridSpan w:val="2"/>
            <w:tcBorders>
              <w:top w:val="single" w:color="000000" w:sz="6" w:space="0"/>
              <w:left w:val="single" w:color="000000" w:sz="4" w:space="0"/>
              <w:bottom w:val="single" w:color="000000" w:sz="6" w:space="0"/>
              <w:right w:val="single" w:color="000000" w:sz="6" w:space="0"/>
            </w:tcBorders>
            <w:vAlign w:val="center"/>
          </w:tcPr>
          <w:p w14:paraId="53C9EE13">
            <w:pPr>
              <w:spacing w:after="0" w:line="360" w:lineRule="auto"/>
              <w:jc w:val="both"/>
              <w:outlineLvl w:val="9"/>
              <w:rPr>
                <w:rFonts w:ascii="宋体" w:hAnsi="宋体" w:eastAsia="宋体" w:cs="Times New Roman"/>
                <w:sz w:val="24"/>
                <w:szCs w:val="24"/>
              </w:rPr>
            </w:pPr>
            <w:r>
              <w:rPr>
                <w:rFonts w:hint="eastAsia" w:ascii="宋体" w:hAnsi="宋体" w:eastAsia="宋体" w:cs="Times New Roman"/>
                <w:sz w:val="24"/>
                <w:szCs w:val="24"/>
              </w:rPr>
              <w:t>4.安全管理体系与措施（0-4分）</w:t>
            </w:r>
          </w:p>
        </w:tc>
        <w:tc>
          <w:tcPr>
            <w:tcW w:w="4895" w:type="dxa"/>
            <w:tcBorders>
              <w:top w:val="single" w:color="000000" w:sz="6" w:space="0"/>
              <w:left w:val="single" w:color="000000" w:sz="6" w:space="0"/>
              <w:bottom w:val="single" w:color="000000" w:sz="6" w:space="0"/>
              <w:right w:val="single" w:color="000000" w:sz="12" w:space="0"/>
            </w:tcBorders>
            <w:vAlign w:val="center"/>
          </w:tcPr>
          <w:p w14:paraId="4BDC8EF3">
            <w:pPr>
              <w:adjustRightInd/>
              <w:snapToGrid/>
              <w:spacing w:after="0" w:line="400" w:lineRule="exact"/>
              <w:outlineLvl w:val="9"/>
              <w:rPr>
                <w:rFonts w:ascii="宋体" w:hAnsi="宋体" w:eastAsia="宋体" w:cs="Times New Roman"/>
                <w:sz w:val="24"/>
                <w:szCs w:val="24"/>
              </w:rPr>
            </w:pPr>
            <w:r>
              <w:rPr>
                <w:rFonts w:hint="eastAsia" w:ascii="宋体" w:hAnsi="宋体" w:eastAsia="宋体" w:cs="Times New Roman"/>
                <w:sz w:val="24"/>
                <w:szCs w:val="24"/>
              </w:rPr>
              <w:t>施工安全生产保障体系健全，安全管理制度完善，安全管理目标具体，全员安全责任制明确，现场安全管理组织机构、人员配备满足国家规定</w:t>
            </w:r>
          </w:p>
          <w:p w14:paraId="7E49FE21">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内容完整、切实可行，完全符合本项目需求的得4分；</w:t>
            </w:r>
          </w:p>
          <w:p w14:paraId="5AE1FCAC">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内容较为完善、较切实可行，较符合本项目需求的得，得3分；</w:t>
            </w:r>
          </w:p>
          <w:p w14:paraId="031F3E1E">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内容基本完善，基本可行，基本符合本项目需求的得2分；</w:t>
            </w:r>
          </w:p>
          <w:p w14:paraId="4603B7CA">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7F101620">
            <w:pPr>
              <w:spacing w:after="0" w:line="360" w:lineRule="auto"/>
              <w:jc w:val="both"/>
              <w:outlineLvl w:val="9"/>
              <w:rPr>
                <w:rFonts w:ascii="宋体" w:hAnsi="宋体" w:eastAsia="宋体" w:cs="Times New Roman"/>
                <w:sz w:val="24"/>
                <w:szCs w:val="24"/>
                <w:lang w:val="zh-CN"/>
              </w:rPr>
            </w:pPr>
            <w:r>
              <w:rPr>
                <w:rFonts w:hint="eastAsia" w:cs="宋体" w:asciiTheme="minorEastAsia" w:hAnsiTheme="minorEastAsia" w:eastAsiaTheme="minorEastAsia"/>
                <w:sz w:val="24"/>
                <w:szCs w:val="24"/>
                <w:lang w:bidi="en-US"/>
              </w:rPr>
              <w:t>未针对本项描述的得0分。</w:t>
            </w:r>
          </w:p>
        </w:tc>
        <w:tc>
          <w:tcPr>
            <w:tcW w:w="1134" w:type="dxa"/>
            <w:tcBorders>
              <w:top w:val="single" w:color="000000" w:sz="6" w:space="0"/>
              <w:left w:val="single" w:color="000000" w:sz="6" w:space="0"/>
              <w:bottom w:val="single" w:color="000000" w:sz="6" w:space="0"/>
              <w:right w:val="single" w:color="000000" w:sz="12" w:space="0"/>
            </w:tcBorders>
            <w:vAlign w:val="center"/>
          </w:tcPr>
          <w:p w14:paraId="44FB52DB">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0-4分</w:t>
            </w:r>
          </w:p>
        </w:tc>
      </w:tr>
      <w:tr w14:paraId="61CB4A60">
        <w:tblPrEx>
          <w:tblCellMar>
            <w:top w:w="0" w:type="dxa"/>
            <w:left w:w="108" w:type="dxa"/>
            <w:bottom w:w="0" w:type="dxa"/>
            <w:right w:w="108" w:type="dxa"/>
          </w:tblCellMar>
        </w:tblPrEx>
        <w:trPr>
          <w:gridAfter w:val="1"/>
          <w:wAfter w:w="1438" w:type="dxa"/>
          <w:trHeight w:val="349" w:hRule="atLeast"/>
        </w:trPr>
        <w:tc>
          <w:tcPr>
            <w:tcW w:w="726" w:type="dxa"/>
            <w:vMerge w:val="continue"/>
            <w:tcBorders>
              <w:left w:val="single" w:color="000000" w:sz="6" w:space="0"/>
              <w:right w:val="single" w:color="000000" w:sz="4" w:space="0"/>
            </w:tcBorders>
          </w:tcPr>
          <w:p w14:paraId="5BC2F3A9">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1D7DCB03">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1525" w:type="dxa"/>
            <w:gridSpan w:val="2"/>
            <w:tcBorders>
              <w:top w:val="single" w:color="000000" w:sz="6" w:space="0"/>
              <w:left w:val="single" w:color="000000" w:sz="4" w:space="0"/>
              <w:bottom w:val="single" w:color="000000" w:sz="6" w:space="0"/>
              <w:right w:val="single" w:color="000000" w:sz="6" w:space="0"/>
            </w:tcBorders>
            <w:vAlign w:val="center"/>
          </w:tcPr>
          <w:p w14:paraId="1D3B5FF0">
            <w:p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lang w:val="zh-CN"/>
              </w:rPr>
              <w:t>5.</w:t>
            </w:r>
            <w:r>
              <w:rPr>
                <w:rFonts w:hint="eastAsia" w:ascii="宋体" w:hAnsi="宋体" w:eastAsia="宋体" w:cs="Times New Roman"/>
                <w:sz w:val="24"/>
                <w:szCs w:val="24"/>
              </w:rPr>
              <w:t>工程进度计划与措施（0-4分）</w:t>
            </w:r>
          </w:p>
        </w:tc>
        <w:tc>
          <w:tcPr>
            <w:tcW w:w="4895" w:type="dxa"/>
            <w:tcBorders>
              <w:top w:val="single" w:color="000000" w:sz="6" w:space="0"/>
              <w:left w:val="single" w:color="000000" w:sz="6" w:space="0"/>
              <w:bottom w:val="single" w:color="000000" w:sz="6" w:space="0"/>
              <w:right w:val="single" w:color="000000" w:sz="12" w:space="0"/>
            </w:tcBorders>
            <w:vAlign w:val="center"/>
          </w:tcPr>
          <w:p w14:paraId="5ED417F2">
            <w:pPr>
              <w:adjustRightInd/>
              <w:snapToGrid/>
              <w:spacing w:after="0" w:line="400" w:lineRule="exact"/>
              <w:outlineLvl w:val="9"/>
              <w:rPr>
                <w:rFonts w:ascii="宋体" w:hAnsi="宋体" w:eastAsia="宋体" w:cs="Times New Roman"/>
                <w:sz w:val="24"/>
                <w:szCs w:val="24"/>
              </w:rPr>
            </w:pPr>
            <w:r>
              <w:rPr>
                <w:rFonts w:hint="eastAsia" w:ascii="宋体" w:hAnsi="宋体" w:eastAsia="宋体" w:cs="Times New Roman"/>
                <w:sz w:val="24"/>
                <w:szCs w:val="24"/>
              </w:rPr>
              <w:t>对总体进度计划、关键节点及中间完工项目施工进度计划、施工强度等</w:t>
            </w:r>
          </w:p>
          <w:p w14:paraId="2888893B">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内容完整、切实可行，完全符合本项目需求的得4分；</w:t>
            </w:r>
          </w:p>
          <w:p w14:paraId="40E5CF8E">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内容较为完善、较切实可行，较符合本项目需求的得，得3分；</w:t>
            </w:r>
          </w:p>
          <w:p w14:paraId="6977A170">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内容基本完善，基本可行，基本符合本项目需求的得2分；</w:t>
            </w:r>
          </w:p>
          <w:p w14:paraId="69FE2F83">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71B9407E">
            <w:pPr>
              <w:spacing w:after="0" w:line="360" w:lineRule="auto"/>
              <w:jc w:val="both"/>
              <w:outlineLvl w:val="9"/>
              <w:rPr>
                <w:rFonts w:ascii="宋体" w:hAnsi="宋体" w:eastAsia="宋体" w:cs="Times New Roman"/>
                <w:sz w:val="24"/>
                <w:szCs w:val="24"/>
              </w:rPr>
            </w:pPr>
            <w:r>
              <w:rPr>
                <w:rFonts w:hint="eastAsia" w:cs="宋体" w:asciiTheme="minorEastAsia" w:hAnsiTheme="minorEastAsia" w:eastAsiaTheme="minorEastAsia"/>
                <w:sz w:val="24"/>
                <w:szCs w:val="24"/>
                <w:lang w:bidi="en-US"/>
              </w:rPr>
              <w:t>未针对本项描述的得0分。</w:t>
            </w:r>
          </w:p>
        </w:tc>
        <w:tc>
          <w:tcPr>
            <w:tcW w:w="1134" w:type="dxa"/>
            <w:tcBorders>
              <w:top w:val="single" w:color="000000" w:sz="6" w:space="0"/>
              <w:left w:val="single" w:color="000000" w:sz="6" w:space="0"/>
              <w:bottom w:val="single" w:color="000000" w:sz="6" w:space="0"/>
              <w:right w:val="single" w:color="000000" w:sz="12" w:space="0"/>
            </w:tcBorders>
            <w:vAlign w:val="center"/>
          </w:tcPr>
          <w:p w14:paraId="1D557B58">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0-4分</w:t>
            </w:r>
          </w:p>
        </w:tc>
      </w:tr>
      <w:tr w14:paraId="1E862DCA">
        <w:tblPrEx>
          <w:tblCellMar>
            <w:top w:w="0" w:type="dxa"/>
            <w:left w:w="108" w:type="dxa"/>
            <w:bottom w:w="0" w:type="dxa"/>
            <w:right w:w="108" w:type="dxa"/>
          </w:tblCellMar>
        </w:tblPrEx>
        <w:trPr>
          <w:gridAfter w:val="1"/>
          <w:wAfter w:w="1438" w:type="dxa"/>
          <w:trHeight w:val="391" w:hRule="atLeast"/>
        </w:trPr>
        <w:tc>
          <w:tcPr>
            <w:tcW w:w="726" w:type="dxa"/>
            <w:vMerge w:val="continue"/>
            <w:tcBorders>
              <w:left w:val="single" w:color="000000" w:sz="6" w:space="0"/>
              <w:right w:val="single" w:color="000000" w:sz="4" w:space="0"/>
            </w:tcBorders>
          </w:tcPr>
          <w:p w14:paraId="273A24A5">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7B915875">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1525" w:type="dxa"/>
            <w:gridSpan w:val="2"/>
            <w:tcBorders>
              <w:top w:val="single" w:color="000000" w:sz="6" w:space="0"/>
              <w:left w:val="single" w:color="000000" w:sz="4" w:space="0"/>
              <w:bottom w:val="single" w:color="000000" w:sz="6" w:space="0"/>
              <w:right w:val="single" w:color="000000" w:sz="6" w:space="0"/>
            </w:tcBorders>
            <w:vAlign w:val="center"/>
          </w:tcPr>
          <w:p w14:paraId="304FCEBE">
            <w:p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lang w:val="zh-CN"/>
              </w:rPr>
              <w:t>6.</w:t>
            </w:r>
            <w:bookmarkStart w:id="494" w:name="OLE_LINK21"/>
            <w:r>
              <w:rPr>
                <w:rFonts w:hint="eastAsia" w:ascii="宋体" w:hAnsi="宋体" w:eastAsia="宋体" w:cs="Times New Roman"/>
                <w:sz w:val="24"/>
                <w:szCs w:val="24"/>
              </w:rPr>
              <w:t>组织机构及管理人员、资源配备计划（0-5分）</w:t>
            </w:r>
            <w:bookmarkEnd w:id="494"/>
          </w:p>
        </w:tc>
        <w:tc>
          <w:tcPr>
            <w:tcW w:w="4895" w:type="dxa"/>
            <w:tcBorders>
              <w:top w:val="single" w:color="000000" w:sz="6" w:space="0"/>
              <w:left w:val="single" w:color="000000" w:sz="6" w:space="0"/>
              <w:bottom w:val="single" w:color="000000" w:sz="6" w:space="0"/>
              <w:right w:val="single" w:color="000000" w:sz="12" w:space="0"/>
            </w:tcBorders>
            <w:vAlign w:val="center"/>
          </w:tcPr>
          <w:p w14:paraId="44150620">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1.组织机构模式合理并满足工程施工需要，各部门责任、任务明确</w:t>
            </w:r>
          </w:p>
          <w:p w14:paraId="43DC7035">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内容完整、切实可行，完全符合本项目需求的得3分；</w:t>
            </w:r>
          </w:p>
          <w:p w14:paraId="379786D7">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内容较为完善、较切实可行，较符合本项目需求的得，得2分；</w:t>
            </w:r>
          </w:p>
          <w:p w14:paraId="0AE43409">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内容基本完善，基本可行，基本符合本项目需求的得1分；</w:t>
            </w:r>
          </w:p>
          <w:p w14:paraId="1ED8DC4F">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未针对本项描述的得0分。</w:t>
            </w:r>
          </w:p>
          <w:p w14:paraId="7D80A1F2">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2.劳动力配备计划及主要施工机械配备计划合理、可行</w:t>
            </w:r>
          </w:p>
          <w:p w14:paraId="4F2F1EFD">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内容完整、切实可行，完全符合本项目需求的得2分；</w:t>
            </w:r>
          </w:p>
          <w:p w14:paraId="3DCA5882">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内容较为完善、较切实可行，较符合本项目需求的得，得1分；</w:t>
            </w:r>
          </w:p>
          <w:p w14:paraId="4F54B79E">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未针对本项描述的得0分。</w:t>
            </w:r>
          </w:p>
        </w:tc>
        <w:tc>
          <w:tcPr>
            <w:tcW w:w="1134" w:type="dxa"/>
            <w:tcBorders>
              <w:top w:val="single" w:color="000000" w:sz="6" w:space="0"/>
              <w:left w:val="single" w:color="000000" w:sz="6" w:space="0"/>
              <w:bottom w:val="single" w:color="000000" w:sz="6" w:space="0"/>
              <w:right w:val="single" w:color="000000" w:sz="12" w:space="0"/>
            </w:tcBorders>
            <w:vAlign w:val="center"/>
          </w:tcPr>
          <w:p w14:paraId="36BDB327">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0-5分</w:t>
            </w:r>
          </w:p>
        </w:tc>
      </w:tr>
      <w:tr w14:paraId="7596BA8C">
        <w:tblPrEx>
          <w:tblCellMar>
            <w:top w:w="0" w:type="dxa"/>
            <w:left w:w="108" w:type="dxa"/>
            <w:bottom w:w="0" w:type="dxa"/>
            <w:right w:w="108" w:type="dxa"/>
          </w:tblCellMar>
        </w:tblPrEx>
        <w:trPr>
          <w:gridAfter w:val="1"/>
          <w:wAfter w:w="1438" w:type="dxa"/>
          <w:trHeight w:val="979" w:hRule="atLeast"/>
        </w:trPr>
        <w:tc>
          <w:tcPr>
            <w:tcW w:w="726" w:type="dxa"/>
            <w:vMerge w:val="continue"/>
            <w:tcBorders>
              <w:left w:val="single" w:color="000000" w:sz="6" w:space="0"/>
              <w:right w:val="single" w:color="000000" w:sz="4" w:space="0"/>
            </w:tcBorders>
          </w:tcPr>
          <w:p w14:paraId="11FAE12C">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5D2E03AA">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1525" w:type="dxa"/>
            <w:gridSpan w:val="2"/>
            <w:tcBorders>
              <w:top w:val="single" w:color="000000" w:sz="6" w:space="0"/>
              <w:left w:val="single" w:color="000000" w:sz="4" w:space="0"/>
              <w:bottom w:val="single" w:color="000000" w:sz="6" w:space="0"/>
              <w:right w:val="single" w:color="000000" w:sz="6" w:space="0"/>
            </w:tcBorders>
            <w:vAlign w:val="center"/>
          </w:tcPr>
          <w:p w14:paraId="6148CEB1">
            <w:p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rPr>
              <w:t>7.</w:t>
            </w:r>
            <w:bookmarkStart w:id="495" w:name="OLE_LINK42"/>
            <w:bookmarkStart w:id="496" w:name="OLE_LINK43"/>
            <w:r>
              <w:rPr>
                <w:rFonts w:hint="eastAsia" w:ascii="宋体" w:hAnsi="宋体" w:eastAsia="宋体" w:cs="Times New Roman"/>
                <w:sz w:val="24"/>
                <w:szCs w:val="24"/>
                <w:lang w:val="zh-CN"/>
              </w:rPr>
              <w:t>确保环境保护管理的技术与措施</w:t>
            </w:r>
            <w:bookmarkEnd w:id="495"/>
            <w:bookmarkEnd w:id="496"/>
            <w:r>
              <w:rPr>
                <w:rFonts w:hint="eastAsia" w:ascii="宋体" w:hAnsi="宋体" w:eastAsia="宋体" w:cs="Times New Roman"/>
                <w:sz w:val="24"/>
                <w:szCs w:val="24"/>
                <w:lang w:val="zh-CN"/>
              </w:rPr>
              <w:t>（</w:t>
            </w:r>
            <w:r>
              <w:rPr>
                <w:rFonts w:hint="eastAsia" w:ascii="宋体" w:hAnsi="宋体" w:eastAsia="宋体" w:cs="Times New Roman"/>
                <w:sz w:val="24"/>
                <w:szCs w:val="24"/>
              </w:rPr>
              <w:t>0-4分</w:t>
            </w:r>
            <w:r>
              <w:rPr>
                <w:rFonts w:hint="eastAsia" w:ascii="宋体" w:hAnsi="宋体" w:eastAsia="宋体" w:cs="Times New Roman"/>
                <w:sz w:val="24"/>
                <w:szCs w:val="24"/>
                <w:lang w:val="zh-CN"/>
              </w:rPr>
              <w:t>）</w:t>
            </w:r>
          </w:p>
        </w:tc>
        <w:tc>
          <w:tcPr>
            <w:tcW w:w="4895" w:type="dxa"/>
            <w:tcBorders>
              <w:top w:val="single" w:color="000000" w:sz="6" w:space="0"/>
              <w:left w:val="single" w:color="000000" w:sz="6" w:space="0"/>
              <w:bottom w:val="single" w:color="000000" w:sz="6" w:space="0"/>
              <w:right w:val="single" w:color="000000" w:sz="12" w:space="0"/>
            </w:tcBorders>
            <w:vAlign w:val="center"/>
          </w:tcPr>
          <w:p w14:paraId="54A51C4C">
            <w:pPr>
              <w:adjustRightInd/>
              <w:snapToGrid/>
              <w:spacing w:after="0" w:line="400" w:lineRule="exact"/>
              <w:outlineLvl w:val="9"/>
              <w:rPr>
                <w:rFonts w:ascii="宋体" w:hAnsi="宋体" w:eastAsia="宋体" w:cs="Times New Roman"/>
                <w:sz w:val="24"/>
                <w:szCs w:val="24"/>
              </w:rPr>
            </w:pPr>
            <w:r>
              <w:rPr>
                <w:rFonts w:hint="eastAsia" w:ascii="宋体" w:hAnsi="宋体" w:eastAsia="宋体" w:cs="Times New Roman"/>
                <w:sz w:val="24"/>
                <w:szCs w:val="24"/>
              </w:rPr>
              <w:t>有环境保护管理体系与施工环保措施计划且措施</w:t>
            </w:r>
          </w:p>
          <w:p w14:paraId="2C3D0CBA">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内容完整、切实可行，完全符合本项目需求的得4分；</w:t>
            </w:r>
          </w:p>
          <w:p w14:paraId="12EB366F">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内容较为完善、较切实可行，较符合本项目需求的得，得3分；</w:t>
            </w:r>
          </w:p>
          <w:p w14:paraId="67ED39F5">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内容基本完善，基本可行，基本符合本项目需求的得2分；</w:t>
            </w:r>
          </w:p>
          <w:p w14:paraId="1844DC7B">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内容前后不连贯导致语义不明或存在与本项目无关内容的得1分；</w:t>
            </w:r>
          </w:p>
          <w:p w14:paraId="5E17BC1D">
            <w:pPr>
              <w:spacing w:after="0" w:line="360" w:lineRule="auto"/>
              <w:jc w:val="both"/>
              <w:outlineLvl w:val="9"/>
              <w:rPr>
                <w:rFonts w:ascii="宋体" w:hAnsi="宋体" w:eastAsia="宋体" w:cs="Times New Roman"/>
                <w:sz w:val="24"/>
                <w:szCs w:val="24"/>
              </w:rPr>
            </w:pPr>
            <w:r>
              <w:rPr>
                <w:rFonts w:hint="eastAsia" w:cs="宋体" w:asciiTheme="minorEastAsia" w:hAnsiTheme="minorEastAsia" w:eastAsiaTheme="minorEastAsia"/>
                <w:sz w:val="24"/>
                <w:szCs w:val="24"/>
                <w:lang w:bidi="en-US"/>
              </w:rPr>
              <w:t>未针对本项描述的得0分。</w:t>
            </w:r>
          </w:p>
        </w:tc>
        <w:tc>
          <w:tcPr>
            <w:tcW w:w="1134" w:type="dxa"/>
            <w:tcBorders>
              <w:top w:val="single" w:color="000000" w:sz="6" w:space="0"/>
              <w:left w:val="single" w:color="000000" w:sz="6" w:space="0"/>
              <w:bottom w:val="single" w:color="000000" w:sz="6" w:space="0"/>
              <w:right w:val="single" w:color="000000" w:sz="12" w:space="0"/>
            </w:tcBorders>
            <w:vAlign w:val="center"/>
          </w:tcPr>
          <w:p w14:paraId="6C6CFE03">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0-4分</w:t>
            </w:r>
          </w:p>
        </w:tc>
      </w:tr>
      <w:tr w14:paraId="637F87AF">
        <w:tblPrEx>
          <w:tblCellMar>
            <w:top w:w="0" w:type="dxa"/>
            <w:left w:w="108" w:type="dxa"/>
            <w:bottom w:w="0" w:type="dxa"/>
            <w:right w:w="108" w:type="dxa"/>
          </w:tblCellMar>
        </w:tblPrEx>
        <w:trPr>
          <w:gridAfter w:val="1"/>
          <w:wAfter w:w="1438" w:type="dxa"/>
          <w:trHeight w:val="979" w:hRule="atLeast"/>
        </w:trPr>
        <w:tc>
          <w:tcPr>
            <w:tcW w:w="726" w:type="dxa"/>
            <w:vMerge w:val="continue"/>
            <w:tcBorders>
              <w:left w:val="single" w:color="000000" w:sz="6" w:space="0"/>
              <w:right w:val="single" w:color="000000" w:sz="4" w:space="0"/>
            </w:tcBorders>
          </w:tcPr>
          <w:p w14:paraId="74E7284D">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29F46DF9">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1525" w:type="dxa"/>
            <w:gridSpan w:val="2"/>
            <w:tcBorders>
              <w:top w:val="single" w:color="000000" w:sz="6" w:space="0"/>
              <w:left w:val="single" w:color="000000" w:sz="4" w:space="0"/>
              <w:bottom w:val="single" w:color="000000" w:sz="6" w:space="0"/>
              <w:right w:val="single" w:color="000000" w:sz="6" w:space="0"/>
            </w:tcBorders>
            <w:vAlign w:val="center"/>
          </w:tcPr>
          <w:p w14:paraId="10C1AAA4">
            <w:p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lang w:val="zh-CN"/>
              </w:rPr>
              <w:t>8.</w:t>
            </w:r>
            <w:bookmarkStart w:id="497" w:name="OLE_LINK45"/>
            <w:bookmarkStart w:id="498" w:name="OLE_LINK44"/>
            <w:r>
              <w:rPr>
                <w:rFonts w:hint="eastAsia" w:ascii="宋体" w:hAnsi="宋体" w:eastAsia="宋体" w:cs="Times New Roman"/>
                <w:sz w:val="24"/>
                <w:szCs w:val="24"/>
                <w:lang w:val="zh-CN"/>
              </w:rPr>
              <w:t>劳动力计划及主要施工机械计划</w:t>
            </w:r>
            <w:bookmarkEnd w:id="497"/>
            <w:bookmarkEnd w:id="498"/>
            <w:r>
              <w:rPr>
                <w:rFonts w:hint="eastAsia" w:ascii="宋体" w:hAnsi="宋体" w:eastAsia="宋体" w:cs="Times New Roman"/>
                <w:sz w:val="24"/>
                <w:szCs w:val="24"/>
              </w:rPr>
              <w:t>（0-5分）</w:t>
            </w:r>
          </w:p>
        </w:tc>
        <w:tc>
          <w:tcPr>
            <w:tcW w:w="4895" w:type="dxa"/>
            <w:tcBorders>
              <w:top w:val="single" w:color="000000" w:sz="6" w:space="0"/>
              <w:left w:val="single" w:color="000000" w:sz="6" w:space="0"/>
              <w:bottom w:val="single" w:color="000000" w:sz="6" w:space="0"/>
              <w:right w:val="single" w:color="000000" w:sz="12" w:space="0"/>
            </w:tcBorders>
            <w:vAlign w:val="center"/>
          </w:tcPr>
          <w:p w14:paraId="0E0CFEB6">
            <w:p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rPr>
              <w:t>1.机械：</w:t>
            </w:r>
          </w:p>
          <w:p w14:paraId="6963D4AC">
            <w:p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rPr>
              <w:t>投入计划与进度计划呼应，采用先进机械设备且配置合理、先进，满足安全技术规范和施工进度需要，得2分；</w:t>
            </w:r>
          </w:p>
          <w:p w14:paraId="76EE2164">
            <w:p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rPr>
              <w:t>投入计划与进度计划呼应，采用先进机械设备且配置</w:t>
            </w:r>
            <w:r>
              <w:rPr>
                <w:rFonts w:hint="eastAsia" w:ascii="宋体" w:hAnsi="宋体" w:eastAsia="宋体" w:cs="Times New Roman"/>
                <w:sz w:val="24"/>
                <w:szCs w:val="24"/>
                <w:lang w:val="en-US" w:eastAsia="zh-CN"/>
              </w:rPr>
              <w:t>较为</w:t>
            </w:r>
            <w:r>
              <w:rPr>
                <w:rFonts w:hint="eastAsia" w:ascii="宋体" w:hAnsi="宋体" w:eastAsia="宋体" w:cs="Times New Roman"/>
                <w:sz w:val="24"/>
                <w:szCs w:val="24"/>
                <w:lang w:val="zh-CN"/>
              </w:rPr>
              <w:t>合理，</w:t>
            </w:r>
            <w:r>
              <w:rPr>
                <w:rFonts w:hint="eastAsia" w:ascii="宋体" w:hAnsi="宋体" w:eastAsia="宋体" w:cs="Times New Roman"/>
                <w:sz w:val="24"/>
                <w:szCs w:val="24"/>
                <w:lang w:val="en-US" w:eastAsia="zh-CN"/>
              </w:rPr>
              <w:t>基本</w:t>
            </w:r>
            <w:r>
              <w:rPr>
                <w:rFonts w:hint="eastAsia" w:ascii="宋体" w:hAnsi="宋体" w:eastAsia="宋体" w:cs="Times New Roman"/>
                <w:sz w:val="24"/>
                <w:szCs w:val="24"/>
                <w:lang w:val="zh-CN"/>
              </w:rPr>
              <w:t>满足安全技术规范和施工进度需要，得</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val="zh-CN"/>
              </w:rPr>
              <w:t>分；</w:t>
            </w:r>
          </w:p>
          <w:p w14:paraId="02C9AD21">
            <w:p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lang w:val="zh-CN"/>
              </w:rPr>
              <w:t>缺项不得分；</w:t>
            </w:r>
          </w:p>
          <w:p w14:paraId="5E309495">
            <w:pPr>
              <w:numPr>
                <w:ilvl w:val="0"/>
                <w:numId w:val="0"/>
              </w:num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eastAsia="zh-CN" w:bidi="ar-SA"/>
              </w:rPr>
              <w:t>2.</w:t>
            </w:r>
            <w:r>
              <w:rPr>
                <w:rFonts w:hint="eastAsia" w:ascii="宋体" w:hAnsi="宋体" w:eastAsia="宋体" w:cs="Times New Roman"/>
                <w:sz w:val="24"/>
                <w:szCs w:val="24"/>
                <w:lang w:val="zh-CN"/>
              </w:rPr>
              <w:t>劳动力：</w:t>
            </w:r>
          </w:p>
          <w:p w14:paraId="1E9AA4C4">
            <w:pPr>
              <w:numPr>
                <w:ilvl w:val="0"/>
                <w:numId w:val="0"/>
              </w:num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rPr>
              <w:t>投入计划与进度计划呼应，较好满足施工需要，调配投入计划合理、准确，得1分；</w:t>
            </w:r>
          </w:p>
          <w:p w14:paraId="322643F5">
            <w:pPr>
              <w:numPr>
                <w:ilvl w:val="0"/>
                <w:numId w:val="0"/>
              </w:num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rPr>
              <w:t>投入计划与进度计划呼应，</w:t>
            </w:r>
            <w:r>
              <w:rPr>
                <w:rFonts w:hint="eastAsia" w:ascii="宋体" w:hAnsi="宋体" w:eastAsia="宋体" w:cs="Times New Roman"/>
                <w:sz w:val="24"/>
                <w:szCs w:val="24"/>
                <w:lang w:val="en-US" w:eastAsia="zh-CN"/>
              </w:rPr>
              <w:t>基本</w:t>
            </w:r>
            <w:r>
              <w:rPr>
                <w:rFonts w:hint="eastAsia" w:ascii="宋体" w:hAnsi="宋体" w:eastAsia="宋体" w:cs="Times New Roman"/>
                <w:sz w:val="24"/>
                <w:szCs w:val="24"/>
                <w:lang w:val="zh-CN"/>
              </w:rPr>
              <w:t>满足施工需要，调配投入计划</w:t>
            </w:r>
            <w:r>
              <w:rPr>
                <w:rFonts w:hint="eastAsia" w:ascii="宋体" w:hAnsi="宋体" w:eastAsia="宋体" w:cs="Times New Roman"/>
                <w:sz w:val="24"/>
                <w:szCs w:val="24"/>
                <w:lang w:val="en-US" w:eastAsia="zh-CN"/>
              </w:rPr>
              <w:t>较为</w:t>
            </w:r>
            <w:r>
              <w:rPr>
                <w:rFonts w:hint="eastAsia" w:ascii="宋体" w:hAnsi="宋体" w:eastAsia="宋体" w:cs="Times New Roman"/>
                <w:sz w:val="24"/>
                <w:szCs w:val="24"/>
                <w:lang w:val="zh-CN"/>
              </w:rPr>
              <w:t>合理，得</w:t>
            </w:r>
            <w:r>
              <w:rPr>
                <w:rFonts w:hint="eastAsia" w:ascii="宋体" w:hAnsi="宋体" w:eastAsia="宋体" w:cs="Times New Roman"/>
                <w:sz w:val="24"/>
                <w:szCs w:val="24"/>
                <w:lang w:val="en-US" w:eastAsia="zh-CN"/>
              </w:rPr>
              <w:t>0.5</w:t>
            </w:r>
            <w:r>
              <w:rPr>
                <w:rFonts w:hint="eastAsia" w:ascii="宋体" w:hAnsi="宋体" w:eastAsia="宋体" w:cs="Times New Roman"/>
                <w:sz w:val="24"/>
                <w:szCs w:val="24"/>
                <w:lang w:val="zh-CN"/>
              </w:rPr>
              <w:t>分；</w:t>
            </w:r>
          </w:p>
          <w:p w14:paraId="52BCFB03">
            <w:pPr>
              <w:numPr>
                <w:ilvl w:val="0"/>
                <w:numId w:val="0"/>
              </w:num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lang w:val="zh-CN"/>
              </w:rPr>
              <w:t>缺项不得分；</w:t>
            </w:r>
          </w:p>
          <w:p w14:paraId="0EED4923">
            <w:pPr>
              <w:numPr>
                <w:ilvl w:val="0"/>
                <w:numId w:val="0"/>
              </w:num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eastAsia="zh-CN" w:bidi="ar-SA"/>
              </w:rPr>
              <w:t>3.</w:t>
            </w:r>
            <w:r>
              <w:rPr>
                <w:rFonts w:hint="eastAsia" w:ascii="宋体" w:hAnsi="宋体" w:eastAsia="宋体" w:cs="Times New Roman"/>
                <w:sz w:val="24"/>
                <w:szCs w:val="24"/>
                <w:lang w:val="zh-CN"/>
              </w:rPr>
              <w:t>主要施工计划：</w:t>
            </w:r>
          </w:p>
          <w:p w14:paraId="369E0CF0">
            <w:pPr>
              <w:numPr>
                <w:ilvl w:val="0"/>
                <w:numId w:val="0"/>
              </w:num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rPr>
              <w:t>主要物资投入计划与进度计划呼应，较好满足施工需要，调配投入计划合理、准确，得2分；</w:t>
            </w:r>
          </w:p>
          <w:p w14:paraId="738F918F">
            <w:pPr>
              <w:numPr>
                <w:ilvl w:val="0"/>
                <w:numId w:val="0"/>
              </w:numPr>
              <w:spacing w:after="0" w:line="360" w:lineRule="auto"/>
              <w:jc w:val="both"/>
              <w:outlineLvl w:val="9"/>
              <w:rPr>
                <w:rFonts w:hint="eastAsia" w:ascii="宋体" w:hAnsi="宋体" w:eastAsia="宋体" w:cs="Times New Roman"/>
                <w:sz w:val="24"/>
                <w:szCs w:val="24"/>
                <w:lang w:val="zh-CN"/>
              </w:rPr>
            </w:pPr>
            <w:r>
              <w:rPr>
                <w:rFonts w:hint="eastAsia" w:ascii="宋体" w:hAnsi="宋体" w:eastAsia="宋体" w:cs="Times New Roman"/>
                <w:sz w:val="24"/>
                <w:szCs w:val="24"/>
                <w:lang w:val="zh-CN"/>
              </w:rPr>
              <w:t>主要物资投入计划与进度计划呼应，</w:t>
            </w:r>
            <w:r>
              <w:rPr>
                <w:rFonts w:hint="eastAsia" w:ascii="宋体" w:hAnsi="宋体" w:eastAsia="宋体" w:cs="Times New Roman"/>
                <w:sz w:val="24"/>
                <w:szCs w:val="24"/>
                <w:lang w:val="en-US" w:eastAsia="zh-CN"/>
              </w:rPr>
              <w:t>基本</w:t>
            </w:r>
            <w:r>
              <w:rPr>
                <w:rFonts w:hint="eastAsia" w:ascii="宋体" w:hAnsi="宋体" w:eastAsia="宋体" w:cs="Times New Roman"/>
                <w:sz w:val="24"/>
                <w:szCs w:val="24"/>
                <w:lang w:val="zh-CN"/>
              </w:rPr>
              <w:t>满足施工需要，调配投入计划</w:t>
            </w:r>
            <w:r>
              <w:rPr>
                <w:rFonts w:hint="eastAsia" w:ascii="宋体" w:hAnsi="宋体" w:eastAsia="宋体" w:cs="Times New Roman"/>
                <w:sz w:val="24"/>
                <w:szCs w:val="24"/>
                <w:lang w:val="en-US" w:eastAsia="zh-CN"/>
              </w:rPr>
              <w:t>基本</w:t>
            </w:r>
            <w:r>
              <w:rPr>
                <w:rFonts w:hint="eastAsia" w:ascii="宋体" w:hAnsi="宋体" w:eastAsia="宋体" w:cs="Times New Roman"/>
                <w:sz w:val="24"/>
                <w:szCs w:val="24"/>
                <w:lang w:val="zh-CN"/>
              </w:rPr>
              <w:t>合理，得</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val="zh-CN"/>
              </w:rPr>
              <w:t>分；</w:t>
            </w:r>
          </w:p>
          <w:p w14:paraId="00F3F75D">
            <w:pPr>
              <w:numPr>
                <w:ilvl w:val="0"/>
                <w:numId w:val="0"/>
              </w:num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lang w:val="zh-CN"/>
              </w:rPr>
              <w:t>缺项不得分。</w:t>
            </w:r>
          </w:p>
        </w:tc>
        <w:tc>
          <w:tcPr>
            <w:tcW w:w="1134" w:type="dxa"/>
            <w:tcBorders>
              <w:top w:val="single" w:color="000000" w:sz="6" w:space="0"/>
              <w:left w:val="single" w:color="000000" w:sz="6" w:space="0"/>
              <w:bottom w:val="single" w:color="000000" w:sz="6" w:space="0"/>
              <w:right w:val="single" w:color="000000" w:sz="12" w:space="0"/>
            </w:tcBorders>
            <w:vAlign w:val="center"/>
          </w:tcPr>
          <w:p w14:paraId="15A64918">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0-5分</w:t>
            </w:r>
          </w:p>
        </w:tc>
      </w:tr>
      <w:tr w14:paraId="2B569028">
        <w:tblPrEx>
          <w:tblCellMar>
            <w:top w:w="0" w:type="dxa"/>
            <w:left w:w="108" w:type="dxa"/>
            <w:bottom w:w="0" w:type="dxa"/>
            <w:right w:w="108" w:type="dxa"/>
          </w:tblCellMar>
        </w:tblPrEx>
        <w:trPr>
          <w:gridAfter w:val="1"/>
          <w:wAfter w:w="1438" w:type="dxa"/>
          <w:trHeight w:val="3852" w:hRule="atLeast"/>
        </w:trPr>
        <w:tc>
          <w:tcPr>
            <w:tcW w:w="726" w:type="dxa"/>
            <w:vMerge w:val="continue"/>
            <w:tcBorders>
              <w:left w:val="single" w:color="000000" w:sz="6" w:space="0"/>
              <w:right w:val="single" w:color="000000" w:sz="4" w:space="0"/>
            </w:tcBorders>
          </w:tcPr>
          <w:p w14:paraId="0F433477">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right w:val="single" w:color="000000" w:sz="4" w:space="0"/>
            </w:tcBorders>
          </w:tcPr>
          <w:p w14:paraId="0B3AF0C0">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1525" w:type="dxa"/>
            <w:gridSpan w:val="2"/>
            <w:tcBorders>
              <w:top w:val="single" w:color="000000" w:sz="6" w:space="0"/>
              <w:left w:val="single" w:color="000000" w:sz="4" w:space="0"/>
              <w:right w:val="single" w:color="000000" w:sz="6" w:space="0"/>
            </w:tcBorders>
            <w:vAlign w:val="center"/>
          </w:tcPr>
          <w:p w14:paraId="72867D13">
            <w:pPr>
              <w:spacing w:after="0" w:line="360" w:lineRule="auto"/>
              <w:jc w:val="both"/>
              <w:outlineLvl w:val="9"/>
              <w:rPr>
                <w:rFonts w:ascii="宋体" w:hAnsi="宋体" w:eastAsia="宋体" w:cs="Times New Roman"/>
                <w:sz w:val="24"/>
                <w:szCs w:val="24"/>
                <w:lang w:val="zh-CN"/>
              </w:rPr>
            </w:pPr>
            <w:r>
              <w:rPr>
                <w:rFonts w:hint="eastAsia" w:ascii="宋体" w:hAnsi="宋体" w:eastAsia="宋体" w:cs="Times New Roman"/>
                <w:sz w:val="24"/>
                <w:szCs w:val="24"/>
                <w:lang w:val="zh-CN"/>
              </w:rPr>
              <w:t>9.</w:t>
            </w:r>
            <w:r>
              <w:rPr>
                <w:rFonts w:hint="eastAsia" w:ascii="宋体" w:hAnsi="宋体" w:eastAsia="宋体" w:cs="Times New Roman"/>
                <w:sz w:val="24"/>
                <w:szCs w:val="24"/>
              </w:rPr>
              <w:t>施工平面图布置图及施工进度图（0-5分）</w:t>
            </w:r>
          </w:p>
        </w:tc>
        <w:tc>
          <w:tcPr>
            <w:tcW w:w="4895" w:type="dxa"/>
            <w:tcBorders>
              <w:top w:val="single" w:color="000000" w:sz="6" w:space="0"/>
              <w:left w:val="single" w:color="000000" w:sz="6" w:space="0"/>
              <w:right w:val="single" w:color="000000" w:sz="12" w:space="0"/>
            </w:tcBorders>
            <w:vAlign w:val="center"/>
          </w:tcPr>
          <w:p w14:paraId="366DD7A9">
            <w:pPr>
              <w:adjustRightInd/>
              <w:snapToGrid/>
              <w:spacing w:after="0" w:line="400" w:lineRule="exact"/>
              <w:outlineLvl w:val="9"/>
              <w:rPr>
                <w:rFonts w:ascii="宋体" w:hAnsi="宋体" w:eastAsia="宋体" w:cs="Times New Roman"/>
                <w:sz w:val="24"/>
                <w:szCs w:val="24"/>
              </w:rPr>
            </w:pPr>
            <w:r>
              <w:rPr>
                <w:rFonts w:hint="eastAsia" w:ascii="宋体" w:hAnsi="宋体" w:eastAsia="宋体" w:cs="Times New Roman"/>
                <w:sz w:val="24"/>
                <w:szCs w:val="24"/>
              </w:rPr>
              <w:t>总体布置有针对性、合理、能较好满足施工需要，符合安全、文明施工要求；材料堆放有序。关键线路清晰、准确、完整、计划编制合理</w:t>
            </w:r>
          </w:p>
          <w:p w14:paraId="6CF39E06">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内容完整、切实可行，完全符合本项目需求的得5分；</w:t>
            </w:r>
          </w:p>
          <w:p w14:paraId="6AA80FB3">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内容较为完善、较切实可行，较符合本项目需求的得，得4分；</w:t>
            </w:r>
          </w:p>
          <w:p w14:paraId="2CD5523C">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内容基本完善，基本可行，基本符合本项目需求的得3分；</w:t>
            </w:r>
          </w:p>
          <w:p w14:paraId="14A3F877">
            <w:pPr>
              <w:adjustRightInd/>
              <w:snapToGrid/>
              <w:spacing w:after="0" w:line="40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内容前后不连贯导致语义不明或存在与本项目无关内容的得2分；</w:t>
            </w:r>
          </w:p>
          <w:p w14:paraId="3763D134">
            <w:pPr>
              <w:spacing w:after="0" w:line="360" w:lineRule="auto"/>
              <w:jc w:val="both"/>
              <w:outlineLvl w:val="9"/>
              <w:rPr>
                <w:rFonts w:ascii="宋体" w:hAnsi="宋体" w:eastAsia="宋体" w:cs="Times New Roman"/>
                <w:sz w:val="24"/>
                <w:szCs w:val="24"/>
              </w:rPr>
            </w:pPr>
            <w:r>
              <w:rPr>
                <w:rFonts w:hint="eastAsia" w:cs="宋体" w:asciiTheme="minorEastAsia" w:hAnsiTheme="minorEastAsia" w:eastAsiaTheme="minorEastAsia"/>
                <w:sz w:val="24"/>
                <w:szCs w:val="24"/>
                <w:lang w:bidi="en-US"/>
              </w:rPr>
              <w:t>未针对本项描述的得0分。</w:t>
            </w:r>
          </w:p>
        </w:tc>
        <w:tc>
          <w:tcPr>
            <w:tcW w:w="1134" w:type="dxa"/>
            <w:tcBorders>
              <w:top w:val="single" w:color="000000" w:sz="6" w:space="0"/>
              <w:left w:val="single" w:color="000000" w:sz="6" w:space="0"/>
              <w:right w:val="single" w:color="000000" w:sz="12" w:space="0"/>
            </w:tcBorders>
            <w:vAlign w:val="center"/>
          </w:tcPr>
          <w:p w14:paraId="70DDC859">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0-5分</w:t>
            </w:r>
          </w:p>
        </w:tc>
      </w:tr>
      <w:tr w14:paraId="1C7229E7">
        <w:tblPrEx>
          <w:tblCellMar>
            <w:top w:w="0" w:type="dxa"/>
            <w:left w:w="108" w:type="dxa"/>
            <w:bottom w:w="0" w:type="dxa"/>
            <w:right w:w="108" w:type="dxa"/>
          </w:tblCellMar>
        </w:tblPrEx>
        <w:trPr>
          <w:gridAfter w:val="1"/>
          <w:wAfter w:w="1438" w:type="dxa"/>
          <w:trHeight w:val="391" w:hRule="atLeast"/>
        </w:trPr>
        <w:tc>
          <w:tcPr>
            <w:tcW w:w="726" w:type="dxa"/>
            <w:vMerge w:val="continue"/>
            <w:tcBorders>
              <w:left w:val="single" w:color="000000" w:sz="6" w:space="0"/>
              <w:bottom w:val="single" w:color="000000" w:sz="12" w:space="0"/>
              <w:right w:val="single" w:color="000000" w:sz="4" w:space="0"/>
            </w:tcBorders>
          </w:tcPr>
          <w:p w14:paraId="1E021B32">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868" w:type="dxa"/>
            <w:vMerge w:val="continue"/>
            <w:tcBorders>
              <w:left w:val="single" w:color="000000" w:sz="6" w:space="0"/>
              <w:bottom w:val="single" w:color="000000" w:sz="12" w:space="0"/>
              <w:right w:val="single" w:color="000000" w:sz="4" w:space="0"/>
            </w:tcBorders>
          </w:tcPr>
          <w:p w14:paraId="5F4BEEF8">
            <w:pPr>
              <w:adjustRightInd/>
              <w:snapToGrid/>
              <w:spacing w:after="0" w:line="400" w:lineRule="exact"/>
              <w:outlineLvl w:val="9"/>
              <w:rPr>
                <w:rFonts w:cs="宋体" w:asciiTheme="minorEastAsia" w:hAnsiTheme="minorEastAsia" w:eastAsiaTheme="minorEastAsia"/>
                <w:kern w:val="1"/>
                <w:sz w:val="24"/>
                <w:szCs w:val="24"/>
                <w:lang w:bidi="en-US"/>
              </w:rPr>
            </w:pPr>
          </w:p>
        </w:tc>
        <w:tc>
          <w:tcPr>
            <w:tcW w:w="7554" w:type="dxa"/>
            <w:gridSpan w:val="4"/>
            <w:tcBorders>
              <w:top w:val="single" w:color="000000" w:sz="6" w:space="0"/>
              <w:left w:val="single" w:color="000000" w:sz="4" w:space="0"/>
              <w:bottom w:val="single" w:color="000000" w:sz="12" w:space="0"/>
              <w:right w:val="single" w:color="000000" w:sz="12" w:space="0"/>
            </w:tcBorders>
            <w:vAlign w:val="center"/>
          </w:tcPr>
          <w:p w14:paraId="101F69D2">
            <w:pPr>
              <w:adjustRightInd/>
              <w:snapToGrid/>
              <w:spacing w:after="0" w:line="400" w:lineRule="exact"/>
              <w:jc w:val="center"/>
              <w:outlineLvl w:val="9"/>
              <w:rPr>
                <w:rFonts w:cs="宋体" w:asciiTheme="minorEastAsia" w:hAnsiTheme="minorEastAsia" w:eastAsiaTheme="minorEastAsia"/>
                <w:kern w:val="1"/>
                <w:sz w:val="24"/>
                <w:szCs w:val="24"/>
                <w:lang w:bidi="en-US"/>
              </w:rPr>
            </w:pPr>
            <w:r>
              <w:rPr>
                <w:rFonts w:hint="eastAsia" w:cs="宋体" w:asciiTheme="minorEastAsia" w:hAnsiTheme="minorEastAsia" w:eastAsiaTheme="minorEastAsia"/>
                <w:kern w:val="1"/>
                <w:sz w:val="24"/>
                <w:szCs w:val="24"/>
                <w:lang w:bidi="en-US"/>
              </w:rPr>
              <w:t>缺项为0分。不缺项不低于最低分</w:t>
            </w:r>
          </w:p>
        </w:tc>
      </w:tr>
      <w:tr w14:paraId="388A753A">
        <w:tblPrEx>
          <w:tblCellMar>
            <w:top w:w="0" w:type="dxa"/>
            <w:left w:w="108" w:type="dxa"/>
            <w:bottom w:w="0" w:type="dxa"/>
            <w:right w:w="108" w:type="dxa"/>
          </w:tblCellMar>
        </w:tblPrEx>
        <w:trPr>
          <w:gridAfter w:val="1"/>
          <w:wAfter w:w="1438" w:type="dxa"/>
          <w:trHeight w:val="1447" w:hRule="atLeast"/>
        </w:trPr>
        <w:tc>
          <w:tcPr>
            <w:tcW w:w="726" w:type="dxa"/>
            <w:vMerge w:val="restart"/>
            <w:tcBorders>
              <w:top w:val="single" w:color="000000" w:sz="12" w:space="0"/>
              <w:left w:val="single" w:color="000000" w:sz="12" w:space="0"/>
              <w:bottom w:val="single" w:color="000000" w:sz="12" w:space="0"/>
              <w:right w:val="single" w:color="000000" w:sz="12" w:space="0"/>
            </w:tcBorders>
            <w:vAlign w:val="center"/>
          </w:tcPr>
          <w:p w14:paraId="06C27E0B">
            <w:pPr>
              <w:adjustRightInd/>
              <w:snapToGrid/>
              <w:spacing w:after="0" w:line="400" w:lineRule="exact"/>
              <w:jc w:val="center"/>
              <w:outlineLvl w:val="9"/>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综合标</w:t>
            </w:r>
          </w:p>
          <w:p w14:paraId="75BC4E91">
            <w:pPr>
              <w:adjustRightInd/>
              <w:snapToGrid/>
              <w:spacing w:after="0" w:line="400" w:lineRule="exact"/>
              <w:jc w:val="center"/>
              <w:outlineLvl w:val="9"/>
              <w:rPr>
                <w:rFonts w:cs="宋体" w:asciiTheme="minorEastAsia" w:hAnsiTheme="minorEastAsia" w:eastAsiaTheme="minorEastAsia"/>
                <w:kern w:val="1"/>
                <w:sz w:val="24"/>
                <w:szCs w:val="24"/>
                <w:lang w:eastAsia="en-US" w:bidi="en-US"/>
              </w:rPr>
            </w:pPr>
            <w:r>
              <w:rPr>
                <w:rFonts w:hint="eastAsia" w:cs="宋体" w:asciiTheme="minorEastAsia" w:hAnsiTheme="minorEastAsia" w:eastAsiaTheme="minorEastAsia"/>
                <w:kern w:val="1"/>
                <w:sz w:val="24"/>
                <w:szCs w:val="24"/>
                <w:lang w:eastAsia="en-US" w:bidi="en-US"/>
              </w:rPr>
              <w:t>（</w:t>
            </w:r>
            <w:r>
              <w:rPr>
                <w:rFonts w:hint="eastAsia" w:cs="宋体" w:asciiTheme="minorEastAsia" w:hAnsiTheme="minorEastAsia" w:eastAsiaTheme="minorEastAsia"/>
                <w:kern w:val="1"/>
                <w:sz w:val="24"/>
                <w:szCs w:val="24"/>
                <w:lang w:bidi="en-US"/>
              </w:rPr>
              <w:t>25</w:t>
            </w:r>
            <w:r>
              <w:rPr>
                <w:rFonts w:hint="eastAsia" w:cs="宋体" w:asciiTheme="minorEastAsia" w:hAnsiTheme="minorEastAsia" w:eastAsiaTheme="minorEastAsia"/>
                <w:kern w:val="1"/>
                <w:sz w:val="24"/>
                <w:szCs w:val="24"/>
                <w:lang w:eastAsia="en-US" w:bidi="en-US"/>
              </w:rPr>
              <w:t>分）</w:t>
            </w:r>
          </w:p>
        </w:tc>
        <w:tc>
          <w:tcPr>
            <w:tcW w:w="1476" w:type="dxa"/>
            <w:gridSpan w:val="2"/>
            <w:tcBorders>
              <w:top w:val="single" w:color="000000" w:sz="12" w:space="0"/>
              <w:left w:val="single" w:color="000000" w:sz="12" w:space="0"/>
              <w:bottom w:val="single" w:color="000000" w:sz="12" w:space="0"/>
              <w:right w:val="single" w:color="000000" w:sz="12" w:space="0"/>
            </w:tcBorders>
            <w:vAlign w:val="center"/>
          </w:tcPr>
          <w:p w14:paraId="469825C5">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企业业绩</w:t>
            </w:r>
          </w:p>
          <w:p w14:paraId="700C7042">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0-6分</w:t>
            </w:r>
          </w:p>
        </w:tc>
        <w:tc>
          <w:tcPr>
            <w:tcW w:w="6946" w:type="dxa"/>
            <w:gridSpan w:val="3"/>
            <w:tcBorders>
              <w:top w:val="single" w:color="000000" w:sz="12" w:space="0"/>
              <w:left w:val="single" w:color="000000" w:sz="12" w:space="0"/>
              <w:bottom w:val="single" w:color="000000" w:sz="12" w:space="0"/>
              <w:right w:val="single" w:color="000000" w:sz="12" w:space="0"/>
            </w:tcBorders>
            <w:vAlign w:val="center"/>
          </w:tcPr>
          <w:p w14:paraId="35789E56">
            <w:pPr>
              <w:spacing w:after="0" w:line="400" w:lineRule="exact"/>
              <w:outlineLvl w:val="9"/>
              <w:rPr>
                <w:rFonts w:cs="宋体" w:asciiTheme="minorEastAsia" w:hAnsiTheme="minorEastAsia" w:eastAsiaTheme="minorEastAsia"/>
                <w:sz w:val="24"/>
                <w:szCs w:val="24"/>
              </w:rPr>
            </w:pPr>
            <w:r>
              <w:rPr>
                <w:rFonts w:hint="eastAsia" w:cs="宋体" w:asciiTheme="minorEastAsia" w:hAnsiTheme="minorEastAsia" w:eastAsiaTheme="minorEastAsia"/>
                <w:bCs/>
                <w:kern w:val="1"/>
                <w:sz w:val="24"/>
                <w:szCs w:val="24"/>
                <w:lang w:val="zh-CN"/>
              </w:rPr>
              <w:t>202</w:t>
            </w:r>
            <w:r>
              <w:rPr>
                <w:rFonts w:hint="eastAsia" w:cs="宋体" w:asciiTheme="minorEastAsia" w:hAnsiTheme="minorEastAsia" w:eastAsiaTheme="minorEastAsia"/>
                <w:bCs/>
                <w:kern w:val="1"/>
                <w:sz w:val="24"/>
                <w:szCs w:val="24"/>
              </w:rPr>
              <w:t>3</w:t>
            </w:r>
            <w:r>
              <w:rPr>
                <w:rFonts w:hint="eastAsia" w:cs="宋体" w:asciiTheme="minorEastAsia" w:hAnsiTheme="minorEastAsia" w:eastAsiaTheme="minorEastAsia"/>
                <w:bCs/>
                <w:kern w:val="1"/>
                <w:sz w:val="24"/>
                <w:szCs w:val="24"/>
                <w:lang w:val="zh-CN"/>
              </w:rPr>
              <w:t>年1月1日以来承担过类似业绩每份2分，最多得6分（提供施工合同，业绩需附在标书中）（企业业绩和项目经理业绩不得重复得分）</w:t>
            </w:r>
          </w:p>
        </w:tc>
      </w:tr>
      <w:tr w14:paraId="2EA59B1A">
        <w:tblPrEx>
          <w:tblCellMar>
            <w:top w:w="0" w:type="dxa"/>
            <w:left w:w="108" w:type="dxa"/>
            <w:bottom w:w="0" w:type="dxa"/>
            <w:right w:w="108" w:type="dxa"/>
          </w:tblCellMar>
        </w:tblPrEx>
        <w:trPr>
          <w:gridAfter w:val="1"/>
          <w:wAfter w:w="1438" w:type="dxa"/>
          <w:trHeight w:val="1447" w:hRule="atLeast"/>
        </w:trPr>
        <w:tc>
          <w:tcPr>
            <w:tcW w:w="726" w:type="dxa"/>
            <w:vMerge w:val="continue"/>
            <w:tcBorders>
              <w:top w:val="single" w:color="000000" w:sz="12" w:space="0"/>
              <w:left w:val="single" w:color="000000" w:sz="12" w:space="0"/>
              <w:bottom w:val="single" w:color="000000" w:sz="12" w:space="0"/>
              <w:right w:val="single" w:color="000000" w:sz="12" w:space="0"/>
            </w:tcBorders>
            <w:vAlign w:val="center"/>
          </w:tcPr>
          <w:p w14:paraId="5B1E6906">
            <w:pPr>
              <w:adjustRightInd/>
              <w:snapToGrid/>
              <w:spacing w:after="0" w:line="400" w:lineRule="exact"/>
              <w:jc w:val="center"/>
              <w:outlineLvl w:val="9"/>
              <w:rPr>
                <w:rFonts w:cs="宋体" w:asciiTheme="minorEastAsia" w:hAnsiTheme="minorEastAsia" w:eastAsiaTheme="minorEastAsia"/>
                <w:kern w:val="1"/>
                <w:sz w:val="24"/>
                <w:szCs w:val="24"/>
                <w:lang w:bidi="en-US"/>
              </w:rPr>
            </w:pPr>
          </w:p>
        </w:tc>
        <w:tc>
          <w:tcPr>
            <w:tcW w:w="1476" w:type="dxa"/>
            <w:gridSpan w:val="2"/>
            <w:tcBorders>
              <w:top w:val="single" w:color="000000" w:sz="12" w:space="0"/>
              <w:left w:val="single" w:color="000000" w:sz="12" w:space="0"/>
              <w:bottom w:val="single" w:color="000000" w:sz="12" w:space="0"/>
              <w:right w:val="single" w:color="000000" w:sz="12" w:space="0"/>
            </w:tcBorders>
            <w:vAlign w:val="center"/>
          </w:tcPr>
          <w:p w14:paraId="5E5CA366">
            <w:pPr>
              <w:spacing w:after="0" w:line="400" w:lineRule="exact"/>
              <w:jc w:val="center"/>
              <w:outlineLvl w:val="9"/>
              <w:rPr>
                <w:rFonts w:cs="宋体" w:asciiTheme="minorEastAsia" w:hAnsiTheme="minorEastAsia" w:eastAsiaTheme="minorEastAsia"/>
                <w:sz w:val="24"/>
                <w:szCs w:val="24"/>
              </w:rPr>
            </w:pPr>
            <w:r>
              <w:rPr>
                <w:rFonts w:hint="eastAsia" w:ascii="宋体" w:hAnsi="宋体" w:eastAsia="宋体" w:cs="宋体"/>
                <w:sz w:val="24"/>
                <w:szCs w:val="24"/>
              </w:rPr>
              <w:t>项目经理业绩（0-4分）</w:t>
            </w:r>
          </w:p>
        </w:tc>
        <w:tc>
          <w:tcPr>
            <w:tcW w:w="6946" w:type="dxa"/>
            <w:gridSpan w:val="3"/>
            <w:tcBorders>
              <w:top w:val="single" w:color="000000" w:sz="12" w:space="0"/>
              <w:left w:val="single" w:color="000000" w:sz="12" w:space="0"/>
              <w:bottom w:val="single" w:color="000000" w:sz="12" w:space="0"/>
              <w:right w:val="single" w:color="000000" w:sz="12" w:space="0"/>
            </w:tcBorders>
            <w:vAlign w:val="center"/>
          </w:tcPr>
          <w:p w14:paraId="3AE687CD">
            <w:pPr>
              <w:spacing w:after="0" w:line="400" w:lineRule="exact"/>
              <w:outlineLvl w:val="9"/>
              <w:rPr>
                <w:rFonts w:cs="宋体" w:asciiTheme="minorEastAsia" w:hAnsiTheme="minorEastAsia" w:eastAsiaTheme="minorEastAsia"/>
                <w:bCs/>
                <w:kern w:val="1"/>
                <w:sz w:val="24"/>
                <w:szCs w:val="24"/>
                <w:lang w:val="zh-CN"/>
              </w:rPr>
            </w:pPr>
            <w:r>
              <w:rPr>
                <w:rFonts w:hint="eastAsia" w:cs="宋体" w:asciiTheme="minorEastAsia" w:hAnsiTheme="minorEastAsia" w:eastAsiaTheme="minorEastAsia"/>
                <w:bCs/>
                <w:kern w:val="1"/>
                <w:sz w:val="24"/>
                <w:szCs w:val="24"/>
                <w:lang w:val="zh-CN"/>
              </w:rPr>
              <w:t>2023年1月1日以来项目经理承担过类似项目的（以施工合同为准），每个得2分；最多得4分（企业业绩和项目经理业绩不得重复得分）（提供施工合同，业绩需附在标书中）</w:t>
            </w:r>
          </w:p>
        </w:tc>
      </w:tr>
      <w:tr w14:paraId="76D2A401">
        <w:tblPrEx>
          <w:tblCellMar>
            <w:top w:w="0" w:type="dxa"/>
            <w:left w:w="108" w:type="dxa"/>
            <w:bottom w:w="0" w:type="dxa"/>
            <w:right w:w="108" w:type="dxa"/>
          </w:tblCellMar>
        </w:tblPrEx>
        <w:trPr>
          <w:gridAfter w:val="1"/>
          <w:wAfter w:w="1438" w:type="dxa"/>
          <w:trHeight w:val="864" w:hRule="atLeast"/>
        </w:trPr>
        <w:tc>
          <w:tcPr>
            <w:tcW w:w="726" w:type="dxa"/>
            <w:vMerge w:val="continue"/>
            <w:tcBorders>
              <w:top w:val="single" w:color="000000" w:sz="12" w:space="0"/>
              <w:left w:val="single" w:color="000000" w:sz="6" w:space="0"/>
              <w:right w:val="single" w:color="000000" w:sz="2" w:space="0"/>
            </w:tcBorders>
            <w:vAlign w:val="center"/>
          </w:tcPr>
          <w:p w14:paraId="6D4206F5">
            <w:pPr>
              <w:adjustRightInd/>
              <w:snapToGrid/>
              <w:spacing w:after="0" w:line="400" w:lineRule="exact"/>
              <w:jc w:val="center"/>
              <w:outlineLvl w:val="9"/>
              <w:rPr>
                <w:rFonts w:cs="宋体" w:asciiTheme="minorEastAsia" w:hAnsiTheme="minorEastAsia" w:eastAsiaTheme="minorEastAsia"/>
                <w:kern w:val="1"/>
                <w:sz w:val="24"/>
                <w:szCs w:val="24"/>
                <w:lang w:bidi="en-US"/>
              </w:rPr>
            </w:pPr>
          </w:p>
        </w:tc>
        <w:tc>
          <w:tcPr>
            <w:tcW w:w="1476" w:type="dxa"/>
            <w:gridSpan w:val="2"/>
            <w:tcBorders>
              <w:top w:val="single" w:color="000000" w:sz="12" w:space="0"/>
              <w:left w:val="single" w:color="000000" w:sz="6" w:space="0"/>
              <w:bottom w:val="single" w:color="000000" w:sz="4" w:space="0"/>
              <w:right w:val="single" w:color="000000" w:sz="12" w:space="0"/>
            </w:tcBorders>
            <w:vAlign w:val="center"/>
          </w:tcPr>
          <w:p w14:paraId="5B227131">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优惠承诺</w:t>
            </w:r>
          </w:p>
          <w:p w14:paraId="51E6AA73">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0-5分</w:t>
            </w:r>
          </w:p>
        </w:tc>
        <w:tc>
          <w:tcPr>
            <w:tcW w:w="6946" w:type="dxa"/>
            <w:gridSpan w:val="3"/>
            <w:tcBorders>
              <w:top w:val="single" w:color="000000" w:sz="12" w:space="0"/>
              <w:left w:val="single" w:color="000000" w:sz="2" w:space="0"/>
              <w:bottom w:val="single" w:color="000000" w:sz="4" w:space="0"/>
              <w:right w:val="single" w:color="000000" w:sz="12" w:space="0"/>
            </w:tcBorders>
            <w:vAlign w:val="center"/>
          </w:tcPr>
          <w:p w14:paraId="796E1220">
            <w:pPr>
              <w:spacing w:after="0" w:line="400" w:lineRule="exact"/>
              <w:outlineLvl w:val="9"/>
              <w:rPr>
                <w:rFonts w:ascii="宋体" w:hAnsi="宋体" w:eastAsia="宋体" w:cs="宋体"/>
                <w:sz w:val="24"/>
                <w:szCs w:val="24"/>
              </w:rPr>
            </w:pPr>
            <w:r>
              <w:rPr>
                <w:rFonts w:hint="eastAsia" w:ascii="宋体" w:hAnsi="宋体" w:eastAsia="宋体" w:cs="宋体"/>
                <w:sz w:val="24"/>
                <w:szCs w:val="24"/>
              </w:rPr>
              <w:t>优惠承诺应是书面的符合工程实际情况，在施工过程中协调配合、文明施工，工程质量、工期、安全等承诺。</w:t>
            </w:r>
          </w:p>
          <w:p w14:paraId="272F6A16">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承诺内容全面、详实可行、合法有效、有针对性的得5分；</w:t>
            </w:r>
          </w:p>
          <w:p w14:paraId="2B47382F">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承诺内容比较全面、详实可行、合法有效的得4分；</w:t>
            </w:r>
          </w:p>
          <w:p w14:paraId="39B6A2DB">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承诺内容片面、不详细、不完整的得3分；</w:t>
            </w:r>
          </w:p>
          <w:p w14:paraId="7C3BF3D8">
            <w:pPr>
              <w:spacing w:after="0" w:line="400" w:lineRule="exact"/>
              <w:outlineLvl w:val="9"/>
              <w:rPr>
                <w:rFonts w:ascii="宋体" w:hAnsi="宋体" w:eastAsia="宋体" w:cs="宋体"/>
                <w:sz w:val="24"/>
                <w:szCs w:val="24"/>
              </w:rPr>
            </w:pPr>
            <w:r>
              <w:rPr>
                <w:rFonts w:hint="eastAsia" w:ascii="宋体" w:hAnsi="宋体" w:eastAsia="宋体" w:cs="宋体"/>
                <w:sz w:val="24"/>
                <w:szCs w:val="24"/>
              </w:rPr>
              <w:t>内容前后不连贯导致语义不明或存在与本项目无关内容的得1分；</w:t>
            </w:r>
          </w:p>
          <w:p w14:paraId="5C49B24B">
            <w:pPr>
              <w:spacing w:after="0" w:line="400" w:lineRule="exact"/>
              <w:outlineLvl w:val="9"/>
              <w:rPr>
                <w:rFonts w:ascii="宋体" w:hAnsi="宋体" w:eastAsia="宋体" w:cs="宋体"/>
                <w:sz w:val="24"/>
                <w:szCs w:val="24"/>
              </w:rPr>
            </w:pPr>
            <w:r>
              <w:rPr>
                <w:rFonts w:hint="eastAsia" w:ascii="宋体" w:hAnsi="宋体" w:eastAsia="宋体" w:cs="宋体"/>
                <w:sz w:val="24"/>
                <w:szCs w:val="24"/>
              </w:rPr>
              <w:t>未提供者不得分。</w:t>
            </w:r>
          </w:p>
        </w:tc>
      </w:tr>
      <w:tr w14:paraId="5DD71D3B">
        <w:tblPrEx>
          <w:tblCellMar>
            <w:top w:w="0" w:type="dxa"/>
            <w:left w:w="108" w:type="dxa"/>
            <w:bottom w:w="0" w:type="dxa"/>
            <w:right w:w="108" w:type="dxa"/>
          </w:tblCellMar>
        </w:tblPrEx>
        <w:trPr>
          <w:gridAfter w:val="1"/>
          <w:wAfter w:w="1438" w:type="dxa"/>
          <w:trHeight w:val="637" w:hRule="atLeast"/>
        </w:trPr>
        <w:tc>
          <w:tcPr>
            <w:tcW w:w="726" w:type="dxa"/>
            <w:vMerge w:val="continue"/>
            <w:tcBorders>
              <w:left w:val="single" w:color="000000" w:sz="6" w:space="0"/>
              <w:right w:val="single" w:color="000000" w:sz="2" w:space="0"/>
            </w:tcBorders>
            <w:vAlign w:val="center"/>
          </w:tcPr>
          <w:p w14:paraId="02CCEB9A">
            <w:pPr>
              <w:adjustRightInd/>
              <w:snapToGrid/>
              <w:spacing w:after="0" w:line="400" w:lineRule="exact"/>
              <w:jc w:val="center"/>
              <w:outlineLvl w:val="9"/>
              <w:rPr>
                <w:rFonts w:cs="宋体" w:asciiTheme="minorEastAsia" w:hAnsiTheme="minorEastAsia" w:eastAsiaTheme="minorEastAsia"/>
                <w:kern w:val="1"/>
                <w:sz w:val="24"/>
                <w:szCs w:val="24"/>
                <w:lang w:bidi="en-US"/>
              </w:rPr>
            </w:pPr>
          </w:p>
        </w:tc>
        <w:tc>
          <w:tcPr>
            <w:tcW w:w="1476" w:type="dxa"/>
            <w:gridSpan w:val="2"/>
            <w:tcBorders>
              <w:top w:val="single" w:color="000000" w:sz="4" w:space="0"/>
              <w:left w:val="single" w:color="000000" w:sz="6" w:space="0"/>
              <w:bottom w:val="single" w:color="000000" w:sz="4" w:space="0"/>
              <w:right w:val="single" w:color="000000" w:sz="12" w:space="0"/>
            </w:tcBorders>
            <w:vAlign w:val="center"/>
          </w:tcPr>
          <w:p w14:paraId="67E14E1F">
            <w:pPr>
              <w:spacing w:after="0" w:line="400" w:lineRule="exact"/>
              <w:jc w:val="center"/>
              <w:outlineLvl w:val="9"/>
              <w:rPr>
                <w:rFonts w:cs="宋体" w:asciiTheme="minorEastAsia" w:hAnsiTheme="minorEastAsia" w:eastAsiaTheme="minorEastAsia"/>
                <w:sz w:val="24"/>
                <w:szCs w:val="24"/>
              </w:rPr>
            </w:pPr>
            <w:bookmarkStart w:id="499" w:name="OLE_LINK46"/>
            <w:r>
              <w:rPr>
                <w:rFonts w:hint="eastAsia" w:cs="宋体" w:asciiTheme="minorEastAsia" w:hAnsiTheme="minorEastAsia" w:eastAsiaTheme="minorEastAsia"/>
                <w:sz w:val="24"/>
                <w:szCs w:val="24"/>
              </w:rPr>
              <w:t>履职尽责承诺</w:t>
            </w:r>
            <w:bookmarkEnd w:id="499"/>
          </w:p>
          <w:p w14:paraId="7F9F9C62">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0-5分</w:t>
            </w:r>
          </w:p>
        </w:tc>
        <w:tc>
          <w:tcPr>
            <w:tcW w:w="6946" w:type="dxa"/>
            <w:gridSpan w:val="3"/>
            <w:tcBorders>
              <w:left w:val="single" w:color="000000" w:sz="2" w:space="0"/>
              <w:bottom w:val="single" w:color="000000" w:sz="4" w:space="0"/>
              <w:right w:val="single" w:color="000000" w:sz="12" w:space="0"/>
            </w:tcBorders>
            <w:vAlign w:val="center"/>
          </w:tcPr>
          <w:p w14:paraId="0D7768D2">
            <w:pPr>
              <w:spacing w:after="0" w:line="400" w:lineRule="exact"/>
              <w:outlineLvl w:val="9"/>
              <w:rPr>
                <w:rFonts w:ascii="宋体" w:hAnsi="宋体" w:eastAsia="宋体" w:cs="宋体"/>
                <w:sz w:val="24"/>
                <w:szCs w:val="24"/>
              </w:rPr>
            </w:pPr>
            <w:r>
              <w:rPr>
                <w:rFonts w:hint="eastAsia" w:ascii="宋体" w:hAnsi="宋体" w:eastAsia="宋体" w:cs="宋体"/>
                <w:sz w:val="24"/>
                <w:szCs w:val="24"/>
              </w:rPr>
              <w:t>具有全面、详实、可行、合法有效的书面保证技术措施落实到位的承诺和落实不到位的处理承诺，其中包括各关键岗位人员（项目经理、技术负责人及相关技术人员等）的在岗、更换等履职尽责承诺。</w:t>
            </w:r>
          </w:p>
          <w:p w14:paraId="51D80E3E">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承诺内容全面、详实可行、合法有效、有针对性的得5分；</w:t>
            </w:r>
          </w:p>
          <w:p w14:paraId="32ED254B">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承诺内容比较全面、详实可行、合法有效的得4分；</w:t>
            </w:r>
          </w:p>
          <w:p w14:paraId="25E91B54">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承诺内容片面、不详细、不完整的得3分；</w:t>
            </w:r>
          </w:p>
          <w:p w14:paraId="7EEA92CA">
            <w:pPr>
              <w:spacing w:after="0" w:line="400" w:lineRule="exact"/>
              <w:outlineLvl w:val="9"/>
              <w:rPr>
                <w:rFonts w:ascii="宋体" w:hAnsi="宋体" w:eastAsia="宋体" w:cs="宋体"/>
                <w:sz w:val="24"/>
                <w:szCs w:val="24"/>
              </w:rPr>
            </w:pPr>
            <w:r>
              <w:rPr>
                <w:rFonts w:hint="eastAsia" w:ascii="宋体" w:hAnsi="宋体" w:eastAsia="宋体" w:cs="宋体"/>
                <w:sz w:val="24"/>
                <w:szCs w:val="24"/>
              </w:rPr>
              <w:t>内容前后不连贯导致语义不明或存在与本项目无关内容的得1分；</w:t>
            </w:r>
          </w:p>
          <w:p w14:paraId="16BA5A4F">
            <w:pPr>
              <w:spacing w:after="0" w:line="400" w:lineRule="exact"/>
              <w:outlineLvl w:val="9"/>
              <w:rPr>
                <w:sz w:val="24"/>
                <w:szCs w:val="24"/>
              </w:rPr>
            </w:pPr>
            <w:r>
              <w:rPr>
                <w:rFonts w:hint="eastAsia" w:ascii="宋体" w:hAnsi="宋体" w:eastAsia="宋体" w:cs="宋体"/>
                <w:sz w:val="24"/>
                <w:szCs w:val="24"/>
              </w:rPr>
              <w:t>未提供者不得分。</w:t>
            </w:r>
          </w:p>
        </w:tc>
      </w:tr>
      <w:tr w14:paraId="563ABF66">
        <w:tblPrEx>
          <w:tblCellMar>
            <w:top w:w="0" w:type="dxa"/>
            <w:left w:w="108" w:type="dxa"/>
            <w:bottom w:w="0" w:type="dxa"/>
            <w:right w:w="108" w:type="dxa"/>
          </w:tblCellMar>
        </w:tblPrEx>
        <w:trPr>
          <w:gridAfter w:val="1"/>
          <w:wAfter w:w="1438" w:type="dxa"/>
          <w:trHeight w:val="637" w:hRule="atLeast"/>
        </w:trPr>
        <w:tc>
          <w:tcPr>
            <w:tcW w:w="726" w:type="dxa"/>
            <w:vMerge w:val="continue"/>
            <w:tcBorders>
              <w:left w:val="single" w:color="000000" w:sz="6" w:space="0"/>
              <w:right w:val="single" w:color="000000" w:sz="2" w:space="0"/>
            </w:tcBorders>
            <w:vAlign w:val="center"/>
          </w:tcPr>
          <w:p w14:paraId="6A440F9E">
            <w:pPr>
              <w:adjustRightInd/>
              <w:snapToGrid/>
              <w:spacing w:after="0" w:line="400" w:lineRule="exact"/>
              <w:jc w:val="center"/>
              <w:outlineLvl w:val="9"/>
              <w:rPr>
                <w:rFonts w:cs="宋体" w:asciiTheme="minorEastAsia" w:hAnsiTheme="minorEastAsia" w:eastAsiaTheme="minorEastAsia"/>
                <w:kern w:val="1"/>
                <w:sz w:val="24"/>
                <w:szCs w:val="24"/>
                <w:lang w:bidi="en-US"/>
              </w:rPr>
            </w:pPr>
          </w:p>
        </w:tc>
        <w:tc>
          <w:tcPr>
            <w:tcW w:w="1476" w:type="dxa"/>
            <w:gridSpan w:val="2"/>
            <w:tcBorders>
              <w:top w:val="single" w:color="000000" w:sz="4" w:space="0"/>
              <w:left w:val="single" w:color="000000" w:sz="6" w:space="0"/>
              <w:bottom w:val="single" w:color="000000" w:sz="4" w:space="0"/>
              <w:right w:val="single" w:color="000000" w:sz="12" w:space="0"/>
            </w:tcBorders>
            <w:vAlign w:val="center"/>
          </w:tcPr>
          <w:p w14:paraId="47320501">
            <w:pPr>
              <w:spacing w:after="0" w:line="400" w:lineRule="exact"/>
              <w:jc w:val="center"/>
              <w:outlineLvl w:val="9"/>
              <w:rPr>
                <w:rFonts w:cs="宋体" w:asciiTheme="minorEastAsia" w:hAnsiTheme="minorEastAsia" w:eastAsiaTheme="minorEastAsia"/>
                <w:sz w:val="24"/>
                <w:szCs w:val="24"/>
              </w:rPr>
            </w:pPr>
            <w:bookmarkStart w:id="500" w:name="OLE_LINK47"/>
            <w:r>
              <w:rPr>
                <w:rFonts w:hint="eastAsia" w:cs="宋体" w:asciiTheme="minorEastAsia" w:hAnsiTheme="minorEastAsia" w:eastAsiaTheme="minorEastAsia"/>
                <w:sz w:val="24"/>
                <w:szCs w:val="24"/>
              </w:rPr>
              <w:t>相关承诺</w:t>
            </w:r>
            <w:bookmarkEnd w:id="500"/>
          </w:p>
          <w:p w14:paraId="312CFF01">
            <w:pPr>
              <w:spacing w:after="0" w:line="400" w:lineRule="exact"/>
              <w:jc w:val="center"/>
              <w:outlineLvl w:val="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0-5分</w:t>
            </w:r>
          </w:p>
        </w:tc>
        <w:tc>
          <w:tcPr>
            <w:tcW w:w="6946" w:type="dxa"/>
            <w:gridSpan w:val="3"/>
            <w:tcBorders>
              <w:left w:val="single" w:color="000000" w:sz="2" w:space="0"/>
              <w:bottom w:val="single" w:color="000000" w:sz="4" w:space="0"/>
              <w:right w:val="single" w:color="000000" w:sz="12" w:space="0"/>
            </w:tcBorders>
            <w:vAlign w:val="center"/>
          </w:tcPr>
          <w:p w14:paraId="40019F1D">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承诺质量达到或优于国家规范要求、工期达到或优于磋商文件要求、工程进度及施工程序、项目部组成人员及现场管理服从采购人及监理人管理并有具体措施。</w:t>
            </w:r>
          </w:p>
          <w:p w14:paraId="07FC5200">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承诺内容全面、详实可行、合法有效、有针对性的得5分；</w:t>
            </w:r>
          </w:p>
          <w:p w14:paraId="50D4FF62">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承诺内容比较全面、详实可行、合法有效的得4分；</w:t>
            </w:r>
          </w:p>
          <w:p w14:paraId="59A83455">
            <w:pPr>
              <w:spacing w:after="0" w:line="400" w:lineRule="exact"/>
              <w:outlineLvl w:val="9"/>
              <w:rPr>
                <w:rFonts w:ascii="宋体" w:hAnsi="宋体" w:eastAsia="宋体" w:cs="宋体"/>
                <w:sz w:val="24"/>
                <w:szCs w:val="24"/>
              </w:rPr>
            </w:pPr>
            <w:r>
              <w:rPr>
                <w:rFonts w:hint="eastAsia" w:ascii="宋体" w:hAnsi="宋体" w:eastAsia="宋体" w:cs="宋体"/>
                <w:sz w:val="24"/>
                <w:szCs w:val="24"/>
              </w:rPr>
              <w:t>承诺内容片面、不详细、不完整的得3分；</w:t>
            </w:r>
          </w:p>
          <w:p w14:paraId="3A057725">
            <w:pPr>
              <w:spacing w:after="0" w:line="400" w:lineRule="exact"/>
              <w:outlineLvl w:val="9"/>
              <w:rPr>
                <w:rFonts w:ascii="宋体" w:hAnsi="宋体" w:eastAsia="宋体" w:cs="宋体"/>
                <w:sz w:val="24"/>
                <w:szCs w:val="24"/>
              </w:rPr>
            </w:pPr>
            <w:r>
              <w:rPr>
                <w:rFonts w:hint="eastAsia" w:cs="宋体" w:asciiTheme="minorEastAsia" w:hAnsiTheme="minorEastAsia" w:eastAsiaTheme="minorEastAsia"/>
                <w:sz w:val="24"/>
                <w:szCs w:val="24"/>
                <w:lang w:bidi="en-US"/>
              </w:rPr>
              <w:t>内容前后不连贯导致语义不明或存在与本项目无关内容的得1分；</w:t>
            </w:r>
          </w:p>
          <w:p w14:paraId="41ED8800">
            <w:pPr>
              <w:pStyle w:val="9"/>
              <w:outlineLvl w:val="9"/>
              <w:rPr>
                <w:sz w:val="24"/>
              </w:rPr>
            </w:pPr>
            <w:r>
              <w:rPr>
                <w:rFonts w:hint="eastAsia" w:ascii="宋体" w:hAnsi="宋体" w:cs="宋体"/>
                <w:sz w:val="24"/>
              </w:rPr>
              <w:t>未提供者不得分。</w:t>
            </w:r>
          </w:p>
        </w:tc>
      </w:tr>
      <w:tr w14:paraId="227993A8">
        <w:tblPrEx>
          <w:tblCellMar>
            <w:top w:w="0" w:type="dxa"/>
            <w:left w:w="108" w:type="dxa"/>
            <w:bottom w:w="0" w:type="dxa"/>
            <w:right w:w="108" w:type="dxa"/>
          </w:tblCellMar>
        </w:tblPrEx>
        <w:trPr>
          <w:gridAfter w:val="1"/>
          <w:wAfter w:w="1438" w:type="dxa"/>
          <w:trHeight w:val="1009" w:hRule="atLeast"/>
        </w:trPr>
        <w:tc>
          <w:tcPr>
            <w:tcW w:w="9148" w:type="dxa"/>
            <w:gridSpan w:val="6"/>
            <w:tcBorders>
              <w:top w:val="single" w:color="000000" w:sz="4" w:space="0"/>
              <w:left w:val="single" w:color="000000" w:sz="12" w:space="0"/>
              <w:bottom w:val="single" w:color="000000" w:sz="12" w:space="0"/>
              <w:right w:val="single" w:color="000000" w:sz="6" w:space="0"/>
            </w:tcBorders>
            <w:vAlign w:val="center"/>
          </w:tcPr>
          <w:p w14:paraId="7EC9313A">
            <w:pPr>
              <w:adjustRightInd/>
              <w:snapToGrid/>
              <w:spacing w:after="0" w:line="400" w:lineRule="exact"/>
              <w:outlineLvl w:val="9"/>
              <w:rPr>
                <w:rFonts w:cs="宋体" w:asciiTheme="minorEastAsia" w:hAnsiTheme="minorEastAsia" w:eastAsiaTheme="minorEastAsia"/>
                <w:b/>
                <w:sz w:val="24"/>
                <w:szCs w:val="24"/>
                <w:lang w:bidi="en-US"/>
              </w:rPr>
            </w:pPr>
            <w:r>
              <w:rPr>
                <w:rFonts w:hint="eastAsia" w:cs="宋体" w:asciiTheme="minorEastAsia" w:hAnsiTheme="minorEastAsia" w:eastAsiaTheme="minorEastAsia"/>
                <w:b/>
                <w:sz w:val="24"/>
                <w:szCs w:val="24"/>
                <w:lang w:bidi="en-US"/>
              </w:rPr>
              <w:t>供应商综合得分=技术标得分+商务标得分+综合标得分</w:t>
            </w:r>
          </w:p>
          <w:p w14:paraId="76AFC118">
            <w:pPr>
              <w:adjustRightInd/>
              <w:snapToGrid/>
              <w:spacing w:after="0" w:line="400" w:lineRule="exact"/>
              <w:outlineLvl w:val="9"/>
              <w:rPr>
                <w:rFonts w:cs="宋体" w:asciiTheme="minorEastAsia" w:hAnsiTheme="minorEastAsia" w:eastAsiaTheme="minorEastAsia"/>
                <w:b/>
                <w:sz w:val="24"/>
                <w:szCs w:val="24"/>
                <w:lang w:bidi="en-US"/>
              </w:rPr>
            </w:pPr>
            <w:r>
              <w:rPr>
                <w:rFonts w:hint="eastAsia" w:cs="宋体" w:asciiTheme="minorEastAsia" w:hAnsiTheme="minorEastAsia" w:eastAsiaTheme="minorEastAsia"/>
                <w:b/>
                <w:sz w:val="24"/>
                <w:szCs w:val="24"/>
                <w:lang w:bidi="en-US"/>
              </w:rPr>
              <w:t>供应商的报价应包含供应商所承诺的应达到的工程质量标准及其他承诺应达到的标准所包含的所有费用。</w:t>
            </w:r>
          </w:p>
        </w:tc>
      </w:tr>
    </w:tbl>
    <w:p w14:paraId="30D23CE1">
      <w:pPr>
        <w:spacing w:after="0" w:line="540" w:lineRule="exact"/>
        <w:ind w:firstLine="480" w:firstLineChars="200"/>
        <w:outlineLvl w:val="9"/>
        <w:rPr>
          <w:rFonts w:cs="仿宋_GB2312" w:asciiTheme="minorEastAsia" w:hAnsiTheme="minorEastAsia" w:eastAsiaTheme="minorEastAsia"/>
          <w:kern w:val="1"/>
          <w:sz w:val="24"/>
        </w:rPr>
      </w:pPr>
      <w:r>
        <w:rPr>
          <w:rFonts w:hint="eastAsia" w:cs="仿宋_GB2312" w:asciiTheme="minorEastAsia" w:hAnsiTheme="minorEastAsia" w:eastAsiaTheme="minorEastAsia"/>
          <w:kern w:val="1"/>
          <w:sz w:val="24"/>
        </w:rPr>
        <w:t>根据磋商文件、响应文件，按照评分办法，得出每个评委对供应商的评标分数。供应商的最终得分为所有评委对其打分的算术平均值。计分过程按四舍五入取至小数点后两位，最终得分取至小数点后二位。</w:t>
      </w:r>
    </w:p>
    <w:p w14:paraId="128F0783">
      <w:pPr>
        <w:adjustRightInd/>
        <w:snapToGrid/>
        <w:spacing w:after="0" w:line="540" w:lineRule="exact"/>
        <w:ind w:firstLine="480" w:firstLineChars="200"/>
        <w:outlineLvl w:val="9"/>
        <w:rPr>
          <w:rFonts w:cs="宋体" w:asciiTheme="minorEastAsia" w:hAnsiTheme="minorEastAsia" w:eastAsiaTheme="minorEastAsia"/>
          <w:b/>
          <w:sz w:val="24"/>
          <w:szCs w:val="24"/>
          <w:lang w:bidi="en-US"/>
        </w:rPr>
      </w:pPr>
      <w:r>
        <w:rPr>
          <w:rFonts w:hint="eastAsia" w:cs="宋体" w:asciiTheme="minorEastAsia" w:hAnsiTheme="minorEastAsia" w:eastAsiaTheme="minorEastAsia"/>
          <w:b/>
          <w:sz w:val="24"/>
          <w:szCs w:val="24"/>
          <w:lang w:bidi="en-US"/>
        </w:rPr>
        <w:t>定标办法</w:t>
      </w:r>
    </w:p>
    <w:p w14:paraId="7F1202A8">
      <w:pPr>
        <w:adjustRightInd/>
        <w:snapToGrid/>
        <w:spacing w:after="0" w:line="540" w:lineRule="exact"/>
        <w:ind w:firstLine="480" w:firstLineChars="200"/>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1、供应商的排名按得分顺序从高到低排列；得分相同的，按响应报价由低到高顺序排列；得分且响应报价相同的，按技术指标优劣顺序排列。</w:t>
      </w:r>
    </w:p>
    <w:p w14:paraId="7C05C0A0">
      <w:pPr>
        <w:spacing w:after="0" w:line="540" w:lineRule="exact"/>
        <w:ind w:firstLine="480" w:firstLineChars="200"/>
        <w:outlineLvl w:val="9"/>
        <w:rPr>
          <w:rFonts w:cs="仿宋_GB2312" w:asciiTheme="minorEastAsia" w:hAnsiTheme="minorEastAsia" w:eastAsiaTheme="minorEastAsia"/>
          <w:kern w:val="1"/>
          <w:sz w:val="24"/>
        </w:rPr>
      </w:pPr>
      <w:r>
        <w:rPr>
          <w:rFonts w:hint="eastAsia" w:cs="宋体" w:asciiTheme="minorEastAsia" w:hAnsiTheme="minorEastAsia" w:eastAsiaTheme="minorEastAsia"/>
          <w:sz w:val="24"/>
          <w:szCs w:val="24"/>
          <w:lang w:bidi="en-US"/>
        </w:rPr>
        <w:t>2、评标委员会写出评标报告推荐3名成交候选人。</w:t>
      </w:r>
    </w:p>
    <w:p w14:paraId="3B047603">
      <w:pPr>
        <w:spacing w:line="400" w:lineRule="exact"/>
        <w:outlineLvl w:val="9"/>
        <w:rPr>
          <w:rFonts w:cs="Calibri" w:asciiTheme="minorEastAsia" w:hAnsiTheme="minorEastAsia" w:eastAsiaTheme="minorEastAsia"/>
          <w:sz w:val="32"/>
          <w:szCs w:val="32"/>
        </w:rPr>
      </w:pPr>
      <w:bookmarkStart w:id="501" w:name="_Toc528078047"/>
      <w:bookmarkEnd w:id="501"/>
      <w:bookmarkStart w:id="502" w:name="_Toc16938558"/>
      <w:bookmarkEnd w:id="502"/>
    </w:p>
    <w:p w14:paraId="606F5A0C">
      <w:pPr>
        <w:spacing w:line="400" w:lineRule="exact"/>
        <w:ind w:left="560"/>
        <w:jc w:val="center"/>
        <w:outlineLvl w:val="9"/>
        <w:rPr>
          <w:rFonts w:cs="Calibri" w:asciiTheme="minorEastAsia" w:hAnsiTheme="minorEastAsia" w:eastAsiaTheme="minorEastAsia"/>
          <w:sz w:val="32"/>
          <w:szCs w:val="32"/>
        </w:rPr>
      </w:pPr>
    </w:p>
    <w:p w14:paraId="13D71C8A">
      <w:pPr>
        <w:adjustRightInd/>
        <w:snapToGrid/>
        <w:spacing w:after="0"/>
        <w:outlineLvl w:val="9"/>
        <w:rPr>
          <w:rFonts w:cs="Calibri" w:asciiTheme="minorEastAsia" w:hAnsiTheme="minorEastAsia" w:eastAsiaTheme="minorEastAsia"/>
          <w:sz w:val="32"/>
          <w:szCs w:val="32"/>
        </w:rPr>
      </w:pPr>
      <w:r>
        <w:rPr>
          <w:rFonts w:cs="Calibri" w:asciiTheme="minorEastAsia" w:hAnsiTheme="minorEastAsia" w:eastAsiaTheme="minorEastAsia"/>
          <w:sz w:val="32"/>
          <w:szCs w:val="32"/>
        </w:rPr>
        <w:br w:type="page"/>
      </w:r>
    </w:p>
    <w:p w14:paraId="7767E30B">
      <w:pPr>
        <w:spacing w:line="400" w:lineRule="exact"/>
        <w:ind w:left="560"/>
        <w:jc w:val="center"/>
        <w:outlineLvl w:val="0"/>
        <w:rPr>
          <w:rFonts w:cs="Calibri" w:asciiTheme="minorEastAsia" w:hAnsiTheme="minorEastAsia" w:eastAsiaTheme="minorEastAsia"/>
          <w:b/>
          <w:sz w:val="32"/>
          <w:szCs w:val="32"/>
        </w:rPr>
      </w:pPr>
      <w:bookmarkStart w:id="503" w:name="_Toc14363"/>
      <w:r>
        <w:rPr>
          <w:rFonts w:hint="eastAsia" w:cs="Calibri" w:asciiTheme="minorEastAsia" w:hAnsiTheme="minorEastAsia" w:eastAsiaTheme="minorEastAsia"/>
          <w:b/>
          <w:bCs/>
          <w:sz w:val="36"/>
          <w:szCs w:val="36"/>
        </w:rPr>
        <w:t>第四章</w:t>
      </w:r>
      <w:r>
        <w:rPr>
          <w:rFonts w:hint="eastAsia" w:asciiTheme="minorEastAsia" w:hAnsiTheme="minorEastAsia" w:eastAsiaTheme="minorEastAsia"/>
          <w:b/>
          <w:bCs/>
          <w:color w:val="auto"/>
          <w:kern w:val="36"/>
          <w:sz w:val="36"/>
          <w:szCs w:val="36"/>
          <w:lang w:val="en-US" w:eastAsia="zh-CN"/>
        </w:rPr>
        <w:t xml:space="preserve">  </w:t>
      </w:r>
      <w:r>
        <w:rPr>
          <w:rFonts w:hint="eastAsia" w:cs="Calibri" w:asciiTheme="minorEastAsia" w:hAnsiTheme="minorEastAsia" w:eastAsiaTheme="minorEastAsia"/>
          <w:b/>
          <w:bCs/>
          <w:sz w:val="36"/>
          <w:szCs w:val="36"/>
        </w:rPr>
        <w:t>合同条款及格式</w:t>
      </w:r>
      <w:bookmarkEnd w:id="503"/>
      <w:bookmarkStart w:id="504" w:name="_Toc517179005"/>
      <w:bookmarkEnd w:id="504"/>
      <w:bookmarkStart w:id="505" w:name="_Toc528078064"/>
      <w:bookmarkStart w:id="506" w:name="_Toc16770584"/>
    </w:p>
    <w:p w14:paraId="4C96F165">
      <w:pPr>
        <w:widowControl w:val="0"/>
        <w:adjustRightInd/>
        <w:snapToGrid/>
        <w:spacing w:after="0"/>
        <w:jc w:val="center"/>
        <w:outlineLvl w:val="9"/>
        <w:rPr>
          <w:rFonts w:ascii="宋体" w:hAnsi="宋体" w:eastAsia="宋体" w:cs="Times New Roman"/>
          <w:b/>
          <w:kern w:val="2"/>
          <w:sz w:val="30"/>
          <w:szCs w:val="30"/>
        </w:rPr>
      </w:pPr>
      <w:r>
        <w:rPr>
          <w:rFonts w:hint="eastAsia" w:ascii="宋体" w:hAnsi="宋体" w:eastAsia="宋体" w:cs="Times New Roman"/>
          <w:b/>
          <w:kern w:val="2"/>
          <w:sz w:val="30"/>
          <w:szCs w:val="30"/>
        </w:rPr>
        <w:t>（以实际签订合同为准）</w:t>
      </w:r>
    </w:p>
    <w:p w14:paraId="7BECFD4B">
      <w:pPr>
        <w:widowControl w:val="0"/>
        <w:adjustRightInd/>
        <w:snapToGrid/>
        <w:spacing w:after="0"/>
        <w:outlineLvl w:val="9"/>
        <w:rPr>
          <w:rFonts w:ascii="Times New Roman" w:hAnsi="Times New Roman" w:eastAsia="仿宋_GB2312" w:cs="Times New Roman"/>
          <w:bCs/>
          <w:kern w:val="2"/>
          <w:sz w:val="32"/>
          <w:szCs w:val="32"/>
        </w:rPr>
      </w:pPr>
      <w:bookmarkStart w:id="507" w:name="_Toc20250"/>
      <w:r>
        <w:rPr>
          <w:rFonts w:ascii="Times New Roman" w:hAnsi="Times New Roman" w:eastAsia="仿宋_GB2312" w:cs="Times New Roman"/>
          <w:bCs/>
          <w:kern w:val="2"/>
          <w:sz w:val="32"/>
          <w:szCs w:val="32"/>
        </w:rPr>
        <w:t>（GF—201</w:t>
      </w:r>
      <w:r>
        <w:rPr>
          <w:rFonts w:hint="eastAsia" w:ascii="Times New Roman" w:hAnsi="Times New Roman" w:eastAsia="仿宋_GB2312" w:cs="Times New Roman"/>
          <w:bCs/>
          <w:kern w:val="2"/>
          <w:sz w:val="32"/>
          <w:szCs w:val="32"/>
        </w:rPr>
        <w:t>7</w:t>
      </w:r>
      <w:r>
        <w:rPr>
          <w:rFonts w:ascii="Times New Roman" w:hAnsi="Times New Roman" w:eastAsia="仿宋_GB2312" w:cs="Times New Roman"/>
          <w:bCs/>
          <w:kern w:val="2"/>
          <w:sz w:val="32"/>
          <w:szCs w:val="32"/>
        </w:rPr>
        <w:t>—</w:t>
      </w:r>
      <w:r>
        <w:rPr>
          <w:rFonts w:hint="eastAsia" w:ascii="Times New Roman" w:hAnsi="Times New Roman" w:eastAsia="仿宋_GB2312" w:cs="Times New Roman"/>
          <w:bCs/>
          <w:kern w:val="2"/>
          <w:sz w:val="32"/>
          <w:szCs w:val="32"/>
        </w:rPr>
        <w:t>0201）</w:t>
      </w:r>
    </w:p>
    <w:p w14:paraId="573F727C">
      <w:pPr>
        <w:widowControl w:val="0"/>
        <w:adjustRightInd/>
        <w:snapToGrid/>
        <w:spacing w:after="0"/>
        <w:jc w:val="both"/>
        <w:outlineLvl w:val="9"/>
        <w:rPr>
          <w:rFonts w:ascii="宋体" w:hAnsi="Times New Roman" w:eastAsia="宋体" w:cs="Times New Roman"/>
          <w:b/>
          <w:bCs/>
          <w:kern w:val="2"/>
          <w:sz w:val="52"/>
          <w:szCs w:val="52"/>
          <w:highlight w:val="yellow"/>
        </w:rPr>
      </w:pPr>
    </w:p>
    <w:p w14:paraId="61922B34">
      <w:pPr>
        <w:widowControl w:val="0"/>
        <w:adjustRightInd/>
        <w:snapToGrid/>
        <w:spacing w:after="0"/>
        <w:jc w:val="center"/>
        <w:outlineLvl w:val="9"/>
        <w:rPr>
          <w:rFonts w:ascii="宋体" w:hAnsi="Times New Roman" w:eastAsia="宋体" w:cs="Times New Roman"/>
          <w:b/>
          <w:bCs/>
          <w:kern w:val="2"/>
          <w:sz w:val="52"/>
          <w:szCs w:val="52"/>
        </w:rPr>
      </w:pPr>
      <w:r>
        <w:rPr>
          <w:rFonts w:hint="eastAsia" w:ascii="宋体" w:hAnsi="宋体" w:eastAsia="宋体" w:cs="宋体"/>
          <w:b/>
          <w:bCs/>
          <w:kern w:val="2"/>
          <w:sz w:val="72"/>
          <w:szCs w:val="72"/>
        </w:rPr>
        <w:t>建设工程施工合同</w:t>
      </w:r>
      <w:r>
        <w:rPr>
          <w:rFonts w:ascii="宋体" w:hAnsi="Times New Roman" w:eastAsia="宋体" w:cs="Times New Roman"/>
          <w:b/>
          <w:bCs/>
          <w:kern w:val="2"/>
          <w:sz w:val="52"/>
          <w:szCs w:val="52"/>
        </w:rPr>
        <w:br w:type="textWrapping"/>
      </w:r>
    </w:p>
    <w:p w14:paraId="68629598">
      <w:pPr>
        <w:widowControl w:val="0"/>
        <w:adjustRightInd/>
        <w:snapToGrid/>
        <w:spacing w:after="0"/>
        <w:ind w:right="2849" w:rightChars="1295"/>
        <w:outlineLvl w:val="9"/>
        <w:rPr>
          <w:rFonts w:ascii="宋体" w:hAnsi="Times New Roman" w:eastAsia="宋体" w:cs="Times New Roman"/>
          <w:b/>
          <w:bCs/>
          <w:kern w:val="2"/>
          <w:sz w:val="52"/>
          <w:szCs w:val="52"/>
        </w:rPr>
      </w:pPr>
    </w:p>
    <w:p w14:paraId="1D132B74">
      <w:pPr>
        <w:widowControl w:val="0"/>
        <w:adjustRightInd/>
        <w:snapToGrid/>
        <w:spacing w:after="0"/>
        <w:ind w:right="2849" w:rightChars="1295"/>
        <w:outlineLvl w:val="9"/>
        <w:rPr>
          <w:rFonts w:ascii="宋体" w:hAnsi="Times New Roman" w:eastAsia="宋体" w:cs="Times New Roman"/>
          <w:b/>
          <w:bCs/>
          <w:kern w:val="2"/>
          <w:sz w:val="52"/>
          <w:szCs w:val="52"/>
        </w:rPr>
      </w:pPr>
    </w:p>
    <w:p w14:paraId="2C26F7DC">
      <w:pPr>
        <w:widowControl w:val="0"/>
        <w:adjustRightInd/>
        <w:snapToGrid/>
        <w:spacing w:after="0"/>
        <w:ind w:right="2849" w:rightChars="1295"/>
        <w:outlineLvl w:val="9"/>
        <w:rPr>
          <w:rFonts w:ascii="宋体" w:hAnsi="Times New Roman" w:eastAsia="宋体" w:cs="Times New Roman"/>
          <w:b/>
          <w:bCs/>
          <w:kern w:val="2"/>
          <w:sz w:val="52"/>
          <w:szCs w:val="52"/>
        </w:rPr>
      </w:pPr>
    </w:p>
    <w:p w14:paraId="48544BAA">
      <w:pPr>
        <w:widowControl w:val="0"/>
        <w:adjustRightInd/>
        <w:snapToGrid/>
        <w:spacing w:after="0"/>
        <w:ind w:right="2849" w:rightChars="1295"/>
        <w:outlineLvl w:val="9"/>
        <w:rPr>
          <w:rFonts w:ascii="宋体" w:hAnsi="Times New Roman" w:eastAsia="宋体" w:cs="Times New Roman"/>
          <w:b/>
          <w:bCs/>
          <w:kern w:val="2"/>
          <w:sz w:val="52"/>
          <w:szCs w:val="52"/>
        </w:rPr>
      </w:pPr>
    </w:p>
    <w:p w14:paraId="5824C48E">
      <w:pPr>
        <w:widowControl w:val="0"/>
        <w:adjustRightInd/>
        <w:snapToGrid/>
        <w:spacing w:after="0"/>
        <w:ind w:right="2849" w:rightChars="1295" w:firstLine="1890" w:firstLineChars="900"/>
        <w:outlineLvl w:val="9"/>
        <w:rPr>
          <w:rFonts w:ascii="宋体" w:hAnsi="Times New Roman" w:eastAsia="宋体" w:cs="Times New Roman"/>
          <w:b/>
          <w:bCs/>
          <w:kern w:val="2"/>
          <w:sz w:val="32"/>
          <w:szCs w:val="32"/>
        </w:rPr>
      </w:pPr>
      <w:r>
        <w:rPr>
          <w:rFonts w:ascii="Times New Roman" w:hAnsi="Times New Roman" w:eastAsia="宋体" w:cs="Times New Roman"/>
          <w:kern w:val="2"/>
          <w:sz w:val="21"/>
          <w:szCs w:val="24"/>
        </w:rPr>
        <w:pict>
          <v:shape id="文本框 1" o:spid="_x0000_s1027"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path/>
            <v:fill on="f" focussize="0,0"/>
            <v:stroke color="#FFFFFF" joinstyle="miter"/>
            <v:imagedata o:title=""/>
            <o:lock v:ext="edit"/>
            <v:textbox>
              <w:txbxContent>
                <w:p w14:paraId="39538970">
                  <w:pPr>
                    <w:rPr>
                      <w:b/>
                      <w:bCs/>
                      <w:sz w:val="32"/>
                      <w:szCs w:val="32"/>
                    </w:rPr>
                  </w:pPr>
                  <w:r>
                    <w:rPr>
                      <w:rFonts w:hint="eastAsia" w:cs="宋体"/>
                      <w:b/>
                      <w:bCs/>
                      <w:sz w:val="32"/>
                      <w:szCs w:val="32"/>
                    </w:rPr>
                    <w:t>制定</w:t>
                  </w:r>
                </w:p>
              </w:txbxContent>
            </v:textbox>
          </v:shape>
        </w:pict>
      </w:r>
      <w:r>
        <w:rPr>
          <w:rFonts w:hint="eastAsia" w:ascii="宋体" w:hAnsi="宋体" w:eastAsia="宋体" w:cs="宋体"/>
          <w:b/>
          <w:bCs/>
          <w:kern w:val="2"/>
          <w:sz w:val="32"/>
          <w:szCs w:val="32"/>
        </w:rPr>
        <w:t>住房和城乡建设部</w:t>
      </w:r>
    </w:p>
    <w:p w14:paraId="464CC19E">
      <w:pPr>
        <w:widowControl w:val="0"/>
        <w:adjustRightInd/>
        <w:snapToGrid/>
        <w:spacing w:after="0"/>
        <w:ind w:right="2849" w:rightChars="1295"/>
        <w:jc w:val="center"/>
        <w:outlineLvl w:val="9"/>
        <w:rPr>
          <w:rFonts w:ascii="宋体" w:hAnsi="宋体" w:eastAsia="宋体" w:cs="宋体"/>
          <w:b/>
          <w:bCs/>
          <w:kern w:val="2"/>
          <w:sz w:val="32"/>
          <w:szCs w:val="32"/>
        </w:rPr>
      </w:pPr>
      <w:r>
        <w:rPr>
          <w:rFonts w:hint="eastAsia" w:ascii="宋体" w:hAnsi="宋体" w:eastAsia="宋体" w:cs="宋体"/>
          <w:b/>
          <w:bCs/>
          <w:kern w:val="2"/>
          <w:sz w:val="32"/>
          <w:szCs w:val="32"/>
        </w:rPr>
        <w:t xml:space="preserve">     国家工商行政管理总局</w:t>
      </w:r>
    </w:p>
    <w:p w14:paraId="57816390">
      <w:pPr>
        <w:adjustRightInd/>
        <w:snapToGrid/>
        <w:spacing w:after="0"/>
        <w:outlineLvl w:val="9"/>
        <w:rPr>
          <w:rFonts w:ascii="宋体" w:hAnsi="宋体" w:eastAsia="宋体" w:cs="宋体"/>
          <w:b/>
          <w:bCs/>
          <w:kern w:val="2"/>
          <w:sz w:val="32"/>
          <w:szCs w:val="32"/>
        </w:rPr>
      </w:pPr>
    </w:p>
    <w:p w14:paraId="6A4BA55B">
      <w:pPr>
        <w:keepNext/>
        <w:widowControl w:val="0"/>
        <w:adjustRightInd/>
        <w:snapToGrid/>
        <w:spacing w:after="0" w:line="480" w:lineRule="exact"/>
        <w:jc w:val="center"/>
        <w:outlineLvl w:val="9"/>
        <w:rPr>
          <w:rFonts w:ascii="宋体" w:hAnsi="宋体" w:eastAsia="宋体" w:cs="楷体"/>
          <w:kern w:val="2"/>
          <w:sz w:val="24"/>
          <w:szCs w:val="24"/>
        </w:rPr>
      </w:pPr>
      <w:r>
        <w:rPr>
          <w:rFonts w:ascii="宋体" w:hAnsi="宋体" w:eastAsia="宋体" w:cs="方正小标宋简体"/>
          <w:b/>
          <w:bCs/>
          <w:sz w:val="30"/>
          <w:szCs w:val="30"/>
        </w:rPr>
        <w:br w:type="page"/>
      </w:r>
      <w:bookmarkEnd w:id="507"/>
      <w:bookmarkStart w:id="508" w:name="_Toc32351"/>
      <w:r>
        <w:rPr>
          <w:rFonts w:hint="eastAsia" w:ascii="宋体" w:hAnsi="宋体" w:eastAsia="宋体" w:cs="楷体"/>
          <w:kern w:val="2"/>
          <w:sz w:val="24"/>
          <w:szCs w:val="24"/>
        </w:rPr>
        <w:t>第一节 合同协议书</w:t>
      </w:r>
    </w:p>
    <w:p w14:paraId="3C441B39">
      <w:pPr>
        <w:widowControl w:val="0"/>
        <w:adjustRightInd/>
        <w:snapToGrid/>
        <w:spacing w:after="454" w:line="480" w:lineRule="exact"/>
        <w:jc w:val="both"/>
        <w:outlineLvl w:val="9"/>
        <w:rPr>
          <w:rFonts w:ascii="宋体" w:hAnsi="宋体" w:eastAsia="宋体" w:cs="楷体"/>
          <w:b/>
          <w:bCs/>
          <w:kern w:val="2"/>
          <w:sz w:val="24"/>
          <w:szCs w:val="24"/>
          <w:u w:val="single"/>
        </w:rPr>
      </w:pPr>
      <w:r>
        <w:rPr>
          <w:rFonts w:hint="eastAsia" w:ascii="宋体" w:hAnsi="宋体" w:eastAsia="宋体" w:cs="楷体"/>
          <w:b/>
          <w:bCs/>
          <w:kern w:val="2"/>
          <w:sz w:val="24"/>
          <w:szCs w:val="24"/>
        </w:rPr>
        <w:t>发包人（全称）：</w:t>
      </w:r>
      <w:r>
        <w:rPr>
          <w:rFonts w:hint="eastAsia" w:ascii="宋体" w:hAnsi="宋体" w:eastAsia="宋体" w:cs="楷体"/>
          <w:kern w:val="2"/>
          <w:sz w:val="24"/>
          <w:szCs w:val="24"/>
          <w:u w:val="single"/>
        </w:rPr>
        <w:t>灵宝市大王镇人民政府</w:t>
      </w:r>
      <w:r>
        <w:rPr>
          <w:rFonts w:hint="eastAsia" w:ascii="宋体" w:hAnsi="宋体" w:eastAsia="宋体" w:cs="楷体"/>
          <w:b/>
          <w:bCs/>
          <w:kern w:val="2"/>
          <w:sz w:val="24"/>
          <w:szCs w:val="24"/>
        </w:rPr>
        <w:t xml:space="preserve">. </w:t>
      </w:r>
    </w:p>
    <w:p w14:paraId="46133F9D">
      <w:pPr>
        <w:widowControl w:val="0"/>
        <w:adjustRightInd/>
        <w:snapToGrid/>
        <w:spacing w:after="454" w:line="480" w:lineRule="exact"/>
        <w:jc w:val="both"/>
        <w:outlineLvl w:val="9"/>
        <w:rPr>
          <w:rFonts w:ascii="宋体" w:hAnsi="宋体" w:eastAsia="宋体" w:cs="楷体"/>
          <w:b/>
          <w:bCs/>
          <w:kern w:val="2"/>
          <w:sz w:val="24"/>
          <w:szCs w:val="24"/>
          <w:u w:val="single"/>
        </w:rPr>
      </w:pPr>
      <w:r>
        <w:rPr>
          <w:rFonts w:hint="eastAsia" w:ascii="宋体" w:hAnsi="宋体" w:eastAsia="宋体" w:cs="楷体"/>
          <w:b/>
          <w:bCs/>
          <w:kern w:val="2"/>
          <w:sz w:val="24"/>
          <w:szCs w:val="24"/>
        </w:rPr>
        <w:t>承包人（全称）：</w:t>
      </w:r>
      <w:r>
        <w:rPr>
          <w:rFonts w:hint="eastAsia" w:ascii="宋体" w:hAnsi="宋体" w:eastAsia="宋体" w:cs="楷体"/>
          <w:bCs/>
          <w:kern w:val="2"/>
          <w:sz w:val="24"/>
          <w:szCs w:val="24"/>
          <w:u w:val="single"/>
        </w:rPr>
        <w:t>XXXXXXXXXXXXXXXX</w:t>
      </w:r>
      <w:r>
        <w:rPr>
          <w:rFonts w:hint="eastAsia" w:ascii="宋体" w:hAnsi="宋体" w:eastAsia="宋体" w:cs="楷体"/>
          <w:b/>
          <w:bCs/>
          <w:kern w:val="2"/>
          <w:sz w:val="24"/>
          <w:szCs w:val="24"/>
          <w:u w:val="single"/>
        </w:rPr>
        <w:t>.</w:t>
      </w:r>
    </w:p>
    <w:p w14:paraId="7E2B6B3C">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根据《中华人民共和国合同法》、《中华人民共和国建筑法》及有关法律规定，遵循平等、自愿、公平和诚实信用的原则，双方就工程施工及有关事项协商一致，共同达成如下协议：</w:t>
      </w:r>
    </w:p>
    <w:p w14:paraId="139B7F20">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09" w:name="_Toc351203481"/>
      <w:bookmarkEnd w:id="509"/>
      <w:r>
        <w:rPr>
          <w:rFonts w:hint="eastAsia" w:ascii="宋体" w:hAnsi="宋体" w:eastAsia="宋体" w:cs="楷体"/>
          <w:b/>
          <w:bCs/>
          <w:kern w:val="2"/>
          <w:sz w:val="24"/>
          <w:szCs w:val="24"/>
        </w:rPr>
        <w:t>一、工程概况</w:t>
      </w:r>
    </w:p>
    <w:p w14:paraId="498151B7">
      <w:pPr>
        <w:widowControl w:val="0"/>
        <w:wordWrap w:val="0"/>
        <w:adjustRightInd/>
        <w:snapToGrid/>
        <w:spacing w:after="0" w:line="480" w:lineRule="exact"/>
        <w:ind w:firstLine="240" w:firstLineChars="100"/>
        <w:jc w:val="both"/>
        <w:outlineLvl w:val="9"/>
        <w:rPr>
          <w:rFonts w:hint="eastAsia" w:ascii="宋体" w:hAnsi="宋体" w:eastAsia="宋体" w:cs="楷体"/>
          <w:kern w:val="2"/>
          <w:sz w:val="24"/>
          <w:szCs w:val="24"/>
          <w:u w:val="single"/>
          <w:lang w:eastAsia="zh-CN"/>
        </w:rPr>
      </w:pPr>
      <w:r>
        <w:rPr>
          <w:rFonts w:hint="eastAsia" w:ascii="宋体" w:hAnsi="宋体" w:eastAsia="宋体" w:cs="楷体"/>
          <w:kern w:val="2"/>
          <w:sz w:val="24"/>
          <w:szCs w:val="24"/>
        </w:rPr>
        <w:t>1.工程名称：</w:t>
      </w:r>
      <w:r>
        <w:rPr>
          <w:rFonts w:hint="eastAsia" w:ascii="宋体" w:hAnsi="宋体" w:eastAsia="宋体" w:cs="楷体"/>
          <w:kern w:val="2"/>
          <w:sz w:val="24"/>
          <w:szCs w:val="24"/>
          <w:u w:val="single"/>
          <w:lang w:eastAsia="zh-CN"/>
        </w:rPr>
        <w:t>王和村生产道路硬化项目</w:t>
      </w:r>
    </w:p>
    <w:p w14:paraId="4DA01949">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2.工程地点：</w:t>
      </w:r>
      <w:r>
        <w:rPr>
          <w:rFonts w:ascii="宋体" w:hAnsi="宋体" w:eastAsia="宋体" w:cs="楷体"/>
          <w:kern w:val="2"/>
          <w:sz w:val="24"/>
          <w:szCs w:val="24"/>
          <w:u w:val="single"/>
        </w:rPr>
        <w:t>大王镇</w:t>
      </w:r>
      <w:r>
        <w:rPr>
          <w:rFonts w:hint="eastAsia" w:ascii="宋体" w:hAnsi="宋体" w:eastAsia="宋体" w:cs="楷体"/>
          <w:kern w:val="2"/>
          <w:sz w:val="24"/>
          <w:szCs w:val="24"/>
          <w:u w:val="single"/>
          <w:lang w:eastAsia="zh-CN"/>
        </w:rPr>
        <w:t>王和村</w:t>
      </w:r>
    </w:p>
    <w:p w14:paraId="2AB3D8F2">
      <w:pPr>
        <w:widowControl w:val="0"/>
        <w:wordWrap w:val="0"/>
        <w:adjustRightInd/>
        <w:snapToGrid/>
        <w:spacing w:after="0" w:line="480" w:lineRule="exact"/>
        <w:ind w:firstLine="240" w:firstLineChars="100"/>
        <w:jc w:val="both"/>
        <w:outlineLvl w:val="9"/>
        <w:rPr>
          <w:rFonts w:hint="default" w:ascii="宋体" w:hAnsi="宋体" w:eastAsia="宋体" w:cs="楷体"/>
          <w:color w:val="FF0000"/>
          <w:kern w:val="2"/>
          <w:sz w:val="24"/>
          <w:szCs w:val="24"/>
          <w:u w:val="none"/>
          <w:lang w:val="en-US" w:eastAsia="zh-CN"/>
        </w:rPr>
      </w:pPr>
      <w:r>
        <w:rPr>
          <w:rFonts w:hint="eastAsia" w:ascii="宋体" w:hAnsi="宋体" w:eastAsia="宋体" w:cs="楷体"/>
          <w:kern w:val="2"/>
          <w:sz w:val="24"/>
          <w:szCs w:val="24"/>
        </w:rPr>
        <w:t>3.</w:t>
      </w:r>
      <w:r>
        <w:rPr>
          <w:rFonts w:hint="eastAsia" w:ascii="宋体" w:hAnsi="宋体" w:eastAsia="宋体" w:cs="楷体"/>
          <w:color w:val="auto"/>
          <w:kern w:val="2"/>
          <w:sz w:val="24"/>
          <w:szCs w:val="24"/>
        </w:rPr>
        <w:t>工程立项批准文号：</w:t>
      </w:r>
      <w:r>
        <w:rPr>
          <w:rFonts w:hint="eastAsia" w:ascii="宋体" w:hAnsi="宋体" w:eastAsia="宋体" w:cs="楷体"/>
          <w:color w:val="auto"/>
          <w:kern w:val="2"/>
          <w:sz w:val="24"/>
          <w:szCs w:val="24"/>
          <w:lang w:eastAsia="zh-CN"/>
        </w:rPr>
        <w:t>三示范农领【</w:t>
      </w:r>
      <w:r>
        <w:rPr>
          <w:rFonts w:hint="eastAsia" w:ascii="宋体" w:hAnsi="宋体" w:eastAsia="宋体" w:cs="楷体"/>
          <w:color w:val="auto"/>
          <w:kern w:val="2"/>
          <w:sz w:val="24"/>
          <w:szCs w:val="24"/>
          <w:lang w:val="en-US" w:eastAsia="zh-CN"/>
        </w:rPr>
        <w:t>2026</w:t>
      </w:r>
      <w:r>
        <w:rPr>
          <w:rFonts w:hint="eastAsia" w:ascii="宋体" w:hAnsi="宋体" w:eastAsia="宋体" w:cs="楷体"/>
          <w:color w:val="auto"/>
          <w:kern w:val="2"/>
          <w:sz w:val="24"/>
          <w:szCs w:val="24"/>
          <w:lang w:eastAsia="zh-CN"/>
        </w:rPr>
        <w:t>】</w:t>
      </w:r>
      <w:r>
        <w:rPr>
          <w:rFonts w:hint="eastAsia" w:ascii="宋体" w:hAnsi="宋体" w:eastAsia="宋体" w:cs="楷体"/>
          <w:color w:val="auto"/>
          <w:kern w:val="2"/>
          <w:sz w:val="24"/>
          <w:szCs w:val="24"/>
          <w:lang w:val="en-US" w:eastAsia="zh-CN"/>
        </w:rPr>
        <w:t>6号、</w:t>
      </w:r>
      <w:r>
        <w:rPr>
          <w:rFonts w:hint="eastAsia" w:ascii="宋体" w:hAnsi="宋体" w:eastAsia="宋体" w:cs="楷体"/>
          <w:color w:val="auto"/>
          <w:kern w:val="2"/>
          <w:sz w:val="24"/>
          <w:szCs w:val="24"/>
          <w:lang w:eastAsia="zh-CN"/>
        </w:rPr>
        <w:t>三示财预字【</w:t>
      </w:r>
      <w:r>
        <w:rPr>
          <w:rFonts w:hint="eastAsia" w:ascii="宋体" w:hAnsi="宋体" w:eastAsia="宋体" w:cs="楷体"/>
          <w:color w:val="auto"/>
          <w:kern w:val="2"/>
          <w:sz w:val="24"/>
          <w:szCs w:val="24"/>
          <w:lang w:val="en-US" w:eastAsia="zh-CN"/>
        </w:rPr>
        <w:t>2026</w:t>
      </w:r>
      <w:r>
        <w:rPr>
          <w:rFonts w:hint="eastAsia" w:ascii="宋体" w:hAnsi="宋体" w:eastAsia="宋体" w:cs="楷体"/>
          <w:color w:val="auto"/>
          <w:kern w:val="2"/>
          <w:sz w:val="24"/>
          <w:szCs w:val="24"/>
          <w:lang w:eastAsia="zh-CN"/>
        </w:rPr>
        <w:t>】</w:t>
      </w:r>
      <w:r>
        <w:rPr>
          <w:rFonts w:hint="eastAsia" w:ascii="宋体" w:hAnsi="宋体" w:eastAsia="宋体" w:cs="楷体"/>
          <w:color w:val="auto"/>
          <w:kern w:val="2"/>
          <w:sz w:val="24"/>
          <w:szCs w:val="24"/>
          <w:lang w:val="en-US" w:eastAsia="zh-CN"/>
        </w:rPr>
        <w:t>355号、</w:t>
      </w:r>
      <w:r>
        <w:rPr>
          <w:rFonts w:hint="eastAsia" w:ascii="宋体" w:hAnsi="宋体" w:eastAsia="宋体" w:cs="楷体"/>
          <w:color w:val="auto"/>
          <w:kern w:val="2"/>
          <w:sz w:val="24"/>
          <w:szCs w:val="24"/>
          <w:lang w:eastAsia="zh-CN"/>
        </w:rPr>
        <w:t>三示财预字【</w:t>
      </w:r>
      <w:r>
        <w:rPr>
          <w:rFonts w:hint="eastAsia" w:ascii="宋体" w:hAnsi="宋体" w:eastAsia="宋体" w:cs="楷体"/>
          <w:color w:val="auto"/>
          <w:kern w:val="2"/>
          <w:sz w:val="24"/>
          <w:szCs w:val="24"/>
          <w:lang w:val="en-US" w:eastAsia="zh-CN"/>
        </w:rPr>
        <w:t>2026</w:t>
      </w:r>
      <w:r>
        <w:rPr>
          <w:rFonts w:hint="eastAsia" w:ascii="宋体" w:hAnsi="宋体" w:eastAsia="宋体" w:cs="楷体"/>
          <w:color w:val="auto"/>
          <w:kern w:val="2"/>
          <w:sz w:val="24"/>
          <w:szCs w:val="24"/>
          <w:lang w:eastAsia="zh-CN"/>
        </w:rPr>
        <w:t>】</w:t>
      </w:r>
      <w:r>
        <w:rPr>
          <w:rFonts w:hint="eastAsia" w:ascii="宋体" w:hAnsi="宋体" w:eastAsia="宋体" w:cs="楷体"/>
          <w:color w:val="auto"/>
          <w:kern w:val="2"/>
          <w:sz w:val="24"/>
          <w:szCs w:val="24"/>
          <w:lang w:val="en-US" w:eastAsia="zh-CN"/>
        </w:rPr>
        <w:t>365号</w:t>
      </w:r>
      <w:r>
        <w:rPr>
          <w:rFonts w:hint="eastAsia" w:ascii="宋体" w:hAnsi="宋体" w:eastAsia="宋体" w:cs="楷体"/>
          <w:color w:val="FF0000"/>
          <w:kern w:val="2"/>
          <w:sz w:val="24"/>
          <w:szCs w:val="24"/>
          <w:u w:val="none"/>
          <w:lang w:val="en-US" w:eastAsia="zh-CN"/>
        </w:rPr>
        <w:t xml:space="preserve">    </w:t>
      </w:r>
    </w:p>
    <w:p w14:paraId="74542FD1">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4.资金来源：</w:t>
      </w:r>
      <w:r>
        <w:rPr>
          <w:rFonts w:hint="eastAsia" w:ascii="宋体" w:hAnsi="宋体" w:eastAsia="宋体" w:cs="楷体"/>
          <w:kern w:val="2"/>
          <w:sz w:val="24"/>
          <w:szCs w:val="24"/>
          <w:u w:val="single"/>
        </w:rPr>
        <w:t>财政资金</w:t>
      </w:r>
    </w:p>
    <w:p w14:paraId="0616DC1A">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5.工程内容：</w:t>
      </w:r>
      <w:r>
        <w:rPr>
          <w:rFonts w:hint="eastAsia" w:ascii="宋体" w:hAnsi="宋体" w:eastAsia="宋体" w:cs="楷体"/>
          <w:kern w:val="2"/>
          <w:sz w:val="24"/>
          <w:szCs w:val="24"/>
          <w:u w:val="single"/>
          <w:lang w:eastAsia="zh-CN"/>
        </w:rPr>
        <w:t>王和村生产道路硬化项目</w:t>
      </w:r>
      <w:r>
        <w:rPr>
          <w:rFonts w:hint="eastAsia" w:ascii="宋体" w:hAnsi="宋体" w:eastAsia="宋体" w:cs="楷体"/>
          <w:kern w:val="2"/>
          <w:sz w:val="24"/>
          <w:szCs w:val="24"/>
          <w:u w:val="single"/>
        </w:rPr>
        <w:t>，</w:t>
      </w:r>
      <w:r>
        <w:rPr>
          <w:rFonts w:hint="eastAsia" w:ascii="宋体" w:hAnsi="宋体" w:eastAsia="宋体" w:cs="楷体"/>
          <w:kern w:val="2"/>
          <w:sz w:val="24"/>
          <w:szCs w:val="24"/>
          <w:u w:val="single"/>
          <w:lang w:val="en-US" w:eastAsia="zh-CN"/>
        </w:rPr>
        <w:t>主要建设内容：路基清表、水泥稳定土基层、混凝土面层、切缝、减速带等</w:t>
      </w:r>
      <w:r>
        <w:rPr>
          <w:rFonts w:hint="eastAsia" w:ascii="宋体" w:hAnsi="宋体" w:eastAsia="宋体" w:cs="楷体"/>
          <w:kern w:val="2"/>
          <w:sz w:val="24"/>
          <w:szCs w:val="24"/>
          <w:u w:val="single"/>
        </w:rPr>
        <w:t>；</w:t>
      </w:r>
      <w:r>
        <w:rPr>
          <w:rFonts w:hint="eastAsia" w:ascii="宋体" w:hAnsi="宋体" w:eastAsia="宋体" w:cs="楷体"/>
          <w:kern w:val="2"/>
          <w:sz w:val="24"/>
          <w:szCs w:val="24"/>
          <w:u w:val="single"/>
          <w:lang w:val="en-US" w:eastAsia="zh-CN"/>
        </w:rPr>
        <w:t>具体详见工程量清单</w:t>
      </w:r>
      <w:r>
        <w:rPr>
          <w:rFonts w:hint="eastAsia" w:ascii="宋体" w:hAnsi="宋体" w:eastAsia="宋体" w:cs="楷体"/>
          <w:kern w:val="2"/>
          <w:sz w:val="24"/>
          <w:szCs w:val="24"/>
          <w:lang w:val="en-US" w:eastAsia="zh-CN"/>
        </w:rPr>
        <w:t>；</w:t>
      </w:r>
    </w:p>
    <w:p w14:paraId="1F5EFD00">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群体工程应附《承包人承揽工程项目一览表》（附件1）。</w:t>
      </w:r>
    </w:p>
    <w:p w14:paraId="6EB25B94">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6.工程承包范围：</w:t>
      </w:r>
      <w:r>
        <w:rPr>
          <w:rFonts w:hint="eastAsia" w:ascii="宋体" w:hAnsi="宋体" w:eastAsia="宋体" w:cs="楷体"/>
          <w:kern w:val="2"/>
          <w:sz w:val="24"/>
          <w:szCs w:val="24"/>
          <w:u w:val="single"/>
        </w:rPr>
        <w:t>磋商文件、工程量清单及施工图纸所包含的全部内容。</w:t>
      </w:r>
    </w:p>
    <w:p w14:paraId="22C685B9">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10" w:name="_Toc351203482"/>
      <w:bookmarkEnd w:id="510"/>
      <w:r>
        <w:rPr>
          <w:rFonts w:hint="eastAsia" w:ascii="宋体" w:hAnsi="宋体" w:eastAsia="宋体" w:cs="楷体"/>
          <w:b/>
          <w:bCs/>
          <w:kern w:val="2"/>
          <w:sz w:val="24"/>
          <w:szCs w:val="24"/>
        </w:rPr>
        <w:t>二、合同工期</w:t>
      </w:r>
    </w:p>
    <w:p w14:paraId="31955A77">
      <w:pPr>
        <w:widowControl w:val="0"/>
        <w:wordWrap w:val="0"/>
        <w:adjustRightInd/>
        <w:snapToGrid/>
        <w:spacing w:after="0" w:line="480" w:lineRule="exact"/>
        <w:ind w:firstLine="240" w:firstLineChars="100"/>
        <w:jc w:val="both"/>
        <w:outlineLvl w:val="9"/>
        <w:rPr>
          <w:rFonts w:ascii="宋体" w:hAnsi="宋体" w:eastAsia="宋体" w:cs="楷体"/>
          <w:color w:val="auto"/>
          <w:kern w:val="2"/>
          <w:sz w:val="24"/>
          <w:szCs w:val="24"/>
        </w:rPr>
      </w:pPr>
      <w:r>
        <w:rPr>
          <w:rFonts w:hint="eastAsia" w:ascii="宋体" w:hAnsi="宋体" w:eastAsia="宋体" w:cs="楷体"/>
          <w:color w:val="auto"/>
          <w:kern w:val="2"/>
          <w:sz w:val="24"/>
          <w:szCs w:val="24"/>
        </w:rPr>
        <w:t>计划开工日期：</w:t>
      </w:r>
      <w:r>
        <w:rPr>
          <w:rFonts w:hint="eastAsia" w:ascii="宋体" w:hAnsi="宋体" w:eastAsia="宋体" w:cs="楷体"/>
          <w:color w:val="auto"/>
          <w:kern w:val="2"/>
          <w:sz w:val="24"/>
          <w:szCs w:val="24"/>
          <w:u w:val="single"/>
        </w:rPr>
        <w:t xml:space="preserve"> 2026 </w:t>
      </w:r>
      <w:r>
        <w:rPr>
          <w:rFonts w:hint="eastAsia" w:ascii="宋体" w:hAnsi="宋体" w:eastAsia="宋体" w:cs="楷体"/>
          <w:color w:val="auto"/>
          <w:kern w:val="2"/>
          <w:sz w:val="24"/>
          <w:szCs w:val="24"/>
        </w:rPr>
        <w:t>年</w:t>
      </w:r>
      <w:r>
        <w:rPr>
          <w:rFonts w:hint="eastAsia" w:ascii="宋体" w:hAnsi="宋体" w:eastAsia="宋体" w:cs="楷体"/>
          <w:color w:val="auto"/>
          <w:kern w:val="2"/>
          <w:sz w:val="24"/>
          <w:szCs w:val="24"/>
          <w:u w:val="single"/>
        </w:rPr>
        <w:t xml:space="preserve">  08  </w:t>
      </w:r>
      <w:r>
        <w:rPr>
          <w:rFonts w:hint="eastAsia" w:ascii="宋体" w:hAnsi="宋体" w:eastAsia="宋体" w:cs="楷体"/>
          <w:color w:val="auto"/>
          <w:kern w:val="2"/>
          <w:sz w:val="24"/>
          <w:szCs w:val="24"/>
        </w:rPr>
        <w:t>月</w:t>
      </w:r>
      <w:r>
        <w:rPr>
          <w:rFonts w:hint="eastAsia" w:ascii="宋体" w:hAnsi="宋体" w:eastAsia="宋体" w:cs="楷体"/>
          <w:color w:val="auto"/>
          <w:kern w:val="2"/>
          <w:sz w:val="24"/>
          <w:szCs w:val="24"/>
          <w:u w:val="single"/>
        </w:rPr>
        <w:t xml:space="preserve"> </w:t>
      </w:r>
      <w:r>
        <w:rPr>
          <w:rFonts w:hint="eastAsia" w:ascii="宋体" w:hAnsi="宋体" w:eastAsia="宋体" w:cs="楷体"/>
          <w:color w:val="auto"/>
          <w:kern w:val="2"/>
          <w:sz w:val="24"/>
          <w:szCs w:val="24"/>
          <w:u w:val="single"/>
          <w:lang w:val="en-US" w:eastAsia="zh-CN"/>
        </w:rPr>
        <w:t xml:space="preserve"> 20</w:t>
      </w:r>
      <w:r>
        <w:rPr>
          <w:rFonts w:hint="eastAsia" w:ascii="宋体" w:hAnsi="宋体" w:eastAsia="宋体" w:cs="楷体"/>
          <w:color w:val="auto"/>
          <w:kern w:val="2"/>
          <w:sz w:val="24"/>
          <w:szCs w:val="24"/>
          <w:u w:val="single"/>
        </w:rPr>
        <w:t xml:space="preserve">  </w:t>
      </w:r>
      <w:r>
        <w:rPr>
          <w:rFonts w:hint="eastAsia" w:ascii="宋体" w:hAnsi="宋体" w:eastAsia="宋体" w:cs="楷体"/>
          <w:color w:val="auto"/>
          <w:kern w:val="2"/>
          <w:sz w:val="24"/>
          <w:szCs w:val="24"/>
        </w:rPr>
        <w:t>日。</w:t>
      </w:r>
    </w:p>
    <w:p w14:paraId="0A8D22AB">
      <w:pPr>
        <w:widowControl w:val="0"/>
        <w:wordWrap w:val="0"/>
        <w:adjustRightInd/>
        <w:snapToGrid/>
        <w:spacing w:after="0" w:line="480" w:lineRule="exact"/>
        <w:ind w:firstLine="240" w:firstLineChars="100"/>
        <w:jc w:val="both"/>
        <w:outlineLvl w:val="9"/>
        <w:rPr>
          <w:rFonts w:ascii="宋体" w:hAnsi="宋体" w:eastAsia="宋体" w:cs="楷体"/>
          <w:color w:val="auto"/>
          <w:kern w:val="2"/>
          <w:sz w:val="24"/>
          <w:szCs w:val="24"/>
        </w:rPr>
      </w:pPr>
      <w:r>
        <w:rPr>
          <w:rFonts w:hint="eastAsia" w:ascii="宋体" w:hAnsi="宋体" w:eastAsia="宋体" w:cs="楷体"/>
          <w:color w:val="auto"/>
          <w:kern w:val="2"/>
          <w:sz w:val="24"/>
          <w:szCs w:val="24"/>
        </w:rPr>
        <w:t>计划竣工日期：</w:t>
      </w:r>
      <w:r>
        <w:rPr>
          <w:rFonts w:hint="eastAsia" w:ascii="宋体" w:hAnsi="宋体" w:eastAsia="宋体" w:cs="楷体"/>
          <w:color w:val="auto"/>
          <w:kern w:val="2"/>
          <w:sz w:val="24"/>
          <w:szCs w:val="24"/>
          <w:u w:val="single"/>
        </w:rPr>
        <w:t xml:space="preserve">  202</w:t>
      </w:r>
      <w:r>
        <w:rPr>
          <w:rFonts w:hint="eastAsia" w:ascii="宋体" w:hAnsi="宋体" w:eastAsia="宋体" w:cs="楷体"/>
          <w:color w:val="auto"/>
          <w:kern w:val="2"/>
          <w:sz w:val="24"/>
          <w:szCs w:val="24"/>
          <w:u w:val="single"/>
          <w:lang w:val="en-US" w:eastAsia="zh-CN"/>
        </w:rPr>
        <w:t xml:space="preserve">6 </w:t>
      </w:r>
      <w:r>
        <w:rPr>
          <w:rFonts w:hint="eastAsia" w:ascii="宋体" w:hAnsi="宋体" w:eastAsia="宋体" w:cs="楷体"/>
          <w:color w:val="auto"/>
          <w:kern w:val="2"/>
          <w:sz w:val="24"/>
          <w:szCs w:val="24"/>
          <w:u w:val="single"/>
        </w:rPr>
        <w:t xml:space="preserve"> </w:t>
      </w:r>
      <w:r>
        <w:rPr>
          <w:rFonts w:hint="eastAsia" w:ascii="宋体" w:hAnsi="宋体" w:eastAsia="宋体" w:cs="楷体"/>
          <w:color w:val="auto"/>
          <w:kern w:val="2"/>
          <w:sz w:val="24"/>
          <w:szCs w:val="24"/>
        </w:rPr>
        <w:t>年</w:t>
      </w:r>
      <w:r>
        <w:rPr>
          <w:rFonts w:hint="eastAsia" w:ascii="宋体" w:hAnsi="宋体" w:eastAsia="宋体" w:cs="楷体"/>
          <w:color w:val="auto"/>
          <w:kern w:val="2"/>
          <w:sz w:val="24"/>
          <w:szCs w:val="24"/>
          <w:u w:val="single"/>
        </w:rPr>
        <w:t xml:space="preserve"> </w:t>
      </w:r>
      <w:r>
        <w:rPr>
          <w:rFonts w:hint="eastAsia" w:ascii="宋体" w:hAnsi="宋体" w:eastAsia="宋体" w:cs="楷体"/>
          <w:color w:val="auto"/>
          <w:kern w:val="2"/>
          <w:sz w:val="24"/>
          <w:szCs w:val="24"/>
          <w:u w:val="single"/>
          <w:lang w:val="en-US" w:eastAsia="zh-CN"/>
        </w:rPr>
        <w:t xml:space="preserve"> 10</w:t>
      </w:r>
      <w:r>
        <w:rPr>
          <w:rFonts w:hint="eastAsia" w:ascii="宋体" w:hAnsi="宋体" w:eastAsia="宋体" w:cs="楷体"/>
          <w:color w:val="auto"/>
          <w:kern w:val="2"/>
          <w:sz w:val="24"/>
          <w:szCs w:val="24"/>
          <w:u w:val="single"/>
        </w:rPr>
        <w:t xml:space="preserve">  </w:t>
      </w:r>
      <w:r>
        <w:rPr>
          <w:rFonts w:hint="eastAsia" w:ascii="宋体" w:hAnsi="宋体" w:eastAsia="宋体" w:cs="楷体"/>
          <w:color w:val="auto"/>
          <w:kern w:val="2"/>
          <w:sz w:val="24"/>
          <w:szCs w:val="24"/>
        </w:rPr>
        <w:t>月</w:t>
      </w:r>
      <w:r>
        <w:rPr>
          <w:rFonts w:hint="eastAsia" w:ascii="宋体" w:hAnsi="宋体" w:eastAsia="宋体" w:cs="楷体"/>
          <w:color w:val="auto"/>
          <w:kern w:val="2"/>
          <w:sz w:val="24"/>
          <w:szCs w:val="24"/>
          <w:u w:val="single"/>
        </w:rPr>
        <w:t xml:space="preserve">  </w:t>
      </w:r>
      <w:r>
        <w:rPr>
          <w:rFonts w:hint="eastAsia" w:ascii="宋体" w:hAnsi="宋体" w:eastAsia="宋体" w:cs="楷体"/>
          <w:color w:val="auto"/>
          <w:kern w:val="2"/>
          <w:sz w:val="24"/>
          <w:szCs w:val="24"/>
          <w:u w:val="single"/>
          <w:lang w:val="en-US" w:eastAsia="zh-CN"/>
        </w:rPr>
        <w:t>05</w:t>
      </w:r>
      <w:r>
        <w:rPr>
          <w:rFonts w:hint="eastAsia" w:ascii="宋体" w:hAnsi="宋体" w:eastAsia="宋体" w:cs="楷体"/>
          <w:color w:val="auto"/>
          <w:kern w:val="2"/>
          <w:sz w:val="24"/>
          <w:szCs w:val="24"/>
          <w:u w:val="single"/>
        </w:rPr>
        <w:t xml:space="preserve"> </w:t>
      </w:r>
      <w:r>
        <w:rPr>
          <w:rFonts w:hint="eastAsia" w:ascii="宋体" w:hAnsi="宋体" w:eastAsia="宋体" w:cs="楷体"/>
          <w:color w:val="auto"/>
          <w:kern w:val="2"/>
          <w:sz w:val="24"/>
          <w:szCs w:val="24"/>
        </w:rPr>
        <w:t>日。</w:t>
      </w:r>
    </w:p>
    <w:p w14:paraId="08BF7089">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color w:val="auto"/>
          <w:kern w:val="2"/>
          <w:sz w:val="24"/>
          <w:szCs w:val="24"/>
        </w:rPr>
        <w:t>工期总日历天数：</w:t>
      </w:r>
      <w:r>
        <w:rPr>
          <w:rFonts w:hint="eastAsia" w:ascii="宋体" w:hAnsi="宋体" w:eastAsia="宋体" w:cs="楷体"/>
          <w:color w:val="auto"/>
          <w:kern w:val="2"/>
          <w:sz w:val="24"/>
          <w:szCs w:val="24"/>
          <w:u w:val="single"/>
          <w:lang w:val="en-US" w:eastAsia="zh-CN"/>
        </w:rPr>
        <w:t xml:space="preserve"> 45</w:t>
      </w:r>
      <w:r>
        <w:rPr>
          <w:rFonts w:hint="eastAsia" w:ascii="宋体" w:hAnsi="宋体" w:eastAsia="宋体" w:cs="楷体"/>
          <w:color w:val="auto"/>
          <w:kern w:val="2"/>
          <w:sz w:val="24"/>
          <w:szCs w:val="24"/>
        </w:rPr>
        <w:t>天。</w:t>
      </w:r>
      <w:r>
        <w:rPr>
          <w:rFonts w:hint="eastAsia" w:ascii="宋体" w:hAnsi="宋体" w:eastAsia="宋体" w:cs="楷体"/>
          <w:kern w:val="2"/>
          <w:sz w:val="24"/>
          <w:szCs w:val="24"/>
        </w:rPr>
        <w:t>工期总日历天数与根据前述计划开竣工日期计算的工期天数不一致的，以工期总日历天数为准。</w:t>
      </w:r>
    </w:p>
    <w:p w14:paraId="47116735">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11" w:name="_Toc351203483"/>
      <w:bookmarkEnd w:id="511"/>
      <w:r>
        <w:rPr>
          <w:rFonts w:hint="eastAsia" w:ascii="宋体" w:hAnsi="宋体" w:eastAsia="宋体" w:cs="楷体"/>
          <w:b/>
          <w:bCs/>
          <w:kern w:val="2"/>
          <w:sz w:val="24"/>
          <w:szCs w:val="24"/>
        </w:rPr>
        <w:t>三、质量标准</w:t>
      </w:r>
    </w:p>
    <w:p w14:paraId="1891C96F">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工程质量：</w:t>
      </w:r>
      <w:r>
        <w:rPr>
          <w:rFonts w:hint="eastAsia" w:ascii="宋体" w:hAnsi="宋体" w:eastAsia="宋体" w:cs="楷体"/>
          <w:kern w:val="2"/>
          <w:sz w:val="24"/>
          <w:szCs w:val="24"/>
          <w:u w:val="single"/>
        </w:rPr>
        <w:t>达到国家现行建设工程施工质量验收规范合格标准</w:t>
      </w:r>
      <w:r>
        <w:rPr>
          <w:rFonts w:hint="eastAsia" w:ascii="宋体" w:hAnsi="宋体" w:eastAsia="宋体" w:cs="楷体"/>
          <w:kern w:val="2"/>
          <w:sz w:val="24"/>
          <w:szCs w:val="24"/>
        </w:rPr>
        <w:t>。</w:t>
      </w:r>
    </w:p>
    <w:p w14:paraId="156E28A0">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12" w:name="_Toc351203484"/>
      <w:bookmarkEnd w:id="512"/>
      <w:r>
        <w:rPr>
          <w:rFonts w:hint="eastAsia" w:ascii="宋体" w:hAnsi="宋体" w:eastAsia="宋体" w:cs="楷体"/>
          <w:b/>
          <w:bCs/>
          <w:kern w:val="2"/>
          <w:sz w:val="24"/>
          <w:szCs w:val="24"/>
        </w:rPr>
        <w:t>四、签约合同价与合同价格形式</w:t>
      </w:r>
      <w:r>
        <w:rPr>
          <w:rFonts w:hint="eastAsia" w:ascii="宋体" w:hAnsi="宋体" w:eastAsia="宋体" w:cs="楷体"/>
          <w:b/>
          <w:bCs/>
          <w:kern w:val="2"/>
          <w:sz w:val="24"/>
          <w:szCs w:val="24"/>
        </w:rPr>
        <w:tab/>
      </w:r>
    </w:p>
    <w:p w14:paraId="0375616C">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1.签约合同价为：人民币（大写</w:t>
      </w:r>
      <w:r>
        <w:rPr>
          <w:rFonts w:hint="eastAsia" w:ascii="宋体" w:hAnsi="宋体" w:eastAsia="宋体" w:cs="楷体"/>
          <w:kern w:val="2"/>
          <w:sz w:val="24"/>
          <w:szCs w:val="24"/>
          <w:u w:val="single"/>
        </w:rPr>
        <w:t xml:space="preserve"> XXX  </w:t>
      </w:r>
      <w:r>
        <w:rPr>
          <w:rFonts w:hint="eastAsia" w:ascii="宋体" w:hAnsi="宋体" w:eastAsia="宋体" w:cs="楷体"/>
          <w:kern w:val="2"/>
          <w:sz w:val="24"/>
          <w:szCs w:val="24"/>
        </w:rPr>
        <w:t>）(</w:t>
      </w:r>
      <w:r>
        <w:rPr>
          <w:rFonts w:hint="eastAsia" w:ascii="宋体" w:hAnsi="宋体" w:eastAsia="宋体" w:cs="Times New Roman"/>
          <w:kern w:val="2"/>
          <w:sz w:val="24"/>
          <w:szCs w:val="24"/>
        </w:rPr>
        <w:t>¥</w:t>
      </w:r>
      <w:r>
        <w:rPr>
          <w:rFonts w:hint="eastAsia" w:ascii="宋体" w:hAnsi="宋体" w:eastAsia="宋体" w:cs="Times New Roman"/>
          <w:kern w:val="2"/>
          <w:sz w:val="24"/>
          <w:szCs w:val="24"/>
          <w:u w:val="single"/>
        </w:rPr>
        <w:t xml:space="preserve"> XXX </w:t>
      </w:r>
      <w:r>
        <w:rPr>
          <w:rFonts w:hint="eastAsia" w:ascii="宋体" w:hAnsi="宋体" w:eastAsia="宋体" w:cs="楷体"/>
          <w:kern w:val="2"/>
          <w:sz w:val="24"/>
          <w:szCs w:val="24"/>
        </w:rPr>
        <w:t>元)；</w:t>
      </w:r>
    </w:p>
    <w:p w14:paraId="2A98D68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其中：</w:t>
      </w:r>
    </w:p>
    <w:p w14:paraId="54DB77B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（1）安全文明施工费：</w:t>
      </w:r>
    </w:p>
    <w:p w14:paraId="5C49407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人民币（大写</w:t>
      </w:r>
      <w:r>
        <w:rPr>
          <w:rFonts w:hint="eastAsia" w:ascii="宋体" w:hAnsi="宋体" w:eastAsia="宋体" w:cs="楷体"/>
          <w:kern w:val="2"/>
          <w:sz w:val="24"/>
          <w:szCs w:val="24"/>
          <w:u w:val="single"/>
        </w:rPr>
        <w:t xml:space="preserve">  XXX </w:t>
      </w:r>
      <w:r>
        <w:rPr>
          <w:rFonts w:hint="eastAsia" w:ascii="宋体" w:hAnsi="宋体" w:eastAsia="宋体" w:cs="楷体"/>
          <w:kern w:val="2"/>
          <w:sz w:val="24"/>
          <w:szCs w:val="24"/>
        </w:rPr>
        <w:t>） (</w:t>
      </w:r>
      <w:r>
        <w:rPr>
          <w:rFonts w:hint="eastAsia" w:ascii="宋体" w:hAnsi="宋体" w:eastAsia="宋体" w:cs="Times New Roman"/>
          <w:kern w:val="2"/>
          <w:sz w:val="24"/>
          <w:szCs w:val="24"/>
        </w:rPr>
        <w:t>¥</w:t>
      </w:r>
      <w:r>
        <w:rPr>
          <w:rFonts w:hint="eastAsia" w:ascii="宋体" w:hAnsi="宋体" w:eastAsia="宋体" w:cs="Times New Roman"/>
          <w:kern w:val="2"/>
          <w:sz w:val="24"/>
          <w:szCs w:val="24"/>
          <w:u w:val="single"/>
        </w:rPr>
        <w:t xml:space="preserve">  XXX  </w:t>
      </w:r>
      <w:r>
        <w:rPr>
          <w:rFonts w:hint="eastAsia" w:ascii="宋体" w:hAnsi="宋体" w:eastAsia="宋体" w:cs="楷体"/>
          <w:kern w:val="2"/>
          <w:sz w:val="24"/>
          <w:szCs w:val="24"/>
        </w:rPr>
        <w:t>元)；</w:t>
      </w:r>
    </w:p>
    <w:p w14:paraId="37AAA57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（2）材料和工程设备暂估价金额：</w:t>
      </w:r>
    </w:p>
    <w:p w14:paraId="0399D1E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人民币（大写</w:t>
      </w:r>
      <w:r>
        <w:rPr>
          <w:rFonts w:hint="eastAsia" w:ascii="宋体" w:hAnsi="宋体" w:eastAsia="宋体" w:cs="楷体"/>
          <w:kern w:val="2"/>
          <w:sz w:val="24"/>
          <w:szCs w:val="24"/>
          <w:u w:val="single"/>
        </w:rPr>
        <w:t xml:space="preserve"> XXX </w:t>
      </w:r>
      <w:r>
        <w:rPr>
          <w:rFonts w:hint="eastAsia" w:ascii="宋体" w:hAnsi="宋体" w:eastAsia="宋体" w:cs="楷体"/>
          <w:kern w:val="2"/>
          <w:sz w:val="24"/>
          <w:szCs w:val="24"/>
        </w:rPr>
        <w:t>） (</w:t>
      </w:r>
      <w:r>
        <w:rPr>
          <w:rFonts w:hint="eastAsia" w:ascii="宋体" w:hAnsi="宋体" w:eastAsia="宋体" w:cs="Times New Roman"/>
          <w:kern w:val="2"/>
          <w:sz w:val="24"/>
          <w:szCs w:val="24"/>
        </w:rPr>
        <w:t>¥</w:t>
      </w:r>
      <w:r>
        <w:rPr>
          <w:rFonts w:hint="eastAsia" w:ascii="宋体" w:hAnsi="宋体" w:eastAsia="宋体" w:cs="Times New Roman"/>
          <w:kern w:val="2"/>
          <w:sz w:val="24"/>
          <w:szCs w:val="24"/>
          <w:u w:val="single"/>
        </w:rPr>
        <w:t xml:space="preserve"> XXX </w:t>
      </w:r>
      <w:r>
        <w:rPr>
          <w:rFonts w:hint="eastAsia" w:ascii="宋体" w:hAnsi="宋体" w:eastAsia="宋体" w:cs="楷体"/>
          <w:kern w:val="2"/>
          <w:sz w:val="24"/>
          <w:szCs w:val="24"/>
        </w:rPr>
        <w:t>元)；</w:t>
      </w:r>
    </w:p>
    <w:p w14:paraId="29C77DD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（3）专业工程暂估价金额：</w:t>
      </w:r>
    </w:p>
    <w:p w14:paraId="0755B06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人民币（大写</w:t>
      </w:r>
      <w:r>
        <w:rPr>
          <w:rFonts w:hint="eastAsia" w:ascii="宋体" w:hAnsi="宋体" w:eastAsia="宋体" w:cs="楷体"/>
          <w:kern w:val="2"/>
          <w:sz w:val="24"/>
          <w:szCs w:val="24"/>
          <w:u w:val="single"/>
        </w:rPr>
        <w:t xml:space="preserve">  XXX  </w:t>
      </w:r>
      <w:r>
        <w:rPr>
          <w:rFonts w:hint="eastAsia" w:ascii="宋体" w:hAnsi="宋体" w:eastAsia="宋体" w:cs="楷体"/>
          <w:kern w:val="2"/>
          <w:sz w:val="24"/>
          <w:szCs w:val="24"/>
        </w:rPr>
        <w:t>） (</w:t>
      </w:r>
      <w:r>
        <w:rPr>
          <w:rFonts w:hint="eastAsia" w:ascii="宋体" w:hAnsi="宋体" w:eastAsia="宋体" w:cs="Times New Roman"/>
          <w:kern w:val="2"/>
          <w:sz w:val="24"/>
          <w:szCs w:val="24"/>
        </w:rPr>
        <w:t>¥</w:t>
      </w:r>
      <w:r>
        <w:rPr>
          <w:rFonts w:hint="eastAsia" w:ascii="宋体" w:hAnsi="宋体" w:eastAsia="宋体" w:cs="Times New Roman"/>
          <w:kern w:val="2"/>
          <w:sz w:val="24"/>
          <w:szCs w:val="24"/>
          <w:u w:val="single"/>
        </w:rPr>
        <w:t xml:space="preserve">  XXX  </w:t>
      </w:r>
      <w:r>
        <w:rPr>
          <w:rFonts w:hint="eastAsia" w:ascii="宋体" w:hAnsi="宋体" w:eastAsia="宋体" w:cs="楷体"/>
          <w:kern w:val="2"/>
          <w:sz w:val="24"/>
          <w:szCs w:val="24"/>
        </w:rPr>
        <w:t>元)；</w:t>
      </w:r>
    </w:p>
    <w:p w14:paraId="7ACB5E0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（4）暂列金额：</w:t>
      </w:r>
    </w:p>
    <w:p w14:paraId="7C01D69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人民币（大写</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 (</w:t>
      </w:r>
      <w:r>
        <w:rPr>
          <w:rFonts w:hint="eastAsia" w:ascii="宋体" w:hAnsi="宋体" w:eastAsia="宋体" w:cs="Times New Roman"/>
          <w:kern w:val="2"/>
          <w:sz w:val="24"/>
          <w:szCs w:val="24"/>
        </w:rPr>
        <w:t>¥</w:t>
      </w:r>
      <w:r>
        <w:rPr>
          <w:rFonts w:hint="eastAsia" w:ascii="宋体" w:hAnsi="宋体" w:eastAsia="宋体" w:cs="Times New Roman"/>
          <w:kern w:val="2"/>
          <w:sz w:val="24"/>
          <w:szCs w:val="24"/>
          <w:u w:val="single"/>
        </w:rPr>
        <w:t xml:space="preserve">  XXXX  </w:t>
      </w:r>
      <w:r>
        <w:rPr>
          <w:rFonts w:hint="eastAsia" w:ascii="宋体" w:hAnsi="宋体" w:eastAsia="宋体" w:cs="楷体"/>
          <w:kern w:val="2"/>
          <w:sz w:val="24"/>
          <w:szCs w:val="24"/>
        </w:rPr>
        <w:t>元)。</w:t>
      </w:r>
    </w:p>
    <w:p w14:paraId="471587B9">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2.合同价格形式：</w:t>
      </w:r>
      <w:r>
        <w:rPr>
          <w:rFonts w:hint="eastAsia" w:ascii="宋体" w:hAnsi="宋体" w:eastAsia="宋体" w:cs="楷体"/>
          <w:kern w:val="2"/>
          <w:sz w:val="24"/>
          <w:szCs w:val="24"/>
          <w:u w:val="single"/>
        </w:rPr>
        <w:t xml:space="preserve">  固定单价   </w:t>
      </w:r>
      <w:r>
        <w:rPr>
          <w:rFonts w:hint="eastAsia" w:ascii="宋体" w:hAnsi="宋体" w:eastAsia="宋体" w:cs="楷体"/>
          <w:kern w:val="2"/>
          <w:sz w:val="24"/>
          <w:szCs w:val="24"/>
        </w:rPr>
        <w:t>。</w:t>
      </w:r>
    </w:p>
    <w:p w14:paraId="58A3483D">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13" w:name="_Toc351203485"/>
      <w:bookmarkEnd w:id="513"/>
      <w:r>
        <w:rPr>
          <w:rFonts w:hint="eastAsia" w:ascii="宋体" w:hAnsi="宋体" w:eastAsia="宋体" w:cs="楷体"/>
          <w:b/>
          <w:bCs/>
          <w:kern w:val="2"/>
          <w:sz w:val="24"/>
          <w:szCs w:val="24"/>
        </w:rPr>
        <w:t>五、项目经理</w:t>
      </w:r>
    </w:p>
    <w:p w14:paraId="2518897F">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承包人项目经理：</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45D92CA9">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14" w:name="_Toc351203486"/>
      <w:bookmarkEnd w:id="514"/>
      <w:r>
        <w:rPr>
          <w:rFonts w:hint="eastAsia" w:ascii="宋体" w:hAnsi="宋体" w:eastAsia="宋体" w:cs="楷体"/>
          <w:b/>
          <w:bCs/>
          <w:kern w:val="2"/>
          <w:sz w:val="24"/>
          <w:szCs w:val="24"/>
        </w:rPr>
        <w:t>六、合同文件构成</w:t>
      </w:r>
    </w:p>
    <w:p w14:paraId="4505CA88">
      <w:pPr>
        <w:widowControl w:val="0"/>
        <w:wordWrap w:val="0"/>
        <w:adjustRightInd/>
        <w:snapToGrid/>
        <w:spacing w:after="0" w:line="480" w:lineRule="exact"/>
        <w:ind w:firstLine="240" w:firstLineChars="100"/>
        <w:jc w:val="both"/>
        <w:outlineLvl w:val="9"/>
        <w:rPr>
          <w:rFonts w:ascii="宋体" w:hAnsi="宋体" w:eastAsia="宋体" w:cs="楷体"/>
          <w:kern w:val="2"/>
          <w:sz w:val="24"/>
          <w:szCs w:val="24"/>
        </w:rPr>
      </w:pPr>
      <w:r>
        <w:rPr>
          <w:rFonts w:hint="eastAsia" w:ascii="宋体" w:hAnsi="宋体" w:eastAsia="宋体" w:cs="楷体"/>
          <w:kern w:val="2"/>
          <w:sz w:val="24"/>
          <w:szCs w:val="24"/>
        </w:rPr>
        <w:t>本协议书与下列文件一起构成合同文件：</w:t>
      </w:r>
    </w:p>
    <w:p w14:paraId="74F75176">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（1）成交通知书（如果有）；</w:t>
      </w:r>
    </w:p>
    <w:p w14:paraId="7BAAD8E6">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（2）磋商函及其附录（如果有）； </w:t>
      </w:r>
    </w:p>
    <w:p w14:paraId="6287812F">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（3）专用合同条款及其附件；</w:t>
      </w:r>
    </w:p>
    <w:p w14:paraId="0E235B41">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（4）通用合同条款；</w:t>
      </w:r>
    </w:p>
    <w:p w14:paraId="1B2EFB1F">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（5）技术标准和要求；</w:t>
      </w:r>
    </w:p>
    <w:p w14:paraId="757FC066">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（6）图纸；</w:t>
      </w:r>
    </w:p>
    <w:p w14:paraId="56F4259C">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（7）已标价工程量清单或预算书；</w:t>
      </w:r>
    </w:p>
    <w:p w14:paraId="6197FD22">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（8）其他合同文件。</w:t>
      </w:r>
    </w:p>
    <w:p w14:paraId="7A3F552B">
      <w:pPr>
        <w:widowControl w:val="0"/>
        <w:wordWrap w:val="0"/>
        <w:autoSpaceDE w:val="0"/>
        <w:autoSpaceDN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在合同订立及履行过程中形成的与合同有关的文件均构成合同文件组成部分。</w:t>
      </w:r>
    </w:p>
    <w:p w14:paraId="524D701A">
      <w:pPr>
        <w:widowControl w:val="0"/>
        <w:wordWrap w:val="0"/>
        <w:autoSpaceDE w:val="0"/>
        <w:autoSpaceDN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上述各项合同文件包括合同当事人就该项合同文件所做出的补充和修改，属于同一类内容的文件，应以最新签署的为准。专用合同条款及其附件须经合同当事人签字或盖章。</w:t>
      </w:r>
    </w:p>
    <w:p w14:paraId="56790457">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15" w:name="_Toc351203487"/>
      <w:bookmarkEnd w:id="515"/>
      <w:r>
        <w:rPr>
          <w:rFonts w:hint="eastAsia" w:ascii="宋体" w:hAnsi="宋体" w:eastAsia="宋体" w:cs="楷体"/>
          <w:b/>
          <w:bCs/>
          <w:kern w:val="2"/>
          <w:sz w:val="24"/>
          <w:szCs w:val="24"/>
        </w:rPr>
        <w:t>七、承诺</w:t>
      </w:r>
    </w:p>
    <w:p w14:paraId="6CCF0F57">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1.发包人承诺按照法律规定履行项目审批手续、筹集工程建设资金并按照合同约定的期限和方式支付合同价款。</w:t>
      </w:r>
    </w:p>
    <w:p w14:paraId="2C80A13D">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2.承包人承诺按照法律规定及合同约定组织完成工程施工，确保工程质量和安全，不进行转包及违法分包，并在缺陷责任期及保修期内承担相应的工程维修责任。</w:t>
      </w:r>
    </w:p>
    <w:p w14:paraId="6312AA97">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3.发包人和承包人通过磋商形式签订合同的，双方理解并承诺不再就同一工程另行签订与合同实质性内容相背离的协议。</w:t>
      </w:r>
    </w:p>
    <w:p w14:paraId="4A9AC2A7">
      <w:pPr>
        <w:widowControl w:val="0"/>
        <w:wordWrap w:val="0"/>
        <w:adjustRightInd/>
        <w:snapToGrid/>
        <w:spacing w:after="0" w:line="480" w:lineRule="exact"/>
        <w:jc w:val="both"/>
        <w:outlineLvl w:val="9"/>
        <w:rPr>
          <w:rFonts w:ascii="宋体" w:hAnsi="宋体" w:eastAsia="宋体" w:cs="楷体"/>
          <w:b/>
          <w:kern w:val="2"/>
          <w:sz w:val="24"/>
          <w:szCs w:val="24"/>
        </w:rPr>
      </w:pPr>
      <w:bookmarkStart w:id="516" w:name="_Toc351203488"/>
      <w:bookmarkEnd w:id="516"/>
      <w:r>
        <w:rPr>
          <w:rFonts w:hint="eastAsia" w:ascii="宋体" w:hAnsi="宋体" w:eastAsia="宋体" w:cs="楷体"/>
          <w:b/>
          <w:bCs/>
          <w:kern w:val="2"/>
          <w:sz w:val="24"/>
          <w:szCs w:val="24"/>
        </w:rPr>
        <w:t>八、词语含义</w:t>
      </w:r>
    </w:p>
    <w:p w14:paraId="2EB3BD3E">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本协议书中词语含义与第二部分通用合同条款中赋予的含义相同。</w:t>
      </w:r>
    </w:p>
    <w:p w14:paraId="794C7F21">
      <w:pPr>
        <w:widowControl w:val="0"/>
        <w:wordWrap w:val="0"/>
        <w:adjustRightInd/>
        <w:snapToGrid/>
        <w:spacing w:after="0" w:line="480" w:lineRule="exact"/>
        <w:jc w:val="both"/>
        <w:outlineLvl w:val="9"/>
        <w:rPr>
          <w:rFonts w:ascii="宋体" w:hAnsi="宋体" w:eastAsia="宋体" w:cs="楷体"/>
          <w:b/>
          <w:kern w:val="2"/>
          <w:sz w:val="24"/>
          <w:szCs w:val="24"/>
        </w:rPr>
      </w:pPr>
      <w:bookmarkStart w:id="517" w:name="_Toc351203489"/>
      <w:bookmarkEnd w:id="517"/>
      <w:r>
        <w:rPr>
          <w:rFonts w:hint="eastAsia" w:ascii="宋体" w:hAnsi="宋体" w:eastAsia="宋体" w:cs="楷体"/>
          <w:b/>
          <w:kern w:val="2"/>
          <w:sz w:val="24"/>
          <w:szCs w:val="24"/>
        </w:rPr>
        <w:t>九、签订时间</w:t>
      </w:r>
    </w:p>
    <w:p w14:paraId="45A9CB73">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本合同于</w:t>
      </w:r>
      <w:r>
        <w:rPr>
          <w:rFonts w:hint="eastAsia" w:ascii="宋体" w:hAnsi="宋体" w:eastAsia="宋体" w:cs="楷体"/>
          <w:kern w:val="2"/>
          <w:sz w:val="24"/>
          <w:szCs w:val="24"/>
          <w:u w:val="single"/>
        </w:rPr>
        <w:t xml:space="preserve"> XXX </w:t>
      </w:r>
      <w:r>
        <w:rPr>
          <w:rFonts w:hint="eastAsia" w:ascii="宋体" w:hAnsi="宋体" w:eastAsia="宋体" w:cs="楷体"/>
          <w:kern w:val="2"/>
          <w:sz w:val="24"/>
          <w:szCs w:val="24"/>
        </w:rPr>
        <w:t>年</w:t>
      </w:r>
      <w:r>
        <w:rPr>
          <w:rFonts w:hint="eastAsia" w:ascii="宋体" w:hAnsi="宋体" w:eastAsia="宋体" w:cs="楷体"/>
          <w:kern w:val="2"/>
          <w:sz w:val="24"/>
          <w:szCs w:val="24"/>
          <w:u w:val="single"/>
        </w:rPr>
        <w:t xml:space="preserve"> XXX </w:t>
      </w:r>
      <w:r>
        <w:rPr>
          <w:rFonts w:hint="eastAsia" w:ascii="宋体" w:hAnsi="宋体" w:eastAsia="宋体" w:cs="楷体"/>
          <w:kern w:val="2"/>
          <w:sz w:val="24"/>
          <w:szCs w:val="24"/>
        </w:rPr>
        <w:t>月</w:t>
      </w:r>
      <w:r>
        <w:rPr>
          <w:rFonts w:hint="eastAsia" w:ascii="宋体" w:hAnsi="宋体" w:eastAsia="宋体" w:cs="楷体"/>
          <w:kern w:val="2"/>
          <w:sz w:val="24"/>
          <w:szCs w:val="24"/>
          <w:u w:val="single"/>
        </w:rPr>
        <w:t xml:space="preserve"> XXX </w:t>
      </w:r>
      <w:r>
        <w:rPr>
          <w:rFonts w:hint="eastAsia" w:ascii="宋体" w:hAnsi="宋体" w:eastAsia="宋体" w:cs="楷体"/>
          <w:kern w:val="2"/>
          <w:sz w:val="24"/>
          <w:szCs w:val="24"/>
        </w:rPr>
        <w:t>日签订。</w:t>
      </w:r>
    </w:p>
    <w:p w14:paraId="264792C7">
      <w:pPr>
        <w:widowControl w:val="0"/>
        <w:wordWrap w:val="0"/>
        <w:adjustRightInd/>
        <w:snapToGrid/>
        <w:spacing w:after="0" w:line="480" w:lineRule="exact"/>
        <w:jc w:val="both"/>
        <w:outlineLvl w:val="9"/>
        <w:rPr>
          <w:rFonts w:ascii="宋体" w:hAnsi="宋体" w:eastAsia="宋体" w:cs="楷体"/>
          <w:b/>
          <w:kern w:val="2"/>
          <w:sz w:val="24"/>
          <w:szCs w:val="24"/>
        </w:rPr>
      </w:pPr>
      <w:bookmarkStart w:id="518" w:name="_Toc351203490"/>
      <w:bookmarkEnd w:id="518"/>
      <w:r>
        <w:rPr>
          <w:rFonts w:hint="eastAsia" w:ascii="宋体" w:hAnsi="宋体" w:eastAsia="宋体" w:cs="楷体"/>
          <w:b/>
          <w:kern w:val="2"/>
          <w:sz w:val="24"/>
          <w:szCs w:val="24"/>
        </w:rPr>
        <w:t>十、签订地点</w:t>
      </w:r>
    </w:p>
    <w:p w14:paraId="7D2B518E">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本合同在</w:t>
      </w:r>
      <w:r>
        <w:rPr>
          <w:rFonts w:hint="eastAsia" w:ascii="宋体" w:hAnsi="宋体" w:eastAsia="宋体" w:cs="宋体"/>
          <w:kern w:val="2"/>
          <w:sz w:val="24"/>
          <w:szCs w:val="24"/>
          <w:u w:val="single"/>
        </w:rPr>
        <w:t>灵宝市大王镇人民政府办公室</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签订。</w:t>
      </w:r>
    </w:p>
    <w:p w14:paraId="1A214B2C">
      <w:pPr>
        <w:widowControl w:val="0"/>
        <w:wordWrap w:val="0"/>
        <w:adjustRightInd/>
        <w:snapToGrid/>
        <w:spacing w:after="0" w:line="480" w:lineRule="exact"/>
        <w:jc w:val="both"/>
        <w:outlineLvl w:val="9"/>
        <w:rPr>
          <w:rFonts w:ascii="宋体" w:hAnsi="宋体" w:eastAsia="宋体" w:cs="楷体"/>
          <w:b/>
          <w:kern w:val="2"/>
          <w:sz w:val="24"/>
          <w:szCs w:val="24"/>
        </w:rPr>
      </w:pPr>
      <w:bookmarkStart w:id="519" w:name="_Toc351203491"/>
      <w:bookmarkEnd w:id="519"/>
      <w:r>
        <w:rPr>
          <w:rFonts w:hint="eastAsia" w:ascii="宋体" w:hAnsi="宋体" w:eastAsia="宋体" w:cs="楷体"/>
          <w:b/>
          <w:kern w:val="2"/>
          <w:sz w:val="24"/>
          <w:szCs w:val="24"/>
        </w:rPr>
        <w:t>十一、补充协议</w:t>
      </w:r>
    </w:p>
    <w:p w14:paraId="62E8D9AD">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合同未尽事宜，合同当事人另行签订补充协议，补充协议是合同的组成部分。</w:t>
      </w:r>
    </w:p>
    <w:p w14:paraId="18FE245C">
      <w:pPr>
        <w:widowControl w:val="0"/>
        <w:wordWrap w:val="0"/>
        <w:adjustRightInd/>
        <w:snapToGrid/>
        <w:spacing w:after="0" w:line="480" w:lineRule="exact"/>
        <w:jc w:val="both"/>
        <w:outlineLvl w:val="9"/>
        <w:rPr>
          <w:rFonts w:ascii="宋体" w:hAnsi="宋体" w:eastAsia="宋体" w:cs="楷体"/>
          <w:b/>
          <w:kern w:val="2"/>
          <w:sz w:val="24"/>
          <w:szCs w:val="24"/>
        </w:rPr>
      </w:pPr>
      <w:bookmarkStart w:id="520" w:name="_Toc351203492"/>
      <w:bookmarkEnd w:id="520"/>
      <w:r>
        <w:rPr>
          <w:rFonts w:hint="eastAsia" w:ascii="宋体" w:hAnsi="宋体" w:eastAsia="宋体" w:cs="楷体"/>
          <w:b/>
          <w:kern w:val="2"/>
          <w:sz w:val="24"/>
          <w:szCs w:val="24"/>
        </w:rPr>
        <w:t>十二、合同生效</w:t>
      </w:r>
    </w:p>
    <w:p w14:paraId="51107FE3">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本合同自</w:t>
      </w:r>
      <w:r>
        <w:rPr>
          <w:rFonts w:hint="eastAsia" w:ascii="宋体" w:hAnsi="宋体" w:eastAsia="宋体" w:cs="楷体"/>
          <w:kern w:val="2"/>
          <w:sz w:val="24"/>
          <w:szCs w:val="24"/>
          <w:u w:val="single"/>
        </w:rPr>
        <w:t xml:space="preserve"> 合同签订之日起 </w:t>
      </w:r>
      <w:r>
        <w:rPr>
          <w:rFonts w:hint="eastAsia" w:ascii="宋体" w:hAnsi="宋体" w:eastAsia="宋体" w:cs="楷体"/>
          <w:kern w:val="2"/>
          <w:sz w:val="24"/>
          <w:szCs w:val="24"/>
        </w:rPr>
        <w:t>生效。</w:t>
      </w:r>
    </w:p>
    <w:p w14:paraId="48DD47EB">
      <w:pPr>
        <w:widowControl w:val="0"/>
        <w:wordWrap w:val="0"/>
        <w:adjustRightInd/>
        <w:snapToGrid/>
        <w:spacing w:after="0" w:line="480" w:lineRule="exact"/>
        <w:jc w:val="both"/>
        <w:outlineLvl w:val="9"/>
        <w:rPr>
          <w:rFonts w:ascii="宋体" w:hAnsi="宋体" w:eastAsia="宋体" w:cs="楷体"/>
          <w:b/>
          <w:kern w:val="2"/>
          <w:sz w:val="24"/>
          <w:szCs w:val="24"/>
        </w:rPr>
      </w:pPr>
      <w:bookmarkStart w:id="521" w:name="_Toc351203493"/>
      <w:bookmarkEnd w:id="521"/>
      <w:r>
        <w:rPr>
          <w:rFonts w:hint="eastAsia" w:ascii="宋体" w:hAnsi="宋体" w:eastAsia="宋体" w:cs="楷体"/>
          <w:b/>
          <w:kern w:val="2"/>
          <w:sz w:val="24"/>
          <w:szCs w:val="24"/>
        </w:rPr>
        <w:t>十三、合同份数</w:t>
      </w:r>
    </w:p>
    <w:p w14:paraId="00E1F385">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本合同一式</w:t>
      </w:r>
      <w:r>
        <w:rPr>
          <w:rFonts w:hint="eastAsia" w:ascii="宋体" w:hAnsi="宋体" w:eastAsia="宋体" w:cs="楷体"/>
          <w:kern w:val="2"/>
          <w:sz w:val="24"/>
          <w:szCs w:val="24"/>
          <w:u w:val="single"/>
        </w:rPr>
        <w:t xml:space="preserve"> 陆 </w:t>
      </w:r>
      <w:r>
        <w:rPr>
          <w:rFonts w:hint="eastAsia" w:ascii="宋体" w:hAnsi="宋体" w:eastAsia="宋体" w:cs="楷体"/>
          <w:kern w:val="2"/>
          <w:sz w:val="24"/>
          <w:szCs w:val="24"/>
        </w:rPr>
        <w:t>份，均具有同等法律效力，发包人执</w:t>
      </w:r>
      <w:r>
        <w:rPr>
          <w:rFonts w:hint="eastAsia" w:ascii="宋体" w:hAnsi="宋体" w:eastAsia="宋体" w:cs="楷体"/>
          <w:kern w:val="2"/>
          <w:sz w:val="24"/>
          <w:szCs w:val="24"/>
          <w:u w:val="single"/>
        </w:rPr>
        <w:t xml:space="preserve"> 叁 </w:t>
      </w:r>
      <w:r>
        <w:rPr>
          <w:rFonts w:hint="eastAsia" w:ascii="宋体" w:hAnsi="宋体" w:eastAsia="宋体" w:cs="楷体"/>
          <w:kern w:val="2"/>
          <w:sz w:val="24"/>
          <w:szCs w:val="24"/>
        </w:rPr>
        <w:t>份，承包人执</w:t>
      </w:r>
      <w:r>
        <w:rPr>
          <w:rFonts w:hint="eastAsia" w:ascii="宋体" w:hAnsi="宋体" w:eastAsia="宋体" w:cs="楷体"/>
          <w:kern w:val="2"/>
          <w:sz w:val="24"/>
          <w:szCs w:val="24"/>
          <w:u w:val="single"/>
        </w:rPr>
        <w:t xml:space="preserve"> 叁  </w:t>
      </w:r>
      <w:r>
        <w:rPr>
          <w:rFonts w:hint="eastAsia" w:ascii="宋体" w:hAnsi="宋体" w:eastAsia="宋体" w:cs="楷体"/>
          <w:kern w:val="2"/>
          <w:sz w:val="24"/>
          <w:szCs w:val="24"/>
        </w:rPr>
        <w:t>份。</w:t>
      </w:r>
    </w:p>
    <w:p w14:paraId="1E50103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 </w:t>
      </w:r>
    </w:p>
    <w:p w14:paraId="633E0D2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 ：灵宝市大王镇人民政府(公章)    承包人：(公章)XXX</w:t>
      </w:r>
    </w:p>
    <w:p w14:paraId="4AA4ADC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法定地址：灵宝市大王镇干店街           法定地址：XXX                  </w:t>
      </w:r>
    </w:p>
    <w:p w14:paraId="4181782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法定代表人或其                         法定代表人或其</w:t>
      </w:r>
    </w:p>
    <w:p w14:paraId="20B172D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委托代理人</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(签字)         委托代理人：</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(签字)</w:t>
      </w:r>
    </w:p>
    <w:p w14:paraId="5EA9F3B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电话：</w:t>
      </w:r>
      <w:r>
        <w:rPr>
          <w:rFonts w:hint="eastAsia" w:cs="宋体" w:asciiTheme="minorEastAsia" w:hAnsiTheme="minorEastAsia" w:eastAsiaTheme="minorEastAsia"/>
          <w:sz w:val="32"/>
          <w:szCs w:val="32"/>
        </w:rPr>
        <w:t xml:space="preserve">         </w:t>
      </w:r>
      <w:r>
        <w:rPr>
          <w:rFonts w:hint="eastAsia" w:ascii="宋体" w:hAnsi="宋体" w:eastAsia="宋体" w:cs="楷体"/>
          <w:kern w:val="2"/>
          <w:sz w:val="24"/>
          <w:szCs w:val="24"/>
        </w:rPr>
        <w:t xml:space="preserve">                     电话：XXX                      </w:t>
      </w:r>
    </w:p>
    <w:p w14:paraId="1A05013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开户银行：                             开户银行：  XXX                 </w:t>
      </w:r>
    </w:p>
    <w:p w14:paraId="0EF2E46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账号：                                 账号： XXX                      </w:t>
      </w:r>
    </w:p>
    <w:p w14:paraId="1A5009D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邮政编码：                             邮政编码：XXX</w:t>
      </w:r>
    </w:p>
    <w:p w14:paraId="1973997D">
      <w:pPr>
        <w:widowControl w:val="0"/>
        <w:wordWrap w:val="0"/>
        <w:adjustRightInd/>
        <w:snapToGrid/>
        <w:spacing w:after="0" w:line="480" w:lineRule="exact"/>
        <w:jc w:val="center"/>
        <w:outlineLvl w:val="9"/>
        <w:rPr>
          <w:rFonts w:ascii="宋体" w:hAnsi="宋体" w:eastAsia="宋体" w:cs="楷体"/>
          <w:kern w:val="2"/>
          <w:sz w:val="24"/>
          <w:szCs w:val="24"/>
        </w:rPr>
        <w:sectPr>
          <w:footerReference r:id="rId4" w:type="default"/>
          <w:pgSz w:w="11906" w:h="16838"/>
          <w:pgMar w:top="1418" w:right="1418" w:bottom="1418" w:left="1418" w:header="851" w:footer="992" w:gutter="0"/>
          <w:cols w:space="720" w:num="1"/>
          <w:docGrid w:type="linesAndChars" w:linePitch="312" w:charSpace="0"/>
        </w:sectPr>
      </w:pPr>
      <w:bookmarkStart w:id="522" w:name="_Toc69718836"/>
      <w:bookmarkEnd w:id="522"/>
    </w:p>
    <w:p w14:paraId="6F3F4739">
      <w:pPr>
        <w:widowControl w:val="0"/>
        <w:wordWrap w:val="0"/>
        <w:adjustRightInd/>
        <w:snapToGrid/>
        <w:spacing w:after="0" w:line="480" w:lineRule="exact"/>
        <w:jc w:val="center"/>
        <w:outlineLvl w:val="9"/>
        <w:rPr>
          <w:rFonts w:ascii="宋体" w:hAnsi="宋体" w:eastAsia="宋体" w:cs="楷体"/>
          <w:kern w:val="2"/>
          <w:sz w:val="24"/>
          <w:szCs w:val="24"/>
        </w:rPr>
      </w:pPr>
      <w:r>
        <w:rPr>
          <w:rFonts w:hint="eastAsia" w:ascii="宋体" w:hAnsi="宋体" w:eastAsia="宋体" w:cs="楷体"/>
          <w:kern w:val="2"/>
          <w:sz w:val="24"/>
          <w:szCs w:val="24"/>
        </w:rPr>
        <w:t>第二节 通用合同条款</w:t>
      </w:r>
    </w:p>
    <w:p w14:paraId="413C3880">
      <w:pPr>
        <w:widowControl w:val="0"/>
        <w:wordWrap w:val="0"/>
        <w:adjustRightInd/>
        <w:snapToGrid/>
        <w:spacing w:after="0" w:line="480" w:lineRule="exact"/>
        <w:ind w:firstLine="480" w:firstLineChars="200"/>
        <w:jc w:val="both"/>
        <w:outlineLvl w:val="9"/>
        <w:rPr>
          <w:rFonts w:ascii="宋体" w:hAnsi="宋体" w:eastAsia="宋体" w:cs="楷体"/>
          <w:kern w:val="2"/>
          <w:sz w:val="24"/>
          <w:szCs w:val="24"/>
        </w:rPr>
      </w:pPr>
      <w:r>
        <w:rPr>
          <w:rFonts w:hint="eastAsia" w:ascii="宋体" w:hAnsi="宋体" w:eastAsia="宋体" w:cs="楷体"/>
          <w:kern w:val="2"/>
          <w:sz w:val="24"/>
          <w:szCs w:val="24"/>
        </w:rPr>
        <w:t>本工程执行住房城乡建设部、国家工商行政管理局印发的《建设工程施工合同（示范文本）》（GF-2013-0201）的合同条件，依据竞争性磋商文件及其补充通知、答疑纪要、响应文件、成交通知书、供应商在响应文件中承诺的质量、工期、服务承诺书签订施工合同。</w:t>
      </w:r>
    </w:p>
    <w:p w14:paraId="05BF43A7">
      <w:pPr>
        <w:keepNext/>
        <w:widowControl w:val="0"/>
        <w:wordWrap w:val="0"/>
        <w:adjustRightInd/>
        <w:snapToGrid/>
        <w:spacing w:after="0" w:line="480" w:lineRule="exact"/>
        <w:jc w:val="center"/>
        <w:outlineLvl w:val="9"/>
        <w:rPr>
          <w:rFonts w:ascii="宋体" w:hAnsi="宋体" w:eastAsia="宋体" w:cs="楷体"/>
          <w:kern w:val="2"/>
          <w:sz w:val="24"/>
          <w:szCs w:val="24"/>
        </w:rPr>
      </w:pPr>
      <w:bookmarkStart w:id="523" w:name="_Toc445390636"/>
      <w:bookmarkEnd w:id="523"/>
      <w:bookmarkStart w:id="524" w:name="_Toc375040677"/>
      <w:bookmarkEnd w:id="524"/>
      <w:bookmarkStart w:id="525" w:name="_Toc375041560"/>
      <w:bookmarkEnd w:id="525"/>
      <w:bookmarkStart w:id="526" w:name="_Toc374947237"/>
      <w:bookmarkEnd w:id="526"/>
      <w:bookmarkStart w:id="527" w:name="_Toc423959287"/>
      <w:bookmarkEnd w:id="527"/>
      <w:bookmarkStart w:id="528" w:name="_Toc375041754"/>
      <w:bookmarkEnd w:id="528"/>
      <w:bookmarkStart w:id="529" w:name="_Toc375040613"/>
      <w:bookmarkEnd w:id="529"/>
      <w:bookmarkStart w:id="530" w:name="_Toc498499552"/>
      <w:bookmarkEnd w:id="530"/>
      <w:bookmarkStart w:id="531" w:name="_Toc384309411"/>
      <w:bookmarkEnd w:id="531"/>
      <w:bookmarkStart w:id="532" w:name="_Toc489024030"/>
      <w:bookmarkEnd w:id="532"/>
      <w:bookmarkStart w:id="533" w:name="_Toc375041311"/>
      <w:bookmarkEnd w:id="533"/>
      <w:bookmarkStart w:id="534" w:name="_Toc447871551"/>
      <w:bookmarkEnd w:id="534"/>
      <w:bookmarkStart w:id="535" w:name="_Toc69718837"/>
      <w:r>
        <w:rPr>
          <w:rFonts w:hint="eastAsia" w:ascii="宋体" w:hAnsi="宋体" w:eastAsia="宋体" w:cs="楷体"/>
          <w:kern w:val="2"/>
          <w:sz w:val="24"/>
          <w:szCs w:val="24"/>
        </w:rPr>
        <w:t>第三节</w:t>
      </w:r>
      <w:bookmarkEnd w:id="535"/>
      <w:r>
        <w:rPr>
          <w:rFonts w:hint="eastAsia" w:ascii="宋体" w:hAnsi="宋体" w:eastAsia="宋体" w:cs="楷体"/>
          <w:kern w:val="2"/>
          <w:sz w:val="24"/>
          <w:szCs w:val="24"/>
        </w:rPr>
        <w:t xml:space="preserve"> 专用合同条款</w:t>
      </w:r>
    </w:p>
    <w:p w14:paraId="6186ED4C">
      <w:pPr>
        <w:keepNext/>
        <w:widowControl w:val="0"/>
        <w:wordWrap w:val="0"/>
        <w:adjustRightInd/>
        <w:snapToGrid/>
        <w:spacing w:after="0" w:line="480" w:lineRule="exact"/>
        <w:jc w:val="both"/>
        <w:outlineLvl w:val="9"/>
        <w:rPr>
          <w:rFonts w:ascii="宋体" w:hAnsi="宋体" w:eastAsia="宋体" w:cs="楷体"/>
          <w:b/>
          <w:bCs/>
          <w:kern w:val="2"/>
          <w:sz w:val="24"/>
          <w:szCs w:val="24"/>
        </w:rPr>
      </w:pPr>
      <w:r>
        <w:rPr>
          <w:rFonts w:hint="eastAsia" w:ascii="宋体" w:hAnsi="宋体" w:eastAsia="宋体" w:cs="楷体"/>
          <w:b/>
          <w:bCs/>
          <w:kern w:val="2"/>
          <w:sz w:val="24"/>
          <w:szCs w:val="24"/>
        </w:rPr>
        <w:t>1.一般约定</w:t>
      </w:r>
    </w:p>
    <w:p w14:paraId="6C81142D">
      <w:pPr>
        <w:widowControl w:val="0"/>
        <w:wordWrap w:val="0"/>
        <w:adjustRightInd/>
        <w:snapToGrid/>
        <w:spacing w:after="0" w:line="480" w:lineRule="exact"/>
        <w:jc w:val="both"/>
        <w:outlineLvl w:val="9"/>
        <w:rPr>
          <w:rFonts w:ascii="宋体" w:hAnsi="宋体" w:eastAsia="宋体" w:cs="楷体"/>
          <w:b/>
          <w:bCs/>
          <w:kern w:val="2"/>
          <w:sz w:val="24"/>
          <w:szCs w:val="24"/>
        </w:rPr>
      </w:pPr>
      <w:r>
        <w:rPr>
          <w:rFonts w:hint="eastAsia" w:ascii="宋体" w:hAnsi="宋体" w:eastAsia="宋体" w:cs="楷体"/>
          <w:b/>
          <w:bCs/>
          <w:kern w:val="2"/>
          <w:sz w:val="24"/>
          <w:szCs w:val="24"/>
        </w:rPr>
        <w:t>1.1 词语定义</w:t>
      </w:r>
    </w:p>
    <w:p w14:paraId="3E0989B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1.1.1合同当事人及人员</w:t>
      </w:r>
    </w:p>
    <w:p w14:paraId="39E10C59">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1.1.2发包人：</w:t>
      </w:r>
      <w:r>
        <w:rPr>
          <w:rFonts w:hint="eastAsia" w:ascii="宋体" w:hAnsi="宋体" w:eastAsia="宋体" w:cs="楷体"/>
          <w:kern w:val="2"/>
          <w:sz w:val="24"/>
          <w:szCs w:val="24"/>
          <w:u w:val="single"/>
        </w:rPr>
        <w:t>灵宝市大王镇人民政府</w:t>
      </w:r>
    </w:p>
    <w:p w14:paraId="00B119D3">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1.1.3承包人：</w:t>
      </w:r>
      <w:r>
        <w:rPr>
          <w:rFonts w:hint="eastAsia" w:ascii="宋体" w:hAnsi="宋体" w:eastAsia="宋体" w:cs="楷体"/>
          <w:kern w:val="2"/>
          <w:sz w:val="24"/>
          <w:szCs w:val="24"/>
          <w:u w:val="single"/>
        </w:rPr>
        <w:t xml:space="preserve">     XXX       </w:t>
      </w:r>
    </w:p>
    <w:p w14:paraId="58BF56D7">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1.1.4监理人：</w:t>
      </w:r>
      <w:r>
        <w:rPr>
          <w:rFonts w:hint="eastAsia" w:ascii="宋体" w:hAnsi="宋体" w:eastAsia="宋体" w:cs="楷体"/>
          <w:kern w:val="2"/>
          <w:sz w:val="24"/>
          <w:szCs w:val="24"/>
          <w:u w:val="single"/>
        </w:rPr>
        <w:t xml:space="preserve">   XXX       </w:t>
      </w:r>
    </w:p>
    <w:p w14:paraId="2171F6CA">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1.1.5 设计人：</w:t>
      </w:r>
      <w:r>
        <w:rPr>
          <w:rFonts w:hint="eastAsia" w:ascii="宋体" w:hAnsi="宋体" w:eastAsia="宋体" w:cs="楷体"/>
          <w:kern w:val="2"/>
          <w:sz w:val="24"/>
          <w:szCs w:val="24"/>
          <w:u w:val="single"/>
        </w:rPr>
        <w:t xml:space="preserve">   XXX          </w:t>
      </w:r>
    </w:p>
    <w:p w14:paraId="3996215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w:t>
      </w:r>
      <w:r>
        <w:rPr>
          <w:rFonts w:hint="eastAsia" w:ascii="宋体" w:hAnsi="宋体" w:eastAsia="宋体" w:cs="楷体"/>
          <w:kern w:val="2"/>
          <w:sz w:val="24"/>
          <w:szCs w:val="24"/>
          <w:lang w:val="en-US" w:eastAsia="zh-CN"/>
        </w:rPr>
        <w:t>2</w:t>
      </w:r>
      <w:r>
        <w:rPr>
          <w:rFonts w:hint="eastAsia" w:ascii="宋体" w:hAnsi="宋体" w:eastAsia="宋体" w:cs="楷体"/>
          <w:kern w:val="2"/>
          <w:sz w:val="24"/>
          <w:szCs w:val="24"/>
        </w:rPr>
        <w:t xml:space="preserve"> 工程和设备</w:t>
      </w:r>
    </w:p>
    <w:p w14:paraId="3CD2540F">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w:t>
      </w:r>
      <w:r>
        <w:rPr>
          <w:rFonts w:hint="eastAsia" w:ascii="宋体" w:hAnsi="宋体" w:eastAsia="宋体" w:cs="楷体"/>
          <w:kern w:val="2"/>
          <w:sz w:val="24"/>
          <w:szCs w:val="24"/>
          <w:lang w:val="en-US" w:eastAsia="zh-CN"/>
        </w:rPr>
        <w:t>2</w:t>
      </w:r>
      <w:r>
        <w:rPr>
          <w:rFonts w:hint="eastAsia" w:ascii="宋体" w:hAnsi="宋体" w:eastAsia="宋体" w:cs="楷体"/>
          <w:kern w:val="2"/>
          <w:sz w:val="24"/>
          <w:szCs w:val="24"/>
        </w:rPr>
        <w:t>.</w:t>
      </w:r>
      <w:r>
        <w:rPr>
          <w:rFonts w:hint="eastAsia" w:ascii="宋体" w:hAnsi="宋体" w:eastAsia="宋体" w:cs="楷体"/>
          <w:kern w:val="2"/>
          <w:sz w:val="24"/>
          <w:szCs w:val="24"/>
          <w:lang w:val="en-US" w:eastAsia="zh-CN"/>
        </w:rPr>
        <w:t>1</w:t>
      </w:r>
      <w:r>
        <w:rPr>
          <w:rFonts w:hint="eastAsia" w:ascii="宋体" w:hAnsi="宋体" w:eastAsia="宋体" w:cs="楷体"/>
          <w:kern w:val="2"/>
          <w:sz w:val="24"/>
          <w:szCs w:val="24"/>
        </w:rPr>
        <w:t xml:space="preserve"> 作为施工现场组成部分的其他场所包括：</w:t>
      </w:r>
      <w:r>
        <w:rPr>
          <w:rFonts w:hint="eastAsia" w:ascii="宋体" w:hAnsi="宋体" w:eastAsia="宋体" w:cs="楷体"/>
          <w:kern w:val="2"/>
          <w:sz w:val="24"/>
          <w:szCs w:val="24"/>
          <w:u w:val="single"/>
        </w:rPr>
        <w:t>为完成本合同约定的永久工程所修建的施工场地、临时道路、供水、供电、生活用房、生产用房、办公用房及设施等临时性场所。</w:t>
      </w:r>
    </w:p>
    <w:p w14:paraId="4D8B941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w:t>
      </w:r>
      <w:r>
        <w:rPr>
          <w:rFonts w:hint="eastAsia" w:ascii="宋体" w:hAnsi="宋体" w:eastAsia="宋体" w:cs="楷体"/>
          <w:kern w:val="2"/>
          <w:sz w:val="24"/>
          <w:szCs w:val="24"/>
          <w:lang w:val="en-US" w:eastAsia="zh-CN"/>
        </w:rPr>
        <w:t>2</w:t>
      </w:r>
      <w:r>
        <w:rPr>
          <w:rFonts w:hint="eastAsia" w:ascii="宋体" w:hAnsi="宋体" w:eastAsia="宋体" w:cs="楷体"/>
          <w:kern w:val="2"/>
          <w:sz w:val="24"/>
          <w:szCs w:val="24"/>
        </w:rPr>
        <w:t>.</w:t>
      </w:r>
      <w:r>
        <w:rPr>
          <w:rFonts w:hint="eastAsia" w:ascii="宋体" w:hAnsi="宋体" w:eastAsia="宋体" w:cs="楷体"/>
          <w:kern w:val="2"/>
          <w:sz w:val="24"/>
          <w:szCs w:val="24"/>
          <w:lang w:val="en-US" w:eastAsia="zh-CN"/>
        </w:rPr>
        <w:t>2</w:t>
      </w:r>
      <w:r>
        <w:rPr>
          <w:rFonts w:hint="eastAsia" w:ascii="宋体" w:hAnsi="宋体" w:eastAsia="宋体" w:cs="楷体"/>
          <w:kern w:val="2"/>
          <w:sz w:val="24"/>
          <w:szCs w:val="24"/>
        </w:rPr>
        <w:t xml:space="preserve"> 永久占地包括：</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7183AC7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w:t>
      </w:r>
      <w:r>
        <w:rPr>
          <w:rFonts w:hint="eastAsia" w:ascii="宋体" w:hAnsi="宋体" w:eastAsia="宋体" w:cs="楷体"/>
          <w:kern w:val="2"/>
          <w:sz w:val="24"/>
          <w:szCs w:val="24"/>
          <w:lang w:val="en-US" w:eastAsia="zh-CN"/>
        </w:rPr>
        <w:t>2</w:t>
      </w:r>
      <w:r>
        <w:rPr>
          <w:rFonts w:hint="eastAsia" w:ascii="宋体" w:hAnsi="宋体" w:eastAsia="宋体" w:cs="楷体"/>
          <w:kern w:val="2"/>
          <w:sz w:val="24"/>
          <w:szCs w:val="24"/>
        </w:rPr>
        <w:t>.</w:t>
      </w:r>
      <w:r>
        <w:rPr>
          <w:rFonts w:hint="eastAsia" w:ascii="宋体" w:hAnsi="宋体" w:eastAsia="宋体" w:cs="楷体"/>
          <w:kern w:val="2"/>
          <w:sz w:val="24"/>
          <w:szCs w:val="24"/>
          <w:lang w:val="en-US" w:eastAsia="zh-CN"/>
        </w:rPr>
        <w:t>3</w:t>
      </w:r>
      <w:r>
        <w:rPr>
          <w:rFonts w:hint="eastAsia" w:ascii="宋体" w:hAnsi="宋体" w:eastAsia="宋体" w:cs="楷体"/>
          <w:kern w:val="2"/>
          <w:sz w:val="24"/>
          <w:szCs w:val="24"/>
        </w:rPr>
        <w:t>临时占地包括：</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17160D9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1.3</w:t>
      </w:r>
      <w:r>
        <w:rPr>
          <w:rFonts w:hint="eastAsia" w:ascii="宋体" w:hAnsi="宋体" w:eastAsia="宋体" w:cs="楷体"/>
          <w:kern w:val="2"/>
          <w:sz w:val="24"/>
          <w:szCs w:val="24"/>
        </w:rPr>
        <w:t xml:space="preserve">法律 </w:t>
      </w:r>
    </w:p>
    <w:p w14:paraId="62C38B99">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适用于合同的其他规范性文件：</w:t>
      </w:r>
      <w:r>
        <w:rPr>
          <w:rFonts w:hint="eastAsia" w:ascii="宋体" w:hAnsi="宋体" w:eastAsia="宋体" w:cs="楷体"/>
          <w:kern w:val="2"/>
          <w:sz w:val="24"/>
          <w:szCs w:val="24"/>
          <w:u w:val="single"/>
        </w:rPr>
        <w:t xml:space="preserve"> 国家规定的现行法律法规及河南省、三门峡市相关法律法规  </w:t>
      </w:r>
      <w:r>
        <w:rPr>
          <w:rFonts w:hint="eastAsia" w:ascii="宋体" w:hAnsi="宋体" w:eastAsia="宋体" w:cs="楷体"/>
          <w:kern w:val="2"/>
          <w:sz w:val="24"/>
          <w:szCs w:val="24"/>
        </w:rPr>
        <w:t>。</w:t>
      </w:r>
    </w:p>
    <w:p w14:paraId="580D626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 xml:space="preserve">1.4 </w:t>
      </w:r>
      <w:r>
        <w:rPr>
          <w:rFonts w:hint="eastAsia" w:ascii="宋体" w:hAnsi="宋体" w:eastAsia="宋体" w:cs="楷体"/>
          <w:kern w:val="2"/>
          <w:sz w:val="24"/>
          <w:szCs w:val="24"/>
        </w:rPr>
        <w:t>标准和规范</w:t>
      </w:r>
    </w:p>
    <w:p w14:paraId="74B7C4D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1.4.1适用于工程的标准规范包括：</w:t>
      </w:r>
      <w:r>
        <w:rPr>
          <w:rFonts w:hint="eastAsia" w:ascii="宋体" w:hAnsi="宋体" w:eastAsia="宋体" w:cs="楷体"/>
          <w:kern w:val="2"/>
          <w:sz w:val="24"/>
          <w:szCs w:val="24"/>
          <w:u w:val="single"/>
        </w:rPr>
        <w:t xml:space="preserve"> 国家规定的现行法律法规及河南省、三门峡市相关法律法规  </w:t>
      </w:r>
      <w:r>
        <w:rPr>
          <w:rFonts w:hint="eastAsia" w:ascii="宋体" w:hAnsi="宋体" w:eastAsia="宋体" w:cs="楷体"/>
          <w:kern w:val="2"/>
          <w:sz w:val="24"/>
          <w:szCs w:val="24"/>
        </w:rPr>
        <w:t>。</w:t>
      </w:r>
    </w:p>
    <w:p w14:paraId="2F7B0EBA">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1.4.2发包人提供国外标准、规范的名称：</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3A3D2CF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发包人提供国外标准、规范的份数：</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16919EB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发包人提供国外标准、规范的名称：</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705AB63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1.4.3发包人对工程的技术标准和功能要求的特殊要求：</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5C8CECD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 xml:space="preserve">1.5 </w:t>
      </w:r>
      <w:r>
        <w:rPr>
          <w:rFonts w:hint="eastAsia" w:ascii="宋体" w:hAnsi="宋体" w:eastAsia="宋体" w:cs="楷体"/>
          <w:kern w:val="2"/>
          <w:sz w:val="24"/>
          <w:szCs w:val="24"/>
        </w:rPr>
        <w:t>合同文件的优先顺序</w:t>
      </w:r>
    </w:p>
    <w:p w14:paraId="42DDE60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合同文件组成及优先顺序为：</w:t>
      </w:r>
      <w:r>
        <w:rPr>
          <w:rFonts w:hint="eastAsia" w:ascii="宋体" w:hAnsi="宋体" w:eastAsia="宋体" w:cs="楷体"/>
          <w:kern w:val="2"/>
          <w:sz w:val="24"/>
          <w:szCs w:val="24"/>
          <w:u w:val="single"/>
        </w:rPr>
        <w:t xml:space="preserve"> 1、本合同协议书、双方签订的相关协议及补充协议；2、中标通知书；3、本合同专用条款及其附件；4、通用合同条款；5、招标文件及附件；6、投标文件及附件；7、审核通过的设计文件、资料和图纸；8、标准、规范及有关技术文件；9、工程质量保修书；10、双方约定构成合同组成部分的其他文件</w:t>
      </w:r>
      <w:r>
        <w:rPr>
          <w:rFonts w:hint="eastAsia" w:ascii="宋体" w:hAnsi="宋体" w:eastAsia="宋体" w:cs="楷体"/>
          <w:kern w:val="2"/>
          <w:sz w:val="24"/>
          <w:szCs w:val="24"/>
        </w:rPr>
        <w:t>。</w:t>
      </w:r>
    </w:p>
    <w:p w14:paraId="35298BD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1.6</w:t>
      </w:r>
      <w:r>
        <w:rPr>
          <w:rFonts w:hint="eastAsia" w:ascii="宋体" w:hAnsi="宋体" w:eastAsia="宋体" w:cs="楷体"/>
          <w:kern w:val="2"/>
          <w:sz w:val="24"/>
          <w:szCs w:val="24"/>
        </w:rPr>
        <w:t xml:space="preserve"> 图纸和承包人文件</w:t>
      </w:r>
      <w:r>
        <w:rPr>
          <w:rFonts w:hint="eastAsia" w:ascii="宋体" w:hAnsi="宋体" w:eastAsia="宋体" w:cs="楷体"/>
          <w:kern w:val="2"/>
          <w:sz w:val="24"/>
          <w:szCs w:val="24"/>
        </w:rPr>
        <w:tab/>
      </w:r>
    </w:p>
    <w:p w14:paraId="21B0F63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1.6.1 图纸的提供</w:t>
      </w:r>
    </w:p>
    <w:p w14:paraId="1B572D2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发包人向承包人提供图纸的期限：</w:t>
      </w:r>
      <w:r>
        <w:rPr>
          <w:rFonts w:hint="eastAsia" w:ascii="宋体" w:hAnsi="宋体" w:eastAsia="宋体" w:cs="楷体"/>
          <w:kern w:val="2"/>
          <w:sz w:val="24"/>
          <w:szCs w:val="24"/>
          <w:u w:val="single"/>
        </w:rPr>
        <w:t>开工日期前7天</w:t>
      </w:r>
      <w:r>
        <w:rPr>
          <w:rFonts w:hint="eastAsia" w:ascii="宋体" w:hAnsi="宋体" w:eastAsia="宋体" w:cs="楷体"/>
          <w:kern w:val="2"/>
          <w:sz w:val="24"/>
          <w:szCs w:val="24"/>
        </w:rPr>
        <w:t>；</w:t>
      </w:r>
    </w:p>
    <w:p w14:paraId="74905B9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发包人向承包人提供图纸的数量：</w:t>
      </w:r>
      <w:r>
        <w:rPr>
          <w:rFonts w:hint="eastAsia" w:ascii="宋体" w:hAnsi="宋体" w:eastAsia="宋体" w:cs="楷体"/>
          <w:kern w:val="2"/>
          <w:sz w:val="24"/>
          <w:szCs w:val="24"/>
          <w:u w:val="single"/>
        </w:rPr>
        <w:t xml:space="preserve">    3套    </w:t>
      </w:r>
      <w:r>
        <w:rPr>
          <w:rFonts w:hint="eastAsia" w:ascii="宋体" w:hAnsi="宋体" w:eastAsia="宋体" w:cs="楷体"/>
          <w:kern w:val="2"/>
          <w:sz w:val="24"/>
          <w:szCs w:val="24"/>
        </w:rPr>
        <w:t>；</w:t>
      </w:r>
    </w:p>
    <w:p w14:paraId="3C83E0A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发包人向承包人提供图纸的内容：</w:t>
      </w:r>
      <w:r>
        <w:rPr>
          <w:rFonts w:hint="eastAsia" w:ascii="宋体" w:hAnsi="宋体" w:eastAsia="宋体" w:cs="楷体"/>
          <w:kern w:val="2"/>
          <w:sz w:val="24"/>
          <w:szCs w:val="24"/>
          <w:u w:val="single"/>
        </w:rPr>
        <w:t>与本合同工程相关的全套施工图纸</w:t>
      </w:r>
      <w:r>
        <w:rPr>
          <w:rFonts w:hint="eastAsia" w:ascii="宋体" w:hAnsi="宋体" w:eastAsia="宋体" w:cs="楷体"/>
          <w:kern w:val="2"/>
          <w:sz w:val="24"/>
          <w:szCs w:val="24"/>
        </w:rPr>
        <w:t>；</w:t>
      </w:r>
    </w:p>
    <w:p w14:paraId="26BEB8B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1.6.4 承包人文件</w:t>
      </w:r>
    </w:p>
    <w:p w14:paraId="7A9CC36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需要由承包人提供的文件，包括：</w:t>
      </w:r>
      <w:r>
        <w:rPr>
          <w:rFonts w:hint="eastAsia" w:ascii="宋体" w:hAnsi="宋体" w:eastAsia="宋体" w:cs="楷体"/>
          <w:kern w:val="2"/>
          <w:sz w:val="24"/>
          <w:szCs w:val="24"/>
          <w:u w:val="single"/>
        </w:rPr>
        <w:t xml:space="preserve"> 开工前三天应提供完善的施工组织设计和安全专项方案，每月25日前提供下月完成工程量报表、月进度报表等    </w:t>
      </w:r>
      <w:r>
        <w:rPr>
          <w:rFonts w:hint="eastAsia" w:ascii="宋体" w:hAnsi="宋体" w:eastAsia="宋体" w:cs="楷体"/>
          <w:kern w:val="2"/>
          <w:sz w:val="24"/>
          <w:szCs w:val="24"/>
        </w:rPr>
        <w:t>；</w:t>
      </w:r>
    </w:p>
    <w:p w14:paraId="600A1EF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承包人提供的文件的数量为：</w:t>
      </w:r>
      <w:r>
        <w:rPr>
          <w:rFonts w:hint="eastAsia" w:ascii="宋体" w:hAnsi="宋体" w:eastAsia="宋体" w:cs="楷体"/>
          <w:kern w:val="2"/>
          <w:sz w:val="24"/>
          <w:szCs w:val="24"/>
          <w:u w:val="single"/>
        </w:rPr>
        <w:t xml:space="preserve">     视发包人需求                </w:t>
      </w:r>
      <w:r>
        <w:rPr>
          <w:rFonts w:hint="eastAsia" w:ascii="宋体" w:hAnsi="宋体" w:eastAsia="宋体" w:cs="楷体"/>
          <w:kern w:val="2"/>
          <w:sz w:val="24"/>
          <w:szCs w:val="24"/>
        </w:rPr>
        <w:t>；</w:t>
      </w:r>
    </w:p>
    <w:p w14:paraId="2BEFF67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承包人提供的文件的形式为：</w:t>
      </w:r>
      <w:r>
        <w:rPr>
          <w:rFonts w:hint="eastAsia" w:ascii="宋体" w:hAnsi="宋体" w:eastAsia="宋体" w:cs="楷体"/>
          <w:kern w:val="2"/>
          <w:sz w:val="24"/>
          <w:szCs w:val="24"/>
          <w:u w:val="single"/>
        </w:rPr>
        <w:t xml:space="preserve">       书面形式               </w:t>
      </w:r>
      <w:r>
        <w:rPr>
          <w:rFonts w:hint="eastAsia" w:ascii="宋体" w:hAnsi="宋体" w:eastAsia="宋体" w:cs="楷体"/>
          <w:kern w:val="2"/>
          <w:sz w:val="24"/>
          <w:szCs w:val="24"/>
        </w:rPr>
        <w:t>；</w:t>
      </w:r>
    </w:p>
    <w:p w14:paraId="5FFB830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发包人审批承包人文件的期限：</w:t>
      </w:r>
      <w:r>
        <w:rPr>
          <w:rFonts w:hint="eastAsia" w:ascii="宋体" w:hAnsi="宋体" w:eastAsia="宋体" w:cs="楷体"/>
          <w:kern w:val="2"/>
          <w:sz w:val="24"/>
          <w:szCs w:val="24"/>
          <w:u w:val="single"/>
        </w:rPr>
        <w:t xml:space="preserve">    收到文件后7天内          </w:t>
      </w:r>
      <w:r>
        <w:rPr>
          <w:rFonts w:hint="eastAsia" w:ascii="宋体" w:hAnsi="宋体" w:eastAsia="宋体" w:cs="楷体"/>
          <w:kern w:val="2"/>
          <w:sz w:val="24"/>
          <w:szCs w:val="24"/>
        </w:rPr>
        <w:t>。</w:t>
      </w:r>
    </w:p>
    <w:p w14:paraId="7D66190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1.6.5 现场图纸准备</w:t>
      </w:r>
    </w:p>
    <w:p w14:paraId="2FEC8A2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关于现场图纸准备的约定：</w:t>
      </w:r>
      <w:r>
        <w:rPr>
          <w:rFonts w:hint="eastAsia" w:ascii="宋体" w:hAnsi="宋体" w:eastAsia="宋体" w:cs="楷体"/>
          <w:kern w:val="2"/>
          <w:sz w:val="24"/>
          <w:szCs w:val="24"/>
          <w:u w:val="single"/>
        </w:rPr>
        <w:t xml:space="preserve">  施工现场准备一套完整图纸供发包人、监理人及有关人员使用  </w:t>
      </w:r>
      <w:r>
        <w:rPr>
          <w:rFonts w:hint="eastAsia" w:ascii="宋体" w:hAnsi="宋体" w:eastAsia="宋体" w:cs="楷体"/>
          <w:kern w:val="2"/>
          <w:sz w:val="24"/>
          <w:szCs w:val="24"/>
        </w:rPr>
        <w:t>。</w:t>
      </w:r>
    </w:p>
    <w:p w14:paraId="6F86990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1.7</w:t>
      </w:r>
      <w:r>
        <w:rPr>
          <w:rFonts w:hint="eastAsia" w:ascii="宋体" w:hAnsi="宋体" w:eastAsia="宋体" w:cs="楷体"/>
          <w:kern w:val="2"/>
          <w:sz w:val="24"/>
          <w:szCs w:val="24"/>
        </w:rPr>
        <w:t xml:space="preserve"> 联络</w:t>
      </w:r>
    </w:p>
    <w:p w14:paraId="5B7EE94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1.7.1发包人和承包人应当在</w:t>
      </w:r>
      <w:r>
        <w:rPr>
          <w:rFonts w:hint="eastAsia" w:ascii="宋体" w:hAnsi="宋体" w:eastAsia="宋体" w:cs="楷体"/>
          <w:kern w:val="2"/>
          <w:sz w:val="24"/>
          <w:szCs w:val="24"/>
          <w:u w:val="single"/>
        </w:rPr>
        <w:t xml:space="preserve"> 7 </w:t>
      </w:r>
      <w:r>
        <w:rPr>
          <w:rFonts w:hint="eastAsia" w:ascii="宋体" w:hAnsi="宋体" w:eastAsia="宋体" w:cs="楷体"/>
          <w:kern w:val="2"/>
          <w:sz w:val="24"/>
          <w:szCs w:val="24"/>
        </w:rPr>
        <w:t>天内将与合同有关的通知、批准、证明、证书、指示、指令、要求、请求、同意、意见、确定和决定等书面函件送达对方当事人。</w:t>
      </w:r>
    </w:p>
    <w:p w14:paraId="1FFA943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1.7.2 发包人接收文件的地点：</w:t>
      </w:r>
      <w:r>
        <w:rPr>
          <w:rFonts w:hint="eastAsia" w:ascii="Calibri" w:hAnsi="Calibri" w:eastAsia="宋体" w:cs="楷体"/>
          <w:kern w:val="2"/>
          <w:sz w:val="24"/>
          <w:szCs w:val="24"/>
          <w:u w:val="single"/>
        </w:rPr>
        <w:t>施工现场发包人办公地点</w:t>
      </w:r>
      <w:r>
        <w:rPr>
          <w:rFonts w:hint="eastAsia" w:ascii="宋体" w:hAnsi="宋体" w:eastAsia="宋体" w:cs="楷体"/>
          <w:kern w:val="2"/>
          <w:sz w:val="24"/>
          <w:szCs w:val="24"/>
        </w:rPr>
        <w:t>；</w:t>
      </w:r>
    </w:p>
    <w:p w14:paraId="0BA3A0B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发包人指定的接收人为：</w:t>
      </w:r>
      <w:r>
        <w:rPr>
          <w:rFonts w:hint="eastAsia" w:ascii="Calibri" w:hAnsi="Calibri" w:eastAsia="宋体" w:cs="楷体"/>
          <w:kern w:val="2"/>
          <w:sz w:val="24"/>
          <w:szCs w:val="24"/>
          <w:u w:val="single"/>
        </w:rPr>
        <w:t>发包人代表</w:t>
      </w:r>
      <w:r>
        <w:rPr>
          <w:rFonts w:hint="eastAsia" w:ascii="宋体" w:hAnsi="宋体" w:eastAsia="宋体" w:cs="楷体"/>
          <w:kern w:val="2"/>
          <w:sz w:val="24"/>
          <w:szCs w:val="24"/>
        </w:rPr>
        <w:t>。</w:t>
      </w:r>
    </w:p>
    <w:p w14:paraId="119E290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承包人接收文件的地点：</w:t>
      </w:r>
      <w:r>
        <w:rPr>
          <w:rFonts w:hint="eastAsia" w:ascii="Calibri" w:hAnsi="Calibri" w:eastAsia="宋体" w:cs="楷体"/>
          <w:kern w:val="2"/>
          <w:sz w:val="24"/>
          <w:szCs w:val="24"/>
          <w:u w:val="single"/>
        </w:rPr>
        <w:t>施工现场承包人办公地点</w:t>
      </w:r>
      <w:r>
        <w:rPr>
          <w:rFonts w:hint="eastAsia" w:ascii="宋体" w:hAnsi="宋体" w:eastAsia="宋体" w:cs="楷体"/>
          <w:kern w:val="2"/>
          <w:sz w:val="24"/>
          <w:szCs w:val="24"/>
        </w:rPr>
        <w:t>；</w:t>
      </w:r>
    </w:p>
    <w:p w14:paraId="693DC49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承包人指定的接收人为：</w:t>
      </w:r>
      <w:r>
        <w:rPr>
          <w:rFonts w:hint="eastAsia" w:ascii="Calibri" w:hAnsi="Calibri" w:eastAsia="宋体" w:cs="楷体"/>
          <w:kern w:val="2"/>
          <w:sz w:val="24"/>
          <w:szCs w:val="24"/>
          <w:u w:val="single"/>
        </w:rPr>
        <w:t>承包方项目经理</w:t>
      </w:r>
      <w:r>
        <w:rPr>
          <w:rFonts w:hint="eastAsia" w:ascii="宋体" w:hAnsi="宋体" w:eastAsia="宋体" w:cs="楷体"/>
          <w:kern w:val="2"/>
          <w:sz w:val="24"/>
          <w:szCs w:val="24"/>
        </w:rPr>
        <w:t>。</w:t>
      </w:r>
    </w:p>
    <w:p w14:paraId="02A32C2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监理人接收文件的地点：</w:t>
      </w:r>
      <w:r>
        <w:rPr>
          <w:rFonts w:hint="eastAsia" w:ascii="Calibri" w:hAnsi="Calibri" w:eastAsia="宋体" w:cs="楷体"/>
          <w:kern w:val="2"/>
          <w:sz w:val="24"/>
          <w:szCs w:val="24"/>
          <w:u w:val="single"/>
        </w:rPr>
        <w:t>施工现场监理人办公地点</w:t>
      </w:r>
      <w:r>
        <w:rPr>
          <w:rFonts w:hint="eastAsia" w:ascii="宋体" w:hAnsi="宋体" w:eastAsia="宋体" w:cs="楷体"/>
          <w:kern w:val="2"/>
          <w:sz w:val="24"/>
          <w:szCs w:val="24"/>
        </w:rPr>
        <w:t>；</w:t>
      </w:r>
    </w:p>
    <w:p w14:paraId="1528F13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监理人指定的接收人为：</w:t>
      </w:r>
      <w:r>
        <w:rPr>
          <w:rFonts w:hint="eastAsia" w:ascii="Calibri" w:hAnsi="Calibri" w:eastAsia="宋体" w:cs="楷体"/>
          <w:kern w:val="2"/>
          <w:sz w:val="24"/>
          <w:szCs w:val="24"/>
          <w:u w:val="single"/>
        </w:rPr>
        <w:t>项目总监</w:t>
      </w:r>
      <w:r>
        <w:rPr>
          <w:rFonts w:hint="eastAsia" w:ascii="宋体" w:hAnsi="宋体" w:eastAsia="宋体" w:cs="楷体"/>
          <w:kern w:val="2"/>
          <w:sz w:val="24"/>
          <w:szCs w:val="24"/>
        </w:rPr>
        <w:t>。</w:t>
      </w:r>
    </w:p>
    <w:p w14:paraId="574C1AE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1.10</w:t>
      </w:r>
      <w:r>
        <w:rPr>
          <w:rFonts w:hint="eastAsia" w:ascii="宋体" w:hAnsi="宋体" w:eastAsia="宋体" w:cs="楷体"/>
          <w:kern w:val="2"/>
          <w:sz w:val="24"/>
          <w:szCs w:val="24"/>
        </w:rPr>
        <w:t xml:space="preserve"> 交通运输</w:t>
      </w:r>
    </w:p>
    <w:p w14:paraId="1AD0F44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w:t>
      </w:r>
      <w:bookmarkStart w:id="536" w:name="_Toc312677986"/>
      <w:bookmarkEnd w:id="536"/>
      <w:bookmarkStart w:id="537" w:name="_Toc303539100"/>
      <w:bookmarkEnd w:id="537"/>
      <w:bookmarkStart w:id="538" w:name="_Toc300934943"/>
      <w:bookmarkEnd w:id="538"/>
      <w:bookmarkStart w:id="539" w:name="_Toc304295521"/>
      <w:bookmarkEnd w:id="539"/>
      <w:bookmarkStart w:id="540" w:name="_Toc318581155"/>
      <w:r>
        <w:rPr>
          <w:rFonts w:hint="eastAsia" w:ascii="宋体" w:hAnsi="宋体" w:eastAsia="宋体" w:cs="楷体"/>
          <w:kern w:val="2"/>
          <w:sz w:val="24"/>
          <w:szCs w:val="24"/>
        </w:rPr>
        <w:t>.10.1 出入现场的权利</w:t>
      </w:r>
      <w:bookmarkEnd w:id="540"/>
    </w:p>
    <w:p w14:paraId="4602980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关于出入现场的权利的约定：</w:t>
      </w:r>
      <w:r>
        <w:rPr>
          <w:rFonts w:hint="eastAsia" w:ascii="宋体" w:hAnsi="宋体" w:eastAsia="宋体" w:cs="楷体"/>
          <w:kern w:val="2"/>
          <w:sz w:val="24"/>
          <w:szCs w:val="24"/>
          <w:u w:val="single"/>
        </w:rPr>
        <w:t xml:space="preserve">    </w:t>
      </w:r>
      <w:r>
        <w:rPr>
          <w:rFonts w:hint="eastAsia" w:ascii="Calibri" w:hAnsi="Calibri" w:eastAsia="宋体" w:cs="楷体"/>
          <w:kern w:val="2"/>
          <w:sz w:val="24"/>
          <w:szCs w:val="24"/>
          <w:u w:val="single"/>
        </w:rPr>
        <w:t>遵守现场管理规定</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w:t>
      </w:r>
    </w:p>
    <w:p w14:paraId="49C586E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w:t>
      </w:r>
      <w:bookmarkStart w:id="541" w:name="_Toc312677987"/>
      <w:bookmarkEnd w:id="541"/>
      <w:bookmarkStart w:id="542" w:name="_Toc300934944"/>
      <w:bookmarkEnd w:id="542"/>
      <w:bookmarkStart w:id="543" w:name="_Toc303539101"/>
      <w:bookmarkEnd w:id="543"/>
      <w:bookmarkStart w:id="544" w:name="_Toc318581156"/>
      <w:bookmarkEnd w:id="544"/>
      <w:bookmarkStart w:id="545" w:name="_Toc304295522"/>
      <w:r>
        <w:rPr>
          <w:rFonts w:hint="eastAsia" w:ascii="宋体" w:hAnsi="宋体" w:eastAsia="宋体" w:cs="楷体"/>
          <w:kern w:val="2"/>
          <w:sz w:val="24"/>
          <w:szCs w:val="24"/>
        </w:rPr>
        <w:t>.10.3 场内交通</w:t>
      </w:r>
      <w:bookmarkEnd w:id="545"/>
    </w:p>
    <w:p w14:paraId="1917CB3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关于场外交通和场内交通的边界的约定：</w:t>
      </w:r>
      <w:r>
        <w:rPr>
          <w:rFonts w:hint="eastAsia" w:ascii="宋体" w:hAnsi="宋体" w:eastAsia="宋体" w:cs="楷体"/>
          <w:kern w:val="2"/>
          <w:sz w:val="24"/>
          <w:szCs w:val="24"/>
          <w:u w:val="single"/>
        </w:rPr>
        <w:t xml:space="preserve">  </w:t>
      </w:r>
      <w:r>
        <w:rPr>
          <w:rFonts w:hint="eastAsia" w:ascii="Calibri" w:hAnsi="Calibri" w:eastAsia="宋体" w:cs="楷体"/>
          <w:kern w:val="2"/>
          <w:sz w:val="24"/>
          <w:szCs w:val="24"/>
          <w:u w:val="single"/>
        </w:rPr>
        <w:t>以施工现场封闭围挡为界</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w:t>
      </w:r>
    </w:p>
    <w:p w14:paraId="36E9446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关于发包人向承包人免费提供满足工程施工需要的场内道路和交通设施的约定：</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bookmarkStart w:id="546" w:name="_Toc318581157"/>
      <w:bookmarkEnd w:id="546"/>
    </w:p>
    <w:p w14:paraId="61B9474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1.10.4超大件和超重件的运输</w:t>
      </w:r>
    </w:p>
    <w:p w14:paraId="70526E3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运输超大件或超重件所需的道路和桥梁临时加固改造费用和其他有关费用由</w:t>
      </w:r>
    </w:p>
    <w:p w14:paraId="24A5B22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u w:val="single"/>
        </w:rPr>
        <w:t xml:space="preserve">  承包人       </w:t>
      </w:r>
      <w:r>
        <w:rPr>
          <w:rFonts w:hint="eastAsia" w:ascii="宋体" w:hAnsi="宋体" w:eastAsia="宋体" w:cs="楷体"/>
          <w:kern w:val="2"/>
          <w:sz w:val="24"/>
          <w:szCs w:val="24"/>
        </w:rPr>
        <w:t>承担。</w:t>
      </w:r>
    </w:p>
    <w:p w14:paraId="03CD697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1.11</w:t>
      </w:r>
      <w:r>
        <w:rPr>
          <w:rFonts w:hint="eastAsia" w:ascii="宋体" w:hAnsi="宋体" w:eastAsia="宋体" w:cs="楷体"/>
          <w:kern w:val="2"/>
          <w:sz w:val="24"/>
          <w:szCs w:val="24"/>
        </w:rPr>
        <w:t xml:space="preserve"> 知识产权</w:t>
      </w:r>
    </w:p>
    <w:p w14:paraId="4B82E9A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楷体"/>
          <w:kern w:val="2"/>
          <w:sz w:val="24"/>
          <w:szCs w:val="24"/>
          <w:u w:val="single"/>
        </w:rPr>
        <w:t xml:space="preserve">  发包人</w:t>
      </w:r>
      <w:r>
        <w:rPr>
          <w:rFonts w:hint="eastAsia" w:ascii="宋体" w:hAnsi="宋体" w:eastAsia="宋体" w:cs="楷体"/>
          <w:kern w:val="2"/>
          <w:sz w:val="24"/>
          <w:szCs w:val="24"/>
        </w:rPr>
        <w:t>。</w:t>
      </w:r>
    </w:p>
    <w:p w14:paraId="5DABDD2D">
      <w:pPr>
        <w:widowControl w:val="0"/>
        <w:adjustRightInd/>
        <w:snapToGrid/>
        <w:spacing w:after="0" w:line="360" w:lineRule="auto"/>
        <w:ind w:left="625" w:leftChars="284"/>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关于发包人提供的上述文件的使用限制的要求：</w:t>
      </w:r>
      <w:r>
        <w:rPr>
          <w:rFonts w:hint="eastAsia" w:ascii="宋体" w:hAnsi="宋体" w:eastAsia="宋体" w:cs="楷体"/>
          <w:kern w:val="2"/>
          <w:sz w:val="24"/>
          <w:szCs w:val="24"/>
          <w:u w:val="single"/>
        </w:rPr>
        <w:t>承包人未经发包人同意，</w:t>
      </w:r>
    </w:p>
    <w:p w14:paraId="355A05B9">
      <w:pPr>
        <w:widowControl w:val="0"/>
        <w:adjustRightInd/>
        <w:snapToGrid/>
        <w:spacing w:after="0" w:line="360" w:lineRule="auto"/>
        <w:jc w:val="both"/>
        <w:outlineLvl w:val="9"/>
        <w:rPr>
          <w:rFonts w:ascii="宋体" w:hAnsi="宋体" w:eastAsia="宋体" w:cs="楷体"/>
          <w:kern w:val="2"/>
          <w:sz w:val="24"/>
          <w:szCs w:val="24"/>
        </w:rPr>
      </w:pPr>
      <w:r>
        <w:rPr>
          <w:rFonts w:hint="eastAsia" w:ascii="宋体" w:hAnsi="宋体" w:eastAsia="宋体" w:cs="楷体"/>
          <w:kern w:val="2"/>
          <w:sz w:val="24"/>
          <w:szCs w:val="24"/>
          <w:u w:val="single"/>
        </w:rPr>
        <w:t>不得使用上述文件申报奖项或者公开推广宣传</w:t>
      </w:r>
      <w:r>
        <w:rPr>
          <w:rFonts w:hint="eastAsia" w:ascii="宋体" w:hAnsi="宋体" w:eastAsia="宋体" w:cs="楷体"/>
          <w:kern w:val="2"/>
          <w:sz w:val="24"/>
          <w:szCs w:val="24"/>
        </w:rPr>
        <w:t>。</w:t>
      </w:r>
    </w:p>
    <w:p w14:paraId="1937C6AC">
      <w:pPr>
        <w:widowControl w:val="0"/>
        <w:adjustRightInd/>
        <w:snapToGrid/>
        <w:spacing w:after="0" w:line="360" w:lineRule="auto"/>
        <w:ind w:firstLine="480" w:firstLineChars="200"/>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1.11.2 关于承包人为实施工程所编制文件的著作权的归属：</w:t>
      </w:r>
      <w:r>
        <w:rPr>
          <w:rFonts w:hint="eastAsia" w:ascii="宋体" w:hAnsi="宋体" w:eastAsia="宋体" w:cs="楷体"/>
          <w:kern w:val="2"/>
          <w:sz w:val="24"/>
          <w:szCs w:val="24"/>
          <w:u w:val="single"/>
        </w:rPr>
        <w:t>除署名权以外，承包人对于上述文件享有修改权和保护作品完整的权利。</w:t>
      </w:r>
    </w:p>
    <w:p w14:paraId="7DE46DC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关于承包人提供的上述文件的使用限制的要求： </w:t>
      </w:r>
      <w:r>
        <w:rPr>
          <w:rFonts w:hint="eastAsia" w:ascii="宋体" w:hAnsi="宋体" w:eastAsia="宋体" w:cs="楷体"/>
          <w:kern w:val="2"/>
          <w:sz w:val="24"/>
          <w:szCs w:val="24"/>
          <w:u w:val="single"/>
        </w:rPr>
        <w:t xml:space="preserve"> </w:t>
      </w:r>
      <w:r>
        <w:rPr>
          <w:rFonts w:hint="eastAsia" w:ascii="Calibri" w:hAnsi="Calibri" w:eastAsia="宋体" w:cs="楷体"/>
          <w:kern w:val="2"/>
          <w:sz w:val="24"/>
          <w:szCs w:val="24"/>
          <w:u w:val="single"/>
        </w:rPr>
        <w:t>不得对第三方泄露关于本项目的资料</w:t>
      </w:r>
      <w:r>
        <w:rPr>
          <w:rFonts w:hint="eastAsia" w:ascii="宋体" w:hAnsi="宋体" w:eastAsia="宋体" w:cs="楷体"/>
          <w:kern w:val="2"/>
          <w:sz w:val="24"/>
          <w:szCs w:val="24"/>
        </w:rPr>
        <w:t>。</w:t>
      </w:r>
    </w:p>
    <w:p w14:paraId="0633E47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1.11.4 承包人在施工过程中所采用的专利、专有技术、技术秘密的使用费的承担方式：</w:t>
      </w:r>
      <w:r>
        <w:rPr>
          <w:rFonts w:hint="eastAsia" w:ascii="Calibri" w:hAnsi="Calibri" w:eastAsia="宋体" w:cs="楷体"/>
          <w:kern w:val="2"/>
          <w:sz w:val="24"/>
          <w:szCs w:val="24"/>
          <w:u w:val="single"/>
        </w:rPr>
        <w:t>由承包方承担</w:t>
      </w:r>
      <w:r>
        <w:rPr>
          <w:rFonts w:hint="eastAsia" w:ascii="宋体" w:hAnsi="宋体" w:eastAsia="宋体" w:cs="楷体"/>
          <w:kern w:val="2"/>
          <w:sz w:val="24"/>
          <w:szCs w:val="24"/>
        </w:rPr>
        <w:t>。</w:t>
      </w:r>
    </w:p>
    <w:p w14:paraId="03C151B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1.13</w:t>
      </w:r>
      <w:r>
        <w:rPr>
          <w:rFonts w:hint="eastAsia" w:ascii="宋体" w:hAnsi="宋体" w:eastAsia="宋体" w:cs="楷体"/>
          <w:kern w:val="2"/>
          <w:sz w:val="24"/>
          <w:szCs w:val="24"/>
        </w:rPr>
        <w:t>工程量清单错误的修正</w:t>
      </w:r>
    </w:p>
    <w:p w14:paraId="736178B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出现工程量清单错误时，是否调整合同价格：</w:t>
      </w:r>
      <w:r>
        <w:rPr>
          <w:rFonts w:hint="eastAsia" w:ascii="宋体" w:hAnsi="宋体" w:eastAsia="宋体" w:cs="楷体"/>
          <w:kern w:val="2"/>
          <w:sz w:val="24"/>
          <w:szCs w:val="24"/>
          <w:u w:val="single"/>
        </w:rPr>
        <w:t xml:space="preserve">        调整       </w:t>
      </w:r>
      <w:r>
        <w:rPr>
          <w:rFonts w:hint="eastAsia" w:ascii="宋体" w:hAnsi="宋体" w:eastAsia="宋体" w:cs="楷体"/>
          <w:kern w:val="2"/>
          <w:sz w:val="24"/>
          <w:szCs w:val="24"/>
        </w:rPr>
        <w:t>。</w:t>
      </w:r>
    </w:p>
    <w:p w14:paraId="04DF4449">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允许调整合同价格的工程量偏差范围：</w:t>
      </w:r>
      <w:r>
        <w:rPr>
          <w:rFonts w:ascii="Calibri" w:hAnsi="Calibri" w:eastAsia="宋体" w:cs="楷体"/>
          <w:kern w:val="2"/>
          <w:sz w:val="24"/>
          <w:szCs w:val="24"/>
          <w:u w:val="single"/>
        </w:rPr>
        <w:t>按国家工程量清单的规定执行</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w:t>
      </w:r>
    </w:p>
    <w:p w14:paraId="387DF506">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47" w:name="_Toc351203634"/>
      <w:bookmarkEnd w:id="547"/>
      <w:r>
        <w:rPr>
          <w:rFonts w:hint="eastAsia" w:ascii="宋体" w:hAnsi="宋体" w:eastAsia="宋体" w:cs="楷体"/>
          <w:b/>
          <w:bCs/>
          <w:kern w:val="2"/>
          <w:sz w:val="24"/>
          <w:szCs w:val="24"/>
        </w:rPr>
        <w:t>2</w:t>
      </w:r>
      <w:bookmarkStart w:id="548" w:name="_Toc296503157"/>
      <w:bookmarkEnd w:id="548"/>
      <w:bookmarkStart w:id="549" w:name="_Toc296890985"/>
      <w:bookmarkEnd w:id="549"/>
      <w:bookmarkStart w:id="550" w:name="_Toc296944496"/>
      <w:bookmarkEnd w:id="550"/>
      <w:bookmarkStart w:id="551" w:name="_Toc296891197"/>
      <w:bookmarkEnd w:id="551"/>
      <w:bookmarkStart w:id="552" w:name="_Toc296347156"/>
      <w:bookmarkEnd w:id="552"/>
      <w:bookmarkStart w:id="553" w:name="_Toc296346658"/>
      <w:bookmarkEnd w:id="553"/>
      <w:bookmarkStart w:id="554" w:name="_Toc297048343"/>
      <w:bookmarkEnd w:id="554"/>
      <w:bookmarkStart w:id="555" w:name="_Toc292559362"/>
      <w:bookmarkEnd w:id="555"/>
      <w:bookmarkStart w:id="556" w:name="_Toc297120457"/>
      <w:bookmarkEnd w:id="556"/>
      <w:bookmarkStart w:id="557" w:name="_Toc292559867"/>
      <w:r>
        <w:rPr>
          <w:rFonts w:hint="eastAsia" w:ascii="宋体" w:hAnsi="宋体" w:eastAsia="宋体" w:cs="楷体"/>
          <w:b/>
          <w:bCs/>
          <w:kern w:val="2"/>
          <w:sz w:val="24"/>
          <w:szCs w:val="24"/>
        </w:rPr>
        <w:t>. 发包人</w:t>
      </w:r>
      <w:bookmarkEnd w:id="557"/>
    </w:p>
    <w:p w14:paraId="66A1CA0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2.1</w:t>
      </w:r>
      <w:r>
        <w:rPr>
          <w:rFonts w:hint="eastAsia" w:ascii="宋体" w:hAnsi="宋体" w:eastAsia="宋体" w:cs="楷体"/>
          <w:kern w:val="2"/>
          <w:sz w:val="24"/>
          <w:szCs w:val="24"/>
        </w:rPr>
        <w:t xml:space="preserve"> 发包人代表</w:t>
      </w:r>
    </w:p>
    <w:p w14:paraId="4F3D93AE">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发包人代表：</w:t>
      </w:r>
      <w:r>
        <w:rPr>
          <w:rFonts w:hint="eastAsia" w:ascii="宋体" w:hAnsi="宋体" w:eastAsia="宋体" w:cs="楷体"/>
          <w:kern w:val="2"/>
          <w:sz w:val="24"/>
          <w:szCs w:val="24"/>
          <w:u w:val="single"/>
        </w:rPr>
        <w:t xml:space="preserve">  XXXX   </w:t>
      </w:r>
    </w:p>
    <w:p w14:paraId="5E92ED3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姓    名：</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3885DF6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身份证号：</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59B05E8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职    务：</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67D891C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联系电话：</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688A954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电子信箱：</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2E5277A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通信地址：</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0D113D7B">
      <w:pPr>
        <w:widowControl w:val="0"/>
        <w:wordWrap w:val="0"/>
        <w:adjustRightInd/>
        <w:snapToGrid/>
        <w:spacing w:after="0" w:line="480" w:lineRule="exact"/>
        <w:jc w:val="both"/>
        <w:outlineLvl w:val="9"/>
        <w:rPr>
          <w:rFonts w:ascii="宋体" w:hAnsi="宋体" w:eastAsia="宋体" w:cs="楷体"/>
          <w:b/>
          <w:bCs/>
          <w:kern w:val="2"/>
          <w:sz w:val="24"/>
          <w:szCs w:val="24"/>
        </w:rPr>
      </w:pPr>
      <w:r>
        <w:rPr>
          <w:rFonts w:hint="eastAsia" w:ascii="宋体" w:hAnsi="宋体" w:eastAsia="宋体" w:cs="楷体"/>
          <w:kern w:val="2"/>
          <w:sz w:val="24"/>
          <w:szCs w:val="24"/>
        </w:rPr>
        <w:t>发包人对发包人代表的授权范围如下：</w:t>
      </w:r>
      <w:r>
        <w:rPr>
          <w:rFonts w:hint="eastAsia" w:ascii="宋体" w:hAnsi="宋体" w:eastAsia="宋体" w:cs="楷体"/>
          <w:kern w:val="2"/>
          <w:sz w:val="24"/>
          <w:szCs w:val="24"/>
          <w:u w:val="single"/>
        </w:rPr>
        <w:t>1、负责合同约定施工范围的工程管理，监督施工工序及验收；2、合同的履行，代表发包人处理与本工程建设相关的事宜，对施工组织设计、质量监督、隐蔽工程量签认、进出厂材料、设备检验和使用、工程变更、综合单价确认、工期顺延等事项的审核</w:t>
      </w:r>
      <w:r>
        <w:rPr>
          <w:rFonts w:hint="eastAsia" w:ascii="宋体" w:hAnsi="宋体" w:eastAsia="宋体" w:cs="楷体"/>
          <w:kern w:val="2"/>
          <w:sz w:val="24"/>
          <w:szCs w:val="24"/>
        </w:rPr>
        <w:t>。</w:t>
      </w:r>
    </w:p>
    <w:p w14:paraId="4E40A8B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2.2</w:t>
      </w:r>
      <w:r>
        <w:rPr>
          <w:rFonts w:hint="eastAsia" w:ascii="宋体" w:hAnsi="宋体" w:eastAsia="宋体" w:cs="楷体"/>
          <w:kern w:val="2"/>
          <w:sz w:val="24"/>
          <w:szCs w:val="24"/>
        </w:rPr>
        <w:t>施工现场、施工条件和基础资料的提供</w:t>
      </w:r>
    </w:p>
    <w:p w14:paraId="76100B4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2.2.1 提供施工现场</w:t>
      </w:r>
    </w:p>
    <w:p w14:paraId="7715EE0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关于发包人移交施工现场的期限要求：</w:t>
      </w:r>
      <w:r>
        <w:rPr>
          <w:rFonts w:hint="eastAsia" w:ascii="宋体" w:hAnsi="宋体" w:eastAsia="宋体" w:cs="楷体"/>
          <w:kern w:val="2"/>
          <w:sz w:val="24"/>
          <w:szCs w:val="24"/>
          <w:u w:val="single"/>
        </w:rPr>
        <w:t xml:space="preserve">  开工日期7天前           </w:t>
      </w:r>
      <w:r>
        <w:rPr>
          <w:rFonts w:hint="eastAsia" w:ascii="宋体" w:hAnsi="宋体" w:eastAsia="宋体" w:cs="楷体"/>
          <w:kern w:val="2"/>
          <w:sz w:val="24"/>
          <w:szCs w:val="24"/>
        </w:rPr>
        <w:t>。</w:t>
      </w:r>
    </w:p>
    <w:p w14:paraId="22E7929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2.2.2 提供施工条件</w:t>
      </w:r>
    </w:p>
    <w:p w14:paraId="0A139350">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关于发包人应负责提供施工所需要的条件，包括：</w:t>
      </w:r>
      <w:r>
        <w:rPr>
          <w:rFonts w:hint="eastAsia" w:ascii="宋体" w:hAnsi="宋体" w:eastAsia="宋体" w:cs="楷体"/>
          <w:kern w:val="2"/>
          <w:sz w:val="24"/>
          <w:szCs w:val="24"/>
          <w:u w:val="single"/>
        </w:rPr>
        <w:t>施工用水、电由发包方指定接点，单独计量，由承包人自行接入至施工现场，费用自理</w:t>
      </w:r>
      <w:r>
        <w:rPr>
          <w:rFonts w:hint="eastAsia" w:ascii="宋体" w:hAnsi="宋体" w:eastAsia="宋体" w:cs="楷体"/>
          <w:kern w:val="2"/>
          <w:sz w:val="24"/>
          <w:szCs w:val="24"/>
        </w:rPr>
        <w:t>。</w:t>
      </w:r>
    </w:p>
    <w:p w14:paraId="778E1F8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2.3</w:t>
      </w:r>
      <w:r>
        <w:rPr>
          <w:rFonts w:hint="eastAsia" w:ascii="宋体" w:hAnsi="宋体" w:eastAsia="宋体" w:cs="楷体"/>
          <w:kern w:val="2"/>
          <w:sz w:val="24"/>
          <w:szCs w:val="24"/>
        </w:rPr>
        <w:t xml:space="preserve"> 资金来源证明及支付担保</w:t>
      </w:r>
    </w:p>
    <w:p w14:paraId="104CE59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发包人提供资金来源证明的期限要求：</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4B3E93A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发包人是否提供支付担保：</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75762722">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发包人提供支付担保的形式：</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74FD9808">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558" w:name="_Toc351203635"/>
      <w:bookmarkEnd w:id="558"/>
      <w:r>
        <w:rPr>
          <w:rFonts w:hint="eastAsia" w:ascii="宋体" w:hAnsi="宋体" w:eastAsia="宋体" w:cs="楷体"/>
          <w:b/>
          <w:bCs/>
          <w:kern w:val="2"/>
          <w:sz w:val="24"/>
          <w:szCs w:val="24"/>
        </w:rPr>
        <w:t>3</w:t>
      </w:r>
      <w:bookmarkStart w:id="559" w:name="_Toc292559868"/>
      <w:bookmarkEnd w:id="559"/>
      <w:bookmarkStart w:id="560" w:name="_Toc296347157"/>
      <w:bookmarkEnd w:id="560"/>
      <w:bookmarkStart w:id="561" w:name="_Toc296346659"/>
      <w:bookmarkEnd w:id="561"/>
      <w:bookmarkStart w:id="562" w:name="_Toc296890986"/>
      <w:bookmarkEnd w:id="562"/>
      <w:bookmarkStart w:id="563" w:name="_Toc296944497"/>
      <w:bookmarkEnd w:id="563"/>
      <w:bookmarkStart w:id="564" w:name="_Toc297048344"/>
      <w:bookmarkEnd w:id="564"/>
      <w:bookmarkStart w:id="565" w:name="_Toc296503158"/>
      <w:bookmarkEnd w:id="565"/>
      <w:bookmarkStart w:id="566" w:name="_Toc292559363"/>
      <w:bookmarkEnd w:id="566"/>
      <w:bookmarkStart w:id="567" w:name="_Toc297120458"/>
      <w:bookmarkEnd w:id="567"/>
      <w:bookmarkStart w:id="568" w:name="_Toc296891198"/>
      <w:r>
        <w:rPr>
          <w:rFonts w:hint="eastAsia" w:ascii="宋体" w:hAnsi="宋体" w:eastAsia="宋体" w:cs="楷体"/>
          <w:b/>
          <w:bCs/>
          <w:kern w:val="2"/>
          <w:sz w:val="24"/>
          <w:szCs w:val="24"/>
        </w:rPr>
        <w:t>. 承包人</w:t>
      </w:r>
      <w:bookmarkEnd w:id="568"/>
    </w:p>
    <w:p w14:paraId="5454819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 xml:space="preserve">3.1 </w:t>
      </w:r>
      <w:r>
        <w:rPr>
          <w:rFonts w:hint="eastAsia" w:ascii="宋体" w:hAnsi="宋体" w:eastAsia="宋体" w:cs="楷体"/>
          <w:kern w:val="2"/>
          <w:sz w:val="24"/>
          <w:szCs w:val="24"/>
        </w:rPr>
        <w:t>承包人的一般义务</w:t>
      </w:r>
    </w:p>
    <w:p w14:paraId="1D2B1D0E">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（9）承包人提交的竣工资料的内容：</w:t>
      </w:r>
      <w:r>
        <w:rPr>
          <w:rFonts w:hint="eastAsia" w:ascii="宋体" w:hAnsi="宋体" w:eastAsia="宋体" w:cs="楷体"/>
          <w:kern w:val="2"/>
          <w:sz w:val="24"/>
          <w:szCs w:val="24"/>
          <w:u w:val="single"/>
        </w:rPr>
        <w:t>按国家、省、市相关规定和监理人的要求</w:t>
      </w:r>
      <w:r>
        <w:rPr>
          <w:rFonts w:hint="eastAsia" w:ascii="宋体" w:hAnsi="宋体" w:eastAsia="宋体" w:cs="楷体"/>
          <w:kern w:val="2"/>
          <w:sz w:val="24"/>
          <w:szCs w:val="24"/>
        </w:rPr>
        <w:t>。</w:t>
      </w:r>
    </w:p>
    <w:p w14:paraId="121C7AF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承包人需要提交的竣工资料套数：</w:t>
      </w:r>
      <w:r>
        <w:rPr>
          <w:rFonts w:hint="eastAsia" w:ascii="宋体" w:hAnsi="宋体" w:eastAsia="宋体" w:cs="楷体"/>
          <w:kern w:val="2"/>
          <w:sz w:val="24"/>
          <w:szCs w:val="24"/>
          <w:u w:val="single"/>
        </w:rPr>
        <w:t xml:space="preserve">  5套  </w:t>
      </w:r>
      <w:r>
        <w:rPr>
          <w:rFonts w:hint="eastAsia" w:ascii="宋体" w:hAnsi="宋体" w:eastAsia="宋体" w:cs="楷体"/>
          <w:kern w:val="2"/>
          <w:sz w:val="24"/>
          <w:szCs w:val="24"/>
        </w:rPr>
        <w:t>。</w:t>
      </w:r>
    </w:p>
    <w:p w14:paraId="423A2B4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承包人提交的竣工资料的费用承担：</w:t>
      </w:r>
      <w:r>
        <w:rPr>
          <w:rFonts w:hint="eastAsia" w:ascii="宋体" w:hAnsi="宋体" w:eastAsia="宋体" w:cs="楷体"/>
          <w:kern w:val="2"/>
          <w:sz w:val="24"/>
          <w:szCs w:val="24"/>
          <w:u w:val="single"/>
        </w:rPr>
        <w:t xml:space="preserve">         由承包人承担                </w:t>
      </w:r>
      <w:r>
        <w:rPr>
          <w:rFonts w:hint="eastAsia" w:ascii="宋体" w:hAnsi="宋体" w:eastAsia="宋体" w:cs="楷体"/>
          <w:kern w:val="2"/>
          <w:sz w:val="24"/>
          <w:szCs w:val="24"/>
        </w:rPr>
        <w:t>。</w:t>
      </w:r>
    </w:p>
    <w:p w14:paraId="0CB7931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承包人提交的竣工资料移交时间：</w:t>
      </w:r>
      <w:r>
        <w:rPr>
          <w:rFonts w:hint="eastAsia" w:ascii="宋体" w:hAnsi="宋体" w:eastAsia="宋体" w:cs="楷体"/>
          <w:kern w:val="2"/>
          <w:sz w:val="24"/>
          <w:szCs w:val="24"/>
          <w:u w:val="single"/>
        </w:rPr>
        <w:t xml:space="preserve">    工程竣工验收合格后1个月内         </w:t>
      </w:r>
      <w:r>
        <w:rPr>
          <w:rFonts w:hint="eastAsia" w:ascii="宋体" w:hAnsi="宋体" w:eastAsia="宋体" w:cs="楷体"/>
          <w:kern w:val="2"/>
          <w:sz w:val="24"/>
          <w:szCs w:val="24"/>
        </w:rPr>
        <w:t>。</w:t>
      </w:r>
    </w:p>
    <w:p w14:paraId="6C066D2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承包人提交的竣工资料形式要求：</w:t>
      </w:r>
      <w:r>
        <w:rPr>
          <w:rFonts w:hint="eastAsia" w:ascii="宋体" w:hAnsi="宋体" w:eastAsia="宋体" w:cs="楷体"/>
          <w:kern w:val="2"/>
          <w:sz w:val="24"/>
          <w:szCs w:val="24"/>
          <w:u w:val="single"/>
        </w:rPr>
        <w:t xml:space="preserve">     书面及电子文档                    </w:t>
      </w:r>
      <w:r>
        <w:rPr>
          <w:rFonts w:hint="eastAsia" w:ascii="宋体" w:hAnsi="宋体" w:eastAsia="宋体" w:cs="楷体"/>
          <w:kern w:val="2"/>
          <w:sz w:val="24"/>
          <w:szCs w:val="24"/>
        </w:rPr>
        <w:t>。</w:t>
      </w:r>
    </w:p>
    <w:p w14:paraId="1194FD5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（10）承包人应履行的其他义务：</w:t>
      </w:r>
      <w:r>
        <w:rPr>
          <w:rFonts w:hint="eastAsia" w:ascii="宋体" w:hAnsi="宋体" w:eastAsia="宋体" w:cs="楷体"/>
          <w:kern w:val="2"/>
          <w:sz w:val="24"/>
          <w:szCs w:val="24"/>
          <w:u w:val="single"/>
        </w:rPr>
        <w:t xml:space="preserve">  负责施工人员管理；负责施工现场的安全及整洁，如发生事故一切后果承包人承担；负责工程竣工后的场地清理；与施工范围内的周边关系由承包人协调处理，费用自理；承包人应严格履行发包人只制定的安全、质量、进度管理奖罚细则 </w:t>
      </w:r>
      <w:r>
        <w:rPr>
          <w:rFonts w:hint="eastAsia" w:ascii="宋体" w:hAnsi="宋体" w:eastAsia="宋体" w:cs="楷体"/>
          <w:kern w:val="2"/>
          <w:sz w:val="24"/>
          <w:szCs w:val="24"/>
        </w:rPr>
        <w:t>。</w:t>
      </w:r>
    </w:p>
    <w:p w14:paraId="145FB39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3.2</w:t>
      </w:r>
      <w:r>
        <w:rPr>
          <w:rFonts w:hint="eastAsia" w:ascii="宋体" w:hAnsi="宋体" w:eastAsia="宋体" w:cs="楷体"/>
          <w:kern w:val="2"/>
          <w:sz w:val="24"/>
          <w:szCs w:val="24"/>
        </w:rPr>
        <w:t xml:space="preserve"> 项目经理</w:t>
      </w:r>
    </w:p>
    <w:p w14:paraId="04477E9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3.2.1 项目经理：</w:t>
      </w:r>
    </w:p>
    <w:p w14:paraId="19E830A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姓    名：</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5C63C95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身份证号：</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678BF82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建造师执业资格等级：</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3989009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建造师注册证书号：</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59CDB87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建造师执业印章号：</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13F8F45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安全生产考核合格证书号：</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1DCE54D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联系电话：</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14F4703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电子信箱：</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41EAA00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通信地址：</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76A0735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承包人对项目经理的授权范围如下：。</w:t>
      </w:r>
    </w:p>
    <w:p w14:paraId="2C4C697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关于项目经理每月在施工现场的时间要求：</w:t>
      </w:r>
      <w:r>
        <w:rPr>
          <w:rFonts w:hint="eastAsia" w:ascii="宋体" w:hAnsi="宋体" w:eastAsia="宋体" w:cs="楷体"/>
          <w:kern w:val="2"/>
          <w:sz w:val="24"/>
          <w:szCs w:val="24"/>
          <w:u w:val="single"/>
        </w:rPr>
        <w:t xml:space="preserve">   不得少于22天     </w:t>
      </w:r>
      <w:r>
        <w:rPr>
          <w:rFonts w:hint="eastAsia" w:ascii="宋体" w:hAnsi="宋体" w:eastAsia="宋体" w:cs="楷体"/>
          <w:kern w:val="2"/>
          <w:sz w:val="24"/>
          <w:szCs w:val="24"/>
        </w:rPr>
        <w:t>。</w:t>
      </w:r>
    </w:p>
    <w:p w14:paraId="14E7AD5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承包人未提交劳动合同，以及没有为项目经理缴纳社会保险证明的违约责任：</w:t>
      </w:r>
      <w:r>
        <w:rPr>
          <w:rFonts w:hint="eastAsia" w:ascii="宋体" w:hAnsi="宋体" w:eastAsia="宋体" w:cs="楷体"/>
          <w:kern w:val="2"/>
          <w:sz w:val="24"/>
          <w:szCs w:val="24"/>
          <w:u w:val="single"/>
        </w:rPr>
        <w:t xml:space="preserve">产生的一切后果由承包人负责           </w:t>
      </w:r>
      <w:r>
        <w:rPr>
          <w:rFonts w:hint="eastAsia" w:ascii="宋体" w:hAnsi="宋体" w:eastAsia="宋体" w:cs="楷体"/>
          <w:kern w:val="2"/>
          <w:sz w:val="24"/>
          <w:szCs w:val="24"/>
        </w:rPr>
        <w:t>。</w:t>
      </w:r>
    </w:p>
    <w:p w14:paraId="01EFE46B">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项目经理未经批准，擅自离开施工现场的违约责任：</w:t>
      </w:r>
      <w:r>
        <w:rPr>
          <w:rFonts w:hint="eastAsia" w:ascii="宋体" w:hAnsi="宋体" w:eastAsia="宋体" w:cs="楷体"/>
          <w:kern w:val="2"/>
          <w:sz w:val="24"/>
          <w:szCs w:val="24"/>
          <w:u w:val="single"/>
        </w:rPr>
        <w:t>按500元/天处罚</w:t>
      </w:r>
      <w:r>
        <w:rPr>
          <w:rFonts w:hint="eastAsia" w:ascii="宋体" w:hAnsi="宋体" w:eastAsia="宋体" w:cs="楷体"/>
          <w:kern w:val="2"/>
          <w:sz w:val="24"/>
          <w:szCs w:val="24"/>
        </w:rPr>
        <w:t>。</w:t>
      </w:r>
    </w:p>
    <w:p w14:paraId="010BF67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3.2.3 承包人擅自更换项目经理的违约责任：</w:t>
      </w:r>
      <w:r>
        <w:rPr>
          <w:rFonts w:hint="eastAsia" w:ascii="宋体" w:hAnsi="宋体" w:eastAsia="宋体" w:cs="楷体"/>
          <w:kern w:val="2"/>
          <w:sz w:val="24"/>
          <w:szCs w:val="24"/>
          <w:u w:val="single"/>
        </w:rPr>
        <w:t>承包人应向发包人支付违约金5万元，且发包人有权单方面解除合同</w:t>
      </w:r>
      <w:r>
        <w:rPr>
          <w:rFonts w:hint="eastAsia" w:ascii="宋体" w:hAnsi="宋体" w:eastAsia="宋体" w:cs="楷体"/>
          <w:kern w:val="2"/>
          <w:sz w:val="24"/>
          <w:szCs w:val="24"/>
        </w:rPr>
        <w:t>。</w:t>
      </w:r>
    </w:p>
    <w:p w14:paraId="63A67BC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3.2.4 承包人无正当理由拒绝更换项目经理的违约责任：</w:t>
      </w:r>
      <w:r>
        <w:rPr>
          <w:rFonts w:hint="eastAsia" w:ascii="宋体" w:hAnsi="宋体" w:eastAsia="宋体" w:cs="楷体"/>
          <w:kern w:val="2"/>
          <w:sz w:val="24"/>
          <w:szCs w:val="24"/>
          <w:u w:val="single"/>
        </w:rPr>
        <w:t>承包人应向发包人支付违约金2万元，承包人承担上述违约给发包人造成的一切损失</w:t>
      </w:r>
      <w:r>
        <w:rPr>
          <w:rFonts w:hint="eastAsia" w:ascii="宋体" w:hAnsi="宋体" w:eastAsia="宋体" w:cs="楷体"/>
          <w:kern w:val="2"/>
          <w:sz w:val="24"/>
          <w:szCs w:val="24"/>
        </w:rPr>
        <w:t>。</w:t>
      </w:r>
    </w:p>
    <w:p w14:paraId="2EDF69F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3.3</w:t>
      </w:r>
      <w:r>
        <w:rPr>
          <w:rFonts w:hint="eastAsia" w:ascii="宋体" w:hAnsi="宋体" w:eastAsia="宋体" w:cs="楷体"/>
          <w:kern w:val="2"/>
          <w:sz w:val="24"/>
          <w:szCs w:val="24"/>
        </w:rPr>
        <w:t xml:space="preserve"> 承包人人员</w:t>
      </w:r>
    </w:p>
    <w:p w14:paraId="0B3F98E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3.3.1 承包人提交项目管理机构及施工现场管理人员安排报告的期限：</w:t>
      </w:r>
      <w:r>
        <w:rPr>
          <w:rFonts w:hint="eastAsia" w:ascii="宋体" w:hAnsi="宋体" w:eastAsia="宋体" w:cs="Times New Roman"/>
          <w:kern w:val="2"/>
          <w:sz w:val="24"/>
          <w:u w:val="single"/>
        </w:rPr>
        <w:t>合同签订7日内</w:t>
      </w:r>
      <w:r>
        <w:rPr>
          <w:rFonts w:hint="eastAsia" w:ascii="宋体" w:hAnsi="宋体" w:eastAsia="宋体" w:cs="楷体"/>
          <w:kern w:val="2"/>
          <w:sz w:val="24"/>
          <w:szCs w:val="24"/>
        </w:rPr>
        <w:t>。</w:t>
      </w:r>
    </w:p>
    <w:p w14:paraId="360A204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3.3.3 承包人无正当理由拒绝撤换主要施工管理人员的违约责任：。</w:t>
      </w:r>
    </w:p>
    <w:p w14:paraId="58620A07">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3.3.4 承包人主要施工管理人员离开施工现场的批准要求：</w:t>
      </w:r>
      <w:r>
        <w:rPr>
          <w:rFonts w:hint="eastAsia" w:ascii="宋体" w:hAnsi="宋体" w:eastAsia="宋体" w:cs="楷体"/>
          <w:kern w:val="2"/>
          <w:sz w:val="24"/>
          <w:szCs w:val="24"/>
          <w:u w:val="single"/>
        </w:rPr>
        <w:t xml:space="preserve">  由总监理工程师批准，发包人认可后方可离开          </w:t>
      </w:r>
      <w:r>
        <w:rPr>
          <w:rFonts w:hint="eastAsia" w:ascii="宋体" w:hAnsi="宋体" w:eastAsia="宋体" w:cs="楷体"/>
          <w:kern w:val="2"/>
          <w:sz w:val="24"/>
          <w:szCs w:val="24"/>
        </w:rPr>
        <w:t>。</w:t>
      </w:r>
    </w:p>
    <w:p w14:paraId="0B17E82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3.3.5承包人擅自更换主要施工管理人员的违约责任：</w:t>
      </w:r>
      <w:r>
        <w:rPr>
          <w:rFonts w:hint="eastAsia" w:ascii="宋体" w:hAnsi="宋体" w:eastAsia="宋体" w:cs="楷体"/>
          <w:kern w:val="2"/>
          <w:sz w:val="24"/>
          <w:szCs w:val="24"/>
          <w:u w:val="single"/>
        </w:rPr>
        <w:t>按1万元/次处罚</w:t>
      </w:r>
      <w:r>
        <w:rPr>
          <w:rFonts w:hint="eastAsia" w:ascii="宋体" w:hAnsi="宋体" w:eastAsia="宋体" w:cs="楷体"/>
          <w:kern w:val="2"/>
          <w:sz w:val="24"/>
          <w:szCs w:val="24"/>
        </w:rPr>
        <w:t>。</w:t>
      </w:r>
    </w:p>
    <w:p w14:paraId="5D6F585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承包人主要施工管理人员擅自离开施工现场的违约责任：</w:t>
      </w:r>
      <w:r>
        <w:rPr>
          <w:rFonts w:hint="eastAsia" w:ascii="宋体" w:hAnsi="宋体" w:eastAsia="宋体" w:cs="楷体"/>
          <w:kern w:val="2"/>
          <w:sz w:val="24"/>
          <w:szCs w:val="24"/>
          <w:u w:val="single"/>
        </w:rPr>
        <w:t>按1000元/天处罚</w:t>
      </w:r>
      <w:r>
        <w:rPr>
          <w:rFonts w:hint="eastAsia" w:ascii="宋体" w:hAnsi="宋体" w:eastAsia="宋体" w:cs="楷体"/>
          <w:kern w:val="2"/>
          <w:sz w:val="24"/>
          <w:szCs w:val="24"/>
        </w:rPr>
        <w:t>。</w:t>
      </w:r>
    </w:p>
    <w:p w14:paraId="3737927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3</w:t>
      </w:r>
      <w:bookmarkStart w:id="569" w:name="_Toc296891199"/>
      <w:bookmarkEnd w:id="569"/>
      <w:bookmarkStart w:id="570" w:name="_Toc296346660"/>
      <w:bookmarkEnd w:id="570"/>
      <w:bookmarkStart w:id="571" w:name="_Toc297120459"/>
      <w:bookmarkEnd w:id="571"/>
      <w:bookmarkStart w:id="572" w:name="_Toc297216151"/>
      <w:bookmarkEnd w:id="572"/>
      <w:bookmarkStart w:id="573" w:name="_Toc303539102"/>
      <w:bookmarkEnd w:id="573"/>
      <w:bookmarkStart w:id="574" w:name="_Toc300934945"/>
      <w:bookmarkEnd w:id="574"/>
      <w:bookmarkStart w:id="575" w:name="_Toc296944498"/>
      <w:bookmarkEnd w:id="575"/>
      <w:bookmarkStart w:id="576" w:name="_Toc292559869"/>
      <w:bookmarkEnd w:id="576"/>
      <w:bookmarkStart w:id="577" w:name="_Toc312677988"/>
      <w:bookmarkEnd w:id="577"/>
      <w:bookmarkStart w:id="578" w:name="_Toc297048345"/>
      <w:bookmarkEnd w:id="578"/>
      <w:bookmarkStart w:id="579" w:name="_Toc296890987"/>
      <w:bookmarkEnd w:id="579"/>
      <w:bookmarkStart w:id="580" w:name="_Toc297123492"/>
      <w:bookmarkEnd w:id="580"/>
      <w:bookmarkStart w:id="581" w:name="_Toc304295523"/>
      <w:bookmarkEnd w:id="581"/>
      <w:bookmarkStart w:id="582" w:name="_Toc296503159"/>
      <w:bookmarkEnd w:id="582"/>
      <w:bookmarkStart w:id="583" w:name="_Toc296347158"/>
      <w:bookmarkEnd w:id="583"/>
      <w:bookmarkStart w:id="584" w:name="_Toc292559364"/>
      <w:r>
        <w:rPr>
          <w:rFonts w:hint="eastAsia" w:ascii="宋体" w:hAnsi="宋体" w:eastAsia="宋体" w:cs="楷体"/>
          <w:bCs/>
          <w:kern w:val="2"/>
          <w:sz w:val="24"/>
          <w:szCs w:val="24"/>
        </w:rPr>
        <w:t xml:space="preserve">.5 </w:t>
      </w:r>
      <w:bookmarkEnd w:id="584"/>
      <w:r>
        <w:rPr>
          <w:rFonts w:hint="eastAsia" w:ascii="宋体" w:hAnsi="宋体" w:eastAsia="宋体" w:cs="楷体"/>
          <w:kern w:val="2"/>
          <w:sz w:val="24"/>
          <w:szCs w:val="24"/>
        </w:rPr>
        <w:t>分包</w:t>
      </w:r>
    </w:p>
    <w:p w14:paraId="6554F79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w:t>
      </w:r>
      <w:bookmarkStart w:id="585" w:name="_Toc296944499"/>
      <w:bookmarkEnd w:id="585"/>
      <w:bookmarkStart w:id="586" w:name="_Toc297216152"/>
      <w:bookmarkEnd w:id="586"/>
      <w:bookmarkStart w:id="587" w:name="_Toc300934946"/>
      <w:bookmarkEnd w:id="587"/>
      <w:bookmarkStart w:id="588" w:name="_Toc292559870"/>
      <w:bookmarkEnd w:id="588"/>
      <w:bookmarkStart w:id="589" w:name="_Toc312677989"/>
      <w:bookmarkEnd w:id="589"/>
      <w:bookmarkStart w:id="590" w:name="_Toc303539103"/>
      <w:bookmarkEnd w:id="590"/>
      <w:bookmarkStart w:id="591" w:name="_Toc296346661"/>
      <w:bookmarkEnd w:id="591"/>
      <w:bookmarkStart w:id="592" w:name="_Toc318581158"/>
      <w:bookmarkEnd w:id="592"/>
      <w:bookmarkStart w:id="593" w:name="_Toc296891200"/>
      <w:bookmarkEnd w:id="593"/>
      <w:bookmarkStart w:id="594" w:name="_Toc296890988"/>
      <w:bookmarkEnd w:id="594"/>
      <w:bookmarkStart w:id="595" w:name="_Toc292559365"/>
      <w:bookmarkEnd w:id="595"/>
      <w:bookmarkStart w:id="596" w:name="_Toc296347159"/>
      <w:bookmarkEnd w:id="596"/>
      <w:bookmarkStart w:id="597" w:name="_Toc297120460"/>
      <w:bookmarkEnd w:id="597"/>
      <w:bookmarkStart w:id="598" w:name="_Toc296503160"/>
      <w:bookmarkEnd w:id="598"/>
      <w:bookmarkStart w:id="599" w:name="_Toc304295524"/>
      <w:bookmarkEnd w:id="599"/>
      <w:bookmarkStart w:id="600" w:name="_Toc297123493"/>
      <w:bookmarkEnd w:id="600"/>
      <w:bookmarkStart w:id="601" w:name="_Toc297048346"/>
      <w:r>
        <w:rPr>
          <w:rFonts w:hint="eastAsia" w:ascii="宋体" w:hAnsi="宋体" w:eastAsia="宋体" w:cs="楷体"/>
          <w:kern w:val="2"/>
          <w:sz w:val="24"/>
          <w:szCs w:val="24"/>
        </w:rPr>
        <w:t>.5.1 分包的一般约定</w:t>
      </w:r>
      <w:bookmarkEnd w:id="601"/>
    </w:p>
    <w:p w14:paraId="0770EB5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禁止分包的工程包括：</w:t>
      </w:r>
      <w:r>
        <w:rPr>
          <w:rFonts w:hint="eastAsia" w:ascii="宋体" w:hAnsi="宋体" w:eastAsia="宋体" w:cs="楷体"/>
          <w:kern w:val="2"/>
          <w:sz w:val="24"/>
          <w:szCs w:val="24"/>
          <w:u w:val="single"/>
        </w:rPr>
        <w:t xml:space="preserve">  执行通用合同条款  </w:t>
      </w:r>
      <w:r>
        <w:rPr>
          <w:rFonts w:hint="eastAsia" w:ascii="宋体" w:hAnsi="宋体" w:eastAsia="宋体" w:cs="楷体"/>
          <w:kern w:val="2"/>
          <w:sz w:val="24"/>
          <w:szCs w:val="24"/>
        </w:rPr>
        <w:t>。</w:t>
      </w:r>
    </w:p>
    <w:p w14:paraId="64752F72">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主体结构、关键性工作的范围：</w:t>
      </w:r>
      <w:r>
        <w:rPr>
          <w:rFonts w:hint="eastAsia" w:ascii="宋体" w:hAnsi="宋体" w:eastAsia="宋体" w:cs="楷体"/>
          <w:kern w:val="2"/>
          <w:sz w:val="24"/>
          <w:szCs w:val="24"/>
          <w:u w:val="single"/>
        </w:rPr>
        <w:t>执行通用合同条款</w:t>
      </w:r>
      <w:r>
        <w:rPr>
          <w:rFonts w:hint="eastAsia" w:ascii="宋体" w:hAnsi="宋体" w:eastAsia="宋体" w:cs="楷体"/>
          <w:kern w:val="2"/>
          <w:sz w:val="24"/>
          <w:szCs w:val="24"/>
        </w:rPr>
        <w:t>。</w:t>
      </w:r>
      <w:bookmarkStart w:id="602" w:name="_Toc297120461"/>
      <w:bookmarkEnd w:id="602"/>
      <w:bookmarkStart w:id="603" w:name="_Toc304295525"/>
      <w:bookmarkEnd w:id="603"/>
      <w:bookmarkStart w:id="604" w:name="_Toc296891201"/>
      <w:bookmarkEnd w:id="604"/>
      <w:bookmarkStart w:id="605" w:name="_Toc296944500"/>
      <w:bookmarkEnd w:id="605"/>
      <w:bookmarkStart w:id="606" w:name="_Toc297048347"/>
      <w:bookmarkEnd w:id="606"/>
      <w:bookmarkStart w:id="607" w:name="_Toc296890989"/>
      <w:bookmarkEnd w:id="607"/>
      <w:bookmarkStart w:id="608" w:name="_Toc300934947"/>
      <w:bookmarkEnd w:id="608"/>
      <w:bookmarkStart w:id="609" w:name="_Toc303539104"/>
      <w:bookmarkEnd w:id="609"/>
      <w:bookmarkStart w:id="610" w:name="_Toc297123494"/>
      <w:bookmarkEnd w:id="610"/>
      <w:bookmarkStart w:id="611" w:name="_Toc297216153"/>
      <w:bookmarkEnd w:id="611"/>
      <w:bookmarkStart w:id="612" w:name="_Toc296347160"/>
      <w:bookmarkEnd w:id="612"/>
      <w:bookmarkStart w:id="613" w:name="_Toc296346662"/>
      <w:bookmarkEnd w:id="613"/>
      <w:bookmarkStart w:id="614" w:name="_Toc296503161"/>
      <w:bookmarkEnd w:id="614"/>
    </w:p>
    <w:p w14:paraId="7452D77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w:t>
      </w:r>
      <w:bookmarkStart w:id="615" w:name="_Toc318581159"/>
      <w:bookmarkEnd w:id="615"/>
      <w:bookmarkStart w:id="616" w:name="_Toc312677990"/>
      <w:r>
        <w:rPr>
          <w:rFonts w:hint="eastAsia" w:ascii="宋体" w:hAnsi="宋体" w:eastAsia="宋体" w:cs="楷体"/>
          <w:kern w:val="2"/>
          <w:sz w:val="24"/>
          <w:szCs w:val="24"/>
        </w:rPr>
        <w:t>.5.2分包的确定</w:t>
      </w:r>
      <w:bookmarkEnd w:id="616"/>
    </w:p>
    <w:p w14:paraId="79A85188">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允许分包的专业工程包括：</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60F93D7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其他关于分包的约定：</w:t>
      </w:r>
      <w:r>
        <w:rPr>
          <w:rFonts w:hint="eastAsia" w:ascii="宋体" w:hAnsi="宋体" w:eastAsia="宋体" w:cs="楷体"/>
          <w:kern w:val="2"/>
          <w:sz w:val="24"/>
          <w:szCs w:val="24"/>
          <w:u w:val="single"/>
        </w:rPr>
        <w:t xml:space="preserve"> 本工程发包人同意承包人分包的工程不得转包或分包。必须分包的需甲方书面同意</w:t>
      </w:r>
      <w:r>
        <w:rPr>
          <w:rFonts w:hint="eastAsia" w:ascii="宋体" w:hAnsi="宋体" w:eastAsia="宋体" w:cs="楷体"/>
          <w:kern w:val="2"/>
          <w:sz w:val="24"/>
          <w:szCs w:val="24"/>
        </w:rPr>
        <w:t>。</w:t>
      </w:r>
    </w:p>
    <w:p w14:paraId="1CF542C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3.5.4 分包合同价款</w:t>
      </w:r>
    </w:p>
    <w:p w14:paraId="0AA2B4C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关于分包合同价款支付的约定：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41D650B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3.6</w:t>
      </w:r>
      <w:r>
        <w:rPr>
          <w:rFonts w:hint="eastAsia" w:ascii="宋体" w:hAnsi="宋体" w:eastAsia="宋体" w:cs="楷体"/>
          <w:kern w:val="2"/>
          <w:sz w:val="24"/>
          <w:szCs w:val="24"/>
        </w:rPr>
        <w:t xml:space="preserve"> 工程照管与成品、半成品保护</w:t>
      </w:r>
    </w:p>
    <w:p w14:paraId="162CBFC1">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承包人负责照管工程及工程相关的材料、工程设备的起始时间：</w:t>
      </w:r>
      <w:r>
        <w:rPr>
          <w:rFonts w:hint="eastAsia" w:ascii="宋体" w:hAnsi="宋体" w:eastAsia="宋体" w:cs="楷体"/>
          <w:kern w:val="2"/>
          <w:sz w:val="24"/>
          <w:szCs w:val="24"/>
          <w:u w:val="single"/>
        </w:rPr>
        <w:t xml:space="preserve">  设备人员进场至验收交付使用前由承包人负责保修，无其他特殊要求得，费用由承包人承担  </w:t>
      </w:r>
      <w:r>
        <w:rPr>
          <w:rFonts w:hint="eastAsia" w:ascii="宋体" w:hAnsi="宋体" w:eastAsia="宋体" w:cs="楷体"/>
          <w:kern w:val="2"/>
          <w:sz w:val="24"/>
          <w:szCs w:val="24"/>
        </w:rPr>
        <w:t>。</w:t>
      </w:r>
    </w:p>
    <w:p w14:paraId="484AD4D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3.7</w:t>
      </w:r>
      <w:r>
        <w:rPr>
          <w:rFonts w:hint="eastAsia" w:ascii="宋体" w:hAnsi="宋体" w:eastAsia="宋体" w:cs="楷体"/>
          <w:kern w:val="2"/>
          <w:sz w:val="24"/>
          <w:szCs w:val="24"/>
        </w:rPr>
        <w:t xml:space="preserve"> 履约担保</w:t>
      </w:r>
    </w:p>
    <w:p w14:paraId="0E30830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承包人是否提供履约担保：</w:t>
      </w:r>
      <w:r>
        <w:rPr>
          <w:rFonts w:hint="eastAsia" w:ascii="宋体" w:hAnsi="宋体" w:eastAsia="宋体" w:cs="楷体"/>
          <w:kern w:val="2"/>
          <w:sz w:val="24"/>
          <w:szCs w:val="24"/>
          <w:u w:val="single"/>
        </w:rPr>
        <w:t xml:space="preserve">     是             </w:t>
      </w:r>
      <w:r>
        <w:rPr>
          <w:rFonts w:hint="eastAsia" w:ascii="宋体" w:hAnsi="宋体" w:eastAsia="宋体" w:cs="楷体"/>
          <w:kern w:val="2"/>
          <w:sz w:val="24"/>
          <w:szCs w:val="24"/>
        </w:rPr>
        <w:t>。</w:t>
      </w:r>
    </w:p>
    <w:p w14:paraId="1B2D413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承包人提供履约担保的形式、金额及期限的：</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67B61A6C">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617" w:name="_Toc351203636"/>
      <w:bookmarkEnd w:id="617"/>
      <w:r>
        <w:rPr>
          <w:rFonts w:hint="eastAsia" w:ascii="宋体" w:hAnsi="宋体" w:eastAsia="宋体" w:cs="楷体"/>
          <w:b/>
          <w:bCs/>
          <w:kern w:val="2"/>
          <w:sz w:val="24"/>
          <w:szCs w:val="24"/>
        </w:rPr>
        <w:t>4</w:t>
      </w:r>
      <w:bookmarkStart w:id="618" w:name="_Toc296346663"/>
      <w:bookmarkEnd w:id="618"/>
      <w:bookmarkStart w:id="619" w:name="_Toc297048348"/>
      <w:bookmarkEnd w:id="619"/>
      <w:bookmarkStart w:id="620" w:name="_Toc267251413"/>
      <w:bookmarkEnd w:id="620"/>
      <w:bookmarkStart w:id="621" w:name="_Toc296944501"/>
      <w:bookmarkEnd w:id="621"/>
      <w:bookmarkStart w:id="622" w:name="_Toc296347161"/>
      <w:bookmarkEnd w:id="622"/>
      <w:bookmarkStart w:id="623" w:name="_Toc296503162"/>
      <w:bookmarkEnd w:id="623"/>
      <w:bookmarkStart w:id="624" w:name="_Toc296891202"/>
      <w:bookmarkEnd w:id="624"/>
      <w:bookmarkStart w:id="625" w:name="_Toc297120462"/>
      <w:bookmarkEnd w:id="625"/>
      <w:bookmarkStart w:id="626" w:name="_Toc296890990"/>
      <w:bookmarkEnd w:id="626"/>
      <w:bookmarkStart w:id="627" w:name="_Toc292559366"/>
      <w:bookmarkEnd w:id="627"/>
      <w:bookmarkStart w:id="628" w:name="_Toc292559871"/>
      <w:r>
        <w:rPr>
          <w:rFonts w:hint="eastAsia" w:ascii="宋体" w:hAnsi="宋体" w:eastAsia="宋体" w:cs="楷体"/>
          <w:b/>
          <w:bCs/>
          <w:kern w:val="2"/>
          <w:sz w:val="24"/>
          <w:szCs w:val="24"/>
        </w:rPr>
        <w:t>. 监</w:t>
      </w:r>
      <w:bookmarkEnd w:id="628"/>
      <w:r>
        <w:rPr>
          <w:rFonts w:hint="eastAsia" w:ascii="宋体" w:hAnsi="宋体" w:eastAsia="宋体" w:cs="楷体"/>
          <w:b/>
          <w:bCs/>
          <w:kern w:val="2"/>
          <w:sz w:val="24"/>
          <w:szCs w:val="24"/>
        </w:rPr>
        <w:t>理人</w:t>
      </w:r>
    </w:p>
    <w:p w14:paraId="46FC204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4.1</w:t>
      </w:r>
      <w:r>
        <w:rPr>
          <w:rFonts w:hint="eastAsia" w:ascii="宋体" w:hAnsi="宋体" w:eastAsia="宋体" w:cs="楷体"/>
          <w:kern w:val="2"/>
          <w:sz w:val="24"/>
          <w:szCs w:val="24"/>
        </w:rPr>
        <w:t>监理人的一般规定</w:t>
      </w:r>
    </w:p>
    <w:p w14:paraId="7D48D42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关于监理人的监理内容：</w:t>
      </w:r>
      <w:r>
        <w:rPr>
          <w:rFonts w:hint="eastAsia" w:ascii="宋体" w:hAnsi="宋体" w:eastAsia="宋体" w:cs="楷体"/>
          <w:kern w:val="2"/>
          <w:sz w:val="24"/>
          <w:szCs w:val="24"/>
          <w:u w:val="single"/>
        </w:rPr>
        <w:t xml:space="preserve">     见监理合同                </w:t>
      </w:r>
      <w:r>
        <w:rPr>
          <w:rFonts w:hint="eastAsia" w:ascii="宋体" w:hAnsi="宋体" w:eastAsia="宋体" w:cs="楷体"/>
          <w:kern w:val="2"/>
          <w:sz w:val="24"/>
          <w:szCs w:val="24"/>
        </w:rPr>
        <w:t>。</w:t>
      </w:r>
    </w:p>
    <w:p w14:paraId="5577BE9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关于监理人的监理权限：</w:t>
      </w:r>
      <w:r>
        <w:rPr>
          <w:rFonts w:hint="eastAsia" w:ascii="宋体" w:hAnsi="宋体" w:eastAsia="宋体" w:cs="楷体"/>
          <w:kern w:val="2"/>
          <w:sz w:val="24"/>
          <w:szCs w:val="24"/>
          <w:u w:val="single"/>
        </w:rPr>
        <w:t xml:space="preserve">      见监理合同                </w:t>
      </w:r>
      <w:r>
        <w:rPr>
          <w:rFonts w:hint="eastAsia" w:ascii="宋体" w:hAnsi="宋体" w:eastAsia="宋体" w:cs="楷体"/>
          <w:kern w:val="2"/>
          <w:sz w:val="24"/>
          <w:szCs w:val="24"/>
        </w:rPr>
        <w:t xml:space="preserve">。 </w:t>
      </w:r>
    </w:p>
    <w:p w14:paraId="3DA4AB28">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关于监理人在施工现场的办公场所、生活场所的提供和费用承担的约定：</w:t>
      </w:r>
      <w:r>
        <w:rPr>
          <w:rFonts w:hint="eastAsia" w:ascii="宋体" w:hAnsi="宋体" w:eastAsia="宋体" w:cs="楷体"/>
          <w:kern w:val="2"/>
          <w:sz w:val="24"/>
          <w:szCs w:val="24"/>
          <w:u w:val="single"/>
        </w:rPr>
        <w:t xml:space="preserve"> 见监理合同                        </w:t>
      </w:r>
    </w:p>
    <w:p w14:paraId="7E0E3BC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4.2</w:t>
      </w:r>
      <w:r>
        <w:rPr>
          <w:rFonts w:hint="eastAsia" w:ascii="宋体" w:hAnsi="宋体" w:eastAsia="宋体" w:cs="楷体"/>
          <w:kern w:val="2"/>
          <w:sz w:val="24"/>
          <w:szCs w:val="24"/>
        </w:rPr>
        <w:t xml:space="preserve"> 监理人员</w:t>
      </w:r>
    </w:p>
    <w:p w14:paraId="0B7D40F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总监理工程师：</w:t>
      </w:r>
    </w:p>
    <w:p w14:paraId="3B2A5D1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姓    名：</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74253E9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职    务：</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2BA2AFA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监理工程师执业资格证书号：</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286ACED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联系电话：</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0CA0332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电子信箱：</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398CBAA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通信地址：</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2BF308A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关于监理人的其他约定：</w:t>
      </w:r>
      <w:r>
        <w:rPr>
          <w:rFonts w:hint="eastAsia" w:ascii="宋体" w:hAnsi="宋体" w:eastAsia="宋体" w:cs="楷体"/>
          <w:kern w:val="2"/>
          <w:sz w:val="24"/>
          <w:szCs w:val="24"/>
          <w:u w:val="single"/>
        </w:rPr>
        <w:t xml:space="preserve">    XXXX            </w:t>
      </w:r>
      <w:r>
        <w:rPr>
          <w:rFonts w:hint="eastAsia" w:ascii="宋体" w:hAnsi="宋体" w:eastAsia="宋体" w:cs="楷体"/>
          <w:kern w:val="2"/>
          <w:sz w:val="24"/>
          <w:szCs w:val="24"/>
        </w:rPr>
        <w:t>。</w:t>
      </w:r>
    </w:p>
    <w:p w14:paraId="150BFD4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4.3</w:t>
      </w:r>
      <w:r>
        <w:rPr>
          <w:rFonts w:hint="eastAsia" w:ascii="宋体" w:hAnsi="宋体" w:eastAsia="宋体" w:cs="楷体"/>
          <w:kern w:val="2"/>
          <w:sz w:val="24"/>
          <w:szCs w:val="24"/>
        </w:rPr>
        <w:t xml:space="preserve"> 商定或确定</w:t>
      </w:r>
    </w:p>
    <w:p w14:paraId="31A2AE52">
      <w:pPr>
        <w:widowControl w:val="0"/>
        <w:wordWrap w:val="0"/>
        <w:adjustRightInd/>
        <w:snapToGrid/>
        <w:spacing w:after="0" w:line="480" w:lineRule="exact"/>
        <w:jc w:val="both"/>
        <w:outlineLvl w:val="9"/>
        <w:rPr>
          <w:rFonts w:ascii="宋体" w:hAnsi="宋体" w:eastAsia="宋体" w:cs="楷体"/>
          <w:kern w:val="2"/>
          <w:sz w:val="24"/>
          <w:szCs w:val="24"/>
        </w:rPr>
      </w:pPr>
      <w:bookmarkStart w:id="629" w:name="_Toc267251418"/>
      <w:bookmarkEnd w:id="629"/>
      <w:r>
        <w:rPr>
          <w:rFonts w:hint="eastAsia" w:ascii="宋体" w:hAnsi="宋体" w:eastAsia="宋体" w:cs="楷体"/>
          <w:kern w:val="2"/>
          <w:sz w:val="24"/>
          <w:szCs w:val="24"/>
        </w:rPr>
        <w:t>在发包人和承包人不能通过协商达成一致意见时，发包人授权监理人对以下事项进行确定：</w:t>
      </w:r>
    </w:p>
    <w:p w14:paraId="50740CF0">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58A8C3B7">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630" w:name="_Toc351203637"/>
      <w:bookmarkEnd w:id="630"/>
      <w:r>
        <w:rPr>
          <w:rFonts w:hint="eastAsia" w:ascii="宋体" w:hAnsi="宋体" w:eastAsia="宋体" w:cs="楷体"/>
          <w:b/>
          <w:bCs/>
          <w:kern w:val="2"/>
          <w:sz w:val="24"/>
          <w:szCs w:val="24"/>
        </w:rPr>
        <w:t>5</w:t>
      </w:r>
      <w:bookmarkStart w:id="631" w:name="_Toc296891203"/>
      <w:bookmarkEnd w:id="631"/>
      <w:bookmarkStart w:id="632" w:name="_Toc297048349"/>
      <w:bookmarkEnd w:id="632"/>
      <w:bookmarkStart w:id="633" w:name="_Toc296890991"/>
      <w:bookmarkEnd w:id="633"/>
      <w:bookmarkStart w:id="634" w:name="_Toc297120463"/>
      <w:bookmarkEnd w:id="634"/>
      <w:bookmarkStart w:id="635" w:name="_Toc296944502"/>
      <w:bookmarkEnd w:id="635"/>
      <w:bookmarkStart w:id="636" w:name="_Toc296346664"/>
      <w:bookmarkEnd w:id="636"/>
      <w:bookmarkStart w:id="637" w:name="_Toc296347162"/>
      <w:bookmarkEnd w:id="637"/>
      <w:bookmarkStart w:id="638" w:name="_Toc292559367"/>
      <w:bookmarkEnd w:id="638"/>
      <w:bookmarkStart w:id="639" w:name="_Toc292559872"/>
      <w:bookmarkEnd w:id="639"/>
      <w:bookmarkStart w:id="640" w:name="_Toc296503163"/>
      <w:r>
        <w:rPr>
          <w:rFonts w:hint="eastAsia" w:ascii="宋体" w:hAnsi="宋体" w:eastAsia="宋体" w:cs="楷体"/>
          <w:b/>
          <w:bCs/>
          <w:kern w:val="2"/>
          <w:sz w:val="24"/>
          <w:szCs w:val="24"/>
        </w:rPr>
        <w:t>. 工程质量</w:t>
      </w:r>
      <w:bookmarkEnd w:id="640"/>
    </w:p>
    <w:p w14:paraId="3780184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5.1</w:t>
      </w:r>
      <w:r>
        <w:rPr>
          <w:rFonts w:hint="eastAsia" w:ascii="宋体" w:hAnsi="宋体" w:eastAsia="宋体" w:cs="楷体"/>
          <w:kern w:val="2"/>
          <w:sz w:val="24"/>
          <w:szCs w:val="24"/>
        </w:rPr>
        <w:t xml:space="preserve"> 质量要求</w:t>
      </w:r>
    </w:p>
    <w:p w14:paraId="7138F18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5</w:t>
      </w:r>
      <w:bookmarkStart w:id="641" w:name="_Toc297216155"/>
      <w:bookmarkEnd w:id="641"/>
      <w:bookmarkStart w:id="642" w:name="_Toc312677997"/>
      <w:bookmarkEnd w:id="642"/>
      <w:bookmarkStart w:id="643" w:name="_Toc297123496"/>
      <w:bookmarkEnd w:id="643"/>
      <w:bookmarkStart w:id="644" w:name="_Toc304295527"/>
      <w:bookmarkEnd w:id="644"/>
      <w:bookmarkStart w:id="645" w:name="_Toc303539106"/>
      <w:bookmarkEnd w:id="645"/>
      <w:bookmarkStart w:id="646" w:name="_Toc318581164"/>
      <w:bookmarkEnd w:id="646"/>
      <w:bookmarkStart w:id="647" w:name="_Toc300934949"/>
      <w:r>
        <w:rPr>
          <w:rFonts w:hint="eastAsia" w:ascii="宋体" w:hAnsi="宋体" w:eastAsia="宋体" w:cs="楷体"/>
          <w:kern w:val="2"/>
          <w:sz w:val="24"/>
          <w:szCs w:val="24"/>
        </w:rPr>
        <w:t>.1.1 特殊质量标准和要求：</w:t>
      </w:r>
      <w:bookmarkEnd w:id="647"/>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279582A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关于工程奖项的约定：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405315A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5.2</w:t>
      </w:r>
      <w:r>
        <w:rPr>
          <w:rFonts w:hint="eastAsia" w:ascii="宋体" w:hAnsi="宋体" w:eastAsia="宋体" w:cs="楷体"/>
          <w:kern w:val="2"/>
          <w:sz w:val="24"/>
          <w:szCs w:val="24"/>
        </w:rPr>
        <w:t xml:space="preserve"> 隐蔽工程检查</w:t>
      </w:r>
    </w:p>
    <w:p w14:paraId="5A8026A6">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5.2.2承包人提前通知监理人隐蔽工程检查的期限的约定：</w:t>
      </w:r>
      <w:r>
        <w:rPr>
          <w:rFonts w:hint="eastAsia" w:ascii="宋体" w:hAnsi="宋体" w:eastAsia="宋体" w:cs="楷体"/>
          <w:kern w:val="2"/>
          <w:sz w:val="24"/>
          <w:szCs w:val="24"/>
          <w:u w:val="single"/>
        </w:rPr>
        <w:t xml:space="preserve"> 共同检查前48小时通知监理人   </w:t>
      </w:r>
      <w:r>
        <w:rPr>
          <w:rFonts w:hint="eastAsia" w:ascii="宋体" w:hAnsi="宋体" w:eastAsia="宋体" w:cs="楷体"/>
          <w:kern w:val="2"/>
          <w:sz w:val="24"/>
          <w:szCs w:val="24"/>
        </w:rPr>
        <w:t>。</w:t>
      </w:r>
    </w:p>
    <w:p w14:paraId="09B9510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监理人不能按时进行检查时，应提前</w:t>
      </w:r>
      <w:r>
        <w:rPr>
          <w:rFonts w:hint="eastAsia" w:ascii="宋体" w:hAnsi="宋体" w:eastAsia="宋体" w:cs="楷体"/>
          <w:kern w:val="2"/>
          <w:sz w:val="24"/>
          <w:szCs w:val="24"/>
          <w:u w:val="single"/>
        </w:rPr>
        <w:t xml:space="preserve">   24    </w:t>
      </w:r>
      <w:r>
        <w:rPr>
          <w:rFonts w:hint="eastAsia" w:ascii="宋体" w:hAnsi="宋体" w:eastAsia="宋体" w:cs="楷体"/>
          <w:kern w:val="2"/>
          <w:sz w:val="24"/>
          <w:szCs w:val="24"/>
        </w:rPr>
        <w:t>小时提交书面延期要求。</w:t>
      </w:r>
    </w:p>
    <w:p w14:paraId="4D3EC00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关于延期最长不得超过：</w:t>
      </w:r>
      <w:r>
        <w:rPr>
          <w:rFonts w:hint="eastAsia" w:ascii="宋体" w:hAnsi="宋体" w:eastAsia="宋体" w:cs="楷体"/>
          <w:kern w:val="2"/>
          <w:sz w:val="24"/>
          <w:szCs w:val="24"/>
          <w:u w:val="single"/>
        </w:rPr>
        <w:t xml:space="preserve">    48     </w:t>
      </w:r>
      <w:r>
        <w:rPr>
          <w:rFonts w:hint="eastAsia" w:ascii="宋体" w:hAnsi="宋体" w:eastAsia="宋体" w:cs="楷体"/>
          <w:kern w:val="2"/>
          <w:sz w:val="24"/>
          <w:szCs w:val="24"/>
        </w:rPr>
        <w:t>小时。</w:t>
      </w:r>
    </w:p>
    <w:p w14:paraId="0F5BC46C">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648" w:name="_Toc351203638"/>
      <w:bookmarkEnd w:id="648"/>
      <w:r>
        <w:rPr>
          <w:rFonts w:hint="eastAsia" w:ascii="宋体" w:hAnsi="宋体" w:eastAsia="宋体" w:cs="楷体"/>
          <w:b/>
          <w:bCs/>
          <w:kern w:val="2"/>
          <w:sz w:val="24"/>
          <w:szCs w:val="24"/>
        </w:rPr>
        <w:t>6. 安全文明施工与环境保护</w:t>
      </w:r>
    </w:p>
    <w:p w14:paraId="2AFA2DD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6.1</w:t>
      </w:r>
      <w:r>
        <w:rPr>
          <w:rFonts w:hint="eastAsia" w:ascii="宋体" w:hAnsi="宋体" w:eastAsia="宋体" w:cs="楷体"/>
          <w:kern w:val="2"/>
          <w:sz w:val="24"/>
          <w:szCs w:val="24"/>
        </w:rPr>
        <w:t>安全文明施工</w:t>
      </w:r>
    </w:p>
    <w:p w14:paraId="537935F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6.1.1 项目安全生产的达标目标及相应事项的约定：。</w:t>
      </w:r>
    </w:p>
    <w:p w14:paraId="43EF5D0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6.1.4 关于治安保卫的特别约定：</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136D109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关于编制施工场地治安管理计划的约定：</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736CF60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6.1.5 文明施工</w:t>
      </w:r>
    </w:p>
    <w:p w14:paraId="56DA76E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合同当事人对文明施工的要求：。</w:t>
      </w:r>
    </w:p>
    <w:p w14:paraId="5230EFA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6.1.6 关于安全文明施工费支付比例和支付期限的约定：</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15D09130">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649" w:name="_Toc351203639"/>
      <w:bookmarkEnd w:id="649"/>
      <w:r>
        <w:rPr>
          <w:rFonts w:hint="eastAsia" w:ascii="宋体" w:hAnsi="宋体" w:eastAsia="宋体" w:cs="楷体"/>
          <w:b/>
          <w:bCs/>
          <w:kern w:val="2"/>
          <w:sz w:val="24"/>
          <w:szCs w:val="24"/>
        </w:rPr>
        <w:t>7. 工期和进度</w:t>
      </w:r>
    </w:p>
    <w:p w14:paraId="018C3DB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7.1</w:t>
      </w:r>
      <w:r>
        <w:rPr>
          <w:rFonts w:hint="eastAsia" w:ascii="宋体" w:hAnsi="宋体" w:eastAsia="宋体" w:cs="楷体"/>
          <w:kern w:val="2"/>
          <w:sz w:val="24"/>
          <w:szCs w:val="24"/>
        </w:rPr>
        <w:t xml:space="preserve"> 施工组织设计</w:t>
      </w:r>
    </w:p>
    <w:p w14:paraId="3F73163C">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7.1.1 合同当事人约定的施工组织设计应包括的其他内容：</w:t>
      </w:r>
      <w:r>
        <w:rPr>
          <w:rFonts w:hint="eastAsia" w:ascii="宋体" w:hAnsi="宋体" w:eastAsia="宋体" w:cs="楷体"/>
          <w:kern w:val="2"/>
          <w:sz w:val="24"/>
          <w:szCs w:val="24"/>
          <w:u w:val="single"/>
        </w:rPr>
        <w:t xml:space="preserve">   按通用条款执行</w:t>
      </w:r>
      <w:r>
        <w:rPr>
          <w:rFonts w:hint="eastAsia" w:ascii="宋体" w:hAnsi="宋体" w:eastAsia="宋体" w:cs="楷体"/>
          <w:kern w:val="2"/>
          <w:sz w:val="24"/>
          <w:szCs w:val="24"/>
        </w:rPr>
        <w:t>。</w:t>
      </w:r>
    </w:p>
    <w:p w14:paraId="7397DD5F">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7.1.2 施工组织设计的提交和修改</w:t>
      </w:r>
    </w:p>
    <w:p w14:paraId="10515E60">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承包人提交详细施工组织设计的期限的约定：</w:t>
      </w:r>
      <w:r>
        <w:rPr>
          <w:rFonts w:hint="eastAsia" w:ascii="宋体" w:hAnsi="宋体" w:eastAsia="宋体" w:cs="楷体"/>
          <w:kern w:val="2"/>
          <w:sz w:val="24"/>
          <w:szCs w:val="24"/>
          <w:u w:val="single"/>
        </w:rPr>
        <w:t xml:space="preserve">   开工前3天            </w:t>
      </w:r>
      <w:r>
        <w:rPr>
          <w:rFonts w:hint="eastAsia" w:ascii="宋体" w:hAnsi="宋体" w:eastAsia="宋体" w:cs="楷体"/>
          <w:kern w:val="2"/>
          <w:sz w:val="24"/>
          <w:szCs w:val="24"/>
        </w:rPr>
        <w:t>。</w:t>
      </w:r>
    </w:p>
    <w:p w14:paraId="60653BE5">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发包人和监理人在收到详细的施工组织设计后确认或提出修改意见的期限：</w:t>
      </w:r>
    </w:p>
    <w:p w14:paraId="6DBF965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u w:val="single"/>
        </w:rPr>
        <w:t xml:space="preserve">                      收到后7天内                                </w:t>
      </w:r>
      <w:r>
        <w:rPr>
          <w:rFonts w:hint="eastAsia" w:ascii="宋体" w:hAnsi="宋体" w:eastAsia="宋体" w:cs="楷体"/>
          <w:kern w:val="2"/>
          <w:sz w:val="24"/>
          <w:szCs w:val="24"/>
        </w:rPr>
        <w:t>。</w:t>
      </w:r>
    </w:p>
    <w:p w14:paraId="6B68229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7</w:t>
      </w:r>
      <w:bookmarkStart w:id="650" w:name="_Toc300934966"/>
      <w:bookmarkEnd w:id="650"/>
      <w:bookmarkStart w:id="651" w:name="_Toc303539123"/>
      <w:bookmarkEnd w:id="651"/>
      <w:bookmarkStart w:id="652" w:name="_Toc312678005"/>
      <w:bookmarkEnd w:id="652"/>
      <w:bookmarkStart w:id="653" w:name="_Toc297216173"/>
      <w:bookmarkEnd w:id="653"/>
      <w:bookmarkStart w:id="654" w:name="_Toc297123514"/>
      <w:bookmarkEnd w:id="654"/>
      <w:bookmarkStart w:id="655" w:name="_Toc304295541"/>
      <w:bookmarkEnd w:id="655"/>
      <w:bookmarkStart w:id="656" w:name="_Toc312677479"/>
      <w:r>
        <w:rPr>
          <w:rFonts w:hint="eastAsia" w:ascii="宋体" w:hAnsi="宋体" w:eastAsia="宋体" w:cs="楷体"/>
          <w:bCs/>
          <w:kern w:val="2"/>
          <w:sz w:val="24"/>
          <w:szCs w:val="24"/>
        </w:rPr>
        <w:t>.2</w:t>
      </w:r>
      <w:bookmarkEnd w:id="656"/>
      <w:r>
        <w:rPr>
          <w:rFonts w:hint="eastAsia" w:ascii="宋体" w:hAnsi="宋体" w:eastAsia="宋体" w:cs="楷体"/>
          <w:kern w:val="2"/>
          <w:sz w:val="24"/>
          <w:szCs w:val="24"/>
        </w:rPr>
        <w:t xml:space="preserve"> 施工进度计划</w:t>
      </w:r>
    </w:p>
    <w:p w14:paraId="1CB0D26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7.2.2 施工进度计划的修订</w:t>
      </w:r>
    </w:p>
    <w:p w14:paraId="10E85BD0">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发包人和监理人在收到修订的施工进度计划后确认或提出修改意见的期限：</w:t>
      </w:r>
    </w:p>
    <w:p w14:paraId="49E450C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u w:val="single"/>
        </w:rPr>
        <w:t xml:space="preserve">        收到后5天内                                               </w:t>
      </w:r>
      <w:r>
        <w:rPr>
          <w:rFonts w:hint="eastAsia" w:ascii="宋体" w:hAnsi="宋体" w:eastAsia="宋体" w:cs="楷体"/>
          <w:kern w:val="2"/>
          <w:sz w:val="24"/>
          <w:szCs w:val="24"/>
        </w:rPr>
        <w:t>。</w:t>
      </w:r>
    </w:p>
    <w:p w14:paraId="0797371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7.3</w:t>
      </w:r>
      <w:r>
        <w:rPr>
          <w:rFonts w:hint="eastAsia" w:ascii="宋体" w:hAnsi="宋体" w:eastAsia="宋体" w:cs="楷体"/>
          <w:kern w:val="2"/>
          <w:sz w:val="24"/>
          <w:szCs w:val="24"/>
        </w:rPr>
        <w:t xml:space="preserve"> 开工</w:t>
      </w:r>
    </w:p>
    <w:p w14:paraId="62A3357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7.3.1 开工准备</w:t>
      </w:r>
    </w:p>
    <w:p w14:paraId="789A7552">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关于承包人提交工程开工报审表的期限：</w:t>
      </w:r>
      <w:r>
        <w:rPr>
          <w:rFonts w:hint="eastAsia" w:ascii="宋体" w:hAnsi="宋体" w:eastAsia="宋体" w:cs="楷体"/>
          <w:kern w:val="2"/>
          <w:sz w:val="24"/>
          <w:szCs w:val="24"/>
          <w:u w:val="single"/>
        </w:rPr>
        <w:t xml:space="preserve">    合同签订后14天内            </w:t>
      </w:r>
      <w:r>
        <w:rPr>
          <w:rFonts w:hint="eastAsia" w:ascii="宋体" w:hAnsi="宋体" w:eastAsia="宋体" w:cs="楷体"/>
          <w:kern w:val="2"/>
          <w:sz w:val="24"/>
          <w:szCs w:val="24"/>
        </w:rPr>
        <w:t>。</w:t>
      </w:r>
    </w:p>
    <w:p w14:paraId="6F93D1D8">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关于发包人应完成的其他开工准备工作及期限：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3B742F5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关于承包人应完成的其他开工准备工作及期限： </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22F45A9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7.3.2开工通知</w:t>
      </w:r>
    </w:p>
    <w:p w14:paraId="41092DB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因发包人原因造成监理人未能在计划开工日期之日起</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天内发出开工通知的，承包人有权提出价格调整要求，或者解除合同。</w:t>
      </w:r>
    </w:p>
    <w:p w14:paraId="741022A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7.4</w:t>
      </w:r>
      <w:r>
        <w:rPr>
          <w:rFonts w:hint="eastAsia" w:ascii="宋体" w:hAnsi="宋体" w:eastAsia="宋体" w:cs="楷体"/>
          <w:kern w:val="2"/>
          <w:sz w:val="24"/>
          <w:szCs w:val="24"/>
        </w:rPr>
        <w:t xml:space="preserve"> 测量放线</w:t>
      </w:r>
    </w:p>
    <w:p w14:paraId="3E4FFBD9">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7.4.1发包人通过监理人向承包人提供测量基准点、基准线和水准点及其书面资料的期限：</w:t>
      </w:r>
      <w:r>
        <w:rPr>
          <w:rFonts w:hint="eastAsia" w:ascii="宋体" w:hAnsi="宋体" w:eastAsia="宋体" w:cs="楷体"/>
          <w:kern w:val="2"/>
          <w:sz w:val="24"/>
          <w:szCs w:val="24"/>
          <w:u w:val="single"/>
        </w:rPr>
        <w:t xml:space="preserve">        合同签订后10天内                                  </w:t>
      </w:r>
      <w:r>
        <w:rPr>
          <w:rFonts w:hint="eastAsia" w:ascii="宋体" w:hAnsi="宋体" w:eastAsia="宋体" w:cs="楷体"/>
          <w:kern w:val="2"/>
          <w:sz w:val="24"/>
          <w:szCs w:val="24"/>
        </w:rPr>
        <w:t>。</w:t>
      </w:r>
    </w:p>
    <w:p w14:paraId="699A758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7</w:t>
      </w:r>
      <w:bookmarkStart w:id="657" w:name="_Toc297123516"/>
      <w:bookmarkEnd w:id="657"/>
      <w:bookmarkStart w:id="658" w:name="_Toc300934968"/>
      <w:bookmarkEnd w:id="658"/>
      <w:bookmarkStart w:id="659" w:name="_Toc303539125"/>
      <w:bookmarkEnd w:id="659"/>
      <w:bookmarkStart w:id="660" w:name="_Toc312678010"/>
      <w:bookmarkEnd w:id="660"/>
      <w:bookmarkStart w:id="661" w:name="_Toc312677484"/>
      <w:bookmarkEnd w:id="661"/>
      <w:bookmarkStart w:id="662" w:name="_Toc304295546"/>
      <w:bookmarkEnd w:id="662"/>
      <w:bookmarkStart w:id="663" w:name="_Toc297216175"/>
      <w:r>
        <w:rPr>
          <w:rFonts w:hint="eastAsia" w:ascii="宋体" w:hAnsi="宋体" w:eastAsia="宋体" w:cs="楷体"/>
          <w:bCs/>
          <w:kern w:val="2"/>
          <w:sz w:val="24"/>
          <w:szCs w:val="24"/>
        </w:rPr>
        <w:t>.5</w:t>
      </w:r>
      <w:bookmarkEnd w:id="663"/>
      <w:r>
        <w:rPr>
          <w:rFonts w:hint="eastAsia" w:ascii="宋体" w:hAnsi="宋体" w:eastAsia="宋体" w:cs="楷体"/>
          <w:kern w:val="2"/>
          <w:sz w:val="24"/>
          <w:szCs w:val="24"/>
        </w:rPr>
        <w:t xml:space="preserve"> 工期延误</w:t>
      </w:r>
    </w:p>
    <w:p w14:paraId="22CDDB7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7.5.1 因发包人原因导致工期延误</w:t>
      </w:r>
    </w:p>
    <w:p w14:paraId="58BFECA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（7）因发包人原因导致工期延误的其他情形：</w:t>
      </w:r>
      <w:r>
        <w:rPr>
          <w:rFonts w:hint="eastAsia" w:ascii="宋体" w:hAnsi="宋体" w:eastAsia="宋体" w:cs="楷体"/>
          <w:kern w:val="2"/>
          <w:sz w:val="24"/>
          <w:szCs w:val="24"/>
          <w:u w:val="single"/>
        </w:rPr>
        <w:t xml:space="preserve">   工期顺延      </w:t>
      </w:r>
      <w:r>
        <w:rPr>
          <w:rFonts w:hint="eastAsia" w:ascii="宋体" w:hAnsi="宋体" w:eastAsia="宋体" w:cs="楷体"/>
          <w:kern w:val="2"/>
          <w:sz w:val="24"/>
          <w:szCs w:val="24"/>
        </w:rPr>
        <w:t>。</w:t>
      </w:r>
    </w:p>
    <w:p w14:paraId="19EC75B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w:t>
      </w:r>
      <w:bookmarkStart w:id="664" w:name="_Toc312678012"/>
      <w:bookmarkEnd w:id="664"/>
      <w:bookmarkStart w:id="665" w:name="_Toc304295548"/>
      <w:bookmarkEnd w:id="665"/>
      <w:bookmarkStart w:id="666" w:name="_Toc318581169"/>
      <w:bookmarkEnd w:id="666"/>
      <w:bookmarkStart w:id="667" w:name="_Toc300934970"/>
      <w:bookmarkEnd w:id="667"/>
      <w:bookmarkStart w:id="668" w:name="_Toc297123518"/>
      <w:bookmarkEnd w:id="668"/>
      <w:bookmarkStart w:id="669" w:name="_Toc303539127"/>
      <w:bookmarkEnd w:id="669"/>
      <w:bookmarkStart w:id="670" w:name="_Toc297216177"/>
      <w:bookmarkEnd w:id="670"/>
      <w:bookmarkStart w:id="671" w:name="_Toc312677486"/>
      <w:r>
        <w:rPr>
          <w:rFonts w:hint="eastAsia" w:ascii="宋体" w:hAnsi="宋体" w:eastAsia="宋体" w:cs="楷体"/>
          <w:kern w:val="2"/>
          <w:sz w:val="24"/>
          <w:szCs w:val="24"/>
        </w:rPr>
        <w:t>.5.2 因承包人原因导致工期延误</w:t>
      </w:r>
      <w:bookmarkEnd w:id="671"/>
    </w:p>
    <w:p w14:paraId="0A61CC2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因</w:t>
      </w:r>
      <w:bookmarkStart w:id="672" w:name="_Toc312677487"/>
      <w:bookmarkEnd w:id="672"/>
      <w:bookmarkStart w:id="673" w:name="_Toc312678013"/>
      <w:bookmarkEnd w:id="673"/>
      <w:bookmarkStart w:id="674" w:name="_Toc318581170"/>
      <w:r>
        <w:rPr>
          <w:rFonts w:hint="eastAsia" w:ascii="宋体" w:hAnsi="宋体" w:eastAsia="宋体" w:cs="楷体"/>
          <w:kern w:val="2"/>
          <w:sz w:val="24"/>
          <w:szCs w:val="24"/>
        </w:rPr>
        <w:t>承包人原因造成工期延误，逾期竣工违约金的计算方法为：</w:t>
      </w:r>
      <w:bookmarkEnd w:id="674"/>
      <w:r>
        <w:rPr>
          <w:rFonts w:hint="eastAsia" w:ascii="宋体" w:hAnsi="宋体" w:eastAsia="宋体" w:cs="楷体"/>
          <w:kern w:val="2"/>
          <w:sz w:val="24"/>
          <w:szCs w:val="24"/>
          <w:u w:val="single"/>
        </w:rPr>
        <w:t xml:space="preserve">  按10000元/天处罚承包人</w:t>
      </w:r>
      <w:r>
        <w:rPr>
          <w:rFonts w:hint="eastAsia" w:ascii="宋体" w:hAnsi="宋体" w:eastAsia="宋体" w:cs="楷体"/>
          <w:kern w:val="2"/>
          <w:sz w:val="24"/>
          <w:szCs w:val="24"/>
        </w:rPr>
        <w:t>。</w:t>
      </w:r>
    </w:p>
    <w:p w14:paraId="44213DA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因承包人原因造成工期延误，逾</w:t>
      </w:r>
      <w:bookmarkStart w:id="675" w:name="_Toc312678014"/>
      <w:bookmarkEnd w:id="675"/>
      <w:bookmarkStart w:id="676" w:name="_Toc318581171"/>
      <w:r>
        <w:rPr>
          <w:rFonts w:hint="eastAsia" w:ascii="宋体" w:hAnsi="宋体" w:eastAsia="宋体" w:cs="楷体"/>
          <w:kern w:val="2"/>
          <w:sz w:val="24"/>
          <w:szCs w:val="24"/>
        </w:rPr>
        <w:t>期竣工违约金的上限：</w:t>
      </w:r>
      <w:bookmarkEnd w:id="676"/>
      <w:r>
        <w:rPr>
          <w:rFonts w:hint="eastAsia" w:ascii="宋体" w:hAnsi="宋体" w:eastAsia="宋体" w:cs="楷体"/>
          <w:kern w:val="2"/>
          <w:sz w:val="24"/>
          <w:szCs w:val="24"/>
          <w:u w:val="single"/>
        </w:rPr>
        <w:t xml:space="preserve"> 总额不超过总价款的1%</w:t>
      </w:r>
      <w:r>
        <w:rPr>
          <w:rFonts w:hint="eastAsia" w:ascii="宋体" w:hAnsi="宋体" w:eastAsia="宋体" w:cs="楷体"/>
          <w:kern w:val="2"/>
          <w:sz w:val="24"/>
          <w:szCs w:val="24"/>
        </w:rPr>
        <w:t>。</w:t>
      </w:r>
    </w:p>
    <w:p w14:paraId="52E9523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7</w:t>
      </w:r>
      <w:bookmarkStart w:id="677" w:name="_Toc297216178"/>
      <w:bookmarkEnd w:id="677"/>
      <w:bookmarkStart w:id="678" w:name="_Toc304295549"/>
      <w:bookmarkEnd w:id="678"/>
      <w:bookmarkStart w:id="679" w:name="_Toc312678015"/>
      <w:bookmarkEnd w:id="679"/>
      <w:bookmarkStart w:id="680" w:name="_Toc303539128"/>
      <w:bookmarkEnd w:id="680"/>
      <w:bookmarkStart w:id="681" w:name="_Toc297123519"/>
      <w:bookmarkEnd w:id="681"/>
      <w:bookmarkStart w:id="682" w:name="_Toc300934971"/>
      <w:r>
        <w:rPr>
          <w:rFonts w:hint="eastAsia" w:ascii="宋体" w:hAnsi="宋体" w:eastAsia="宋体" w:cs="楷体"/>
          <w:bCs/>
          <w:kern w:val="2"/>
          <w:sz w:val="24"/>
          <w:szCs w:val="24"/>
        </w:rPr>
        <w:t>.6</w:t>
      </w:r>
      <w:bookmarkEnd w:id="682"/>
      <w:r>
        <w:rPr>
          <w:rFonts w:hint="eastAsia" w:ascii="宋体" w:hAnsi="宋体" w:eastAsia="宋体" w:cs="楷体"/>
          <w:kern w:val="2"/>
          <w:sz w:val="24"/>
          <w:szCs w:val="24"/>
        </w:rPr>
        <w:t xml:space="preserve"> 不利物质条件</w:t>
      </w:r>
    </w:p>
    <w:p w14:paraId="7962B0E4">
      <w:pPr>
        <w:widowControl w:val="0"/>
        <w:wordWrap w:val="0"/>
        <w:adjustRightInd/>
        <w:snapToGrid/>
        <w:spacing w:after="0" w:line="480" w:lineRule="exact"/>
        <w:jc w:val="both"/>
        <w:outlineLvl w:val="9"/>
        <w:rPr>
          <w:rFonts w:ascii="宋体" w:hAnsi="宋体" w:eastAsia="宋体" w:cs="楷体"/>
          <w:kern w:val="2"/>
          <w:sz w:val="24"/>
          <w:szCs w:val="24"/>
        </w:rPr>
      </w:pPr>
      <w:bookmarkStart w:id="683" w:name="_Toc300934972"/>
      <w:bookmarkEnd w:id="683"/>
      <w:bookmarkStart w:id="684" w:name="_Toc297123520"/>
      <w:bookmarkEnd w:id="684"/>
      <w:bookmarkStart w:id="685" w:name="_Toc312678016"/>
      <w:bookmarkEnd w:id="685"/>
      <w:bookmarkStart w:id="686" w:name="_Toc318581172"/>
      <w:bookmarkEnd w:id="686"/>
      <w:bookmarkStart w:id="687" w:name="_Toc304295550"/>
      <w:bookmarkEnd w:id="687"/>
      <w:bookmarkStart w:id="688" w:name="_Toc303539129"/>
      <w:bookmarkEnd w:id="688"/>
      <w:bookmarkStart w:id="689" w:name="_Toc297216179"/>
      <w:r>
        <w:rPr>
          <w:rFonts w:hint="eastAsia" w:ascii="宋体" w:hAnsi="宋体" w:eastAsia="宋体" w:cs="楷体"/>
          <w:kern w:val="2"/>
          <w:sz w:val="24"/>
          <w:szCs w:val="24"/>
        </w:rPr>
        <w:t>不利物质条件的其他情形和有关约定：</w:t>
      </w:r>
      <w:bookmarkEnd w:id="689"/>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64B2949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7</w:t>
      </w:r>
      <w:bookmarkStart w:id="690" w:name="_Toc304295551"/>
      <w:bookmarkEnd w:id="690"/>
      <w:bookmarkStart w:id="691" w:name="_Toc312678017"/>
      <w:bookmarkEnd w:id="691"/>
      <w:bookmarkStart w:id="692" w:name="_Toc300934973"/>
      <w:bookmarkEnd w:id="692"/>
      <w:bookmarkStart w:id="693" w:name="_Toc297123521"/>
      <w:bookmarkEnd w:id="693"/>
      <w:bookmarkStart w:id="694" w:name="_Toc303539130"/>
      <w:bookmarkEnd w:id="694"/>
      <w:bookmarkStart w:id="695" w:name="_Toc297216180"/>
      <w:r>
        <w:rPr>
          <w:rFonts w:hint="eastAsia" w:ascii="宋体" w:hAnsi="宋体" w:eastAsia="宋体" w:cs="楷体"/>
          <w:bCs/>
          <w:kern w:val="2"/>
          <w:sz w:val="24"/>
          <w:szCs w:val="24"/>
        </w:rPr>
        <w:t>.7</w:t>
      </w:r>
      <w:bookmarkEnd w:id="695"/>
      <w:r>
        <w:rPr>
          <w:rFonts w:hint="eastAsia" w:ascii="宋体" w:hAnsi="宋体" w:eastAsia="宋体" w:cs="楷体"/>
          <w:kern w:val="2"/>
          <w:sz w:val="24"/>
          <w:szCs w:val="24"/>
        </w:rPr>
        <w:t>异常恶劣的气候条件</w:t>
      </w:r>
    </w:p>
    <w:p w14:paraId="039902E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发包人和承包人同意以下情形视为异常恶劣的气候条件：</w:t>
      </w:r>
    </w:p>
    <w:p w14:paraId="1F4BBF2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w:t>
      </w:r>
      <w:r>
        <w:rPr>
          <w:rFonts w:hint="eastAsia" w:ascii="宋体" w:hAnsi="宋体" w:eastAsia="宋体" w:cs="楷体"/>
          <w:kern w:val="2"/>
          <w:sz w:val="24"/>
          <w:szCs w:val="24"/>
          <w:u w:val="single"/>
        </w:rPr>
        <w:t xml:space="preserve">  </w:t>
      </w:r>
      <w:r>
        <w:rPr>
          <w:rFonts w:hint="eastAsia" w:ascii="Calibri" w:hAnsi="Calibri" w:eastAsia="宋体" w:cs="楷体"/>
          <w:kern w:val="2"/>
          <w:sz w:val="24"/>
          <w:szCs w:val="24"/>
          <w:u w:val="single"/>
        </w:rPr>
        <w:t>双方另行约定</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w:t>
      </w:r>
    </w:p>
    <w:p w14:paraId="70AABFC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w:t>
      </w:r>
      <w:r>
        <w:rPr>
          <w:rFonts w:hint="eastAsia" w:ascii="宋体" w:hAnsi="宋体" w:eastAsia="宋体" w:cs="楷体"/>
          <w:kern w:val="2"/>
          <w:sz w:val="24"/>
          <w:szCs w:val="24"/>
          <w:u w:val="single"/>
        </w:rPr>
        <w:t xml:space="preserve">   </w:t>
      </w:r>
      <w:r>
        <w:rPr>
          <w:rFonts w:hint="eastAsia" w:ascii="Calibri" w:hAnsi="Calibri" w:eastAsia="宋体" w:cs="楷体"/>
          <w:kern w:val="2"/>
          <w:sz w:val="24"/>
          <w:szCs w:val="24"/>
          <w:u w:val="single"/>
        </w:rPr>
        <w:t>双方另行约定</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w:t>
      </w:r>
    </w:p>
    <w:p w14:paraId="4F8BCFB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w:t>
      </w:r>
      <w:r>
        <w:rPr>
          <w:rFonts w:hint="eastAsia" w:ascii="宋体" w:hAnsi="宋体" w:eastAsia="宋体" w:cs="楷体"/>
          <w:kern w:val="2"/>
          <w:sz w:val="24"/>
          <w:szCs w:val="24"/>
          <w:u w:val="single"/>
        </w:rPr>
        <w:t xml:space="preserve">   </w:t>
      </w:r>
      <w:r>
        <w:rPr>
          <w:rFonts w:hint="eastAsia" w:ascii="Calibri" w:hAnsi="Calibri" w:eastAsia="宋体" w:cs="楷体"/>
          <w:kern w:val="2"/>
          <w:sz w:val="24"/>
          <w:szCs w:val="24"/>
          <w:u w:val="single"/>
        </w:rPr>
        <w:t>双方另行约定</w:t>
      </w:r>
      <w:r>
        <w:rPr>
          <w:rFonts w:hint="eastAsia" w:ascii="宋体" w:hAnsi="宋体" w:eastAsia="宋体" w:cs="楷体"/>
          <w:kern w:val="2"/>
          <w:sz w:val="24"/>
          <w:szCs w:val="24"/>
          <w:u w:val="single"/>
        </w:rPr>
        <w:t xml:space="preserve">   </w:t>
      </w:r>
      <w:r>
        <w:rPr>
          <w:rFonts w:hint="eastAsia" w:ascii="宋体" w:hAnsi="宋体" w:eastAsia="宋体" w:cs="楷体"/>
          <w:kern w:val="2"/>
          <w:sz w:val="24"/>
          <w:szCs w:val="24"/>
        </w:rPr>
        <w:t>。</w:t>
      </w:r>
    </w:p>
    <w:p w14:paraId="4593079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7.8</w:t>
      </w:r>
      <w:r>
        <w:rPr>
          <w:rFonts w:hint="eastAsia" w:ascii="宋体" w:hAnsi="宋体" w:eastAsia="宋体" w:cs="楷体"/>
          <w:kern w:val="2"/>
          <w:sz w:val="24"/>
          <w:szCs w:val="24"/>
        </w:rPr>
        <w:t xml:space="preserve"> 提前竣工的奖励</w:t>
      </w:r>
    </w:p>
    <w:p w14:paraId="35CC4A13">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7.8.1提前竣工的奖励：</w:t>
      </w:r>
      <w:r>
        <w:rPr>
          <w:rFonts w:hint="eastAsia" w:ascii="宋体" w:hAnsi="宋体" w:eastAsia="宋体" w:cs="楷体"/>
          <w:kern w:val="2"/>
          <w:sz w:val="24"/>
          <w:szCs w:val="24"/>
          <w:u w:val="single"/>
        </w:rPr>
        <w:t xml:space="preserve">              /                      。</w:t>
      </w:r>
    </w:p>
    <w:p w14:paraId="23F828D7">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696" w:name="_Toc351203640"/>
      <w:bookmarkEnd w:id="696"/>
      <w:r>
        <w:rPr>
          <w:rFonts w:hint="eastAsia" w:ascii="宋体" w:hAnsi="宋体" w:eastAsia="宋体" w:cs="楷体"/>
          <w:b/>
          <w:bCs/>
          <w:kern w:val="2"/>
          <w:sz w:val="24"/>
          <w:szCs w:val="24"/>
        </w:rPr>
        <w:t>8. 材料与设备</w:t>
      </w:r>
    </w:p>
    <w:p w14:paraId="3C52D19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8</w:t>
      </w:r>
      <w:bookmarkStart w:id="697" w:name="_Toc280868656"/>
      <w:bookmarkEnd w:id="697"/>
      <w:bookmarkStart w:id="698" w:name="_Toc296944506"/>
      <w:bookmarkEnd w:id="698"/>
      <w:bookmarkStart w:id="699" w:name="_Toc296346668"/>
      <w:bookmarkEnd w:id="699"/>
      <w:bookmarkStart w:id="700" w:name="_Toc292559372"/>
      <w:bookmarkEnd w:id="700"/>
      <w:bookmarkStart w:id="701" w:name="_Toc296890995"/>
      <w:bookmarkEnd w:id="701"/>
      <w:bookmarkStart w:id="702" w:name="_Toc297123527"/>
      <w:bookmarkEnd w:id="702"/>
      <w:bookmarkStart w:id="703" w:name="_Toc280868654"/>
      <w:bookmarkEnd w:id="703"/>
      <w:bookmarkStart w:id="704" w:name="_Toc297048353"/>
      <w:bookmarkEnd w:id="704"/>
      <w:bookmarkStart w:id="705" w:name="_Toc292559877"/>
      <w:bookmarkEnd w:id="705"/>
      <w:bookmarkStart w:id="706" w:name="_Toc296891207"/>
      <w:bookmarkEnd w:id="706"/>
      <w:bookmarkStart w:id="707" w:name="_Toc303539136"/>
      <w:bookmarkEnd w:id="707"/>
      <w:bookmarkStart w:id="708" w:name="_Toc280868655"/>
      <w:bookmarkEnd w:id="708"/>
      <w:bookmarkStart w:id="709" w:name="_Toc312677493"/>
      <w:bookmarkEnd w:id="709"/>
      <w:bookmarkStart w:id="710" w:name="_Toc296503167"/>
      <w:bookmarkEnd w:id="710"/>
      <w:bookmarkStart w:id="711" w:name="_Toc267251424"/>
      <w:bookmarkEnd w:id="711"/>
      <w:bookmarkStart w:id="712" w:name="_Toc296347166"/>
      <w:bookmarkEnd w:id="712"/>
      <w:bookmarkStart w:id="713" w:name="_Toc304295556"/>
      <w:bookmarkEnd w:id="713"/>
      <w:bookmarkStart w:id="714" w:name="_Toc297216186"/>
      <w:bookmarkEnd w:id="714"/>
      <w:bookmarkStart w:id="715" w:name="_Toc297120467"/>
      <w:bookmarkEnd w:id="715"/>
      <w:bookmarkStart w:id="716" w:name="_Toc312678019"/>
      <w:bookmarkEnd w:id="716"/>
      <w:bookmarkStart w:id="717" w:name="_Toc300934979"/>
      <w:r>
        <w:rPr>
          <w:rFonts w:hint="eastAsia" w:ascii="宋体" w:hAnsi="宋体" w:eastAsia="宋体" w:cs="楷体"/>
          <w:bCs/>
          <w:kern w:val="2"/>
          <w:sz w:val="24"/>
          <w:szCs w:val="24"/>
        </w:rPr>
        <w:t>.4</w:t>
      </w:r>
      <w:bookmarkEnd w:id="717"/>
      <w:r>
        <w:rPr>
          <w:rFonts w:hint="eastAsia" w:ascii="宋体" w:hAnsi="宋体" w:eastAsia="宋体" w:cs="楷体"/>
          <w:kern w:val="2"/>
          <w:sz w:val="24"/>
          <w:szCs w:val="24"/>
        </w:rPr>
        <w:t>材料与工程设备的保管与使用</w:t>
      </w:r>
    </w:p>
    <w:p w14:paraId="46E8D58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8</w:t>
      </w:r>
      <w:bookmarkStart w:id="718" w:name="_Toc292559878"/>
      <w:bookmarkEnd w:id="718"/>
      <w:bookmarkStart w:id="719" w:name="_Toc297216187"/>
      <w:bookmarkEnd w:id="719"/>
      <w:bookmarkStart w:id="720" w:name="_Toc312678020"/>
      <w:bookmarkEnd w:id="720"/>
      <w:bookmarkStart w:id="721" w:name="_Toc297120468"/>
      <w:bookmarkEnd w:id="721"/>
      <w:bookmarkStart w:id="722" w:name="_Toc296891208"/>
      <w:bookmarkEnd w:id="722"/>
      <w:bookmarkStart w:id="723" w:name="_Toc318581173"/>
      <w:bookmarkEnd w:id="723"/>
      <w:bookmarkStart w:id="724" w:name="_Toc297048354"/>
      <w:bookmarkEnd w:id="724"/>
      <w:bookmarkStart w:id="725" w:name="_Toc297123528"/>
      <w:bookmarkEnd w:id="725"/>
      <w:bookmarkStart w:id="726" w:name="_Toc304295557"/>
      <w:bookmarkEnd w:id="726"/>
      <w:bookmarkStart w:id="727" w:name="_Toc312677494"/>
      <w:bookmarkEnd w:id="727"/>
      <w:bookmarkStart w:id="728" w:name="_Toc303539137"/>
      <w:bookmarkEnd w:id="728"/>
      <w:bookmarkStart w:id="729" w:name="_Toc296503168"/>
      <w:bookmarkEnd w:id="729"/>
      <w:bookmarkStart w:id="730" w:name="_Toc292559373"/>
      <w:bookmarkEnd w:id="730"/>
      <w:bookmarkStart w:id="731" w:name="_Toc300934980"/>
      <w:bookmarkEnd w:id="731"/>
      <w:bookmarkStart w:id="732" w:name="_Toc296347167"/>
      <w:bookmarkEnd w:id="732"/>
      <w:bookmarkStart w:id="733" w:name="_Toc296944507"/>
      <w:bookmarkEnd w:id="733"/>
      <w:bookmarkStart w:id="734" w:name="_Toc296890996"/>
      <w:bookmarkEnd w:id="734"/>
      <w:bookmarkStart w:id="735" w:name="_Toc296346669"/>
      <w:r>
        <w:rPr>
          <w:rFonts w:hint="eastAsia" w:ascii="宋体" w:hAnsi="宋体" w:eastAsia="宋体" w:cs="楷体"/>
          <w:kern w:val="2"/>
          <w:sz w:val="24"/>
          <w:szCs w:val="24"/>
        </w:rPr>
        <w:t>.4.1发包人供应的材料设备的保管费用的承担：</w:t>
      </w:r>
      <w:bookmarkEnd w:id="735"/>
      <w:r>
        <w:rPr>
          <w:rFonts w:hint="eastAsia" w:ascii="宋体" w:hAnsi="宋体" w:eastAsia="宋体" w:cs="楷体"/>
          <w:kern w:val="2"/>
          <w:sz w:val="24"/>
          <w:szCs w:val="24"/>
          <w:u w:val="single"/>
        </w:rPr>
        <w:t xml:space="preserve">   由承包人承担          </w:t>
      </w:r>
      <w:r>
        <w:rPr>
          <w:rFonts w:hint="eastAsia" w:ascii="宋体" w:hAnsi="宋体" w:eastAsia="宋体" w:cs="楷体"/>
          <w:kern w:val="2"/>
          <w:sz w:val="24"/>
          <w:szCs w:val="24"/>
        </w:rPr>
        <w:t>。</w:t>
      </w:r>
    </w:p>
    <w:p w14:paraId="1884BCD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8.4.2 承包人采购材料设备的约定：土建主材由甲方指定品牌及产地，乙方自行采购，且必须是住建局登记备案的合格产品，须经发包人派驻工地代表及监理方认可签字后方可采购。安装主材若甲方指定品牌及产地，材料价格依实调整。甲方若不指定品牌及产地，按清单报价中执行。</w:t>
      </w:r>
    </w:p>
    <w:p w14:paraId="368D815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8.6</w:t>
      </w:r>
      <w:r>
        <w:rPr>
          <w:rFonts w:hint="eastAsia" w:ascii="宋体" w:hAnsi="宋体" w:eastAsia="宋体" w:cs="楷体"/>
          <w:kern w:val="2"/>
          <w:sz w:val="24"/>
          <w:szCs w:val="24"/>
        </w:rPr>
        <w:t xml:space="preserve"> 样品</w:t>
      </w:r>
    </w:p>
    <w:p w14:paraId="758C24AC">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8.6.1</w:t>
      </w:r>
      <w:r>
        <w:rPr>
          <w:rFonts w:hint="eastAsia" w:ascii="宋体" w:hAnsi="宋体" w:eastAsia="宋体" w:cs="楷体"/>
          <w:kern w:val="2"/>
          <w:sz w:val="24"/>
          <w:szCs w:val="24"/>
        </w:rPr>
        <w:tab/>
      </w:r>
      <w:r>
        <w:rPr>
          <w:rFonts w:hint="eastAsia" w:ascii="宋体" w:hAnsi="宋体" w:eastAsia="宋体" w:cs="楷体"/>
          <w:kern w:val="2"/>
          <w:sz w:val="24"/>
          <w:szCs w:val="24"/>
        </w:rPr>
        <w:t>样品的报送与封存</w:t>
      </w:r>
    </w:p>
    <w:p w14:paraId="2AF0DAD5">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需要承包人报送样品的材料或工程设备，样品的种类、名称、规格、数量要求：</w:t>
      </w:r>
      <w:r>
        <w:rPr>
          <w:rFonts w:hint="eastAsia" w:ascii="宋体" w:hAnsi="宋体" w:eastAsia="宋体" w:cs="楷体"/>
          <w:kern w:val="2"/>
          <w:sz w:val="24"/>
          <w:szCs w:val="24"/>
          <w:u w:val="single"/>
        </w:rPr>
        <w:t xml:space="preserve"> 按管理部门要求和业主需求确定   </w:t>
      </w:r>
      <w:r>
        <w:rPr>
          <w:rFonts w:hint="eastAsia" w:ascii="宋体" w:hAnsi="宋体" w:eastAsia="宋体" w:cs="楷体"/>
          <w:kern w:val="2"/>
          <w:sz w:val="24"/>
          <w:szCs w:val="24"/>
        </w:rPr>
        <w:t>。</w:t>
      </w:r>
    </w:p>
    <w:p w14:paraId="0CD8FA6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Cs/>
          <w:kern w:val="2"/>
          <w:sz w:val="24"/>
          <w:szCs w:val="24"/>
        </w:rPr>
        <w:t>8.8</w:t>
      </w:r>
      <w:r>
        <w:rPr>
          <w:rFonts w:hint="eastAsia" w:ascii="宋体" w:hAnsi="宋体" w:eastAsia="宋体" w:cs="楷体"/>
          <w:kern w:val="2"/>
          <w:sz w:val="24"/>
          <w:szCs w:val="24"/>
        </w:rPr>
        <w:t xml:space="preserve"> 施工设备和临时设施</w:t>
      </w:r>
    </w:p>
    <w:p w14:paraId="0BBA86E9">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8.8.1 承包人提供的施工设备和临时设施</w:t>
      </w:r>
    </w:p>
    <w:p w14:paraId="40834D7F">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关于修建临时设施费用承担的约定：</w:t>
      </w:r>
      <w:r>
        <w:rPr>
          <w:rFonts w:hint="eastAsia" w:ascii="宋体" w:hAnsi="宋体" w:eastAsia="宋体" w:cs="楷体"/>
          <w:kern w:val="2"/>
          <w:sz w:val="24"/>
          <w:szCs w:val="24"/>
          <w:u w:val="single"/>
        </w:rPr>
        <w:t xml:space="preserve">          由承包人确定              </w:t>
      </w:r>
      <w:r>
        <w:rPr>
          <w:rFonts w:hint="eastAsia" w:ascii="宋体" w:hAnsi="宋体" w:eastAsia="宋体" w:cs="楷体"/>
          <w:kern w:val="2"/>
          <w:sz w:val="24"/>
          <w:szCs w:val="24"/>
        </w:rPr>
        <w:t>。</w:t>
      </w:r>
    </w:p>
    <w:p w14:paraId="3262403D">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736" w:name="_Toc351203641"/>
      <w:bookmarkEnd w:id="736"/>
      <w:r>
        <w:rPr>
          <w:rFonts w:hint="eastAsia" w:ascii="宋体" w:hAnsi="宋体" w:eastAsia="宋体" w:cs="楷体"/>
          <w:b/>
          <w:bCs/>
          <w:kern w:val="2"/>
          <w:sz w:val="24"/>
          <w:szCs w:val="24"/>
        </w:rPr>
        <w:t>9</w:t>
      </w:r>
      <w:bookmarkStart w:id="737" w:name="_Toc296891001"/>
      <w:bookmarkEnd w:id="737"/>
      <w:bookmarkStart w:id="738" w:name="_Toc312677495"/>
      <w:bookmarkEnd w:id="738"/>
      <w:bookmarkStart w:id="739" w:name="_Toc304295559"/>
      <w:bookmarkEnd w:id="739"/>
      <w:bookmarkStart w:id="740" w:name="_Toc292559378"/>
      <w:bookmarkEnd w:id="740"/>
      <w:bookmarkStart w:id="741" w:name="_Toc300934982"/>
      <w:bookmarkEnd w:id="741"/>
      <w:bookmarkStart w:id="742" w:name="_Toc297123533"/>
      <w:bookmarkEnd w:id="742"/>
      <w:bookmarkStart w:id="743" w:name="_Toc296503173"/>
      <w:bookmarkEnd w:id="743"/>
      <w:bookmarkStart w:id="744" w:name="_Toc297216192"/>
      <w:bookmarkEnd w:id="744"/>
      <w:bookmarkStart w:id="745" w:name="_Toc297120473"/>
      <w:bookmarkEnd w:id="745"/>
      <w:bookmarkStart w:id="746" w:name="_Toc312678021"/>
      <w:bookmarkEnd w:id="746"/>
      <w:bookmarkStart w:id="747" w:name="_Toc296346674"/>
      <w:bookmarkEnd w:id="747"/>
      <w:bookmarkStart w:id="748" w:name="_Toc296944512"/>
      <w:bookmarkEnd w:id="748"/>
      <w:bookmarkStart w:id="749" w:name="_Toc296891213"/>
      <w:bookmarkEnd w:id="749"/>
      <w:bookmarkStart w:id="750" w:name="_Toc292559883"/>
      <w:bookmarkEnd w:id="750"/>
      <w:bookmarkStart w:id="751" w:name="_Toc296347172"/>
      <w:bookmarkEnd w:id="751"/>
      <w:bookmarkStart w:id="752" w:name="_Toc297048359"/>
      <w:bookmarkEnd w:id="752"/>
      <w:bookmarkStart w:id="753" w:name="_Toc303539139"/>
      <w:bookmarkEnd w:id="753"/>
      <w:bookmarkStart w:id="754" w:name="_Toc267251427"/>
      <w:bookmarkEnd w:id="754"/>
      <w:bookmarkStart w:id="755" w:name="_Toc267251428"/>
      <w:r>
        <w:rPr>
          <w:rFonts w:hint="eastAsia" w:ascii="宋体" w:hAnsi="宋体" w:eastAsia="宋体" w:cs="楷体"/>
          <w:b/>
          <w:bCs/>
          <w:kern w:val="2"/>
          <w:sz w:val="24"/>
          <w:szCs w:val="24"/>
        </w:rPr>
        <w:t>. 试验与检验</w:t>
      </w:r>
      <w:bookmarkEnd w:id="755"/>
    </w:p>
    <w:p w14:paraId="6276EEE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9</w:t>
      </w:r>
      <w:bookmarkStart w:id="756" w:name="_Toc304295560"/>
      <w:bookmarkEnd w:id="756"/>
      <w:bookmarkStart w:id="757" w:name="_Toc312678022"/>
      <w:bookmarkEnd w:id="757"/>
      <w:bookmarkStart w:id="758" w:name="_Toc297123534"/>
      <w:bookmarkEnd w:id="758"/>
      <w:bookmarkStart w:id="759" w:name="_Toc303539140"/>
      <w:bookmarkEnd w:id="759"/>
      <w:bookmarkStart w:id="760" w:name="_Toc297216193"/>
      <w:bookmarkEnd w:id="760"/>
      <w:bookmarkStart w:id="761" w:name="_Toc312677496"/>
      <w:bookmarkEnd w:id="761"/>
      <w:bookmarkStart w:id="762" w:name="_Toc300934983"/>
      <w:r>
        <w:rPr>
          <w:rFonts w:hint="eastAsia" w:ascii="宋体" w:hAnsi="宋体" w:eastAsia="宋体" w:cs="楷体"/>
          <w:b/>
          <w:bCs/>
          <w:kern w:val="2"/>
          <w:sz w:val="24"/>
          <w:szCs w:val="24"/>
        </w:rPr>
        <w:t>.1</w:t>
      </w:r>
      <w:bookmarkEnd w:id="762"/>
      <w:r>
        <w:rPr>
          <w:rFonts w:hint="eastAsia" w:ascii="宋体" w:hAnsi="宋体" w:eastAsia="宋体" w:cs="楷体"/>
          <w:kern w:val="2"/>
          <w:sz w:val="24"/>
          <w:szCs w:val="24"/>
        </w:rPr>
        <w:t>试验设备与试验人员</w:t>
      </w:r>
    </w:p>
    <w:p w14:paraId="6703276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9</w:t>
      </w:r>
      <w:bookmarkStart w:id="763" w:name="_Toc303539141"/>
      <w:bookmarkEnd w:id="763"/>
      <w:bookmarkStart w:id="764" w:name="_Toc304295561"/>
      <w:bookmarkEnd w:id="764"/>
      <w:bookmarkStart w:id="765" w:name="_Toc312678023"/>
      <w:bookmarkEnd w:id="765"/>
      <w:bookmarkStart w:id="766" w:name="_Toc300934984"/>
      <w:bookmarkEnd w:id="766"/>
      <w:bookmarkStart w:id="767" w:name="_Toc297123535"/>
      <w:bookmarkEnd w:id="767"/>
      <w:bookmarkStart w:id="768" w:name="_Toc312677497"/>
      <w:bookmarkEnd w:id="768"/>
      <w:bookmarkStart w:id="769" w:name="_Toc297216194"/>
      <w:bookmarkEnd w:id="769"/>
      <w:bookmarkStart w:id="770" w:name="_Toc318581174"/>
      <w:r>
        <w:rPr>
          <w:rFonts w:hint="eastAsia" w:ascii="宋体" w:hAnsi="宋体" w:eastAsia="宋体" w:cs="楷体"/>
          <w:kern w:val="2"/>
          <w:sz w:val="24"/>
          <w:szCs w:val="24"/>
        </w:rPr>
        <w:t>.1.2 试验设备</w:t>
      </w:r>
      <w:bookmarkEnd w:id="770"/>
    </w:p>
    <w:p w14:paraId="3A721B9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施工现场需要配置的试验场所：</w:t>
      </w:r>
      <w:bookmarkStart w:id="771" w:name="_Toc297216195"/>
      <w:bookmarkEnd w:id="771"/>
      <w:bookmarkStart w:id="772" w:name="_Toc300934985"/>
      <w:bookmarkEnd w:id="772"/>
      <w:bookmarkStart w:id="773" w:name="_Toc297123536"/>
      <w:bookmarkEnd w:id="773"/>
      <w:bookmarkStart w:id="774" w:name="_Toc312678024"/>
      <w:bookmarkEnd w:id="774"/>
      <w:bookmarkStart w:id="775" w:name="_Toc312677498"/>
      <w:bookmarkEnd w:id="775"/>
      <w:bookmarkStart w:id="776" w:name="_Toc303539142"/>
      <w:bookmarkEnd w:id="776"/>
      <w:bookmarkStart w:id="777" w:name="_Toc304295562"/>
      <w:bookmarkEnd w:id="777"/>
      <w:r>
        <w:rPr>
          <w:rFonts w:hint="eastAsia" w:ascii="宋体" w:hAnsi="宋体" w:eastAsia="宋体" w:cs="楷体"/>
          <w:kern w:val="2"/>
          <w:sz w:val="24"/>
          <w:szCs w:val="24"/>
          <w:u w:val="single"/>
        </w:rPr>
        <w:t xml:space="preserve">  根据需要配备                           </w:t>
      </w:r>
      <w:r>
        <w:rPr>
          <w:rFonts w:hint="eastAsia" w:ascii="宋体" w:hAnsi="宋体" w:eastAsia="宋体" w:cs="楷体"/>
          <w:kern w:val="2"/>
          <w:sz w:val="24"/>
          <w:szCs w:val="24"/>
        </w:rPr>
        <w:t>。施工现场需要配备的试验设备：</w:t>
      </w:r>
      <w:r>
        <w:rPr>
          <w:rFonts w:hint="eastAsia" w:ascii="宋体" w:hAnsi="宋体" w:eastAsia="宋体" w:cs="楷体"/>
          <w:kern w:val="2"/>
          <w:sz w:val="24"/>
          <w:szCs w:val="24"/>
          <w:u w:val="single"/>
        </w:rPr>
        <w:t xml:space="preserve">  根据需要配备                           </w:t>
      </w:r>
      <w:r>
        <w:rPr>
          <w:rFonts w:hint="eastAsia" w:ascii="宋体" w:hAnsi="宋体" w:eastAsia="宋体" w:cs="楷体"/>
          <w:kern w:val="2"/>
          <w:sz w:val="24"/>
          <w:szCs w:val="24"/>
        </w:rPr>
        <w:t>。</w:t>
      </w:r>
    </w:p>
    <w:p w14:paraId="4C6EC0B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施工现场需要具备的其他试验条件：</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7391DFD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 xml:space="preserve">9.4 </w:t>
      </w:r>
      <w:r>
        <w:rPr>
          <w:rFonts w:hint="eastAsia" w:ascii="宋体" w:hAnsi="宋体" w:eastAsia="宋体" w:cs="楷体"/>
          <w:kern w:val="2"/>
          <w:sz w:val="24"/>
          <w:szCs w:val="24"/>
        </w:rPr>
        <w:t xml:space="preserve">现场工艺试验 </w:t>
      </w:r>
    </w:p>
    <w:p w14:paraId="2ACAA82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现场工艺试验的有关约定：</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447B4A69">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778" w:name="_Toc351203642"/>
      <w:bookmarkEnd w:id="778"/>
      <w:r>
        <w:rPr>
          <w:rFonts w:hint="eastAsia" w:ascii="宋体" w:hAnsi="宋体" w:eastAsia="宋体" w:cs="楷体"/>
          <w:b/>
          <w:bCs/>
          <w:kern w:val="2"/>
          <w:sz w:val="24"/>
          <w:szCs w:val="24"/>
        </w:rPr>
        <w:t>1</w:t>
      </w:r>
      <w:bookmarkStart w:id="779" w:name="_Toc296347192"/>
      <w:bookmarkEnd w:id="779"/>
      <w:bookmarkStart w:id="780" w:name="_Toc296891233"/>
      <w:bookmarkEnd w:id="780"/>
      <w:bookmarkStart w:id="781" w:name="_Toc267251441"/>
      <w:bookmarkEnd w:id="781"/>
      <w:bookmarkStart w:id="782" w:name="_Toc312677499"/>
      <w:bookmarkEnd w:id="782"/>
      <w:bookmarkStart w:id="783" w:name="_Toc300934989"/>
      <w:bookmarkEnd w:id="783"/>
      <w:bookmarkStart w:id="784" w:name="_Toc267251439"/>
      <w:bookmarkEnd w:id="784"/>
      <w:bookmarkStart w:id="785" w:name="_Toc296346694"/>
      <w:bookmarkEnd w:id="785"/>
      <w:bookmarkStart w:id="786" w:name="_Toc267251437"/>
      <w:bookmarkEnd w:id="786"/>
      <w:bookmarkStart w:id="787" w:name="_Toc303539146"/>
      <w:bookmarkEnd w:id="787"/>
      <w:bookmarkStart w:id="788" w:name="_Toc267251440"/>
      <w:bookmarkEnd w:id="788"/>
      <w:bookmarkStart w:id="789" w:name="_Toc296944532"/>
      <w:bookmarkEnd w:id="789"/>
      <w:bookmarkStart w:id="790" w:name="_Toc267251435"/>
      <w:bookmarkEnd w:id="790"/>
      <w:bookmarkStart w:id="791" w:name="_Toc296891021"/>
      <w:bookmarkEnd w:id="791"/>
      <w:bookmarkStart w:id="792" w:name="_Toc297216199"/>
      <w:bookmarkEnd w:id="792"/>
      <w:bookmarkStart w:id="793" w:name="_Toc304295566"/>
      <w:bookmarkEnd w:id="793"/>
      <w:bookmarkStart w:id="794" w:name="_Toc296503193"/>
      <w:bookmarkEnd w:id="794"/>
      <w:bookmarkStart w:id="795" w:name="_Toc312678025"/>
      <w:bookmarkEnd w:id="795"/>
      <w:bookmarkStart w:id="796" w:name="_Toc292559398"/>
      <w:bookmarkEnd w:id="796"/>
      <w:bookmarkStart w:id="797" w:name="_Toc297048379"/>
      <w:bookmarkEnd w:id="797"/>
      <w:bookmarkStart w:id="798" w:name="_Toc297120493"/>
      <w:bookmarkEnd w:id="798"/>
      <w:bookmarkStart w:id="799" w:name="_Toc292559903"/>
      <w:bookmarkEnd w:id="799"/>
      <w:bookmarkStart w:id="800" w:name="_Toc297123540"/>
      <w:bookmarkEnd w:id="800"/>
      <w:bookmarkStart w:id="801" w:name="_Toc267251433"/>
      <w:r>
        <w:rPr>
          <w:rFonts w:hint="eastAsia" w:ascii="宋体" w:hAnsi="宋体" w:eastAsia="宋体" w:cs="楷体"/>
          <w:b/>
          <w:bCs/>
          <w:kern w:val="2"/>
          <w:sz w:val="24"/>
          <w:szCs w:val="24"/>
        </w:rPr>
        <w:t>0. 变更</w:t>
      </w:r>
      <w:bookmarkEnd w:id="801"/>
    </w:p>
    <w:p w14:paraId="2F6A4BA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w:t>
      </w:r>
      <w:bookmarkStart w:id="802" w:name="_Toc296346695"/>
      <w:bookmarkEnd w:id="802"/>
      <w:bookmarkStart w:id="803" w:name="_Toc296347193"/>
      <w:bookmarkEnd w:id="803"/>
      <w:bookmarkStart w:id="804" w:name="_Toc304295567"/>
      <w:bookmarkEnd w:id="804"/>
      <w:bookmarkStart w:id="805" w:name="_Toc296503194"/>
      <w:bookmarkEnd w:id="805"/>
      <w:bookmarkStart w:id="806" w:name="_Toc300934990"/>
      <w:bookmarkEnd w:id="806"/>
      <w:bookmarkStart w:id="807" w:name="_Toc297216200"/>
      <w:bookmarkEnd w:id="807"/>
      <w:bookmarkStart w:id="808" w:name="_Toc292559904"/>
      <w:bookmarkEnd w:id="808"/>
      <w:bookmarkStart w:id="809" w:name="_Toc297123541"/>
      <w:bookmarkEnd w:id="809"/>
      <w:bookmarkStart w:id="810" w:name="_Toc292559399"/>
      <w:bookmarkEnd w:id="810"/>
      <w:bookmarkStart w:id="811" w:name="_Toc303539147"/>
      <w:bookmarkEnd w:id="811"/>
      <w:bookmarkStart w:id="812" w:name="_Toc297048380"/>
      <w:bookmarkEnd w:id="812"/>
      <w:bookmarkStart w:id="813" w:name="_Toc297120494"/>
      <w:bookmarkEnd w:id="813"/>
      <w:bookmarkStart w:id="814" w:name="_Toc296944533"/>
      <w:bookmarkEnd w:id="814"/>
      <w:bookmarkStart w:id="815" w:name="_Toc312678026"/>
      <w:bookmarkEnd w:id="815"/>
      <w:bookmarkStart w:id="816" w:name="_Toc296891234"/>
      <w:bookmarkEnd w:id="816"/>
      <w:bookmarkStart w:id="817" w:name="_Toc296891022"/>
      <w:bookmarkEnd w:id="817"/>
      <w:bookmarkStart w:id="818" w:name="_Toc312677500"/>
      <w:r>
        <w:rPr>
          <w:rFonts w:hint="eastAsia" w:ascii="宋体" w:hAnsi="宋体" w:eastAsia="宋体" w:cs="楷体"/>
          <w:b/>
          <w:bCs/>
          <w:kern w:val="2"/>
          <w:sz w:val="24"/>
          <w:szCs w:val="24"/>
        </w:rPr>
        <w:t>0.1</w:t>
      </w:r>
      <w:bookmarkEnd w:id="818"/>
      <w:r>
        <w:rPr>
          <w:rFonts w:hint="eastAsia" w:ascii="宋体" w:hAnsi="宋体" w:eastAsia="宋体" w:cs="楷体"/>
          <w:kern w:val="2"/>
          <w:sz w:val="24"/>
          <w:szCs w:val="24"/>
        </w:rPr>
        <w:t>变更的范围</w:t>
      </w:r>
    </w:p>
    <w:p w14:paraId="7FF16A7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关于变更的范围的约定：</w:t>
      </w:r>
      <w:r>
        <w:rPr>
          <w:rFonts w:hint="eastAsia" w:ascii="宋体" w:hAnsi="宋体" w:eastAsia="宋体" w:cs="楷体"/>
          <w:kern w:val="2"/>
          <w:sz w:val="24"/>
          <w:szCs w:val="24"/>
          <w:u w:val="single"/>
        </w:rPr>
        <w:t xml:space="preserve">       图纸变更               </w:t>
      </w:r>
      <w:r>
        <w:rPr>
          <w:rFonts w:hint="eastAsia" w:ascii="宋体" w:hAnsi="宋体" w:eastAsia="宋体" w:cs="楷体"/>
          <w:kern w:val="2"/>
          <w:sz w:val="24"/>
          <w:szCs w:val="24"/>
        </w:rPr>
        <w:t>。</w:t>
      </w:r>
    </w:p>
    <w:p w14:paraId="3CDA67A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10.4</w:t>
      </w:r>
      <w:r>
        <w:rPr>
          <w:rFonts w:hint="eastAsia" w:ascii="宋体" w:hAnsi="宋体" w:eastAsia="宋体" w:cs="楷体"/>
          <w:kern w:val="2"/>
          <w:sz w:val="24"/>
          <w:szCs w:val="24"/>
        </w:rPr>
        <w:t xml:space="preserve"> 变更估价</w:t>
      </w:r>
    </w:p>
    <w:p w14:paraId="373CDD9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10.4.1 变更估价原则</w:t>
      </w:r>
    </w:p>
    <w:p w14:paraId="65FBB8BA">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关于变更估价的约定: 。</w:t>
      </w:r>
    </w:p>
    <w:p w14:paraId="7917CA1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w:t>
      </w:r>
      <w:bookmarkStart w:id="819" w:name="_Toc303539150"/>
      <w:bookmarkEnd w:id="819"/>
      <w:bookmarkStart w:id="820" w:name="_Toc296944536"/>
      <w:bookmarkEnd w:id="820"/>
      <w:bookmarkStart w:id="821" w:name="_Toc312678029"/>
      <w:bookmarkEnd w:id="821"/>
      <w:bookmarkStart w:id="822" w:name="_Toc312677503"/>
      <w:bookmarkEnd w:id="822"/>
      <w:bookmarkStart w:id="823" w:name="_Toc297216203"/>
      <w:bookmarkEnd w:id="823"/>
      <w:bookmarkStart w:id="824" w:name="_Toc292559402"/>
      <w:bookmarkEnd w:id="824"/>
      <w:bookmarkStart w:id="825" w:name="_Toc296346698"/>
      <w:bookmarkEnd w:id="825"/>
      <w:bookmarkStart w:id="826" w:name="_Toc304295570"/>
      <w:bookmarkEnd w:id="826"/>
      <w:bookmarkStart w:id="827" w:name="_Toc296891237"/>
      <w:bookmarkEnd w:id="827"/>
      <w:bookmarkStart w:id="828" w:name="_Toc297120497"/>
      <w:bookmarkEnd w:id="828"/>
      <w:bookmarkStart w:id="829" w:name="_Toc297048383"/>
      <w:bookmarkEnd w:id="829"/>
      <w:bookmarkStart w:id="830" w:name="_Toc296503197"/>
      <w:bookmarkEnd w:id="830"/>
      <w:bookmarkStart w:id="831" w:name="_Toc296891025"/>
      <w:bookmarkEnd w:id="831"/>
      <w:bookmarkStart w:id="832" w:name="_Toc297123544"/>
      <w:bookmarkEnd w:id="832"/>
      <w:bookmarkStart w:id="833" w:name="_Toc292559907"/>
      <w:bookmarkEnd w:id="833"/>
      <w:bookmarkStart w:id="834" w:name="_Toc296347196"/>
      <w:bookmarkEnd w:id="834"/>
      <w:bookmarkStart w:id="835" w:name="_Toc300934993"/>
      <w:bookmarkEnd w:id="835"/>
      <w:r>
        <w:rPr>
          <w:rFonts w:hint="eastAsia" w:ascii="宋体" w:hAnsi="宋体" w:eastAsia="宋体" w:cs="楷体"/>
          <w:b/>
          <w:bCs/>
          <w:kern w:val="2"/>
          <w:sz w:val="24"/>
          <w:szCs w:val="24"/>
        </w:rPr>
        <w:t>0.5</w:t>
      </w:r>
      <w:r>
        <w:rPr>
          <w:rFonts w:hint="eastAsia" w:ascii="宋体" w:hAnsi="宋体" w:eastAsia="宋体" w:cs="楷体"/>
          <w:kern w:val="2"/>
          <w:sz w:val="24"/>
          <w:szCs w:val="24"/>
        </w:rPr>
        <w:t>承</w:t>
      </w:r>
      <w:bookmarkStart w:id="836" w:name="_Toc300934994"/>
      <w:bookmarkEnd w:id="836"/>
      <w:bookmarkStart w:id="837" w:name="_Toc296944542"/>
      <w:bookmarkEnd w:id="837"/>
      <w:bookmarkStart w:id="838" w:name="_Toc297120503"/>
      <w:bookmarkEnd w:id="838"/>
      <w:bookmarkStart w:id="839" w:name="_Toc297216204"/>
      <w:bookmarkEnd w:id="839"/>
      <w:bookmarkStart w:id="840" w:name="_Toc303539151"/>
      <w:bookmarkEnd w:id="840"/>
      <w:bookmarkStart w:id="841" w:name="_Toc296346704"/>
      <w:bookmarkEnd w:id="841"/>
      <w:bookmarkStart w:id="842" w:name="_Toc292559913"/>
      <w:bookmarkEnd w:id="842"/>
      <w:bookmarkStart w:id="843" w:name="_Toc292559408"/>
      <w:bookmarkEnd w:id="843"/>
      <w:bookmarkStart w:id="844" w:name="_Toc296347202"/>
      <w:bookmarkEnd w:id="844"/>
      <w:bookmarkStart w:id="845" w:name="_Toc297123545"/>
      <w:bookmarkEnd w:id="845"/>
      <w:bookmarkStart w:id="846" w:name="_Toc296503203"/>
      <w:bookmarkEnd w:id="846"/>
      <w:bookmarkStart w:id="847" w:name="_Toc296891031"/>
      <w:bookmarkEnd w:id="847"/>
      <w:bookmarkStart w:id="848" w:name="_Toc296891243"/>
      <w:bookmarkEnd w:id="848"/>
      <w:bookmarkStart w:id="849" w:name="_Toc297048389"/>
      <w:bookmarkEnd w:id="849"/>
      <w:r>
        <w:rPr>
          <w:rFonts w:hint="eastAsia" w:ascii="宋体" w:hAnsi="宋体" w:eastAsia="宋体" w:cs="楷体"/>
          <w:kern w:val="2"/>
          <w:sz w:val="24"/>
          <w:szCs w:val="24"/>
        </w:rPr>
        <w:t>包人的合理化建议</w:t>
      </w:r>
    </w:p>
    <w:p w14:paraId="319FFEF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监理人审查承包人合理化建议的期限：</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472BA0C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发包人审批承包人合理化建议的期限：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79ECDEA4">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承</w:t>
      </w:r>
      <w:bookmarkStart w:id="850" w:name="_Toc297120504"/>
      <w:bookmarkEnd w:id="850"/>
      <w:bookmarkStart w:id="851" w:name="_Toc300934995"/>
      <w:bookmarkEnd w:id="851"/>
      <w:bookmarkStart w:id="852" w:name="_Toc296944543"/>
      <w:bookmarkEnd w:id="852"/>
      <w:bookmarkStart w:id="853" w:name="_Toc296891032"/>
      <w:bookmarkEnd w:id="853"/>
      <w:bookmarkStart w:id="854" w:name="_Toc296346705"/>
      <w:bookmarkEnd w:id="854"/>
      <w:bookmarkStart w:id="855" w:name="_Toc304295571"/>
      <w:bookmarkEnd w:id="855"/>
      <w:bookmarkStart w:id="856" w:name="_Toc297048390"/>
      <w:bookmarkEnd w:id="856"/>
      <w:bookmarkStart w:id="857" w:name="_Toc296347203"/>
      <w:bookmarkEnd w:id="857"/>
      <w:bookmarkStart w:id="858" w:name="_Toc297216205"/>
      <w:bookmarkEnd w:id="858"/>
      <w:bookmarkStart w:id="859" w:name="_Toc292559914"/>
      <w:bookmarkEnd w:id="859"/>
      <w:bookmarkStart w:id="860" w:name="_Toc292559409"/>
      <w:bookmarkEnd w:id="860"/>
      <w:bookmarkStart w:id="861" w:name="_Toc297123546"/>
      <w:bookmarkEnd w:id="861"/>
      <w:bookmarkStart w:id="862" w:name="_Toc312677504"/>
      <w:bookmarkEnd w:id="862"/>
      <w:bookmarkStart w:id="863" w:name="_Toc296891244"/>
      <w:bookmarkEnd w:id="863"/>
      <w:bookmarkStart w:id="864" w:name="_Toc296503204"/>
      <w:bookmarkEnd w:id="864"/>
      <w:bookmarkStart w:id="865" w:name="_Toc303539152"/>
      <w:bookmarkEnd w:id="865"/>
      <w:bookmarkStart w:id="866" w:name="_Toc312678030"/>
      <w:bookmarkEnd w:id="866"/>
      <w:bookmarkStart w:id="867" w:name="_Toc318581175"/>
      <w:r>
        <w:rPr>
          <w:rFonts w:hint="eastAsia" w:ascii="宋体" w:hAnsi="宋体" w:eastAsia="宋体" w:cs="楷体"/>
          <w:kern w:val="2"/>
          <w:sz w:val="24"/>
          <w:szCs w:val="24"/>
        </w:rPr>
        <w:t>包人提出的合理化建议降低了合同价格或者提高了工程经济效益的奖励的方法和金额为：</w:t>
      </w:r>
      <w:bookmarkEnd w:id="867"/>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31721C4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w:t>
      </w:r>
      <w:bookmarkStart w:id="868" w:name="_Toc296503199"/>
      <w:bookmarkEnd w:id="868"/>
      <w:bookmarkStart w:id="869" w:name="_Toc292559909"/>
      <w:bookmarkEnd w:id="869"/>
      <w:bookmarkStart w:id="870" w:name="_Toc297120499"/>
      <w:bookmarkEnd w:id="870"/>
      <w:bookmarkStart w:id="871" w:name="_Toc296347198"/>
      <w:bookmarkEnd w:id="871"/>
      <w:bookmarkStart w:id="872" w:name="_Toc297123548"/>
      <w:bookmarkEnd w:id="872"/>
      <w:bookmarkStart w:id="873" w:name="_Toc296346700"/>
      <w:bookmarkEnd w:id="873"/>
      <w:bookmarkStart w:id="874" w:name="_Toc300934997"/>
      <w:bookmarkEnd w:id="874"/>
      <w:bookmarkStart w:id="875" w:name="_Toc312678033"/>
      <w:bookmarkEnd w:id="875"/>
      <w:bookmarkStart w:id="876" w:name="_Toc312677507"/>
      <w:bookmarkEnd w:id="876"/>
      <w:bookmarkStart w:id="877" w:name="_Toc304295574"/>
      <w:bookmarkEnd w:id="877"/>
      <w:bookmarkStart w:id="878" w:name="_Toc292559404"/>
      <w:bookmarkEnd w:id="878"/>
      <w:bookmarkStart w:id="879" w:name="_Toc297048385"/>
      <w:bookmarkEnd w:id="879"/>
      <w:bookmarkStart w:id="880" w:name="_Toc296891239"/>
      <w:bookmarkEnd w:id="880"/>
      <w:bookmarkStart w:id="881" w:name="_Toc296944538"/>
      <w:bookmarkEnd w:id="881"/>
      <w:bookmarkStart w:id="882" w:name="_Toc297216207"/>
      <w:bookmarkEnd w:id="882"/>
      <w:bookmarkStart w:id="883" w:name="_Toc303539154"/>
      <w:bookmarkEnd w:id="883"/>
      <w:bookmarkStart w:id="884" w:name="_Toc296891027"/>
      <w:r>
        <w:rPr>
          <w:rFonts w:hint="eastAsia" w:ascii="宋体" w:hAnsi="宋体" w:eastAsia="宋体" w:cs="楷体"/>
          <w:b/>
          <w:bCs/>
          <w:kern w:val="2"/>
          <w:sz w:val="24"/>
          <w:szCs w:val="24"/>
        </w:rPr>
        <w:t>0.7</w:t>
      </w:r>
      <w:bookmarkEnd w:id="884"/>
      <w:r>
        <w:rPr>
          <w:rFonts w:hint="eastAsia" w:ascii="宋体" w:hAnsi="宋体" w:eastAsia="宋体" w:cs="楷体"/>
          <w:kern w:val="2"/>
          <w:sz w:val="24"/>
          <w:szCs w:val="24"/>
        </w:rPr>
        <w:t xml:space="preserve"> 暂估价</w:t>
      </w:r>
    </w:p>
    <w:p w14:paraId="4EAE10A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暂</w:t>
      </w:r>
      <w:bookmarkStart w:id="885" w:name="_Toc312678034"/>
      <w:bookmarkEnd w:id="885"/>
      <w:bookmarkStart w:id="886" w:name="_Toc312677508"/>
      <w:bookmarkEnd w:id="886"/>
      <w:bookmarkStart w:id="887" w:name="_Toc318581176"/>
      <w:r>
        <w:rPr>
          <w:rFonts w:hint="eastAsia" w:ascii="宋体" w:hAnsi="宋体" w:eastAsia="宋体" w:cs="楷体"/>
          <w:kern w:val="2"/>
          <w:sz w:val="24"/>
          <w:szCs w:val="24"/>
        </w:rPr>
        <w:t>估价材料和工程设备的明细</w:t>
      </w:r>
      <w:bookmarkEnd w:id="887"/>
    </w:p>
    <w:p w14:paraId="45E1E7C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w:t>
      </w:r>
      <w:bookmarkStart w:id="888" w:name="_Toc318581177"/>
      <w:bookmarkEnd w:id="888"/>
      <w:bookmarkStart w:id="889" w:name="_Toc312678035"/>
      <w:bookmarkEnd w:id="889"/>
      <w:bookmarkStart w:id="890" w:name="_Toc312677509"/>
      <w:r>
        <w:rPr>
          <w:rFonts w:hint="eastAsia" w:ascii="宋体" w:hAnsi="宋体" w:eastAsia="宋体" w:cs="楷体"/>
          <w:kern w:val="2"/>
          <w:sz w:val="24"/>
          <w:szCs w:val="24"/>
        </w:rPr>
        <w:t>0.7.1 依法必须招标的暂估价项目</w:t>
      </w:r>
      <w:bookmarkEnd w:id="890"/>
    </w:p>
    <w:p w14:paraId="4855248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对于依法必须招标的暂估价项目的确认和批准采取第</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种方式确定。</w:t>
      </w:r>
    </w:p>
    <w:p w14:paraId="42616EA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10.7.2 不属于依法必须招标的暂估价项目</w:t>
      </w:r>
    </w:p>
    <w:p w14:paraId="6771394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对于不属于依法必须招标的暂估价项目的确认和批准采取第</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种方式确定。</w:t>
      </w:r>
    </w:p>
    <w:p w14:paraId="7C51723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第3种方式：承包人直接实施的暂估价项目</w:t>
      </w:r>
    </w:p>
    <w:p w14:paraId="17D0935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承包人直接实施的暂估价项目的约定：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291F2C9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10.8</w:t>
      </w:r>
      <w:r>
        <w:rPr>
          <w:rFonts w:hint="eastAsia" w:ascii="宋体" w:hAnsi="宋体" w:eastAsia="宋体" w:cs="楷体"/>
          <w:kern w:val="2"/>
          <w:sz w:val="24"/>
          <w:szCs w:val="24"/>
        </w:rPr>
        <w:t xml:space="preserve"> 暂列金额</w:t>
      </w:r>
    </w:p>
    <w:p w14:paraId="67E45604">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合同当事人关于暂列金额使用的约定：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430DE93A">
      <w:pPr>
        <w:widowControl w:val="0"/>
        <w:wordWrap w:val="0"/>
        <w:autoSpaceDE w:val="0"/>
        <w:autoSpaceDN w:val="0"/>
        <w:adjustRightInd/>
        <w:snapToGrid/>
        <w:spacing w:after="0" w:line="480" w:lineRule="exact"/>
        <w:jc w:val="both"/>
        <w:outlineLvl w:val="9"/>
        <w:rPr>
          <w:rFonts w:ascii="宋体" w:hAnsi="宋体" w:eastAsia="宋体" w:cs="楷体"/>
          <w:b/>
          <w:bCs/>
          <w:kern w:val="2"/>
          <w:sz w:val="24"/>
          <w:szCs w:val="24"/>
        </w:rPr>
      </w:pPr>
      <w:r>
        <w:rPr>
          <w:rFonts w:hint="eastAsia" w:ascii="宋体" w:hAnsi="宋体" w:eastAsia="宋体" w:cs="楷体"/>
          <w:b/>
          <w:bCs/>
          <w:kern w:val="2"/>
          <w:sz w:val="24"/>
          <w:szCs w:val="24"/>
        </w:rPr>
        <w:t xml:space="preserve">10.9 </w:t>
      </w:r>
      <w:r>
        <w:rPr>
          <w:rFonts w:hint="eastAsia" w:ascii="宋体" w:hAnsi="宋体" w:eastAsia="宋体" w:cs="楷体"/>
          <w:kern w:val="2"/>
          <w:sz w:val="24"/>
          <w:szCs w:val="24"/>
        </w:rPr>
        <w:t>工程变更按合同价款结算方式结算</w:t>
      </w:r>
    </w:p>
    <w:p w14:paraId="5C50A997">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891" w:name="_Toc351203643"/>
      <w:bookmarkEnd w:id="891"/>
      <w:r>
        <w:rPr>
          <w:rFonts w:hint="eastAsia" w:ascii="宋体" w:hAnsi="宋体" w:eastAsia="宋体" w:cs="楷体"/>
          <w:b/>
          <w:bCs/>
          <w:kern w:val="2"/>
          <w:sz w:val="24"/>
          <w:szCs w:val="24"/>
        </w:rPr>
        <w:t>11. 价格调整</w:t>
      </w:r>
    </w:p>
    <w:p w14:paraId="386D8741">
      <w:pPr>
        <w:widowControl w:val="0"/>
        <w:adjustRightInd/>
        <w:snapToGrid/>
        <w:spacing w:after="0" w:line="360" w:lineRule="auto"/>
        <w:jc w:val="both"/>
        <w:outlineLvl w:val="9"/>
        <w:rPr>
          <w:rFonts w:ascii="宋体" w:hAnsi="宋体" w:eastAsia="宋体" w:cs="楷体"/>
          <w:kern w:val="2"/>
          <w:sz w:val="24"/>
          <w:szCs w:val="24"/>
        </w:rPr>
      </w:pPr>
      <w:bookmarkStart w:id="892" w:name="_Toc297048391"/>
      <w:bookmarkEnd w:id="892"/>
      <w:bookmarkStart w:id="893" w:name="_Toc296347200"/>
      <w:bookmarkEnd w:id="893"/>
      <w:bookmarkStart w:id="894" w:name="_Toc351203644"/>
      <w:bookmarkEnd w:id="894"/>
      <w:bookmarkStart w:id="895" w:name="_Toc312678039"/>
      <w:bookmarkEnd w:id="895"/>
      <w:bookmarkStart w:id="896" w:name="_Toc297048387"/>
      <w:bookmarkEnd w:id="896"/>
      <w:bookmarkStart w:id="897" w:name="_Toc297120501"/>
      <w:bookmarkEnd w:id="897"/>
      <w:bookmarkStart w:id="898" w:name="_Toc292559915"/>
      <w:bookmarkEnd w:id="898"/>
      <w:bookmarkStart w:id="899" w:name="_Toc303539157"/>
      <w:bookmarkEnd w:id="899"/>
      <w:bookmarkStart w:id="900" w:name="_Toc296503201"/>
      <w:bookmarkEnd w:id="900"/>
      <w:bookmarkStart w:id="901" w:name="_Toc296891241"/>
      <w:bookmarkEnd w:id="901"/>
      <w:bookmarkStart w:id="902" w:name="_Toc292559410"/>
      <w:bookmarkEnd w:id="902"/>
      <w:bookmarkStart w:id="903" w:name="_Toc296347204"/>
      <w:bookmarkEnd w:id="903"/>
      <w:bookmarkStart w:id="904" w:name="_Toc292559406"/>
      <w:bookmarkEnd w:id="904"/>
      <w:bookmarkStart w:id="905" w:name="_Toc297120505"/>
      <w:bookmarkEnd w:id="905"/>
      <w:bookmarkStart w:id="906" w:name="_Toc296346706"/>
      <w:bookmarkEnd w:id="906"/>
      <w:bookmarkStart w:id="907" w:name="_Toc296944540"/>
      <w:bookmarkEnd w:id="907"/>
      <w:bookmarkStart w:id="908" w:name="_Toc304295577"/>
      <w:bookmarkEnd w:id="908"/>
      <w:bookmarkStart w:id="909" w:name="_Toc304295579"/>
      <w:bookmarkEnd w:id="909"/>
      <w:bookmarkStart w:id="910" w:name="_Toc296944544"/>
      <w:bookmarkEnd w:id="910"/>
      <w:bookmarkStart w:id="911" w:name="_Toc292559911"/>
      <w:bookmarkEnd w:id="911"/>
      <w:bookmarkStart w:id="912" w:name="_Toc296891033"/>
      <w:bookmarkEnd w:id="912"/>
      <w:bookmarkStart w:id="913" w:name="_Toc297123552"/>
      <w:bookmarkEnd w:id="913"/>
      <w:bookmarkStart w:id="914" w:name="_Toc297216211"/>
      <w:bookmarkEnd w:id="914"/>
      <w:bookmarkStart w:id="915" w:name="_Toc296503205"/>
      <w:bookmarkEnd w:id="915"/>
      <w:bookmarkStart w:id="916" w:name="_Toc296891029"/>
      <w:bookmarkEnd w:id="916"/>
      <w:bookmarkStart w:id="917" w:name="_Toc303539159"/>
      <w:bookmarkEnd w:id="917"/>
      <w:bookmarkStart w:id="918" w:name="_Toc312678040"/>
      <w:bookmarkEnd w:id="918"/>
      <w:bookmarkStart w:id="919" w:name="_Toc296346702"/>
      <w:bookmarkEnd w:id="919"/>
      <w:bookmarkStart w:id="920" w:name="_Toc300935002"/>
      <w:bookmarkEnd w:id="920"/>
      <w:bookmarkStart w:id="921" w:name="_Toc300935000"/>
      <w:bookmarkEnd w:id="921"/>
      <w:bookmarkStart w:id="922" w:name="_Toc297216209"/>
      <w:bookmarkEnd w:id="922"/>
      <w:bookmarkStart w:id="923" w:name="_Toc296891245"/>
      <w:r>
        <w:rPr>
          <w:rFonts w:hint="eastAsia" w:ascii="宋体" w:hAnsi="宋体" w:eastAsia="宋体" w:cs="楷体"/>
          <w:kern w:val="2"/>
          <w:sz w:val="24"/>
          <w:szCs w:val="24"/>
        </w:rPr>
        <w:t>市场价格波动是否调整合同价格的约定：</w:t>
      </w:r>
      <w:r>
        <w:rPr>
          <w:rFonts w:hint="eastAsia" w:ascii="宋体" w:hAnsi="宋体" w:eastAsia="宋体" w:cs="楷体"/>
          <w:kern w:val="2"/>
          <w:sz w:val="24"/>
          <w:szCs w:val="24"/>
          <w:u w:val="single"/>
        </w:rPr>
        <w:tab/>
      </w:r>
      <w:r>
        <w:rPr>
          <w:rFonts w:hint="eastAsia" w:ascii="宋体" w:hAnsi="宋体" w:eastAsia="宋体" w:cs="楷体"/>
          <w:kern w:val="2"/>
          <w:sz w:val="24"/>
          <w:szCs w:val="24"/>
          <w:u w:val="single"/>
        </w:rPr>
        <w:t xml:space="preserve">见专用条款 12.1 </w:t>
      </w:r>
      <w:r>
        <w:rPr>
          <w:rFonts w:hint="eastAsia" w:ascii="宋体" w:hAnsi="宋体" w:eastAsia="宋体" w:cs="楷体"/>
          <w:kern w:val="2"/>
          <w:sz w:val="24"/>
          <w:szCs w:val="24"/>
        </w:rPr>
        <w:t>。</w:t>
      </w:r>
    </w:p>
    <w:p w14:paraId="560B611A">
      <w:pPr>
        <w:widowControl w:val="0"/>
        <w:adjustRightInd/>
        <w:snapToGrid/>
        <w:spacing w:after="0" w:line="360" w:lineRule="auto"/>
        <w:jc w:val="both"/>
        <w:outlineLvl w:val="9"/>
        <w:rPr>
          <w:rFonts w:ascii="宋体" w:hAnsi="宋体" w:eastAsia="宋体" w:cs="楷体"/>
          <w:kern w:val="2"/>
          <w:sz w:val="24"/>
          <w:szCs w:val="24"/>
        </w:rPr>
      </w:pPr>
      <w:r>
        <w:rPr>
          <w:rFonts w:hint="eastAsia" w:ascii="宋体" w:hAnsi="宋体" w:eastAsia="宋体" w:cs="楷体"/>
          <w:kern w:val="2"/>
          <w:sz w:val="24"/>
          <w:szCs w:val="24"/>
        </w:rPr>
        <w:t>因市场价格波动调整合同价格，采用以下第</w:t>
      </w:r>
      <w:r>
        <w:rPr>
          <w:rFonts w:hint="eastAsia" w:ascii="宋体" w:hAnsi="宋体" w:eastAsia="宋体" w:cs="楷体"/>
          <w:kern w:val="2"/>
          <w:sz w:val="24"/>
          <w:szCs w:val="24"/>
          <w:u w:val="single"/>
        </w:rPr>
        <w:t xml:space="preserve"> 2  </w:t>
      </w:r>
      <w:r>
        <w:rPr>
          <w:rFonts w:hint="eastAsia" w:ascii="宋体" w:hAnsi="宋体" w:eastAsia="宋体" w:cs="楷体"/>
          <w:kern w:val="2"/>
          <w:sz w:val="24"/>
          <w:szCs w:val="24"/>
        </w:rPr>
        <w:t xml:space="preserve">种方式对合同价格进行调整： </w:t>
      </w:r>
    </w:p>
    <w:p w14:paraId="282F570E">
      <w:pPr>
        <w:widowControl w:val="0"/>
        <w:adjustRightInd/>
        <w:snapToGrid/>
        <w:spacing w:after="0" w:line="360" w:lineRule="auto"/>
        <w:jc w:val="both"/>
        <w:outlineLvl w:val="9"/>
        <w:rPr>
          <w:rFonts w:ascii="宋体" w:hAnsi="宋体" w:eastAsia="宋体" w:cs="楷体"/>
          <w:kern w:val="2"/>
          <w:sz w:val="24"/>
          <w:szCs w:val="24"/>
        </w:rPr>
      </w:pPr>
      <w:r>
        <w:rPr>
          <w:rFonts w:hint="eastAsia" w:ascii="宋体" w:hAnsi="宋体" w:eastAsia="宋体" w:cs="楷体"/>
          <w:kern w:val="2"/>
          <w:sz w:val="24"/>
          <w:szCs w:val="24"/>
        </w:rPr>
        <w:t>第 1 种方式：采用价格指数进行价格调整。</w:t>
      </w:r>
    </w:p>
    <w:p w14:paraId="1A3ED676">
      <w:pPr>
        <w:widowControl w:val="0"/>
        <w:adjustRightInd/>
        <w:snapToGrid/>
        <w:spacing w:after="0" w:line="360" w:lineRule="auto"/>
        <w:jc w:val="both"/>
        <w:outlineLvl w:val="9"/>
        <w:rPr>
          <w:rFonts w:ascii="宋体" w:hAnsi="宋体" w:eastAsia="宋体" w:cs="楷体"/>
          <w:kern w:val="2"/>
          <w:sz w:val="24"/>
          <w:szCs w:val="24"/>
        </w:rPr>
      </w:pPr>
      <w:r>
        <w:rPr>
          <w:rFonts w:hint="eastAsia" w:ascii="宋体" w:hAnsi="宋体" w:eastAsia="宋体" w:cs="楷体"/>
          <w:kern w:val="2"/>
          <w:sz w:val="24"/>
          <w:szCs w:val="24"/>
        </w:rPr>
        <w:t>第 2 种方式：采用造价信息进行价格调整。</w:t>
      </w:r>
    </w:p>
    <w:p w14:paraId="0113A152">
      <w:pPr>
        <w:widowControl w:val="0"/>
        <w:adjustRightInd/>
        <w:snapToGrid/>
        <w:spacing w:after="0" w:line="360" w:lineRule="auto"/>
        <w:jc w:val="both"/>
        <w:outlineLvl w:val="9"/>
        <w:rPr>
          <w:rFonts w:ascii="宋体" w:hAnsi="宋体" w:eastAsia="宋体" w:cs="楷体"/>
          <w:kern w:val="2"/>
          <w:sz w:val="24"/>
          <w:szCs w:val="24"/>
        </w:rPr>
      </w:pPr>
      <w:r>
        <w:rPr>
          <w:rFonts w:hint="eastAsia" w:ascii="宋体" w:hAnsi="宋体" w:eastAsia="宋体" w:cs="楷体"/>
          <w:kern w:val="2"/>
          <w:sz w:val="24"/>
          <w:szCs w:val="24"/>
        </w:rPr>
        <w:t>（2）关于基准价格的约定：</w:t>
      </w:r>
      <w:r>
        <w:rPr>
          <w:rFonts w:hint="eastAsia" w:ascii="宋体" w:hAnsi="宋体" w:eastAsia="宋体" w:cs="楷体"/>
          <w:kern w:val="2"/>
          <w:sz w:val="24"/>
          <w:szCs w:val="24"/>
          <w:u w:val="single"/>
        </w:rPr>
        <w:tab/>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 xml:space="preserve">。 </w:t>
      </w:r>
    </w:p>
    <w:p w14:paraId="29AFA981">
      <w:pPr>
        <w:keepNext/>
        <w:widowControl w:val="0"/>
        <w:wordWrap w:val="0"/>
        <w:adjustRightInd/>
        <w:snapToGrid/>
        <w:spacing w:after="0" w:line="480" w:lineRule="exact"/>
        <w:jc w:val="both"/>
        <w:outlineLvl w:val="9"/>
        <w:rPr>
          <w:rFonts w:ascii="宋体" w:hAnsi="宋体" w:eastAsia="宋体" w:cs="楷体"/>
          <w:b/>
          <w:bCs/>
          <w:kern w:val="2"/>
          <w:sz w:val="24"/>
          <w:szCs w:val="24"/>
        </w:rPr>
      </w:pPr>
      <w:r>
        <w:rPr>
          <w:rFonts w:hint="eastAsia" w:ascii="宋体" w:hAnsi="宋体" w:eastAsia="宋体" w:cs="楷体"/>
          <w:b/>
          <w:bCs/>
          <w:kern w:val="2"/>
          <w:sz w:val="24"/>
          <w:szCs w:val="24"/>
        </w:rPr>
        <w:t xml:space="preserve">12. </w:t>
      </w:r>
      <w:bookmarkEnd w:id="923"/>
      <w:r>
        <w:rPr>
          <w:rFonts w:hint="eastAsia" w:ascii="宋体" w:hAnsi="宋体" w:eastAsia="宋体" w:cs="楷体"/>
          <w:b/>
          <w:bCs/>
          <w:kern w:val="2"/>
          <w:sz w:val="24"/>
          <w:szCs w:val="24"/>
        </w:rPr>
        <w:t>合同价格、计量与支付</w:t>
      </w:r>
    </w:p>
    <w:p w14:paraId="181E01B5">
      <w:pPr>
        <w:widowControl w:val="0"/>
        <w:wordWrap w:val="0"/>
        <w:adjustRightInd/>
        <w:snapToGrid/>
        <w:spacing w:after="0" w:line="480" w:lineRule="exact"/>
        <w:jc w:val="both"/>
        <w:outlineLvl w:val="9"/>
        <w:rPr>
          <w:rFonts w:ascii="宋体" w:hAnsi="宋体" w:eastAsia="宋体" w:cs="楷体"/>
          <w:kern w:val="2"/>
          <w:sz w:val="24"/>
          <w:szCs w:val="24"/>
        </w:rPr>
      </w:pPr>
      <w:bookmarkStart w:id="924" w:name="_Toc312678041"/>
      <w:bookmarkEnd w:id="924"/>
      <w:bookmarkStart w:id="925" w:name="_Toc297048392"/>
      <w:bookmarkEnd w:id="925"/>
      <w:bookmarkStart w:id="926" w:name="_Toc296346707"/>
      <w:bookmarkEnd w:id="926"/>
      <w:bookmarkStart w:id="927" w:name="_Toc296944545"/>
      <w:bookmarkEnd w:id="927"/>
      <w:bookmarkStart w:id="928" w:name="_Toc267251461"/>
      <w:bookmarkEnd w:id="928"/>
      <w:bookmarkStart w:id="929" w:name="_Toc304295580"/>
      <w:bookmarkEnd w:id="929"/>
      <w:bookmarkStart w:id="930" w:name="_Toc296347205"/>
      <w:bookmarkEnd w:id="930"/>
      <w:bookmarkStart w:id="931" w:name="_Toc303539160"/>
      <w:bookmarkEnd w:id="931"/>
      <w:bookmarkStart w:id="932" w:name="_Toc296891034"/>
      <w:bookmarkEnd w:id="932"/>
      <w:bookmarkStart w:id="933" w:name="_Toc297123553"/>
      <w:bookmarkEnd w:id="933"/>
      <w:bookmarkStart w:id="934" w:name="_Toc296503206"/>
      <w:bookmarkEnd w:id="934"/>
      <w:bookmarkStart w:id="935" w:name="_Toc300935003"/>
      <w:bookmarkEnd w:id="935"/>
      <w:bookmarkStart w:id="936" w:name="_Toc297120506"/>
      <w:bookmarkEnd w:id="936"/>
      <w:bookmarkStart w:id="937" w:name="_Toc292559916"/>
      <w:bookmarkEnd w:id="937"/>
      <w:bookmarkStart w:id="938" w:name="_Toc296891246"/>
      <w:bookmarkEnd w:id="938"/>
      <w:bookmarkStart w:id="939" w:name="_Toc297216212"/>
      <w:bookmarkEnd w:id="939"/>
      <w:bookmarkStart w:id="940" w:name="_Toc292559411"/>
      <w:r>
        <w:rPr>
          <w:rFonts w:hint="eastAsia" w:ascii="宋体" w:hAnsi="宋体" w:eastAsia="宋体" w:cs="楷体"/>
          <w:b/>
          <w:bCs/>
          <w:kern w:val="2"/>
          <w:sz w:val="24"/>
          <w:szCs w:val="24"/>
        </w:rPr>
        <w:t>12.1</w:t>
      </w:r>
      <w:bookmarkEnd w:id="940"/>
      <w:r>
        <w:rPr>
          <w:rFonts w:hint="eastAsia" w:ascii="宋体" w:hAnsi="宋体" w:eastAsia="宋体" w:cs="楷体"/>
          <w:kern w:val="2"/>
          <w:sz w:val="24"/>
          <w:szCs w:val="24"/>
        </w:rPr>
        <w:t xml:space="preserve"> 合同价格形式</w:t>
      </w:r>
    </w:p>
    <w:p w14:paraId="3DAEC8C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1、单价合同。</w:t>
      </w:r>
    </w:p>
    <w:p w14:paraId="7921A5C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综合单价包含的风险范围：</w:t>
      </w:r>
      <w:r>
        <w:rPr>
          <w:rFonts w:hint="eastAsia" w:ascii="宋体" w:hAnsi="宋体" w:eastAsia="宋体" w:cs="楷体"/>
          <w:kern w:val="2"/>
          <w:sz w:val="24"/>
          <w:szCs w:val="24"/>
          <w:u w:val="single"/>
        </w:rPr>
        <w:t xml:space="preserve">      按规定执行                     </w:t>
      </w:r>
      <w:r>
        <w:rPr>
          <w:rFonts w:hint="eastAsia" w:ascii="宋体" w:hAnsi="宋体" w:eastAsia="宋体" w:cs="楷体"/>
          <w:kern w:val="2"/>
          <w:sz w:val="24"/>
          <w:szCs w:val="24"/>
        </w:rPr>
        <w:t>。</w:t>
      </w:r>
    </w:p>
    <w:p w14:paraId="7A3F633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风险费用的计算方法：</w:t>
      </w:r>
      <w:r>
        <w:rPr>
          <w:rFonts w:hint="eastAsia" w:ascii="宋体" w:hAnsi="宋体" w:eastAsia="宋体" w:cs="楷体"/>
          <w:kern w:val="2"/>
          <w:sz w:val="24"/>
          <w:szCs w:val="24"/>
          <w:u w:val="single"/>
        </w:rPr>
        <w:t xml:space="preserve">           双方约定                              </w:t>
      </w:r>
      <w:r>
        <w:rPr>
          <w:rFonts w:hint="eastAsia" w:ascii="宋体" w:hAnsi="宋体" w:eastAsia="宋体" w:cs="楷体"/>
          <w:kern w:val="2"/>
          <w:sz w:val="24"/>
          <w:szCs w:val="24"/>
        </w:rPr>
        <w:t>。</w:t>
      </w:r>
    </w:p>
    <w:p w14:paraId="500C525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风险范围以外合同价格的调整方法：</w:t>
      </w:r>
      <w:r>
        <w:rPr>
          <w:rFonts w:hint="eastAsia" w:ascii="宋体" w:hAnsi="宋体" w:eastAsia="宋体" w:cs="楷体"/>
          <w:kern w:val="2"/>
          <w:sz w:val="24"/>
          <w:szCs w:val="24"/>
          <w:u w:val="single"/>
        </w:rPr>
        <w:t xml:space="preserve">          双方约定                   </w:t>
      </w:r>
      <w:r>
        <w:rPr>
          <w:rFonts w:hint="eastAsia" w:ascii="宋体" w:hAnsi="宋体" w:eastAsia="宋体" w:cs="楷体"/>
          <w:kern w:val="2"/>
          <w:sz w:val="24"/>
          <w:szCs w:val="24"/>
        </w:rPr>
        <w:t>。</w:t>
      </w:r>
    </w:p>
    <w:p w14:paraId="7AB11E4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2、总价合同。</w:t>
      </w:r>
    </w:p>
    <w:p w14:paraId="1D1B268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总价包含的风险范围：</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3FF5458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风险费用的计算方法：</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1909D44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风险范围以外合同价格的调整方法：</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132A312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3、其他价格方式：</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51507EE9">
      <w:pPr>
        <w:widowControl w:val="0"/>
        <w:wordWrap w:val="0"/>
        <w:adjustRightInd/>
        <w:snapToGrid/>
        <w:spacing w:after="0" w:line="480" w:lineRule="exact"/>
        <w:jc w:val="both"/>
        <w:outlineLvl w:val="9"/>
        <w:rPr>
          <w:rFonts w:ascii="宋体" w:hAnsi="宋体" w:eastAsia="宋体" w:cs="楷体"/>
          <w:kern w:val="2"/>
          <w:sz w:val="24"/>
          <w:szCs w:val="24"/>
        </w:rPr>
      </w:pPr>
      <w:bookmarkStart w:id="941" w:name="_Toc297120507"/>
      <w:bookmarkEnd w:id="941"/>
      <w:bookmarkStart w:id="942" w:name="_Toc304295581"/>
      <w:bookmarkEnd w:id="942"/>
      <w:bookmarkStart w:id="943" w:name="_Toc296347206"/>
      <w:bookmarkEnd w:id="943"/>
      <w:bookmarkStart w:id="944" w:name="_Toc297216213"/>
      <w:bookmarkEnd w:id="944"/>
      <w:bookmarkStart w:id="945" w:name="_Toc296891247"/>
      <w:bookmarkEnd w:id="945"/>
      <w:bookmarkStart w:id="946" w:name="_Toc296891035"/>
      <w:bookmarkEnd w:id="946"/>
      <w:bookmarkStart w:id="947" w:name="_Toc296503207"/>
      <w:bookmarkEnd w:id="947"/>
      <w:bookmarkStart w:id="948" w:name="_Toc296346708"/>
      <w:bookmarkEnd w:id="948"/>
      <w:bookmarkStart w:id="949" w:name="_Toc312678042"/>
      <w:bookmarkEnd w:id="949"/>
      <w:bookmarkStart w:id="950" w:name="_Toc296944546"/>
      <w:bookmarkEnd w:id="950"/>
      <w:bookmarkStart w:id="951" w:name="_Toc292559917"/>
      <w:bookmarkEnd w:id="951"/>
      <w:bookmarkStart w:id="952" w:name="_Toc297123554"/>
      <w:bookmarkEnd w:id="952"/>
      <w:bookmarkStart w:id="953" w:name="_Toc292559412"/>
      <w:bookmarkEnd w:id="953"/>
      <w:bookmarkStart w:id="954" w:name="_Toc297048393"/>
      <w:bookmarkEnd w:id="954"/>
      <w:bookmarkStart w:id="955" w:name="_Toc303539161"/>
      <w:bookmarkEnd w:id="955"/>
      <w:bookmarkStart w:id="956" w:name="_Toc300935004"/>
      <w:r>
        <w:rPr>
          <w:rFonts w:hint="eastAsia" w:ascii="宋体" w:hAnsi="宋体" w:eastAsia="宋体" w:cs="楷体"/>
          <w:b/>
          <w:bCs/>
          <w:kern w:val="2"/>
          <w:sz w:val="24"/>
          <w:szCs w:val="24"/>
        </w:rPr>
        <w:t xml:space="preserve">12.2 </w:t>
      </w:r>
      <w:bookmarkEnd w:id="956"/>
      <w:r>
        <w:rPr>
          <w:rFonts w:hint="eastAsia" w:ascii="宋体" w:hAnsi="宋体" w:eastAsia="宋体" w:cs="楷体"/>
          <w:kern w:val="2"/>
          <w:sz w:val="24"/>
          <w:szCs w:val="24"/>
        </w:rPr>
        <w:t>预付款</w:t>
      </w:r>
    </w:p>
    <w:p w14:paraId="4CAA0D4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12.2.1 预付款的支付</w:t>
      </w:r>
    </w:p>
    <w:p w14:paraId="22FA15C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预付款支付比例或金额：</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47C7577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预付款支付期限：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32FDE22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预付款扣回的方式：</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470E10E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12.2.2 预付款担保</w:t>
      </w:r>
    </w:p>
    <w:p w14:paraId="13E6255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承包人提交预付款担保的期限：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03CEC1F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预付款担保的形式为：</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5C71946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12.3</w:t>
      </w:r>
      <w:r>
        <w:rPr>
          <w:rFonts w:hint="eastAsia" w:ascii="宋体" w:hAnsi="宋体" w:eastAsia="宋体" w:cs="楷体"/>
          <w:kern w:val="2"/>
          <w:sz w:val="24"/>
          <w:szCs w:val="24"/>
        </w:rPr>
        <w:t xml:space="preserve"> 计量</w:t>
      </w:r>
    </w:p>
    <w:p w14:paraId="0B3AA6F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12.3.1 计量原则</w:t>
      </w:r>
    </w:p>
    <w:p w14:paraId="67D8CEB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工程量计算规则：</w:t>
      </w:r>
      <w:r>
        <w:rPr>
          <w:rFonts w:hint="eastAsia" w:ascii="宋体" w:hAnsi="宋体" w:eastAsia="宋体" w:cs="楷体"/>
          <w:kern w:val="2"/>
          <w:sz w:val="24"/>
          <w:szCs w:val="24"/>
          <w:u w:val="single"/>
        </w:rPr>
        <w:t xml:space="preserve">         按规定执行                             </w:t>
      </w:r>
      <w:r>
        <w:rPr>
          <w:rFonts w:hint="eastAsia" w:ascii="宋体" w:hAnsi="宋体" w:eastAsia="宋体" w:cs="楷体"/>
          <w:kern w:val="2"/>
          <w:sz w:val="24"/>
          <w:szCs w:val="24"/>
        </w:rPr>
        <w:t>。</w:t>
      </w:r>
    </w:p>
    <w:p w14:paraId="1D24407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12.4</w:t>
      </w:r>
      <w:r>
        <w:rPr>
          <w:rFonts w:hint="eastAsia" w:ascii="宋体" w:hAnsi="宋体" w:eastAsia="宋体" w:cs="楷体"/>
          <w:kern w:val="2"/>
          <w:sz w:val="24"/>
          <w:szCs w:val="24"/>
        </w:rPr>
        <w:t xml:space="preserve"> 工程进度款支付</w:t>
      </w:r>
    </w:p>
    <w:p w14:paraId="5099BF76">
      <w:pPr>
        <w:widowControl w:val="0"/>
        <w:wordWrap w:val="0"/>
        <w:adjustRightInd/>
        <w:snapToGrid/>
        <w:spacing w:after="0" w:line="480" w:lineRule="exact"/>
        <w:jc w:val="both"/>
        <w:outlineLvl w:val="9"/>
        <w:rPr>
          <w:rFonts w:ascii="宋体" w:hAnsi="宋体" w:eastAsia="宋体" w:cs="楷体"/>
          <w:kern w:val="2"/>
          <w:sz w:val="24"/>
          <w:szCs w:val="24"/>
        </w:rPr>
      </w:pPr>
      <w:bookmarkStart w:id="957" w:name="_Toc296891039"/>
      <w:bookmarkEnd w:id="957"/>
      <w:bookmarkStart w:id="958" w:name="_Toc300935006"/>
      <w:bookmarkEnd w:id="958"/>
      <w:bookmarkStart w:id="959" w:name="_Toc303539163"/>
      <w:bookmarkEnd w:id="959"/>
      <w:bookmarkStart w:id="960" w:name="_Toc296346712"/>
      <w:bookmarkEnd w:id="960"/>
      <w:bookmarkStart w:id="961" w:name="_Toc297120511"/>
      <w:bookmarkEnd w:id="961"/>
      <w:bookmarkStart w:id="962" w:name="_Toc297123556"/>
      <w:bookmarkEnd w:id="962"/>
      <w:bookmarkStart w:id="963" w:name="_Toc297216215"/>
      <w:bookmarkEnd w:id="963"/>
      <w:bookmarkStart w:id="964" w:name="_Toc297048397"/>
      <w:bookmarkEnd w:id="964"/>
      <w:bookmarkStart w:id="965" w:name="_Toc292559416"/>
      <w:bookmarkEnd w:id="965"/>
      <w:bookmarkStart w:id="966" w:name="_Toc296503211"/>
      <w:bookmarkEnd w:id="966"/>
      <w:bookmarkStart w:id="967" w:name="_Toc296347210"/>
      <w:bookmarkEnd w:id="967"/>
      <w:bookmarkStart w:id="968" w:name="_Toc292559921"/>
      <w:bookmarkEnd w:id="968"/>
      <w:bookmarkStart w:id="969" w:name="_Toc296944550"/>
      <w:bookmarkEnd w:id="969"/>
      <w:bookmarkStart w:id="970" w:name="_Toc296891251"/>
      <w:r>
        <w:rPr>
          <w:rFonts w:hint="eastAsia" w:ascii="宋体" w:hAnsi="宋体" w:eastAsia="宋体" w:cs="楷体"/>
          <w:kern w:val="2"/>
          <w:sz w:val="24"/>
          <w:szCs w:val="24"/>
        </w:rPr>
        <w:t>12.4.1 付款周期</w:t>
      </w:r>
      <w:bookmarkEnd w:id="970"/>
    </w:p>
    <w:p w14:paraId="5CF1267A">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关于付款周期的约定：</w:t>
      </w:r>
      <w:r>
        <w:rPr>
          <w:rFonts w:hint="eastAsia" w:ascii="宋体" w:hAnsi="宋体" w:eastAsia="宋体" w:cs="楷体"/>
          <w:kern w:val="2"/>
          <w:sz w:val="24"/>
          <w:szCs w:val="24"/>
          <w:u w:val="single"/>
        </w:rPr>
        <w:t xml:space="preserve">       \        。</w:t>
      </w:r>
    </w:p>
    <w:p w14:paraId="058B2A9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12.4.2 进度付款申请单的编制</w:t>
      </w:r>
    </w:p>
    <w:p w14:paraId="5681069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关于进度付款申请单编制的约定：</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75D06C5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12.4.3 进度付款申请单的提交</w:t>
      </w:r>
    </w:p>
    <w:p w14:paraId="484898D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（1）单价合同进度付款申请单提交的约定：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560CAD4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（2）总价合同进度付款申请单提交的约定：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1CAE723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（3）其他价格形式合同进度付款申请单提交的约定：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6AA0E94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12.4.4 进度款审核和支付</w:t>
      </w:r>
    </w:p>
    <w:p w14:paraId="762BC991">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（1）监理人审查并报送发包人的期限：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139E164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发包人完成审批并签发进度款支付证书的期限：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4CDBEE3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（2）发包人支付进度款的期限：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3E90023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发包人逾期支付进度款的违约金的计算方式：。</w:t>
      </w:r>
    </w:p>
    <w:p w14:paraId="08C2985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12.4.6 支付分解表的编制</w:t>
      </w:r>
    </w:p>
    <w:p w14:paraId="1ED1117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2、总价合同支付分解表的编制与审批：</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16B5869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3、单价合同的总价项目支付分解表的编制与审批：</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25906917">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971" w:name="_Toc312678053"/>
      <w:bookmarkEnd w:id="971"/>
      <w:bookmarkStart w:id="972" w:name="_Toc292559929"/>
      <w:bookmarkEnd w:id="972"/>
      <w:bookmarkStart w:id="973" w:name="_Toc304295593"/>
      <w:bookmarkEnd w:id="973"/>
      <w:bookmarkStart w:id="974" w:name="_Toc296891047"/>
      <w:bookmarkEnd w:id="974"/>
      <w:bookmarkStart w:id="975" w:name="_Toc292559424"/>
      <w:bookmarkEnd w:id="975"/>
      <w:bookmarkStart w:id="976" w:name="_Toc300935015"/>
      <w:bookmarkEnd w:id="976"/>
      <w:bookmarkStart w:id="977" w:name="_Toc296891259"/>
      <w:bookmarkEnd w:id="977"/>
      <w:bookmarkStart w:id="978" w:name="_Toc296347218"/>
      <w:bookmarkEnd w:id="978"/>
      <w:bookmarkStart w:id="979" w:name="_Toc351203645"/>
      <w:bookmarkEnd w:id="979"/>
      <w:bookmarkStart w:id="980" w:name="_Toc296944558"/>
      <w:bookmarkEnd w:id="980"/>
      <w:bookmarkStart w:id="981" w:name="_Toc297123564"/>
      <w:bookmarkEnd w:id="981"/>
      <w:bookmarkStart w:id="982" w:name="_Toc296346720"/>
      <w:bookmarkEnd w:id="982"/>
      <w:bookmarkStart w:id="983" w:name="_Toc297048405"/>
      <w:bookmarkEnd w:id="983"/>
      <w:bookmarkStart w:id="984" w:name="_Toc303539172"/>
      <w:bookmarkEnd w:id="984"/>
      <w:bookmarkStart w:id="985" w:name="_Toc297216223"/>
      <w:bookmarkEnd w:id="985"/>
      <w:bookmarkStart w:id="986" w:name="_Toc296503219"/>
      <w:bookmarkEnd w:id="986"/>
      <w:bookmarkStart w:id="987" w:name="_Toc297120519"/>
      <w:r>
        <w:rPr>
          <w:rFonts w:hint="eastAsia" w:ascii="宋体" w:hAnsi="宋体" w:eastAsia="宋体" w:cs="楷体"/>
          <w:b/>
          <w:bCs/>
          <w:kern w:val="2"/>
          <w:sz w:val="24"/>
          <w:szCs w:val="24"/>
        </w:rPr>
        <w:t>13. 验收和工程试车</w:t>
      </w:r>
      <w:bookmarkEnd w:id="987"/>
    </w:p>
    <w:p w14:paraId="79F2942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13.1</w:t>
      </w:r>
      <w:r>
        <w:rPr>
          <w:rFonts w:hint="eastAsia" w:ascii="宋体" w:hAnsi="宋体" w:eastAsia="宋体" w:cs="楷体"/>
          <w:kern w:val="2"/>
          <w:sz w:val="24"/>
          <w:szCs w:val="24"/>
        </w:rPr>
        <w:t xml:space="preserve"> 分部分项工程验收</w:t>
      </w:r>
    </w:p>
    <w:p w14:paraId="111165C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13.1.2监理人不能按时进行验收时，应提前</w:t>
      </w:r>
      <w:r>
        <w:rPr>
          <w:rFonts w:hint="eastAsia" w:ascii="宋体" w:hAnsi="宋体" w:eastAsia="宋体" w:cs="楷体"/>
          <w:kern w:val="2"/>
          <w:sz w:val="24"/>
          <w:szCs w:val="24"/>
          <w:u w:val="single"/>
        </w:rPr>
        <w:t xml:space="preserve">  8  </w:t>
      </w:r>
      <w:r>
        <w:rPr>
          <w:rFonts w:hint="eastAsia" w:ascii="宋体" w:hAnsi="宋体" w:eastAsia="宋体" w:cs="楷体"/>
          <w:kern w:val="2"/>
          <w:sz w:val="24"/>
          <w:szCs w:val="24"/>
        </w:rPr>
        <w:t>小时提交书面延期要求。</w:t>
      </w:r>
    </w:p>
    <w:p w14:paraId="6161091C">
      <w:pPr>
        <w:widowControl w:val="0"/>
        <w:wordWrap w:val="0"/>
        <w:adjustRightInd/>
        <w:snapToGrid/>
        <w:spacing w:after="0" w:line="480" w:lineRule="exact"/>
        <w:jc w:val="both"/>
        <w:outlineLvl w:val="9"/>
        <w:rPr>
          <w:rFonts w:ascii="宋体" w:hAnsi="宋体" w:eastAsia="宋体" w:cs="楷体"/>
          <w:b/>
          <w:bCs/>
          <w:kern w:val="2"/>
          <w:sz w:val="24"/>
          <w:szCs w:val="24"/>
        </w:rPr>
      </w:pPr>
      <w:r>
        <w:rPr>
          <w:rFonts w:hint="eastAsia" w:ascii="宋体" w:hAnsi="宋体" w:eastAsia="宋体" w:cs="楷体"/>
          <w:kern w:val="2"/>
          <w:sz w:val="24"/>
          <w:szCs w:val="24"/>
        </w:rPr>
        <w:t>关于延期最长不得超过：</w:t>
      </w:r>
      <w:r>
        <w:rPr>
          <w:rFonts w:hint="eastAsia" w:ascii="宋体" w:hAnsi="宋体" w:eastAsia="宋体" w:cs="楷体"/>
          <w:kern w:val="2"/>
          <w:sz w:val="24"/>
          <w:szCs w:val="24"/>
          <w:u w:val="single"/>
        </w:rPr>
        <w:t xml:space="preserve">   24     </w:t>
      </w:r>
      <w:r>
        <w:rPr>
          <w:rFonts w:hint="eastAsia" w:ascii="宋体" w:hAnsi="宋体" w:eastAsia="宋体" w:cs="楷体"/>
          <w:kern w:val="2"/>
          <w:sz w:val="24"/>
          <w:szCs w:val="24"/>
        </w:rPr>
        <w:t>小时。</w:t>
      </w:r>
    </w:p>
    <w:p w14:paraId="292F98FD">
      <w:pPr>
        <w:widowControl w:val="0"/>
        <w:wordWrap w:val="0"/>
        <w:adjustRightInd/>
        <w:snapToGrid/>
        <w:spacing w:after="0" w:line="480" w:lineRule="exact"/>
        <w:jc w:val="both"/>
        <w:outlineLvl w:val="9"/>
        <w:rPr>
          <w:rFonts w:ascii="宋体" w:hAnsi="宋体" w:eastAsia="宋体" w:cs="楷体"/>
          <w:kern w:val="2"/>
          <w:sz w:val="24"/>
          <w:szCs w:val="24"/>
        </w:rPr>
      </w:pPr>
      <w:bookmarkStart w:id="988" w:name="_Toc300935016"/>
      <w:bookmarkEnd w:id="988"/>
      <w:bookmarkStart w:id="989" w:name="_Toc267251476"/>
      <w:bookmarkEnd w:id="989"/>
      <w:bookmarkStart w:id="990" w:name="_Toc296891051"/>
      <w:bookmarkEnd w:id="990"/>
      <w:bookmarkStart w:id="991" w:name="_Toc292559428"/>
      <w:bookmarkEnd w:id="991"/>
      <w:bookmarkStart w:id="992" w:name="_Toc297048409"/>
      <w:bookmarkEnd w:id="992"/>
      <w:bookmarkStart w:id="993" w:name="_Toc296891263"/>
      <w:bookmarkEnd w:id="993"/>
      <w:bookmarkStart w:id="994" w:name="_Toc297123565"/>
      <w:bookmarkEnd w:id="994"/>
      <w:bookmarkStart w:id="995" w:name="_Toc292559933"/>
      <w:bookmarkEnd w:id="995"/>
      <w:bookmarkStart w:id="996" w:name="_Toc296347222"/>
      <w:bookmarkEnd w:id="996"/>
      <w:bookmarkStart w:id="997" w:name="_Toc296944562"/>
      <w:bookmarkEnd w:id="997"/>
      <w:bookmarkStart w:id="998" w:name="_Toc312678056"/>
      <w:bookmarkEnd w:id="998"/>
      <w:bookmarkStart w:id="999" w:name="_Toc267251471"/>
      <w:bookmarkEnd w:id="999"/>
      <w:bookmarkStart w:id="1000" w:name="_Toc303539173"/>
      <w:bookmarkEnd w:id="1000"/>
      <w:bookmarkStart w:id="1001" w:name="_Toc267251474"/>
      <w:bookmarkEnd w:id="1001"/>
      <w:bookmarkStart w:id="1002" w:name="_Toc296346724"/>
      <w:bookmarkEnd w:id="1002"/>
      <w:bookmarkStart w:id="1003" w:name="_Toc297120523"/>
      <w:bookmarkEnd w:id="1003"/>
      <w:bookmarkStart w:id="1004" w:name="_Toc267251470"/>
      <w:bookmarkEnd w:id="1004"/>
      <w:bookmarkStart w:id="1005" w:name="_Toc297216224"/>
      <w:bookmarkEnd w:id="1005"/>
      <w:bookmarkStart w:id="1006" w:name="_Toc267251472"/>
      <w:bookmarkEnd w:id="1006"/>
      <w:bookmarkStart w:id="1007" w:name="_Toc267251473"/>
      <w:bookmarkEnd w:id="1007"/>
      <w:bookmarkStart w:id="1008" w:name="_Toc304295596"/>
      <w:bookmarkEnd w:id="1008"/>
      <w:bookmarkStart w:id="1009" w:name="_Toc296503223"/>
      <w:bookmarkEnd w:id="1009"/>
      <w:bookmarkStart w:id="1010" w:name="_Toc267251475"/>
      <w:r>
        <w:rPr>
          <w:rFonts w:hint="eastAsia" w:ascii="宋体" w:hAnsi="宋体" w:eastAsia="宋体" w:cs="楷体"/>
          <w:b/>
          <w:bCs/>
          <w:kern w:val="2"/>
          <w:sz w:val="24"/>
          <w:szCs w:val="24"/>
        </w:rPr>
        <w:t>13.2</w:t>
      </w:r>
      <w:bookmarkEnd w:id="1010"/>
      <w:r>
        <w:rPr>
          <w:rFonts w:hint="eastAsia" w:ascii="宋体" w:hAnsi="宋体" w:eastAsia="宋体" w:cs="楷体"/>
          <w:kern w:val="2"/>
          <w:sz w:val="24"/>
          <w:szCs w:val="24"/>
        </w:rPr>
        <w:t xml:space="preserve"> 竣工验收</w:t>
      </w:r>
    </w:p>
    <w:p w14:paraId="04C43264">
      <w:pPr>
        <w:widowControl w:val="0"/>
        <w:wordWrap w:val="0"/>
        <w:adjustRightInd/>
        <w:snapToGrid/>
        <w:spacing w:after="0" w:line="480" w:lineRule="exact"/>
        <w:jc w:val="both"/>
        <w:outlineLvl w:val="9"/>
        <w:rPr>
          <w:rFonts w:ascii="宋体" w:hAnsi="宋体" w:eastAsia="宋体" w:cs="楷体"/>
          <w:kern w:val="2"/>
          <w:sz w:val="24"/>
          <w:szCs w:val="24"/>
        </w:rPr>
      </w:pPr>
      <w:bookmarkStart w:id="1011" w:name="_Toc280868705"/>
      <w:bookmarkEnd w:id="1011"/>
      <w:bookmarkStart w:id="1012" w:name="_Toc280868708"/>
      <w:bookmarkEnd w:id="1012"/>
      <w:bookmarkStart w:id="1013" w:name="_Toc280868706"/>
      <w:bookmarkEnd w:id="1013"/>
      <w:bookmarkStart w:id="1014" w:name="_Toc280868709"/>
      <w:bookmarkEnd w:id="1014"/>
      <w:bookmarkStart w:id="1015" w:name="_Toc280868707"/>
      <w:bookmarkEnd w:id="1015"/>
      <w:bookmarkStart w:id="1016" w:name="_Toc280868704"/>
      <w:bookmarkEnd w:id="1016"/>
      <w:r>
        <w:rPr>
          <w:rFonts w:hint="eastAsia" w:ascii="宋体" w:hAnsi="宋体" w:eastAsia="宋体" w:cs="楷体"/>
          <w:kern w:val="2"/>
          <w:sz w:val="24"/>
          <w:szCs w:val="24"/>
        </w:rPr>
        <w:t>13.2.2竣工验收程序</w:t>
      </w:r>
    </w:p>
    <w:p w14:paraId="2509EE9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关于竣工验收程序的约定：</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64CE275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发包人不按照本项约定组织竣工验收、颁发工程接收证书的违约金的计算方法：</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4D49D6F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13.2.5移交、接收全部与部分工程</w:t>
      </w:r>
    </w:p>
    <w:p w14:paraId="5BE0903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承包人向发包人移交工程的期限：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3ADD2014">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发包人未按本合同约定接收全部或部分工程的，违约金的计算方法为：</w:t>
      </w:r>
    </w:p>
    <w:p w14:paraId="5220EC3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承包人未按时移交工程的，违约金的计算方法为：。</w:t>
      </w:r>
    </w:p>
    <w:p w14:paraId="6BD69AB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13.3</w:t>
      </w:r>
      <w:r>
        <w:rPr>
          <w:rFonts w:hint="eastAsia" w:ascii="宋体" w:hAnsi="宋体" w:eastAsia="宋体" w:cs="楷体"/>
          <w:kern w:val="2"/>
          <w:sz w:val="24"/>
          <w:szCs w:val="24"/>
        </w:rPr>
        <w:t xml:space="preserve"> 工程试车</w:t>
      </w:r>
    </w:p>
    <w:p w14:paraId="02325FB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13.3.1 试车程序</w:t>
      </w:r>
    </w:p>
    <w:p w14:paraId="5899490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工程试车内容：</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4B2E4D1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（1）单机无负荷试车费用由</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承担；</w:t>
      </w:r>
    </w:p>
    <w:p w14:paraId="6ECCF33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（2）无负荷联动试车费用由</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承担。</w:t>
      </w:r>
    </w:p>
    <w:p w14:paraId="709EF69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13.3.3 投料试车</w:t>
      </w:r>
    </w:p>
    <w:p w14:paraId="010F169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关于投料试车相关事项的约定：</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4BAC30B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13.6</w:t>
      </w:r>
      <w:r>
        <w:rPr>
          <w:rFonts w:hint="eastAsia" w:ascii="宋体" w:hAnsi="宋体" w:eastAsia="宋体" w:cs="楷体"/>
          <w:kern w:val="2"/>
          <w:sz w:val="24"/>
          <w:szCs w:val="24"/>
        </w:rPr>
        <w:t xml:space="preserve"> 竣工退场</w:t>
      </w:r>
    </w:p>
    <w:p w14:paraId="51CED66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13.6.1 竣工退场</w:t>
      </w:r>
    </w:p>
    <w:p w14:paraId="7158FBF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承包人完成竣工退场的期限：</w:t>
      </w:r>
      <w:r>
        <w:rPr>
          <w:rFonts w:hint="eastAsia" w:ascii="宋体" w:hAnsi="宋体" w:eastAsia="宋体" w:cs="楷体"/>
          <w:kern w:val="2"/>
          <w:sz w:val="24"/>
          <w:szCs w:val="24"/>
          <w:u w:val="single"/>
        </w:rPr>
        <w:t xml:space="preserve">      颁发工程接收证书后三天内          </w:t>
      </w:r>
      <w:r>
        <w:rPr>
          <w:rFonts w:hint="eastAsia" w:ascii="宋体" w:hAnsi="宋体" w:eastAsia="宋体" w:cs="楷体"/>
          <w:kern w:val="2"/>
          <w:sz w:val="24"/>
          <w:szCs w:val="24"/>
        </w:rPr>
        <w:t>。</w:t>
      </w:r>
    </w:p>
    <w:p w14:paraId="6EAB8C7D">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1017" w:name="_Toc351203646"/>
      <w:bookmarkEnd w:id="1017"/>
      <w:r>
        <w:rPr>
          <w:rFonts w:hint="eastAsia" w:ascii="宋体" w:hAnsi="宋体" w:eastAsia="宋体" w:cs="楷体"/>
          <w:b/>
          <w:bCs/>
          <w:kern w:val="2"/>
          <w:sz w:val="24"/>
          <w:szCs w:val="24"/>
        </w:rPr>
        <w:t>14. 竣工结算</w:t>
      </w:r>
    </w:p>
    <w:p w14:paraId="4BB0136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14.1</w:t>
      </w:r>
      <w:r>
        <w:rPr>
          <w:rFonts w:hint="eastAsia" w:ascii="宋体" w:hAnsi="宋体" w:eastAsia="宋体" w:cs="楷体"/>
          <w:kern w:val="2"/>
          <w:sz w:val="24"/>
          <w:szCs w:val="24"/>
        </w:rPr>
        <w:t xml:space="preserve"> 竣工结算申请</w:t>
      </w:r>
    </w:p>
    <w:p w14:paraId="4DCF46F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承包人提交竣工结算申请单的期限：</w:t>
      </w:r>
      <w:r>
        <w:rPr>
          <w:rFonts w:hint="eastAsia" w:ascii="宋体" w:hAnsi="宋体" w:eastAsia="宋体" w:cs="楷体"/>
          <w:kern w:val="2"/>
          <w:sz w:val="24"/>
          <w:szCs w:val="24"/>
          <w:u w:val="single"/>
        </w:rPr>
        <w:t>工程竣工验收合格之日起28日内承包人应一次性递交完整的竣工结算资料</w:t>
      </w:r>
      <w:r>
        <w:rPr>
          <w:rFonts w:hint="eastAsia" w:ascii="宋体" w:hAnsi="宋体" w:eastAsia="宋体" w:cs="楷体"/>
          <w:kern w:val="2"/>
          <w:sz w:val="24"/>
          <w:szCs w:val="24"/>
        </w:rPr>
        <w:t>。</w:t>
      </w:r>
    </w:p>
    <w:p w14:paraId="7D9EC6D2">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竣工结算申请单应包括的内容：</w:t>
      </w:r>
      <w:r>
        <w:rPr>
          <w:rFonts w:hint="eastAsia" w:ascii="宋体" w:hAnsi="宋体" w:eastAsia="宋体" w:cs="楷体"/>
          <w:kern w:val="2"/>
          <w:sz w:val="24"/>
          <w:szCs w:val="24"/>
          <w:u w:val="single"/>
        </w:rPr>
        <w:t>承包人向发包人递交完整的竣工结算资料（即：施工合同、发包人批准的施工组织设计、会审记录、隐蔽验收记录、现场签证、材料价格签证、投标文件及其软件电子文档、竣工图、竣工结算书及其软件电子文档等）。因承包人原因未按上述时间和内容报送竣工结算资料的，自工程竣工经初步验收合格后第29天起（含第29天），每延迟一天处罚承包人违约金100元。报送后发包人不再接受涉及本工程的任何资料。审计工作承包人应当给予配合。承包人未按上述时限提供资料、提供资料不合格或不积极配合审计工作等以及工程未达到初验合格条件的，致使无法按时完成结算审计的，发包人不承担因未完成结算审计造成无法支付结算工程款的违约责任，由此产生的一切损失由承包人承担。</w:t>
      </w:r>
    </w:p>
    <w:p w14:paraId="49611D5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14.2</w:t>
      </w:r>
      <w:r>
        <w:rPr>
          <w:rFonts w:hint="eastAsia" w:ascii="宋体" w:hAnsi="宋体" w:eastAsia="宋体" w:cs="楷体"/>
          <w:kern w:val="2"/>
          <w:sz w:val="24"/>
          <w:szCs w:val="24"/>
        </w:rPr>
        <w:t xml:space="preserve"> 竣工结算审核</w:t>
      </w:r>
    </w:p>
    <w:p w14:paraId="52C8B53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发包人审批竣工付款申请单的期限：</w:t>
      </w:r>
      <w:r>
        <w:rPr>
          <w:rFonts w:hint="eastAsia" w:ascii="宋体" w:hAnsi="宋体" w:eastAsia="宋体" w:cs="楷体"/>
          <w:kern w:val="2"/>
          <w:sz w:val="24"/>
          <w:szCs w:val="24"/>
          <w:u w:val="single"/>
        </w:rPr>
        <w:t>按通用条款执行</w:t>
      </w:r>
      <w:r>
        <w:rPr>
          <w:rFonts w:hint="eastAsia" w:ascii="宋体" w:hAnsi="宋体" w:eastAsia="宋体" w:cs="楷体"/>
          <w:kern w:val="2"/>
          <w:sz w:val="24"/>
          <w:szCs w:val="24"/>
        </w:rPr>
        <w:t>。</w:t>
      </w:r>
    </w:p>
    <w:p w14:paraId="71AD568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发包人完成竣工付款的期限：</w:t>
      </w:r>
      <w:r>
        <w:rPr>
          <w:rFonts w:hint="eastAsia" w:ascii="宋体" w:hAnsi="宋体" w:eastAsia="宋体" w:cs="楷体"/>
          <w:kern w:val="2"/>
          <w:sz w:val="24"/>
          <w:szCs w:val="24"/>
          <w:u w:val="single"/>
        </w:rPr>
        <w:t>按通用条款执行</w:t>
      </w:r>
      <w:r>
        <w:rPr>
          <w:rFonts w:hint="eastAsia" w:ascii="宋体" w:hAnsi="宋体" w:eastAsia="宋体" w:cs="楷体"/>
          <w:kern w:val="2"/>
          <w:sz w:val="24"/>
          <w:szCs w:val="24"/>
        </w:rPr>
        <w:t>。</w:t>
      </w:r>
    </w:p>
    <w:p w14:paraId="196F85E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关于竣工付款证书异议部分复核的方式和程序：</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3852D8E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14.4</w:t>
      </w:r>
      <w:r>
        <w:rPr>
          <w:rFonts w:hint="eastAsia" w:ascii="宋体" w:hAnsi="宋体" w:eastAsia="宋体" w:cs="楷体"/>
          <w:kern w:val="2"/>
          <w:sz w:val="24"/>
          <w:szCs w:val="24"/>
        </w:rPr>
        <w:t xml:space="preserve"> 最终结清</w:t>
      </w:r>
    </w:p>
    <w:p w14:paraId="700067C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14.4.1 最终结清申请单</w:t>
      </w:r>
    </w:p>
    <w:p w14:paraId="5C0AB69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承包人提交最终结清申请单的份数：</w:t>
      </w:r>
      <w:r>
        <w:rPr>
          <w:rFonts w:hint="eastAsia" w:ascii="宋体" w:hAnsi="宋体" w:eastAsia="宋体" w:cs="楷体"/>
          <w:kern w:val="2"/>
          <w:sz w:val="24"/>
          <w:szCs w:val="24"/>
          <w:u w:val="single"/>
        </w:rPr>
        <w:t xml:space="preserve">      四份                   </w:t>
      </w:r>
      <w:r>
        <w:rPr>
          <w:rFonts w:hint="eastAsia" w:ascii="宋体" w:hAnsi="宋体" w:eastAsia="宋体" w:cs="楷体"/>
          <w:kern w:val="2"/>
          <w:sz w:val="24"/>
          <w:szCs w:val="24"/>
        </w:rPr>
        <w:t>。</w:t>
      </w:r>
    </w:p>
    <w:p w14:paraId="397D88E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承包人提交最终结算申请单的期限：</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 xml:space="preserve">。 </w:t>
      </w:r>
    </w:p>
    <w:p w14:paraId="5063EBC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14.4.2 最终结清证书和支付</w:t>
      </w:r>
    </w:p>
    <w:p w14:paraId="32DEACA3">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（1）发包人完成最终结清申请单的审批并颁发最终结清证书的期限：</w:t>
      </w:r>
    </w:p>
    <w:p w14:paraId="2C136A5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u w:val="single"/>
        </w:rPr>
        <w:t xml:space="preserve">按通用条款执行                        </w:t>
      </w:r>
      <w:r>
        <w:rPr>
          <w:rFonts w:hint="eastAsia" w:ascii="宋体" w:hAnsi="宋体" w:eastAsia="宋体" w:cs="楷体"/>
          <w:kern w:val="2"/>
          <w:sz w:val="24"/>
          <w:szCs w:val="24"/>
        </w:rPr>
        <w:t>。</w:t>
      </w:r>
    </w:p>
    <w:p w14:paraId="6C12C79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（2）发包人完成支付的期限：。</w:t>
      </w:r>
    </w:p>
    <w:p w14:paraId="2A4B7908">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1018" w:name="_Toc267251493"/>
      <w:bookmarkEnd w:id="1018"/>
      <w:bookmarkStart w:id="1019" w:name="_Toc267251502"/>
      <w:bookmarkEnd w:id="1019"/>
      <w:bookmarkStart w:id="1020" w:name="_Toc267251506"/>
      <w:bookmarkEnd w:id="1020"/>
      <w:bookmarkStart w:id="1021" w:name="_Toc351203647"/>
      <w:bookmarkEnd w:id="1021"/>
      <w:bookmarkStart w:id="1022" w:name="_Toc267251501"/>
      <w:bookmarkEnd w:id="1022"/>
      <w:bookmarkStart w:id="1023" w:name="_Toc267251492"/>
      <w:bookmarkEnd w:id="1023"/>
      <w:bookmarkStart w:id="1024" w:name="_Toc267251509"/>
      <w:bookmarkEnd w:id="1024"/>
      <w:bookmarkStart w:id="1025" w:name="_Toc267251485"/>
      <w:bookmarkEnd w:id="1025"/>
      <w:bookmarkStart w:id="1026" w:name="_Toc267251495"/>
      <w:bookmarkEnd w:id="1026"/>
      <w:bookmarkStart w:id="1027" w:name="_Toc267251486"/>
      <w:bookmarkEnd w:id="1027"/>
      <w:bookmarkStart w:id="1028" w:name="_Toc267251514"/>
      <w:bookmarkEnd w:id="1028"/>
      <w:bookmarkStart w:id="1029" w:name="_Toc267251482"/>
      <w:bookmarkEnd w:id="1029"/>
      <w:bookmarkStart w:id="1030" w:name="_Toc267251510"/>
      <w:bookmarkEnd w:id="1030"/>
      <w:bookmarkStart w:id="1031" w:name="_Toc267251484"/>
      <w:bookmarkEnd w:id="1031"/>
      <w:bookmarkStart w:id="1032" w:name="_Toc267251489"/>
      <w:bookmarkEnd w:id="1032"/>
      <w:bookmarkStart w:id="1033" w:name="_Toc267251496"/>
      <w:bookmarkEnd w:id="1033"/>
      <w:bookmarkStart w:id="1034" w:name="_Toc267251511"/>
      <w:bookmarkEnd w:id="1034"/>
      <w:bookmarkStart w:id="1035" w:name="_Toc267251507"/>
      <w:bookmarkEnd w:id="1035"/>
      <w:bookmarkStart w:id="1036" w:name="_Toc267251488"/>
      <w:bookmarkEnd w:id="1036"/>
      <w:bookmarkStart w:id="1037" w:name="_Toc267251503"/>
      <w:bookmarkEnd w:id="1037"/>
      <w:bookmarkStart w:id="1038" w:name="_Toc267251494"/>
      <w:bookmarkEnd w:id="1038"/>
      <w:bookmarkStart w:id="1039" w:name="_Toc267251508"/>
      <w:bookmarkEnd w:id="1039"/>
      <w:bookmarkStart w:id="1040" w:name="_Toc267251498"/>
      <w:bookmarkEnd w:id="1040"/>
      <w:bookmarkStart w:id="1041" w:name="_Toc267251499"/>
      <w:bookmarkEnd w:id="1041"/>
      <w:bookmarkStart w:id="1042" w:name="_Toc267251490"/>
      <w:bookmarkEnd w:id="1042"/>
      <w:bookmarkStart w:id="1043" w:name="_Toc267251504"/>
      <w:bookmarkEnd w:id="1043"/>
      <w:bookmarkStart w:id="1044" w:name="_Toc267251497"/>
      <w:bookmarkEnd w:id="1044"/>
      <w:bookmarkStart w:id="1045" w:name="_Toc267251491"/>
      <w:bookmarkEnd w:id="1045"/>
      <w:bookmarkStart w:id="1046" w:name="_Toc267251515"/>
      <w:bookmarkEnd w:id="1046"/>
      <w:bookmarkStart w:id="1047" w:name="_Toc267251483"/>
      <w:bookmarkEnd w:id="1047"/>
      <w:bookmarkStart w:id="1048" w:name="_Toc267251513"/>
      <w:r>
        <w:rPr>
          <w:rFonts w:hint="eastAsia" w:ascii="宋体" w:hAnsi="宋体" w:eastAsia="宋体" w:cs="楷体"/>
          <w:b/>
          <w:bCs/>
          <w:kern w:val="2"/>
          <w:sz w:val="24"/>
          <w:szCs w:val="24"/>
        </w:rPr>
        <w:t>15. 缺陷责任期与保修</w:t>
      </w:r>
      <w:bookmarkEnd w:id="1048"/>
    </w:p>
    <w:p w14:paraId="377F3B2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15.2</w:t>
      </w:r>
      <w:r>
        <w:rPr>
          <w:rFonts w:hint="eastAsia" w:ascii="宋体" w:hAnsi="宋体" w:eastAsia="宋体" w:cs="楷体"/>
          <w:kern w:val="2"/>
          <w:sz w:val="24"/>
          <w:szCs w:val="24"/>
        </w:rPr>
        <w:t>缺陷责任期</w:t>
      </w:r>
    </w:p>
    <w:p w14:paraId="6CA91DB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缺陷责任期的具体期限：</w:t>
      </w:r>
      <w:r>
        <w:rPr>
          <w:rFonts w:hint="eastAsia" w:ascii="宋体" w:hAnsi="宋体" w:eastAsia="宋体" w:cs="楷体"/>
          <w:kern w:val="2"/>
          <w:sz w:val="24"/>
          <w:szCs w:val="24"/>
          <w:u w:val="single"/>
        </w:rPr>
        <w:t xml:space="preserve">            24个月                </w:t>
      </w:r>
      <w:r>
        <w:rPr>
          <w:rFonts w:hint="eastAsia" w:ascii="宋体" w:hAnsi="宋体" w:eastAsia="宋体" w:cs="楷体"/>
          <w:kern w:val="2"/>
          <w:sz w:val="24"/>
          <w:szCs w:val="24"/>
        </w:rPr>
        <w:t>。</w:t>
      </w:r>
    </w:p>
    <w:p w14:paraId="40EA659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15.3</w:t>
      </w:r>
      <w:r>
        <w:rPr>
          <w:rFonts w:hint="eastAsia" w:ascii="宋体" w:hAnsi="宋体" w:eastAsia="宋体" w:cs="楷体"/>
          <w:kern w:val="2"/>
          <w:sz w:val="24"/>
          <w:szCs w:val="24"/>
        </w:rPr>
        <w:t xml:space="preserve"> 质量保证金</w:t>
      </w:r>
    </w:p>
    <w:p w14:paraId="7276085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关于是否扣留质量保证金的约定：</w:t>
      </w:r>
      <w:r>
        <w:rPr>
          <w:rFonts w:hint="eastAsia" w:ascii="宋体" w:hAnsi="宋体" w:eastAsia="宋体" w:cs="楷体"/>
          <w:kern w:val="2"/>
          <w:sz w:val="24"/>
          <w:szCs w:val="24"/>
          <w:u w:val="single"/>
        </w:rPr>
        <w:t xml:space="preserve">         扣留                 </w:t>
      </w:r>
      <w:r>
        <w:rPr>
          <w:rFonts w:hint="eastAsia" w:ascii="宋体" w:hAnsi="宋体" w:eastAsia="宋体" w:cs="楷体"/>
          <w:kern w:val="2"/>
          <w:sz w:val="24"/>
          <w:szCs w:val="24"/>
        </w:rPr>
        <w:t>。</w:t>
      </w:r>
    </w:p>
    <w:p w14:paraId="0614DE5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15.3.1 承包人提供质量保证金的方式</w:t>
      </w:r>
    </w:p>
    <w:p w14:paraId="744A7B4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质量保证金采用以下第</w:t>
      </w:r>
      <w:r>
        <w:rPr>
          <w:rFonts w:hint="eastAsia" w:ascii="宋体" w:hAnsi="宋体" w:eastAsia="宋体" w:cs="楷体"/>
          <w:kern w:val="2"/>
          <w:sz w:val="24"/>
          <w:szCs w:val="24"/>
          <w:u w:val="single"/>
        </w:rPr>
        <w:t xml:space="preserve">  （2）  </w:t>
      </w:r>
      <w:r>
        <w:rPr>
          <w:rFonts w:hint="eastAsia" w:ascii="宋体" w:hAnsi="宋体" w:eastAsia="宋体" w:cs="楷体"/>
          <w:kern w:val="2"/>
          <w:sz w:val="24"/>
          <w:szCs w:val="24"/>
        </w:rPr>
        <w:t>种方式：</w:t>
      </w:r>
    </w:p>
    <w:p w14:paraId="41A1379E">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（1）质量保证金保函，保证金额为：</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 xml:space="preserve">； </w:t>
      </w:r>
    </w:p>
    <w:p w14:paraId="0AC2382D">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w:t>
      </w:r>
      <w:r>
        <w:rPr>
          <w:rFonts w:hint="eastAsia" w:ascii="宋体" w:hAnsi="宋体" w:eastAsia="宋体" w:cs="楷体"/>
          <w:kern w:val="2"/>
          <w:sz w:val="24"/>
          <w:szCs w:val="24"/>
          <w:u w:val="single"/>
        </w:rPr>
        <w:t xml:space="preserve">    3   </w:t>
      </w:r>
      <w:r>
        <w:rPr>
          <w:rFonts w:hint="eastAsia" w:ascii="宋体" w:hAnsi="宋体" w:eastAsia="宋体" w:cs="楷体"/>
          <w:kern w:val="2"/>
          <w:sz w:val="24"/>
          <w:szCs w:val="24"/>
        </w:rPr>
        <w:t>%的工程款；</w:t>
      </w:r>
    </w:p>
    <w:p w14:paraId="42D4EB78">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（3）其他方式:</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75DEE2E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15.3.2 质量保证金的扣留 </w:t>
      </w:r>
    </w:p>
    <w:p w14:paraId="06D22A0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质量保证金的扣留采取以下第</w:t>
      </w:r>
      <w:r>
        <w:rPr>
          <w:rFonts w:hint="eastAsia" w:ascii="宋体" w:hAnsi="宋体" w:eastAsia="宋体" w:cs="楷体"/>
          <w:kern w:val="2"/>
          <w:sz w:val="24"/>
          <w:szCs w:val="24"/>
          <w:u w:val="single"/>
        </w:rPr>
        <w:t xml:space="preserve">  （2） </w:t>
      </w:r>
      <w:r>
        <w:rPr>
          <w:rFonts w:hint="eastAsia" w:ascii="宋体" w:hAnsi="宋体" w:eastAsia="宋体" w:cs="楷体"/>
          <w:kern w:val="2"/>
          <w:sz w:val="24"/>
          <w:szCs w:val="24"/>
        </w:rPr>
        <w:t>种方式：</w:t>
      </w:r>
    </w:p>
    <w:p w14:paraId="179C86F7">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（1）在支付工程进度款时逐次扣留，在此情形下，质量保证金的计算基数不包括预付款的支付、扣回以及价格调整的金额；</w:t>
      </w:r>
    </w:p>
    <w:p w14:paraId="37E9CADF">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（2）工程竣工结算时一次性扣留质量保证金；</w:t>
      </w:r>
    </w:p>
    <w:p w14:paraId="3A00785F">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（3）其他扣留方式:</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1D4709CE">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15.3.3 质量保证金返还约定办法</w:t>
      </w:r>
    </w:p>
    <w:p w14:paraId="5CCA609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关于质量保证金的补充约定：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72DE513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15.4</w:t>
      </w:r>
      <w:r>
        <w:rPr>
          <w:rFonts w:hint="eastAsia" w:ascii="宋体" w:hAnsi="宋体" w:eastAsia="宋体" w:cs="楷体"/>
          <w:kern w:val="2"/>
          <w:sz w:val="24"/>
          <w:szCs w:val="24"/>
        </w:rPr>
        <w:t>保修</w:t>
      </w:r>
    </w:p>
    <w:p w14:paraId="1C3A442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15.4.1 保修责任</w:t>
      </w:r>
    </w:p>
    <w:p w14:paraId="4CCE29D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工程保修期为：</w:t>
      </w:r>
      <w:r>
        <w:rPr>
          <w:rFonts w:hint="eastAsia" w:ascii="宋体" w:hAnsi="宋体" w:eastAsia="宋体" w:cs="楷体"/>
          <w:kern w:val="2"/>
          <w:sz w:val="24"/>
          <w:szCs w:val="24"/>
          <w:u w:val="single"/>
        </w:rPr>
        <w:t xml:space="preserve">       见工程质量保修书                               </w:t>
      </w:r>
      <w:r>
        <w:rPr>
          <w:rFonts w:hint="eastAsia" w:ascii="宋体" w:hAnsi="宋体" w:eastAsia="宋体" w:cs="楷体"/>
          <w:kern w:val="2"/>
          <w:sz w:val="24"/>
          <w:szCs w:val="24"/>
        </w:rPr>
        <w:t>。</w:t>
      </w:r>
    </w:p>
    <w:p w14:paraId="69D1597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15.4.3 修复通知</w:t>
      </w:r>
    </w:p>
    <w:p w14:paraId="0DC7D5EC">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承包人收到保修通知并到达工程现场的合理时间：</w:t>
      </w:r>
      <w:r>
        <w:rPr>
          <w:rFonts w:hint="eastAsia" w:ascii="宋体" w:hAnsi="宋体" w:eastAsia="宋体" w:cs="楷体"/>
          <w:kern w:val="2"/>
          <w:sz w:val="24"/>
          <w:szCs w:val="24"/>
          <w:u w:val="single"/>
        </w:rPr>
        <w:t xml:space="preserve"> 收到通知后24小时内     </w:t>
      </w:r>
      <w:r>
        <w:rPr>
          <w:rFonts w:hint="eastAsia" w:ascii="宋体" w:hAnsi="宋体" w:eastAsia="宋体" w:cs="楷体"/>
          <w:kern w:val="2"/>
          <w:sz w:val="24"/>
          <w:szCs w:val="24"/>
        </w:rPr>
        <w:t>。</w:t>
      </w:r>
    </w:p>
    <w:p w14:paraId="4A78E7B1">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1049" w:name="_Toc280868718"/>
      <w:bookmarkEnd w:id="1049"/>
      <w:bookmarkStart w:id="1050" w:name="_Toc280868717"/>
      <w:bookmarkEnd w:id="1050"/>
      <w:bookmarkStart w:id="1051" w:name="_Toc351203648"/>
      <w:bookmarkEnd w:id="1051"/>
      <w:r>
        <w:rPr>
          <w:rFonts w:hint="eastAsia" w:ascii="宋体" w:hAnsi="宋体" w:eastAsia="宋体" w:cs="楷体"/>
          <w:b/>
          <w:bCs/>
          <w:kern w:val="2"/>
          <w:sz w:val="24"/>
          <w:szCs w:val="24"/>
        </w:rPr>
        <w:t>16. 违约</w:t>
      </w:r>
    </w:p>
    <w:p w14:paraId="7DAE242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16.1</w:t>
      </w:r>
      <w:r>
        <w:rPr>
          <w:rFonts w:hint="eastAsia" w:ascii="宋体" w:hAnsi="宋体" w:eastAsia="宋体" w:cs="楷体"/>
          <w:kern w:val="2"/>
          <w:sz w:val="24"/>
          <w:szCs w:val="24"/>
        </w:rPr>
        <w:t xml:space="preserve"> 发包人违约</w:t>
      </w:r>
    </w:p>
    <w:p w14:paraId="645E5F7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16.1.1发包人违约的情形</w:t>
      </w:r>
    </w:p>
    <w:p w14:paraId="63C7398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发包人违约的其他情形：</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53448D2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16.1.2 发包人违约的责任</w:t>
      </w:r>
    </w:p>
    <w:p w14:paraId="5170D12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发包人违约责任的承担方式和计算方法：</w:t>
      </w:r>
    </w:p>
    <w:p w14:paraId="3DD9FE44">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（1）因发包人原因未能在计划开工日期前7天内下达开工通知的违约责任：</w:t>
      </w:r>
      <w:r>
        <w:rPr>
          <w:rFonts w:hint="eastAsia" w:ascii="宋体" w:hAnsi="宋体" w:eastAsia="宋体" w:cs="楷体"/>
          <w:kern w:val="2"/>
          <w:sz w:val="24"/>
          <w:szCs w:val="24"/>
          <w:u w:val="single"/>
        </w:rPr>
        <w:t xml:space="preserve">        顺延工期            </w:t>
      </w:r>
      <w:r>
        <w:rPr>
          <w:rFonts w:hint="eastAsia" w:ascii="宋体" w:hAnsi="宋体" w:eastAsia="宋体" w:cs="楷体"/>
          <w:kern w:val="2"/>
          <w:sz w:val="24"/>
          <w:szCs w:val="24"/>
        </w:rPr>
        <w:t>。</w:t>
      </w:r>
    </w:p>
    <w:p w14:paraId="25CED21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（2）因发包人原因未能按合同约定支付合同价款的违约责任：</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5FB3D040">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（3）发包人违反第10.1款〔变更的范围〕第（2）项约定，自行实施被取消的工作或转由他人实施的违约责任：。</w:t>
      </w:r>
    </w:p>
    <w:p w14:paraId="561C1C8E">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（4）发包人提供的材料、工程设备的规格、数量或质量不符合合同约定，或因发包人原因导致交货日期延误或交货地点变更等情况的违约责任：</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346729F8">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（5）因发包人违反合同约定造成暂停施工的违约责任：</w:t>
      </w:r>
      <w:r>
        <w:rPr>
          <w:rFonts w:hint="eastAsia" w:ascii="宋体" w:hAnsi="宋体" w:eastAsia="宋体" w:cs="楷体"/>
          <w:kern w:val="2"/>
          <w:sz w:val="24"/>
          <w:szCs w:val="24"/>
          <w:u w:val="single"/>
        </w:rPr>
        <w:t xml:space="preserve">  顺延工期     </w:t>
      </w:r>
      <w:r>
        <w:rPr>
          <w:rFonts w:hint="eastAsia" w:ascii="宋体" w:hAnsi="宋体" w:eastAsia="宋体" w:cs="楷体"/>
          <w:kern w:val="2"/>
          <w:sz w:val="24"/>
          <w:szCs w:val="24"/>
        </w:rPr>
        <w:t>。</w:t>
      </w:r>
    </w:p>
    <w:p w14:paraId="6B580B4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（6）发包人无正当理由没有在约定期限内发出复工指示，导致承包人无法复工的违约责任：</w:t>
      </w:r>
      <w:r>
        <w:rPr>
          <w:rFonts w:hint="eastAsia" w:ascii="宋体" w:hAnsi="宋体" w:eastAsia="宋体" w:cs="楷体"/>
          <w:kern w:val="2"/>
          <w:sz w:val="24"/>
          <w:szCs w:val="24"/>
          <w:u w:val="single"/>
        </w:rPr>
        <w:t xml:space="preserve">    顺延工期                 </w:t>
      </w:r>
      <w:r>
        <w:rPr>
          <w:rFonts w:hint="eastAsia" w:ascii="宋体" w:hAnsi="宋体" w:eastAsia="宋体" w:cs="楷体"/>
          <w:kern w:val="2"/>
          <w:sz w:val="24"/>
          <w:szCs w:val="24"/>
        </w:rPr>
        <w:t>。</w:t>
      </w:r>
    </w:p>
    <w:p w14:paraId="377FD31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（7）其他：</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7184B7C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16.1.3 因发包人违约解除合同</w:t>
      </w:r>
    </w:p>
    <w:p w14:paraId="4D5DF88A">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承包人按16.1.1项〔发包人违约的情形〕约定暂停施工满</w:t>
      </w:r>
      <w:r>
        <w:rPr>
          <w:rFonts w:hint="eastAsia" w:ascii="宋体" w:hAnsi="宋体" w:eastAsia="宋体" w:cs="楷体"/>
          <w:kern w:val="2"/>
          <w:sz w:val="24"/>
          <w:szCs w:val="24"/>
          <w:u w:val="single"/>
        </w:rPr>
        <w:t xml:space="preserve">  90  </w:t>
      </w:r>
      <w:r>
        <w:rPr>
          <w:rFonts w:hint="eastAsia" w:ascii="宋体" w:hAnsi="宋体" w:eastAsia="宋体" w:cs="楷体"/>
          <w:kern w:val="2"/>
          <w:sz w:val="24"/>
          <w:szCs w:val="24"/>
        </w:rPr>
        <w:t>天后发包人仍不纠正其违约行为并致使合同目的不能实现的，承包人有权解除合同。</w:t>
      </w:r>
    </w:p>
    <w:p w14:paraId="0AF29DC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16.2</w:t>
      </w:r>
      <w:r>
        <w:rPr>
          <w:rFonts w:hint="eastAsia" w:ascii="宋体" w:hAnsi="宋体" w:eastAsia="宋体" w:cs="楷体"/>
          <w:kern w:val="2"/>
          <w:sz w:val="24"/>
          <w:szCs w:val="24"/>
        </w:rPr>
        <w:t xml:space="preserve"> 承包人违约</w:t>
      </w:r>
    </w:p>
    <w:p w14:paraId="65F5265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16.2.1承包人违约的其他情形：</w:t>
      </w:r>
      <w:r>
        <w:rPr>
          <w:rFonts w:hint="eastAsia" w:ascii="宋体" w:hAnsi="宋体" w:eastAsia="宋体" w:cs="楷体"/>
          <w:kern w:val="2"/>
          <w:sz w:val="24"/>
          <w:szCs w:val="24"/>
          <w:u w:val="single"/>
        </w:rPr>
        <w:t>乙方不按协议意向约定履行协议意向义务，甲方有权终止协议意向并不予退还意向履约保证金</w:t>
      </w:r>
      <w:r>
        <w:rPr>
          <w:rFonts w:hint="eastAsia" w:ascii="宋体" w:hAnsi="宋体" w:eastAsia="宋体" w:cs="楷体"/>
          <w:kern w:val="2"/>
          <w:sz w:val="24"/>
          <w:szCs w:val="24"/>
        </w:rPr>
        <w:t>。</w:t>
      </w:r>
    </w:p>
    <w:p w14:paraId="387B622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 xml:space="preserve">16.2.2承包人违约的责任 </w:t>
      </w:r>
    </w:p>
    <w:p w14:paraId="1D0D949E">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承包人违约责任的承担方式和计算方法：</w:t>
      </w:r>
      <w:r>
        <w:rPr>
          <w:rFonts w:hint="eastAsia" w:ascii="宋体" w:hAnsi="宋体" w:eastAsia="宋体" w:cs="楷体"/>
          <w:kern w:val="2"/>
          <w:sz w:val="24"/>
          <w:szCs w:val="24"/>
          <w:u w:val="single"/>
        </w:rPr>
        <w:t xml:space="preserve"> 按总工期每延误一天违约金一万元，违约金总额不得超过总价款的1%</w:t>
      </w:r>
      <w:r>
        <w:rPr>
          <w:rFonts w:hint="eastAsia" w:ascii="宋体" w:hAnsi="宋体" w:eastAsia="宋体" w:cs="楷体"/>
          <w:kern w:val="2"/>
          <w:sz w:val="24"/>
          <w:szCs w:val="24"/>
        </w:rPr>
        <w:t>。</w:t>
      </w:r>
    </w:p>
    <w:p w14:paraId="2AF383B3">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16.2.3 因承包人违约解除合同</w:t>
      </w:r>
    </w:p>
    <w:p w14:paraId="793662C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关于承包人违约解除合同的特别约定：</w:t>
      </w:r>
      <w:r>
        <w:rPr>
          <w:rFonts w:hint="eastAsia" w:ascii="宋体" w:hAnsi="宋体" w:eastAsia="宋体" w:cs="楷体"/>
          <w:kern w:val="2"/>
          <w:sz w:val="24"/>
          <w:szCs w:val="24"/>
          <w:u w:val="single"/>
        </w:rPr>
        <w:t xml:space="preserve">  发包人在合同解除后按工程进度向承包人支付款项，同时扣除承包人的履约保证金  </w:t>
      </w:r>
      <w:r>
        <w:rPr>
          <w:rFonts w:hint="eastAsia" w:ascii="宋体" w:hAnsi="宋体" w:eastAsia="宋体" w:cs="楷体"/>
          <w:kern w:val="2"/>
          <w:sz w:val="24"/>
          <w:szCs w:val="24"/>
        </w:rPr>
        <w:t>。</w:t>
      </w:r>
    </w:p>
    <w:p w14:paraId="6E3D7BB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发包人继续使用承包人在施工现场的材料、设备、临时工程、承包人文件和由承包人或以其名义编制的其他文件的费用承担方式：</w:t>
      </w:r>
      <w:r>
        <w:rPr>
          <w:rFonts w:hint="eastAsia" w:ascii="宋体" w:hAnsi="宋体" w:eastAsia="宋体" w:cs="楷体"/>
          <w:kern w:val="2"/>
          <w:sz w:val="24"/>
          <w:szCs w:val="24"/>
          <w:u w:val="single"/>
        </w:rPr>
        <w:t xml:space="preserve">  承包人承担  </w:t>
      </w:r>
      <w:r>
        <w:rPr>
          <w:rFonts w:hint="eastAsia" w:ascii="宋体" w:hAnsi="宋体" w:eastAsia="宋体" w:cs="楷体"/>
          <w:kern w:val="2"/>
          <w:sz w:val="24"/>
          <w:szCs w:val="24"/>
        </w:rPr>
        <w:t>。</w:t>
      </w:r>
    </w:p>
    <w:p w14:paraId="3357D9C1">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1052" w:name="_Toc351203649"/>
      <w:bookmarkEnd w:id="1052"/>
      <w:r>
        <w:rPr>
          <w:rFonts w:hint="eastAsia" w:ascii="宋体" w:hAnsi="宋体" w:eastAsia="宋体" w:cs="楷体"/>
          <w:b/>
          <w:bCs/>
          <w:kern w:val="2"/>
          <w:sz w:val="24"/>
          <w:szCs w:val="24"/>
        </w:rPr>
        <w:t xml:space="preserve">17. 不可抗力 </w:t>
      </w:r>
    </w:p>
    <w:p w14:paraId="2E29C64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17.1</w:t>
      </w:r>
      <w:r>
        <w:rPr>
          <w:rFonts w:hint="eastAsia" w:ascii="宋体" w:hAnsi="宋体" w:eastAsia="宋体" w:cs="楷体"/>
          <w:kern w:val="2"/>
          <w:sz w:val="24"/>
          <w:szCs w:val="24"/>
        </w:rPr>
        <w:t xml:space="preserve"> 不可抗力的确认</w:t>
      </w:r>
    </w:p>
    <w:p w14:paraId="63159A32">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除通用合同条款约定的不可抗力事件之外，视为不可抗力的其他情形：</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3B284BD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17.4</w:t>
      </w:r>
      <w:r>
        <w:rPr>
          <w:rFonts w:hint="eastAsia" w:ascii="宋体" w:hAnsi="宋体" w:eastAsia="宋体" w:cs="楷体"/>
          <w:kern w:val="2"/>
          <w:sz w:val="24"/>
          <w:szCs w:val="24"/>
        </w:rPr>
        <w:t xml:space="preserve"> 因不可抗力解除合同</w:t>
      </w:r>
    </w:p>
    <w:p w14:paraId="21DAA66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合同解除后，发包人应在商定或确定发包人应支付款项后</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天内完成款项的支付。</w:t>
      </w:r>
    </w:p>
    <w:p w14:paraId="1374D00F">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1053" w:name="_Toc351203650"/>
      <w:bookmarkEnd w:id="1053"/>
      <w:r>
        <w:rPr>
          <w:rFonts w:hint="eastAsia" w:ascii="宋体" w:hAnsi="宋体" w:eastAsia="宋体" w:cs="楷体"/>
          <w:b/>
          <w:bCs/>
          <w:kern w:val="2"/>
          <w:sz w:val="24"/>
          <w:szCs w:val="24"/>
        </w:rPr>
        <w:t>18. 保险</w:t>
      </w:r>
    </w:p>
    <w:p w14:paraId="77EA4ECA">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18.1</w:t>
      </w:r>
      <w:r>
        <w:rPr>
          <w:rFonts w:hint="eastAsia" w:ascii="宋体" w:hAnsi="宋体" w:eastAsia="宋体" w:cs="楷体"/>
          <w:kern w:val="2"/>
          <w:sz w:val="24"/>
          <w:szCs w:val="24"/>
        </w:rPr>
        <w:t xml:space="preserve"> 工程保险</w:t>
      </w:r>
    </w:p>
    <w:p w14:paraId="62D95817">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关于工程保险的特别约定：</w:t>
      </w:r>
      <w:r>
        <w:rPr>
          <w:rFonts w:hint="eastAsia" w:ascii="宋体" w:hAnsi="宋体" w:eastAsia="宋体" w:cs="楷体"/>
          <w:kern w:val="2"/>
          <w:sz w:val="24"/>
          <w:szCs w:val="24"/>
          <w:u w:val="single"/>
        </w:rPr>
        <w:t xml:space="preserve">        无                          </w:t>
      </w:r>
      <w:r>
        <w:rPr>
          <w:rFonts w:hint="eastAsia" w:ascii="宋体" w:hAnsi="宋体" w:eastAsia="宋体" w:cs="楷体"/>
          <w:kern w:val="2"/>
          <w:sz w:val="24"/>
          <w:szCs w:val="24"/>
        </w:rPr>
        <w:t>。</w:t>
      </w:r>
    </w:p>
    <w:p w14:paraId="23D5EAAB">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18.3</w:t>
      </w:r>
      <w:r>
        <w:rPr>
          <w:rFonts w:hint="eastAsia" w:ascii="宋体" w:hAnsi="宋体" w:eastAsia="宋体" w:cs="楷体"/>
          <w:kern w:val="2"/>
          <w:sz w:val="24"/>
          <w:szCs w:val="24"/>
        </w:rPr>
        <w:t xml:space="preserve"> 其他保险</w:t>
      </w:r>
    </w:p>
    <w:p w14:paraId="32788BF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关于其他保险的约定：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0D2FE4C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承包人是否应为其施工设备等办理财产保险：</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4406B3D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18.7</w:t>
      </w:r>
      <w:r>
        <w:rPr>
          <w:rFonts w:hint="eastAsia" w:ascii="宋体" w:hAnsi="宋体" w:eastAsia="宋体" w:cs="楷体"/>
          <w:kern w:val="2"/>
          <w:sz w:val="24"/>
          <w:szCs w:val="24"/>
        </w:rPr>
        <w:t xml:space="preserve"> 通知义务</w:t>
      </w:r>
    </w:p>
    <w:p w14:paraId="515C6C5F">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关于变更保险合同时的通知义务的约定：</w:t>
      </w:r>
      <w:r>
        <w:rPr>
          <w:rFonts w:hint="eastAsia" w:ascii="宋体" w:hAnsi="宋体" w:eastAsia="宋体" w:cs="楷体"/>
          <w:kern w:val="2"/>
          <w:sz w:val="24"/>
          <w:szCs w:val="24"/>
          <w:u w:val="single"/>
        </w:rPr>
        <w:t xml:space="preserve">      按通用条款执行             </w:t>
      </w:r>
      <w:r>
        <w:rPr>
          <w:rFonts w:hint="eastAsia" w:ascii="宋体" w:hAnsi="宋体" w:eastAsia="宋体" w:cs="楷体"/>
          <w:kern w:val="2"/>
          <w:sz w:val="24"/>
          <w:szCs w:val="24"/>
        </w:rPr>
        <w:t>。</w:t>
      </w:r>
    </w:p>
    <w:p w14:paraId="4BE115BE">
      <w:pPr>
        <w:keepNext/>
        <w:widowControl w:val="0"/>
        <w:wordWrap w:val="0"/>
        <w:adjustRightInd/>
        <w:snapToGrid/>
        <w:spacing w:after="0" w:line="480" w:lineRule="exact"/>
        <w:jc w:val="both"/>
        <w:outlineLvl w:val="9"/>
        <w:rPr>
          <w:rFonts w:ascii="宋体" w:hAnsi="宋体" w:eastAsia="宋体" w:cs="楷体"/>
          <w:b/>
          <w:bCs/>
          <w:kern w:val="2"/>
          <w:sz w:val="24"/>
          <w:szCs w:val="24"/>
        </w:rPr>
      </w:pPr>
      <w:bookmarkStart w:id="1054" w:name="_Toc351203651"/>
      <w:bookmarkEnd w:id="1054"/>
      <w:r>
        <w:rPr>
          <w:rFonts w:hint="eastAsia" w:ascii="宋体" w:hAnsi="宋体" w:eastAsia="宋体" w:cs="楷体"/>
          <w:b/>
          <w:bCs/>
          <w:kern w:val="2"/>
          <w:sz w:val="24"/>
          <w:szCs w:val="24"/>
        </w:rPr>
        <w:t>20. 争议解决</w:t>
      </w:r>
    </w:p>
    <w:p w14:paraId="6B1D13D4">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20.3</w:t>
      </w:r>
      <w:r>
        <w:rPr>
          <w:rFonts w:hint="eastAsia" w:ascii="宋体" w:hAnsi="宋体" w:eastAsia="宋体" w:cs="楷体"/>
          <w:kern w:val="2"/>
          <w:sz w:val="24"/>
          <w:szCs w:val="24"/>
        </w:rPr>
        <w:t xml:space="preserve"> 争议评审</w:t>
      </w:r>
    </w:p>
    <w:p w14:paraId="38E628E2">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合同当事人是否同意将工程争议提交争议评审小组决定：。</w:t>
      </w:r>
    </w:p>
    <w:p w14:paraId="1507EEE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20.3.1 争议评审小组的确定</w:t>
      </w:r>
    </w:p>
    <w:p w14:paraId="61F45581">
      <w:pPr>
        <w:widowControl w:val="0"/>
        <w:wordWrap w:val="0"/>
        <w:adjustRightInd/>
        <w:snapToGrid/>
        <w:spacing w:after="0" w:line="480" w:lineRule="exact"/>
        <w:jc w:val="both"/>
        <w:outlineLvl w:val="9"/>
        <w:rPr>
          <w:rFonts w:ascii="宋体" w:hAnsi="宋体" w:eastAsia="宋体" w:cs="楷体"/>
          <w:kern w:val="2"/>
          <w:sz w:val="24"/>
          <w:szCs w:val="24"/>
          <w:u w:val="single"/>
        </w:rPr>
      </w:pPr>
      <w:r>
        <w:rPr>
          <w:rFonts w:hint="eastAsia" w:ascii="宋体" w:hAnsi="宋体" w:eastAsia="宋体" w:cs="楷体"/>
          <w:kern w:val="2"/>
          <w:sz w:val="24"/>
          <w:szCs w:val="24"/>
        </w:rPr>
        <w:t>争议评审小组成员的确定：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7ED51F55">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选定争议评审员的期限：</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53401EE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争议评审小组成员的报酬承担方式：</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147B89DD">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其他事项的约定：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420EDE4C">
      <w:pPr>
        <w:widowControl w:val="0"/>
        <w:wordWrap w:val="0"/>
        <w:autoSpaceDE w:val="0"/>
        <w:autoSpaceDN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20.3.2 争议评审小组的决定</w:t>
      </w:r>
    </w:p>
    <w:p w14:paraId="2CCFE049">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合同当事人关于本项的约定：</w:t>
      </w:r>
      <w:r>
        <w:rPr>
          <w:rFonts w:hint="eastAsia" w:ascii="宋体" w:hAnsi="宋体" w:eastAsia="宋体" w:cs="楷体"/>
          <w:kern w:val="2"/>
          <w:sz w:val="24"/>
          <w:szCs w:val="24"/>
          <w:u w:val="single"/>
        </w:rPr>
        <w:t xml:space="preserve">                    /       </w:t>
      </w:r>
      <w:r>
        <w:rPr>
          <w:rFonts w:hint="eastAsia" w:ascii="宋体" w:hAnsi="宋体" w:eastAsia="宋体" w:cs="楷体"/>
          <w:kern w:val="2"/>
          <w:sz w:val="24"/>
          <w:szCs w:val="24"/>
        </w:rPr>
        <w:t>。</w:t>
      </w:r>
    </w:p>
    <w:p w14:paraId="2F8AE6E6">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b/>
          <w:bCs/>
          <w:kern w:val="2"/>
          <w:sz w:val="24"/>
          <w:szCs w:val="24"/>
        </w:rPr>
        <w:t>20.4</w:t>
      </w:r>
      <w:r>
        <w:rPr>
          <w:rFonts w:hint="eastAsia" w:ascii="宋体" w:hAnsi="宋体" w:eastAsia="宋体" w:cs="楷体"/>
          <w:kern w:val="2"/>
          <w:sz w:val="24"/>
          <w:szCs w:val="24"/>
        </w:rPr>
        <w:t>仲裁或诉讼</w:t>
      </w:r>
    </w:p>
    <w:p w14:paraId="00539531">
      <w:pPr>
        <w:widowControl w:val="0"/>
        <w:wordWrap w:val="0"/>
        <w:adjustRightInd/>
        <w:snapToGrid/>
        <w:spacing w:after="0" w:line="480" w:lineRule="exact"/>
        <w:jc w:val="both"/>
        <w:outlineLvl w:val="9"/>
        <w:rPr>
          <w:rFonts w:ascii="宋体" w:hAnsi="宋体" w:eastAsia="宋体" w:cs="楷体"/>
          <w:kern w:val="2"/>
          <w:sz w:val="24"/>
          <w:szCs w:val="24"/>
        </w:rPr>
      </w:pPr>
      <w:r>
        <w:rPr>
          <w:rFonts w:hint="eastAsia" w:ascii="宋体" w:hAnsi="宋体" w:eastAsia="宋体" w:cs="楷体"/>
          <w:kern w:val="2"/>
          <w:sz w:val="24"/>
          <w:szCs w:val="24"/>
        </w:rPr>
        <w:t>因合同及合同有关事项发生的争议，向仲裁委员会申请仲裁；</w:t>
      </w:r>
    </w:p>
    <w:bookmarkEnd w:id="508"/>
    <w:p w14:paraId="19A77D3D">
      <w:pPr>
        <w:outlineLvl w:val="9"/>
        <w:rPr>
          <w:rFonts w:asciiTheme="minorEastAsia" w:hAnsiTheme="minorEastAsia" w:eastAsiaTheme="minorEastAsia"/>
          <w:b/>
          <w:sz w:val="32"/>
          <w:szCs w:val="32"/>
        </w:rPr>
      </w:pPr>
      <w:r>
        <w:rPr>
          <w:rFonts w:asciiTheme="minorEastAsia" w:hAnsiTheme="minorEastAsia" w:eastAsiaTheme="minorEastAsia"/>
          <w:b/>
          <w:sz w:val="32"/>
          <w:szCs w:val="32"/>
        </w:rPr>
        <w:br w:type="page"/>
      </w:r>
    </w:p>
    <w:p w14:paraId="24CCD98B">
      <w:pPr>
        <w:spacing w:line="400" w:lineRule="exact"/>
        <w:ind w:left="560"/>
        <w:jc w:val="center"/>
        <w:outlineLvl w:val="0"/>
        <w:rPr>
          <w:rFonts w:asciiTheme="minorEastAsia" w:hAnsiTheme="minorEastAsia" w:eastAsiaTheme="minorEastAsia"/>
          <w:b/>
          <w:sz w:val="32"/>
          <w:szCs w:val="32"/>
        </w:rPr>
      </w:pPr>
      <w:bookmarkStart w:id="1055" w:name="_Toc27247"/>
      <w:r>
        <w:rPr>
          <w:rFonts w:asciiTheme="minorEastAsia" w:hAnsiTheme="minorEastAsia" w:eastAsiaTheme="minorEastAsia"/>
          <w:b/>
          <w:bCs/>
          <w:sz w:val="36"/>
          <w:szCs w:val="36"/>
        </w:rPr>
        <w:t>第</w:t>
      </w:r>
      <w:r>
        <w:rPr>
          <w:rFonts w:hint="eastAsia" w:asciiTheme="minorEastAsia" w:hAnsiTheme="minorEastAsia" w:eastAsiaTheme="minorEastAsia"/>
          <w:b/>
          <w:bCs/>
          <w:sz w:val="36"/>
          <w:szCs w:val="36"/>
        </w:rPr>
        <w:t>五</w:t>
      </w:r>
      <w:r>
        <w:rPr>
          <w:rFonts w:asciiTheme="minorEastAsia" w:hAnsiTheme="minorEastAsia" w:eastAsiaTheme="minorEastAsia"/>
          <w:b/>
          <w:bCs/>
          <w:sz w:val="36"/>
          <w:szCs w:val="36"/>
        </w:rPr>
        <w:t>章</w:t>
      </w:r>
      <w:r>
        <w:rPr>
          <w:rFonts w:hint="eastAsia" w:asciiTheme="minorEastAsia" w:hAnsiTheme="minorEastAsia" w:eastAsiaTheme="minorEastAsia"/>
          <w:b/>
          <w:bCs/>
          <w:color w:val="auto"/>
          <w:kern w:val="36"/>
          <w:sz w:val="36"/>
          <w:szCs w:val="36"/>
          <w:lang w:val="en-US" w:eastAsia="zh-CN"/>
        </w:rPr>
        <w:t xml:space="preserve">  </w:t>
      </w:r>
      <w:r>
        <w:rPr>
          <w:rFonts w:hint="eastAsia" w:asciiTheme="minorEastAsia" w:hAnsiTheme="minorEastAsia" w:eastAsiaTheme="minorEastAsia"/>
          <w:b/>
          <w:bCs/>
          <w:sz w:val="36"/>
          <w:szCs w:val="36"/>
        </w:rPr>
        <w:t>工程量清单（另附）</w:t>
      </w:r>
      <w:bookmarkEnd w:id="1055"/>
    </w:p>
    <w:p w14:paraId="21A77204">
      <w:pPr>
        <w:spacing w:line="400" w:lineRule="exact"/>
        <w:ind w:left="560"/>
        <w:jc w:val="center"/>
        <w:outlineLvl w:val="9"/>
        <w:rPr>
          <w:rFonts w:asciiTheme="minorEastAsia" w:hAnsiTheme="minorEastAsia" w:eastAsiaTheme="minorEastAsia"/>
          <w:b/>
          <w:sz w:val="32"/>
          <w:szCs w:val="32"/>
        </w:rPr>
      </w:pPr>
    </w:p>
    <w:p w14:paraId="340B48FE">
      <w:pPr>
        <w:spacing w:line="400" w:lineRule="exact"/>
        <w:ind w:left="560"/>
        <w:jc w:val="center"/>
        <w:outlineLvl w:val="9"/>
        <w:rPr>
          <w:rFonts w:asciiTheme="minorEastAsia" w:hAnsiTheme="minorEastAsia" w:eastAsiaTheme="minorEastAsia"/>
          <w:b/>
          <w:sz w:val="32"/>
          <w:szCs w:val="32"/>
        </w:rPr>
      </w:pPr>
    </w:p>
    <w:p w14:paraId="4AC625A2">
      <w:pPr>
        <w:spacing w:line="400" w:lineRule="exact"/>
        <w:ind w:left="560"/>
        <w:jc w:val="center"/>
        <w:outlineLvl w:val="9"/>
        <w:rPr>
          <w:rFonts w:asciiTheme="minorEastAsia" w:hAnsiTheme="minorEastAsia" w:eastAsiaTheme="minorEastAsia"/>
          <w:b/>
          <w:sz w:val="32"/>
          <w:szCs w:val="32"/>
        </w:rPr>
      </w:pPr>
    </w:p>
    <w:p w14:paraId="721EAF16">
      <w:pPr>
        <w:spacing w:line="400" w:lineRule="exact"/>
        <w:ind w:left="560"/>
        <w:jc w:val="center"/>
        <w:outlineLvl w:val="9"/>
        <w:rPr>
          <w:rFonts w:asciiTheme="minorEastAsia" w:hAnsiTheme="minorEastAsia" w:eastAsiaTheme="minorEastAsia"/>
          <w:b/>
          <w:sz w:val="32"/>
          <w:szCs w:val="32"/>
        </w:rPr>
      </w:pPr>
    </w:p>
    <w:p w14:paraId="57B11DC4">
      <w:pPr>
        <w:spacing w:line="400" w:lineRule="exact"/>
        <w:ind w:left="560"/>
        <w:jc w:val="center"/>
        <w:outlineLvl w:val="9"/>
        <w:rPr>
          <w:rFonts w:asciiTheme="minorEastAsia" w:hAnsiTheme="minorEastAsia" w:eastAsiaTheme="minorEastAsia"/>
          <w:b/>
          <w:sz w:val="32"/>
          <w:szCs w:val="32"/>
        </w:rPr>
      </w:pPr>
    </w:p>
    <w:p w14:paraId="34063669">
      <w:pPr>
        <w:spacing w:line="400" w:lineRule="exact"/>
        <w:ind w:left="560"/>
        <w:jc w:val="center"/>
        <w:outlineLvl w:val="9"/>
        <w:rPr>
          <w:rFonts w:asciiTheme="minorEastAsia" w:hAnsiTheme="minorEastAsia" w:eastAsiaTheme="minorEastAsia"/>
          <w:b/>
          <w:sz w:val="32"/>
          <w:szCs w:val="32"/>
        </w:rPr>
      </w:pPr>
    </w:p>
    <w:p w14:paraId="2C942C5D">
      <w:pPr>
        <w:spacing w:line="400" w:lineRule="exact"/>
        <w:ind w:left="560"/>
        <w:jc w:val="center"/>
        <w:outlineLvl w:val="9"/>
        <w:rPr>
          <w:rFonts w:asciiTheme="minorEastAsia" w:hAnsiTheme="minorEastAsia" w:eastAsiaTheme="minorEastAsia"/>
          <w:b/>
          <w:sz w:val="32"/>
          <w:szCs w:val="32"/>
        </w:rPr>
      </w:pPr>
    </w:p>
    <w:p w14:paraId="041499B9">
      <w:pPr>
        <w:spacing w:line="400" w:lineRule="exact"/>
        <w:ind w:left="560"/>
        <w:jc w:val="center"/>
        <w:outlineLvl w:val="9"/>
        <w:rPr>
          <w:rFonts w:asciiTheme="minorEastAsia" w:hAnsiTheme="minorEastAsia" w:eastAsiaTheme="minorEastAsia"/>
          <w:b/>
          <w:sz w:val="32"/>
          <w:szCs w:val="32"/>
        </w:rPr>
      </w:pPr>
    </w:p>
    <w:p w14:paraId="35C00FAB">
      <w:pPr>
        <w:spacing w:line="400" w:lineRule="exact"/>
        <w:ind w:left="560"/>
        <w:jc w:val="center"/>
        <w:outlineLvl w:val="9"/>
        <w:rPr>
          <w:rFonts w:asciiTheme="minorEastAsia" w:hAnsiTheme="minorEastAsia" w:eastAsiaTheme="minorEastAsia"/>
          <w:b/>
          <w:sz w:val="32"/>
          <w:szCs w:val="32"/>
        </w:rPr>
      </w:pPr>
    </w:p>
    <w:p w14:paraId="0FB133F5">
      <w:pPr>
        <w:spacing w:line="400" w:lineRule="exact"/>
        <w:ind w:left="560"/>
        <w:jc w:val="center"/>
        <w:outlineLvl w:val="9"/>
        <w:rPr>
          <w:rFonts w:asciiTheme="minorEastAsia" w:hAnsiTheme="minorEastAsia" w:eastAsiaTheme="minorEastAsia"/>
          <w:b/>
          <w:sz w:val="32"/>
          <w:szCs w:val="32"/>
        </w:rPr>
      </w:pPr>
    </w:p>
    <w:p w14:paraId="6C42B13B">
      <w:pPr>
        <w:spacing w:line="400" w:lineRule="exact"/>
        <w:ind w:left="560"/>
        <w:jc w:val="center"/>
        <w:outlineLvl w:val="9"/>
        <w:rPr>
          <w:rFonts w:asciiTheme="minorEastAsia" w:hAnsiTheme="minorEastAsia" w:eastAsiaTheme="minorEastAsia"/>
          <w:b/>
          <w:sz w:val="32"/>
          <w:szCs w:val="32"/>
        </w:rPr>
      </w:pPr>
    </w:p>
    <w:p w14:paraId="3179113E">
      <w:pPr>
        <w:spacing w:line="400" w:lineRule="exact"/>
        <w:ind w:left="560"/>
        <w:jc w:val="center"/>
        <w:outlineLvl w:val="9"/>
        <w:rPr>
          <w:rFonts w:asciiTheme="minorEastAsia" w:hAnsiTheme="minorEastAsia" w:eastAsiaTheme="minorEastAsia"/>
          <w:b/>
          <w:sz w:val="32"/>
          <w:szCs w:val="32"/>
        </w:rPr>
      </w:pPr>
    </w:p>
    <w:p w14:paraId="5E4FEC22">
      <w:pPr>
        <w:spacing w:line="400" w:lineRule="exact"/>
        <w:ind w:left="560"/>
        <w:jc w:val="center"/>
        <w:outlineLvl w:val="9"/>
        <w:rPr>
          <w:rFonts w:asciiTheme="minorEastAsia" w:hAnsiTheme="minorEastAsia" w:eastAsiaTheme="minorEastAsia"/>
          <w:b/>
          <w:sz w:val="32"/>
          <w:szCs w:val="32"/>
        </w:rPr>
      </w:pPr>
    </w:p>
    <w:p w14:paraId="1920E4FF">
      <w:pPr>
        <w:spacing w:line="400" w:lineRule="exact"/>
        <w:ind w:left="560"/>
        <w:jc w:val="center"/>
        <w:outlineLvl w:val="9"/>
        <w:rPr>
          <w:rFonts w:asciiTheme="minorEastAsia" w:hAnsiTheme="minorEastAsia" w:eastAsiaTheme="minorEastAsia"/>
          <w:b/>
          <w:sz w:val="32"/>
          <w:szCs w:val="32"/>
        </w:rPr>
      </w:pPr>
    </w:p>
    <w:p w14:paraId="34E5C95E">
      <w:pPr>
        <w:spacing w:line="400" w:lineRule="exact"/>
        <w:ind w:left="560"/>
        <w:jc w:val="center"/>
        <w:outlineLvl w:val="9"/>
        <w:rPr>
          <w:rFonts w:asciiTheme="minorEastAsia" w:hAnsiTheme="minorEastAsia" w:eastAsiaTheme="minorEastAsia"/>
          <w:b/>
          <w:sz w:val="32"/>
          <w:szCs w:val="32"/>
        </w:rPr>
      </w:pPr>
    </w:p>
    <w:p w14:paraId="66BAE1F3">
      <w:pPr>
        <w:spacing w:line="400" w:lineRule="exact"/>
        <w:ind w:left="560"/>
        <w:jc w:val="center"/>
        <w:outlineLvl w:val="9"/>
        <w:rPr>
          <w:rFonts w:asciiTheme="minorEastAsia" w:hAnsiTheme="minorEastAsia" w:eastAsiaTheme="minorEastAsia"/>
          <w:b/>
          <w:sz w:val="32"/>
          <w:szCs w:val="32"/>
        </w:rPr>
      </w:pPr>
    </w:p>
    <w:p w14:paraId="45AE488F">
      <w:pPr>
        <w:spacing w:line="400" w:lineRule="exact"/>
        <w:ind w:left="560"/>
        <w:jc w:val="center"/>
        <w:outlineLvl w:val="9"/>
        <w:rPr>
          <w:rFonts w:asciiTheme="minorEastAsia" w:hAnsiTheme="minorEastAsia" w:eastAsiaTheme="minorEastAsia"/>
          <w:b/>
          <w:sz w:val="32"/>
          <w:szCs w:val="32"/>
        </w:rPr>
      </w:pPr>
    </w:p>
    <w:p w14:paraId="21144B3A">
      <w:pPr>
        <w:spacing w:line="400" w:lineRule="exact"/>
        <w:ind w:left="560"/>
        <w:jc w:val="center"/>
        <w:outlineLvl w:val="9"/>
        <w:rPr>
          <w:rFonts w:asciiTheme="minorEastAsia" w:hAnsiTheme="minorEastAsia" w:eastAsiaTheme="minorEastAsia"/>
          <w:b/>
          <w:sz w:val="32"/>
          <w:szCs w:val="32"/>
        </w:rPr>
      </w:pPr>
    </w:p>
    <w:p w14:paraId="4D919B11">
      <w:pPr>
        <w:spacing w:line="400" w:lineRule="exact"/>
        <w:ind w:left="560"/>
        <w:jc w:val="center"/>
        <w:outlineLvl w:val="9"/>
        <w:rPr>
          <w:rFonts w:asciiTheme="minorEastAsia" w:hAnsiTheme="minorEastAsia" w:eastAsiaTheme="minorEastAsia"/>
          <w:b/>
          <w:sz w:val="32"/>
          <w:szCs w:val="32"/>
        </w:rPr>
      </w:pPr>
    </w:p>
    <w:p w14:paraId="72623373">
      <w:pPr>
        <w:spacing w:line="400" w:lineRule="exact"/>
        <w:ind w:left="560"/>
        <w:jc w:val="center"/>
        <w:outlineLvl w:val="9"/>
        <w:rPr>
          <w:rFonts w:asciiTheme="minorEastAsia" w:hAnsiTheme="minorEastAsia" w:eastAsiaTheme="minorEastAsia"/>
          <w:b/>
          <w:sz w:val="32"/>
          <w:szCs w:val="32"/>
        </w:rPr>
      </w:pPr>
    </w:p>
    <w:p w14:paraId="4C07C170">
      <w:pPr>
        <w:spacing w:line="400" w:lineRule="exact"/>
        <w:ind w:left="560"/>
        <w:jc w:val="center"/>
        <w:outlineLvl w:val="9"/>
        <w:rPr>
          <w:rFonts w:asciiTheme="minorEastAsia" w:hAnsiTheme="minorEastAsia" w:eastAsiaTheme="minorEastAsia"/>
          <w:b/>
          <w:sz w:val="32"/>
          <w:szCs w:val="32"/>
        </w:rPr>
      </w:pPr>
    </w:p>
    <w:p w14:paraId="06B6CB5E">
      <w:pPr>
        <w:spacing w:line="400" w:lineRule="exact"/>
        <w:ind w:left="560"/>
        <w:jc w:val="center"/>
        <w:outlineLvl w:val="9"/>
        <w:rPr>
          <w:rFonts w:asciiTheme="minorEastAsia" w:hAnsiTheme="minorEastAsia" w:eastAsiaTheme="minorEastAsia"/>
          <w:b/>
          <w:sz w:val="32"/>
          <w:szCs w:val="32"/>
        </w:rPr>
      </w:pPr>
    </w:p>
    <w:p w14:paraId="065EEBE5">
      <w:pPr>
        <w:spacing w:line="400" w:lineRule="exact"/>
        <w:ind w:left="560"/>
        <w:jc w:val="center"/>
        <w:outlineLvl w:val="0"/>
        <w:rPr>
          <w:rFonts w:asciiTheme="minorEastAsia" w:hAnsiTheme="minorEastAsia" w:eastAsiaTheme="minorEastAsia"/>
          <w:b/>
          <w:sz w:val="32"/>
          <w:szCs w:val="32"/>
        </w:rPr>
      </w:pPr>
      <w:bookmarkStart w:id="1056" w:name="_Toc9338"/>
      <w:r>
        <w:rPr>
          <w:rFonts w:asciiTheme="minorEastAsia" w:hAnsiTheme="minorEastAsia" w:eastAsiaTheme="minorEastAsia"/>
          <w:b/>
          <w:bCs/>
          <w:sz w:val="36"/>
          <w:szCs w:val="36"/>
        </w:rPr>
        <w:t>第</w:t>
      </w:r>
      <w:r>
        <w:rPr>
          <w:rFonts w:hint="eastAsia" w:asciiTheme="minorEastAsia" w:hAnsiTheme="minorEastAsia" w:eastAsiaTheme="minorEastAsia"/>
          <w:b/>
          <w:bCs/>
          <w:sz w:val="36"/>
          <w:szCs w:val="36"/>
        </w:rPr>
        <w:t>六</w:t>
      </w:r>
      <w:r>
        <w:rPr>
          <w:rFonts w:asciiTheme="minorEastAsia" w:hAnsiTheme="minorEastAsia" w:eastAsiaTheme="minorEastAsia"/>
          <w:b/>
          <w:bCs/>
          <w:sz w:val="36"/>
          <w:szCs w:val="36"/>
        </w:rPr>
        <w:t>章</w:t>
      </w:r>
      <w:r>
        <w:rPr>
          <w:rFonts w:hint="eastAsia" w:asciiTheme="minorEastAsia" w:hAnsiTheme="minorEastAsia" w:eastAsiaTheme="minorEastAsia"/>
          <w:b/>
          <w:bCs/>
          <w:color w:val="auto"/>
          <w:kern w:val="36"/>
          <w:sz w:val="36"/>
          <w:szCs w:val="36"/>
          <w:lang w:val="en-US" w:eastAsia="zh-CN"/>
        </w:rPr>
        <w:t xml:space="preserve">  </w:t>
      </w:r>
      <w:r>
        <w:rPr>
          <w:rFonts w:hint="eastAsia" w:asciiTheme="minorEastAsia" w:hAnsiTheme="minorEastAsia" w:eastAsiaTheme="minorEastAsia"/>
          <w:b/>
          <w:bCs/>
          <w:sz w:val="36"/>
          <w:szCs w:val="36"/>
        </w:rPr>
        <w:t>图纸（另附）</w:t>
      </w:r>
      <w:bookmarkEnd w:id="1056"/>
    </w:p>
    <w:p w14:paraId="44E59379">
      <w:pPr>
        <w:spacing w:line="400" w:lineRule="exact"/>
        <w:ind w:left="560"/>
        <w:jc w:val="center"/>
        <w:outlineLvl w:val="9"/>
        <w:rPr>
          <w:rFonts w:asciiTheme="minorEastAsia" w:hAnsiTheme="minorEastAsia" w:eastAsiaTheme="minorEastAsia"/>
          <w:b/>
          <w:sz w:val="32"/>
          <w:szCs w:val="32"/>
        </w:rPr>
      </w:pPr>
    </w:p>
    <w:p w14:paraId="2CEB4FAE">
      <w:pPr>
        <w:adjustRightInd/>
        <w:snapToGrid/>
        <w:spacing w:after="0"/>
        <w:outlineLvl w:val="9"/>
        <w:rPr>
          <w:rFonts w:asciiTheme="minorEastAsia" w:hAnsiTheme="minorEastAsia" w:eastAsiaTheme="minorEastAsia"/>
          <w:b/>
          <w:sz w:val="32"/>
          <w:szCs w:val="32"/>
        </w:rPr>
      </w:pPr>
      <w:r>
        <w:rPr>
          <w:rFonts w:asciiTheme="minorEastAsia" w:hAnsiTheme="minorEastAsia" w:eastAsiaTheme="minorEastAsia"/>
          <w:b/>
          <w:sz w:val="32"/>
          <w:szCs w:val="32"/>
        </w:rPr>
        <w:br w:type="page"/>
      </w:r>
    </w:p>
    <w:p w14:paraId="469BC5C4">
      <w:pPr>
        <w:spacing w:line="400" w:lineRule="exact"/>
        <w:ind w:left="560"/>
        <w:jc w:val="center"/>
        <w:outlineLvl w:val="0"/>
        <w:rPr>
          <w:rFonts w:asciiTheme="minorEastAsia" w:hAnsiTheme="minorEastAsia" w:eastAsiaTheme="minorEastAsia"/>
          <w:b/>
          <w:sz w:val="32"/>
          <w:szCs w:val="32"/>
        </w:rPr>
      </w:pPr>
      <w:bookmarkStart w:id="1057" w:name="_Toc31089"/>
      <w:r>
        <w:rPr>
          <w:rFonts w:asciiTheme="minorEastAsia" w:hAnsiTheme="minorEastAsia" w:eastAsiaTheme="minorEastAsia"/>
          <w:b/>
          <w:bCs/>
          <w:sz w:val="36"/>
          <w:szCs w:val="36"/>
        </w:rPr>
        <w:t>第</w:t>
      </w:r>
      <w:r>
        <w:rPr>
          <w:rFonts w:hint="eastAsia" w:asciiTheme="minorEastAsia" w:hAnsiTheme="minorEastAsia" w:eastAsiaTheme="minorEastAsia"/>
          <w:b/>
          <w:bCs/>
          <w:sz w:val="36"/>
          <w:szCs w:val="36"/>
        </w:rPr>
        <w:t>七</w:t>
      </w:r>
      <w:r>
        <w:rPr>
          <w:rFonts w:asciiTheme="minorEastAsia" w:hAnsiTheme="minorEastAsia" w:eastAsiaTheme="minorEastAsia"/>
          <w:b/>
          <w:bCs/>
          <w:sz w:val="36"/>
          <w:szCs w:val="36"/>
        </w:rPr>
        <w:t>章</w:t>
      </w:r>
      <w:r>
        <w:rPr>
          <w:rFonts w:hint="eastAsia" w:asciiTheme="minorEastAsia" w:hAnsiTheme="minorEastAsia" w:eastAsiaTheme="minorEastAsia"/>
          <w:b/>
          <w:bCs/>
          <w:color w:val="auto"/>
          <w:kern w:val="36"/>
          <w:sz w:val="36"/>
          <w:szCs w:val="36"/>
          <w:lang w:val="en-US" w:eastAsia="zh-CN"/>
        </w:rPr>
        <w:t xml:space="preserve">  </w:t>
      </w:r>
      <w:r>
        <w:rPr>
          <w:rFonts w:asciiTheme="minorEastAsia" w:hAnsiTheme="minorEastAsia" w:eastAsiaTheme="minorEastAsia"/>
          <w:b/>
          <w:bCs/>
          <w:sz w:val="36"/>
          <w:szCs w:val="36"/>
        </w:rPr>
        <w:t>响应文件格式</w:t>
      </w:r>
      <w:bookmarkEnd w:id="505"/>
      <w:bookmarkEnd w:id="506"/>
      <w:bookmarkEnd w:id="1057"/>
    </w:p>
    <w:p w14:paraId="4F9E7984">
      <w:pPr>
        <w:spacing w:line="264" w:lineRule="auto"/>
        <w:outlineLvl w:val="9"/>
        <w:rPr>
          <w:rFonts w:cs="Calibri" w:asciiTheme="minorEastAsia" w:hAnsiTheme="minorEastAsia" w:eastAsiaTheme="minorEastAsia"/>
        </w:rPr>
      </w:pPr>
    </w:p>
    <w:p w14:paraId="342178EB">
      <w:pPr>
        <w:spacing w:line="264" w:lineRule="auto"/>
        <w:jc w:val="center"/>
        <w:outlineLvl w:val="9"/>
        <w:rPr>
          <w:rFonts w:cs="Calibri" w:asciiTheme="minorEastAsia" w:hAnsiTheme="minorEastAsia" w:eastAsiaTheme="minorEastAsia"/>
        </w:rPr>
      </w:pPr>
    </w:p>
    <w:p w14:paraId="32EE6CB3">
      <w:pPr>
        <w:spacing w:line="264" w:lineRule="auto"/>
        <w:jc w:val="center"/>
        <w:outlineLvl w:val="9"/>
        <w:rPr>
          <w:rFonts w:hint="eastAsia" w:cs="Calibri" w:asciiTheme="minorEastAsia" w:hAnsiTheme="minorEastAsia" w:eastAsiaTheme="minorEastAsia"/>
          <w:sz w:val="44"/>
          <w:szCs w:val="44"/>
          <w:lang w:eastAsia="zh-CN"/>
        </w:rPr>
      </w:pPr>
      <w:r>
        <w:rPr>
          <w:rFonts w:hint="eastAsia" w:asciiTheme="minorEastAsia" w:hAnsiTheme="minorEastAsia" w:eastAsiaTheme="minorEastAsia"/>
          <w:sz w:val="44"/>
          <w:szCs w:val="44"/>
          <w:lang w:eastAsia="zh-CN"/>
        </w:rPr>
        <w:t>王和村生产道路硬化项目</w:t>
      </w:r>
    </w:p>
    <w:p w14:paraId="326EF68A">
      <w:pPr>
        <w:spacing w:line="264" w:lineRule="auto"/>
        <w:outlineLvl w:val="9"/>
        <w:rPr>
          <w:rFonts w:cs="Calibri" w:asciiTheme="minorEastAsia" w:hAnsiTheme="minorEastAsia" w:eastAsiaTheme="minorEastAsia"/>
          <w:sz w:val="24"/>
        </w:rPr>
      </w:pPr>
    </w:p>
    <w:p w14:paraId="45A90C7D">
      <w:pPr>
        <w:spacing w:line="264" w:lineRule="auto"/>
        <w:jc w:val="center"/>
        <w:outlineLvl w:val="9"/>
        <w:rPr>
          <w:rFonts w:cs="Calibri" w:asciiTheme="minorEastAsia" w:hAnsiTheme="minorEastAsia" w:eastAsiaTheme="minorEastAsia"/>
          <w:sz w:val="72"/>
          <w:szCs w:val="72"/>
        </w:rPr>
      </w:pPr>
      <w:r>
        <w:rPr>
          <w:rFonts w:hint="eastAsia" w:cs="Calibri" w:asciiTheme="minorEastAsia" w:hAnsiTheme="minorEastAsia" w:eastAsiaTheme="minorEastAsia"/>
          <w:sz w:val="72"/>
          <w:szCs w:val="72"/>
        </w:rPr>
        <w:t xml:space="preserve">   响 应 文 件</w:t>
      </w:r>
    </w:p>
    <w:p w14:paraId="3487C348">
      <w:pPr>
        <w:spacing w:line="264" w:lineRule="auto"/>
        <w:jc w:val="center"/>
        <w:outlineLvl w:val="9"/>
        <w:rPr>
          <w:rFonts w:cs="Calibri" w:asciiTheme="minorEastAsia" w:hAnsiTheme="minorEastAsia" w:eastAsiaTheme="minorEastAsia"/>
          <w:sz w:val="24"/>
        </w:rPr>
      </w:pPr>
      <w:r>
        <w:rPr>
          <w:rFonts w:hint="eastAsia" w:cs="Calibri" w:asciiTheme="minorEastAsia" w:hAnsiTheme="minorEastAsia" w:eastAsiaTheme="minorEastAsia"/>
          <w:sz w:val="24"/>
        </w:rPr>
        <w:t>项目编号：</w:t>
      </w:r>
    </w:p>
    <w:p w14:paraId="58BA454E">
      <w:pPr>
        <w:spacing w:line="264" w:lineRule="auto"/>
        <w:outlineLvl w:val="9"/>
        <w:rPr>
          <w:rFonts w:cs="Calibri" w:asciiTheme="minorEastAsia" w:hAnsiTheme="minorEastAsia" w:eastAsiaTheme="minorEastAsia"/>
          <w:sz w:val="24"/>
        </w:rPr>
      </w:pPr>
    </w:p>
    <w:p w14:paraId="1B67CF13">
      <w:pPr>
        <w:spacing w:line="264" w:lineRule="auto"/>
        <w:outlineLvl w:val="9"/>
        <w:rPr>
          <w:rFonts w:cs="Calibri" w:asciiTheme="minorEastAsia" w:hAnsiTheme="minorEastAsia" w:eastAsiaTheme="minorEastAsia"/>
          <w:sz w:val="24"/>
        </w:rPr>
      </w:pPr>
    </w:p>
    <w:p w14:paraId="6B047F1B">
      <w:pPr>
        <w:spacing w:line="264" w:lineRule="auto"/>
        <w:outlineLvl w:val="9"/>
        <w:rPr>
          <w:rFonts w:cs="Calibri" w:asciiTheme="minorEastAsia" w:hAnsiTheme="minorEastAsia" w:eastAsiaTheme="minorEastAsia"/>
          <w:sz w:val="24"/>
        </w:rPr>
      </w:pPr>
    </w:p>
    <w:p w14:paraId="7EB0469B">
      <w:pPr>
        <w:spacing w:line="264" w:lineRule="auto"/>
        <w:outlineLvl w:val="9"/>
        <w:rPr>
          <w:rFonts w:cs="Calibri" w:asciiTheme="minorEastAsia" w:hAnsiTheme="minorEastAsia" w:eastAsiaTheme="minorEastAsia"/>
          <w:sz w:val="24"/>
        </w:rPr>
      </w:pPr>
    </w:p>
    <w:p w14:paraId="66544CAD">
      <w:pPr>
        <w:spacing w:line="264" w:lineRule="auto"/>
        <w:outlineLvl w:val="9"/>
        <w:rPr>
          <w:rFonts w:cs="Calibri" w:asciiTheme="minorEastAsia" w:hAnsiTheme="minorEastAsia" w:eastAsiaTheme="minorEastAsia"/>
          <w:sz w:val="24"/>
        </w:rPr>
      </w:pPr>
    </w:p>
    <w:p w14:paraId="75565343">
      <w:pPr>
        <w:spacing w:line="264" w:lineRule="auto"/>
        <w:outlineLvl w:val="9"/>
        <w:rPr>
          <w:rFonts w:cs="Calibri" w:asciiTheme="minorEastAsia" w:hAnsiTheme="minorEastAsia" w:eastAsiaTheme="minorEastAsia"/>
          <w:sz w:val="24"/>
        </w:rPr>
      </w:pPr>
    </w:p>
    <w:p w14:paraId="3A971950">
      <w:pPr>
        <w:spacing w:line="264" w:lineRule="auto"/>
        <w:outlineLvl w:val="9"/>
        <w:rPr>
          <w:rFonts w:cs="Calibri" w:asciiTheme="minorEastAsia" w:hAnsiTheme="minorEastAsia" w:eastAsiaTheme="minorEastAsia"/>
          <w:sz w:val="24"/>
        </w:rPr>
      </w:pPr>
    </w:p>
    <w:p w14:paraId="3D70B2FB">
      <w:pPr>
        <w:spacing w:line="264" w:lineRule="auto"/>
        <w:outlineLvl w:val="9"/>
        <w:rPr>
          <w:rFonts w:cs="Calibri" w:asciiTheme="minorEastAsia" w:hAnsiTheme="minorEastAsia" w:eastAsiaTheme="minorEastAsia"/>
          <w:sz w:val="24"/>
        </w:rPr>
      </w:pPr>
    </w:p>
    <w:p w14:paraId="149C4618">
      <w:pPr>
        <w:spacing w:line="264" w:lineRule="auto"/>
        <w:outlineLvl w:val="9"/>
        <w:rPr>
          <w:rFonts w:cs="Calibri" w:asciiTheme="minorEastAsia" w:hAnsiTheme="minorEastAsia" w:eastAsiaTheme="minorEastAsia"/>
          <w:sz w:val="24"/>
        </w:rPr>
      </w:pPr>
    </w:p>
    <w:p w14:paraId="6BE7AF93">
      <w:pPr>
        <w:spacing w:line="264" w:lineRule="auto"/>
        <w:outlineLvl w:val="9"/>
        <w:rPr>
          <w:rFonts w:cs="Calibri" w:asciiTheme="minorEastAsia" w:hAnsiTheme="minorEastAsia" w:eastAsiaTheme="minorEastAsia"/>
          <w:sz w:val="24"/>
        </w:rPr>
      </w:pPr>
    </w:p>
    <w:p w14:paraId="22FAB669">
      <w:pPr>
        <w:spacing w:line="360" w:lineRule="auto"/>
        <w:jc w:val="center"/>
        <w:outlineLvl w:val="9"/>
        <w:rPr>
          <w:rFonts w:hint="eastAsia" w:cs="Calibri" w:asciiTheme="minorEastAsia" w:hAnsiTheme="minorEastAsia" w:eastAsiaTheme="minorEastAsia"/>
          <w:sz w:val="24"/>
        </w:rPr>
      </w:pPr>
    </w:p>
    <w:p w14:paraId="6E23E1C7">
      <w:pPr>
        <w:spacing w:line="360" w:lineRule="auto"/>
        <w:jc w:val="center"/>
        <w:outlineLvl w:val="9"/>
        <w:rPr>
          <w:rFonts w:cs="Calibri" w:asciiTheme="minorEastAsia" w:hAnsiTheme="minorEastAsia" w:eastAsiaTheme="minorEastAsia"/>
          <w:sz w:val="24"/>
        </w:rPr>
      </w:pPr>
      <w:r>
        <w:rPr>
          <w:rFonts w:hint="eastAsia" w:cs="Calibri" w:asciiTheme="minorEastAsia" w:hAnsiTheme="minorEastAsia" w:eastAsiaTheme="minorEastAsia"/>
          <w:sz w:val="24"/>
        </w:rPr>
        <w:t>响应人：（公章签章）</w:t>
      </w:r>
    </w:p>
    <w:p w14:paraId="6A0DDB61">
      <w:pPr>
        <w:spacing w:line="360" w:lineRule="auto"/>
        <w:jc w:val="center"/>
        <w:outlineLvl w:val="9"/>
        <w:rPr>
          <w:rFonts w:cs="Calibri" w:asciiTheme="minorEastAsia" w:hAnsiTheme="minorEastAsia" w:eastAsiaTheme="minorEastAsia"/>
          <w:sz w:val="24"/>
        </w:rPr>
      </w:pPr>
      <w:r>
        <w:rPr>
          <w:rFonts w:hint="eastAsia" w:cs="Calibri" w:asciiTheme="minorEastAsia" w:hAnsiTheme="minorEastAsia" w:eastAsiaTheme="minorEastAsia"/>
          <w:sz w:val="24"/>
        </w:rPr>
        <w:t>法定代表人：（电子签章）</w:t>
      </w:r>
    </w:p>
    <w:p w14:paraId="492564C3">
      <w:pPr>
        <w:spacing w:line="360" w:lineRule="auto"/>
        <w:jc w:val="center"/>
        <w:outlineLvl w:val="9"/>
        <w:rPr>
          <w:rFonts w:cs="Calibri" w:asciiTheme="minorEastAsia" w:hAnsiTheme="minorEastAsia" w:eastAsiaTheme="minorEastAsia"/>
          <w:sz w:val="24"/>
        </w:rPr>
      </w:pPr>
      <w:r>
        <w:rPr>
          <w:rFonts w:hint="eastAsia" w:cs="Calibri" w:asciiTheme="minorEastAsia" w:hAnsiTheme="minorEastAsia" w:eastAsiaTheme="minorEastAsia"/>
          <w:sz w:val="24"/>
        </w:rPr>
        <w:t>年    月    日</w:t>
      </w:r>
      <w:bookmarkStart w:id="1058" w:name="_Toc247085873"/>
      <w:bookmarkEnd w:id="1058"/>
      <w:bookmarkStart w:id="1059" w:name="_Toc246996355"/>
      <w:bookmarkEnd w:id="1059"/>
      <w:bookmarkStart w:id="1060" w:name="_Toc6470"/>
      <w:bookmarkEnd w:id="1060"/>
      <w:bookmarkStart w:id="1061" w:name="_Toc246997098"/>
      <w:bookmarkEnd w:id="1061"/>
      <w:bookmarkStart w:id="1062" w:name="_Toc152045787"/>
      <w:bookmarkEnd w:id="1062"/>
      <w:bookmarkStart w:id="1063" w:name="_Toc144974856"/>
      <w:bookmarkEnd w:id="1063"/>
      <w:bookmarkStart w:id="1064" w:name="_Toc394651920"/>
      <w:bookmarkEnd w:id="1064"/>
      <w:bookmarkStart w:id="1065" w:name="_Toc152042576"/>
      <w:bookmarkEnd w:id="1065"/>
      <w:bookmarkStart w:id="1066" w:name="_Toc179632807"/>
      <w:bookmarkEnd w:id="1066"/>
    </w:p>
    <w:p w14:paraId="7AFE28A0">
      <w:pPr>
        <w:rPr>
          <w:rFonts w:hint="eastAsia" w:asciiTheme="minorEastAsia" w:hAnsiTheme="minorEastAsia" w:eastAsiaTheme="minorEastAsia"/>
          <w:sz w:val="36"/>
          <w:szCs w:val="36"/>
        </w:rPr>
      </w:pPr>
      <w:bookmarkStart w:id="1067" w:name="_Toc16770585"/>
      <w:r>
        <w:rPr>
          <w:rFonts w:hint="eastAsia" w:asciiTheme="minorEastAsia" w:hAnsiTheme="minorEastAsia" w:eastAsiaTheme="minorEastAsia"/>
          <w:sz w:val="36"/>
          <w:szCs w:val="36"/>
        </w:rPr>
        <w:br w:type="page"/>
      </w:r>
    </w:p>
    <w:p w14:paraId="1829E4E4">
      <w:pPr>
        <w:keepLines w:val="0"/>
        <w:widowControl/>
        <w:spacing w:before="0"/>
        <w:jc w:val="center"/>
        <w:outlineLvl w:val="9"/>
        <w:rPr>
          <w:rFonts w:asciiTheme="minorEastAsia" w:hAnsiTheme="minorEastAsia" w:eastAsiaTheme="minorEastAsia"/>
          <w:sz w:val="36"/>
          <w:szCs w:val="36"/>
        </w:rPr>
      </w:pPr>
      <w:r>
        <w:rPr>
          <w:rFonts w:hint="eastAsia" w:asciiTheme="minorEastAsia" w:hAnsiTheme="minorEastAsia" w:eastAsiaTheme="minorEastAsia"/>
          <w:sz w:val="36"/>
          <w:szCs w:val="36"/>
        </w:rPr>
        <w:t>目  录</w:t>
      </w:r>
      <w:bookmarkEnd w:id="1067"/>
    </w:p>
    <w:p w14:paraId="46766C94">
      <w:pPr>
        <w:spacing w:line="540" w:lineRule="exact"/>
        <w:jc w:val="center"/>
        <w:outlineLvl w:val="9"/>
        <w:rPr>
          <w:rFonts w:cs="Calibri" w:asciiTheme="minorEastAsia" w:hAnsiTheme="minorEastAsia" w:eastAsiaTheme="minorEastAsia"/>
        </w:rPr>
      </w:pPr>
      <w:r>
        <w:rPr>
          <w:rFonts w:hint="eastAsia" w:cs="Calibri" w:asciiTheme="minorEastAsia" w:hAnsiTheme="minorEastAsia" w:eastAsiaTheme="minorEastAsia"/>
        </w:rPr>
        <w:t>（自拟）</w:t>
      </w:r>
    </w:p>
    <w:p w14:paraId="2070F2B1">
      <w:pPr>
        <w:spacing w:line="540" w:lineRule="exact"/>
        <w:ind w:firstLine="750" w:firstLineChars="341"/>
        <w:outlineLvl w:val="9"/>
        <w:rPr>
          <w:rFonts w:cs="Calibri" w:asciiTheme="minorEastAsia" w:hAnsiTheme="minorEastAsia" w:eastAsiaTheme="minorEastAsia"/>
        </w:rPr>
      </w:pPr>
    </w:p>
    <w:p w14:paraId="0F62CF91">
      <w:pPr>
        <w:spacing w:line="540" w:lineRule="exact"/>
        <w:outlineLvl w:val="9"/>
        <w:rPr>
          <w:rFonts w:cs="Calibri" w:asciiTheme="minorEastAsia" w:hAnsiTheme="minorEastAsia" w:eastAsiaTheme="minorEastAsia"/>
        </w:rPr>
      </w:pPr>
    </w:p>
    <w:p w14:paraId="6CD917A2">
      <w:pPr>
        <w:spacing w:line="540" w:lineRule="exact"/>
        <w:outlineLvl w:val="9"/>
        <w:rPr>
          <w:rFonts w:cs="Calibri" w:asciiTheme="minorEastAsia" w:hAnsiTheme="minorEastAsia" w:eastAsiaTheme="minorEastAsia"/>
        </w:rPr>
      </w:pPr>
    </w:p>
    <w:p w14:paraId="1473DD44">
      <w:pPr>
        <w:spacing w:line="540" w:lineRule="exact"/>
        <w:outlineLvl w:val="9"/>
        <w:rPr>
          <w:rFonts w:cs="Calibri" w:asciiTheme="minorEastAsia" w:hAnsiTheme="minorEastAsia" w:eastAsiaTheme="minorEastAsia"/>
        </w:rPr>
      </w:pPr>
    </w:p>
    <w:p w14:paraId="65EDA747">
      <w:pPr>
        <w:spacing w:line="540" w:lineRule="exact"/>
        <w:outlineLvl w:val="9"/>
        <w:rPr>
          <w:rFonts w:cs="Calibri" w:asciiTheme="minorEastAsia" w:hAnsiTheme="minorEastAsia" w:eastAsiaTheme="minorEastAsia"/>
        </w:rPr>
      </w:pPr>
    </w:p>
    <w:p w14:paraId="6D29C015">
      <w:pPr>
        <w:spacing w:line="540" w:lineRule="exact"/>
        <w:outlineLvl w:val="9"/>
        <w:rPr>
          <w:rFonts w:cs="Calibri" w:asciiTheme="minorEastAsia" w:hAnsiTheme="minorEastAsia" w:eastAsiaTheme="minorEastAsia"/>
        </w:rPr>
      </w:pPr>
    </w:p>
    <w:p w14:paraId="24BE9AF2">
      <w:pPr>
        <w:spacing w:line="540" w:lineRule="exact"/>
        <w:outlineLvl w:val="9"/>
        <w:rPr>
          <w:rFonts w:cs="Calibri" w:asciiTheme="minorEastAsia" w:hAnsiTheme="minorEastAsia" w:eastAsiaTheme="minorEastAsia"/>
        </w:rPr>
      </w:pPr>
    </w:p>
    <w:p w14:paraId="16AEFFA9">
      <w:pPr>
        <w:spacing w:line="540" w:lineRule="exact"/>
        <w:outlineLvl w:val="9"/>
        <w:rPr>
          <w:rFonts w:cs="Calibri" w:asciiTheme="minorEastAsia" w:hAnsiTheme="minorEastAsia" w:eastAsiaTheme="minorEastAsia"/>
        </w:rPr>
      </w:pPr>
    </w:p>
    <w:p w14:paraId="10C1F7C1">
      <w:pPr>
        <w:spacing w:line="540" w:lineRule="exact"/>
        <w:outlineLvl w:val="9"/>
        <w:rPr>
          <w:rFonts w:cs="Calibri" w:asciiTheme="minorEastAsia" w:hAnsiTheme="minorEastAsia" w:eastAsiaTheme="minorEastAsia"/>
        </w:rPr>
      </w:pPr>
    </w:p>
    <w:p w14:paraId="3FBA6295">
      <w:pPr>
        <w:spacing w:line="540" w:lineRule="exact"/>
        <w:outlineLvl w:val="9"/>
        <w:rPr>
          <w:rFonts w:cs="Calibri" w:asciiTheme="minorEastAsia" w:hAnsiTheme="minorEastAsia" w:eastAsiaTheme="minorEastAsia"/>
        </w:rPr>
      </w:pPr>
    </w:p>
    <w:p w14:paraId="05085DC1">
      <w:pPr>
        <w:spacing w:line="540" w:lineRule="exact"/>
        <w:outlineLvl w:val="9"/>
        <w:rPr>
          <w:rFonts w:cs="Calibri" w:asciiTheme="minorEastAsia" w:hAnsiTheme="minorEastAsia" w:eastAsiaTheme="minorEastAsia"/>
        </w:rPr>
      </w:pPr>
    </w:p>
    <w:p w14:paraId="57CF0A30">
      <w:pPr>
        <w:spacing w:line="540" w:lineRule="exact"/>
        <w:outlineLvl w:val="9"/>
        <w:rPr>
          <w:rFonts w:cs="Calibri" w:asciiTheme="minorEastAsia" w:hAnsiTheme="minorEastAsia" w:eastAsiaTheme="minorEastAsia"/>
        </w:rPr>
      </w:pPr>
    </w:p>
    <w:p w14:paraId="38AD1FC7">
      <w:pPr>
        <w:spacing w:line="540" w:lineRule="exact"/>
        <w:outlineLvl w:val="9"/>
        <w:rPr>
          <w:rFonts w:cs="Calibri" w:asciiTheme="minorEastAsia" w:hAnsiTheme="minorEastAsia" w:eastAsiaTheme="minorEastAsia"/>
        </w:rPr>
      </w:pPr>
    </w:p>
    <w:p w14:paraId="6DEE6CA1">
      <w:pPr>
        <w:spacing w:line="540" w:lineRule="exact"/>
        <w:outlineLvl w:val="9"/>
        <w:rPr>
          <w:rFonts w:cs="Calibri" w:asciiTheme="minorEastAsia" w:hAnsiTheme="minorEastAsia" w:eastAsiaTheme="minorEastAsia"/>
        </w:rPr>
      </w:pPr>
    </w:p>
    <w:p w14:paraId="4F062244">
      <w:pPr>
        <w:spacing w:line="540" w:lineRule="exact"/>
        <w:outlineLvl w:val="9"/>
        <w:rPr>
          <w:rFonts w:cs="Calibri" w:asciiTheme="minorEastAsia" w:hAnsiTheme="minorEastAsia" w:eastAsiaTheme="minorEastAsia"/>
        </w:rPr>
      </w:pPr>
    </w:p>
    <w:p w14:paraId="46D2CDBB">
      <w:pPr>
        <w:spacing w:line="540" w:lineRule="exact"/>
        <w:outlineLvl w:val="9"/>
        <w:rPr>
          <w:rFonts w:cs="Calibri" w:asciiTheme="minorEastAsia" w:hAnsiTheme="minorEastAsia" w:eastAsiaTheme="minorEastAsia"/>
        </w:rPr>
      </w:pPr>
    </w:p>
    <w:p w14:paraId="195BC617">
      <w:pPr>
        <w:keepLines w:val="0"/>
        <w:widowControl/>
        <w:spacing w:before="0"/>
        <w:jc w:val="center"/>
        <w:outlineLvl w:val="9"/>
        <w:rPr>
          <w:rFonts w:asciiTheme="minorEastAsia" w:hAnsiTheme="minorEastAsia" w:eastAsiaTheme="minorEastAsia"/>
          <w:b w:val="0"/>
        </w:rPr>
      </w:pPr>
      <w:bookmarkStart w:id="1068" w:name="_Toc394651921"/>
      <w:bookmarkEnd w:id="1068"/>
      <w:bookmarkStart w:id="1069" w:name="_Toc27687"/>
      <w:bookmarkEnd w:id="1069"/>
      <w:bookmarkStart w:id="1070" w:name="_Toc528078066"/>
      <w:r>
        <w:rPr>
          <w:rFonts w:hint="eastAsia" w:asciiTheme="minorEastAsia" w:hAnsiTheme="minorEastAsia" w:eastAsiaTheme="minorEastAsia"/>
        </w:rPr>
        <w:br w:type="page"/>
      </w:r>
      <w:bookmarkStart w:id="1071" w:name="_Toc16770586"/>
      <w:r>
        <w:rPr>
          <w:rFonts w:hint="eastAsia" w:asciiTheme="minorEastAsia" w:hAnsiTheme="minorEastAsia" w:eastAsiaTheme="minorEastAsia"/>
        </w:rPr>
        <w:t>一、</w:t>
      </w:r>
      <w:bookmarkEnd w:id="1070"/>
      <w:r>
        <w:rPr>
          <w:rFonts w:hint="eastAsia" w:asciiTheme="minorEastAsia" w:hAnsiTheme="minorEastAsia" w:eastAsiaTheme="minorEastAsia"/>
        </w:rPr>
        <w:t>磋商响应书及第一轮报价表</w:t>
      </w:r>
      <w:bookmarkEnd w:id="1071"/>
    </w:p>
    <w:p w14:paraId="5F6A8383">
      <w:pPr>
        <w:keepLines w:val="0"/>
        <w:widowControl/>
        <w:spacing w:before="0"/>
        <w:jc w:val="center"/>
        <w:outlineLvl w:val="9"/>
        <w:rPr>
          <w:rFonts w:asciiTheme="minorEastAsia" w:hAnsiTheme="minorEastAsia" w:eastAsiaTheme="minorEastAsia"/>
          <w:color w:val="auto"/>
          <w:sz w:val="28"/>
          <w:szCs w:val="28"/>
        </w:rPr>
      </w:pPr>
      <w:bookmarkStart w:id="1072" w:name="_Toc179632809"/>
      <w:bookmarkEnd w:id="1072"/>
      <w:bookmarkStart w:id="1073" w:name="_Toc246996357"/>
      <w:bookmarkEnd w:id="1073"/>
      <w:bookmarkStart w:id="1074" w:name="_Toc152042578"/>
      <w:bookmarkEnd w:id="1074"/>
      <w:bookmarkStart w:id="1075" w:name="_Toc152045789"/>
      <w:bookmarkEnd w:id="1075"/>
      <w:bookmarkStart w:id="1076" w:name="_Toc247085875"/>
      <w:bookmarkEnd w:id="1076"/>
      <w:bookmarkStart w:id="1077" w:name="_Toc19389"/>
      <w:bookmarkEnd w:id="1077"/>
      <w:bookmarkStart w:id="1078" w:name="_Toc144974858"/>
      <w:bookmarkEnd w:id="1078"/>
      <w:bookmarkStart w:id="1079" w:name="_Toc246997100"/>
      <w:bookmarkEnd w:id="1079"/>
      <w:bookmarkStart w:id="1080" w:name="_Toc394651922"/>
      <w:bookmarkEnd w:id="1080"/>
      <w:bookmarkStart w:id="1081" w:name="_Toc528078067"/>
      <w:bookmarkStart w:id="1082" w:name="_Toc16770587"/>
      <w:r>
        <w:rPr>
          <w:rFonts w:asciiTheme="minorEastAsia" w:hAnsiTheme="minorEastAsia" w:eastAsiaTheme="minorEastAsia"/>
          <w:color w:val="auto"/>
          <w:sz w:val="28"/>
          <w:szCs w:val="28"/>
        </w:rPr>
        <w:t>（一）</w:t>
      </w:r>
      <w:bookmarkEnd w:id="1081"/>
      <w:r>
        <w:rPr>
          <w:rFonts w:asciiTheme="minorEastAsia" w:hAnsiTheme="minorEastAsia" w:eastAsiaTheme="minorEastAsia"/>
          <w:color w:val="auto"/>
          <w:sz w:val="28"/>
          <w:szCs w:val="28"/>
        </w:rPr>
        <w:t>磋商响应书</w:t>
      </w:r>
      <w:bookmarkEnd w:id="1082"/>
    </w:p>
    <w:p w14:paraId="57509257">
      <w:pPr>
        <w:adjustRightInd/>
        <w:snapToGrid/>
        <w:spacing w:after="0" w:line="540" w:lineRule="exact"/>
        <w:outlineLvl w:val="9"/>
        <w:rPr>
          <w:rFonts w:cs="宋体" w:asciiTheme="minorEastAsia" w:hAnsiTheme="minorEastAsia" w:eastAsiaTheme="minorEastAsia"/>
          <w:sz w:val="24"/>
          <w:szCs w:val="24"/>
          <w:lang w:bidi="en-US"/>
        </w:rPr>
      </w:pPr>
      <w:bookmarkStart w:id="1083" w:name="_Toc247085876"/>
      <w:bookmarkEnd w:id="1083"/>
      <w:bookmarkStart w:id="1084" w:name="_Toc246997101"/>
      <w:bookmarkEnd w:id="1084"/>
      <w:bookmarkStart w:id="1085" w:name="_Toc394651923"/>
      <w:bookmarkEnd w:id="1085"/>
      <w:bookmarkStart w:id="1086" w:name="_Toc27200"/>
      <w:bookmarkEnd w:id="1086"/>
      <w:bookmarkStart w:id="1087" w:name="_Toc152045790"/>
      <w:bookmarkEnd w:id="1087"/>
      <w:bookmarkStart w:id="1088" w:name="_Toc246996358"/>
      <w:bookmarkEnd w:id="1088"/>
      <w:bookmarkStart w:id="1089" w:name="_Toc144974859"/>
      <w:bookmarkEnd w:id="1089"/>
      <w:bookmarkStart w:id="1090" w:name="_Toc152042579"/>
      <w:bookmarkEnd w:id="1090"/>
      <w:bookmarkStart w:id="1091" w:name="_Toc179632810"/>
      <w:bookmarkEnd w:id="1091"/>
      <w:r>
        <w:rPr>
          <w:rFonts w:hint="eastAsia" w:cs="宋体" w:asciiTheme="minorEastAsia" w:hAnsiTheme="minorEastAsia" w:eastAsiaTheme="minorEastAsia"/>
          <w:sz w:val="24"/>
          <w:szCs w:val="24"/>
          <w:lang w:bidi="en-US"/>
        </w:rPr>
        <w:t>（采购人名称）</w:t>
      </w:r>
      <w:r>
        <w:rPr>
          <w:rFonts w:hint="eastAsia" w:cs="宋体" w:asciiTheme="minorEastAsia" w:hAnsiTheme="minorEastAsia" w:eastAsiaTheme="minorEastAsia"/>
          <w:sz w:val="24"/>
          <w:szCs w:val="24"/>
          <w:u w:val="single"/>
          <w:lang w:bidi="en-US"/>
        </w:rPr>
        <w:t xml:space="preserve">          </w:t>
      </w:r>
      <w:r>
        <w:rPr>
          <w:rFonts w:hint="eastAsia" w:cs="宋体" w:asciiTheme="minorEastAsia" w:hAnsiTheme="minorEastAsia" w:eastAsiaTheme="minorEastAsia"/>
          <w:sz w:val="24"/>
          <w:szCs w:val="24"/>
          <w:lang w:bidi="en-US"/>
        </w:rPr>
        <w:t>：</w:t>
      </w:r>
    </w:p>
    <w:p w14:paraId="4C2E4F4F">
      <w:pPr>
        <w:adjustRightInd/>
        <w:snapToGrid/>
        <w:spacing w:after="0" w:line="540" w:lineRule="exact"/>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1．我方已仔细研究了</w:t>
      </w:r>
      <w:r>
        <w:rPr>
          <w:rFonts w:hint="eastAsia" w:cs="宋体" w:asciiTheme="minorEastAsia" w:hAnsiTheme="minorEastAsia" w:eastAsiaTheme="minorEastAsia"/>
          <w:sz w:val="24"/>
          <w:szCs w:val="24"/>
          <w:u w:val="single"/>
          <w:lang w:bidi="en-US"/>
        </w:rPr>
        <w:t xml:space="preserve">        </w:t>
      </w:r>
      <w:r>
        <w:rPr>
          <w:rFonts w:hint="eastAsia" w:cs="宋体" w:asciiTheme="minorEastAsia" w:hAnsiTheme="minorEastAsia" w:eastAsiaTheme="minorEastAsia"/>
          <w:sz w:val="24"/>
          <w:szCs w:val="24"/>
          <w:lang w:bidi="en-US"/>
        </w:rPr>
        <w:t>（项目名称及项目编号）磋商文件的全部内容，愿意</w:t>
      </w:r>
      <w:r>
        <w:rPr>
          <w:rFonts w:hint="eastAsia" w:cs="宋体" w:asciiTheme="minorEastAsia" w:hAnsiTheme="minorEastAsia" w:eastAsiaTheme="minorEastAsia"/>
          <w:spacing w:val="-2"/>
          <w:sz w:val="24"/>
          <w:szCs w:val="24"/>
          <w:lang w:bidi="en-US"/>
        </w:rPr>
        <w:t>按照国家规范要求，在确保质量的前提下，以</w:t>
      </w:r>
      <w:r>
        <w:rPr>
          <w:rFonts w:hint="eastAsia" w:cs="宋体" w:asciiTheme="minorEastAsia" w:hAnsiTheme="minorEastAsia" w:eastAsiaTheme="minorEastAsia"/>
          <w:sz w:val="24"/>
          <w:szCs w:val="24"/>
          <w:lang w:bidi="en-US"/>
        </w:rPr>
        <w:t>人民币</w:t>
      </w:r>
      <w:r>
        <w:rPr>
          <w:rFonts w:hint="eastAsia" w:cs="宋体" w:asciiTheme="minorEastAsia" w:hAnsiTheme="minorEastAsia" w:eastAsiaTheme="minorEastAsia"/>
          <w:spacing w:val="-2"/>
          <w:sz w:val="24"/>
          <w:szCs w:val="24"/>
          <w:lang w:bidi="en-US"/>
        </w:rPr>
        <w:t>（大写）</w:t>
      </w:r>
      <w:r>
        <w:rPr>
          <w:rFonts w:hint="eastAsia" w:cs="宋体" w:asciiTheme="minorEastAsia" w:hAnsiTheme="minorEastAsia" w:eastAsiaTheme="minorEastAsia"/>
          <w:sz w:val="24"/>
          <w:szCs w:val="24"/>
          <w:u w:val="single"/>
          <w:lang w:bidi="en-US"/>
        </w:rPr>
        <w:t xml:space="preserve">     </w:t>
      </w:r>
      <w:r>
        <w:rPr>
          <w:rFonts w:hint="eastAsia" w:cs="宋体" w:asciiTheme="minorEastAsia" w:hAnsiTheme="minorEastAsia" w:eastAsiaTheme="minorEastAsia"/>
          <w:spacing w:val="-2"/>
          <w:sz w:val="24"/>
          <w:szCs w:val="24"/>
          <w:lang w:bidi="en-US"/>
        </w:rPr>
        <w:t>元</w:t>
      </w:r>
      <w:r>
        <w:rPr>
          <w:rFonts w:hint="eastAsia" w:cs="宋体" w:asciiTheme="minorEastAsia" w:hAnsiTheme="minorEastAsia" w:eastAsiaTheme="minorEastAsia"/>
          <w:sz w:val="24"/>
          <w:szCs w:val="24"/>
          <w:lang w:bidi="en-US"/>
        </w:rPr>
        <w:t>（¥</w:t>
      </w:r>
      <w:r>
        <w:rPr>
          <w:rFonts w:hint="eastAsia" w:cs="宋体" w:asciiTheme="minorEastAsia" w:hAnsiTheme="minorEastAsia" w:eastAsiaTheme="minorEastAsia"/>
          <w:spacing w:val="-2"/>
          <w:sz w:val="24"/>
          <w:szCs w:val="24"/>
          <w:lang w:bidi="en-US"/>
        </w:rPr>
        <w:t>）</w:t>
      </w:r>
      <w:r>
        <w:rPr>
          <w:rFonts w:hint="eastAsia" w:cs="宋体" w:asciiTheme="minorEastAsia" w:hAnsiTheme="minorEastAsia" w:eastAsiaTheme="minorEastAsia"/>
          <w:sz w:val="24"/>
          <w:szCs w:val="24"/>
          <w:u w:val="single"/>
          <w:lang w:bidi="en-US"/>
        </w:rPr>
        <w:t xml:space="preserve">     </w:t>
      </w:r>
      <w:r>
        <w:rPr>
          <w:rFonts w:hint="eastAsia" w:cs="宋体" w:asciiTheme="minorEastAsia" w:hAnsiTheme="minorEastAsia" w:eastAsiaTheme="minorEastAsia"/>
          <w:sz w:val="24"/>
          <w:szCs w:val="24"/>
          <w:lang w:bidi="en-US"/>
        </w:rPr>
        <w:t>的</w:t>
      </w:r>
      <w:r>
        <w:rPr>
          <w:rFonts w:hint="eastAsia" w:cs="宋体" w:asciiTheme="minorEastAsia" w:hAnsiTheme="minorEastAsia" w:eastAsiaTheme="minorEastAsia"/>
          <w:spacing w:val="-2"/>
          <w:sz w:val="24"/>
          <w:szCs w:val="24"/>
          <w:lang w:bidi="en-US"/>
        </w:rPr>
        <w:t>投标总报价完成相关服务，工期</w:t>
      </w:r>
      <w:r>
        <w:rPr>
          <w:rFonts w:hint="eastAsia" w:cs="宋体" w:asciiTheme="minorEastAsia" w:hAnsiTheme="minorEastAsia" w:eastAsiaTheme="minorEastAsia"/>
          <w:sz w:val="24"/>
          <w:szCs w:val="24"/>
          <w:u w:val="single"/>
          <w:lang w:bidi="en-US"/>
        </w:rPr>
        <w:t xml:space="preserve">          </w:t>
      </w:r>
      <w:r>
        <w:rPr>
          <w:rFonts w:hint="eastAsia" w:cs="宋体" w:asciiTheme="minorEastAsia" w:hAnsiTheme="minorEastAsia" w:eastAsiaTheme="minorEastAsia"/>
          <w:sz w:val="24"/>
          <w:szCs w:val="24"/>
          <w:lang w:bidi="en-US"/>
        </w:rPr>
        <w:t>，质量要求</w:t>
      </w:r>
      <w:r>
        <w:rPr>
          <w:rFonts w:hint="eastAsia" w:cs="宋体" w:asciiTheme="minorEastAsia" w:hAnsiTheme="minorEastAsia" w:eastAsiaTheme="minorEastAsia"/>
          <w:sz w:val="24"/>
          <w:szCs w:val="24"/>
          <w:u w:val="single"/>
          <w:lang w:bidi="en-US"/>
        </w:rPr>
        <w:t xml:space="preserve">          </w:t>
      </w:r>
      <w:r>
        <w:rPr>
          <w:rFonts w:hint="eastAsia" w:cs="宋体" w:asciiTheme="minorEastAsia" w:hAnsiTheme="minorEastAsia" w:eastAsiaTheme="minorEastAsia"/>
          <w:sz w:val="24"/>
          <w:szCs w:val="24"/>
          <w:lang w:bidi="en-US"/>
        </w:rPr>
        <w:t>。</w:t>
      </w:r>
    </w:p>
    <w:p w14:paraId="53C258A9">
      <w:pPr>
        <w:adjustRightInd/>
        <w:snapToGrid/>
        <w:spacing w:after="0" w:line="540" w:lineRule="exact"/>
        <w:ind w:firstLine="480" w:firstLineChars="200"/>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2．我方承诺在磋商文件规定的投标有效期内不修改、撤销响应文件。</w:t>
      </w:r>
    </w:p>
    <w:p w14:paraId="67F9A9BE">
      <w:pPr>
        <w:adjustRightInd/>
        <w:snapToGrid/>
        <w:spacing w:after="0" w:line="540" w:lineRule="exact"/>
        <w:ind w:firstLine="480" w:firstLineChars="200"/>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3．如我方成交：</w:t>
      </w:r>
    </w:p>
    <w:p w14:paraId="79C34825">
      <w:pPr>
        <w:adjustRightInd/>
        <w:snapToGrid/>
        <w:spacing w:after="0" w:line="540" w:lineRule="exact"/>
        <w:ind w:firstLine="820" w:firstLineChars="342"/>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（1）我方承诺在收到成交通知书后，在成交通知书规定的期限内与你方签订合同。</w:t>
      </w:r>
    </w:p>
    <w:p w14:paraId="0C06FFED">
      <w:pPr>
        <w:adjustRightInd/>
        <w:snapToGrid/>
        <w:spacing w:after="0" w:line="540" w:lineRule="exact"/>
        <w:ind w:firstLine="820" w:firstLineChars="342"/>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（2）随同本投标函递交的投标函附录属于合同文件的组成部分。</w:t>
      </w:r>
    </w:p>
    <w:p w14:paraId="05FCC842">
      <w:pPr>
        <w:adjustRightInd/>
        <w:snapToGrid/>
        <w:spacing w:after="0" w:line="540" w:lineRule="exact"/>
        <w:ind w:firstLine="820" w:firstLineChars="342"/>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（3）我方承诺在合同约定的期限内完成并移交全部合同工程。</w:t>
      </w:r>
    </w:p>
    <w:p w14:paraId="037CB1D8">
      <w:pPr>
        <w:adjustRightInd/>
        <w:snapToGrid/>
        <w:spacing w:after="0" w:line="540" w:lineRule="exact"/>
        <w:ind w:firstLine="360" w:firstLineChars="150"/>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4．我方在此声明，所递交的响应文件及有关资料内容完整、真实和准确。</w:t>
      </w:r>
    </w:p>
    <w:p w14:paraId="727B00AC">
      <w:pPr>
        <w:adjustRightInd/>
        <w:snapToGrid/>
        <w:spacing w:after="0" w:line="540" w:lineRule="exact"/>
        <w:ind w:firstLine="480" w:firstLineChars="200"/>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5．</w:t>
      </w:r>
      <w:r>
        <w:rPr>
          <w:rFonts w:hint="eastAsia" w:cs="宋体" w:asciiTheme="minorEastAsia" w:hAnsiTheme="minorEastAsia" w:eastAsiaTheme="minorEastAsia"/>
          <w:sz w:val="24"/>
          <w:szCs w:val="24"/>
          <w:u w:val="single"/>
          <w:lang w:bidi="en-US"/>
        </w:rPr>
        <w:t xml:space="preserve"> </w:t>
      </w:r>
      <w:r>
        <w:rPr>
          <w:rFonts w:cs="宋体" w:asciiTheme="minorEastAsia" w:hAnsiTheme="minorEastAsia" w:eastAsiaTheme="minorEastAsia"/>
          <w:sz w:val="24"/>
          <w:szCs w:val="24"/>
          <w:u w:val="single"/>
          <w:lang w:bidi="en-US"/>
        </w:rPr>
        <w:t xml:space="preserve">                  </w:t>
      </w:r>
      <w:r>
        <w:rPr>
          <w:rFonts w:hint="eastAsia" w:cs="宋体" w:asciiTheme="minorEastAsia" w:hAnsiTheme="minorEastAsia" w:eastAsiaTheme="minorEastAsia"/>
          <w:sz w:val="24"/>
          <w:szCs w:val="24"/>
          <w:lang w:bidi="en-US"/>
        </w:rPr>
        <w:t>（其他补充说明）。</w:t>
      </w:r>
    </w:p>
    <w:p w14:paraId="1D2B26CF">
      <w:pPr>
        <w:adjustRightInd/>
        <w:snapToGrid/>
        <w:spacing w:after="0" w:line="540" w:lineRule="exact"/>
        <w:outlineLvl w:val="9"/>
        <w:rPr>
          <w:rFonts w:cs="宋体" w:asciiTheme="minorEastAsia" w:hAnsiTheme="minorEastAsia" w:eastAsiaTheme="minorEastAsia"/>
          <w:sz w:val="24"/>
          <w:szCs w:val="24"/>
          <w:lang w:bidi="en-US"/>
        </w:rPr>
      </w:pPr>
    </w:p>
    <w:p w14:paraId="0FB8F726">
      <w:pPr>
        <w:adjustRightInd/>
        <w:snapToGrid/>
        <w:spacing w:after="0" w:line="540" w:lineRule="exact"/>
        <w:jc w:val="both"/>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响应人：（公章签章）</w:t>
      </w:r>
    </w:p>
    <w:p w14:paraId="0C2AF481">
      <w:pPr>
        <w:adjustRightInd/>
        <w:snapToGrid/>
        <w:spacing w:after="0" w:line="540" w:lineRule="exact"/>
        <w:jc w:val="both"/>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法定代表人或其委托代理人：（电子签章）</w:t>
      </w:r>
    </w:p>
    <w:p w14:paraId="717EC7BB">
      <w:pPr>
        <w:adjustRightInd/>
        <w:snapToGrid/>
        <w:spacing w:after="0" w:line="540" w:lineRule="exact"/>
        <w:jc w:val="both"/>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地址：</w:t>
      </w:r>
    </w:p>
    <w:p w14:paraId="62CE65C8">
      <w:pPr>
        <w:adjustRightInd/>
        <w:snapToGrid/>
        <w:spacing w:after="0" w:line="540" w:lineRule="exact"/>
        <w:jc w:val="both"/>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联系人：</w:t>
      </w:r>
    </w:p>
    <w:p w14:paraId="009A7719">
      <w:pPr>
        <w:adjustRightInd/>
        <w:snapToGrid/>
        <w:spacing w:after="0" w:line="540" w:lineRule="exact"/>
        <w:jc w:val="both"/>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电话：（填写能联系到的电话号码，方便通知二次报价）</w:t>
      </w:r>
    </w:p>
    <w:p w14:paraId="56A1BAF6">
      <w:pPr>
        <w:adjustRightInd/>
        <w:snapToGrid/>
        <w:spacing w:after="0" w:line="540" w:lineRule="exact"/>
        <w:jc w:val="both"/>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日期</w:t>
      </w:r>
    </w:p>
    <w:p w14:paraId="549FE777">
      <w:pPr>
        <w:keepNext/>
        <w:keepLines/>
        <w:spacing w:before="340" w:after="330"/>
        <w:jc w:val="center"/>
        <w:outlineLvl w:val="9"/>
        <w:rPr>
          <w:rFonts w:asciiTheme="minorEastAsia" w:hAnsiTheme="minorEastAsia" w:eastAsiaTheme="minorEastAsia"/>
          <w:b/>
          <w:bCs/>
          <w:kern w:val="44"/>
          <w:sz w:val="32"/>
          <w:szCs w:val="32"/>
        </w:rPr>
      </w:pPr>
      <w:r>
        <w:rPr>
          <w:rFonts w:hint="eastAsia" w:asciiTheme="minorEastAsia" w:hAnsiTheme="minorEastAsia" w:eastAsiaTheme="minorEastAsia"/>
          <w:b/>
          <w:bCs/>
          <w:kern w:val="44"/>
          <w:sz w:val="32"/>
          <w:szCs w:val="32"/>
        </w:rPr>
        <w:br w:type="page"/>
      </w:r>
      <w:bookmarkStart w:id="1092" w:name="_Toc16770588"/>
      <w:r>
        <w:rPr>
          <w:rFonts w:hint="eastAsia" w:asciiTheme="minorEastAsia" w:hAnsiTheme="minorEastAsia" w:eastAsiaTheme="minorEastAsia"/>
          <w:b/>
          <w:bCs/>
          <w:kern w:val="44"/>
          <w:sz w:val="28"/>
          <w:szCs w:val="32"/>
        </w:rPr>
        <w:t>(二)</w:t>
      </w:r>
      <w:bookmarkEnd w:id="1092"/>
      <w:bookmarkStart w:id="1093" w:name="OLE_LINK8"/>
      <w:bookmarkStart w:id="1094" w:name="OLE_LINK7"/>
      <w:r>
        <w:rPr>
          <w:rFonts w:hint="eastAsia" w:asciiTheme="minorEastAsia" w:hAnsiTheme="minorEastAsia" w:eastAsiaTheme="minorEastAsia"/>
          <w:b/>
          <w:bCs/>
          <w:kern w:val="44"/>
          <w:sz w:val="28"/>
          <w:szCs w:val="32"/>
        </w:rPr>
        <w:t>磋商报价表（第一轮）</w:t>
      </w:r>
    </w:p>
    <w:tbl>
      <w:tblPr>
        <w:tblStyle w:val="26"/>
        <w:tblW w:w="893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19"/>
        <w:gridCol w:w="1887"/>
        <w:gridCol w:w="1292"/>
        <w:gridCol w:w="1437"/>
        <w:gridCol w:w="1293"/>
        <w:gridCol w:w="1007"/>
      </w:tblGrid>
      <w:tr w14:paraId="724E27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57" w:hRule="atLeast"/>
        </w:trPr>
        <w:tc>
          <w:tcPr>
            <w:tcW w:w="2019" w:type="dxa"/>
            <w:tcBorders>
              <w:top w:val="single" w:color="auto" w:sz="4" w:space="0"/>
              <w:bottom w:val="single" w:color="auto" w:sz="4" w:space="0"/>
              <w:right w:val="single" w:color="auto" w:sz="4" w:space="0"/>
            </w:tcBorders>
            <w:vAlign w:val="center"/>
          </w:tcPr>
          <w:p w14:paraId="6547ECB2">
            <w:pPr>
              <w:autoSpaceDE w:val="0"/>
              <w:autoSpaceDN w:val="0"/>
              <w:snapToGrid/>
              <w:spacing w:line="340" w:lineRule="exact"/>
              <w:jc w:val="center"/>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项目名称</w:t>
            </w:r>
          </w:p>
        </w:tc>
        <w:tc>
          <w:tcPr>
            <w:tcW w:w="6916" w:type="dxa"/>
            <w:gridSpan w:val="5"/>
            <w:tcBorders>
              <w:top w:val="single" w:color="auto" w:sz="4" w:space="0"/>
              <w:left w:val="single" w:color="auto" w:sz="4" w:space="0"/>
              <w:bottom w:val="single" w:color="auto" w:sz="4" w:space="0"/>
            </w:tcBorders>
            <w:vAlign w:val="center"/>
          </w:tcPr>
          <w:p w14:paraId="6EB7F0DE">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p>
        </w:tc>
      </w:tr>
      <w:tr w14:paraId="5E2C3E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68" w:hRule="atLeast"/>
        </w:trPr>
        <w:tc>
          <w:tcPr>
            <w:tcW w:w="2019" w:type="dxa"/>
            <w:tcBorders>
              <w:top w:val="single" w:color="auto" w:sz="4" w:space="0"/>
              <w:bottom w:val="single" w:color="auto" w:sz="4" w:space="0"/>
              <w:right w:val="single" w:color="auto" w:sz="4" w:space="0"/>
            </w:tcBorders>
            <w:vAlign w:val="center"/>
          </w:tcPr>
          <w:p w14:paraId="3FA563A3">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bidi="en-US"/>
              </w:rPr>
              <w:t>供应商</w:t>
            </w:r>
          </w:p>
        </w:tc>
        <w:tc>
          <w:tcPr>
            <w:tcW w:w="6916" w:type="dxa"/>
            <w:gridSpan w:val="5"/>
            <w:tcBorders>
              <w:top w:val="single" w:color="auto" w:sz="4" w:space="0"/>
              <w:left w:val="single" w:color="auto" w:sz="4" w:space="0"/>
              <w:bottom w:val="single" w:color="auto" w:sz="4" w:space="0"/>
            </w:tcBorders>
            <w:vAlign w:val="center"/>
          </w:tcPr>
          <w:p w14:paraId="4CB43F13">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p>
        </w:tc>
      </w:tr>
      <w:tr w14:paraId="2D8B01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1" w:hRule="atLeast"/>
        </w:trPr>
        <w:tc>
          <w:tcPr>
            <w:tcW w:w="2019" w:type="dxa"/>
            <w:tcBorders>
              <w:top w:val="single" w:color="auto" w:sz="4" w:space="0"/>
              <w:right w:val="single" w:color="auto" w:sz="4" w:space="0"/>
            </w:tcBorders>
            <w:vAlign w:val="center"/>
          </w:tcPr>
          <w:p w14:paraId="70763E4E">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bidi="en-US"/>
              </w:rPr>
              <w:t>磋商</w:t>
            </w:r>
            <w:r>
              <w:rPr>
                <w:rFonts w:hint="eastAsia" w:cs="宋体" w:asciiTheme="minorEastAsia" w:hAnsiTheme="minorEastAsia" w:eastAsiaTheme="minorEastAsia"/>
                <w:sz w:val="24"/>
                <w:szCs w:val="24"/>
                <w:lang w:eastAsia="en-US" w:bidi="en-US"/>
              </w:rPr>
              <w:t>总报价</w:t>
            </w:r>
          </w:p>
        </w:tc>
        <w:tc>
          <w:tcPr>
            <w:tcW w:w="6916" w:type="dxa"/>
            <w:gridSpan w:val="5"/>
            <w:tcBorders>
              <w:top w:val="single" w:color="auto" w:sz="4" w:space="0"/>
              <w:left w:val="single" w:color="auto" w:sz="4" w:space="0"/>
            </w:tcBorders>
            <w:vAlign w:val="center"/>
          </w:tcPr>
          <w:p w14:paraId="3BBCA118">
            <w:pPr>
              <w:adjustRightInd/>
              <w:snapToGrid/>
              <w:spacing w:line="340" w:lineRule="exact"/>
              <w:ind w:firstLine="240" w:firstLineChars="100"/>
              <w:outlineLvl w:val="9"/>
              <w:rPr>
                <w:rFonts w:cs="宋体" w:asciiTheme="minorEastAsia" w:hAnsiTheme="minorEastAsia" w:eastAsiaTheme="minorEastAsia"/>
                <w:sz w:val="24"/>
                <w:szCs w:val="24"/>
                <w:u w:val="single"/>
                <w:lang w:bidi="en-US"/>
              </w:rPr>
            </w:pPr>
            <w:r>
              <w:rPr>
                <w:rFonts w:hint="eastAsia" w:cs="宋体" w:asciiTheme="minorEastAsia" w:hAnsiTheme="minorEastAsia" w:eastAsiaTheme="minorEastAsia"/>
                <w:sz w:val="24"/>
                <w:szCs w:val="24"/>
                <w:lang w:bidi="en-US"/>
              </w:rPr>
              <w:t>大写：</w:t>
            </w:r>
          </w:p>
          <w:p w14:paraId="3FF71201">
            <w:pPr>
              <w:spacing w:line="340" w:lineRule="exact"/>
              <w:ind w:firstLine="240" w:firstLineChars="100"/>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小写：</w:t>
            </w:r>
          </w:p>
          <w:p w14:paraId="5C2C9CAD">
            <w:pPr>
              <w:spacing w:line="340" w:lineRule="exact"/>
              <w:ind w:firstLine="240" w:firstLineChars="100"/>
              <w:outlineLvl w:val="9"/>
              <w:rPr>
                <w:rFonts w:cs="宋体" w:asciiTheme="minorEastAsia" w:hAnsiTheme="minorEastAsia" w:eastAsiaTheme="minorEastAsia"/>
                <w:sz w:val="24"/>
                <w:szCs w:val="24"/>
                <w:lang w:bidi="en-US"/>
              </w:rPr>
            </w:pPr>
            <w:r>
              <w:rPr>
                <w:rFonts w:hint="eastAsia" w:cs="宋体" w:asciiTheme="minorEastAsia" w:hAnsiTheme="minorEastAsia" w:eastAsiaTheme="minorEastAsia"/>
                <w:sz w:val="24"/>
                <w:szCs w:val="24"/>
                <w:lang w:bidi="en-US"/>
              </w:rPr>
              <w:t>（响应人应在此填写第一次报价，但以响应人最后一次的磋商报价为成交价）</w:t>
            </w:r>
          </w:p>
        </w:tc>
      </w:tr>
      <w:tr w14:paraId="3B48CE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019" w:type="dxa"/>
            <w:tcBorders>
              <w:top w:val="single" w:color="auto" w:sz="4" w:space="0"/>
              <w:bottom w:val="single" w:color="auto" w:sz="4" w:space="0"/>
              <w:right w:val="single" w:color="auto" w:sz="4" w:space="0"/>
            </w:tcBorders>
            <w:vAlign w:val="center"/>
          </w:tcPr>
          <w:p w14:paraId="3061441E">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计划工期</w:t>
            </w:r>
          </w:p>
        </w:tc>
        <w:tc>
          <w:tcPr>
            <w:tcW w:w="6916" w:type="dxa"/>
            <w:gridSpan w:val="5"/>
            <w:tcBorders>
              <w:top w:val="single" w:color="auto" w:sz="4" w:space="0"/>
              <w:left w:val="single" w:color="auto" w:sz="4" w:space="0"/>
              <w:bottom w:val="single" w:color="auto" w:sz="4" w:space="0"/>
            </w:tcBorders>
            <w:vAlign w:val="center"/>
          </w:tcPr>
          <w:p w14:paraId="55FE3C89">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p>
        </w:tc>
      </w:tr>
      <w:tr w14:paraId="514B96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019" w:type="dxa"/>
            <w:tcBorders>
              <w:top w:val="single" w:color="auto" w:sz="4" w:space="0"/>
              <w:bottom w:val="single" w:color="auto" w:sz="4" w:space="0"/>
              <w:right w:val="single" w:color="auto" w:sz="4" w:space="0"/>
            </w:tcBorders>
            <w:vAlign w:val="center"/>
          </w:tcPr>
          <w:p w14:paraId="6DC8A9C2">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资质等级</w:t>
            </w:r>
          </w:p>
        </w:tc>
        <w:tc>
          <w:tcPr>
            <w:tcW w:w="6916" w:type="dxa"/>
            <w:gridSpan w:val="5"/>
            <w:tcBorders>
              <w:top w:val="single" w:color="auto" w:sz="4" w:space="0"/>
              <w:left w:val="single" w:color="auto" w:sz="4" w:space="0"/>
              <w:bottom w:val="single" w:color="auto" w:sz="4" w:space="0"/>
            </w:tcBorders>
            <w:vAlign w:val="center"/>
          </w:tcPr>
          <w:p w14:paraId="3FA0009B">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p>
        </w:tc>
      </w:tr>
      <w:tr w14:paraId="59CCB6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019" w:type="dxa"/>
            <w:tcBorders>
              <w:top w:val="single" w:color="auto" w:sz="4" w:space="0"/>
              <w:bottom w:val="single" w:color="auto" w:sz="4" w:space="0"/>
              <w:right w:val="single" w:color="auto" w:sz="4" w:space="0"/>
            </w:tcBorders>
            <w:vAlign w:val="center"/>
          </w:tcPr>
          <w:p w14:paraId="7DBCF4F4">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质量要求</w:t>
            </w:r>
          </w:p>
        </w:tc>
        <w:tc>
          <w:tcPr>
            <w:tcW w:w="6916" w:type="dxa"/>
            <w:gridSpan w:val="5"/>
            <w:tcBorders>
              <w:top w:val="single" w:color="auto" w:sz="4" w:space="0"/>
              <w:left w:val="single" w:color="auto" w:sz="4" w:space="0"/>
              <w:bottom w:val="single" w:color="auto" w:sz="4" w:space="0"/>
            </w:tcBorders>
            <w:vAlign w:val="center"/>
          </w:tcPr>
          <w:p w14:paraId="7F076A97">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p>
        </w:tc>
      </w:tr>
      <w:tr w14:paraId="2B1CC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2019" w:type="dxa"/>
            <w:tcBorders>
              <w:top w:val="single" w:color="auto" w:sz="4" w:space="0"/>
              <w:bottom w:val="single" w:color="auto" w:sz="4" w:space="0"/>
              <w:right w:val="single" w:color="auto" w:sz="4" w:space="0"/>
            </w:tcBorders>
            <w:vAlign w:val="center"/>
          </w:tcPr>
          <w:p w14:paraId="7A19970B">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bidi="en-US"/>
              </w:rPr>
              <w:t>磋商</w:t>
            </w:r>
            <w:r>
              <w:rPr>
                <w:rFonts w:hint="eastAsia" w:cs="宋体" w:asciiTheme="minorEastAsia" w:hAnsiTheme="minorEastAsia" w:eastAsiaTheme="minorEastAsia"/>
                <w:sz w:val="24"/>
                <w:szCs w:val="24"/>
                <w:lang w:eastAsia="en-US" w:bidi="en-US"/>
              </w:rPr>
              <w:t>有效期</w:t>
            </w:r>
          </w:p>
        </w:tc>
        <w:tc>
          <w:tcPr>
            <w:tcW w:w="6916" w:type="dxa"/>
            <w:gridSpan w:val="5"/>
            <w:tcBorders>
              <w:top w:val="single" w:color="auto" w:sz="4" w:space="0"/>
              <w:left w:val="single" w:color="auto" w:sz="4" w:space="0"/>
              <w:bottom w:val="single" w:color="auto" w:sz="4" w:space="0"/>
            </w:tcBorders>
            <w:vAlign w:val="center"/>
          </w:tcPr>
          <w:p w14:paraId="5E97DA55">
            <w:pPr>
              <w:autoSpaceDE w:val="0"/>
              <w:autoSpaceDN w:val="0"/>
              <w:snapToGrid/>
              <w:spacing w:line="340" w:lineRule="exact"/>
              <w:ind w:firstLine="720" w:firstLineChars="300"/>
              <w:jc w:val="center"/>
              <w:outlineLvl w:val="9"/>
              <w:rPr>
                <w:rFonts w:cs="宋体" w:asciiTheme="minorEastAsia" w:hAnsiTheme="minorEastAsia" w:eastAsiaTheme="minorEastAsia"/>
                <w:sz w:val="24"/>
                <w:szCs w:val="24"/>
                <w:lang w:bidi="en-US"/>
              </w:rPr>
            </w:pPr>
          </w:p>
        </w:tc>
      </w:tr>
      <w:tr w14:paraId="4FAD7C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2019" w:type="dxa"/>
            <w:tcBorders>
              <w:top w:val="single" w:color="auto" w:sz="4" w:space="0"/>
              <w:bottom w:val="single" w:color="auto" w:sz="4" w:space="0"/>
              <w:right w:val="single" w:color="auto" w:sz="4" w:space="0"/>
            </w:tcBorders>
            <w:vAlign w:val="center"/>
          </w:tcPr>
          <w:p w14:paraId="2859BDCF">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项目</w:t>
            </w:r>
            <w:r>
              <w:rPr>
                <w:rFonts w:hint="eastAsia" w:cs="宋体" w:asciiTheme="minorEastAsia" w:hAnsiTheme="minorEastAsia" w:eastAsiaTheme="minorEastAsia"/>
                <w:sz w:val="24"/>
                <w:szCs w:val="24"/>
                <w:lang w:bidi="en-US"/>
              </w:rPr>
              <w:t>经理</w:t>
            </w:r>
            <w:r>
              <w:rPr>
                <w:rFonts w:hint="eastAsia" w:cs="宋体" w:asciiTheme="minorEastAsia" w:hAnsiTheme="minorEastAsia" w:eastAsiaTheme="minorEastAsia"/>
                <w:sz w:val="24"/>
                <w:szCs w:val="24"/>
                <w:lang w:eastAsia="en-US" w:bidi="en-US"/>
              </w:rPr>
              <w:t>姓名</w:t>
            </w:r>
          </w:p>
        </w:tc>
        <w:tc>
          <w:tcPr>
            <w:tcW w:w="1887" w:type="dxa"/>
            <w:tcBorders>
              <w:top w:val="single" w:color="auto" w:sz="4" w:space="0"/>
              <w:left w:val="single" w:color="auto" w:sz="4" w:space="0"/>
              <w:bottom w:val="single" w:color="auto" w:sz="4" w:space="0"/>
              <w:right w:val="single" w:color="auto" w:sz="4" w:space="0"/>
            </w:tcBorders>
            <w:vAlign w:val="center"/>
          </w:tcPr>
          <w:p w14:paraId="2C4C109E">
            <w:pPr>
              <w:autoSpaceDE w:val="0"/>
              <w:autoSpaceDN w:val="0"/>
              <w:snapToGrid/>
              <w:spacing w:line="340" w:lineRule="exact"/>
              <w:ind w:firstLine="360"/>
              <w:jc w:val="center"/>
              <w:outlineLvl w:val="9"/>
              <w:rPr>
                <w:rFonts w:cs="宋体" w:asciiTheme="minorEastAsia" w:hAnsiTheme="minorEastAsia" w:eastAsiaTheme="minorEastAsia"/>
                <w:sz w:val="24"/>
                <w:szCs w:val="24"/>
                <w:lang w:eastAsia="en-US" w:bidi="en-US"/>
              </w:rPr>
            </w:pPr>
          </w:p>
        </w:tc>
        <w:tc>
          <w:tcPr>
            <w:tcW w:w="1292" w:type="dxa"/>
            <w:tcBorders>
              <w:top w:val="single" w:color="auto" w:sz="4" w:space="0"/>
              <w:left w:val="single" w:color="auto" w:sz="4" w:space="0"/>
              <w:bottom w:val="single" w:color="auto" w:sz="4" w:space="0"/>
              <w:right w:val="single" w:color="auto" w:sz="4" w:space="0"/>
            </w:tcBorders>
            <w:vAlign w:val="center"/>
          </w:tcPr>
          <w:p w14:paraId="579C9F4F">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证书编号</w:t>
            </w:r>
          </w:p>
        </w:tc>
        <w:tc>
          <w:tcPr>
            <w:tcW w:w="1437" w:type="dxa"/>
            <w:tcBorders>
              <w:top w:val="single" w:color="auto" w:sz="4" w:space="0"/>
              <w:left w:val="single" w:color="auto" w:sz="4" w:space="0"/>
              <w:bottom w:val="single" w:color="auto" w:sz="4" w:space="0"/>
              <w:right w:val="single" w:color="auto" w:sz="4" w:space="0"/>
            </w:tcBorders>
            <w:vAlign w:val="center"/>
          </w:tcPr>
          <w:p w14:paraId="7BC1E946">
            <w:pPr>
              <w:autoSpaceDE w:val="0"/>
              <w:autoSpaceDN w:val="0"/>
              <w:snapToGrid/>
              <w:spacing w:line="340" w:lineRule="exact"/>
              <w:ind w:firstLine="360"/>
              <w:jc w:val="center"/>
              <w:outlineLvl w:val="9"/>
              <w:rPr>
                <w:rFonts w:cs="宋体" w:asciiTheme="minorEastAsia" w:hAnsiTheme="minorEastAsia" w:eastAsiaTheme="minorEastAsia"/>
                <w:sz w:val="24"/>
                <w:szCs w:val="24"/>
                <w:lang w:eastAsia="en-US" w:bidi="en-US"/>
              </w:rPr>
            </w:pPr>
          </w:p>
        </w:tc>
        <w:tc>
          <w:tcPr>
            <w:tcW w:w="1293" w:type="dxa"/>
            <w:tcBorders>
              <w:top w:val="single" w:color="auto" w:sz="4" w:space="0"/>
              <w:left w:val="single" w:color="auto" w:sz="4" w:space="0"/>
              <w:bottom w:val="single" w:color="auto" w:sz="4" w:space="0"/>
              <w:right w:val="single" w:color="auto" w:sz="4" w:space="0"/>
            </w:tcBorders>
            <w:vAlign w:val="center"/>
          </w:tcPr>
          <w:p w14:paraId="68AEFEC4">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bidi="en-US"/>
              </w:rPr>
              <w:t>证书等级</w:t>
            </w:r>
          </w:p>
        </w:tc>
        <w:tc>
          <w:tcPr>
            <w:tcW w:w="1007" w:type="dxa"/>
            <w:tcBorders>
              <w:top w:val="single" w:color="auto" w:sz="4" w:space="0"/>
              <w:left w:val="single" w:color="auto" w:sz="4" w:space="0"/>
              <w:bottom w:val="single" w:color="auto" w:sz="4" w:space="0"/>
            </w:tcBorders>
            <w:vAlign w:val="center"/>
          </w:tcPr>
          <w:p w14:paraId="4E123706">
            <w:pPr>
              <w:autoSpaceDE w:val="0"/>
              <w:autoSpaceDN w:val="0"/>
              <w:snapToGrid/>
              <w:spacing w:line="340" w:lineRule="exact"/>
              <w:ind w:firstLine="360"/>
              <w:jc w:val="center"/>
              <w:outlineLvl w:val="9"/>
              <w:rPr>
                <w:rFonts w:cs="宋体" w:asciiTheme="minorEastAsia" w:hAnsiTheme="minorEastAsia" w:eastAsiaTheme="minorEastAsia"/>
                <w:sz w:val="24"/>
                <w:szCs w:val="24"/>
                <w:lang w:eastAsia="en-US" w:bidi="en-US"/>
              </w:rPr>
            </w:pPr>
          </w:p>
        </w:tc>
      </w:tr>
      <w:tr w14:paraId="74EE98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2019" w:type="dxa"/>
            <w:tcBorders>
              <w:top w:val="single" w:color="auto" w:sz="4" w:space="0"/>
              <w:bottom w:val="single" w:color="auto" w:sz="4" w:space="0"/>
              <w:right w:val="single" w:color="auto" w:sz="4" w:space="0"/>
            </w:tcBorders>
            <w:vAlign w:val="center"/>
          </w:tcPr>
          <w:p w14:paraId="4C3F47C4">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r>
              <w:rPr>
                <w:rFonts w:hint="eastAsia" w:cs="宋体" w:asciiTheme="minorEastAsia" w:hAnsiTheme="minorEastAsia" w:eastAsiaTheme="minorEastAsia"/>
                <w:sz w:val="24"/>
                <w:szCs w:val="24"/>
                <w:lang w:eastAsia="en-US" w:bidi="en-US"/>
              </w:rPr>
              <w:t>备注</w:t>
            </w:r>
          </w:p>
        </w:tc>
        <w:tc>
          <w:tcPr>
            <w:tcW w:w="6916" w:type="dxa"/>
            <w:gridSpan w:val="5"/>
            <w:tcBorders>
              <w:top w:val="single" w:color="auto" w:sz="4" w:space="0"/>
              <w:left w:val="single" w:color="auto" w:sz="4" w:space="0"/>
              <w:bottom w:val="single" w:color="auto" w:sz="4" w:space="0"/>
            </w:tcBorders>
            <w:vAlign w:val="center"/>
          </w:tcPr>
          <w:p w14:paraId="3AF77673">
            <w:pPr>
              <w:autoSpaceDE w:val="0"/>
              <w:autoSpaceDN w:val="0"/>
              <w:snapToGrid/>
              <w:spacing w:line="340" w:lineRule="exact"/>
              <w:jc w:val="center"/>
              <w:outlineLvl w:val="9"/>
              <w:rPr>
                <w:rFonts w:cs="宋体" w:asciiTheme="minorEastAsia" w:hAnsiTheme="minorEastAsia" w:eastAsiaTheme="minorEastAsia"/>
                <w:sz w:val="24"/>
                <w:szCs w:val="24"/>
                <w:lang w:eastAsia="en-US" w:bidi="en-US"/>
              </w:rPr>
            </w:pPr>
          </w:p>
        </w:tc>
      </w:tr>
    </w:tbl>
    <w:p w14:paraId="517F39D0">
      <w:pPr>
        <w:spacing w:line="440" w:lineRule="exact"/>
        <w:outlineLvl w:val="9"/>
        <w:rPr>
          <w:rFonts w:asciiTheme="minorEastAsia" w:hAnsiTheme="minorEastAsia" w:eastAsiaTheme="minorEastAsia"/>
          <w:b/>
          <w:bCs/>
          <w:sz w:val="24"/>
        </w:rPr>
      </w:pPr>
      <w:r>
        <w:rPr>
          <w:rFonts w:hint="eastAsia" w:asciiTheme="minorEastAsia" w:hAnsiTheme="minorEastAsia" w:eastAsiaTheme="minorEastAsia"/>
          <w:b/>
          <w:bCs/>
          <w:sz w:val="24"/>
        </w:rPr>
        <w:t>注：该表中所有空白项均为必填项。</w:t>
      </w:r>
    </w:p>
    <w:p w14:paraId="2A651C3A">
      <w:pPr>
        <w:widowControl w:val="0"/>
        <w:tabs>
          <w:tab w:val="left" w:leader="underscore" w:pos="4915"/>
        </w:tabs>
        <w:adjustRightInd/>
        <w:snapToGrid/>
        <w:spacing w:line="420" w:lineRule="exact"/>
        <w:ind w:left="3179" w:leftChars="1445" w:firstLine="240" w:firstLineChars="100"/>
        <w:outlineLvl w:val="9"/>
        <w:rPr>
          <w:rFonts w:asciiTheme="minorEastAsia" w:hAnsiTheme="minorEastAsia" w:eastAsiaTheme="minorEastAsia"/>
          <w:sz w:val="24"/>
        </w:rPr>
      </w:pPr>
    </w:p>
    <w:p w14:paraId="1DB380EB">
      <w:pPr>
        <w:widowControl w:val="0"/>
        <w:tabs>
          <w:tab w:val="left" w:leader="underscore" w:pos="4915"/>
        </w:tabs>
        <w:adjustRightInd/>
        <w:snapToGrid/>
        <w:spacing w:line="420" w:lineRule="exact"/>
        <w:ind w:left="3179" w:leftChars="1445" w:firstLine="240" w:firstLineChars="100"/>
        <w:outlineLvl w:val="9"/>
        <w:rPr>
          <w:rFonts w:asciiTheme="minorEastAsia" w:hAnsiTheme="minorEastAsia" w:eastAsiaTheme="minorEastAsia"/>
          <w:sz w:val="24"/>
        </w:rPr>
      </w:pPr>
      <w:r>
        <w:rPr>
          <w:rFonts w:hint="eastAsia" w:asciiTheme="minorEastAsia" w:hAnsiTheme="minorEastAsia" w:eastAsiaTheme="minorEastAsia"/>
          <w:sz w:val="24"/>
        </w:rPr>
        <w:t>响应人：</w:t>
      </w:r>
      <w:r>
        <w:rPr>
          <w:rFonts w:hint="eastAsia" w:cs="宋体" w:asciiTheme="minorEastAsia" w:hAnsiTheme="minorEastAsia" w:eastAsiaTheme="minorEastAsia"/>
          <w:sz w:val="24"/>
          <w:szCs w:val="24"/>
          <w:u w:val="single"/>
          <w:lang w:bidi="en-US"/>
        </w:rPr>
        <w:t xml:space="preserve">          </w:t>
      </w:r>
      <w:r>
        <w:rPr>
          <w:rFonts w:hint="eastAsia" w:asciiTheme="minorEastAsia" w:hAnsiTheme="minorEastAsia" w:eastAsiaTheme="minorEastAsia"/>
          <w:sz w:val="24"/>
        </w:rPr>
        <w:t>（公章签章）</w:t>
      </w:r>
    </w:p>
    <w:p w14:paraId="1A43588D">
      <w:pPr>
        <w:widowControl w:val="0"/>
        <w:tabs>
          <w:tab w:val="left" w:leader="underscore" w:pos="7143"/>
        </w:tabs>
        <w:adjustRightInd/>
        <w:snapToGrid/>
        <w:spacing w:line="420" w:lineRule="exact"/>
        <w:ind w:left="3320"/>
        <w:outlineLvl w:val="9"/>
        <w:rPr>
          <w:rFonts w:asciiTheme="minorEastAsia" w:hAnsiTheme="minorEastAsia" w:eastAsiaTheme="minorEastAsia"/>
          <w:sz w:val="24"/>
        </w:rPr>
      </w:pPr>
      <w:r>
        <w:rPr>
          <w:rFonts w:hint="eastAsia" w:asciiTheme="minorEastAsia" w:hAnsiTheme="minorEastAsia" w:eastAsiaTheme="minorEastAsia"/>
          <w:sz w:val="24"/>
        </w:rPr>
        <w:t>法定代表人或其委托代理人：</w:t>
      </w:r>
      <w:r>
        <w:rPr>
          <w:rFonts w:hint="eastAsia" w:cs="宋体" w:asciiTheme="minorEastAsia" w:hAnsiTheme="minorEastAsia" w:eastAsiaTheme="minorEastAsia"/>
          <w:sz w:val="24"/>
          <w:szCs w:val="24"/>
          <w:u w:val="single"/>
          <w:lang w:bidi="en-US"/>
        </w:rPr>
        <w:t xml:space="preserve">     </w:t>
      </w:r>
      <w:r>
        <w:rPr>
          <w:rFonts w:hint="eastAsia" w:asciiTheme="minorEastAsia" w:hAnsiTheme="minorEastAsia" w:eastAsiaTheme="minorEastAsia"/>
          <w:sz w:val="24"/>
        </w:rPr>
        <w:t>（电子签章）</w:t>
      </w:r>
    </w:p>
    <w:p w14:paraId="62D124C8">
      <w:pPr>
        <w:widowControl w:val="0"/>
        <w:adjustRightInd/>
        <w:snapToGrid/>
        <w:spacing w:line="42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年  月  日</w:t>
      </w:r>
    </w:p>
    <w:bookmarkEnd w:id="1093"/>
    <w:bookmarkEnd w:id="1094"/>
    <w:p w14:paraId="473AEE92">
      <w:pPr>
        <w:adjustRightInd/>
        <w:snapToGrid/>
        <w:spacing w:after="0"/>
        <w:outlineLvl w:val="9"/>
        <w:rPr>
          <w:rFonts w:asciiTheme="minorEastAsia" w:hAnsiTheme="minorEastAsia" w:eastAsiaTheme="minorEastAsia"/>
          <w:sz w:val="24"/>
        </w:rPr>
      </w:pPr>
      <w:r>
        <w:rPr>
          <w:rFonts w:asciiTheme="minorEastAsia" w:hAnsiTheme="minorEastAsia" w:eastAsiaTheme="minorEastAsia"/>
          <w:sz w:val="24"/>
        </w:rPr>
        <w:br w:type="page"/>
      </w:r>
    </w:p>
    <w:p w14:paraId="6E800928">
      <w:pPr>
        <w:keepLines w:val="0"/>
        <w:widowControl/>
        <w:spacing w:before="0"/>
        <w:jc w:val="center"/>
        <w:outlineLvl w:val="9"/>
        <w:rPr>
          <w:rFonts w:asciiTheme="minorEastAsia" w:hAnsiTheme="minorEastAsia" w:eastAsiaTheme="minorEastAsia"/>
          <w:b w:val="0"/>
        </w:rPr>
      </w:pPr>
      <w:bookmarkStart w:id="1095" w:name="_Toc16770589"/>
      <w:r>
        <w:rPr>
          <w:rFonts w:hint="eastAsia" w:asciiTheme="minorEastAsia" w:hAnsiTheme="minorEastAsia" w:eastAsiaTheme="minorEastAsia"/>
        </w:rPr>
        <w:t>二、法定代表人身份证明</w:t>
      </w:r>
      <w:bookmarkEnd w:id="1095"/>
    </w:p>
    <w:p w14:paraId="19C185BE">
      <w:pPr>
        <w:spacing w:line="500" w:lineRule="exact"/>
        <w:outlineLvl w:val="9"/>
        <w:rPr>
          <w:rFonts w:cs="Calibri" w:asciiTheme="minorEastAsia" w:hAnsiTheme="minorEastAsia" w:eastAsiaTheme="minorEastAsia"/>
          <w:u w:val="single"/>
        </w:rPr>
      </w:pPr>
      <w:r>
        <w:rPr>
          <w:rFonts w:hint="eastAsia" w:cs="Calibri" w:asciiTheme="minorEastAsia" w:hAnsiTheme="minorEastAsia" w:eastAsiaTheme="minorEastAsia"/>
        </w:rPr>
        <w:t>响应人：</w:t>
      </w:r>
      <w:r>
        <w:rPr>
          <w:rFonts w:hint="eastAsia" w:cs="Calibri" w:asciiTheme="minorEastAsia" w:hAnsiTheme="minorEastAsia" w:eastAsiaTheme="minorEastAsia"/>
          <w:u w:val="single"/>
        </w:rPr>
        <w:t xml:space="preserve">                ；</w:t>
      </w:r>
    </w:p>
    <w:p w14:paraId="0A6C23FE">
      <w:pPr>
        <w:spacing w:line="500" w:lineRule="exact"/>
        <w:outlineLvl w:val="9"/>
        <w:rPr>
          <w:rFonts w:cs="Calibri" w:asciiTheme="minorEastAsia" w:hAnsiTheme="minorEastAsia" w:eastAsiaTheme="minorEastAsia"/>
          <w:u w:val="single"/>
        </w:rPr>
      </w:pPr>
      <w:r>
        <w:rPr>
          <w:rFonts w:hint="eastAsia" w:cs="Calibri" w:asciiTheme="minorEastAsia" w:hAnsiTheme="minorEastAsia" w:eastAsiaTheme="minorEastAsia"/>
        </w:rPr>
        <w:t>单位性质：</w:t>
      </w:r>
      <w:r>
        <w:rPr>
          <w:rFonts w:hint="eastAsia" w:cs="Calibri" w:asciiTheme="minorEastAsia" w:hAnsiTheme="minorEastAsia" w:eastAsiaTheme="minorEastAsia"/>
          <w:u w:val="single"/>
        </w:rPr>
        <w:t xml:space="preserve">              ；</w:t>
      </w:r>
    </w:p>
    <w:p w14:paraId="411B9142">
      <w:pPr>
        <w:spacing w:line="500" w:lineRule="exact"/>
        <w:outlineLvl w:val="9"/>
        <w:rPr>
          <w:rFonts w:cs="Calibri" w:asciiTheme="minorEastAsia" w:hAnsiTheme="minorEastAsia" w:eastAsiaTheme="minorEastAsia"/>
          <w:u w:val="single"/>
        </w:rPr>
      </w:pPr>
      <w:r>
        <w:rPr>
          <w:rFonts w:hint="eastAsia" w:cs="Calibri" w:asciiTheme="minorEastAsia" w:hAnsiTheme="minorEastAsia" w:eastAsiaTheme="minorEastAsia"/>
        </w:rPr>
        <w:t>地址：</w:t>
      </w:r>
      <w:r>
        <w:rPr>
          <w:rFonts w:hint="eastAsia" w:cs="Calibri" w:asciiTheme="minorEastAsia" w:hAnsiTheme="minorEastAsia" w:eastAsiaTheme="minorEastAsia"/>
          <w:u w:val="single"/>
        </w:rPr>
        <w:t xml:space="preserve">                  ；</w:t>
      </w:r>
    </w:p>
    <w:p w14:paraId="3BFB1A96">
      <w:pPr>
        <w:spacing w:line="500" w:lineRule="exact"/>
        <w:outlineLvl w:val="9"/>
        <w:rPr>
          <w:rFonts w:cs="Calibri" w:asciiTheme="minorEastAsia" w:hAnsiTheme="minorEastAsia" w:eastAsiaTheme="minorEastAsia"/>
        </w:rPr>
      </w:pPr>
      <w:r>
        <w:rPr>
          <w:rFonts w:hint="eastAsia" w:cs="Calibri" w:asciiTheme="minorEastAsia" w:hAnsiTheme="minorEastAsia" w:eastAsiaTheme="minorEastAsia"/>
        </w:rPr>
        <w:t>成立时间：</w:t>
      </w:r>
      <w:r>
        <w:rPr>
          <w:rFonts w:hint="eastAsia" w:cs="Calibri" w:asciiTheme="minorEastAsia" w:hAnsiTheme="minorEastAsia" w:eastAsiaTheme="minorEastAsia"/>
          <w:u w:val="single"/>
        </w:rPr>
        <w:t xml:space="preserve">     </w:t>
      </w:r>
      <w:r>
        <w:rPr>
          <w:rFonts w:hint="eastAsia" w:cs="Calibri" w:asciiTheme="minorEastAsia" w:hAnsiTheme="minorEastAsia" w:eastAsiaTheme="minorEastAsia"/>
        </w:rPr>
        <w:t>年</w:t>
      </w:r>
      <w:r>
        <w:rPr>
          <w:rFonts w:hint="eastAsia" w:cs="Calibri" w:asciiTheme="minorEastAsia" w:hAnsiTheme="minorEastAsia" w:eastAsiaTheme="minorEastAsia"/>
          <w:u w:val="single"/>
        </w:rPr>
        <w:t xml:space="preserve">    </w:t>
      </w:r>
      <w:r>
        <w:rPr>
          <w:rFonts w:hint="eastAsia" w:cs="Calibri" w:asciiTheme="minorEastAsia" w:hAnsiTheme="minorEastAsia" w:eastAsiaTheme="minorEastAsia"/>
        </w:rPr>
        <w:t>月</w:t>
      </w:r>
      <w:r>
        <w:rPr>
          <w:rFonts w:hint="eastAsia" w:cs="Calibri" w:asciiTheme="minorEastAsia" w:hAnsiTheme="minorEastAsia" w:eastAsiaTheme="minorEastAsia"/>
          <w:u w:val="single"/>
        </w:rPr>
        <w:t xml:space="preserve">    </w:t>
      </w:r>
      <w:r>
        <w:rPr>
          <w:rFonts w:hint="eastAsia" w:cs="Calibri" w:asciiTheme="minorEastAsia" w:hAnsiTheme="minorEastAsia" w:eastAsiaTheme="minorEastAsia"/>
        </w:rPr>
        <w:t>日</w:t>
      </w:r>
    </w:p>
    <w:p w14:paraId="085F0268">
      <w:pPr>
        <w:spacing w:line="500" w:lineRule="exact"/>
        <w:outlineLvl w:val="9"/>
        <w:rPr>
          <w:rFonts w:cs="Calibri" w:asciiTheme="minorEastAsia" w:hAnsiTheme="minorEastAsia" w:eastAsiaTheme="minorEastAsia"/>
          <w:u w:val="single"/>
        </w:rPr>
      </w:pPr>
      <w:r>
        <w:rPr>
          <w:rFonts w:hint="eastAsia" w:cs="Calibri" w:asciiTheme="minorEastAsia" w:hAnsiTheme="minorEastAsia" w:eastAsiaTheme="minorEastAsia"/>
        </w:rPr>
        <w:t>经营期限：</w:t>
      </w:r>
      <w:r>
        <w:rPr>
          <w:rFonts w:hint="eastAsia" w:cs="Calibri" w:asciiTheme="minorEastAsia" w:hAnsiTheme="minorEastAsia" w:eastAsiaTheme="minorEastAsia"/>
          <w:u w:val="single"/>
        </w:rPr>
        <w:t xml:space="preserve">                ； </w:t>
      </w:r>
    </w:p>
    <w:p w14:paraId="528645B4">
      <w:pPr>
        <w:spacing w:line="500" w:lineRule="exact"/>
        <w:outlineLvl w:val="9"/>
        <w:rPr>
          <w:rFonts w:cs="Calibri" w:asciiTheme="minorEastAsia" w:hAnsiTheme="minorEastAsia" w:eastAsiaTheme="minorEastAsia"/>
          <w:u w:val="single"/>
        </w:rPr>
      </w:pPr>
      <w:r>
        <w:rPr>
          <w:rFonts w:hint="eastAsia" w:cs="Calibri" w:asciiTheme="minorEastAsia" w:hAnsiTheme="minorEastAsia" w:eastAsiaTheme="minorEastAsia"/>
        </w:rPr>
        <w:t>姓名：</w:t>
      </w:r>
      <w:r>
        <w:rPr>
          <w:rFonts w:hint="eastAsia" w:cs="Calibri" w:asciiTheme="minorEastAsia" w:hAnsiTheme="minorEastAsia" w:eastAsiaTheme="minorEastAsia"/>
          <w:u w:val="single"/>
        </w:rPr>
        <w:t xml:space="preserve">              </w:t>
      </w:r>
      <w:r>
        <w:rPr>
          <w:rFonts w:hint="eastAsia" w:cs="Calibri" w:asciiTheme="minorEastAsia" w:hAnsiTheme="minorEastAsia" w:eastAsiaTheme="minorEastAsia"/>
        </w:rPr>
        <w:t xml:space="preserve">   性别：</w:t>
      </w:r>
      <w:r>
        <w:rPr>
          <w:rFonts w:hint="eastAsia" w:cs="Calibri" w:asciiTheme="minorEastAsia" w:hAnsiTheme="minorEastAsia" w:eastAsiaTheme="minorEastAsia"/>
          <w:u w:val="single"/>
        </w:rPr>
        <w:t xml:space="preserve">                ；</w:t>
      </w:r>
    </w:p>
    <w:p w14:paraId="55621523">
      <w:pPr>
        <w:spacing w:line="500" w:lineRule="exact"/>
        <w:outlineLvl w:val="9"/>
        <w:rPr>
          <w:rFonts w:cs="Calibri" w:asciiTheme="minorEastAsia" w:hAnsiTheme="minorEastAsia" w:eastAsiaTheme="minorEastAsia"/>
          <w:u w:val="single"/>
        </w:rPr>
      </w:pPr>
      <w:r>
        <w:rPr>
          <w:rFonts w:hint="eastAsia" w:cs="Calibri" w:asciiTheme="minorEastAsia" w:hAnsiTheme="minorEastAsia" w:eastAsiaTheme="minorEastAsia"/>
        </w:rPr>
        <w:t>年龄：</w:t>
      </w:r>
      <w:r>
        <w:rPr>
          <w:rFonts w:hint="eastAsia" w:cs="Calibri" w:asciiTheme="minorEastAsia" w:hAnsiTheme="minorEastAsia" w:eastAsiaTheme="minorEastAsia"/>
          <w:u w:val="single"/>
        </w:rPr>
        <w:t xml:space="preserve">             </w:t>
      </w:r>
      <w:r>
        <w:rPr>
          <w:rFonts w:hint="eastAsia" w:cs="Calibri" w:asciiTheme="minorEastAsia" w:hAnsiTheme="minorEastAsia" w:eastAsiaTheme="minorEastAsia"/>
        </w:rPr>
        <w:t xml:space="preserve">    职务：</w:t>
      </w:r>
      <w:r>
        <w:rPr>
          <w:rFonts w:hint="eastAsia" w:cs="Calibri" w:asciiTheme="minorEastAsia" w:hAnsiTheme="minorEastAsia" w:eastAsiaTheme="minorEastAsia"/>
          <w:u w:val="single"/>
        </w:rPr>
        <w:t xml:space="preserve">                ；</w:t>
      </w:r>
    </w:p>
    <w:p w14:paraId="275FE440">
      <w:pPr>
        <w:spacing w:line="500" w:lineRule="exact"/>
        <w:outlineLvl w:val="9"/>
        <w:rPr>
          <w:rFonts w:cs="Calibri" w:asciiTheme="minorEastAsia" w:hAnsiTheme="minorEastAsia" w:eastAsiaTheme="minorEastAsia"/>
        </w:rPr>
      </w:pPr>
      <w:r>
        <w:rPr>
          <w:rFonts w:hint="eastAsia" w:cs="Calibri" w:asciiTheme="minorEastAsia" w:hAnsiTheme="minorEastAsia" w:eastAsiaTheme="minorEastAsia"/>
        </w:rPr>
        <w:t>系</w:t>
      </w:r>
      <w:r>
        <w:rPr>
          <w:rFonts w:hint="eastAsia" w:cs="Calibri" w:asciiTheme="minorEastAsia" w:hAnsiTheme="minorEastAsia" w:eastAsiaTheme="minorEastAsia"/>
          <w:u w:val="single"/>
        </w:rPr>
        <w:t xml:space="preserve">                                     </w:t>
      </w:r>
      <w:r>
        <w:rPr>
          <w:rFonts w:hint="eastAsia" w:cs="Calibri" w:asciiTheme="minorEastAsia" w:hAnsiTheme="minorEastAsia" w:eastAsiaTheme="minorEastAsia"/>
        </w:rPr>
        <w:t>（供应商名称）的法定代表人。</w:t>
      </w:r>
    </w:p>
    <w:p w14:paraId="11EFD7A2">
      <w:pPr>
        <w:spacing w:line="500" w:lineRule="exact"/>
        <w:outlineLvl w:val="9"/>
        <w:rPr>
          <w:rFonts w:cs="Calibri" w:asciiTheme="minorEastAsia" w:hAnsiTheme="minorEastAsia" w:eastAsiaTheme="minorEastAsia"/>
        </w:rPr>
      </w:pPr>
      <w:r>
        <w:rPr>
          <w:rFonts w:hint="eastAsia" w:cs="Calibri" w:asciiTheme="minorEastAsia" w:hAnsiTheme="minorEastAsia" w:eastAsiaTheme="minorEastAsia"/>
        </w:rPr>
        <w:t>特此证明。</w:t>
      </w:r>
    </w:p>
    <w:p w14:paraId="6E68E28C">
      <w:pPr>
        <w:spacing w:line="500" w:lineRule="exact"/>
        <w:outlineLvl w:val="9"/>
        <w:rPr>
          <w:rFonts w:cs="Calibri" w:asciiTheme="minorEastAsia" w:hAnsiTheme="minorEastAsia" w:eastAsiaTheme="minorEastAsia"/>
        </w:rPr>
      </w:pPr>
    </w:p>
    <w:p w14:paraId="38B086F2">
      <w:pPr>
        <w:spacing w:line="500" w:lineRule="exact"/>
        <w:outlineLvl w:val="9"/>
        <w:rPr>
          <w:rFonts w:cs="Calibri" w:asciiTheme="minorEastAsia" w:hAnsiTheme="minorEastAsia" w:eastAsiaTheme="minorEastAsia"/>
        </w:rPr>
      </w:pPr>
    </w:p>
    <w:p w14:paraId="4E8A42C9">
      <w:pPr>
        <w:spacing w:line="500" w:lineRule="exact"/>
        <w:jc w:val="right"/>
        <w:outlineLvl w:val="9"/>
        <w:rPr>
          <w:rFonts w:cs="Calibri" w:asciiTheme="minorEastAsia" w:hAnsiTheme="minorEastAsia" w:eastAsiaTheme="minorEastAsia"/>
        </w:rPr>
      </w:pPr>
      <w:r>
        <w:rPr>
          <w:rFonts w:hint="eastAsia" w:cs="Calibri" w:asciiTheme="minorEastAsia" w:hAnsiTheme="minorEastAsia" w:eastAsiaTheme="minorEastAsia"/>
        </w:rPr>
        <w:t>响应人：（公章签章）</w:t>
      </w:r>
    </w:p>
    <w:p w14:paraId="43D59A17">
      <w:pPr>
        <w:spacing w:line="500" w:lineRule="exact"/>
        <w:jc w:val="right"/>
        <w:outlineLvl w:val="9"/>
        <w:rPr>
          <w:rFonts w:cs="Calibri" w:asciiTheme="minorEastAsia" w:hAnsiTheme="minorEastAsia" w:eastAsiaTheme="minorEastAsia"/>
        </w:rPr>
      </w:pPr>
      <w:r>
        <w:rPr>
          <w:rFonts w:hint="eastAsia" w:cs="Calibri" w:asciiTheme="minorEastAsia" w:hAnsiTheme="minorEastAsia" w:eastAsiaTheme="minorEastAsia"/>
        </w:rPr>
        <w:t>年   月   日</w:t>
      </w:r>
    </w:p>
    <w:p w14:paraId="24E5D18F">
      <w:pPr>
        <w:keepLines w:val="0"/>
        <w:widowControl/>
        <w:spacing w:before="0"/>
        <w:jc w:val="center"/>
        <w:outlineLvl w:val="9"/>
        <w:rPr>
          <w:rFonts w:asciiTheme="minorEastAsia" w:hAnsiTheme="minorEastAsia" w:eastAsiaTheme="minorEastAsia"/>
          <w:b w:val="0"/>
        </w:rPr>
      </w:pPr>
      <w:r>
        <w:rPr>
          <w:rFonts w:hint="eastAsia" w:asciiTheme="minorEastAsia" w:hAnsiTheme="minorEastAsia" w:eastAsiaTheme="minorEastAsia"/>
        </w:rPr>
        <w:br w:type="page"/>
      </w:r>
      <w:bookmarkStart w:id="1096" w:name="_Toc528078069"/>
      <w:bookmarkEnd w:id="1096"/>
      <w:bookmarkStart w:id="1097" w:name="_Toc16770590"/>
      <w:r>
        <w:rPr>
          <w:rFonts w:hint="eastAsia" w:asciiTheme="minorEastAsia" w:hAnsiTheme="minorEastAsia" w:eastAsiaTheme="minorEastAsia"/>
        </w:rPr>
        <w:t>三、授权委托书</w:t>
      </w:r>
      <w:bookmarkEnd w:id="1097"/>
    </w:p>
    <w:p w14:paraId="4CAA6E90">
      <w:pPr>
        <w:spacing w:line="500" w:lineRule="exact"/>
        <w:ind w:firstLine="440" w:firstLineChars="200"/>
        <w:outlineLvl w:val="9"/>
        <w:rPr>
          <w:rFonts w:cs="Calibri" w:asciiTheme="minorEastAsia" w:hAnsiTheme="minorEastAsia" w:eastAsiaTheme="minorEastAsia"/>
        </w:rPr>
      </w:pPr>
      <w:r>
        <w:rPr>
          <w:rFonts w:hint="eastAsia" w:cs="Calibri" w:asciiTheme="minorEastAsia" w:hAnsiTheme="minorEastAsia" w:eastAsiaTheme="minorEastAsia"/>
        </w:rPr>
        <w:t>本人</w:t>
      </w:r>
      <w:r>
        <w:rPr>
          <w:rFonts w:hint="eastAsia" w:cs="Calibri" w:asciiTheme="minorEastAsia" w:hAnsiTheme="minorEastAsia" w:eastAsiaTheme="minorEastAsia"/>
          <w:u w:val="single"/>
        </w:rPr>
        <w:t xml:space="preserve">（姓名）    </w:t>
      </w:r>
      <w:r>
        <w:rPr>
          <w:rFonts w:hint="eastAsia" w:cs="Calibri" w:asciiTheme="minorEastAsia" w:hAnsiTheme="minorEastAsia" w:eastAsiaTheme="minorEastAsia"/>
        </w:rPr>
        <w:t>系</w:t>
      </w:r>
      <w:r>
        <w:rPr>
          <w:rFonts w:hint="eastAsia" w:cs="Calibri" w:asciiTheme="minorEastAsia" w:hAnsiTheme="minorEastAsia" w:eastAsiaTheme="minorEastAsia"/>
          <w:u w:val="single"/>
        </w:rPr>
        <w:t xml:space="preserve">（响应人名称）     </w:t>
      </w:r>
      <w:r>
        <w:rPr>
          <w:rFonts w:hint="eastAsia" w:cs="Calibri" w:asciiTheme="minorEastAsia" w:hAnsiTheme="minorEastAsia" w:eastAsiaTheme="minorEastAsia"/>
        </w:rPr>
        <w:t>的法定代表人，现委托</w:t>
      </w:r>
      <w:r>
        <w:rPr>
          <w:rFonts w:hint="eastAsia" w:cs="Calibri" w:asciiTheme="minorEastAsia" w:hAnsiTheme="minorEastAsia" w:eastAsiaTheme="minorEastAsia"/>
          <w:u w:val="single"/>
        </w:rPr>
        <w:t xml:space="preserve">（姓名）    </w:t>
      </w:r>
      <w:r>
        <w:rPr>
          <w:rFonts w:hint="eastAsia" w:cs="Calibri" w:asciiTheme="minorEastAsia" w:hAnsiTheme="minorEastAsia" w:eastAsiaTheme="minorEastAsia"/>
        </w:rPr>
        <w:t>为我方代理人。代理人根据授权，以我方名义签署、澄清、说明、补正、递交、撤回、修改</w:t>
      </w:r>
      <w:r>
        <w:rPr>
          <w:rFonts w:hint="eastAsia" w:cs="Calibri" w:asciiTheme="minorEastAsia" w:hAnsiTheme="minorEastAsia" w:eastAsiaTheme="minorEastAsia"/>
          <w:u w:val="single"/>
        </w:rPr>
        <w:t xml:space="preserve">（项目名称）      </w:t>
      </w:r>
      <w:r>
        <w:rPr>
          <w:rFonts w:hint="eastAsia" w:cs="Calibri" w:asciiTheme="minorEastAsia" w:hAnsiTheme="minorEastAsia" w:eastAsiaTheme="minorEastAsia"/>
        </w:rPr>
        <w:t>响应文件、签订合同和处理有关事宜，其法律后果由我方承担。</w:t>
      </w:r>
    </w:p>
    <w:p w14:paraId="6610C7F0">
      <w:pPr>
        <w:spacing w:line="500" w:lineRule="exact"/>
        <w:ind w:firstLine="440" w:firstLineChars="200"/>
        <w:outlineLvl w:val="9"/>
        <w:rPr>
          <w:rFonts w:cs="Calibri" w:asciiTheme="minorEastAsia" w:hAnsiTheme="minorEastAsia" w:eastAsiaTheme="minorEastAsia"/>
          <w:u w:val="single"/>
        </w:rPr>
      </w:pPr>
      <w:r>
        <w:rPr>
          <w:rFonts w:hint="eastAsia" w:cs="Calibri" w:asciiTheme="minorEastAsia" w:hAnsiTheme="minorEastAsia" w:eastAsiaTheme="minorEastAsia"/>
        </w:rPr>
        <w:t>委托期限：</w:t>
      </w:r>
    </w:p>
    <w:p w14:paraId="5F5D039C">
      <w:pPr>
        <w:spacing w:line="500" w:lineRule="exact"/>
        <w:ind w:firstLine="440" w:firstLineChars="200"/>
        <w:outlineLvl w:val="9"/>
        <w:rPr>
          <w:rFonts w:cs="Calibri" w:asciiTheme="minorEastAsia" w:hAnsiTheme="minorEastAsia" w:eastAsiaTheme="minorEastAsia"/>
        </w:rPr>
      </w:pPr>
      <w:r>
        <w:rPr>
          <w:rFonts w:hint="eastAsia" w:cs="Calibri" w:asciiTheme="minorEastAsia" w:hAnsiTheme="minorEastAsia" w:eastAsiaTheme="minorEastAsia"/>
        </w:rPr>
        <w:t>代理人无转委托权。</w:t>
      </w:r>
    </w:p>
    <w:p w14:paraId="45101EAB">
      <w:pPr>
        <w:spacing w:line="500" w:lineRule="exact"/>
        <w:ind w:firstLine="440" w:firstLineChars="200"/>
        <w:outlineLvl w:val="9"/>
        <w:rPr>
          <w:rFonts w:cs="Calibri" w:asciiTheme="minorEastAsia" w:hAnsiTheme="minorEastAsia" w:eastAsiaTheme="minorEastAsia"/>
        </w:rPr>
      </w:pPr>
      <w:r>
        <w:rPr>
          <w:rFonts w:hint="eastAsia" w:cs="Calibri" w:asciiTheme="minorEastAsia" w:hAnsiTheme="minorEastAsia" w:eastAsiaTheme="minorEastAsia"/>
        </w:rPr>
        <w:t>附：法定代表人身份证复印件及授权代理人身份证复印件</w:t>
      </w:r>
    </w:p>
    <w:p w14:paraId="20566592">
      <w:pPr>
        <w:spacing w:line="500" w:lineRule="exact"/>
        <w:outlineLvl w:val="9"/>
        <w:rPr>
          <w:rFonts w:cs="Calibri" w:asciiTheme="minorEastAsia" w:hAnsiTheme="minorEastAsia" w:eastAsiaTheme="minorEastAsia"/>
        </w:rPr>
      </w:pPr>
    </w:p>
    <w:p w14:paraId="267BEEBF">
      <w:pPr>
        <w:widowControl w:val="0"/>
        <w:adjustRightInd/>
        <w:snapToGrid/>
        <w:spacing w:after="0" w:line="360" w:lineRule="auto"/>
        <w:ind w:firstLine="2783" w:firstLineChars="1265"/>
        <w:outlineLvl w:val="9"/>
        <w:rPr>
          <w:rFonts w:cs="Calibri" w:asciiTheme="minorEastAsia" w:hAnsiTheme="minorEastAsia" w:eastAsiaTheme="minorEastAsia"/>
        </w:rPr>
      </w:pPr>
      <w:r>
        <w:rPr>
          <w:rFonts w:hint="eastAsia" w:cs="Calibri" w:asciiTheme="minorEastAsia" w:hAnsiTheme="minorEastAsia" w:eastAsiaTheme="minorEastAsia"/>
        </w:rPr>
        <w:t>供应商：（盖章）</w:t>
      </w:r>
    </w:p>
    <w:p w14:paraId="3FEDB18E">
      <w:pPr>
        <w:widowControl w:val="0"/>
        <w:adjustRightInd/>
        <w:snapToGrid/>
        <w:spacing w:after="0" w:line="360" w:lineRule="auto"/>
        <w:ind w:firstLine="2783" w:firstLineChars="1265"/>
        <w:outlineLvl w:val="9"/>
        <w:rPr>
          <w:rFonts w:cs="Calibri" w:asciiTheme="minorEastAsia" w:hAnsiTheme="minorEastAsia" w:eastAsiaTheme="minorEastAsia"/>
        </w:rPr>
      </w:pPr>
      <w:r>
        <w:rPr>
          <w:rFonts w:hint="eastAsia" w:cs="Calibri" w:asciiTheme="minorEastAsia" w:hAnsiTheme="minorEastAsia" w:eastAsiaTheme="minorEastAsia"/>
        </w:rPr>
        <w:t>法定代表人：（签字或盖章）</w:t>
      </w:r>
    </w:p>
    <w:p w14:paraId="3D52456B">
      <w:pPr>
        <w:widowControl w:val="0"/>
        <w:adjustRightInd/>
        <w:snapToGrid/>
        <w:spacing w:after="0" w:line="360" w:lineRule="auto"/>
        <w:ind w:firstLine="2783" w:firstLineChars="1265"/>
        <w:outlineLvl w:val="9"/>
        <w:rPr>
          <w:rFonts w:cs="Calibri" w:asciiTheme="minorEastAsia" w:hAnsiTheme="minorEastAsia" w:eastAsiaTheme="minorEastAsia"/>
        </w:rPr>
      </w:pPr>
      <w:r>
        <w:rPr>
          <w:rFonts w:hint="eastAsia" w:cs="Calibri" w:asciiTheme="minorEastAsia" w:hAnsiTheme="minorEastAsia" w:eastAsiaTheme="minorEastAsia"/>
        </w:rPr>
        <w:t>身份证号码：</w:t>
      </w:r>
    </w:p>
    <w:p w14:paraId="6EDF43F2">
      <w:pPr>
        <w:widowControl w:val="0"/>
        <w:adjustRightInd/>
        <w:snapToGrid/>
        <w:spacing w:after="0" w:line="360" w:lineRule="auto"/>
        <w:ind w:firstLine="2783" w:firstLineChars="1265"/>
        <w:outlineLvl w:val="9"/>
        <w:rPr>
          <w:rFonts w:cs="Calibri" w:asciiTheme="minorEastAsia" w:hAnsiTheme="minorEastAsia" w:eastAsiaTheme="minorEastAsia"/>
        </w:rPr>
      </w:pPr>
      <w:r>
        <w:rPr>
          <w:rFonts w:hint="eastAsia" w:cs="Calibri" w:asciiTheme="minorEastAsia" w:hAnsiTheme="minorEastAsia" w:eastAsiaTheme="minorEastAsia"/>
        </w:rPr>
        <w:t>代理人：（签字或盖章）</w:t>
      </w:r>
    </w:p>
    <w:p w14:paraId="016E1BD9">
      <w:pPr>
        <w:widowControl w:val="0"/>
        <w:adjustRightInd/>
        <w:snapToGrid/>
        <w:spacing w:after="0" w:line="360" w:lineRule="auto"/>
        <w:ind w:firstLine="2783" w:firstLineChars="1265"/>
        <w:outlineLvl w:val="9"/>
        <w:rPr>
          <w:rFonts w:cs="Calibri" w:asciiTheme="minorEastAsia" w:hAnsiTheme="minorEastAsia" w:eastAsiaTheme="minorEastAsia"/>
        </w:rPr>
      </w:pPr>
      <w:r>
        <w:rPr>
          <w:rFonts w:hint="eastAsia" w:cs="Calibri" w:asciiTheme="minorEastAsia" w:hAnsiTheme="minorEastAsia" w:eastAsiaTheme="minorEastAsia"/>
        </w:rPr>
        <w:t>代理人身份证号码：</w:t>
      </w:r>
    </w:p>
    <w:p w14:paraId="753BD6E0">
      <w:pPr>
        <w:spacing w:line="400" w:lineRule="exact"/>
        <w:ind w:firstLine="2860" w:firstLineChars="1300"/>
        <w:outlineLvl w:val="9"/>
        <w:rPr>
          <w:rFonts w:cs="Calibri" w:asciiTheme="minorEastAsia" w:hAnsiTheme="minorEastAsia" w:eastAsiaTheme="minorEastAsia"/>
        </w:rPr>
      </w:pPr>
      <w:r>
        <w:rPr>
          <w:rFonts w:hint="eastAsia" w:cs="Calibri" w:asciiTheme="minorEastAsia" w:hAnsiTheme="minorEastAsia" w:eastAsiaTheme="minorEastAsia"/>
        </w:rPr>
        <w:t>日期：年     月    日</w:t>
      </w:r>
    </w:p>
    <w:p w14:paraId="465DC217">
      <w:pPr>
        <w:spacing w:line="540" w:lineRule="exact"/>
        <w:jc w:val="center"/>
        <w:outlineLvl w:val="9"/>
        <w:rPr>
          <w:rFonts w:asciiTheme="minorEastAsia" w:hAnsiTheme="minorEastAsia" w:eastAsiaTheme="minorEastAsia"/>
          <w:sz w:val="36"/>
          <w:szCs w:val="36"/>
        </w:rPr>
      </w:pPr>
      <w:r>
        <w:rPr>
          <w:rFonts w:hint="eastAsia" w:asciiTheme="minorEastAsia" w:hAnsiTheme="minorEastAsia" w:eastAsiaTheme="minorEastAsia"/>
        </w:rPr>
        <w:br w:type="page"/>
      </w:r>
      <w:bookmarkStart w:id="1098" w:name="_Toc361989463"/>
      <w:bookmarkEnd w:id="1098"/>
      <w:bookmarkStart w:id="1099" w:name="_Toc361989462"/>
      <w:bookmarkEnd w:id="1099"/>
      <w:bookmarkStart w:id="1100" w:name="_Toc244934212"/>
      <w:bookmarkEnd w:id="1100"/>
      <w:bookmarkStart w:id="1101" w:name="_Toc179632814"/>
      <w:bookmarkEnd w:id="1101"/>
      <w:bookmarkStart w:id="1102" w:name="_Toc246996362"/>
      <w:bookmarkEnd w:id="1102"/>
      <w:bookmarkStart w:id="1103" w:name="_Toc528078072"/>
      <w:bookmarkEnd w:id="1103"/>
      <w:bookmarkStart w:id="1104" w:name="_Toc394651926"/>
      <w:bookmarkEnd w:id="1104"/>
      <w:bookmarkStart w:id="1105" w:name="_Toc10777"/>
      <w:bookmarkEnd w:id="1105"/>
      <w:bookmarkStart w:id="1106" w:name="_Toc152042583"/>
      <w:bookmarkEnd w:id="1106"/>
      <w:bookmarkStart w:id="1107" w:name="_Toc144974862"/>
      <w:bookmarkEnd w:id="1107"/>
      <w:bookmarkStart w:id="1108" w:name="_Toc247085880"/>
      <w:bookmarkEnd w:id="1108"/>
      <w:bookmarkStart w:id="1109" w:name="_Toc246997105"/>
      <w:bookmarkEnd w:id="1109"/>
      <w:bookmarkStart w:id="1110" w:name="_Toc152045794"/>
      <w:bookmarkEnd w:id="1110"/>
      <w:bookmarkStart w:id="1111" w:name="_Toc244934213"/>
      <w:bookmarkEnd w:id="1111"/>
    </w:p>
    <w:p w14:paraId="36C40CF5">
      <w:pPr>
        <w:outlineLvl w:val="9"/>
        <w:rPr>
          <w:rFonts w:asciiTheme="minorEastAsia" w:hAnsiTheme="minorEastAsia" w:eastAsiaTheme="minorEastAsia"/>
          <w:b/>
          <w:bCs/>
          <w:sz w:val="28"/>
          <w:szCs w:val="28"/>
        </w:rPr>
        <w:sectPr>
          <w:footerReference r:id="rId5" w:type="default"/>
          <w:pgSz w:w="11907" w:h="16840"/>
          <w:pgMar w:top="1440" w:right="1758" w:bottom="1440" w:left="1758" w:header="720" w:footer="720" w:gutter="0"/>
          <w:cols w:space="720" w:num="1"/>
          <w:docGrid w:type="lines" w:linePitch="299" w:charSpace="0"/>
        </w:sectPr>
      </w:pPr>
    </w:p>
    <w:p w14:paraId="6F48480C">
      <w:pPr>
        <w:keepNext/>
        <w:keepLines/>
        <w:widowControl w:val="0"/>
        <w:adjustRightInd/>
        <w:snapToGrid/>
        <w:spacing w:before="260" w:after="260" w:line="416" w:lineRule="auto"/>
        <w:jc w:val="center"/>
        <w:outlineLvl w:val="9"/>
        <w:rPr>
          <w:rFonts w:cs="Times New Roman" w:asciiTheme="minorEastAsia" w:hAnsiTheme="minorEastAsia" w:eastAsiaTheme="minorEastAsia"/>
          <w:b/>
          <w:bCs/>
          <w:kern w:val="2"/>
          <w:sz w:val="32"/>
          <w:szCs w:val="30"/>
        </w:rPr>
      </w:pPr>
      <w:bookmarkStart w:id="1112" w:name="_Toc454959348"/>
      <w:bookmarkStart w:id="1113" w:name="_Toc422041010"/>
      <w:bookmarkStart w:id="1114" w:name="_Toc395626667"/>
      <w:bookmarkStart w:id="1115" w:name="_Toc312141140"/>
      <w:r>
        <w:rPr>
          <w:rFonts w:hint="eastAsia" w:cs="Times New Roman" w:asciiTheme="minorEastAsia" w:hAnsiTheme="minorEastAsia" w:eastAsiaTheme="minorEastAsia"/>
          <w:b/>
          <w:bCs/>
          <w:kern w:val="2"/>
          <w:sz w:val="32"/>
          <w:szCs w:val="30"/>
        </w:rPr>
        <w:t>四、已标价工程量清单</w:t>
      </w:r>
      <w:bookmarkEnd w:id="1112"/>
    </w:p>
    <w:p w14:paraId="431D98DE">
      <w:pPr>
        <w:tabs>
          <w:tab w:val="left" w:pos="720"/>
        </w:tabs>
        <w:spacing w:line="440" w:lineRule="exact"/>
        <w:ind w:firstLine="602" w:firstLineChars="200"/>
        <w:jc w:val="center"/>
        <w:outlineLvl w:val="9"/>
        <w:rPr>
          <w:rFonts w:cs="Times New Roman" w:asciiTheme="minorEastAsia" w:hAnsiTheme="minorEastAsia" w:eastAsiaTheme="minorEastAsia"/>
          <w:b/>
          <w:bCs/>
          <w:sz w:val="30"/>
          <w:szCs w:val="32"/>
          <w:u w:color="000000"/>
        </w:rPr>
      </w:pPr>
    </w:p>
    <w:p w14:paraId="1AD5B879">
      <w:pPr>
        <w:adjustRightInd/>
        <w:snapToGrid/>
        <w:spacing w:after="0"/>
        <w:outlineLvl w:val="9"/>
        <w:rPr>
          <w:rFonts w:cs="Times New Roman" w:asciiTheme="minorEastAsia" w:hAnsiTheme="minorEastAsia" w:eastAsiaTheme="minorEastAsia"/>
          <w:b/>
          <w:bCs/>
          <w:sz w:val="30"/>
          <w:szCs w:val="32"/>
          <w:u w:color="000000"/>
        </w:rPr>
      </w:pPr>
      <w:r>
        <w:rPr>
          <w:rFonts w:cs="Times New Roman" w:asciiTheme="minorEastAsia" w:hAnsiTheme="minorEastAsia" w:eastAsiaTheme="minorEastAsia"/>
          <w:b/>
          <w:bCs/>
          <w:sz w:val="30"/>
          <w:szCs w:val="32"/>
          <w:u w:color="000000"/>
        </w:rPr>
        <w:br w:type="page"/>
      </w:r>
    </w:p>
    <w:p w14:paraId="656B7B74">
      <w:pPr>
        <w:tabs>
          <w:tab w:val="left" w:pos="720"/>
        </w:tabs>
        <w:spacing w:line="440" w:lineRule="exact"/>
        <w:ind w:firstLine="643" w:firstLineChars="200"/>
        <w:jc w:val="center"/>
        <w:outlineLvl w:val="9"/>
        <w:rPr>
          <w:rFonts w:cs="Times New Roman" w:asciiTheme="minorEastAsia" w:hAnsiTheme="minorEastAsia" w:eastAsiaTheme="minorEastAsia"/>
          <w:b/>
          <w:bCs/>
          <w:sz w:val="32"/>
          <w:szCs w:val="32"/>
          <w:u w:color="000000"/>
        </w:rPr>
      </w:pPr>
      <w:r>
        <w:rPr>
          <w:rFonts w:hint="eastAsia" w:cs="Times New Roman" w:asciiTheme="minorEastAsia" w:hAnsiTheme="minorEastAsia" w:eastAsiaTheme="minorEastAsia"/>
          <w:b/>
          <w:bCs/>
          <w:sz w:val="32"/>
          <w:szCs w:val="32"/>
          <w:u w:color="000000"/>
        </w:rPr>
        <w:t>五、</w:t>
      </w:r>
      <w:bookmarkEnd w:id="1113"/>
      <w:bookmarkEnd w:id="1114"/>
      <w:bookmarkEnd w:id="1115"/>
      <w:r>
        <w:rPr>
          <w:rFonts w:hint="eastAsia" w:cs="Times New Roman" w:asciiTheme="minorEastAsia" w:hAnsiTheme="minorEastAsia" w:eastAsiaTheme="minorEastAsia"/>
          <w:b/>
          <w:bCs/>
          <w:sz w:val="32"/>
          <w:szCs w:val="32"/>
          <w:u w:color="000000"/>
        </w:rPr>
        <w:t>施工组织设计</w:t>
      </w:r>
    </w:p>
    <w:p w14:paraId="1F77021D">
      <w:pPr>
        <w:tabs>
          <w:tab w:val="left" w:pos="720"/>
        </w:tabs>
        <w:spacing w:line="440" w:lineRule="exact"/>
        <w:ind w:firstLine="480" w:firstLineChars="200"/>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1. 供应商编制施工组织设计的要求：编制时应简明扼要地说明施工方法，工程质量、安全生产、文明施工、环境保护、冬雨季施工、工程进度、技术组织等主要措施。用图表形式阐明本项目的施工总平面、进度计划以及拟投入主要施工设备、劳动力、项目管理机构等。</w:t>
      </w:r>
    </w:p>
    <w:p w14:paraId="7902A39D">
      <w:pPr>
        <w:widowControl w:val="0"/>
        <w:tabs>
          <w:tab w:val="left" w:pos="720"/>
        </w:tabs>
        <w:adjustRightInd/>
        <w:snapToGrid/>
        <w:spacing w:after="0" w:line="440" w:lineRule="exact"/>
        <w:ind w:firstLine="480" w:firstLineChars="200"/>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2. 图表及格式要求：</w:t>
      </w:r>
    </w:p>
    <w:p w14:paraId="3513EDDE">
      <w:pPr>
        <w:widowControl w:val="0"/>
        <w:tabs>
          <w:tab w:val="left" w:pos="720"/>
        </w:tabs>
        <w:adjustRightInd/>
        <w:snapToGrid/>
        <w:spacing w:after="0" w:line="440" w:lineRule="exact"/>
        <w:ind w:firstLine="864" w:firstLineChars="360"/>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附表一  拟投入的主要施工设备表</w:t>
      </w:r>
    </w:p>
    <w:p w14:paraId="33F64E08">
      <w:pPr>
        <w:widowControl w:val="0"/>
        <w:tabs>
          <w:tab w:val="left" w:pos="720"/>
        </w:tabs>
        <w:adjustRightInd/>
        <w:snapToGrid/>
        <w:spacing w:after="0" w:line="440" w:lineRule="exact"/>
        <w:ind w:firstLine="864" w:firstLineChars="360"/>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附表二  劳动力计划表</w:t>
      </w:r>
    </w:p>
    <w:p w14:paraId="22FB1E8A">
      <w:pPr>
        <w:widowControl w:val="0"/>
        <w:tabs>
          <w:tab w:val="left" w:pos="720"/>
        </w:tabs>
        <w:adjustRightInd/>
        <w:snapToGrid/>
        <w:spacing w:after="0" w:line="440" w:lineRule="exact"/>
        <w:ind w:firstLine="864" w:firstLineChars="360"/>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附表三  进度计划</w:t>
      </w:r>
    </w:p>
    <w:p w14:paraId="0BCC992C">
      <w:pPr>
        <w:widowControl w:val="0"/>
        <w:tabs>
          <w:tab w:val="left" w:pos="720"/>
        </w:tabs>
        <w:adjustRightInd/>
        <w:snapToGrid/>
        <w:spacing w:after="0" w:line="440" w:lineRule="exact"/>
        <w:ind w:firstLine="864" w:firstLineChars="360"/>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附表四  施工总平面图</w:t>
      </w:r>
    </w:p>
    <w:p w14:paraId="55C6BA4E">
      <w:pPr>
        <w:widowControl w:val="0"/>
        <w:adjustRightInd/>
        <w:snapToGrid/>
        <w:spacing w:after="0" w:line="440" w:lineRule="exact"/>
        <w:jc w:val="both"/>
        <w:outlineLvl w:val="9"/>
        <w:rPr>
          <w:rFonts w:cs="宋体" w:asciiTheme="minorEastAsia" w:hAnsiTheme="minorEastAsia" w:eastAsiaTheme="minorEastAsia"/>
          <w:b/>
          <w:bCs/>
          <w:kern w:val="2"/>
          <w:sz w:val="24"/>
        </w:rPr>
      </w:pPr>
      <w:r>
        <w:rPr>
          <w:rFonts w:hint="eastAsia" w:cs="宋体" w:asciiTheme="minorEastAsia" w:hAnsiTheme="minorEastAsia" w:eastAsiaTheme="minorEastAsia"/>
          <w:kern w:val="2"/>
          <w:sz w:val="20"/>
          <w:szCs w:val="20"/>
        </w:rPr>
        <w:br w:type="page"/>
      </w:r>
      <w:bookmarkStart w:id="1116" w:name="_Toc246997108"/>
      <w:bookmarkStart w:id="1117" w:name="_Toc144974865"/>
      <w:bookmarkStart w:id="1118" w:name="_Toc152045797"/>
      <w:bookmarkStart w:id="1119" w:name="_Toc296602610"/>
      <w:bookmarkStart w:id="1120" w:name="_Toc179632817"/>
      <w:bookmarkStart w:id="1121" w:name="_Toc152042586"/>
      <w:bookmarkStart w:id="1122" w:name="_Toc247085883"/>
      <w:bookmarkStart w:id="1123" w:name="_Toc246996365"/>
      <w:r>
        <w:rPr>
          <w:rFonts w:hint="eastAsia" w:cs="宋体" w:asciiTheme="minorEastAsia" w:hAnsiTheme="minorEastAsia" w:eastAsiaTheme="minorEastAsia"/>
          <w:b/>
          <w:bCs/>
          <w:kern w:val="2"/>
          <w:sz w:val="24"/>
        </w:rPr>
        <w:t>附表一：拟投入本项目的主要施工设备表</w:t>
      </w:r>
      <w:bookmarkEnd w:id="1116"/>
      <w:bookmarkEnd w:id="1117"/>
      <w:bookmarkEnd w:id="1118"/>
      <w:bookmarkEnd w:id="1119"/>
      <w:bookmarkEnd w:id="1120"/>
      <w:bookmarkEnd w:id="1121"/>
      <w:bookmarkEnd w:id="1122"/>
      <w:bookmarkEnd w:id="1123"/>
    </w:p>
    <w:p w14:paraId="6A05D212">
      <w:pPr>
        <w:widowControl w:val="0"/>
        <w:adjustRightInd/>
        <w:snapToGrid/>
        <w:spacing w:after="0" w:line="440" w:lineRule="exact"/>
        <w:jc w:val="both"/>
        <w:outlineLvl w:val="9"/>
        <w:rPr>
          <w:rFonts w:cs="宋体" w:asciiTheme="minorEastAsia" w:hAnsiTheme="minorEastAsia" w:eastAsiaTheme="minorEastAsia"/>
          <w:kern w:val="2"/>
          <w:sz w:val="24"/>
        </w:rPr>
      </w:pPr>
    </w:p>
    <w:tbl>
      <w:tblPr>
        <w:tblStyle w:val="26"/>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003"/>
        <w:gridCol w:w="761"/>
        <w:gridCol w:w="929"/>
        <w:gridCol w:w="733"/>
        <w:gridCol w:w="738"/>
        <w:gridCol w:w="1212"/>
        <w:gridCol w:w="874"/>
        <w:gridCol w:w="1055"/>
        <w:gridCol w:w="691"/>
      </w:tblGrid>
      <w:tr w14:paraId="3D79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04DA2F5A">
            <w:pPr>
              <w:widowControl w:val="0"/>
              <w:adjustRightInd/>
              <w:snapToGrid/>
              <w:spacing w:after="0" w:line="440" w:lineRule="exact"/>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序号</w:t>
            </w:r>
          </w:p>
        </w:tc>
        <w:tc>
          <w:tcPr>
            <w:tcW w:w="1003" w:type="dxa"/>
            <w:vAlign w:val="center"/>
          </w:tcPr>
          <w:p w14:paraId="22213364">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设备名称</w:t>
            </w:r>
          </w:p>
        </w:tc>
        <w:tc>
          <w:tcPr>
            <w:tcW w:w="761" w:type="dxa"/>
            <w:vAlign w:val="center"/>
          </w:tcPr>
          <w:p w14:paraId="44EC1E4E">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型号</w:t>
            </w:r>
          </w:p>
          <w:p w14:paraId="42012ABE">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规格</w:t>
            </w:r>
          </w:p>
        </w:tc>
        <w:tc>
          <w:tcPr>
            <w:tcW w:w="929" w:type="dxa"/>
            <w:vAlign w:val="center"/>
          </w:tcPr>
          <w:p w14:paraId="6BAE6C0A">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数量</w:t>
            </w:r>
          </w:p>
        </w:tc>
        <w:tc>
          <w:tcPr>
            <w:tcW w:w="733" w:type="dxa"/>
            <w:vAlign w:val="center"/>
          </w:tcPr>
          <w:p w14:paraId="35177C3D">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国别</w:t>
            </w:r>
          </w:p>
          <w:p w14:paraId="33FE3380">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产地</w:t>
            </w:r>
          </w:p>
        </w:tc>
        <w:tc>
          <w:tcPr>
            <w:tcW w:w="738" w:type="dxa"/>
            <w:vAlign w:val="center"/>
          </w:tcPr>
          <w:p w14:paraId="5D4B7DFC">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制造</w:t>
            </w:r>
          </w:p>
          <w:p w14:paraId="01BFC927">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年份</w:t>
            </w:r>
          </w:p>
        </w:tc>
        <w:tc>
          <w:tcPr>
            <w:tcW w:w="1212" w:type="dxa"/>
            <w:vAlign w:val="center"/>
          </w:tcPr>
          <w:p w14:paraId="5A214A79">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额定功率（kW）</w:t>
            </w:r>
          </w:p>
        </w:tc>
        <w:tc>
          <w:tcPr>
            <w:tcW w:w="874" w:type="dxa"/>
            <w:vAlign w:val="center"/>
          </w:tcPr>
          <w:p w14:paraId="57EE8A44">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生产</w:t>
            </w:r>
          </w:p>
          <w:p w14:paraId="38BCBD8E">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能力</w:t>
            </w:r>
          </w:p>
        </w:tc>
        <w:tc>
          <w:tcPr>
            <w:tcW w:w="1055" w:type="dxa"/>
            <w:vAlign w:val="center"/>
          </w:tcPr>
          <w:p w14:paraId="047509D2">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用于施工部位</w:t>
            </w:r>
          </w:p>
        </w:tc>
        <w:tc>
          <w:tcPr>
            <w:tcW w:w="691" w:type="dxa"/>
            <w:vAlign w:val="center"/>
          </w:tcPr>
          <w:p w14:paraId="297E79C8">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备注</w:t>
            </w:r>
          </w:p>
        </w:tc>
      </w:tr>
      <w:tr w14:paraId="3301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62F56DF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vAlign w:val="center"/>
          </w:tcPr>
          <w:p w14:paraId="04DEEBF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vAlign w:val="center"/>
          </w:tcPr>
          <w:p w14:paraId="4E0C1B9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vAlign w:val="center"/>
          </w:tcPr>
          <w:p w14:paraId="242FF65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vAlign w:val="center"/>
          </w:tcPr>
          <w:p w14:paraId="3AA4867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vAlign w:val="center"/>
          </w:tcPr>
          <w:p w14:paraId="1E90A4E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vAlign w:val="center"/>
          </w:tcPr>
          <w:p w14:paraId="49AD596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vAlign w:val="center"/>
          </w:tcPr>
          <w:p w14:paraId="50C88EB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vAlign w:val="center"/>
          </w:tcPr>
          <w:p w14:paraId="45911B5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vAlign w:val="center"/>
          </w:tcPr>
          <w:p w14:paraId="42CB5256">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0A585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Align w:val="center"/>
          </w:tcPr>
          <w:p w14:paraId="7318FA0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vAlign w:val="center"/>
          </w:tcPr>
          <w:p w14:paraId="2758438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vAlign w:val="center"/>
          </w:tcPr>
          <w:p w14:paraId="6C7BE14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vAlign w:val="center"/>
          </w:tcPr>
          <w:p w14:paraId="29F3112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vAlign w:val="center"/>
          </w:tcPr>
          <w:p w14:paraId="531EA63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vAlign w:val="center"/>
          </w:tcPr>
          <w:p w14:paraId="7AFA94F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vAlign w:val="center"/>
          </w:tcPr>
          <w:p w14:paraId="18E1D5E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vAlign w:val="center"/>
          </w:tcPr>
          <w:p w14:paraId="7E23451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vAlign w:val="center"/>
          </w:tcPr>
          <w:p w14:paraId="185255B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vAlign w:val="center"/>
          </w:tcPr>
          <w:p w14:paraId="0B2050D1">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1BF9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6D8F48F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2CF922F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61FFC79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2D83BD4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6A8F804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2B7A03D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1479A8A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393948E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57AD385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4152C967">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0D2C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1A4FC56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0FEDF2F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30E9812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302AD23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5686174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349B272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330009C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7B47393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527F03A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1C98D096">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5F337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0595998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1A4AA6D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2866C19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6BF1A92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044D3F2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2D41462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5447F2F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401E2A1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5944368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687532A7">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5202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00949A3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2BBEA0B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670E7C7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047A96A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0646821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4386E63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70ED35D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495ADEC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781F8D0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34FF7740">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6749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59A0A2D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549C7CA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772B5CF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689B524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4338C54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63642D5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57EA9A4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3155CCF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1D3F5AE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66CEDAE6">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65E96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18E0EA9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6F3B0FF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4157A34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35D03DC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7847AE6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6DBB8BF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415E2B2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34AC2DE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3AC7BED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2BBFA7CC">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1F5A4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472F3CF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28A55A3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36801A4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2F03741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7B2DE38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7D54460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051B09F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6C67EDA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17255A4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77371358">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03D9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3D43E63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2D3CCF1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2C85B48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4663813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02A4219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0C8B75A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32EF977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4532484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0699805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0011F5A8">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7DDE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714F70E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7E0A6A2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52CC954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77A0DF3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13B3687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3256825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65B757E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585D8A5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73D857B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0BF866CF">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6DDC5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17E86D3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0CFC227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732A529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3D2CF1E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2E4616F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1B8C72F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70017B7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1F1F7F4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2C90D48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24CFDBF3">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67DF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6EEBC46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76BDB01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0386685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2A8B4CB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4E6959D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535BA8A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5515378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2950176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5F9A1C4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60D4155A">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1E0F7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4DADB32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439484A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45FF102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62B9751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72DC01F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40B6E3D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18ED633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41F8CA8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3AF24CB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214830AA">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2B73B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2D17CDA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14528D5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4C1360F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79441EC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3F49131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6BB6109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1ED980D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3AE42F6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57A2365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30007BFA">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734AC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1A3E5D0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33E2454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7C44492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2621B42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04A42A1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254E667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514A5F5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14B076C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62D71C3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0A0B6F87">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27077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7EF657A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7070F23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1DE4AF5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542C010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758E3A9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1697C7B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491ACDE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51C5313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7FA7694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7FE8B096">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1DE2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6DEC217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77B2FD3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2C9DDA4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792A809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748C79B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62F8283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4A2BD08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4215A49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5ACA67D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6B145A95">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0859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tcPr>
          <w:p w14:paraId="7E6F89D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03" w:type="dxa"/>
          </w:tcPr>
          <w:p w14:paraId="7F333B7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61" w:type="dxa"/>
          </w:tcPr>
          <w:p w14:paraId="382748B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929" w:type="dxa"/>
          </w:tcPr>
          <w:p w14:paraId="09B7C4B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3" w:type="dxa"/>
          </w:tcPr>
          <w:p w14:paraId="22EBE19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738" w:type="dxa"/>
          </w:tcPr>
          <w:p w14:paraId="23AABFE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212" w:type="dxa"/>
          </w:tcPr>
          <w:p w14:paraId="0326A35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874" w:type="dxa"/>
          </w:tcPr>
          <w:p w14:paraId="48F09E9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55" w:type="dxa"/>
          </w:tcPr>
          <w:p w14:paraId="5FE4E56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691" w:type="dxa"/>
          </w:tcPr>
          <w:p w14:paraId="5CA1612F">
            <w:pPr>
              <w:widowControl w:val="0"/>
              <w:adjustRightInd/>
              <w:snapToGrid/>
              <w:spacing w:after="0" w:line="440" w:lineRule="exact"/>
              <w:jc w:val="center"/>
              <w:outlineLvl w:val="9"/>
              <w:rPr>
                <w:rFonts w:cs="宋体" w:asciiTheme="minorEastAsia" w:hAnsiTheme="minorEastAsia" w:eastAsiaTheme="minorEastAsia"/>
                <w:kern w:val="2"/>
                <w:sz w:val="24"/>
              </w:rPr>
            </w:pPr>
          </w:p>
        </w:tc>
      </w:tr>
    </w:tbl>
    <w:p w14:paraId="55F1311F">
      <w:pPr>
        <w:widowControl w:val="0"/>
        <w:adjustRightInd/>
        <w:snapToGrid/>
        <w:spacing w:after="0" w:line="440" w:lineRule="exact"/>
        <w:jc w:val="both"/>
        <w:outlineLvl w:val="9"/>
        <w:rPr>
          <w:rFonts w:cs="宋体" w:asciiTheme="minorEastAsia" w:hAnsiTheme="minorEastAsia" w:eastAsiaTheme="minorEastAsia"/>
          <w:b/>
          <w:bCs/>
          <w:kern w:val="2"/>
          <w:sz w:val="24"/>
        </w:rPr>
      </w:pPr>
      <w:r>
        <w:rPr>
          <w:rFonts w:hint="eastAsia" w:cs="宋体" w:asciiTheme="minorEastAsia" w:hAnsiTheme="minorEastAsia" w:eastAsiaTheme="minorEastAsia"/>
          <w:kern w:val="2"/>
          <w:sz w:val="24"/>
        </w:rPr>
        <w:br w:type="page"/>
      </w:r>
      <w:bookmarkStart w:id="1124" w:name="_Toc179632819"/>
      <w:bookmarkStart w:id="1125" w:name="_Toc246997109"/>
      <w:bookmarkStart w:id="1126" w:name="_Toc246996366"/>
      <w:bookmarkStart w:id="1127" w:name="_Toc296602611"/>
      <w:bookmarkStart w:id="1128" w:name="_Toc152042588"/>
      <w:bookmarkStart w:id="1129" w:name="_Toc152045799"/>
      <w:bookmarkStart w:id="1130" w:name="_Toc247085884"/>
      <w:bookmarkStart w:id="1131" w:name="_Toc144974867"/>
      <w:r>
        <w:rPr>
          <w:rFonts w:hint="eastAsia" w:cs="宋体" w:asciiTheme="minorEastAsia" w:hAnsiTheme="minorEastAsia" w:eastAsiaTheme="minorEastAsia"/>
          <w:b/>
          <w:bCs/>
          <w:kern w:val="2"/>
          <w:sz w:val="24"/>
        </w:rPr>
        <w:t>附表二：劳动力计划表</w:t>
      </w:r>
      <w:bookmarkEnd w:id="1124"/>
      <w:bookmarkEnd w:id="1125"/>
      <w:bookmarkEnd w:id="1126"/>
      <w:bookmarkEnd w:id="1127"/>
      <w:bookmarkEnd w:id="1128"/>
      <w:bookmarkEnd w:id="1129"/>
      <w:bookmarkEnd w:id="1130"/>
      <w:bookmarkEnd w:id="1131"/>
    </w:p>
    <w:p w14:paraId="13D1D449">
      <w:pPr>
        <w:widowControl w:val="0"/>
        <w:adjustRightInd/>
        <w:snapToGrid/>
        <w:spacing w:after="0" w:line="440" w:lineRule="exact"/>
        <w:ind w:right="200"/>
        <w:jc w:val="right"/>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单位：人</w:t>
      </w:r>
    </w:p>
    <w:tbl>
      <w:tblPr>
        <w:tblStyle w:val="2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73731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6E6BA2CA">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工种</w:t>
            </w:r>
          </w:p>
        </w:tc>
        <w:tc>
          <w:tcPr>
            <w:tcW w:w="7693" w:type="dxa"/>
            <w:gridSpan w:val="7"/>
            <w:vAlign w:val="center"/>
          </w:tcPr>
          <w:p w14:paraId="5FBAD14B">
            <w:pPr>
              <w:widowControl w:val="0"/>
              <w:adjustRightInd/>
              <w:snapToGrid/>
              <w:spacing w:after="0" w:line="440" w:lineRule="exact"/>
              <w:jc w:val="center"/>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按工程施工阶段投入劳动力情况</w:t>
            </w:r>
          </w:p>
        </w:tc>
      </w:tr>
      <w:tr w14:paraId="4625C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19C8F39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vAlign w:val="center"/>
          </w:tcPr>
          <w:p w14:paraId="5153C46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6818DD8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076E243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3B0328E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49EC78B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1B24CA7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vAlign w:val="center"/>
          </w:tcPr>
          <w:p w14:paraId="6B546FDF">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40990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9" w:type="dxa"/>
            <w:vAlign w:val="center"/>
          </w:tcPr>
          <w:p w14:paraId="164DB64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vAlign w:val="center"/>
          </w:tcPr>
          <w:p w14:paraId="7700DFA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065C75B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1FAE5DA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426D6D5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0641300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vAlign w:val="center"/>
          </w:tcPr>
          <w:p w14:paraId="4E1A81A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vAlign w:val="center"/>
          </w:tcPr>
          <w:p w14:paraId="4EEA8397">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0CE5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9" w:type="dxa"/>
          </w:tcPr>
          <w:p w14:paraId="3A6DC19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0E3C1D2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78B6D9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367BB07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FC62D6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9FAE18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1721F4E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316E4E1B">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00FA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9" w:type="dxa"/>
          </w:tcPr>
          <w:p w14:paraId="51FBA9B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726AC2B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673050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4FF9E9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3D9C1D7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356849F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459CCE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4F25E7F3">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605F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9" w:type="dxa"/>
          </w:tcPr>
          <w:p w14:paraId="65B5B07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6328109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734092E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513FF7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1EF915B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0A2A57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7E78D2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36719893">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71469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7A97DA9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320770D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D20CDA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7635C2F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37AFF31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4532F2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F71F3E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7ABBAB86">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5D69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3DF9BDD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47A3914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8CDCCD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E3B8A2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71384E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F61CDF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FBA27D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7514B15B">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18918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D614D4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1ED48E6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DE8E9B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6D7DF8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9CE9E9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150A0B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83A82E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5C08E0DC">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14D9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9" w:type="dxa"/>
          </w:tcPr>
          <w:p w14:paraId="45D6CA6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185065D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1B1F936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98E21B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5C8BF2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7D2EC71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122247B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763E479F">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2936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1F0E873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04F0877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F18644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3B8E9A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0A5A1E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6973A6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6A8A6F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7CC7BB71">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19FA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B8117C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72412F1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59281C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7F868F5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9D04AD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174292D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2F7190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7112A2C6">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7B450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26BF64C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0010819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70779C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0682E9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D52F8C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F85FD3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2BC8C7C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241F0A60">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41FD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2BE7EA8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4DB0B60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FDEA46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390D591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3A7BB38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56FA67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80FE19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62457B78">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42013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C1171C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45A49E6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A3EDD6F">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6836C68">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647885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4E4DD2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1F6A9AA6">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78E0797A">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2806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170AC6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6C4FDBD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1D40780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20B378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5663251">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DC69E7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FD63F85">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61E7E95B">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0AC41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2D4025E7">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3FFEBA8C">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336EAFF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31B546B9">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7710034">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552F90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1D7BB1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166E9717">
            <w:pPr>
              <w:widowControl w:val="0"/>
              <w:adjustRightInd/>
              <w:snapToGrid/>
              <w:spacing w:after="0" w:line="440" w:lineRule="exact"/>
              <w:jc w:val="center"/>
              <w:outlineLvl w:val="9"/>
              <w:rPr>
                <w:rFonts w:cs="宋体" w:asciiTheme="minorEastAsia" w:hAnsiTheme="minorEastAsia" w:eastAsiaTheme="minorEastAsia"/>
                <w:kern w:val="2"/>
                <w:sz w:val="24"/>
              </w:rPr>
            </w:pPr>
          </w:p>
        </w:tc>
      </w:tr>
      <w:tr w14:paraId="6DECA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5083EE0A">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304" w:type="dxa"/>
          </w:tcPr>
          <w:p w14:paraId="6BD5415D">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0D42DA43">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49C9522E">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6CC5156B">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1CFAE462">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5" w:type="dxa"/>
          </w:tcPr>
          <w:p w14:paraId="57DF7A00">
            <w:pPr>
              <w:widowControl w:val="0"/>
              <w:adjustRightInd/>
              <w:snapToGrid/>
              <w:spacing w:after="0" w:line="440" w:lineRule="exact"/>
              <w:jc w:val="center"/>
              <w:outlineLvl w:val="9"/>
              <w:rPr>
                <w:rFonts w:cs="宋体" w:asciiTheme="minorEastAsia" w:hAnsiTheme="minorEastAsia" w:eastAsiaTheme="minorEastAsia"/>
                <w:kern w:val="2"/>
                <w:sz w:val="24"/>
              </w:rPr>
            </w:pPr>
          </w:p>
        </w:tc>
        <w:tc>
          <w:tcPr>
            <w:tcW w:w="1064" w:type="dxa"/>
          </w:tcPr>
          <w:p w14:paraId="40C735B9">
            <w:pPr>
              <w:widowControl w:val="0"/>
              <w:adjustRightInd/>
              <w:snapToGrid/>
              <w:spacing w:after="0" w:line="440" w:lineRule="exact"/>
              <w:jc w:val="center"/>
              <w:outlineLvl w:val="9"/>
              <w:rPr>
                <w:rFonts w:cs="宋体" w:asciiTheme="minorEastAsia" w:hAnsiTheme="minorEastAsia" w:eastAsiaTheme="minorEastAsia"/>
                <w:kern w:val="2"/>
                <w:sz w:val="24"/>
              </w:rPr>
            </w:pPr>
          </w:p>
        </w:tc>
      </w:tr>
    </w:tbl>
    <w:p w14:paraId="714686E4">
      <w:pPr>
        <w:widowControl w:val="0"/>
        <w:adjustRightInd/>
        <w:snapToGrid/>
        <w:spacing w:after="0"/>
        <w:jc w:val="both"/>
        <w:outlineLvl w:val="9"/>
        <w:rPr>
          <w:rFonts w:cs="宋体" w:asciiTheme="minorEastAsia" w:hAnsiTheme="minorEastAsia" w:eastAsiaTheme="minorEastAsia"/>
          <w:kern w:val="2"/>
          <w:sz w:val="24"/>
          <w:szCs w:val="24"/>
        </w:rPr>
      </w:pPr>
      <w:bookmarkStart w:id="1132" w:name="_Toc152045800"/>
      <w:bookmarkStart w:id="1133" w:name="_Toc246996367"/>
      <w:bookmarkStart w:id="1134" w:name="_Toc179632820"/>
      <w:bookmarkStart w:id="1135" w:name="_Toc152042589"/>
      <w:bookmarkStart w:id="1136" w:name="_Toc246997110"/>
      <w:bookmarkStart w:id="1137" w:name="_Toc144974868"/>
    </w:p>
    <w:p w14:paraId="654964ED">
      <w:pPr>
        <w:widowControl w:val="0"/>
        <w:adjustRightInd/>
        <w:snapToGrid/>
        <w:spacing w:after="0"/>
        <w:jc w:val="both"/>
        <w:outlineLvl w:val="9"/>
        <w:rPr>
          <w:rFonts w:cs="宋体" w:asciiTheme="minorEastAsia" w:hAnsiTheme="minorEastAsia" w:eastAsiaTheme="minorEastAsia"/>
          <w:b/>
          <w:bCs/>
          <w:kern w:val="2"/>
          <w:sz w:val="24"/>
          <w:szCs w:val="24"/>
        </w:rPr>
      </w:pPr>
      <w:r>
        <w:rPr>
          <w:rFonts w:hint="eastAsia" w:cs="宋体" w:asciiTheme="minorEastAsia" w:hAnsiTheme="minorEastAsia" w:eastAsiaTheme="minorEastAsia"/>
          <w:kern w:val="2"/>
          <w:sz w:val="24"/>
          <w:szCs w:val="24"/>
        </w:rPr>
        <w:br w:type="page"/>
      </w:r>
      <w:bookmarkStart w:id="1138" w:name="_Toc296602612"/>
      <w:bookmarkStart w:id="1139" w:name="_Toc247085885"/>
      <w:r>
        <w:rPr>
          <w:rFonts w:hint="eastAsia" w:cs="宋体" w:asciiTheme="minorEastAsia" w:hAnsiTheme="minorEastAsia" w:eastAsiaTheme="minorEastAsia"/>
          <w:b/>
          <w:bCs/>
          <w:kern w:val="2"/>
          <w:sz w:val="24"/>
          <w:szCs w:val="24"/>
        </w:rPr>
        <w:t>附表三：进度计划</w:t>
      </w:r>
      <w:bookmarkEnd w:id="1132"/>
      <w:bookmarkEnd w:id="1133"/>
      <w:bookmarkEnd w:id="1134"/>
      <w:bookmarkEnd w:id="1135"/>
      <w:bookmarkEnd w:id="1136"/>
      <w:bookmarkEnd w:id="1137"/>
      <w:bookmarkEnd w:id="1138"/>
      <w:bookmarkEnd w:id="1139"/>
    </w:p>
    <w:p w14:paraId="52A56229">
      <w:pPr>
        <w:widowControl w:val="0"/>
        <w:adjustRightInd/>
        <w:snapToGrid/>
        <w:spacing w:after="0" w:line="440" w:lineRule="exact"/>
        <w:jc w:val="both"/>
        <w:outlineLvl w:val="9"/>
        <w:rPr>
          <w:rFonts w:cs="宋体" w:asciiTheme="minorEastAsia" w:hAnsiTheme="minorEastAsia" w:eastAsiaTheme="minorEastAsia"/>
          <w:kern w:val="2"/>
          <w:sz w:val="24"/>
        </w:rPr>
      </w:pPr>
    </w:p>
    <w:p w14:paraId="39D6EFA1">
      <w:pPr>
        <w:widowControl w:val="0"/>
        <w:adjustRightInd/>
        <w:snapToGrid/>
        <w:spacing w:after="0" w:line="440" w:lineRule="exact"/>
        <w:ind w:firstLine="480" w:firstLineChars="200"/>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1. 供应商应递交施工进度网络图或施工进度表，说明按招标文件要求的计划工期进行施工的各个关键日期。</w:t>
      </w:r>
    </w:p>
    <w:p w14:paraId="4BAADD71">
      <w:pPr>
        <w:widowControl w:val="0"/>
        <w:adjustRightInd/>
        <w:snapToGrid/>
        <w:spacing w:after="0" w:line="440" w:lineRule="exact"/>
        <w:ind w:firstLine="480" w:firstLineChars="200"/>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2. 施工进度表可采用网络图或横道图表示。</w:t>
      </w:r>
    </w:p>
    <w:p w14:paraId="1914C80E">
      <w:pPr>
        <w:widowControl w:val="0"/>
        <w:adjustRightInd/>
        <w:snapToGrid/>
        <w:spacing w:after="0" w:line="440" w:lineRule="exact"/>
        <w:jc w:val="both"/>
        <w:outlineLvl w:val="9"/>
        <w:rPr>
          <w:rFonts w:cs="宋体" w:asciiTheme="minorEastAsia" w:hAnsiTheme="minorEastAsia" w:eastAsiaTheme="minorEastAsia"/>
          <w:kern w:val="2"/>
          <w:sz w:val="24"/>
        </w:rPr>
      </w:pPr>
    </w:p>
    <w:p w14:paraId="1BFE42E4">
      <w:pPr>
        <w:widowControl w:val="0"/>
        <w:adjustRightInd/>
        <w:snapToGrid/>
        <w:spacing w:after="0" w:line="440" w:lineRule="exact"/>
        <w:jc w:val="both"/>
        <w:outlineLvl w:val="9"/>
        <w:rPr>
          <w:rFonts w:cs="宋体" w:asciiTheme="minorEastAsia" w:hAnsiTheme="minorEastAsia" w:eastAsiaTheme="minorEastAsia"/>
          <w:kern w:val="2"/>
          <w:sz w:val="24"/>
        </w:rPr>
      </w:pPr>
    </w:p>
    <w:p w14:paraId="78C660F6">
      <w:pPr>
        <w:widowControl w:val="0"/>
        <w:adjustRightInd/>
        <w:snapToGrid/>
        <w:spacing w:after="0" w:line="440" w:lineRule="exact"/>
        <w:jc w:val="both"/>
        <w:outlineLvl w:val="9"/>
        <w:rPr>
          <w:rFonts w:cs="宋体" w:asciiTheme="minorEastAsia" w:hAnsiTheme="minorEastAsia" w:eastAsiaTheme="minorEastAsia"/>
          <w:kern w:val="2"/>
          <w:sz w:val="24"/>
        </w:rPr>
      </w:pPr>
    </w:p>
    <w:p w14:paraId="0C1873E2">
      <w:pPr>
        <w:widowControl w:val="0"/>
        <w:adjustRightInd/>
        <w:snapToGrid/>
        <w:spacing w:after="0" w:line="440" w:lineRule="exact"/>
        <w:jc w:val="both"/>
        <w:outlineLvl w:val="9"/>
        <w:rPr>
          <w:rFonts w:cs="宋体" w:asciiTheme="minorEastAsia" w:hAnsiTheme="minorEastAsia" w:eastAsiaTheme="minorEastAsia"/>
          <w:kern w:val="2"/>
          <w:sz w:val="24"/>
        </w:rPr>
      </w:pPr>
    </w:p>
    <w:p w14:paraId="695F28BC">
      <w:pPr>
        <w:widowControl w:val="0"/>
        <w:adjustRightInd/>
        <w:snapToGrid/>
        <w:spacing w:after="0" w:line="440" w:lineRule="exact"/>
        <w:jc w:val="both"/>
        <w:outlineLvl w:val="9"/>
        <w:rPr>
          <w:rFonts w:cs="宋体" w:asciiTheme="minorEastAsia" w:hAnsiTheme="minorEastAsia" w:eastAsiaTheme="minorEastAsia"/>
          <w:kern w:val="2"/>
          <w:sz w:val="24"/>
        </w:rPr>
      </w:pPr>
    </w:p>
    <w:p w14:paraId="45EFF20A">
      <w:pPr>
        <w:widowControl w:val="0"/>
        <w:adjustRightInd/>
        <w:snapToGrid/>
        <w:spacing w:after="120"/>
        <w:jc w:val="both"/>
        <w:outlineLvl w:val="9"/>
        <w:rPr>
          <w:rFonts w:cs="Times New Roman" w:asciiTheme="minorEastAsia" w:hAnsiTheme="minorEastAsia" w:eastAsiaTheme="minorEastAsia"/>
          <w:kern w:val="2"/>
          <w:sz w:val="21"/>
          <w:szCs w:val="24"/>
        </w:rPr>
      </w:pPr>
    </w:p>
    <w:p w14:paraId="7F0EDB0C">
      <w:pPr>
        <w:widowControl w:val="0"/>
        <w:adjustRightInd/>
        <w:snapToGrid/>
        <w:spacing w:after="0" w:line="440" w:lineRule="exact"/>
        <w:jc w:val="both"/>
        <w:outlineLvl w:val="9"/>
        <w:rPr>
          <w:rFonts w:cs="宋体" w:asciiTheme="minorEastAsia" w:hAnsiTheme="minorEastAsia" w:eastAsiaTheme="minorEastAsia"/>
          <w:b/>
          <w:bCs/>
          <w:kern w:val="2"/>
          <w:sz w:val="24"/>
        </w:rPr>
      </w:pPr>
      <w:bookmarkStart w:id="1140" w:name="_Toc179632821"/>
      <w:bookmarkStart w:id="1141" w:name="_Toc152045801"/>
      <w:bookmarkStart w:id="1142" w:name="_Toc246997111"/>
      <w:bookmarkStart w:id="1143" w:name="_Toc247085886"/>
      <w:bookmarkStart w:id="1144" w:name="_Toc152042590"/>
      <w:bookmarkStart w:id="1145" w:name="_Toc246996368"/>
      <w:bookmarkStart w:id="1146" w:name="_Toc296602613"/>
      <w:bookmarkStart w:id="1147" w:name="_Toc144974869"/>
      <w:r>
        <w:rPr>
          <w:rFonts w:hint="eastAsia" w:cs="宋体" w:asciiTheme="minorEastAsia" w:hAnsiTheme="minorEastAsia" w:eastAsiaTheme="minorEastAsia"/>
          <w:b/>
          <w:bCs/>
          <w:kern w:val="2"/>
          <w:sz w:val="24"/>
        </w:rPr>
        <w:t>附表四：施工总平面图</w:t>
      </w:r>
      <w:bookmarkEnd w:id="1140"/>
      <w:bookmarkEnd w:id="1141"/>
      <w:bookmarkEnd w:id="1142"/>
      <w:bookmarkEnd w:id="1143"/>
      <w:bookmarkEnd w:id="1144"/>
      <w:bookmarkEnd w:id="1145"/>
      <w:bookmarkEnd w:id="1146"/>
      <w:bookmarkEnd w:id="1147"/>
    </w:p>
    <w:p w14:paraId="3E762119">
      <w:pPr>
        <w:widowControl w:val="0"/>
        <w:adjustRightInd/>
        <w:snapToGrid/>
        <w:spacing w:after="0" w:line="440" w:lineRule="exact"/>
        <w:jc w:val="both"/>
        <w:outlineLvl w:val="9"/>
        <w:rPr>
          <w:rFonts w:cs="宋体" w:asciiTheme="minorEastAsia" w:hAnsiTheme="minorEastAsia" w:eastAsiaTheme="minorEastAsia"/>
          <w:kern w:val="2"/>
          <w:sz w:val="24"/>
        </w:rPr>
      </w:pPr>
      <w:r>
        <w:rPr>
          <w:rFonts w:hint="eastAsia" w:cs="宋体" w:asciiTheme="minorEastAsia" w:hAnsiTheme="minorEastAsia" w:eastAsiaTheme="minorEastAsia"/>
          <w:kern w:val="2"/>
          <w:sz w:val="24"/>
        </w:rPr>
        <w:tab/>
      </w:r>
    </w:p>
    <w:p w14:paraId="58181D2A">
      <w:pPr>
        <w:widowControl w:val="0"/>
        <w:adjustRightInd/>
        <w:snapToGrid/>
        <w:spacing w:after="120"/>
        <w:jc w:val="both"/>
        <w:outlineLvl w:val="9"/>
        <w:rPr>
          <w:rFonts w:cs="Times New Roman" w:asciiTheme="minorEastAsia" w:hAnsiTheme="minorEastAsia" w:eastAsiaTheme="minorEastAsia"/>
          <w:kern w:val="2"/>
          <w:sz w:val="30"/>
          <w:szCs w:val="30"/>
        </w:rPr>
      </w:pPr>
    </w:p>
    <w:p w14:paraId="2FB1444C">
      <w:pPr>
        <w:adjustRightInd/>
        <w:snapToGrid/>
        <w:spacing w:after="0"/>
        <w:outlineLvl w:val="9"/>
        <w:rPr>
          <w:rFonts w:cs="Times New Roman" w:asciiTheme="minorEastAsia" w:hAnsiTheme="minorEastAsia" w:eastAsiaTheme="minorEastAsia"/>
          <w:kern w:val="2"/>
          <w:sz w:val="30"/>
          <w:szCs w:val="30"/>
        </w:rPr>
      </w:pPr>
      <w:r>
        <w:rPr>
          <w:rFonts w:cs="Times New Roman" w:asciiTheme="minorEastAsia" w:hAnsiTheme="minorEastAsia" w:eastAsiaTheme="minorEastAsia"/>
          <w:kern w:val="2"/>
          <w:sz w:val="30"/>
          <w:szCs w:val="30"/>
        </w:rPr>
        <w:br w:type="page"/>
      </w:r>
    </w:p>
    <w:p w14:paraId="1BBDCA1F">
      <w:pPr>
        <w:keepNext/>
        <w:keepLines/>
        <w:widowControl w:val="0"/>
        <w:adjustRightInd/>
        <w:snapToGrid/>
        <w:spacing w:before="260" w:after="260" w:line="360" w:lineRule="auto"/>
        <w:jc w:val="center"/>
        <w:outlineLvl w:val="9"/>
        <w:rPr>
          <w:rFonts w:cs="Times New Roman" w:asciiTheme="minorEastAsia" w:hAnsiTheme="minorEastAsia" w:eastAsiaTheme="minorEastAsia"/>
          <w:b/>
          <w:bCs/>
          <w:sz w:val="32"/>
          <w:szCs w:val="32"/>
          <w:u w:color="000000"/>
        </w:rPr>
      </w:pPr>
      <w:r>
        <w:rPr>
          <w:rFonts w:hint="eastAsia" w:cs="Times New Roman" w:asciiTheme="minorEastAsia" w:hAnsiTheme="minorEastAsia" w:eastAsiaTheme="minorEastAsia"/>
          <w:b/>
          <w:bCs/>
          <w:sz w:val="32"/>
          <w:szCs w:val="32"/>
          <w:u w:color="000000"/>
        </w:rPr>
        <w:t>六、项目管理机构</w:t>
      </w:r>
    </w:p>
    <w:p w14:paraId="7FBFF6D0">
      <w:pPr>
        <w:widowControl w:val="0"/>
        <w:adjustRightInd/>
        <w:snapToGrid/>
        <w:spacing w:after="0"/>
        <w:jc w:val="center"/>
        <w:outlineLvl w:val="9"/>
        <w:rPr>
          <w:rFonts w:cs="宋体" w:asciiTheme="minorEastAsia" w:hAnsiTheme="minorEastAsia" w:eastAsiaTheme="minorEastAsia"/>
          <w:sz w:val="28"/>
          <w:szCs w:val="28"/>
          <w:lang w:val="zh-CN" w:bidi="zh-CN"/>
        </w:rPr>
      </w:pPr>
      <w:r>
        <w:rPr>
          <w:rFonts w:hint="eastAsia" w:cs="宋体" w:asciiTheme="minorEastAsia" w:hAnsiTheme="minorEastAsia" w:eastAsiaTheme="minorEastAsia"/>
          <w:sz w:val="28"/>
          <w:szCs w:val="28"/>
          <w:lang w:val="zh-CN" w:bidi="zh-CN"/>
        </w:rPr>
        <w:t>（一）项目管理机构组成表</w:t>
      </w:r>
    </w:p>
    <w:tbl>
      <w:tblPr>
        <w:tblStyle w:val="26"/>
        <w:tblW w:w="46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789"/>
        <w:gridCol w:w="789"/>
        <w:gridCol w:w="1260"/>
        <w:gridCol w:w="855"/>
        <w:gridCol w:w="876"/>
        <w:gridCol w:w="944"/>
        <w:gridCol w:w="1517"/>
        <w:gridCol w:w="908"/>
      </w:tblGrid>
      <w:tr w14:paraId="62FD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vMerge w:val="restart"/>
            <w:tcBorders>
              <w:top w:val="single" w:color="auto" w:sz="4" w:space="0"/>
              <w:left w:val="single" w:color="auto" w:sz="4" w:space="0"/>
              <w:bottom w:val="single" w:color="auto" w:sz="4" w:space="0"/>
              <w:right w:val="single" w:color="auto" w:sz="4" w:space="0"/>
            </w:tcBorders>
            <w:vAlign w:val="center"/>
          </w:tcPr>
          <w:p w14:paraId="015D5984">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职务</w:t>
            </w:r>
          </w:p>
        </w:tc>
        <w:tc>
          <w:tcPr>
            <w:tcW w:w="452" w:type="pct"/>
            <w:vMerge w:val="restart"/>
            <w:tcBorders>
              <w:top w:val="single" w:color="auto" w:sz="4" w:space="0"/>
              <w:left w:val="nil"/>
              <w:bottom w:val="single" w:color="auto" w:sz="4" w:space="0"/>
              <w:right w:val="single" w:color="auto" w:sz="4" w:space="0"/>
            </w:tcBorders>
            <w:vAlign w:val="center"/>
          </w:tcPr>
          <w:p w14:paraId="7C195401">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姓名</w:t>
            </w:r>
          </w:p>
        </w:tc>
        <w:tc>
          <w:tcPr>
            <w:tcW w:w="452" w:type="pct"/>
            <w:vMerge w:val="restart"/>
            <w:tcBorders>
              <w:top w:val="single" w:color="auto" w:sz="4" w:space="0"/>
              <w:left w:val="nil"/>
              <w:bottom w:val="single" w:color="auto" w:sz="4" w:space="0"/>
              <w:right w:val="single" w:color="auto" w:sz="4" w:space="0"/>
            </w:tcBorders>
            <w:vAlign w:val="center"/>
          </w:tcPr>
          <w:p w14:paraId="1607DADC">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职称</w:t>
            </w:r>
          </w:p>
        </w:tc>
        <w:tc>
          <w:tcPr>
            <w:tcW w:w="3124" w:type="pct"/>
            <w:gridSpan w:val="5"/>
            <w:tcBorders>
              <w:top w:val="single" w:color="auto" w:sz="4" w:space="0"/>
              <w:left w:val="nil"/>
              <w:bottom w:val="single" w:color="auto" w:sz="4" w:space="0"/>
              <w:right w:val="single" w:color="auto" w:sz="4" w:space="0"/>
            </w:tcBorders>
            <w:vAlign w:val="center"/>
          </w:tcPr>
          <w:p w14:paraId="111EED7E">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执业或职业资格证明</w:t>
            </w:r>
          </w:p>
        </w:tc>
        <w:tc>
          <w:tcPr>
            <w:tcW w:w="520" w:type="pct"/>
            <w:vMerge w:val="restart"/>
            <w:tcBorders>
              <w:top w:val="single" w:color="auto" w:sz="4" w:space="0"/>
              <w:left w:val="nil"/>
              <w:bottom w:val="single" w:color="auto" w:sz="4" w:space="0"/>
              <w:right w:val="single" w:color="auto" w:sz="4" w:space="0"/>
            </w:tcBorders>
            <w:vAlign w:val="center"/>
          </w:tcPr>
          <w:p w14:paraId="64922584">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备注</w:t>
            </w:r>
          </w:p>
        </w:tc>
      </w:tr>
      <w:tr w14:paraId="71C4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97B06BD">
            <w:pPr>
              <w:adjustRightInd/>
              <w:snapToGrid/>
              <w:spacing w:after="0"/>
              <w:outlineLvl w:val="9"/>
              <w:rPr>
                <w:rFonts w:cs="Times New Roman" w:asciiTheme="minorEastAsia" w:hAnsiTheme="minorEastAsia" w:eastAsiaTheme="minorEastAsia"/>
                <w:kern w:val="2"/>
                <w:sz w:val="24"/>
                <w:szCs w:val="24"/>
              </w:rPr>
            </w:pPr>
          </w:p>
        </w:tc>
        <w:tc>
          <w:tcPr>
            <w:tcW w:w="0" w:type="auto"/>
            <w:vMerge w:val="continue"/>
            <w:tcBorders>
              <w:top w:val="single" w:color="auto" w:sz="4" w:space="0"/>
              <w:left w:val="nil"/>
              <w:bottom w:val="single" w:color="auto" w:sz="4" w:space="0"/>
              <w:right w:val="single" w:color="auto" w:sz="4" w:space="0"/>
            </w:tcBorders>
            <w:vAlign w:val="center"/>
          </w:tcPr>
          <w:p w14:paraId="3DAA363B">
            <w:pPr>
              <w:adjustRightInd/>
              <w:snapToGrid/>
              <w:spacing w:after="0"/>
              <w:outlineLvl w:val="9"/>
              <w:rPr>
                <w:rFonts w:cs="Times New Roman" w:asciiTheme="minorEastAsia" w:hAnsiTheme="minorEastAsia" w:eastAsiaTheme="minorEastAsia"/>
                <w:kern w:val="2"/>
                <w:sz w:val="24"/>
                <w:szCs w:val="24"/>
              </w:rPr>
            </w:pPr>
          </w:p>
        </w:tc>
        <w:tc>
          <w:tcPr>
            <w:tcW w:w="0" w:type="auto"/>
            <w:vMerge w:val="continue"/>
            <w:tcBorders>
              <w:top w:val="single" w:color="auto" w:sz="4" w:space="0"/>
              <w:left w:val="nil"/>
              <w:bottom w:val="single" w:color="auto" w:sz="4" w:space="0"/>
              <w:right w:val="single" w:color="auto" w:sz="4" w:space="0"/>
            </w:tcBorders>
            <w:vAlign w:val="center"/>
          </w:tcPr>
          <w:p w14:paraId="4F4511CD">
            <w:pPr>
              <w:adjustRightInd/>
              <w:snapToGrid/>
              <w:spacing w:after="0"/>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07ADB14E">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证书名称</w:t>
            </w:r>
          </w:p>
        </w:tc>
        <w:tc>
          <w:tcPr>
            <w:tcW w:w="490" w:type="pct"/>
            <w:tcBorders>
              <w:top w:val="single" w:color="auto" w:sz="4" w:space="0"/>
              <w:left w:val="nil"/>
              <w:bottom w:val="single" w:color="auto" w:sz="4" w:space="0"/>
              <w:right w:val="single" w:color="auto" w:sz="4" w:space="0"/>
            </w:tcBorders>
            <w:vAlign w:val="center"/>
          </w:tcPr>
          <w:p w14:paraId="2B1820D3">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级别</w:t>
            </w:r>
          </w:p>
        </w:tc>
        <w:tc>
          <w:tcPr>
            <w:tcW w:w="502" w:type="pct"/>
            <w:tcBorders>
              <w:top w:val="single" w:color="auto" w:sz="4" w:space="0"/>
              <w:left w:val="nil"/>
              <w:bottom w:val="single" w:color="auto" w:sz="4" w:space="0"/>
              <w:right w:val="single" w:color="auto" w:sz="4" w:space="0"/>
            </w:tcBorders>
            <w:vAlign w:val="center"/>
          </w:tcPr>
          <w:p w14:paraId="6D2ACDC5">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证号</w:t>
            </w:r>
          </w:p>
        </w:tc>
        <w:tc>
          <w:tcPr>
            <w:tcW w:w="541" w:type="pct"/>
            <w:tcBorders>
              <w:top w:val="single" w:color="auto" w:sz="4" w:space="0"/>
              <w:left w:val="nil"/>
              <w:bottom w:val="single" w:color="auto" w:sz="4" w:space="0"/>
              <w:right w:val="single" w:color="auto" w:sz="4" w:space="0"/>
            </w:tcBorders>
            <w:vAlign w:val="center"/>
          </w:tcPr>
          <w:p w14:paraId="294D91C0">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专业</w:t>
            </w:r>
          </w:p>
        </w:tc>
        <w:tc>
          <w:tcPr>
            <w:tcW w:w="869" w:type="pct"/>
            <w:tcBorders>
              <w:top w:val="single" w:color="auto" w:sz="4" w:space="0"/>
              <w:left w:val="nil"/>
              <w:bottom w:val="single" w:color="auto" w:sz="4" w:space="0"/>
              <w:right w:val="single" w:color="auto" w:sz="4" w:space="0"/>
            </w:tcBorders>
            <w:vAlign w:val="center"/>
          </w:tcPr>
          <w:p w14:paraId="12D16E40">
            <w:pPr>
              <w:widowControl w:val="0"/>
              <w:adjustRightInd/>
              <w:snapToGrid/>
              <w:spacing w:after="0"/>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养老保险</w:t>
            </w:r>
          </w:p>
        </w:tc>
        <w:tc>
          <w:tcPr>
            <w:tcW w:w="520" w:type="pct"/>
            <w:vMerge w:val="continue"/>
            <w:tcBorders>
              <w:top w:val="single" w:color="auto" w:sz="4" w:space="0"/>
              <w:left w:val="nil"/>
              <w:bottom w:val="single" w:color="auto" w:sz="4" w:space="0"/>
              <w:right w:val="single" w:color="auto" w:sz="4" w:space="0"/>
            </w:tcBorders>
            <w:vAlign w:val="center"/>
          </w:tcPr>
          <w:p w14:paraId="011E9918">
            <w:pPr>
              <w:adjustRightInd/>
              <w:snapToGrid/>
              <w:spacing w:after="0"/>
              <w:outlineLvl w:val="9"/>
              <w:rPr>
                <w:rFonts w:cs="Times New Roman" w:asciiTheme="minorEastAsia" w:hAnsiTheme="minorEastAsia" w:eastAsiaTheme="minorEastAsia"/>
                <w:kern w:val="2"/>
                <w:sz w:val="24"/>
                <w:szCs w:val="24"/>
              </w:rPr>
            </w:pPr>
          </w:p>
        </w:tc>
      </w:tr>
      <w:tr w14:paraId="6AFA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39F83C58">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0C14C6BD">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61D8DB92">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66535E4C">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18AA4341">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43AD5BC1">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3D64913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27AA606A">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13E746ED">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2673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18F06B8C">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771AD76A">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1B5B20E4">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6B41D815">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4596663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50A8046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5822352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155DA32F">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042705CF">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2084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4AAADBB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033CC8A1">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3AAD67E4">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07DB1249">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6974BFFE">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5540E59D">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19E9F4EB">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26E9A09A">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7441048B">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340D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131401BB">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5236CA2F">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4B253E54">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1FAE1FB8">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4DB98371">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0F58224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05AC9902">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77EC4220">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4582FACC">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06EFC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1D31297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3B85F75C">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0C403B9D">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5084F2D5">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7A00AEB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4149BD8B">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00C320F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13AECEDF">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25811FBF">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0A4C9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35D48EAA">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65054F2C">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6CA3BEAB">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4E22BB0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35A317F1">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6CA6B909">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299B663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149B3583">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701295E9">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05AE1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5CE984F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0F2862DC">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1A5C42E5">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37B0BD7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076290A9">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155AE9DD">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3BAFE4F9">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50C5B67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5FC72276">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69B1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04561CF5">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67932138">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3AEAC713">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1C674DA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637535F3">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34BE70DA">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2AAD873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3690ABC9">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740FE9B6">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2D95D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5ED6E7E9">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5A5A5A42">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11B46B75">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63AE933D">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265B036B">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2451339E">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1A673C33">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6C8D3581">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64C24070">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11BA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11420A6F">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2BAF127F">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465283E5">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4825F03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69697298">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38D23F3E">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2B65A9B2">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55677655">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7FD56B12">
            <w:pPr>
              <w:widowControl w:val="0"/>
              <w:adjustRightInd/>
              <w:snapToGrid/>
              <w:spacing w:after="0"/>
              <w:jc w:val="center"/>
              <w:outlineLvl w:val="9"/>
              <w:rPr>
                <w:rFonts w:cs="Times New Roman" w:asciiTheme="minorEastAsia" w:hAnsiTheme="minorEastAsia" w:eastAsiaTheme="minorEastAsia"/>
                <w:kern w:val="2"/>
                <w:sz w:val="24"/>
                <w:szCs w:val="24"/>
              </w:rPr>
            </w:pPr>
          </w:p>
        </w:tc>
      </w:tr>
      <w:tr w14:paraId="386B1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2" w:type="pct"/>
            <w:tcBorders>
              <w:top w:val="single" w:color="auto" w:sz="4" w:space="0"/>
              <w:left w:val="single" w:color="auto" w:sz="4" w:space="0"/>
              <w:bottom w:val="single" w:color="auto" w:sz="4" w:space="0"/>
              <w:right w:val="single" w:color="auto" w:sz="4" w:space="0"/>
            </w:tcBorders>
            <w:vAlign w:val="center"/>
          </w:tcPr>
          <w:p w14:paraId="12DA5716">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0E7525A7">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52" w:type="pct"/>
            <w:tcBorders>
              <w:top w:val="single" w:color="auto" w:sz="4" w:space="0"/>
              <w:left w:val="nil"/>
              <w:bottom w:val="single" w:color="auto" w:sz="4" w:space="0"/>
              <w:right w:val="single" w:color="auto" w:sz="4" w:space="0"/>
            </w:tcBorders>
            <w:vAlign w:val="center"/>
          </w:tcPr>
          <w:p w14:paraId="0984402A">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722" w:type="pct"/>
            <w:tcBorders>
              <w:top w:val="single" w:color="auto" w:sz="4" w:space="0"/>
              <w:left w:val="nil"/>
              <w:bottom w:val="single" w:color="auto" w:sz="4" w:space="0"/>
              <w:right w:val="single" w:color="auto" w:sz="4" w:space="0"/>
            </w:tcBorders>
            <w:vAlign w:val="center"/>
          </w:tcPr>
          <w:p w14:paraId="7071464F">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490" w:type="pct"/>
            <w:tcBorders>
              <w:top w:val="single" w:color="auto" w:sz="4" w:space="0"/>
              <w:left w:val="nil"/>
              <w:bottom w:val="single" w:color="auto" w:sz="4" w:space="0"/>
              <w:right w:val="single" w:color="auto" w:sz="4" w:space="0"/>
            </w:tcBorders>
            <w:vAlign w:val="center"/>
          </w:tcPr>
          <w:p w14:paraId="3AF2512B">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02" w:type="pct"/>
            <w:tcBorders>
              <w:top w:val="single" w:color="auto" w:sz="4" w:space="0"/>
              <w:left w:val="nil"/>
              <w:bottom w:val="single" w:color="auto" w:sz="4" w:space="0"/>
              <w:right w:val="single" w:color="auto" w:sz="4" w:space="0"/>
            </w:tcBorders>
            <w:vAlign w:val="center"/>
          </w:tcPr>
          <w:p w14:paraId="3E5FDAB3">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41" w:type="pct"/>
            <w:tcBorders>
              <w:top w:val="single" w:color="auto" w:sz="4" w:space="0"/>
              <w:left w:val="nil"/>
              <w:bottom w:val="single" w:color="auto" w:sz="4" w:space="0"/>
              <w:right w:val="single" w:color="auto" w:sz="4" w:space="0"/>
            </w:tcBorders>
            <w:vAlign w:val="center"/>
          </w:tcPr>
          <w:p w14:paraId="2E2E08A0">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869" w:type="pct"/>
            <w:tcBorders>
              <w:top w:val="single" w:color="auto" w:sz="4" w:space="0"/>
              <w:left w:val="nil"/>
              <w:bottom w:val="single" w:color="auto" w:sz="4" w:space="0"/>
              <w:right w:val="single" w:color="auto" w:sz="4" w:space="0"/>
            </w:tcBorders>
            <w:vAlign w:val="center"/>
          </w:tcPr>
          <w:p w14:paraId="28DD0A62">
            <w:pPr>
              <w:widowControl w:val="0"/>
              <w:adjustRightInd/>
              <w:snapToGrid/>
              <w:spacing w:after="0"/>
              <w:jc w:val="center"/>
              <w:outlineLvl w:val="9"/>
              <w:rPr>
                <w:rFonts w:cs="Times New Roman" w:asciiTheme="minorEastAsia" w:hAnsiTheme="minorEastAsia" w:eastAsiaTheme="minorEastAsia"/>
                <w:kern w:val="2"/>
                <w:sz w:val="24"/>
                <w:szCs w:val="24"/>
              </w:rPr>
            </w:pPr>
          </w:p>
        </w:tc>
        <w:tc>
          <w:tcPr>
            <w:tcW w:w="520" w:type="pct"/>
            <w:tcBorders>
              <w:top w:val="single" w:color="auto" w:sz="4" w:space="0"/>
              <w:left w:val="nil"/>
              <w:bottom w:val="single" w:color="auto" w:sz="4" w:space="0"/>
              <w:right w:val="single" w:color="auto" w:sz="4" w:space="0"/>
            </w:tcBorders>
            <w:vAlign w:val="center"/>
          </w:tcPr>
          <w:p w14:paraId="65779038">
            <w:pPr>
              <w:widowControl w:val="0"/>
              <w:adjustRightInd/>
              <w:snapToGrid/>
              <w:spacing w:after="0"/>
              <w:jc w:val="center"/>
              <w:outlineLvl w:val="9"/>
              <w:rPr>
                <w:rFonts w:cs="Times New Roman" w:asciiTheme="minorEastAsia" w:hAnsiTheme="minorEastAsia" w:eastAsiaTheme="minorEastAsia"/>
                <w:kern w:val="2"/>
                <w:sz w:val="24"/>
                <w:szCs w:val="24"/>
              </w:rPr>
            </w:pPr>
          </w:p>
        </w:tc>
      </w:tr>
    </w:tbl>
    <w:p w14:paraId="354B2E29">
      <w:pPr>
        <w:widowControl w:val="0"/>
        <w:adjustRightInd/>
        <w:snapToGrid/>
        <w:spacing w:after="0"/>
        <w:ind w:left="3078"/>
        <w:outlineLvl w:val="9"/>
        <w:rPr>
          <w:rFonts w:cs="宋体" w:asciiTheme="minorEastAsia" w:hAnsiTheme="minorEastAsia" w:eastAsiaTheme="minorEastAsia"/>
          <w:sz w:val="28"/>
          <w:szCs w:val="28"/>
          <w:lang w:val="zh-CN" w:bidi="zh-CN"/>
        </w:rPr>
      </w:pPr>
    </w:p>
    <w:p w14:paraId="0E47703D">
      <w:pPr>
        <w:widowControl w:val="0"/>
        <w:adjustRightInd/>
        <w:snapToGrid/>
        <w:spacing w:after="0" w:line="1" w:lineRule="exact"/>
        <w:outlineLvl w:val="9"/>
        <w:rPr>
          <w:rFonts w:cs="宋体" w:asciiTheme="minorEastAsia" w:hAnsiTheme="minorEastAsia" w:eastAsiaTheme="minorEastAsia"/>
          <w:sz w:val="28"/>
          <w:szCs w:val="28"/>
          <w:lang w:eastAsia="en-US" w:bidi="en-US"/>
        </w:rPr>
      </w:pPr>
      <w:r>
        <w:rPr>
          <w:rFonts w:hint="eastAsia" w:cs="宋体" w:asciiTheme="minorEastAsia" w:hAnsiTheme="minorEastAsia" w:eastAsiaTheme="minorEastAsia"/>
          <w:sz w:val="28"/>
          <w:szCs w:val="28"/>
          <w:lang w:eastAsia="en-US" w:bidi="en-US"/>
        </w:rPr>
        <w:br w:type="page"/>
      </w:r>
    </w:p>
    <w:p w14:paraId="71C6CD71">
      <w:pPr>
        <w:widowControl w:val="0"/>
        <w:autoSpaceDE w:val="0"/>
        <w:autoSpaceDN w:val="0"/>
        <w:snapToGrid/>
        <w:spacing w:after="0" w:line="520" w:lineRule="exact"/>
        <w:ind w:right="-20"/>
        <w:jc w:val="center"/>
        <w:outlineLvl w:val="9"/>
        <w:rPr>
          <w:rFonts w:cs="MingLiU" w:asciiTheme="minorEastAsia" w:hAnsiTheme="minorEastAsia" w:eastAsiaTheme="minorEastAsia"/>
          <w:b/>
          <w:sz w:val="24"/>
          <w:szCs w:val="24"/>
        </w:rPr>
      </w:pPr>
      <w:r>
        <w:rPr>
          <w:rFonts w:hint="eastAsia" w:cs="宋体" w:asciiTheme="minorEastAsia" w:hAnsiTheme="minorEastAsia" w:eastAsiaTheme="minorEastAsia"/>
          <w:sz w:val="28"/>
          <w:szCs w:val="28"/>
          <w:lang w:val="zh-CN" w:bidi="zh-CN"/>
        </w:rPr>
        <w:t>（二）主要人员简历表</w:t>
      </w:r>
    </w:p>
    <w:p w14:paraId="18AE23BD">
      <w:pPr>
        <w:widowControl w:val="0"/>
        <w:autoSpaceDE w:val="0"/>
        <w:autoSpaceDN w:val="0"/>
        <w:snapToGrid/>
        <w:spacing w:after="0" w:line="200" w:lineRule="exact"/>
        <w:outlineLvl w:val="9"/>
        <w:rPr>
          <w:rFonts w:cs="MingLiU" w:asciiTheme="minorEastAsia" w:hAnsiTheme="minorEastAsia" w:eastAsiaTheme="minorEastAsia"/>
          <w:sz w:val="24"/>
          <w:szCs w:val="24"/>
        </w:rPr>
      </w:pPr>
      <w:r>
        <w:rPr>
          <w:rFonts w:hint="eastAsia" w:cs="MingLiU" w:asciiTheme="minorEastAsia" w:hAnsiTheme="minorEastAsia" w:eastAsiaTheme="minorEastAsia"/>
          <w:sz w:val="24"/>
          <w:szCs w:val="24"/>
        </w:rPr>
        <w:t xml:space="preserve"> </w:t>
      </w:r>
    </w:p>
    <w:p w14:paraId="4B6CAC23">
      <w:pPr>
        <w:widowControl w:val="0"/>
        <w:autoSpaceDE w:val="0"/>
        <w:autoSpaceDN w:val="0"/>
        <w:snapToGrid/>
        <w:spacing w:before="8" w:after="0" w:line="360" w:lineRule="exact"/>
        <w:ind w:firstLine="480" w:firstLineChars="200"/>
        <w:outlineLvl w:val="9"/>
        <w:rPr>
          <w:rFonts w:cs="MingLiU" w:asciiTheme="minorEastAsia" w:hAnsiTheme="minorEastAsia" w:eastAsiaTheme="minorEastAsia"/>
          <w:sz w:val="24"/>
          <w:szCs w:val="24"/>
        </w:rPr>
      </w:pPr>
      <w:r>
        <w:rPr>
          <w:rFonts w:hint="eastAsia" w:cs="MingLiU" w:asciiTheme="minorEastAsia" w:hAnsiTheme="minorEastAsia" w:eastAsiaTheme="minorEastAsia"/>
          <w:sz w:val="24"/>
          <w:szCs w:val="24"/>
        </w:rPr>
        <w:t>“主要人员简历表”中的项目经理应附项目经理身份证、注册证、安全生产考核合格证、社保证明扫描件及</w:t>
      </w:r>
      <w:r>
        <w:rPr>
          <w:rFonts w:hint="eastAsia" w:cs="MingLiU" w:asciiTheme="minorEastAsia" w:hAnsiTheme="minorEastAsia" w:eastAsiaTheme="minorEastAsia"/>
          <w:color w:val="auto"/>
          <w:sz w:val="24"/>
          <w:szCs w:val="24"/>
          <w:highlight w:val="none"/>
        </w:rPr>
        <w:t>无在建承诺书</w:t>
      </w:r>
      <w:r>
        <w:rPr>
          <w:rFonts w:hint="eastAsia" w:cs="MingLiU" w:asciiTheme="minorEastAsia" w:hAnsiTheme="minorEastAsia" w:eastAsiaTheme="minorEastAsia"/>
          <w:sz w:val="24"/>
          <w:szCs w:val="24"/>
        </w:rPr>
        <w:t>；技术负责人提供职称证、身份证、社保证明；其他主要人员应附身份证、执业证或上岗证书和社保证明扫描件。</w:t>
      </w:r>
    </w:p>
    <w:tbl>
      <w:tblPr>
        <w:tblStyle w:val="26"/>
        <w:tblW w:w="5000" w:type="pct"/>
        <w:jc w:val="center"/>
        <w:tblLayout w:type="autofit"/>
        <w:tblCellMar>
          <w:top w:w="0" w:type="dxa"/>
          <w:left w:w="0" w:type="dxa"/>
          <w:bottom w:w="0" w:type="dxa"/>
          <w:right w:w="0" w:type="dxa"/>
        </w:tblCellMar>
      </w:tblPr>
      <w:tblGrid>
        <w:gridCol w:w="1287"/>
        <w:gridCol w:w="390"/>
        <w:gridCol w:w="782"/>
        <w:gridCol w:w="1004"/>
        <w:gridCol w:w="1156"/>
        <w:gridCol w:w="767"/>
        <w:gridCol w:w="1366"/>
        <w:gridCol w:w="178"/>
        <w:gridCol w:w="2315"/>
      </w:tblGrid>
      <w:tr w14:paraId="21D70D9B">
        <w:tblPrEx>
          <w:tblCellMar>
            <w:top w:w="0" w:type="dxa"/>
            <w:left w:w="0" w:type="dxa"/>
            <w:bottom w:w="0" w:type="dxa"/>
            <w:right w:w="0" w:type="dxa"/>
          </w:tblCellMar>
        </w:tblPrEx>
        <w:trPr>
          <w:trHeight w:val="450" w:hRule="atLeast"/>
          <w:jc w:val="center"/>
        </w:trPr>
        <w:tc>
          <w:tcPr>
            <w:tcW w:w="696" w:type="pct"/>
            <w:tcBorders>
              <w:top w:val="single" w:color="000000" w:sz="4" w:space="0"/>
              <w:left w:val="single" w:color="000000" w:sz="4" w:space="0"/>
              <w:bottom w:val="single" w:color="000000" w:sz="4" w:space="0"/>
              <w:right w:val="single" w:color="000000" w:sz="4" w:space="0"/>
            </w:tcBorders>
            <w:vAlign w:val="center"/>
          </w:tcPr>
          <w:p w14:paraId="0EB5C320">
            <w:pPr>
              <w:widowControl w:val="0"/>
              <w:autoSpaceDE w:val="0"/>
              <w:autoSpaceDN w:val="0"/>
              <w:snapToGrid/>
              <w:spacing w:before="73" w:after="0"/>
              <w:ind w:left="103"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姓</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名</w:t>
            </w:r>
          </w:p>
        </w:tc>
        <w:tc>
          <w:tcPr>
            <w:tcW w:w="634" w:type="pct"/>
            <w:gridSpan w:val="2"/>
            <w:tcBorders>
              <w:top w:val="single" w:color="000000" w:sz="4" w:space="0"/>
              <w:left w:val="nil"/>
              <w:bottom w:val="single" w:color="000000" w:sz="4" w:space="0"/>
              <w:right w:val="single" w:color="000000" w:sz="4" w:space="0"/>
            </w:tcBorders>
            <w:vAlign w:val="center"/>
          </w:tcPr>
          <w:p w14:paraId="53575FD7">
            <w:pPr>
              <w:widowControl w:val="0"/>
              <w:autoSpaceDE w:val="0"/>
              <w:autoSpaceDN w:val="0"/>
              <w:snapToGrid/>
              <w:spacing w:after="0"/>
              <w:jc w:val="both"/>
              <w:outlineLvl w:val="9"/>
              <w:rPr>
                <w:rFonts w:cs="Times New Roman" w:asciiTheme="minorEastAsia" w:hAnsiTheme="minorEastAsia" w:eastAsiaTheme="minorEastAsia"/>
                <w:sz w:val="24"/>
                <w:szCs w:val="24"/>
              </w:rPr>
            </w:pPr>
          </w:p>
        </w:tc>
        <w:tc>
          <w:tcPr>
            <w:tcW w:w="543" w:type="pct"/>
            <w:tcBorders>
              <w:top w:val="single" w:color="000000" w:sz="4" w:space="0"/>
              <w:left w:val="nil"/>
              <w:bottom w:val="single" w:color="000000" w:sz="4" w:space="0"/>
              <w:right w:val="single" w:color="000000" w:sz="4" w:space="0"/>
            </w:tcBorders>
            <w:vAlign w:val="center"/>
          </w:tcPr>
          <w:p w14:paraId="2B1FCA59">
            <w:pPr>
              <w:widowControl w:val="0"/>
              <w:autoSpaceDE w:val="0"/>
              <w:autoSpaceDN w:val="0"/>
              <w:snapToGrid/>
              <w:spacing w:before="73" w:after="0"/>
              <w:ind w:left="103"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年龄</w:t>
            </w:r>
          </w:p>
        </w:tc>
        <w:tc>
          <w:tcPr>
            <w:tcW w:w="625" w:type="pct"/>
            <w:tcBorders>
              <w:top w:val="single" w:color="000000" w:sz="4" w:space="0"/>
              <w:left w:val="nil"/>
              <w:bottom w:val="single" w:color="000000" w:sz="4" w:space="0"/>
              <w:right w:val="single" w:color="000000" w:sz="4" w:space="0"/>
            </w:tcBorders>
            <w:vAlign w:val="center"/>
          </w:tcPr>
          <w:p w14:paraId="729174E5">
            <w:pPr>
              <w:widowControl w:val="0"/>
              <w:autoSpaceDE w:val="0"/>
              <w:autoSpaceDN w:val="0"/>
              <w:snapToGrid/>
              <w:spacing w:after="0"/>
              <w:jc w:val="both"/>
              <w:outlineLvl w:val="9"/>
              <w:rPr>
                <w:rFonts w:cs="Times New Roman" w:asciiTheme="minorEastAsia" w:hAnsiTheme="minorEastAsia" w:eastAsiaTheme="minorEastAsia"/>
                <w:sz w:val="24"/>
                <w:szCs w:val="24"/>
              </w:rPr>
            </w:pPr>
          </w:p>
        </w:tc>
        <w:tc>
          <w:tcPr>
            <w:tcW w:w="1250" w:type="pct"/>
            <w:gridSpan w:val="3"/>
            <w:tcBorders>
              <w:top w:val="single" w:color="000000" w:sz="4" w:space="0"/>
              <w:left w:val="nil"/>
              <w:bottom w:val="single" w:color="000000" w:sz="4" w:space="0"/>
              <w:right w:val="single" w:color="000000" w:sz="4" w:space="0"/>
            </w:tcBorders>
            <w:vAlign w:val="center"/>
          </w:tcPr>
          <w:p w14:paraId="45663D05">
            <w:pPr>
              <w:widowControl w:val="0"/>
              <w:autoSpaceDE w:val="0"/>
              <w:autoSpaceDN w:val="0"/>
              <w:snapToGrid/>
              <w:spacing w:before="73" w:after="0"/>
              <w:ind w:left="102"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学历</w:t>
            </w:r>
          </w:p>
        </w:tc>
        <w:tc>
          <w:tcPr>
            <w:tcW w:w="1252" w:type="pct"/>
            <w:tcBorders>
              <w:top w:val="single" w:color="000000" w:sz="4" w:space="0"/>
              <w:left w:val="nil"/>
              <w:bottom w:val="single" w:color="000000" w:sz="4" w:space="0"/>
              <w:right w:val="single" w:color="000000" w:sz="4" w:space="0"/>
            </w:tcBorders>
            <w:vAlign w:val="center"/>
          </w:tcPr>
          <w:p w14:paraId="220F3BC1">
            <w:pPr>
              <w:widowControl w:val="0"/>
              <w:autoSpaceDE w:val="0"/>
              <w:autoSpaceDN w:val="0"/>
              <w:snapToGrid/>
              <w:spacing w:after="0"/>
              <w:jc w:val="both"/>
              <w:outlineLvl w:val="9"/>
              <w:rPr>
                <w:rFonts w:cs="Times New Roman" w:asciiTheme="minorEastAsia" w:hAnsiTheme="minorEastAsia" w:eastAsiaTheme="minorEastAsia"/>
                <w:sz w:val="24"/>
                <w:szCs w:val="24"/>
              </w:rPr>
            </w:pPr>
          </w:p>
        </w:tc>
      </w:tr>
      <w:tr w14:paraId="46265921">
        <w:tblPrEx>
          <w:tblCellMar>
            <w:top w:w="0" w:type="dxa"/>
            <w:left w:w="0" w:type="dxa"/>
            <w:bottom w:w="0" w:type="dxa"/>
            <w:right w:w="0" w:type="dxa"/>
          </w:tblCellMar>
        </w:tblPrEx>
        <w:trPr>
          <w:trHeight w:val="450" w:hRule="atLeast"/>
          <w:jc w:val="center"/>
        </w:trPr>
        <w:tc>
          <w:tcPr>
            <w:tcW w:w="696" w:type="pct"/>
            <w:tcBorders>
              <w:top w:val="single" w:color="000000" w:sz="4" w:space="0"/>
              <w:left w:val="single" w:color="000000" w:sz="4" w:space="0"/>
              <w:bottom w:val="single" w:color="000000" w:sz="4" w:space="0"/>
              <w:right w:val="single" w:color="000000" w:sz="4" w:space="0"/>
            </w:tcBorders>
            <w:vAlign w:val="center"/>
          </w:tcPr>
          <w:p w14:paraId="02E802A7">
            <w:pPr>
              <w:widowControl w:val="0"/>
              <w:autoSpaceDE w:val="0"/>
              <w:autoSpaceDN w:val="0"/>
              <w:snapToGrid/>
              <w:spacing w:before="73" w:after="0"/>
              <w:ind w:left="103"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职</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称</w:t>
            </w:r>
          </w:p>
        </w:tc>
        <w:tc>
          <w:tcPr>
            <w:tcW w:w="634" w:type="pct"/>
            <w:gridSpan w:val="2"/>
            <w:tcBorders>
              <w:top w:val="single" w:color="000000" w:sz="4" w:space="0"/>
              <w:left w:val="nil"/>
              <w:bottom w:val="single" w:color="000000" w:sz="4" w:space="0"/>
              <w:right w:val="single" w:color="000000" w:sz="4" w:space="0"/>
            </w:tcBorders>
            <w:vAlign w:val="center"/>
          </w:tcPr>
          <w:p w14:paraId="6249798E">
            <w:pPr>
              <w:widowControl w:val="0"/>
              <w:autoSpaceDE w:val="0"/>
              <w:autoSpaceDN w:val="0"/>
              <w:snapToGrid/>
              <w:spacing w:after="0"/>
              <w:jc w:val="both"/>
              <w:outlineLvl w:val="9"/>
              <w:rPr>
                <w:rFonts w:cs="Times New Roman" w:asciiTheme="minorEastAsia" w:hAnsiTheme="minorEastAsia" w:eastAsiaTheme="minorEastAsia"/>
                <w:sz w:val="24"/>
                <w:szCs w:val="24"/>
              </w:rPr>
            </w:pPr>
          </w:p>
        </w:tc>
        <w:tc>
          <w:tcPr>
            <w:tcW w:w="543" w:type="pct"/>
            <w:tcBorders>
              <w:top w:val="single" w:color="000000" w:sz="4" w:space="0"/>
              <w:left w:val="nil"/>
              <w:bottom w:val="single" w:color="000000" w:sz="4" w:space="0"/>
              <w:right w:val="single" w:color="000000" w:sz="4" w:space="0"/>
            </w:tcBorders>
            <w:vAlign w:val="center"/>
          </w:tcPr>
          <w:p w14:paraId="103D3AAD">
            <w:pPr>
              <w:widowControl w:val="0"/>
              <w:autoSpaceDE w:val="0"/>
              <w:autoSpaceDN w:val="0"/>
              <w:snapToGrid/>
              <w:spacing w:before="73" w:after="0"/>
              <w:ind w:left="102"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职务</w:t>
            </w:r>
          </w:p>
        </w:tc>
        <w:tc>
          <w:tcPr>
            <w:tcW w:w="625" w:type="pct"/>
            <w:tcBorders>
              <w:top w:val="single" w:color="000000" w:sz="4" w:space="0"/>
              <w:left w:val="nil"/>
              <w:bottom w:val="single" w:color="000000" w:sz="4" w:space="0"/>
              <w:right w:val="single" w:color="000000" w:sz="4" w:space="0"/>
            </w:tcBorders>
            <w:vAlign w:val="center"/>
          </w:tcPr>
          <w:p w14:paraId="7780221C">
            <w:pPr>
              <w:widowControl w:val="0"/>
              <w:autoSpaceDE w:val="0"/>
              <w:autoSpaceDN w:val="0"/>
              <w:snapToGrid/>
              <w:spacing w:after="0"/>
              <w:jc w:val="both"/>
              <w:outlineLvl w:val="9"/>
              <w:rPr>
                <w:rFonts w:cs="Times New Roman" w:asciiTheme="minorEastAsia" w:hAnsiTheme="minorEastAsia" w:eastAsiaTheme="minorEastAsia"/>
                <w:sz w:val="24"/>
                <w:szCs w:val="24"/>
              </w:rPr>
            </w:pPr>
          </w:p>
        </w:tc>
        <w:tc>
          <w:tcPr>
            <w:tcW w:w="1250" w:type="pct"/>
            <w:gridSpan w:val="3"/>
            <w:tcBorders>
              <w:top w:val="single" w:color="000000" w:sz="4" w:space="0"/>
              <w:left w:val="nil"/>
              <w:bottom w:val="single" w:color="000000" w:sz="4" w:space="0"/>
              <w:right w:val="single" w:color="000000" w:sz="4" w:space="0"/>
            </w:tcBorders>
            <w:vAlign w:val="center"/>
          </w:tcPr>
          <w:p w14:paraId="5F3753EE">
            <w:pPr>
              <w:widowControl w:val="0"/>
              <w:autoSpaceDE w:val="0"/>
              <w:autoSpaceDN w:val="0"/>
              <w:snapToGrid/>
              <w:spacing w:before="73" w:after="0"/>
              <w:ind w:left="102"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拟在本合同任职</w:t>
            </w:r>
          </w:p>
        </w:tc>
        <w:tc>
          <w:tcPr>
            <w:tcW w:w="1252" w:type="pct"/>
            <w:tcBorders>
              <w:top w:val="single" w:color="000000" w:sz="4" w:space="0"/>
              <w:left w:val="nil"/>
              <w:bottom w:val="single" w:color="000000" w:sz="4" w:space="0"/>
              <w:right w:val="single" w:color="000000" w:sz="4" w:space="0"/>
            </w:tcBorders>
            <w:vAlign w:val="center"/>
          </w:tcPr>
          <w:p w14:paraId="07311731">
            <w:pPr>
              <w:widowControl w:val="0"/>
              <w:autoSpaceDE w:val="0"/>
              <w:autoSpaceDN w:val="0"/>
              <w:snapToGrid/>
              <w:spacing w:after="0"/>
              <w:jc w:val="both"/>
              <w:outlineLvl w:val="9"/>
              <w:rPr>
                <w:rFonts w:cs="Times New Roman" w:asciiTheme="minorEastAsia" w:hAnsiTheme="minorEastAsia" w:eastAsiaTheme="minorEastAsia"/>
                <w:sz w:val="24"/>
                <w:szCs w:val="24"/>
              </w:rPr>
            </w:pPr>
          </w:p>
        </w:tc>
      </w:tr>
      <w:tr w14:paraId="6A7D7162">
        <w:tblPrEx>
          <w:tblCellMar>
            <w:top w:w="0" w:type="dxa"/>
            <w:left w:w="0" w:type="dxa"/>
            <w:bottom w:w="0" w:type="dxa"/>
            <w:right w:w="0" w:type="dxa"/>
          </w:tblCellMar>
        </w:tblPrEx>
        <w:trPr>
          <w:trHeight w:val="450" w:hRule="atLeast"/>
          <w:jc w:val="center"/>
        </w:trPr>
        <w:tc>
          <w:tcPr>
            <w:tcW w:w="696" w:type="pct"/>
            <w:tcBorders>
              <w:top w:val="single" w:color="000000" w:sz="4" w:space="0"/>
              <w:left w:val="single" w:color="000000" w:sz="4" w:space="0"/>
              <w:bottom w:val="single" w:color="000000" w:sz="4" w:space="0"/>
              <w:right w:val="single" w:color="000000" w:sz="4" w:space="0"/>
            </w:tcBorders>
            <w:vAlign w:val="center"/>
          </w:tcPr>
          <w:p w14:paraId="6B38EDC2">
            <w:pPr>
              <w:widowControl w:val="0"/>
              <w:autoSpaceDE w:val="0"/>
              <w:autoSpaceDN w:val="0"/>
              <w:snapToGrid/>
              <w:spacing w:before="73" w:after="0"/>
              <w:ind w:left="103"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毕业学校</w:t>
            </w:r>
          </w:p>
        </w:tc>
        <w:tc>
          <w:tcPr>
            <w:tcW w:w="4304" w:type="pct"/>
            <w:gridSpan w:val="8"/>
            <w:tcBorders>
              <w:top w:val="single" w:color="000000" w:sz="4" w:space="0"/>
              <w:left w:val="nil"/>
              <w:bottom w:val="single" w:color="000000" w:sz="4" w:space="0"/>
              <w:right w:val="single" w:color="000000" w:sz="4" w:space="0"/>
            </w:tcBorders>
            <w:vAlign w:val="center"/>
          </w:tcPr>
          <w:p w14:paraId="7CFDF47F">
            <w:pPr>
              <w:widowControl w:val="0"/>
              <w:autoSpaceDE w:val="0"/>
              <w:autoSpaceDN w:val="0"/>
              <w:snapToGrid/>
              <w:spacing w:before="73" w:after="0"/>
              <w:ind w:left="733"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年</w:t>
            </w:r>
            <w:r>
              <w:rPr>
                <w:rFonts w:hint="eastAsia" w:cs="MingLiU" w:asciiTheme="minorEastAsia" w:hAnsiTheme="minorEastAsia" w:eastAsiaTheme="minorEastAsia"/>
                <w:spacing w:val="-1"/>
                <w:sz w:val="24"/>
                <w:szCs w:val="24"/>
              </w:rPr>
              <w:t>毕</w:t>
            </w:r>
            <w:r>
              <w:rPr>
                <w:rFonts w:hint="eastAsia" w:cs="MingLiU" w:asciiTheme="minorEastAsia" w:hAnsiTheme="minorEastAsia" w:eastAsiaTheme="minorEastAsia"/>
                <w:sz w:val="24"/>
                <w:szCs w:val="24"/>
              </w:rPr>
              <w:t>业于</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学校</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专业</w:t>
            </w:r>
          </w:p>
        </w:tc>
      </w:tr>
      <w:tr w14:paraId="44A64055">
        <w:tblPrEx>
          <w:tblCellMar>
            <w:top w:w="0" w:type="dxa"/>
            <w:left w:w="0" w:type="dxa"/>
            <w:bottom w:w="0" w:type="dxa"/>
            <w:right w:w="0" w:type="dxa"/>
          </w:tblCellMar>
        </w:tblPrEx>
        <w:trPr>
          <w:trHeight w:val="450" w:hRule="atLeast"/>
          <w:jc w:val="center"/>
        </w:trPr>
        <w:tc>
          <w:tcPr>
            <w:tcW w:w="5000" w:type="pct"/>
            <w:gridSpan w:val="9"/>
            <w:tcBorders>
              <w:top w:val="single" w:color="000000" w:sz="4" w:space="0"/>
              <w:left w:val="single" w:color="000000" w:sz="4" w:space="0"/>
              <w:bottom w:val="single" w:color="000000" w:sz="4" w:space="0"/>
              <w:right w:val="single" w:color="000000" w:sz="4" w:space="0"/>
            </w:tcBorders>
            <w:vAlign w:val="center"/>
          </w:tcPr>
          <w:p w14:paraId="7187B2C2">
            <w:pPr>
              <w:widowControl w:val="0"/>
              <w:autoSpaceDE w:val="0"/>
              <w:autoSpaceDN w:val="0"/>
              <w:snapToGrid/>
              <w:spacing w:before="73" w:after="0"/>
              <w:ind w:left="103" w:right="-20"/>
              <w:jc w:val="both"/>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主要工作经历</w:t>
            </w:r>
          </w:p>
        </w:tc>
      </w:tr>
      <w:tr w14:paraId="00866F81">
        <w:tblPrEx>
          <w:tblCellMar>
            <w:top w:w="0" w:type="dxa"/>
            <w:left w:w="0" w:type="dxa"/>
            <w:bottom w:w="0" w:type="dxa"/>
            <w:right w:w="0" w:type="dxa"/>
          </w:tblCellMar>
        </w:tblPrEx>
        <w:trPr>
          <w:trHeight w:val="45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vAlign w:val="center"/>
          </w:tcPr>
          <w:p w14:paraId="22ADA923">
            <w:pPr>
              <w:widowControl w:val="0"/>
              <w:autoSpaceDE w:val="0"/>
              <w:autoSpaceDN w:val="0"/>
              <w:snapToGrid/>
              <w:spacing w:before="73" w:after="0"/>
              <w:ind w:left="103" w:right="-20"/>
              <w:jc w:val="center"/>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时</w:t>
            </w:r>
            <w:r>
              <w:rPr>
                <w:rFonts w:hint="eastAsia" w:cs="Times New Roman" w:asciiTheme="minorEastAsia" w:hAnsiTheme="minorEastAsia" w:eastAsiaTheme="minorEastAsia"/>
                <w:sz w:val="24"/>
                <w:szCs w:val="24"/>
              </w:rPr>
              <w:tab/>
            </w:r>
            <w:r>
              <w:rPr>
                <w:rFonts w:hint="eastAsia" w:cs="MingLiU" w:asciiTheme="minorEastAsia" w:hAnsiTheme="minorEastAsia" w:eastAsiaTheme="minorEastAsia"/>
                <w:sz w:val="24"/>
                <w:szCs w:val="24"/>
              </w:rPr>
              <w:t>间</w:t>
            </w:r>
          </w:p>
        </w:tc>
        <w:tc>
          <w:tcPr>
            <w:tcW w:w="2006" w:type="pct"/>
            <w:gridSpan w:val="4"/>
            <w:tcBorders>
              <w:top w:val="single" w:color="000000" w:sz="4" w:space="0"/>
              <w:left w:val="nil"/>
              <w:bottom w:val="single" w:color="000000" w:sz="4" w:space="0"/>
              <w:right w:val="single" w:color="000000" w:sz="4" w:space="0"/>
            </w:tcBorders>
            <w:vAlign w:val="center"/>
          </w:tcPr>
          <w:p w14:paraId="51E13E1A">
            <w:pPr>
              <w:widowControl w:val="0"/>
              <w:autoSpaceDE w:val="0"/>
              <w:autoSpaceDN w:val="0"/>
              <w:snapToGrid/>
              <w:spacing w:before="73" w:after="0"/>
              <w:ind w:left="102" w:right="-20"/>
              <w:jc w:val="center"/>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参加过的类似项目</w:t>
            </w:r>
          </w:p>
        </w:tc>
        <w:tc>
          <w:tcPr>
            <w:tcW w:w="739" w:type="pct"/>
            <w:tcBorders>
              <w:top w:val="single" w:color="000000" w:sz="4" w:space="0"/>
              <w:left w:val="nil"/>
              <w:bottom w:val="single" w:color="000000" w:sz="4" w:space="0"/>
              <w:right w:val="single" w:color="000000" w:sz="4" w:space="0"/>
            </w:tcBorders>
            <w:vAlign w:val="center"/>
          </w:tcPr>
          <w:p w14:paraId="20867D0C">
            <w:pPr>
              <w:widowControl w:val="0"/>
              <w:autoSpaceDE w:val="0"/>
              <w:autoSpaceDN w:val="0"/>
              <w:snapToGrid/>
              <w:spacing w:before="73" w:after="0"/>
              <w:ind w:left="102" w:right="-20"/>
              <w:jc w:val="center"/>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担任职务</w:t>
            </w:r>
          </w:p>
        </w:tc>
        <w:tc>
          <w:tcPr>
            <w:tcW w:w="1348" w:type="pct"/>
            <w:gridSpan w:val="2"/>
            <w:tcBorders>
              <w:top w:val="single" w:color="000000" w:sz="4" w:space="0"/>
              <w:left w:val="nil"/>
              <w:bottom w:val="single" w:color="000000" w:sz="4" w:space="0"/>
              <w:right w:val="single" w:color="000000" w:sz="4" w:space="0"/>
            </w:tcBorders>
            <w:vAlign w:val="center"/>
          </w:tcPr>
          <w:p w14:paraId="2B110B61">
            <w:pPr>
              <w:widowControl w:val="0"/>
              <w:autoSpaceDE w:val="0"/>
              <w:autoSpaceDN w:val="0"/>
              <w:snapToGrid/>
              <w:spacing w:before="73" w:after="0"/>
              <w:ind w:left="103" w:right="-20"/>
              <w:jc w:val="center"/>
              <w:outlineLvl w:val="9"/>
              <w:rPr>
                <w:rFonts w:cs="Times New Roman" w:asciiTheme="minorEastAsia" w:hAnsiTheme="minorEastAsia" w:eastAsiaTheme="minorEastAsia"/>
                <w:sz w:val="24"/>
                <w:szCs w:val="24"/>
              </w:rPr>
            </w:pPr>
            <w:r>
              <w:rPr>
                <w:rFonts w:hint="eastAsia" w:cs="MingLiU" w:asciiTheme="minorEastAsia" w:hAnsiTheme="minorEastAsia" w:eastAsiaTheme="minorEastAsia"/>
                <w:sz w:val="24"/>
                <w:szCs w:val="24"/>
              </w:rPr>
              <w:t>发包人及联系电话</w:t>
            </w:r>
          </w:p>
        </w:tc>
      </w:tr>
      <w:tr w14:paraId="48F27E22">
        <w:tblPrEx>
          <w:tblCellMar>
            <w:top w:w="0" w:type="dxa"/>
            <w:left w:w="0" w:type="dxa"/>
            <w:bottom w:w="0" w:type="dxa"/>
            <w:right w:w="0" w:type="dxa"/>
          </w:tblCellMar>
        </w:tblPrEx>
        <w:trPr>
          <w:trHeight w:val="701"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6D84203E">
            <w:pPr>
              <w:widowControl w:val="0"/>
              <w:autoSpaceDE w:val="0"/>
              <w:autoSpaceDN w:val="0"/>
              <w:snapToGrid/>
              <w:spacing w:after="0"/>
              <w:outlineLvl w:val="9"/>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46B30A09">
            <w:pPr>
              <w:widowControl w:val="0"/>
              <w:autoSpaceDE w:val="0"/>
              <w:autoSpaceDN w:val="0"/>
              <w:snapToGrid/>
              <w:spacing w:after="0"/>
              <w:outlineLvl w:val="9"/>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06CF7B88">
            <w:pPr>
              <w:widowControl w:val="0"/>
              <w:autoSpaceDE w:val="0"/>
              <w:autoSpaceDN w:val="0"/>
              <w:snapToGrid/>
              <w:spacing w:after="0"/>
              <w:outlineLvl w:val="9"/>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7FAF5DF9">
            <w:pPr>
              <w:widowControl w:val="0"/>
              <w:autoSpaceDE w:val="0"/>
              <w:autoSpaceDN w:val="0"/>
              <w:snapToGrid/>
              <w:spacing w:after="0"/>
              <w:outlineLvl w:val="9"/>
              <w:rPr>
                <w:rFonts w:cs="Times New Roman" w:asciiTheme="minorEastAsia" w:hAnsiTheme="minorEastAsia" w:eastAsiaTheme="minorEastAsia"/>
                <w:sz w:val="24"/>
                <w:szCs w:val="24"/>
              </w:rPr>
            </w:pPr>
          </w:p>
        </w:tc>
      </w:tr>
      <w:tr w14:paraId="04B529EC">
        <w:tblPrEx>
          <w:tblCellMar>
            <w:top w:w="0" w:type="dxa"/>
            <w:left w:w="0" w:type="dxa"/>
            <w:bottom w:w="0" w:type="dxa"/>
            <w:right w:w="0" w:type="dxa"/>
          </w:tblCellMar>
        </w:tblPrEx>
        <w:trPr>
          <w:trHeight w:val="70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498CC673">
            <w:pPr>
              <w:widowControl w:val="0"/>
              <w:autoSpaceDE w:val="0"/>
              <w:autoSpaceDN w:val="0"/>
              <w:snapToGrid/>
              <w:spacing w:after="0"/>
              <w:outlineLvl w:val="9"/>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506CC994">
            <w:pPr>
              <w:widowControl w:val="0"/>
              <w:autoSpaceDE w:val="0"/>
              <w:autoSpaceDN w:val="0"/>
              <w:snapToGrid/>
              <w:spacing w:after="0"/>
              <w:outlineLvl w:val="9"/>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32B86E83">
            <w:pPr>
              <w:widowControl w:val="0"/>
              <w:autoSpaceDE w:val="0"/>
              <w:autoSpaceDN w:val="0"/>
              <w:snapToGrid/>
              <w:spacing w:after="0"/>
              <w:outlineLvl w:val="9"/>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011C540F">
            <w:pPr>
              <w:widowControl w:val="0"/>
              <w:autoSpaceDE w:val="0"/>
              <w:autoSpaceDN w:val="0"/>
              <w:snapToGrid/>
              <w:spacing w:after="0"/>
              <w:outlineLvl w:val="9"/>
              <w:rPr>
                <w:rFonts w:cs="Times New Roman" w:asciiTheme="minorEastAsia" w:hAnsiTheme="minorEastAsia" w:eastAsiaTheme="minorEastAsia"/>
                <w:sz w:val="24"/>
                <w:szCs w:val="24"/>
              </w:rPr>
            </w:pPr>
          </w:p>
        </w:tc>
      </w:tr>
      <w:tr w14:paraId="06834BA6">
        <w:tblPrEx>
          <w:tblCellMar>
            <w:top w:w="0" w:type="dxa"/>
            <w:left w:w="0" w:type="dxa"/>
            <w:bottom w:w="0" w:type="dxa"/>
            <w:right w:w="0" w:type="dxa"/>
          </w:tblCellMar>
        </w:tblPrEx>
        <w:trPr>
          <w:trHeight w:val="70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5994A2B8">
            <w:pPr>
              <w:widowControl w:val="0"/>
              <w:autoSpaceDE w:val="0"/>
              <w:autoSpaceDN w:val="0"/>
              <w:snapToGrid/>
              <w:spacing w:after="0"/>
              <w:outlineLvl w:val="9"/>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0CDE7CC4">
            <w:pPr>
              <w:widowControl w:val="0"/>
              <w:autoSpaceDE w:val="0"/>
              <w:autoSpaceDN w:val="0"/>
              <w:snapToGrid/>
              <w:spacing w:after="0"/>
              <w:outlineLvl w:val="9"/>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0ED476D8">
            <w:pPr>
              <w:widowControl w:val="0"/>
              <w:autoSpaceDE w:val="0"/>
              <w:autoSpaceDN w:val="0"/>
              <w:snapToGrid/>
              <w:spacing w:after="0"/>
              <w:outlineLvl w:val="9"/>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3B94E70B">
            <w:pPr>
              <w:widowControl w:val="0"/>
              <w:autoSpaceDE w:val="0"/>
              <w:autoSpaceDN w:val="0"/>
              <w:snapToGrid/>
              <w:spacing w:after="0"/>
              <w:outlineLvl w:val="9"/>
              <w:rPr>
                <w:rFonts w:cs="Times New Roman" w:asciiTheme="minorEastAsia" w:hAnsiTheme="minorEastAsia" w:eastAsiaTheme="minorEastAsia"/>
                <w:sz w:val="24"/>
                <w:szCs w:val="24"/>
              </w:rPr>
            </w:pPr>
          </w:p>
        </w:tc>
      </w:tr>
      <w:tr w14:paraId="347E1EAB">
        <w:tblPrEx>
          <w:tblCellMar>
            <w:top w:w="0" w:type="dxa"/>
            <w:left w:w="0" w:type="dxa"/>
            <w:bottom w:w="0" w:type="dxa"/>
            <w:right w:w="0" w:type="dxa"/>
          </w:tblCellMar>
        </w:tblPrEx>
        <w:trPr>
          <w:trHeight w:val="701"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1F9A0A67">
            <w:pPr>
              <w:widowControl w:val="0"/>
              <w:autoSpaceDE w:val="0"/>
              <w:autoSpaceDN w:val="0"/>
              <w:snapToGrid/>
              <w:spacing w:after="0"/>
              <w:outlineLvl w:val="9"/>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265A705C">
            <w:pPr>
              <w:widowControl w:val="0"/>
              <w:autoSpaceDE w:val="0"/>
              <w:autoSpaceDN w:val="0"/>
              <w:snapToGrid/>
              <w:spacing w:after="0"/>
              <w:outlineLvl w:val="9"/>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595BF753">
            <w:pPr>
              <w:widowControl w:val="0"/>
              <w:autoSpaceDE w:val="0"/>
              <w:autoSpaceDN w:val="0"/>
              <w:snapToGrid/>
              <w:spacing w:after="0"/>
              <w:outlineLvl w:val="9"/>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31DCD900">
            <w:pPr>
              <w:widowControl w:val="0"/>
              <w:autoSpaceDE w:val="0"/>
              <w:autoSpaceDN w:val="0"/>
              <w:snapToGrid/>
              <w:spacing w:after="0"/>
              <w:outlineLvl w:val="9"/>
              <w:rPr>
                <w:rFonts w:cs="Times New Roman" w:asciiTheme="minorEastAsia" w:hAnsiTheme="minorEastAsia" w:eastAsiaTheme="minorEastAsia"/>
                <w:sz w:val="24"/>
                <w:szCs w:val="24"/>
              </w:rPr>
            </w:pPr>
          </w:p>
        </w:tc>
      </w:tr>
      <w:tr w14:paraId="00EF4777">
        <w:tblPrEx>
          <w:tblCellMar>
            <w:top w:w="0" w:type="dxa"/>
            <w:left w:w="0" w:type="dxa"/>
            <w:bottom w:w="0" w:type="dxa"/>
            <w:right w:w="0" w:type="dxa"/>
          </w:tblCellMar>
        </w:tblPrEx>
        <w:trPr>
          <w:trHeight w:val="70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2386851B">
            <w:pPr>
              <w:widowControl w:val="0"/>
              <w:autoSpaceDE w:val="0"/>
              <w:autoSpaceDN w:val="0"/>
              <w:snapToGrid/>
              <w:spacing w:after="0"/>
              <w:outlineLvl w:val="9"/>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31D94FFB">
            <w:pPr>
              <w:widowControl w:val="0"/>
              <w:autoSpaceDE w:val="0"/>
              <w:autoSpaceDN w:val="0"/>
              <w:snapToGrid/>
              <w:spacing w:after="0"/>
              <w:outlineLvl w:val="9"/>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0C398286">
            <w:pPr>
              <w:widowControl w:val="0"/>
              <w:autoSpaceDE w:val="0"/>
              <w:autoSpaceDN w:val="0"/>
              <w:snapToGrid/>
              <w:spacing w:after="0"/>
              <w:outlineLvl w:val="9"/>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41CF479C">
            <w:pPr>
              <w:widowControl w:val="0"/>
              <w:autoSpaceDE w:val="0"/>
              <w:autoSpaceDN w:val="0"/>
              <w:snapToGrid/>
              <w:spacing w:after="0"/>
              <w:outlineLvl w:val="9"/>
              <w:rPr>
                <w:rFonts w:cs="Times New Roman" w:asciiTheme="minorEastAsia" w:hAnsiTheme="minorEastAsia" w:eastAsiaTheme="minorEastAsia"/>
                <w:sz w:val="24"/>
                <w:szCs w:val="24"/>
              </w:rPr>
            </w:pPr>
          </w:p>
        </w:tc>
      </w:tr>
      <w:tr w14:paraId="24CB3A99">
        <w:tblPrEx>
          <w:tblCellMar>
            <w:top w:w="0" w:type="dxa"/>
            <w:left w:w="0" w:type="dxa"/>
            <w:bottom w:w="0" w:type="dxa"/>
            <w:right w:w="0" w:type="dxa"/>
          </w:tblCellMar>
        </w:tblPrEx>
        <w:trPr>
          <w:trHeight w:val="700"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5BAEB06C">
            <w:pPr>
              <w:widowControl w:val="0"/>
              <w:autoSpaceDE w:val="0"/>
              <w:autoSpaceDN w:val="0"/>
              <w:snapToGrid/>
              <w:spacing w:after="0"/>
              <w:outlineLvl w:val="9"/>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1DD1255A">
            <w:pPr>
              <w:widowControl w:val="0"/>
              <w:autoSpaceDE w:val="0"/>
              <w:autoSpaceDN w:val="0"/>
              <w:snapToGrid/>
              <w:spacing w:after="0"/>
              <w:outlineLvl w:val="9"/>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07607A4E">
            <w:pPr>
              <w:widowControl w:val="0"/>
              <w:autoSpaceDE w:val="0"/>
              <w:autoSpaceDN w:val="0"/>
              <w:snapToGrid/>
              <w:spacing w:after="0"/>
              <w:outlineLvl w:val="9"/>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3EEBA985">
            <w:pPr>
              <w:widowControl w:val="0"/>
              <w:autoSpaceDE w:val="0"/>
              <w:autoSpaceDN w:val="0"/>
              <w:snapToGrid/>
              <w:spacing w:after="0"/>
              <w:outlineLvl w:val="9"/>
              <w:rPr>
                <w:rFonts w:cs="Times New Roman" w:asciiTheme="minorEastAsia" w:hAnsiTheme="minorEastAsia" w:eastAsiaTheme="minorEastAsia"/>
                <w:sz w:val="24"/>
                <w:szCs w:val="24"/>
              </w:rPr>
            </w:pPr>
          </w:p>
        </w:tc>
      </w:tr>
      <w:tr w14:paraId="586681C9">
        <w:tblPrEx>
          <w:tblCellMar>
            <w:top w:w="0" w:type="dxa"/>
            <w:left w:w="0" w:type="dxa"/>
            <w:bottom w:w="0" w:type="dxa"/>
            <w:right w:w="0" w:type="dxa"/>
          </w:tblCellMar>
        </w:tblPrEx>
        <w:trPr>
          <w:trHeight w:val="701" w:hRule="atLeast"/>
          <w:jc w:val="center"/>
        </w:trPr>
        <w:tc>
          <w:tcPr>
            <w:tcW w:w="907" w:type="pct"/>
            <w:gridSpan w:val="2"/>
            <w:tcBorders>
              <w:top w:val="single" w:color="000000" w:sz="4" w:space="0"/>
              <w:left w:val="single" w:color="000000" w:sz="4" w:space="0"/>
              <w:bottom w:val="single" w:color="000000" w:sz="4" w:space="0"/>
              <w:right w:val="single" w:color="000000" w:sz="4" w:space="0"/>
            </w:tcBorders>
          </w:tcPr>
          <w:p w14:paraId="2C8ECBD2">
            <w:pPr>
              <w:widowControl w:val="0"/>
              <w:autoSpaceDE w:val="0"/>
              <w:autoSpaceDN w:val="0"/>
              <w:snapToGrid/>
              <w:spacing w:after="0"/>
              <w:outlineLvl w:val="9"/>
              <w:rPr>
                <w:rFonts w:cs="Times New Roman" w:asciiTheme="minorEastAsia" w:hAnsiTheme="minorEastAsia" w:eastAsiaTheme="minorEastAsia"/>
                <w:sz w:val="24"/>
                <w:szCs w:val="24"/>
              </w:rPr>
            </w:pPr>
          </w:p>
        </w:tc>
        <w:tc>
          <w:tcPr>
            <w:tcW w:w="2006" w:type="pct"/>
            <w:gridSpan w:val="4"/>
            <w:tcBorders>
              <w:top w:val="single" w:color="000000" w:sz="4" w:space="0"/>
              <w:left w:val="nil"/>
              <w:bottom w:val="single" w:color="000000" w:sz="4" w:space="0"/>
              <w:right w:val="single" w:color="000000" w:sz="4" w:space="0"/>
            </w:tcBorders>
          </w:tcPr>
          <w:p w14:paraId="2777BEFF">
            <w:pPr>
              <w:widowControl w:val="0"/>
              <w:autoSpaceDE w:val="0"/>
              <w:autoSpaceDN w:val="0"/>
              <w:snapToGrid/>
              <w:spacing w:after="0"/>
              <w:outlineLvl w:val="9"/>
              <w:rPr>
                <w:rFonts w:cs="Times New Roman" w:asciiTheme="minorEastAsia" w:hAnsiTheme="minorEastAsia" w:eastAsiaTheme="minorEastAsia"/>
                <w:sz w:val="24"/>
                <w:szCs w:val="24"/>
              </w:rPr>
            </w:pPr>
          </w:p>
        </w:tc>
        <w:tc>
          <w:tcPr>
            <w:tcW w:w="739" w:type="pct"/>
            <w:tcBorders>
              <w:top w:val="single" w:color="000000" w:sz="4" w:space="0"/>
              <w:left w:val="nil"/>
              <w:bottom w:val="single" w:color="000000" w:sz="4" w:space="0"/>
              <w:right w:val="single" w:color="000000" w:sz="4" w:space="0"/>
            </w:tcBorders>
          </w:tcPr>
          <w:p w14:paraId="5492EFA6">
            <w:pPr>
              <w:widowControl w:val="0"/>
              <w:autoSpaceDE w:val="0"/>
              <w:autoSpaceDN w:val="0"/>
              <w:snapToGrid/>
              <w:spacing w:after="0"/>
              <w:outlineLvl w:val="9"/>
              <w:rPr>
                <w:rFonts w:cs="Times New Roman" w:asciiTheme="minorEastAsia" w:hAnsiTheme="minorEastAsia" w:eastAsiaTheme="minorEastAsia"/>
                <w:sz w:val="24"/>
                <w:szCs w:val="24"/>
              </w:rPr>
            </w:pPr>
          </w:p>
        </w:tc>
        <w:tc>
          <w:tcPr>
            <w:tcW w:w="1348" w:type="pct"/>
            <w:gridSpan w:val="2"/>
            <w:tcBorders>
              <w:top w:val="single" w:color="000000" w:sz="4" w:space="0"/>
              <w:left w:val="nil"/>
              <w:bottom w:val="single" w:color="000000" w:sz="4" w:space="0"/>
              <w:right w:val="single" w:color="000000" w:sz="4" w:space="0"/>
            </w:tcBorders>
          </w:tcPr>
          <w:p w14:paraId="2627B133">
            <w:pPr>
              <w:widowControl w:val="0"/>
              <w:autoSpaceDE w:val="0"/>
              <w:autoSpaceDN w:val="0"/>
              <w:snapToGrid/>
              <w:spacing w:after="0"/>
              <w:outlineLvl w:val="9"/>
              <w:rPr>
                <w:rFonts w:cs="Times New Roman" w:asciiTheme="minorEastAsia" w:hAnsiTheme="minorEastAsia" w:eastAsiaTheme="minorEastAsia"/>
                <w:sz w:val="24"/>
                <w:szCs w:val="24"/>
              </w:rPr>
            </w:pPr>
          </w:p>
        </w:tc>
      </w:tr>
    </w:tbl>
    <w:p w14:paraId="0F3EB865">
      <w:pPr>
        <w:widowControl w:val="0"/>
        <w:autoSpaceDE w:val="0"/>
        <w:autoSpaceDN w:val="0"/>
        <w:snapToGrid/>
        <w:spacing w:after="0" w:line="520" w:lineRule="exact"/>
        <w:outlineLvl w:val="9"/>
        <w:rPr>
          <w:rFonts w:cs="宋体" w:asciiTheme="minorEastAsia" w:hAnsiTheme="minorEastAsia" w:eastAsiaTheme="minorEastAsia"/>
          <w:sz w:val="24"/>
          <w:szCs w:val="24"/>
          <w:lang w:bidi="en-US"/>
        </w:rPr>
      </w:pPr>
      <w:r>
        <w:rPr>
          <w:rFonts w:hint="eastAsia" w:cs="MingLiU" w:asciiTheme="minorEastAsia" w:hAnsiTheme="minorEastAsia" w:eastAsiaTheme="minorEastAsia"/>
          <w:sz w:val="24"/>
          <w:szCs w:val="24"/>
        </w:rPr>
        <w:t xml:space="preserve"> </w:t>
      </w:r>
    </w:p>
    <w:p w14:paraId="64C81822">
      <w:pPr>
        <w:widowControl w:val="0"/>
        <w:adjustRightInd/>
        <w:snapToGrid/>
        <w:spacing w:after="0"/>
        <w:ind w:left="1012"/>
        <w:outlineLvl w:val="9"/>
        <w:rPr>
          <w:rFonts w:cs="宋体" w:asciiTheme="minorEastAsia" w:hAnsiTheme="minorEastAsia" w:eastAsiaTheme="minorEastAsia"/>
          <w:sz w:val="28"/>
          <w:szCs w:val="28"/>
          <w:lang w:val="zh-CN" w:bidi="zh-CN"/>
        </w:rPr>
        <w:sectPr>
          <w:pgSz w:w="11900" w:h="16840"/>
          <w:pgMar w:top="1418" w:right="1418" w:bottom="1418" w:left="1247" w:header="0" w:footer="6" w:gutter="0"/>
          <w:cols w:space="720" w:num="1"/>
          <w:docGrid w:linePitch="360" w:charSpace="0"/>
        </w:sectPr>
      </w:pPr>
    </w:p>
    <w:p w14:paraId="3FD9556D">
      <w:pPr>
        <w:spacing w:line="480" w:lineRule="exact"/>
        <w:ind w:left="643" w:hanging="643" w:hangingChars="200"/>
        <w:jc w:val="center"/>
        <w:outlineLvl w:val="9"/>
        <w:rPr>
          <w:rFonts w:asciiTheme="minorEastAsia" w:hAnsiTheme="minorEastAsia" w:eastAsiaTheme="minorEastAsia"/>
          <w:b/>
          <w:bCs/>
          <w:sz w:val="32"/>
          <w:szCs w:val="28"/>
        </w:rPr>
      </w:pPr>
      <w:r>
        <w:rPr>
          <w:rFonts w:hint="eastAsia" w:asciiTheme="minorEastAsia" w:hAnsiTheme="minorEastAsia" w:eastAsiaTheme="minorEastAsia"/>
          <w:b/>
          <w:bCs/>
          <w:sz w:val="32"/>
          <w:szCs w:val="28"/>
        </w:rPr>
        <w:t>七、资格审查资料</w:t>
      </w:r>
    </w:p>
    <w:p w14:paraId="25F8789D">
      <w:pPr>
        <w:spacing w:line="480" w:lineRule="exact"/>
        <w:jc w:val="center"/>
        <w:outlineLvl w:val="9"/>
        <w:rPr>
          <w:rFonts w:asciiTheme="minorEastAsia" w:hAnsiTheme="minorEastAsia" w:eastAsiaTheme="minorEastAsia"/>
          <w:sz w:val="28"/>
          <w:szCs w:val="30"/>
        </w:rPr>
      </w:pPr>
      <w:r>
        <w:rPr>
          <w:rFonts w:hint="eastAsia" w:asciiTheme="minorEastAsia" w:hAnsiTheme="minorEastAsia" w:eastAsiaTheme="minorEastAsia"/>
          <w:sz w:val="28"/>
          <w:szCs w:val="30"/>
        </w:rPr>
        <w:t>（一）供应商基本情况表</w:t>
      </w:r>
    </w:p>
    <w:tbl>
      <w:tblPr>
        <w:tblStyle w:val="2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0"/>
        <w:gridCol w:w="992"/>
        <w:gridCol w:w="850"/>
        <w:gridCol w:w="894"/>
        <w:gridCol w:w="283"/>
        <w:gridCol w:w="195"/>
        <w:gridCol w:w="1246"/>
        <w:gridCol w:w="260"/>
        <w:gridCol w:w="709"/>
        <w:gridCol w:w="1416"/>
      </w:tblGrid>
      <w:tr w14:paraId="6A8C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5E5DF90F">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供应商名称</w:t>
            </w:r>
          </w:p>
        </w:tc>
        <w:tc>
          <w:tcPr>
            <w:tcW w:w="6845" w:type="dxa"/>
            <w:gridSpan w:val="9"/>
            <w:vAlign w:val="center"/>
          </w:tcPr>
          <w:p w14:paraId="595EC175">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1ACD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094BF310">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注册地址</w:t>
            </w:r>
          </w:p>
        </w:tc>
        <w:tc>
          <w:tcPr>
            <w:tcW w:w="3214" w:type="dxa"/>
            <w:gridSpan w:val="5"/>
            <w:vAlign w:val="center"/>
          </w:tcPr>
          <w:p w14:paraId="0FB2C710">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246" w:type="dxa"/>
            <w:vAlign w:val="center"/>
          </w:tcPr>
          <w:p w14:paraId="2214B0E9">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邮政编码</w:t>
            </w:r>
          </w:p>
        </w:tc>
        <w:tc>
          <w:tcPr>
            <w:tcW w:w="2385" w:type="dxa"/>
            <w:gridSpan w:val="3"/>
            <w:vAlign w:val="center"/>
          </w:tcPr>
          <w:p w14:paraId="670380B6">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1028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Merge w:val="restart"/>
            <w:vAlign w:val="center"/>
          </w:tcPr>
          <w:p w14:paraId="07BA6205">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联系方式</w:t>
            </w:r>
          </w:p>
        </w:tc>
        <w:tc>
          <w:tcPr>
            <w:tcW w:w="992" w:type="dxa"/>
            <w:vAlign w:val="center"/>
          </w:tcPr>
          <w:p w14:paraId="3EBD7757">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联系人</w:t>
            </w:r>
          </w:p>
        </w:tc>
        <w:tc>
          <w:tcPr>
            <w:tcW w:w="2222" w:type="dxa"/>
            <w:gridSpan w:val="4"/>
            <w:vAlign w:val="center"/>
          </w:tcPr>
          <w:p w14:paraId="5F9FD8E5">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246" w:type="dxa"/>
            <w:vAlign w:val="center"/>
          </w:tcPr>
          <w:p w14:paraId="777FB616">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电话</w:t>
            </w:r>
          </w:p>
        </w:tc>
        <w:tc>
          <w:tcPr>
            <w:tcW w:w="2385" w:type="dxa"/>
            <w:gridSpan w:val="3"/>
            <w:vAlign w:val="center"/>
          </w:tcPr>
          <w:p w14:paraId="1FF5C718">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643D3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Merge w:val="continue"/>
            <w:vAlign w:val="center"/>
          </w:tcPr>
          <w:p w14:paraId="27CB2D2F">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992" w:type="dxa"/>
            <w:vAlign w:val="center"/>
          </w:tcPr>
          <w:p w14:paraId="3C77BB78">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传真</w:t>
            </w:r>
          </w:p>
        </w:tc>
        <w:tc>
          <w:tcPr>
            <w:tcW w:w="2222" w:type="dxa"/>
            <w:gridSpan w:val="4"/>
            <w:vAlign w:val="center"/>
          </w:tcPr>
          <w:p w14:paraId="034D74FC">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246" w:type="dxa"/>
            <w:vAlign w:val="center"/>
          </w:tcPr>
          <w:p w14:paraId="437A921C">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网址</w:t>
            </w:r>
          </w:p>
        </w:tc>
        <w:tc>
          <w:tcPr>
            <w:tcW w:w="2385" w:type="dxa"/>
            <w:gridSpan w:val="3"/>
            <w:vAlign w:val="center"/>
          </w:tcPr>
          <w:p w14:paraId="48560477">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2D05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26FAB162">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组织结构</w:t>
            </w:r>
          </w:p>
        </w:tc>
        <w:tc>
          <w:tcPr>
            <w:tcW w:w="6845" w:type="dxa"/>
            <w:gridSpan w:val="9"/>
            <w:vAlign w:val="center"/>
          </w:tcPr>
          <w:p w14:paraId="4B16716B">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6BC0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657EDDBF">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法定代表人</w:t>
            </w:r>
          </w:p>
        </w:tc>
        <w:tc>
          <w:tcPr>
            <w:tcW w:w="992" w:type="dxa"/>
            <w:vAlign w:val="center"/>
          </w:tcPr>
          <w:p w14:paraId="16B9954C">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姓名</w:t>
            </w:r>
          </w:p>
        </w:tc>
        <w:tc>
          <w:tcPr>
            <w:tcW w:w="850" w:type="dxa"/>
            <w:vAlign w:val="center"/>
          </w:tcPr>
          <w:p w14:paraId="17609044">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177" w:type="dxa"/>
            <w:gridSpan w:val="2"/>
            <w:vAlign w:val="center"/>
          </w:tcPr>
          <w:p w14:paraId="5F91C7AA">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技术职称</w:t>
            </w:r>
          </w:p>
        </w:tc>
        <w:tc>
          <w:tcPr>
            <w:tcW w:w="1701" w:type="dxa"/>
            <w:gridSpan w:val="3"/>
            <w:vAlign w:val="center"/>
          </w:tcPr>
          <w:p w14:paraId="23D79CA3">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709" w:type="dxa"/>
            <w:vAlign w:val="center"/>
          </w:tcPr>
          <w:p w14:paraId="2F38F36B">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电话</w:t>
            </w:r>
          </w:p>
        </w:tc>
        <w:tc>
          <w:tcPr>
            <w:tcW w:w="1416" w:type="dxa"/>
            <w:vAlign w:val="center"/>
          </w:tcPr>
          <w:p w14:paraId="3D20592A">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50420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326BFC16">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技术负责人</w:t>
            </w:r>
          </w:p>
        </w:tc>
        <w:tc>
          <w:tcPr>
            <w:tcW w:w="992" w:type="dxa"/>
            <w:vAlign w:val="center"/>
          </w:tcPr>
          <w:p w14:paraId="3FE6270D">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姓名</w:t>
            </w:r>
          </w:p>
        </w:tc>
        <w:tc>
          <w:tcPr>
            <w:tcW w:w="850" w:type="dxa"/>
            <w:vAlign w:val="center"/>
          </w:tcPr>
          <w:p w14:paraId="4FFBDAB5">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177" w:type="dxa"/>
            <w:gridSpan w:val="2"/>
            <w:vAlign w:val="center"/>
          </w:tcPr>
          <w:p w14:paraId="5A44C970">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技术职称</w:t>
            </w:r>
          </w:p>
        </w:tc>
        <w:tc>
          <w:tcPr>
            <w:tcW w:w="1701" w:type="dxa"/>
            <w:gridSpan w:val="3"/>
            <w:vAlign w:val="center"/>
          </w:tcPr>
          <w:p w14:paraId="661B7C67">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709" w:type="dxa"/>
            <w:vAlign w:val="center"/>
          </w:tcPr>
          <w:p w14:paraId="1B5EA35C">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电话</w:t>
            </w:r>
          </w:p>
        </w:tc>
        <w:tc>
          <w:tcPr>
            <w:tcW w:w="1416" w:type="dxa"/>
            <w:vAlign w:val="center"/>
          </w:tcPr>
          <w:p w14:paraId="67D2C7EB">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4D257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756E2782">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成立时间</w:t>
            </w:r>
          </w:p>
        </w:tc>
        <w:tc>
          <w:tcPr>
            <w:tcW w:w="1842" w:type="dxa"/>
            <w:gridSpan w:val="2"/>
            <w:vAlign w:val="center"/>
          </w:tcPr>
          <w:p w14:paraId="43FAFA57">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5003" w:type="dxa"/>
            <w:gridSpan w:val="7"/>
            <w:vAlign w:val="center"/>
          </w:tcPr>
          <w:p w14:paraId="26914E47">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员工总人数：</w:t>
            </w:r>
          </w:p>
        </w:tc>
      </w:tr>
      <w:tr w14:paraId="12D1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36332A6C">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企业资质等级</w:t>
            </w:r>
          </w:p>
        </w:tc>
        <w:tc>
          <w:tcPr>
            <w:tcW w:w="1842" w:type="dxa"/>
            <w:gridSpan w:val="2"/>
            <w:vAlign w:val="center"/>
          </w:tcPr>
          <w:p w14:paraId="23B30E1E">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894" w:type="dxa"/>
            <w:vMerge w:val="restart"/>
            <w:vAlign w:val="center"/>
          </w:tcPr>
          <w:p w14:paraId="603721F0">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其中</w:t>
            </w:r>
          </w:p>
        </w:tc>
        <w:tc>
          <w:tcPr>
            <w:tcW w:w="1984" w:type="dxa"/>
            <w:gridSpan w:val="4"/>
            <w:vAlign w:val="center"/>
          </w:tcPr>
          <w:p w14:paraId="0FCC49A4">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项目经理</w:t>
            </w:r>
          </w:p>
        </w:tc>
        <w:tc>
          <w:tcPr>
            <w:tcW w:w="2125" w:type="dxa"/>
            <w:gridSpan w:val="2"/>
            <w:vAlign w:val="center"/>
          </w:tcPr>
          <w:p w14:paraId="73216AC9">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30C90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1B2388E5">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营业执照号</w:t>
            </w:r>
          </w:p>
        </w:tc>
        <w:tc>
          <w:tcPr>
            <w:tcW w:w="1842" w:type="dxa"/>
            <w:gridSpan w:val="2"/>
            <w:vAlign w:val="center"/>
          </w:tcPr>
          <w:p w14:paraId="70C15B2A">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894" w:type="dxa"/>
            <w:vMerge w:val="continue"/>
            <w:vAlign w:val="center"/>
          </w:tcPr>
          <w:p w14:paraId="59C7F584">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984" w:type="dxa"/>
            <w:gridSpan w:val="4"/>
            <w:vAlign w:val="center"/>
          </w:tcPr>
          <w:p w14:paraId="582ECF0C">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高级职称人员</w:t>
            </w:r>
          </w:p>
        </w:tc>
        <w:tc>
          <w:tcPr>
            <w:tcW w:w="2125" w:type="dxa"/>
            <w:gridSpan w:val="2"/>
            <w:vAlign w:val="center"/>
          </w:tcPr>
          <w:p w14:paraId="42AA58B6">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5F265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57465D86">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注册资金</w:t>
            </w:r>
          </w:p>
        </w:tc>
        <w:tc>
          <w:tcPr>
            <w:tcW w:w="1842" w:type="dxa"/>
            <w:gridSpan w:val="2"/>
            <w:vAlign w:val="center"/>
          </w:tcPr>
          <w:p w14:paraId="753D4A2C">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894" w:type="dxa"/>
            <w:vMerge w:val="continue"/>
            <w:vAlign w:val="center"/>
          </w:tcPr>
          <w:p w14:paraId="7899A641">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984" w:type="dxa"/>
            <w:gridSpan w:val="4"/>
            <w:vAlign w:val="center"/>
          </w:tcPr>
          <w:p w14:paraId="260FB045">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中级职称人员</w:t>
            </w:r>
          </w:p>
        </w:tc>
        <w:tc>
          <w:tcPr>
            <w:tcW w:w="2125" w:type="dxa"/>
            <w:gridSpan w:val="2"/>
            <w:vAlign w:val="center"/>
          </w:tcPr>
          <w:p w14:paraId="666060FB">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704F2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3A985334">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开户银行</w:t>
            </w:r>
          </w:p>
        </w:tc>
        <w:tc>
          <w:tcPr>
            <w:tcW w:w="1842" w:type="dxa"/>
            <w:gridSpan w:val="2"/>
            <w:vAlign w:val="center"/>
          </w:tcPr>
          <w:p w14:paraId="3FCF3B7B">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894" w:type="dxa"/>
            <w:vMerge w:val="continue"/>
            <w:vAlign w:val="center"/>
          </w:tcPr>
          <w:p w14:paraId="7C2B9C4A">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984" w:type="dxa"/>
            <w:gridSpan w:val="4"/>
            <w:vAlign w:val="center"/>
          </w:tcPr>
          <w:p w14:paraId="2B01E7DF">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初级职称人员</w:t>
            </w:r>
          </w:p>
        </w:tc>
        <w:tc>
          <w:tcPr>
            <w:tcW w:w="2125" w:type="dxa"/>
            <w:gridSpan w:val="2"/>
            <w:vAlign w:val="center"/>
          </w:tcPr>
          <w:p w14:paraId="101349EA">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099E3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7FAF6A64">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账号</w:t>
            </w:r>
          </w:p>
        </w:tc>
        <w:tc>
          <w:tcPr>
            <w:tcW w:w="1842" w:type="dxa"/>
            <w:gridSpan w:val="2"/>
            <w:vAlign w:val="center"/>
          </w:tcPr>
          <w:p w14:paraId="1C1674BB">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894" w:type="dxa"/>
            <w:vMerge w:val="continue"/>
            <w:vAlign w:val="center"/>
          </w:tcPr>
          <w:p w14:paraId="7243E54B">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c>
          <w:tcPr>
            <w:tcW w:w="1984" w:type="dxa"/>
            <w:gridSpan w:val="4"/>
            <w:vAlign w:val="center"/>
          </w:tcPr>
          <w:p w14:paraId="033B9E84">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技工</w:t>
            </w:r>
          </w:p>
        </w:tc>
        <w:tc>
          <w:tcPr>
            <w:tcW w:w="2125" w:type="dxa"/>
            <w:gridSpan w:val="2"/>
            <w:vAlign w:val="center"/>
          </w:tcPr>
          <w:p w14:paraId="5A85C31B">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37BCA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6" w:hRule="atLeast"/>
          <w:jc w:val="center"/>
        </w:trPr>
        <w:tc>
          <w:tcPr>
            <w:tcW w:w="1660" w:type="dxa"/>
            <w:vAlign w:val="center"/>
          </w:tcPr>
          <w:p w14:paraId="363A65E5">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经营范围</w:t>
            </w:r>
          </w:p>
        </w:tc>
        <w:tc>
          <w:tcPr>
            <w:tcW w:w="6845" w:type="dxa"/>
            <w:gridSpan w:val="9"/>
            <w:vAlign w:val="center"/>
          </w:tcPr>
          <w:p w14:paraId="1D522B7F">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r w14:paraId="7E057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0" w:type="dxa"/>
            <w:vAlign w:val="center"/>
          </w:tcPr>
          <w:p w14:paraId="75ECE8AC">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备注</w:t>
            </w:r>
          </w:p>
        </w:tc>
        <w:tc>
          <w:tcPr>
            <w:tcW w:w="6845" w:type="dxa"/>
            <w:gridSpan w:val="9"/>
            <w:vAlign w:val="center"/>
          </w:tcPr>
          <w:p w14:paraId="35C05346">
            <w:pPr>
              <w:widowControl w:val="0"/>
              <w:adjustRightInd/>
              <w:snapToGrid/>
              <w:spacing w:after="0" w:line="360" w:lineRule="auto"/>
              <w:jc w:val="center"/>
              <w:outlineLvl w:val="9"/>
              <w:rPr>
                <w:rFonts w:cs="Times New Roman" w:asciiTheme="minorEastAsia" w:hAnsiTheme="minorEastAsia" w:eastAsiaTheme="minorEastAsia"/>
                <w:kern w:val="2"/>
                <w:sz w:val="24"/>
                <w:szCs w:val="24"/>
              </w:rPr>
            </w:pPr>
          </w:p>
        </w:tc>
      </w:tr>
    </w:tbl>
    <w:p w14:paraId="54D8169A">
      <w:pPr>
        <w:widowControl w:val="0"/>
        <w:adjustRightInd/>
        <w:snapToGrid/>
        <w:spacing w:after="0" w:line="440" w:lineRule="exact"/>
        <w:jc w:val="both"/>
        <w:outlineLvl w:val="9"/>
        <w:rPr>
          <w:rFonts w:cs="Times New Roman" w:asciiTheme="minorEastAsia" w:hAnsiTheme="minorEastAsia" w:eastAsiaTheme="minorEastAsia"/>
          <w:kern w:val="2"/>
          <w:sz w:val="21"/>
          <w:szCs w:val="21"/>
        </w:rPr>
      </w:pPr>
      <w:r>
        <w:rPr>
          <w:rFonts w:hint="eastAsia" w:cs="Times New Roman" w:asciiTheme="minorEastAsia" w:hAnsiTheme="minorEastAsia" w:eastAsiaTheme="minorEastAsia"/>
          <w:kern w:val="2"/>
          <w:sz w:val="24"/>
          <w:szCs w:val="21"/>
        </w:rPr>
        <w:t>备注：本表后应附企业法人营业执照、资质证书、安全生产许可证等材料的扫描件。</w:t>
      </w:r>
    </w:p>
    <w:p w14:paraId="77960A5D">
      <w:pPr>
        <w:spacing w:line="480" w:lineRule="exact"/>
        <w:ind w:left="562" w:hanging="562" w:hangingChars="200"/>
        <w:jc w:val="center"/>
        <w:outlineLvl w:val="9"/>
        <w:rPr>
          <w:rFonts w:asciiTheme="minorEastAsia" w:hAnsiTheme="minorEastAsia" w:eastAsiaTheme="minorEastAsia"/>
          <w:b/>
          <w:bCs/>
          <w:sz w:val="28"/>
          <w:szCs w:val="28"/>
        </w:rPr>
      </w:pPr>
    </w:p>
    <w:p w14:paraId="3E8171FC">
      <w:pPr>
        <w:spacing w:line="480" w:lineRule="exact"/>
        <w:jc w:val="center"/>
        <w:outlineLvl w:val="9"/>
        <w:rPr>
          <w:rFonts w:asciiTheme="minorEastAsia" w:hAnsiTheme="minorEastAsia" w:eastAsiaTheme="minorEastAsia"/>
          <w:sz w:val="28"/>
        </w:rPr>
      </w:pPr>
      <w:r>
        <w:rPr>
          <w:rFonts w:hint="eastAsia" w:asciiTheme="minorEastAsia" w:hAnsiTheme="minorEastAsia" w:eastAsiaTheme="minorEastAsia"/>
          <w:b/>
          <w:bCs/>
          <w:sz w:val="24"/>
        </w:rPr>
        <w:br w:type="page"/>
      </w:r>
      <w:r>
        <w:rPr>
          <w:rFonts w:hint="eastAsia" w:asciiTheme="minorEastAsia" w:hAnsiTheme="minorEastAsia" w:eastAsiaTheme="minorEastAsia"/>
          <w:sz w:val="28"/>
        </w:rPr>
        <w:t>（二）近年完成的类似项目情况表</w:t>
      </w:r>
    </w:p>
    <w:tbl>
      <w:tblPr>
        <w:tblStyle w:val="26"/>
        <w:tblW w:w="963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10"/>
        <w:gridCol w:w="7029"/>
      </w:tblGrid>
      <w:tr w14:paraId="17D4E7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4" w:space="0"/>
              <w:left w:val="single" w:color="auto" w:sz="4" w:space="0"/>
              <w:bottom w:val="single" w:color="auto" w:sz="6" w:space="0"/>
              <w:right w:val="single" w:color="auto" w:sz="6" w:space="0"/>
            </w:tcBorders>
            <w:vAlign w:val="center"/>
          </w:tcPr>
          <w:p w14:paraId="0207A5E0">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序号</w:t>
            </w:r>
          </w:p>
        </w:tc>
        <w:tc>
          <w:tcPr>
            <w:tcW w:w="7029" w:type="dxa"/>
            <w:tcBorders>
              <w:top w:val="single" w:color="auto" w:sz="4" w:space="0"/>
              <w:left w:val="nil"/>
              <w:bottom w:val="single" w:color="auto" w:sz="6" w:space="0"/>
              <w:right w:val="single" w:color="auto" w:sz="4" w:space="0"/>
            </w:tcBorders>
            <w:vAlign w:val="center"/>
          </w:tcPr>
          <w:p w14:paraId="2A9C677F">
            <w:pPr>
              <w:spacing w:line="480" w:lineRule="exact"/>
              <w:jc w:val="center"/>
              <w:outlineLvl w:val="9"/>
              <w:rPr>
                <w:rFonts w:asciiTheme="minorEastAsia" w:hAnsiTheme="minorEastAsia" w:eastAsiaTheme="minorEastAsia"/>
                <w:sz w:val="24"/>
              </w:rPr>
            </w:pPr>
          </w:p>
        </w:tc>
      </w:tr>
      <w:tr w14:paraId="1ED1AC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282239DE">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项目名称</w:t>
            </w:r>
          </w:p>
        </w:tc>
        <w:tc>
          <w:tcPr>
            <w:tcW w:w="7029" w:type="dxa"/>
            <w:tcBorders>
              <w:top w:val="single" w:color="auto" w:sz="6" w:space="0"/>
              <w:left w:val="nil"/>
              <w:bottom w:val="single" w:color="auto" w:sz="6" w:space="0"/>
              <w:right w:val="single" w:color="auto" w:sz="4" w:space="0"/>
            </w:tcBorders>
            <w:vAlign w:val="center"/>
          </w:tcPr>
          <w:p w14:paraId="2E7D31BF">
            <w:pPr>
              <w:spacing w:line="480" w:lineRule="exact"/>
              <w:jc w:val="center"/>
              <w:outlineLvl w:val="9"/>
              <w:rPr>
                <w:rFonts w:asciiTheme="minorEastAsia" w:hAnsiTheme="minorEastAsia" w:eastAsiaTheme="minorEastAsia"/>
                <w:sz w:val="24"/>
              </w:rPr>
            </w:pPr>
          </w:p>
        </w:tc>
      </w:tr>
      <w:tr w14:paraId="753A77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113EE4CB">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项目所在地</w:t>
            </w:r>
          </w:p>
        </w:tc>
        <w:tc>
          <w:tcPr>
            <w:tcW w:w="7029" w:type="dxa"/>
            <w:tcBorders>
              <w:top w:val="single" w:color="auto" w:sz="6" w:space="0"/>
              <w:left w:val="nil"/>
              <w:bottom w:val="single" w:color="auto" w:sz="6" w:space="0"/>
              <w:right w:val="single" w:color="auto" w:sz="4" w:space="0"/>
            </w:tcBorders>
            <w:vAlign w:val="center"/>
          </w:tcPr>
          <w:p w14:paraId="2D6AF28B">
            <w:pPr>
              <w:spacing w:line="480" w:lineRule="exact"/>
              <w:jc w:val="center"/>
              <w:outlineLvl w:val="9"/>
              <w:rPr>
                <w:rFonts w:asciiTheme="minorEastAsia" w:hAnsiTheme="minorEastAsia" w:eastAsiaTheme="minorEastAsia"/>
                <w:sz w:val="24"/>
              </w:rPr>
            </w:pPr>
          </w:p>
        </w:tc>
      </w:tr>
      <w:tr w14:paraId="74410A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3E85DB86">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发包人名称</w:t>
            </w:r>
          </w:p>
        </w:tc>
        <w:tc>
          <w:tcPr>
            <w:tcW w:w="7029" w:type="dxa"/>
            <w:tcBorders>
              <w:top w:val="single" w:color="auto" w:sz="6" w:space="0"/>
              <w:left w:val="nil"/>
              <w:bottom w:val="single" w:color="auto" w:sz="6" w:space="0"/>
              <w:right w:val="single" w:color="auto" w:sz="4" w:space="0"/>
            </w:tcBorders>
            <w:vAlign w:val="center"/>
          </w:tcPr>
          <w:p w14:paraId="46106F2D">
            <w:pPr>
              <w:spacing w:line="480" w:lineRule="exact"/>
              <w:jc w:val="center"/>
              <w:outlineLvl w:val="9"/>
              <w:rPr>
                <w:rFonts w:asciiTheme="minorEastAsia" w:hAnsiTheme="minorEastAsia" w:eastAsiaTheme="minorEastAsia"/>
                <w:sz w:val="24"/>
              </w:rPr>
            </w:pPr>
          </w:p>
        </w:tc>
      </w:tr>
      <w:tr w14:paraId="0A485C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0937FB87">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发包人地址</w:t>
            </w:r>
          </w:p>
        </w:tc>
        <w:tc>
          <w:tcPr>
            <w:tcW w:w="7029" w:type="dxa"/>
            <w:tcBorders>
              <w:top w:val="single" w:color="auto" w:sz="6" w:space="0"/>
              <w:left w:val="nil"/>
              <w:bottom w:val="single" w:color="auto" w:sz="6" w:space="0"/>
              <w:right w:val="single" w:color="auto" w:sz="4" w:space="0"/>
            </w:tcBorders>
            <w:vAlign w:val="center"/>
          </w:tcPr>
          <w:p w14:paraId="22E67B48">
            <w:pPr>
              <w:spacing w:line="480" w:lineRule="exact"/>
              <w:jc w:val="center"/>
              <w:outlineLvl w:val="9"/>
              <w:rPr>
                <w:rFonts w:asciiTheme="minorEastAsia" w:hAnsiTheme="minorEastAsia" w:eastAsiaTheme="minorEastAsia"/>
                <w:sz w:val="24"/>
              </w:rPr>
            </w:pPr>
          </w:p>
        </w:tc>
      </w:tr>
      <w:tr w14:paraId="26B286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1584B4C2">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发包人电话</w:t>
            </w:r>
          </w:p>
        </w:tc>
        <w:tc>
          <w:tcPr>
            <w:tcW w:w="7029" w:type="dxa"/>
            <w:tcBorders>
              <w:top w:val="single" w:color="auto" w:sz="6" w:space="0"/>
              <w:left w:val="nil"/>
              <w:bottom w:val="single" w:color="auto" w:sz="6" w:space="0"/>
              <w:right w:val="single" w:color="auto" w:sz="4" w:space="0"/>
            </w:tcBorders>
            <w:vAlign w:val="center"/>
          </w:tcPr>
          <w:p w14:paraId="3B06295B">
            <w:pPr>
              <w:spacing w:line="480" w:lineRule="exact"/>
              <w:jc w:val="center"/>
              <w:outlineLvl w:val="9"/>
              <w:rPr>
                <w:rFonts w:asciiTheme="minorEastAsia" w:hAnsiTheme="minorEastAsia" w:eastAsiaTheme="minorEastAsia"/>
                <w:sz w:val="24"/>
              </w:rPr>
            </w:pPr>
          </w:p>
        </w:tc>
      </w:tr>
      <w:tr w14:paraId="4EC184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76C2A0F7">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合同价格</w:t>
            </w:r>
          </w:p>
        </w:tc>
        <w:tc>
          <w:tcPr>
            <w:tcW w:w="7029" w:type="dxa"/>
            <w:tcBorders>
              <w:top w:val="single" w:color="auto" w:sz="6" w:space="0"/>
              <w:left w:val="nil"/>
              <w:bottom w:val="single" w:color="auto" w:sz="6" w:space="0"/>
              <w:right w:val="single" w:color="auto" w:sz="4" w:space="0"/>
            </w:tcBorders>
            <w:vAlign w:val="center"/>
          </w:tcPr>
          <w:p w14:paraId="4EDA698A">
            <w:pPr>
              <w:spacing w:line="480" w:lineRule="exact"/>
              <w:jc w:val="center"/>
              <w:outlineLvl w:val="9"/>
              <w:rPr>
                <w:rFonts w:asciiTheme="minorEastAsia" w:hAnsiTheme="minorEastAsia" w:eastAsiaTheme="minorEastAsia"/>
                <w:sz w:val="24"/>
              </w:rPr>
            </w:pPr>
          </w:p>
        </w:tc>
      </w:tr>
      <w:tr w14:paraId="462607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3ADBB381">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开工日期</w:t>
            </w:r>
          </w:p>
        </w:tc>
        <w:tc>
          <w:tcPr>
            <w:tcW w:w="7029" w:type="dxa"/>
            <w:tcBorders>
              <w:top w:val="single" w:color="auto" w:sz="6" w:space="0"/>
              <w:left w:val="nil"/>
              <w:bottom w:val="single" w:color="auto" w:sz="6" w:space="0"/>
              <w:right w:val="single" w:color="auto" w:sz="4" w:space="0"/>
            </w:tcBorders>
            <w:vAlign w:val="center"/>
          </w:tcPr>
          <w:p w14:paraId="0516D278">
            <w:pPr>
              <w:spacing w:line="480" w:lineRule="exact"/>
              <w:jc w:val="center"/>
              <w:outlineLvl w:val="9"/>
              <w:rPr>
                <w:rFonts w:asciiTheme="minorEastAsia" w:hAnsiTheme="minorEastAsia" w:eastAsiaTheme="minorEastAsia"/>
                <w:sz w:val="24"/>
              </w:rPr>
            </w:pPr>
          </w:p>
        </w:tc>
      </w:tr>
      <w:tr w14:paraId="55A3DD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6941253A">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交工日期</w:t>
            </w:r>
          </w:p>
        </w:tc>
        <w:tc>
          <w:tcPr>
            <w:tcW w:w="7029" w:type="dxa"/>
            <w:tcBorders>
              <w:top w:val="single" w:color="auto" w:sz="6" w:space="0"/>
              <w:left w:val="nil"/>
              <w:bottom w:val="single" w:color="auto" w:sz="6" w:space="0"/>
              <w:right w:val="single" w:color="auto" w:sz="4" w:space="0"/>
            </w:tcBorders>
            <w:vAlign w:val="center"/>
          </w:tcPr>
          <w:p w14:paraId="38EBA767">
            <w:pPr>
              <w:spacing w:line="480" w:lineRule="exact"/>
              <w:jc w:val="center"/>
              <w:outlineLvl w:val="9"/>
              <w:rPr>
                <w:rFonts w:asciiTheme="minorEastAsia" w:hAnsiTheme="minorEastAsia" w:eastAsiaTheme="minorEastAsia"/>
                <w:sz w:val="24"/>
              </w:rPr>
            </w:pPr>
          </w:p>
        </w:tc>
      </w:tr>
      <w:tr w14:paraId="6480B5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2E028F8B">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承担的工作</w:t>
            </w:r>
          </w:p>
        </w:tc>
        <w:tc>
          <w:tcPr>
            <w:tcW w:w="7029" w:type="dxa"/>
            <w:tcBorders>
              <w:top w:val="single" w:color="auto" w:sz="6" w:space="0"/>
              <w:left w:val="nil"/>
              <w:bottom w:val="single" w:color="auto" w:sz="6" w:space="0"/>
              <w:right w:val="single" w:color="auto" w:sz="4" w:space="0"/>
            </w:tcBorders>
            <w:vAlign w:val="center"/>
          </w:tcPr>
          <w:p w14:paraId="2C71F0EA">
            <w:pPr>
              <w:spacing w:line="480" w:lineRule="exact"/>
              <w:jc w:val="center"/>
              <w:outlineLvl w:val="9"/>
              <w:rPr>
                <w:rFonts w:asciiTheme="minorEastAsia" w:hAnsiTheme="minorEastAsia" w:eastAsiaTheme="minorEastAsia"/>
                <w:sz w:val="24"/>
              </w:rPr>
            </w:pPr>
          </w:p>
        </w:tc>
      </w:tr>
      <w:tr w14:paraId="51FBC9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01507944">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工程质量</w:t>
            </w:r>
          </w:p>
        </w:tc>
        <w:tc>
          <w:tcPr>
            <w:tcW w:w="7029" w:type="dxa"/>
            <w:tcBorders>
              <w:top w:val="single" w:color="auto" w:sz="6" w:space="0"/>
              <w:left w:val="nil"/>
              <w:bottom w:val="single" w:color="auto" w:sz="6" w:space="0"/>
              <w:right w:val="single" w:color="auto" w:sz="4" w:space="0"/>
            </w:tcBorders>
            <w:vAlign w:val="center"/>
          </w:tcPr>
          <w:p w14:paraId="14887CDD">
            <w:pPr>
              <w:spacing w:line="480" w:lineRule="exact"/>
              <w:jc w:val="center"/>
              <w:outlineLvl w:val="9"/>
              <w:rPr>
                <w:rFonts w:asciiTheme="minorEastAsia" w:hAnsiTheme="minorEastAsia" w:eastAsiaTheme="minorEastAsia"/>
                <w:sz w:val="24"/>
              </w:rPr>
            </w:pPr>
          </w:p>
        </w:tc>
      </w:tr>
      <w:tr w14:paraId="02A06F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2BAE45A2">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项目负责人</w:t>
            </w:r>
          </w:p>
        </w:tc>
        <w:tc>
          <w:tcPr>
            <w:tcW w:w="7029" w:type="dxa"/>
            <w:tcBorders>
              <w:top w:val="single" w:color="auto" w:sz="6" w:space="0"/>
              <w:left w:val="nil"/>
              <w:bottom w:val="single" w:color="auto" w:sz="6" w:space="0"/>
              <w:right w:val="single" w:color="auto" w:sz="4" w:space="0"/>
            </w:tcBorders>
            <w:vAlign w:val="center"/>
          </w:tcPr>
          <w:p w14:paraId="307429D1">
            <w:pPr>
              <w:spacing w:line="480" w:lineRule="exact"/>
              <w:jc w:val="center"/>
              <w:outlineLvl w:val="9"/>
              <w:rPr>
                <w:rFonts w:asciiTheme="minorEastAsia" w:hAnsiTheme="minorEastAsia" w:eastAsiaTheme="minorEastAsia"/>
                <w:sz w:val="24"/>
              </w:rPr>
            </w:pPr>
          </w:p>
        </w:tc>
      </w:tr>
      <w:tr w14:paraId="7EBDA4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26" w:hRule="atLeast"/>
          <w:jc w:val="center"/>
        </w:trPr>
        <w:tc>
          <w:tcPr>
            <w:tcW w:w="2610" w:type="dxa"/>
            <w:tcBorders>
              <w:top w:val="single" w:color="auto" w:sz="6" w:space="0"/>
              <w:left w:val="single" w:color="auto" w:sz="4" w:space="0"/>
              <w:bottom w:val="single" w:color="auto" w:sz="6" w:space="0"/>
              <w:right w:val="single" w:color="auto" w:sz="6" w:space="0"/>
            </w:tcBorders>
            <w:vAlign w:val="center"/>
          </w:tcPr>
          <w:p w14:paraId="3459B948">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项目描述</w:t>
            </w:r>
          </w:p>
        </w:tc>
        <w:tc>
          <w:tcPr>
            <w:tcW w:w="7029" w:type="dxa"/>
            <w:tcBorders>
              <w:top w:val="single" w:color="auto" w:sz="6" w:space="0"/>
              <w:left w:val="nil"/>
              <w:bottom w:val="single" w:color="auto" w:sz="6" w:space="0"/>
              <w:right w:val="single" w:color="auto" w:sz="4" w:space="0"/>
            </w:tcBorders>
            <w:vAlign w:val="center"/>
          </w:tcPr>
          <w:p w14:paraId="2AB4C72B">
            <w:pPr>
              <w:spacing w:line="480" w:lineRule="exact"/>
              <w:jc w:val="center"/>
              <w:outlineLvl w:val="9"/>
              <w:rPr>
                <w:rFonts w:asciiTheme="minorEastAsia" w:hAnsiTheme="minorEastAsia" w:eastAsiaTheme="minorEastAsia"/>
                <w:sz w:val="24"/>
              </w:rPr>
            </w:pPr>
          </w:p>
        </w:tc>
      </w:tr>
      <w:tr w14:paraId="3FB7B1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2610" w:type="dxa"/>
            <w:tcBorders>
              <w:top w:val="single" w:color="auto" w:sz="6" w:space="0"/>
              <w:left w:val="single" w:color="auto" w:sz="4" w:space="0"/>
              <w:bottom w:val="single" w:color="auto" w:sz="4" w:space="0"/>
              <w:right w:val="single" w:color="auto" w:sz="6" w:space="0"/>
            </w:tcBorders>
            <w:vAlign w:val="center"/>
          </w:tcPr>
          <w:p w14:paraId="49C1EA3F">
            <w:pPr>
              <w:spacing w:line="480" w:lineRule="exact"/>
              <w:jc w:val="center"/>
              <w:outlineLvl w:val="9"/>
              <w:rPr>
                <w:rFonts w:asciiTheme="minorEastAsia" w:hAnsiTheme="minorEastAsia" w:eastAsiaTheme="minorEastAsia"/>
                <w:sz w:val="24"/>
              </w:rPr>
            </w:pPr>
            <w:r>
              <w:rPr>
                <w:rFonts w:hint="eastAsia" w:asciiTheme="minorEastAsia" w:hAnsiTheme="minorEastAsia" w:eastAsiaTheme="minorEastAsia"/>
                <w:sz w:val="24"/>
              </w:rPr>
              <w:t>备注</w:t>
            </w:r>
          </w:p>
        </w:tc>
        <w:tc>
          <w:tcPr>
            <w:tcW w:w="7029" w:type="dxa"/>
            <w:tcBorders>
              <w:top w:val="single" w:color="auto" w:sz="6" w:space="0"/>
              <w:left w:val="nil"/>
              <w:bottom w:val="single" w:color="auto" w:sz="4" w:space="0"/>
              <w:right w:val="single" w:color="auto" w:sz="4" w:space="0"/>
            </w:tcBorders>
            <w:vAlign w:val="center"/>
          </w:tcPr>
          <w:p w14:paraId="43DC1BE0">
            <w:pPr>
              <w:spacing w:line="480" w:lineRule="exact"/>
              <w:jc w:val="center"/>
              <w:outlineLvl w:val="9"/>
              <w:rPr>
                <w:rFonts w:asciiTheme="minorEastAsia" w:hAnsiTheme="minorEastAsia" w:eastAsiaTheme="minorEastAsia"/>
                <w:sz w:val="24"/>
              </w:rPr>
            </w:pPr>
          </w:p>
        </w:tc>
      </w:tr>
    </w:tbl>
    <w:p w14:paraId="1377949E">
      <w:pPr>
        <w:widowControl w:val="0"/>
        <w:adjustRightInd/>
        <w:snapToGrid/>
        <w:spacing w:before="156" w:beforeLines="50" w:after="156" w:afterLines="50" w:line="440" w:lineRule="exact"/>
        <w:jc w:val="both"/>
        <w:outlineLvl w:val="9"/>
        <w:rPr>
          <w:rFonts w:cs="Times New Roman" w:asciiTheme="minorEastAsia" w:hAnsiTheme="minorEastAsia" w:eastAsiaTheme="minorEastAsia"/>
          <w:kern w:val="2"/>
        </w:rPr>
      </w:pPr>
      <w:r>
        <w:rPr>
          <w:rFonts w:hint="eastAsia" w:cs="Times New Roman" w:asciiTheme="minorEastAsia" w:hAnsiTheme="minorEastAsia" w:eastAsiaTheme="minorEastAsia"/>
          <w:kern w:val="2"/>
        </w:rPr>
        <w:t>备注：本表后附施工合同扫描件，</w:t>
      </w:r>
      <w:r>
        <w:rPr>
          <w:rFonts w:hint="eastAsia" w:cs="Times New Roman" w:asciiTheme="minorEastAsia" w:hAnsiTheme="minorEastAsia" w:eastAsiaTheme="minorEastAsia"/>
          <w:bCs/>
          <w:kern w:val="2"/>
        </w:rPr>
        <w:t>具体年份要求2023年1月1日以来。每</w:t>
      </w:r>
      <w:r>
        <w:rPr>
          <w:rFonts w:hint="eastAsia" w:cs="Times New Roman" w:asciiTheme="minorEastAsia" w:hAnsiTheme="minorEastAsia" w:eastAsiaTheme="minorEastAsia"/>
          <w:kern w:val="2"/>
        </w:rPr>
        <w:t>张表格只填写一个项目，并标明序号。</w:t>
      </w:r>
    </w:p>
    <w:p w14:paraId="5DD3E269">
      <w:pPr>
        <w:keepNext/>
        <w:keepLines/>
        <w:spacing w:line="480" w:lineRule="exact"/>
        <w:jc w:val="center"/>
        <w:outlineLvl w:val="9"/>
        <w:rPr>
          <w:rFonts w:asciiTheme="minorEastAsia" w:hAnsiTheme="minorEastAsia" w:eastAsiaTheme="minorEastAsia"/>
          <w:sz w:val="24"/>
        </w:rPr>
      </w:pPr>
      <w:bookmarkStart w:id="1148" w:name="_Toc514834640"/>
      <w:bookmarkEnd w:id="1148"/>
      <w:bookmarkStart w:id="1149" w:name="_Toc16770593"/>
    </w:p>
    <w:p w14:paraId="19D535B6">
      <w:pPr>
        <w:spacing w:before="156" w:beforeLines="50" w:after="156" w:afterLines="50" w:line="440" w:lineRule="exact"/>
        <w:jc w:val="center"/>
        <w:outlineLvl w:val="9"/>
        <w:rPr>
          <w:rFonts w:cs="Times New Roman" w:asciiTheme="minorEastAsia" w:hAnsiTheme="minorEastAsia" w:eastAsiaTheme="minorEastAsia"/>
          <w:kern w:val="2"/>
          <w:sz w:val="24"/>
        </w:rPr>
      </w:pPr>
      <w:r>
        <w:rPr>
          <w:rFonts w:asciiTheme="minorEastAsia" w:hAnsiTheme="minorEastAsia" w:eastAsiaTheme="minorEastAsia"/>
          <w:sz w:val="24"/>
        </w:rPr>
        <w:br w:type="page"/>
      </w:r>
      <w:r>
        <w:rPr>
          <w:rFonts w:hint="eastAsia" w:asciiTheme="minorEastAsia" w:hAnsiTheme="minorEastAsia" w:eastAsiaTheme="minorEastAsia"/>
          <w:sz w:val="28"/>
        </w:rPr>
        <w:t>（三）、正在施工的和新承接的项目情况表</w:t>
      </w:r>
    </w:p>
    <w:tbl>
      <w:tblPr>
        <w:tblStyle w:val="2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04FE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153C9834">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项目名称</w:t>
            </w:r>
          </w:p>
        </w:tc>
        <w:tc>
          <w:tcPr>
            <w:tcW w:w="6095" w:type="dxa"/>
            <w:vAlign w:val="center"/>
          </w:tcPr>
          <w:p w14:paraId="106E1969">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0ED1C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3A094890">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项目所在地</w:t>
            </w:r>
          </w:p>
        </w:tc>
        <w:tc>
          <w:tcPr>
            <w:tcW w:w="6095" w:type="dxa"/>
            <w:vAlign w:val="center"/>
          </w:tcPr>
          <w:p w14:paraId="7A1C98B8">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4A492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45956E69">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发包人名称</w:t>
            </w:r>
          </w:p>
        </w:tc>
        <w:tc>
          <w:tcPr>
            <w:tcW w:w="6095" w:type="dxa"/>
            <w:vAlign w:val="center"/>
          </w:tcPr>
          <w:p w14:paraId="2DC927A2">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6056A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4DCEF5B2">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发包人地址</w:t>
            </w:r>
          </w:p>
        </w:tc>
        <w:tc>
          <w:tcPr>
            <w:tcW w:w="6095" w:type="dxa"/>
            <w:vAlign w:val="center"/>
          </w:tcPr>
          <w:p w14:paraId="78B4EAAD">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75F8C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5301DD2B">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发包人电话</w:t>
            </w:r>
          </w:p>
        </w:tc>
        <w:tc>
          <w:tcPr>
            <w:tcW w:w="6095" w:type="dxa"/>
            <w:vAlign w:val="center"/>
          </w:tcPr>
          <w:p w14:paraId="01ACDDA2">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15B4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42DDE203">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签约合同价</w:t>
            </w:r>
          </w:p>
        </w:tc>
        <w:tc>
          <w:tcPr>
            <w:tcW w:w="6095" w:type="dxa"/>
            <w:vAlign w:val="center"/>
          </w:tcPr>
          <w:p w14:paraId="231A5F30">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2825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13525C11">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开工日期</w:t>
            </w:r>
          </w:p>
        </w:tc>
        <w:tc>
          <w:tcPr>
            <w:tcW w:w="6095" w:type="dxa"/>
            <w:vAlign w:val="center"/>
          </w:tcPr>
          <w:p w14:paraId="5684A2CE">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7DE9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2CF01737">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计划竣工日期</w:t>
            </w:r>
          </w:p>
        </w:tc>
        <w:tc>
          <w:tcPr>
            <w:tcW w:w="6095" w:type="dxa"/>
            <w:vAlign w:val="center"/>
          </w:tcPr>
          <w:p w14:paraId="2D54E834">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68A6F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1210EF6F">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承担的工作</w:t>
            </w:r>
          </w:p>
        </w:tc>
        <w:tc>
          <w:tcPr>
            <w:tcW w:w="6095" w:type="dxa"/>
            <w:vAlign w:val="center"/>
          </w:tcPr>
          <w:p w14:paraId="42C6B212">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5012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185BC914">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工程质量</w:t>
            </w:r>
          </w:p>
        </w:tc>
        <w:tc>
          <w:tcPr>
            <w:tcW w:w="6095" w:type="dxa"/>
            <w:vAlign w:val="center"/>
          </w:tcPr>
          <w:p w14:paraId="704F6F1A">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043D2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68E3F5DB">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项目经理</w:t>
            </w:r>
          </w:p>
        </w:tc>
        <w:tc>
          <w:tcPr>
            <w:tcW w:w="6095" w:type="dxa"/>
            <w:vAlign w:val="center"/>
          </w:tcPr>
          <w:p w14:paraId="0BCE5F6F">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3465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0F9E1850">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技术负责人</w:t>
            </w:r>
          </w:p>
        </w:tc>
        <w:tc>
          <w:tcPr>
            <w:tcW w:w="6095" w:type="dxa"/>
            <w:vAlign w:val="center"/>
          </w:tcPr>
          <w:p w14:paraId="2E48BA4C">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596E3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09900C85">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总监理工程师及电话</w:t>
            </w:r>
          </w:p>
        </w:tc>
        <w:tc>
          <w:tcPr>
            <w:tcW w:w="6095" w:type="dxa"/>
            <w:vAlign w:val="center"/>
          </w:tcPr>
          <w:p w14:paraId="3411429B">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7B53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jc w:val="center"/>
        </w:trPr>
        <w:tc>
          <w:tcPr>
            <w:tcW w:w="2410" w:type="dxa"/>
            <w:vAlign w:val="center"/>
          </w:tcPr>
          <w:p w14:paraId="1C513FBE">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项目描述</w:t>
            </w:r>
          </w:p>
        </w:tc>
        <w:tc>
          <w:tcPr>
            <w:tcW w:w="6095" w:type="dxa"/>
            <w:vAlign w:val="center"/>
          </w:tcPr>
          <w:p w14:paraId="598ECD9E">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r w14:paraId="780A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vAlign w:val="center"/>
          </w:tcPr>
          <w:p w14:paraId="43EFD6E3">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备注</w:t>
            </w:r>
          </w:p>
        </w:tc>
        <w:tc>
          <w:tcPr>
            <w:tcW w:w="6095" w:type="dxa"/>
            <w:vAlign w:val="center"/>
          </w:tcPr>
          <w:p w14:paraId="1188EF22">
            <w:pPr>
              <w:widowControl w:val="0"/>
              <w:adjustRightInd/>
              <w:snapToGrid/>
              <w:spacing w:after="0" w:line="360" w:lineRule="auto"/>
              <w:jc w:val="center"/>
              <w:outlineLvl w:val="9"/>
              <w:rPr>
                <w:rFonts w:cs="Times New Roman" w:asciiTheme="minorEastAsia" w:hAnsiTheme="minorEastAsia" w:eastAsiaTheme="minorEastAsia"/>
                <w:kern w:val="2"/>
                <w:sz w:val="24"/>
                <w:szCs w:val="21"/>
              </w:rPr>
            </w:pPr>
          </w:p>
        </w:tc>
      </w:tr>
    </w:tbl>
    <w:p w14:paraId="57C2A081">
      <w:pPr>
        <w:widowControl w:val="0"/>
        <w:adjustRightInd/>
        <w:snapToGrid/>
        <w:spacing w:after="0" w:line="440" w:lineRule="exact"/>
        <w:jc w:val="both"/>
        <w:outlineLvl w:val="9"/>
        <w:rPr>
          <w:rFonts w:cs="Times New Roman" w:asciiTheme="minorEastAsia" w:hAnsiTheme="minorEastAsia" w:eastAsiaTheme="minorEastAsia"/>
          <w:kern w:val="2"/>
          <w:sz w:val="24"/>
          <w:szCs w:val="21"/>
        </w:rPr>
      </w:pPr>
      <w:r>
        <w:rPr>
          <w:rFonts w:hint="eastAsia" w:cs="Times New Roman" w:asciiTheme="minorEastAsia" w:hAnsiTheme="minorEastAsia" w:eastAsiaTheme="minorEastAsia"/>
          <w:kern w:val="2"/>
          <w:sz w:val="24"/>
          <w:szCs w:val="21"/>
        </w:rPr>
        <w:t>备注：本表后附施工合同扫描件。每张表格只填写一个项目，并标明序号。</w:t>
      </w:r>
    </w:p>
    <w:p w14:paraId="429E4168">
      <w:pPr>
        <w:adjustRightInd/>
        <w:snapToGrid/>
        <w:spacing w:after="0"/>
        <w:outlineLvl w:val="9"/>
        <w:rPr>
          <w:rFonts w:asciiTheme="minorEastAsia" w:hAnsiTheme="minorEastAsia" w:eastAsiaTheme="minorEastAsia"/>
          <w:sz w:val="24"/>
        </w:rPr>
      </w:pPr>
    </w:p>
    <w:p w14:paraId="0AD66FFB">
      <w:pPr>
        <w:adjustRightInd/>
        <w:snapToGrid/>
        <w:spacing w:after="0"/>
        <w:outlineLvl w:val="9"/>
        <w:rPr>
          <w:rFonts w:asciiTheme="minorEastAsia" w:hAnsiTheme="minorEastAsia" w:eastAsiaTheme="minorEastAsia"/>
          <w:sz w:val="24"/>
        </w:rPr>
      </w:pPr>
      <w:r>
        <w:rPr>
          <w:rFonts w:asciiTheme="minorEastAsia" w:hAnsiTheme="minorEastAsia" w:eastAsiaTheme="minorEastAsia"/>
          <w:sz w:val="24"/>
        </w:rPr>
        <w:br w:type="page"/>
      </w:r>
    </w:p>
    <w:p w14:paraId="1153A609">
      <w:pPr>
        <w:keepNext/>
        <w:keepLines/>
        <w:spacing w:line="480" w:lineRule="exact"/>
        <w:jc w:val="center"/>
        <w:outlineLvl w:val="9"/>
        <w:rPr>
          <w:rFonts w:asciiTheme="minorEastAsia" w:hAnsiTheme="minorEastAsia" w:eastAsiaTheme="minorEastAsia"/>
          <w:b/>
          <w:bCs/>
          <w:sz w:val="32"/>
          <w:szCs w:val="28"/>
        </w:rPr>
        <w:sectPr>
          <w:footerReference r:id="rId6" w:type="default"/>
          <w:pgSz w:w="11906" w:h="16838"/>
          <w:pgMar w:top="1440" w:right="1800" w:bottom="1440" w:left="1800" w:header="851" w:footer="992" w:gutter="0"/>
          <w:cols w:space="720" w:num="1"/>
          <w:docGrid w:type="lines" w:linePitch="312" w:charSpace="0"/>
        </w:sectPr>
      </w:pPr>
    </w:p>
    <w:p w14:paraId="7FF3CB37">
      <w:pPr>
        <w:spacing w:before="156" w:beforeLines="50" w:after="156" w:afterLines="50" w:line="440" w:lineRule="exact"/>
        <w:jc w:val="center"/>
        <w:outlineLvl w:val="9"/>
        <w:rPr>
          <w:rFonts w:asciiTheme="minorEastAsia" w:hAnsiTheme="minorEastAsia" w:eastAsiaTheme="minorEastAsia"/>
          <w:sz w:val="28"/>
        </w:rPr>
      </w:pPr>
      <w:r>
        <w:rPr>
          <w:rFonts w:hint="eastAsia" w:asciiTheme="minorEastAsia" w:hAnsiTheme="minorEastAsia" w:eastAsiaTheme="minorEastAsia"/>
          <w:sz w:val="28"/>
        </w:rPr>
        <w:t>（四）、近年发生的诉讼及仲裁情况表</w:t>
      </w:r>
    </w:p>
    <w:p w14:paraId="07B4CDB8">
      <w:pPr>
        <w:spacing w:line="400" w:lineRule="exact"/>
        <w:jc w:val="center"/>
        <w:outlineLvl w:val="9"/>
        <w:rPr>
          <w:rFonts w:ascii="宋体" w:hAnsi="宋体" w:eastAsia="宋体" w:cs="Times New Roman"/>
          <w:sz w:val="24"/>
          <w:szCs w:val="24"/>
        </w:rPr>
      </w:pPr>
      <w:bookmarkStart w:id="1150" w:name="_Toc2123"/>
      <w:bookmarkStart w:id="1151" w:name="_Toc21767_WPSOffice_Level1"/>
      <w:bookmarkStart w:id="1152" w:name="_Toc20470"/>
      <w:bookmarkStart w:id="1153" w:name="_Toc23469_WPSOffice_Level1"/>
      <w:bookmarkStart w:id="1154" w:name="_Toc10372_WPSOffice_Level1"/>
      <w:bookmarkStart w:id="1155" w:name="_Toc30667_WPSOffice_Level1"/>
      <w:bookmarkStart w:id="1156" w:name="_Toc22686_WPSOffice_Level1"/>
      <w:bookmarkStart w:id="1157" w:name="_Toc8974_WPSOffice_Level1"/>
      <w:bookmarkStart w:id="1158" w:name="_Toc17524_WPSOffice_Level1"/>
      <w:r>
        <w:rPr>
          <w:rFonts w:hint="eastAsia" w:ascii="宋体" w:hAnsi="宋体" w:eastAsia="宋体" w:cs="Times New Roman"/>
          <w:sz w:val="24"/>
          <w:szCs w:val="24"/>
        </w:rPr>
        <w:t>（近年指</w:t>
      </w:r>
      <w:r>
        <w:rPr>
          <w:rFonts w:hint="eastAsia" w:ascii="宋体" w:hAnsi="宋体" w:eastAsia="宋体" w:cs="Times New Roman"/>
          <w:sz w:val="24"/>
          <w:szCs w:val="24"/>
          <w:u w:val="single"/>
        </w:rPr>
        <w:t>2023年1月1日至今</w:t>
      </w:r>
      <w:r>
        <w:rPr>
          <w:rFonts w:hint="eastAsia" w:ascii="宋体" w:hAnsi="宋体" w:eastAsia="宋体" w:cs="Times New Roman"/>
          <w:sz w:val="24"/>
          <w:szCs w:val="24"/>
        </w:rPr>
        <w:t>）</w:t>
      </w:r>
      <w:bookmarkEnd w:id="1150"/>
      <w:bookmarkEnd w:id="1151"/>
      <w:bookmarkEnd w:id="1152"/>
      <w:bookmarkEnd w:id="1153"/>
      <w:bookmarkEnd w:id="1154"/>
      <w:bookmarkEnd w:id="1155"/>
      <w:bookmarkEnd w:id="1156"/>
      <w:bookmarkEnd w:id="1157"/>
      <w:bookmarkEnd w:id="1158"/>
    </w:p>
    <w:tbl>
      <w:tblPr>
        <w:tblStyle w:val="26"/>
        <w:tblW w:w="9474" w:type="dxa"/>
        <w:jc w:val="center"/>
        <w:tblLayout w:type="fixed"/>
        <w:tblCellMar>
          <w:top w:w="0" w:type="dxa"/>
          <w:left w:w="108" w:type="dxa"/>
          <w:bottom w:w="0" w:type="dxa"/>
          <w:right w:w="108" w:type="dxa"/>
        </w:tblCellMar>
      </w:tblPr>
      <w:tblGrid>
        <w:gridCol w:w="1010"/>
        <w:gridCol w:w="2749"/>
        <w:gridCol w:w="2169"/>
        <w:gridCol w:w="1395"/>
        <w:gridCol w:w="1396"/>
        <w:gridCol w:w="755"/>
      </w:tblGrid>
      <w:tr w14:paraId="0BE14C42">
        <w:tblPrEx>
          <w:tblCellMar>
            <w:top w:w="0" w:type="dxa"/>
            <w:left w:w="108" w:type="dxa"/>
            <w:bottom w:w="0" w:type="dxa"/>
            <w:right w:w="108" w:type="dxa"/>
          </w:tblCellMar>
        </w:tblPrEx>
        <w:trPr>
          <w:trHeight w:val="813"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263EA42C">
            <w:pPr>
              <w:spacing w:line="400" w:lineRule="exact"/>
              <w:outlineLvl w:val="9"/>
              <w:rPr>
                <w:rFonts w:ascii="宋体" w:hAnsi="宋体" w:eastAsia="宋体" w:cs="宋体"/>
                <w:sz w:val="24"/>
                <w:szCs w:val="24"/>
              </w:rPr>
            </w:pPr>
            <w:r>
              <w:rPr>
                <w:rFonts w:hint="eastAsia" w:ascii="宋体" w:hAnsi="宋体" w:eastAsia="宋体" w:cs="宋体"/>
                <w:sz w:val="24"/>
                <w:szCs w:val="24"/>
              </w:rPr>
              <w:t>序号</w:t>
            </w:r>
          </w:p>
        </w:tc>
        <w:tc>
          <w:tcPr>
            <w:tcW w:w="2749" w:type="dxa"/>
            <w:tcBorders>
              <w:top w:val="single" w:color="auto" w:sz="4" w:space="0"/>
              <w:left w:val="nil"/>
              <w:bottom w:val="single" w:color="auto" w:sz="4" w:space="0"/>
              <w:right w:val="single" w:color="auto" w:sz="4" w:space="0"/>
            </w:tcBorders>
            <w:vAlign w:val="center"/>
          </w:tcPr>
          <w:p w14:paraId="2B192128">
            <w:pPr>
              <w:spacing w:line="400" w:lineRule="exact"/>
              <w:outlineLvl w:val="9"/>
              <w:rPr>
                <w:rFonts w:ascii="宋体" w:hAnsi="宋体" w:eastAsia="宋体" w:cs="宋体"/>
                <w:sz w:val="24"/>
                <w:szCs w:val="24"/>
              </w:rPr>
            </w:pPr>
            <w:r>
              <w:rPr>
                <w:rFonts w:hint="eastAsia" w:ascii="宋体" w:hAnsi="宋体" w:eastAsia="宋体" w:cs="宋体"/>
                <w:sz w:val="24"/>
                <w:szCs w:val="24"/>
              </w:rPr>
              <w:t>诉讼或仲裁事项</w:t>
            </w:r>
          </w:p>
        </w:tc>
        <w:tc>
          <w:tcPr>
            <w:tcW w:w="2169" w:type="dxa"/>
            <w:tcBorders>
              <w:top w:val="single" w:color="auto" w:sz="4" w:space="0"/>
              <w:left w:val="nil"/>
              <w:bottom w:val="single" w:color="auto" w:sz="4" w:space="0"/>
              <w:right w:val="single" w:color="auto" w:sz="4" w:space="0"/>
            </w:tcBorders>
            <w:vAlign w:val="center"/>
          </w:tcPr>
          <w:p w14:paraId="62A14E1A">
            <w:pPr>
              <w:spacing w:line="400" w:lineRule="exact"/>
              <w:outlineLvl w:val="9"/>
              <w:rPr>
                <w:rFonts w:ascii="宋体" w:hAnsi="宋体" w:eastAsia="宋体" w:cs="宋体"/>
                <w:sz w:val="24"/>
                <w:szCs w:val="24"/>
              </w:rPr>
            </w:pPr>
            <w:r>
              <w:rPr>
                <w:rFonts w:hint="eastAsia" w:ascii="宋体" w:hAnsi="宋体" w:eastAsia="宋体" w:cs="宋体"/>
                <w:sz w:val="24"/>
                <w:szCs w:val="24"/>
              </w:rPr>
              <w:t>诉讼或仲裁中的地位</w:t>
            </w:r>
          </w:p>
        </w:tc>
        <w:tc>
          <w:tcPr>
            <w:tcW w:w="1395" w:type="dxa"/>
            <w:tcBorders>
              <w:top w:val="single" w:color="auto" w:sz="4" w:space="0"/>
              <w:left w:val="nil"/>
              <w:bottom w:val="single" w:color="auto" w:sz="4" w:space="0"/>
              <w:right w:val="single" w:color="auto" w:sz="4" w:space="0"/>
            </w:tcBorders>
            <w:vAlign w:val="center"/>
          </w:tcPr>
          <w:p w14:paraId="656F4FA3">
            <w:pPr>
              <w:spacing w:line="400" w:lineRule="exact"/>
              <w:outlineLvl w:val="9"/>
              <w:rPr>
                <w:rFonts w:ascii="宋体" w:hAnsi="宋体" w:eastAsia="宋体" w:cs="宋体"/>
                <w:sz w:val="24"/>
                <w:szCs w:val="24"/>
              </w:rPr>
            </w:pPr>
            <w:r>
              <w:rPr>
                <w:rFonts w:hint="eastAsia" w:ascii="宋体" w:hAnsi="宋体" w:eastAsia="宋体" w:cs="宋体"/>
                <w:sz w:val="24"/>
                <w:szCs w:val="24"/>
              </w:rPr>
              <w:t>缘由</w:t>
            </w:r>
          </w:p>
        </w:tc>
        <w:tc>
          <w:tcPr>
            <w:tcW w:w="1396" w:type="dxa"/>
            <w:tcBorders>
              <w:top w:val="single" w:color="auto" w:sz="4" w:space="0"/>
              <w:left w:val="nil"/>
              <w:bottom w:val="single" w:color="auto" w:sz="4" w:space="0"/>
              <w:right w:val="single" w:color="auto" w:sz="4" w:space="0"/>
            </w:tcBorders>
            <w:vAlign w:val="center"/>
          </w:tcPr>
          <w:p w14:paraId="2B4D0C2D">
            <w:pPr>
              <w:spacing w:line="400" w:lineRule="exact"/>
              <w:outlineLvl w:val="9"/>
              <w:rPr>
                <w:rFonts w:ascii="宋体" w:hAnsi="宋体" w:eastAsia="宋体" w:cs="宋体"/>
                <w:sz w:val="24"/>
                <w:szCs w:val="24"/>
              </w:rPr>
            </w:pPr>
            <w:r>
              <w:rPr>
                <w:rFonts w:hint="eastAsia" w:ascii="宋体" w:hAnsi="宋体" w:eastAsia="宋体" w:cs="宋体"/>
                <w:sz w:val="24"/>
                <w:szCs w:val="24"/>
              </w:rPr>
              <w:t>结果</w:t>
            </w:r>
          </w:p>
        </w:tc>
        <w:tc>
          <w:tcPr>
            <w:tcW w:w="755" w:type="dxa"/>
            <w:tcBorders>
              <w:top w:val="single" w:color="auto" w:sz="4" w:space="0"/>
              <w:left w:val="nil"/>
              <w:bottom w:val="single" w:color="auto" w:sz="4" w:space="0"/>
              <w:right w:val="single" w:color="auto" w:sz="4" w:space="0"/>
            </w:tcBorders>
            <w:vAlign w:val="center"/>
          </w:tcPr>
          <w:p w14:paraId="5ACC5CC6">
            <w:pPr>
              <w:spacing w:line="400" w:lineRule="exact"/>
              <w:outlineLvl w:val="9"/>
              <w:rPr>
                <w:rFonts w:ascii="宋体" w:hAnsi="宋体" w:eastAsia="宋体" w:cs="宋体"/>
                <w:sz w:val="24"/>
                <w:szCs w:val="24"/>
              </w:rPr>
            </w:pPr>
            <w:r>
              <w:rPr>
                <w:rFonts w:hint="eastAsia" w:ascii="宋体" w:hAnsi="宋体" w:eastAsia="宋体" w:cs="宋体"/>
                <w:sz w:val="24"/>
                <w:szCs w:val="24"/>
              </w:rPr>
              <w:t>备注</w:t>
            </w:r>
          </w:p>
        </w:tc>
      </w:tr>
      <w:tr w14:paraId="3C837751">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71A479B9">
            <w:pPr>
              <w:spacing w:line="400" w:lineRule="exact"/>
              <w:outlineLvl w:val="9"/>
              <w:rPr>
                <w:rFonts w:ascii="宋体" w:hAnsi="宋体" w:eastAsia="宋体" w:cs="宋体"/>
                <w:sz w:val="24"/>
                <w:szCs w:val="24"/>
              </w:rPr>
            </w:pPr>
            <w:r>
              <w:rPr>
                <w:rFonts w:hint="eastAsia" w:ascii="宋体" w:hAnsi="宋体" w:eastAsia="宋体" w:cs="宋体"/>
                <w:sz w:val="24"/>
                <w:szCs w:val="24"/>
              </w:rPr>
              <w:t>一</w:t>
            </w:r>
          </w:p>
        </w:tc>
        <w:tc>
          <w:tcPr>
            <w:tcW w:w="2749" w:type="dxa"/>
            <w:tcBorders>
              <w:top w:val="single" w:color="auto" w:sz="4" w:space="0"/>
              <w:left w:val="nil"/>
              <w:bottom w:val="single" w:color="auto" w:sz="4" w:space="0"/>
              <w:right w:val="single" w:color="auto" w:sz="4" w:space="0"/>
            </w:tcBorders>
            <w:vAlign w:val="center"/>
          </w:tcPr>
          <w:p w14:paraId="0B6613FD">
            <w:pPr>
              <w:spacing w:line="400" w:lineRule="exact"/>
              <w:outlineLvl w:val="9"/>
              <w:rPr>
                <w:rFonts w:ascii="宋体" w:hAnsi="宋体" w:eastAsia="宋体" w:cs="宋体"/>
                <w:sz w:val="24"/>
                <w:szCs w:val="24"/>
              </w:rPr>
            </w:pPr>
            <w:r>
              <w:rPr>
                <w:rFonts w:hint="eastAsia" w:ascii="宋体" w:hAnsi="宋体" w:eastAsia="宋体" w:cs="宋体"/>
                <w:sz w:val="24"/>
                <w:szCs w:val="24"/>
              </w:rPr>
              <w:t>诉讼事项</w:t>
            </w:r>
          </w:p>
        </w:tc>
        <w:tc>
          <w:tcPr>
            <w:tcW w:w="2169" w:type="dxa"/>
            <w:tcBorders>
              <w:top w:val="single" w:color="auto" w:sz="4" w:space="0"/>
              <w:left w:val="nil"/>
              <w:bottom w:val="single" w:color="auto" w:sz="4" w:space="0"/>
              <w:right w:val="single" w:color="auto" w:sz="4" w:space="0"/>
            </w:tcBorders>
            <w:vAlign w:val="center"/>
          </w:tcPr>
          <w:p w14:paraId="32E34D1F">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vAlign w:val="center"/>
          </w:tcPr>
          <w:p w14:paraId="45C2D96D">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vAlign w:val="center"/>
          </w:tcPr>
          <w:p w14:paraId="504EC62D">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vAlign w:val="center"/>
          </w:tcPr>
          <w:p w14:paraId="3DD1F171">
            <w:pPr>
              <w:spacing w:line="400" w:lineRule="exact"/>
              <w:outlineLvl w:val="9"/>
              <w:rPr>
                <w:rFonts w:ascii="宋体" w:hAnsi="宋体" w:eastAsia="宋体" w:cs="宋体"/>
                <w:sz w:val="24"/>
                <w:szCs w:val="24"/>
              </w:rPr>
            </w:pPr>
          </w:p>
        </w:tc>
      </w:tr>
      <w:tr w14:paraId="6634DA2E">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68929B52">
            <w:pPr>
              <w:spacing w:line="400" w:lineRule="exact"/>
              <w:outlineLvl w:val="9"/>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70C10B4D">
            <w:pPr>
              <w:spacing w:line="400" w:lineRule="exact"/>
              <w:outlineLvl w:val="9"/>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32C05489">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7BA14D00">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07FF7CC0">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322DA67C">
            <w:pPr>
              <w:spacing w:line="400" w:lineRule="exact"/>
              <w:outlineLvl w:val="9"/>
              <w:rPr>
                <w:rFonts w:ascii="宋体" w:hAnsi="宋体" w:eastAsia="宋体" w:cs="宋体"/>
                <w:sz w:val="24"/>
                <w:szCs w:val="24"/>
              </w:rPr>
            </w:pPr>
          </w:p>
        </w:tc>
      </w:tr>
      <w:tr w14:paraId="69CC41D7">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2CF75B96">
            <w:pPr>
              <w:spacing w:line="400" w:lineRule="exact"/>
              <w:outlineLvl w:val="9"/>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48B7709A">
            <w:pPr>
              <w:spacing w:line="400" w:lineRule="exact"/>
              <w:outlineLvl w:val="9"/>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6E12275F">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413D18E0">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492FABE9">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17BBDEB3">
            <w:pPr>
              <w:spacing w:line="400" w:lineRule="exact"/>
              <w:outlineLvl w:val="9"/>
              <w:rPr>
                <w:rFonts w:ascii="宋体" w:hAnsi="宋体" w:eastAsia="宋体" w:cs="宋体"/>
                <w:sz w:val="24"/>
                <w:szCs w:val="24"/>
              </w:rPr>
            </w:pPr>
          </w:p>
        </w:tc>
      </w:tr>
      <w:tr w14:paraId="60B67F16">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7A98B065">
            <w:pPr>
              <w:spacing w:line="400" w:lineRule="exact"/>
              <w:outlineLvl w:val="9"/>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71E9792F">
            <w:pPr>
              <w:spacing w:line="400" w:lineRule="exact"/>
              <w:outlineLvl w:val="9"/>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699C44D5">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3BFE5EF3">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09DAC083">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43C271E5">
            <w:pPr>
              <w:spacing w:line="400" w:lineRule="exact"/>
              <w:outlineLvl w:val="9"/>
              <w:rPr>
                <w:rFonts w:ascii="宋体" w:hAnsi="宋体" w:eastAsia="宋体" w:cs="宋体"/>
                <w:sz w:val="24"/>
                <w:szCs w:val="24"/>
              </w:rPr>
            </w:pPr>
          </w:p>
        </w:tc>
      </w:tr>
      <w:tr w14:paraId="57F20C1D">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vAlign w:val="center"/>
          </w:tcPr>
          <w:p w14:paraId="5FBC4628">
            <w:pPr>
              <w:spacing w:line="400" w:lineRule="exact"/>
              <w:outlineLvl w:val="9"/>
              <w:rPr>
                <w:rFonts w:ascii="宋体" w:hAnsi="宋体" w:eastAsia="宋体" w:cs="宋体"/>
                <w:sz w:val="24"/>
                <w:szCs w:val="24"/>
              </w:rPr>
            </w:pPr>
            <w:r>
              <w:rPr>
                <w:rFonts w:hint="eastAsia" w:ascii="宋体" w:hAnsi="宋体" w:eastAsia="宋体" w:cs="宋体"/>
                <w:sz w:val="24"/>
                <w:szCs w:val="24"/>
              </w:rPr>
              <w:t>二</w:t>
            </w:r>
          </w:p>
        </w:tc>
        <w:tc>
          <w:tcPr>
            <w:tcW w:w="2749" w:type="dxa"/>
            <w:tcBorders>
              <w:top w:val="single" w:color="auto" w:sz="4" w:space="0"/>
              <w:left w:val="nil"/>
              <w:bottom w:val="single" w:color="auto" w:sz="4" w:space="0"/>
              <w:right w:val="single" w:color="auto" w:sz="4" w:space="0"/>
            </w:tcBorders>
            <w:vAlign w:val="center"/>
          </w:tcPr>
          <w:p w14:paraId="2E7310AA">
            <w:pPr>
              <w:spacing w:line="400" w:lineRule="exact"/>
              <w:outlineLvl w:val="9"/>
              <w:rPr>
                <w:rFonts w:ascii="宋体" w:hAnsi="宋体" w:eastAsia="宋体" w:cs="宋体"/>
                <w:sz w:val="24"/>
                <w:szCs w:val="24"/>
              </w:rPr>
            </w:pPr>
            <w:r>
              <w:rPr>
                <w:rFonts w:hint="eastAsia" w:ascii="宋体" w:hAnsi="宋体" w:eastAsia="宋体" w:cs="宋体"/>
                <w:sz w:val="24"/>
                <w:szCs w:val="24"/>
              </w:rPr>
              <w:t>仲裁事项</w:t>
            </w:r>
          </w:p>
        </w:tc>
        <w:tc>
          <w:tcPr>
            <w:tcW w:w="2169" w:type="dxa"/>
            <w:tcBorders>
              <w:top w:val="single" w:color="auto" w:sz="4" w:space="0"/>
              <w:left w:val="nil"/>
              <w:bottom w:val="single" w:color="auto" w:sz="4" w:space="0"/>
              <w:right w:val="single" w:color="auto" w:sz="4" w:space="0"/>
            </w:tcBorders>
          </w:tcPr>
          <w:p w14:paraId="07387657">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6090F522">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2E2D46A7">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3B82522F">
            <w:pPr>
              <w:spacing w:line="400" w:lineRule="exact"/>
              <w:outlineLvl w:val="9"/>
              <w:rPr>
                <w:rFonts w:ascii="宋体" w:hAnsi="宋体" w:eastAsia="宋体" w:cs="宋体"/>
                <w:sz w:val="24"/>
                <w:szCs w:val="24"/>
              </w:rPr>
            </w:pPr>
          </w:p>
        </w:tc>
      </w:tr>
      <w:tr w14:paraId="68828BD2">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6A4F005B">
            <w:pPr>
              <w:spacing w:line="400" w:lineRule="exact"/>
              <w:outlineLvl w:val="9"/>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10126BA2">
            <w:pPr>
              <w:spacing w:line="400" w:lineRule="exact"/>
              <w:outlineLvl w:val="9"/>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446295FD">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77996819">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068A67AC">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2804FFF0">
            <w:pPr>
              <w:spacing w:line="400" w:lineRule="exact"/>
              <w:outlineLvl w:val="9"/>
              <w:rPr>
                <w:rFonts w:ascii="宋体" w:hAnsi="宋体" w:eastAsia="宋体" w:cs="宋体"/>
                <w:sz w:val="24"/>
                <w:szCs w:val="24"/>
              </w:rPr>
            </w:pPr>
          </w:p>
        </w:tc>
      </w:tr>
      <w:tr w14:paraId="12C05706">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6F0CF284">
            <w:pPr>
              <w:spacing w:line="400" w:lineRule="exact"/>
              <w:outlineLvl w:val="9"/>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027E4474">
            <w:pPr>
              <w:spacing w:line="400" w:lineRule="exact"/>
              <w:outlineLvl w:val="9"/>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2976A8CA">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7B41BC97">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6772DEDB">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12D79391">
            <w:pPr>
              <w:spacing w:line="400" w:lineRule="exact"/>
              <w:outlineLvl w:val="9"/>
              <w:rPr>
                <w:rFonts w:ascii="宋体" w:hAnsi="宋体" w:eastAsia="宋体" w:cs="宋体"/>
                <w:sz w:val="24"/>
                <w:szCs w:val="24"/>
              </w:rPr>
            </w:pPr>
          </w:p>
        </w:tc>
      </w:tr>
      <w:tr w14:paraId="78820C64">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060C0787">
            <w:pPr>
              <w:spacing w:line="400" w:lineRule="exact"/>
              <w:outlineLvl w:val="9"/>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10DEF004">
            <w:pPr>
              <w:spacing w:line="400" w:lineRule="exact"/>
              <w:outlineLvl w:val="9"/>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0E666520">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1294E1CF">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7E108F5C">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29F188C3">
            <w:pPr>
              <w:spacing w:line="400" w:lineRule="exact"/>
              <w:outlineLvl w:val="9"/>
              <w:rPr>
                <w:rFonts w:ascii="宋体" w:hAnsi="宋体" w:eastAsia="宋体" w:cs="宋体"/>
                <w:sz w:val="24"/>
                <w:szCs w:val="24"/>
              </w:rPr>
            </w:pPr>
          </w:p>
        </w:tc>
      </w:tr>
      <w:tr w14:paraId="1F5E330A">
        <w:tblPrEx>
          <w:tblCellMar>
            <w:top w:w="0" w:type="dxa"/>
            <w:left w:w="108" w:type="dxa"/>
            <w:bottom w:w="0" w:type="dxa"/>
            <w:right w:w="108" w:type="dxa"/>
          </w:tblCellMar>
        </w:tblPrEx>
        <w:trPr>
          <w:trHeight w:val="568" w:hRule="atLeast"/>
          <w:jc w:val="center"/>
        </w:trPr>
        <w:tc>
          <w:tcPr>
            <w:tcW w:w="1010" w:type="dxa"/>
            <w:tcBorders>
              <w:top w:val="single" w:color="auto" w:sz="4" w:space="0"/>
              <w:left w:val="single" w:color="auto" w:sz="4" w:space="0"/>
              <w:bottom w:val="single" w:color="auto" w:sz="4" w:space="0"/>
              <w:right w:val="single" w:color="auto" w:sz="4" w:space="0"/>
            </w:tcBorders>
          </w:tcPr>
          <w:p w14:paraId="074B6443">
            <w:pPr>
              <w:spacing w:line="400" w:lineRule="exact"/>
              <w:outlineLvl w:val="9"/>
              <w:rPr>
                <w:rFonts w:ascii="宋体" w:hAnsi="宋体" w:eastAsia="宋体" w:cs="宋体"/>
                <w:sz w:val="24"/>
                <w:szCs w:val="24"/>
              </w:rPr>
            </w:pPr>
          </w:p>
        </w:tc>
        <w:tc>
          <w:tcPr>
            <w:tcW w:w="2749" w:type="dxa"/>
            <w:tcBorders>
              <w:top w:val="single" w:color="auto" w:sz="4" w:space="0"/>
              <w:left w:val="nil"/>
              <w:bottom w:val="single" w:color="auto" w:sz="4" w:space="0"/>
              <w:right w:val="single" w:color="auto" w:sz="4" w:space="0"/>
            </w:tcBorders>
          </w:tcPr>
          <w:p w14:paraId="7989C78A">
            <w:pPr>
              <w:spacing w:line="400" w:lineRule="exact"/>
              <w:outlineLvl w:val="9"/>
              <w:rPr>
                <w:rFonts w:ascii="宋体" w:hAnsi="宋体" w:eastAsia="宋体" w:cs="宋体"/>
                <w:sz w:val="24"/>
                <w:szCs w:val="24"/>
              </w:rPr>
            </w:pPr>
          </w:p>
        </w:tc>
        <w:tc>
          <w:tcPr>
            <w:tcW w:w="2169" w:type="dxa"/>
            <w:tcBorders>
              <w:top w:val="single" w:color="auto" w:sz="4" w:space="0"/>
              <w:left w:val="nil"/>
              <w:bottom w:val="single" w:color="auto" w:sz="4" w:space="0"/>
              <w:right w:val="single" w:color="auto" w:sz="4" w:space="0"/>
            </w:tcBorders>
          </w:tcPr>
          <w:p w14:paraId="5DC37D37">
            <w:pPr>
              <w:spacing w:line="400" w:lineRule="exact"/>
              <w:outlineLvl w:val="9"/>
              <w:rPr>
                <w:rFonts w:ascii="宋体" w:hAnsi="宋体" w:eastAsia="宋体" w:cs="宋体"/>
                <w:sz w:val="24"/>
                <w:szCs w:val="24"/>
              </w:rPr>
            </w:pPr>
          </w:p>
        </w:tc>
        <w:tc>
          <w:tcPr>
            <w:tcW w:w="1395" w:type="dxa"/>
            <w:tcBorders>
              <w:top w:val="single" w:color="auto" w:sz="4" w:space="0"/>
              <w:left w:val="nil"/>
              <w:bottom w:val="single" w:color="auto" w:sz="4" w:space="0"/>
              <w:right w:val="single" w:color="auto" w:sz="4" w:space="0"/>
            </w:tcBorders>
          </w:tcPr>
          <w:p w14:paraId="65DF6ED3">
            <w:pPr>
              <w:spacing w:line="400" w:lineRule="exact"/>
              <w:outlineLvl w:val="9"/>
              <w:rPr>
                <w:rFonts w:ascii="宋体" w:hAnsi="宋体" w:eastAsia="宋体" w:cs="宋体"/>
                <w:sz w:val="24"/>
                <w:szCs w:val="24"/>
              </w:rPr>
            </w:pPr>
          </w:p>
        </w:tc>
        <w:tc>
          <w:tcPr>
            <w:tcW w:w="1396" w:type="dxa"/>
            <w:tcBorders>
              <w:top w:val="single" w:color="auto" w:sz="4" w:space="0"/>
              <w:left w:val="nil"/>
              <w:bottom w:val="single" w:color="auto" w:sz="4" w:space="0"/>
              <w:right w:val="single" w:color="auto" w:sz="4" w:space="0"/>
            </w:tcBorders>
          </w:tcPr>
          <w:p w14:paraId="3C493471">
            <w:pPr>
              <w:spacing w:line="400" w:lineRule="exact"/>
              <w:outlineLvl w:val="9"/>
              <w:rPr>
                <w:rFonts w:ascii="宋体" w:hAnsi="宋体" w:eastAsia="宋体" w:cs="宋体"/>
                <w:sz w:val="24"/>
                <w:szCs w:val="24"/>
              </w:rPr>
            </w:pPr>
          </w:p>
        </w:tc>
        <w:tc>
          <w:tcPr>
            <w:tcW w:w="755" w:type="dxa"/>
            <w:tcBorders>
              <w:top w:val="single" w:color="auto" w:sz="4" w:space="0"/>
              <w:left w:val="nil"/>
              <w:bottom w:val="single" w:color="auto" w:sz="4" w:space="0"/>
              <w:right w:val="single" w:color="auto" w:sz="4" w:space="0"/>
            </w:tcBorders>
          </w:tcPr>
          <w:p w14:paraId="1D51E1DA">
            <w:pPr>
              <w:spacing w:line="400" w:lineRule="exact"/>
              <w:outlineLvl w:val="9"/>
              <w:rPr>
                <w:rFonts w:ascii="宋体" w:hAnsi="宋体" w:eastAsia="宋体" w:cs="宋体"/>
                <w:sz w:val="24"/>
                <w:szCs w:val="24"/>
              </w:rPr>
            </w:pPr>
          </w:p>
        </w:tc>
      </w:tr>
    </w:tbl>
    <w:p w14:paraId="518D4453">
      <w:pPr>
        <w:spacing w:line="400" w:lineRule="exact"/>
        <w:outlineLvl w:val="9"/>
        <w:rPr>
          <w:rFonts w:ascii="宋体" w:hAnsi="宋体" w:eastAsia="宋体" w:cs="Times New Roman"/>
          <w:sz w:val="24"/>
          <w:szCs w:val="24"/>
        </w:rPr>
      </w:pPr>
    </w:p>
    <w:p w14:paraId="652C3E01">
      <w:pPr>
        <w:spacing w:line="400" w:lineRule="exact"/>
        <w:outlineLvl w:val="9"/>
        <w:rPr>
          <w:rFonts w:ascii="宋体" w:hAnsi="宋体" w:eastAsia="宋体" w:cs="Times New Roman"/>
          <w:sz w:val="24"/>
          <w:szCs w:val="24"/>
        </w:rPr>
      </w:pPr>
      <w:r>
        <w:rPr>
          <w:rFonts w:hint="eastAsia" w:ascii="宋体" w:hAnsi="宋体" w:eastAsia="宋体" w:cs="Times New Roman"/>
          <w:sz w:val="24"/>
          <w:szCs w:val="24"/>
        </w:rPr>
        <w:t>备注：1.相关材料扫描件附后。</w:t>
      </w:r>
    </w:p>
    <w:p w14:paraId="27304079">
      <w:pPr>
        <w:spacing w:line="360" w:lineRule="auto"/>
        <w:ind w:firstLine="720" w:firstLineChars="300"/>
        <w:outlineLvl w:val="9"/>
        <w:rPr>
          <w:rFonts w:ascii="宋体" w:hAnsi="宋体" w:eastAsia="宋体" w:cs="Times New Roman"/>
          <w:sz w:val="24"/>
          <w:szCs w:val="24"/>
        </w:rPr>
      </w:pPr>
      <w:r>
        <w:rPr>
          <w:rFonts w:hint="eastAsia" w:ascii="宋体" w:hAnsi="宋体" w:eastAsia="宋体" w:cs="Times New Roman"/>
          <w:sz w:val="24"/>
          <w:szCs w:val="24"/>
        </w:rPr>
        <w:t>2.如无诉讼或仲裁事项，请在相应表格内标注“无”。</w:t>
      </w:r>
    </w:p>
    <w:p w14:paraId="3FB9C5B0">
      <w:pPr>
        <w:keepNext/>
        <w:keepLines/>
        <w:spacing w:line="480" w:lineRule="exact"/>
        <w:jc w:val="center"/>
        <w:outlineLvl w:val="9"/>
        <w:rPr>
          <w:rFonts w:asciiTheme="minorEastAsia" w:hAnsiTheme="minorEastAsia" w:eastAsiaTheme="minorEastAsia"/>
          <w:b/>
          <w:bCs/>
          <w:sz w:val="32"/>
          <w:szCs w:val="28"/>
        </w:rPr>
        <w:sectPr>
          <w:pgSz w:w="11906" w:h="16838"/>
          <w:pgMar w:top="1440" w:right="1800" w:bottom="1440" w:left="1800" w:header="851" w:footer="992" w:gutter="0"/>
          <w:cols w:space="720" w:num="1"/>
          <w:docGrid w:type="lines" w:linePitch="312" w:charSpace="0"/>
        </w:sectPr>
      </w:pPr>
    </w:p>
    <w:p w14:paraId="3205CE7E">
      <w:pPr>
        <w:keepNext/>
        <w:keepLines/>
        <w:spacing w:line="480" w:lineRule="exact"/>
        <w:jc w:val="center"/>
        <w:outlineLvl w:val="9"/>
        <w:rPr>
          <w:rFonts w:asciiTheme="minorEastAsia" w:hAnsiTheme="minorEastAsia" w:eastAsiaTheme="minorEastAsia"/>
          <w:b/>
          <w:bCs/>
          <w:sz w:val="32"/>
          <w:szCs w:val="28"/>
        </w:rPr>
      </w:pPr>
      <w:r>
        <w:rPr>
          <w:rFonts w:hint="eastAsia" w:asciiTheme="minorEastAsia" w:hAnsiTheme="minorEastAsia" w:eastAsiaTheme="minorEastAsia"/>
          <w:b/>
          <w:bCs/>
          <w:sz w:val="32"/>
          <w:szCs w:val="28"/>
        </w:rPr>
        <w:t>八、供应商认为有必要提供的其他资料</w:t>
      </w:r>
      <w:bookmarkEnd w:id="1149"/>
    </w:p>
    <w:p w14:paraId="3275DC78">
      <w:pPr>
        <w:spacing w:line="480" w:lineRule="exact"/>
        <w:ind w:firstLine="2277" w:firstLineChars="1035"/>
        <w:outlineLvl w:val="9"/>
        <w:rPr>
          <w:rFonts w:asciiTheme="minorEastAsia" w:hAnsiTheme="minorEastAsia" w:eastAsiaTheme="minorEastAsia"/>
        </w:rPr>
      </w:pPr>
    </w:p>
    <w:p w14:paraId="302DFF43">
      <w:pPr>
        <w:spacing w:line="480" w:lineRule="exact"/>
        <w:ind w:firstLine="2277" w:firstLineChars="1035"/>
        <w:outlineLvl w:val="9"/>
        <w:rPr>
          <w:rFonts w:asciiTheme="minorEastAsia" w:hAnsiTheme="minorEastAsia" w:eastAsiaTheme="minorEastAsia"/>
        </w:rPr>
      </w:pPr>
    </w:p>
    <w:p w14:paraId="0B6EA6BE">
      <w:pPr>
        <w:spacing w:before="312" w:beforeLines="100" w:after="156" w:afterLines="50"/>
        <w:jc w:val="center"/>
        <w:outlineLvl w:val="9"/>
        <w:rPr>
          <w:rFonts w:asciiTheme="minorEastAsia" w:hAnsiTheme="minorEastAsia" w:eastAsiaTheme="minorEastAsia"/>
        </w:rPr>
      </w:pPr>
    </w:p>
    <w:p w14:paraId="6A2DFA33">
      <w:pPr>
        <w:outlineLvl w:val="9"/>
        <w:rPr>
          <w:rFonts w:asciiTheme="minorEastAsia" w:hAnsiTheme="minorEastAsia" w:eastAsiaTheme="minorEastAsia"/>
        </w:rPr>
      </w:pPr>
    </w:p>
    <w:p w14:paraId="39C13052">
      <w:pPr>
        <w:outlineLvl w:val="9"/>
        <w:rPr>
          <w:rFonts w:asciiTheme="minorEastAsia" w:hAnsiTheme="minorEastAsia" w:eastAsiaTheme="minorEastAsia"/>
        </w:rPr>
      </w:pPr>
    </w:p>
    <w:p w14:paraId="155D2E24">
      <w:pPr>
        <w:outlineLvl w:val="9"/>
        <w:rPr>
          <w:rFonts w:asciiTheme="minorEastAsia" w:hAnsiTheme="minorEastAsia" w:eastAsiaTheme="minorEastAsia"/>
        </w:rPr>
      </w:pPr>
    </w:p>
    <w:p w14:paraId="4800AD3C">
      <w:pPr>
        <w:outlineLvl w:val="9"/>
        <w:rPr>
          <w:rFonts w:asciiTheme="minorEastAsia" w:hAnsiTheme="minorEastAsia" w:eastAsiaTheme="minorEastAsia"/>
        </w:rPr>
      </w:pPr>
    </w:p>
    <w:p w14:paraId="6F92C700">
      <w:pPr>
        <w:outlineLvl w:val="9"/>
        <w:rPr>
          <w:rFonts w:asciiTheme="minorEastAsia" w:hAnsiTheme="minorEastAsia" w:eastAsiaTheme="minorEastAsia"/>
        </w:rPr>
      </w:pPr>
    </w:p>
    <w:p w14:paraId="76008C67">
      <w:pPr>
        <w:outlineLvl w:val="9"/>
        <w:rPr>
          <w:rFonts w:asciiTheme="minorEastAsia" w:hAnsiTheme="minorEastAsia" w:eastAsiaTheme="minorEastAsia"/>
          <w:b/>
          <w:bCs/>
        </w:rPr>
      </w:pPr>
    </w:p>
    <w:p w14:paraId="27F081E5">
      <w:pPr>
        <w:outlineLvl w:val="9"/>
        <w:rPr>
          <w:rFonts w:asciiTheme="minorEastAsia" w:hAnsiTheme="minorEastAsia" w:eastAsiaTheme="minorEastAsia"/>
        </w:rPr>
      </w:pPr>
    </w:p>
    <w:p w14:paraId="359E2232">
      <w:pPr>
        <w:outlineLvl w:val="9"/>
        <w:rPr>
          <w:rFonts w:asciiTheme="minorEastAsia" w:hAnsiTheme="minorEastAsia" w:eastAsiaTheme="minorEastAsia"/>
        </w:rPr>
      </w:pPr>
    </w:p>
    <w:p w14:paraId="47DF37EB">
      <w:pPr>
        <w:outlineLvl w:val="9"/>
        <w:rPr>
          <w:rFonts w:asciiTheme="minorEastAsia" w:hAnsiTheme="minorEastAsia" w:eastAsiaTheme="minorEastAsia"/>
        </w:rPr>
      </w:pPr>
    </w:p>
    <w:p w14:paraId="575CC975">
      <w:pPr>
        <w:outlineLvl w:val="9"/>
        <w:rPr>
          <w:rFonts w:asciiTheme="minorEastAsia" w:hAnsiTheme="minorEastAsia" w:eastAsiaTheme="minorEastAsia"/>
        </w:rPr>
      </w:pPr>
    </w:p>
    <w:p w14:paraId="01723E7E">
      <w:pPr>
        <w:keepLines w:val="0"/>
        <w:widowControl/>
        <w:spacing w:before="0"/>
        <w:jc w:val="center"/>
        <w:outlineLvl w:val="9"/>
        <w:rPr>
          <w:rFonts w:asciiTheme="minorEastAsia" w:hAnsiTheme="minorEastAsia" w:eastAsiaTheme="minorEastAsia"/>
        </w:rPr>
      </w:pPr>
    </w:p>
    <w:p w14:paraId="7C294BA7">
      <w:pPr>
        <w:outlineLvl w:val="9"/>
        <w:rPr>
          <w:rFonts w:asciiTheme="minorEastAsia" w:hAnsiTheme="minorEastAsia" w:eastAsiaTheme="minorEastAsia"/>
        </w:rPr>
      </w:pPr>
    </w:p>
    <w:p w14:paraId="0D539F53">
      <w:pPr>
        <w:outlineLvl w:val="9"/>
        <w:rPr>
          <w:rFonts w:asciiTheme="minorEastAsia" w:hAnsiTheme="minorEastAsia" w:eastAsiaTheme="minorEastAsia"/>
        </w:rPr>
      </w:pPr>
    </w:p>
    <w:p w14:paraId="7FE10E90">
      <w:pPr>
        <w:outlineLvl w:val="9"/>
        <w:rPr>
          <w:rFonts w:asciiTheme="minorEastAsia" w:hAnsiTheme="minorEastAsia" w:eastAsiaTheme="minorEastAsia"/>
        </w:rPr>
      </w:pPr>
    </w:p>
    <w:p w14:paraId="53312280">
      <w:pPr>
        <w:outlineLvl w:val="9"/>
        <w:rPr>
          <w:rFonts w:asciiTheme="minorEastAsia" w:hAnsiTheme="minorEastAsia" w:eastAsiaTheme="minorEastAsia"/>
        </w:rPr>
      </w:pPr>
    </w:p>
    <w:p w14:paraId="7E907686">
      <w:pPr>
        <w:spacing w:line="220" w:lineRule="atLeast"/>
        <w:outlineLvl w:val="9"/>
        <w:rPr>
          <w:rFonts w:asciiTheme="minorEastAsia" w:hAnsiTheme="minorEastAsia" w:eastAsiaTheme="minorEastAsia"/>
        </w:rPr>
      </w:pPr>
    </w:p>
    <w:p w14:paraId="4863845D">
      <w:pPr>
        <w:spacing w:line="220" w:lineRule="atLeast"/>
        <w:outlineLvl w:val="9"/>
        <w:rPr>
          <w:rFonts w:asciiTheme="minorEastAsia" w:hAnsiTheme="minorEastAsia" w:eastAsiaTheme="minorEastAsia"/>
        </w:rPr>
      </w:pPr>
    </w:p>
    <w:p w14:paraId="0B9312C0">
      <w:pPr>
        <w:spacing w:line="220" w:lineRule="atLeast"/>
        <w:outlineLvl w:val="9"/>
        <w:rPr>
          <w:rFonts w:asciiTheme="minorEastAsia" w:hAnsiTheme="minorEastAsia" w:eastAsiaTheme="minorEastAsia"/>
        </w:rPr>
      </w:pPr>
    </w:p>
    <w:p w14:paraId="1310D8B9">
      <w:pPr>
        <w:spacing w:line="220" w:lineRule="atLeast"/>
        <w:outlineLvl w:val="9"/>
        <w:rPr>
          <w:rFonts w:asciiTheme="minorEastAsia" w:hAnsiTheme="minorEastAsia" w:eastAsiaTheme="minorEastAsia"/>
        </w:rPr>
      </w:pPr>
    </w:p>
    <w:p w14:paraId="3BCBDB36">
      <w:pPr>
        <w:spacing w:line="220" w:lineRule="atLeast"/>
        <w:outlineLvl w:val="9"/>
        <w:rPr>
          <w:rFonts w:asciiTheme="minorEastAsia" w:hAnsiTheme="minorEastAsia" w:eastAsiaTheme="minorEastAsia"/>
        </w:rPr>
      </w:pPr>
    </w:p>
    <w:p w14:paraId="4E8F088C">
      <w:pPr>
        <w:spacing w:line="220" w:lineRule="atLeast"/>
        <w:outlineLvl w:val="9"/>
        <w:rPr>
          <w:rFonts w:asciiTheme="minorEastAsia" w:hAnsiTheme="minorEastAsia" w:eastAsiaTheme="minorEastAsia"/>
        </w:rPr>
      </w:pPr>
    </w:p>
    <w:p w14:paraId="51549CA8">
      <w:pPr>
        <w:spacing w:line="220" w:lineRule="atLeast"/>
        <w:outlineLvl w:val="9"/>
        <w:rPr>
          <w:rFonts w:asciiTheme="minorEastAsia" w:hAnsiTheme="minorEastAsia" w:eastAsiaTheme="minorEastAsia"/>
        </w:rPr>
      </w:pPr>
    </w:p>
    <w:p w14:paraId="414314D8">
      <w:pPr>
        <w:spacing w:line="220" w:lineRule="atLeast"/>
        <w:outlineLvl w:val="9"/>
        <w:rPr>
          <w:rFonts w:asciiTheme="minorEastAsia" w:hAnsiTheme="minorEastAsia" w:eastAsiaTheme="minorEastAsia"/>
        </w:rPr>
      </w:pPr>
    </w:p>
    <w:p w14:paraId="1EE2A0E5">
      <w:pPr>
        <w:spacing w:line="220" w:lineRule="atLeast"/>
        <w:outlineLvl w:val="9"/>
        <w:rPr>
          <w:rFonts w:asciiTheme="minorEastAsia" w:hAnsiTheme="minorEastAsia" w:eastAsiaTheme="minorEastAsia"/>
        </w:rPr>
      </w:pPr>
      <w:r>
        <w:rPr>
          <w:rFonts w:hint="eastAsia" w:asciiTheme="minorEastAsia" w:hAnsiTheme="minorEastAsia" w:eastAsiaTheme="minorEastAsia"/>
        </w:rPr>
        <w:t>附件</w:t>
      </w:r>
    </w:p>
    <w:p w14:paraId="34D5036C">
      <w:pPr>
        <w:widowControl w:val="0"/>
        <w:adjustRightInd/>
        <w:spacing w:after="0" w:line="480" w:lineRule="exact"/>
        <w:jc w:val="center"/>
        <w:outlineLvl w:val="9"/>
        <w:rPr>
          <w:rFonts w:cs="宋体" w:asciiTheme="minorEastAsia" w:hAnsiTheme="minorEastAsia" w:eastAsiaTheme="minorEastAsia"/>
          <w:b/>
          <w:bCs/>
          <w:kern w:val="10"/>
          <w:sz w:val="32"/>
          <w:szCs w:val="32"/>
        </w:rPr>
      </w:pPr>
      <w:r>
        <w:rPr>
          <w:rFonts w:hint="eastAsia" w:cs="宋体" w:asciiTheme="minorEastAsia" w:hAnsiTheme="minorEastAsia" w:eastAsiaTheme="minorEastAsia"/>
          <w:b/>
          <w:bCs/>
          <w:kern w:val="10"/>
          <w:sz w:val="32"/>
          <w:szCs w:val="32"/>
        </w:rPr>
        <w:t>中小企业声明函</w:t>
      </w:r>
    </w:p>
    <w:p w14:paraId="47AA1645">
      <w:pPr>
        <w:widowControl w:val="0"/>
        <w:adjustRightInd/>
        <w:snapToGrid/>
        <w:spacing w:after="0" w:line="360" w:lineRule="auto"/>
        <w:ind w:firstLine="480" w:firstLineChars="200"/>
        <w:jc w:val="both"/>
        <w:outlineLvl w:val="9"/>
        <w:rPr>
          <w:rFonts w:cs="Times New Roman" w:asciiTheme="minorEastAsia" w:hAnsiTheme="minorEastAsia" w:eastAsiaTheme="minorEastAsia"/>
          <w:kern w:val="2"/>
          <w:sz w:val="24"/>
          <w:szCs w:val="24"/>
        </w:rPr>
      </w:pPr>
    </w:p>
    <w:p w14:paraId="13045B53">
      <w:pPr>
        <w:widowControl w:val="0"/>
        <w:adjustRightInd/>
        <w:snapToGrid/>
        <w:spacing w:after="0" w:line="360" w:lineRule="auto"/>
        <w:ind w:firstLine="480" w:firstLineChars="200"/>
        <w:jc w:val="both"/>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本公司（联合体） 郑重声明， 根据《政府采购促进中小企业发展管理办法》的规定， 本公司（联合体） 参加</w:t>
      </w:r>
      <w:r>
        <w:rPr>
          <w:rFonts w:hint="eastAsia" w:cs="Times New Roman" w:asciiTheme="minorEastAsia" w:hAnsiTheme="minorEastAsia" w:eastAsiaTheme="minorEastAsia"/>
          <w:kern w:val="2"/>
          <w:sz w:val="24"/>
          <w:szCs w:val="24"/>
          <w:u w:val="single"/>
        </w:rPr>
        <w:t>（单位名称）</w:t>
      </w:r>
      <w:r>
        <w:rPr>
          <w:rFonts w:hint="eastAsia" w:cs="Times New Roman" w:asciiTheme="minorEastAsia" w:hAnsiTheme="minorEastAsia" w:eastAsiaTheme="minorEastAsia"/>
          <w:kern w:val="2"/>
          <w:sz w:val="24"/>
          <w:szCs w:val="24"/>
        </w:rPr>
        <w:t xml:space="preserve"> 的</w:t>
      </w:r>
      <w:r>
        <w:rPr>
          <w:rFonts w:hint="eastAsia" w:cs="Times New Roman" w:asciiTheme="minorEastAsia" w:hAnsiTheme="minorEastAsia" w:eastAsiaTheme="minorEastAsia"/>
          <w:kern w:val="2"/>
          <w:sz w:val="24"/>
          <w:szCs w:val="24"/>
          <w:u w:val="single"/>
        </w:rPr>
        <w:t>（项目名称）</w:t>
      </w:r>
      <w:r>
        <w:rPr>
          <w:rFonts w:hint="eastAsia" w:cs="Times New Roman" w:asciiTheme="minorEastAsia" w:hAnsiTheme="minorEastAsia" w:eastAsiaTheme="minorEastAsia"/>
          <w:kern w:val="2"/>
          <w:sz w:val="24"/>
          <w:szCs w:val="24"/>
        </w:rPr>
        <w:t xml:space="preserve"> 采购活动， 工程的施工单位全部为符合政策要求的中小企业。具体情况如下：</w:t>
      </w:r>
    </w:p>
    <w:p w14:paraId="35E44518">
      <w:pPr>
        <w:widowControl w:val="0"/>
        <w:adjustRightInd/>
        <w:snapToGrid/>
        <w:spacing w:after="0" w:line="360" w:lineRule="auto"/>
        <w:ind w:firstLine="480" w:firstLineChars="200"/>
        <w:jc w:val="both"/>
        <w:outlineLvl w:val="9"/>
        <w:rPr>
          <w:rFonts w:cs="Times New Roman" w:asciiTheme="minorEastAsia" w:hAnsiTheme="minorEastAsia" w:eastAsiaTheme="minorEastAsia"/>
          <w:kern w:val="2"/>
          <w:sz w:val="24"/>
          <w:szCs w:val="24"/>
          <w:u w:val="single"/>
        </w:rPr>
      </w:pPr>
      <w:r>
        <w:rPr>
          <w:rFonts w:hint="eastAsia" w:cs="Times New Roman" w:asciiTheme="minorEastAsia" w:hAnsiTheme="minorEastAsia" w:eastAsiaTheme="minorEastAsia"/>
          <w:kern w:val="2"/>
          <w:sz w:val="24"/>
          <w:szCs w:val="24"/>
          <w:u w:val="single"/>
        </w:rPr>
        <w:t>（标的名称）</w:t>
      </w:r>
      <w:r>
        <w:rPr>
          <w:rFonts w:hint="eastAsia" w:cs="Times New Roman" w:asciiTheme="minorEastAsia" w:hAnsiTheme="minorEastAsia" w:eastAsiaTheme="minorEastAsia"/>
          <w:kern w:val="2"/>
          <w:sz w:val="24"/>
          <w:szCs w:val="24"/>
        </w:rPr>
        <w:t xml:space="preserve"> ， 属于</w:t>
      </w:r>
      <w:r>
        <w:rPr>
          <w:rFonts w:hint="eastAsia" w:cs="Times New Roman" w:asciiTheme="minorEastAsia" w:hAnsiTheme="minorEastAsia" w:eastAsiaTheme="minorEastAsia"/>
          <w:kern w:val="2"/>
          <w:sz w:val="24"/>
          <w:szCs w:val="24"/>
          <w:u w:val="single"/>
        </w:rPr>
        <w:t>（采购文件中明确的所属行业）</w:t>
      </w:r>
      <w:r>
        <w:rPr>
          <w:rFonts w:hint="eastAsia" w:cs="Times New Roman" w:asciiTheme="minorEastAsia" w:hAnsiTheme="minorEastAsia" w:eastAsiaTheme="minorEastAsia"/>
          <w:kern w:val="2"/>
          <w:sz w:val="24"/>
          <w:szCs w:val="24"/>
        </w:rPr>
        <w:t>； 承建（承接）企业为</w:t>
      </w:r>
      <w:r>
        <w:rPr>
          <w:rFonts w:hint="eastAsia" w:cs="Times New Roman" w:asciiTheme="minorEastAsia" w:hAnsiTheme="minorEastAsia" w:eastAsiaTheme="minorEastAsia"/>
          <w:kern w:val="2"/>
          <w:sz w:val="24"/>
          <w:szCs w:val="24"/>
          <w:u w:val="single"/>
        </w:rPr>
        <w:t>（ 企业名称）</w:t>
      </w:r>
      <w:r>
        <w:rPr>
          <w:rFonts w:hint="eastAsia" w:cs="Times New Roman" w:asciiTheme="minorEastAsia" w:hAnsiTheme="minorEastAsia" w:eastAsiaTheme="minorEastAsia"/>
          <w:kern w:val="2"/>
          <w:sz w:val="24"/>
          <w:szCs w:val="24"/>
        </w:rPr>
        <w:t>， 从业人员</w:t>
      </w:r>
      <w:r>
        <w:rPr>
          <w:rFonts w:hint="eastAsia" w:cs="Times New Roman" w:asciiTheme="minorEastAsia" w:hAnsiTheme="minorEastAsia" w:eastAsiaTheme="minorEastAsia"/>
          <w:kern w:val="2"/>
          <w:sz w:val="24"/>
          <w:szCs w:val="24"/>
          <w:u w:val="single"/>
        </w:rPr>
        <w:t xml:space="preserve">     </w:t>
      </w:r>
      <w:r>
        <w:rPr>
          <w:rFonts w:hint="eastAsia" w:cs="Times New Roman" w:asciiTheme="minorEastAsia" w:hAnsiTheme="minorEastAsia" w:eastAsiaTheme="minorEastAsia"/>
          <w:kern w:val="2"/>
          <w:sz w:val="24"/>
          <w:szCs w:val="24"/>
        </w:rPr>
        <w:t>人， 营业收入为</w:t>
      </w:r>
      <w:r>
        <w:rPr>
          <w:rFonts w:hint="eastAsia" w:cs="Times New Roman" w:asciiTheme="minorEastAsia" w:hAnsiTheme="minorEastAsia" w:eastAsiaTheme="minorEastAsia"/>
          <w:kern w:val="2"/>
          <w:sz w:val="24"/>
          <w:szCs w:val="24"/>
          <w:u w:val="single"/>
        </w:rPr>
        <w:t xml:space="preserve">     </w:t>
      </w:r>
      <w:r>
        <w:rPr>
          <w:rFonts w:hint="eastAsia" w:cs="Times New Roman" w:asciiTheme="minorEastAsia" w:hAnsiTheme="minorEastAsia" w:eastAsiaTheme="minorEastAsia"/>
          <w:kern w:val="2"/>
          <w:sz w:val="24"/>
          <w:szCs w:val="24"/>
        </w:rPr>
        <w:t>万元， 资产总额为</w:t>
      </w:r>
      <w:r>
        <w:rPr>
          <w:rFonts w:hint="eastAsia" w:cs="Times New Roman" w:asciiTheme="minorEastAsia" w:hAnsiTheme="minorEastAsia" w:eastAsiaTheme="minorEastAsia"/>
          <w:kern w:val="2"/>
          <w:sz w:val="24"/>
          <w:szCs w:val="24"/>
          <w:u w:val="single"/>
        </w:rPr>
        <w:t xml:space="preserve">     </w:t>
      </w:r>
      <w:r>
        <w:rPr>
          <w:rFonts w:hint="eastAsia" w:cs="Times New Roman" w:asciiTheme="minorEastAsia" w:hAnsiTheme="minorEastAsia" w:eastAsiaTheme="minorEastAsia"/>
          <w:kern w:val="2"/>
          <w:sz w:val="24"/>
          <w:szCs w:val="24"/>
        </w:rPr>
        <w:t>万元， 属于</w:t>
      </w:r>
      <w:r>
        <w:rPr>
          <w:rFonts w:hint="eastAsia" w:cs="Times New Roman" w:asciiTheme="minorEastAsia" w:hAnsiTheme="minorEastAsia" w:eastAsiaTheme="minorEastAsia"/>
          <w:kern w:val="2"/>
          <w:sz w:val="24"/>
          <w:szCs w:val="24"/>
          <w:u w:val="single"/>
        </w:rPr>
        <w:t>（中型企业、 小型企业、 微型企业）</w:t>
      </w:r>
      <w:r>
        <w:rPr>
          <w:rFonts w:hint="eastAsia" w:cs="Times New Roman" w:asciiTheme="minorEastAsia" w:hAnsiTheme="minorEastAsia" w:eastAsiaTheme="minorEastAsia"/>
          <w:kern w:val="2"/>
          <w:sz w:val="24"/>
          <w:szCs w:val="24"/>
        </w:rPr>
        <w:t>；</w:t>
      </w:r>
    </w:p>
    <w:p w14:paraId="1B3EEC24">
      <w:pPr>
        <w:widowControl w:val="0"/>
        <w:adjustRightInd/>
        <w:snapToGrid/>
        <w:spacing w:after="0" w:line="360" w:lineRule="auto"/>
        <w:ind w:firstLine="480" w:firstLineChars="200"/>
        <w:jc w:val="both"/>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本企业不属于大企业的分支机构， 不存在控股股东为大企业的情形， 也不存在与大企业的负责人为同一人的情形。</w:t>
      </w:r>
    </w:p>
    <w:p w14:paraId="51703F73">
      <w:pPr>
        <w:widowControl w:val="0"/>
        <w:adjustRightInd/>
        <w:snapToGrid/>
        <w:spacing w:after="0" w:line="360" w:lineRule="auto"/>
        <w:ind w:firstLine="480" w:firstLineChars="200"/>
        <w:jc w:val="both"/>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本企业对上述声明内容的真实性负责。 如有虚假， 将依法承担相应责任。</w:t>
      </w:r>
    </w:p>
    <w:p w14:paraId="3BE354F8">
      <w:pPr>
        <w:widowControl w:val="0"/>
        <w:adjustRightInd/>
        <w:snapToGrid/>
        <w:spacing w:after="0" w:line="360" w:lineRule="auto"/>
        <w:ind w:firstLine="480" w:firstLineChars="200"/>
        <w:jc w:val="both"/>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企业名称（盖章）：</w:t>
      </w:r>
    </w:p>
    <w:p w14:paraId="621243C7">
      <w:pPr>
        <w:widowControl w:val="0"/>
        <w:adjustRightInd/>
        <w:snapToGrid/>
        <w:spacing w:after="0" w:line="360" w:lineRule="auto"/>
        <w:ind w:firstLine="480" w:firstLineChars="200"/>
        <w:jc w:val="both"/>
        <w:outlineLvl w:val="9"/>
        <w:rPr>
          <w:rFonts w:cs="Times New Roman" w:asciiTheme="minorEastAsia" w:hAnsiTheme="minorEastAsia" w:eastAsiaTheme="minorEastAsia"/>
          <w:kern w:val="2"/>
          <w:sz w:val="24"/>
          <w:szCs w:val="24"/>
        </w:rPr>
      </w:pPr>
      <w:r>
        <w:rPr>
          <w:rFonts w:hint="eastAsia" w:cs="Times New Roman" w:asciiTheme="minorEastAsia" w:hAnsiTheme="minorEastAsia" w:eastAsiaTheme="minorEastAsia"/>
          <w:kern w:val="2"/>
          <w:sz w:val="24"/>
          <w:szCs w:val="24"/>
        </w:rPr>
        <w:t>日 期：</w:t>
      </w:r>
    </w:p>
    <w:p w14:paraId="60D9A366">
      <w:pPr>
        <w:widowControl w:val="0"/>
        <w:adjustRightInd/>
        <w:snapToGrid/>
        <w:spacing w:after="0" w:line="360" w:lineRule="auto"/>
        <w:ind w:firstLine="480" w:firstLineChars="200"/>
        <w:jc w:val="both"/>
        <w:outlineLvl w:val="9"/>
        <w:rPr>
          <w:rFonts w:cs="宋体" w:asciiTheme="minorEastAsia" w:hAnsiTheme="minorEastAsia" w:eastAsiaTheme="minorEastAsia"/>
          <w:iCs/>
          <w:kern w:val="2"/>
          <w:sz w:val="24"/>
          <w:szCs w:val="24"/>
        </w:rPr>
      </w:pPr>
      <w:r>
        <w:rPr>
          <w:rFonts w:hint="eastAsia" w:cs="Times New Roman" w:asciiTheme="minorEastAsia" w:hAnsiTheme="minorEastAsia" w:eastAsiaTheme="minorEastAsia"/>
          <w:kern w:val="2"/>
          <w:sz w:val="24"/>
          <w:szCs w:val="24"/>
        </w:rPr>
        <w:t>注：从业人员、 营业收入、 资产总额填报上一年度数据， 无上一年度数据的新成立企业可不填报。</w:t>
      </w:r>
    </w:p>
    <w:p w14:paraId="55D0D79E">
      <w:pPr>
        <w:spacing w:line="220" w:lineRule="atLeast"/>
        <w:outlineLvl w:val="9"/>
        <w:rPr>
          <w:rFonts w:asciiTheme="minorEastAsia" w:hAnsiTheme="minorEastAsia" w:eastAsiaTheme="minor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方正小标宋简体">
    <w:altName w:val="黑体"/>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3A4D">
    <w:pPr>
      <w:pStyle w:val="16"/>
      <w:jc w:val="center"/>
    </w:pPr>
    <w:r>
      <w:fldChar w:fldCharType="begin"/>
    </w:r>
    <w:r>
      <w:instrText xml:space="preserve">PAGE   \* MERGEFORMAT</w:instrText>
    </w:r>
    <w:r>
      <w:fldChar w:fldCharType="separate"/>
    </w:r>
    <w:r>
      <w:rPr>
        <w:lang w:val="zh-CN"/>
      </w:rPr>
      <w:t>31</w:t>
    </w:r>
    <w:r>
      <w:fldChar w:fldCharType="end"/>
    </w:r>
  </w:p>
  <w:p w14:paraId="64E20655">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A1C78">
    <w:pPr>
      <w:pStyle w:val="16"/>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61CBC1F3">
                <w:pPr>
                  <w:pStyle w:val="16"/>
                </w:pPr>
                <w:r>
                  <w:fldChar w:fldCharType="begin"/>
                </w:r>
                <w:r>
                  <w:instrText xml:space="preserve"> PAGE  \* MERGEFORMAT </w:instrText>
                </w:r>
                <w:r>
                  <w:fldChar w:fldCharType="separate"/>
                </w:r>
                <w:r>
                  <w:t>74</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BA8C8">
    <w:pPr>
      <w:pStyle w:val="16"/>
    </w:pPr>
    <w:r>
      <w:pict>
        <v:shape id="_x0000_s3075" o:spid="_x0000_s3075"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7E68D29C">
                <w:pPr>
                  <w:pStyle w:val="16"/>
                </w:pPr>
                <w:r>
                  <w:fldChar w:fldCharType="begin"/>
                </w:r>
                <w:r>
                  <w:instrText xml:space="preserve"> PAGE  \* MERGEFORMAT </w:instrText>
                </w:r>
                <w:r>
                  <w:fldChar w:fldCharType="separate"/>
                </w:r>
                <w:r>
                  <w:t>81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9F2904"/>
    <w:multiLevelType w:val="singleLevel"/>
    <w:tmpl w:val="669F290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3"/>
    </o:shapelayout>
  </w:hdrShapeDefaults>
  <w:footnotePr>
    <w:footnote w:id="0"/>
    <w:footnote w:id="1"/>
  </w:footnotePr>
  <w:compat>
    <w:doNotExpandShiftReturn/>
    <w:doNotWrapTextWithPunct/>
    <w:doNotUseEastAsianBreakRules/>
    <w:useFELayout/>
    <w:doNotUseIndentAsNumberingTabStop/>
    <w:compatSetting w:name="compatibilityMode" w:uri="http://schemas.microsoft.com/office/word" w:val="12"/>
  </w:compat>
  <w:rsids>
    <w:rsidRoot w:val="00D31D50"/>
    <w:rsid w:val="00005F4C"/>
    <w:rsid w:val="00015EFC"/>
    <w:rsid w:val="00022606"/>
    <w:rsid w:val="000257C9"/>
    <w:rsid w:val="0003193A"/>
    <w:rsid w:val="00033E0C"/>
    <w:rsid w:val="00041B73"/>
    <w:rsid w:val="00054AEC"/>
    <w:rsid w:val="00054C72"/>
    <w:rsid w:val="00063459"/>
    <w:rsid w:val="000636D3"/>
    <w:rsid w:val="0006649F"/>
    <w:rsid w:val="00073414"/>
    <w:rsid w:val="00085742"/>
    <w:rsid w:val="000906BF"/>
    <w:rsid w:val="000A1312"/>
    <w:rsid w:val="000A3D08"/>
    <w:rsid w:val="000B3171"/>
    <w:rsid w:val="000B36E5"/>
    <w:rsid w:val="000C2A89"/>
    <w:rsid w:val="000C77F6"/>
    <w:rsid w:val="000C7929"/>
    <w:rsid w:val="000F111D"/>
    <w:rsid w:val="000F445F"/>
    <w:rsid w:val="000F6889"/>
    <w:rsid w:val="001019DA"/>
    <w:rsid w:val="00101B75"/>
    <w:rsid w:val="0010215F"/>
    <w:rsid w:val="00111A22"/>
    <w:rsid w:val="00112275"/>
    <w:rsid w:val="001229E9"/>
    <w:rsid w:val="00126873"/>
    <w:rsid w:val="001273C5"/>
    <w:rsid w:val="00135126"/>
    <w:rsid w:val="00136AC2"/>
    <w:rsid w:val="00137B75"/>
    <w:rsid w:val="001432F3"/>
    <w:rsid w:val="0014424C"/>
    <w:rsid w:val="0014489D"/>
    <w:rsid w:val="00154A61"/>
    <w:rsid w:val="001552A5"/>
    <w:rsid w:val="001625EF"/>
    <w:rsid w:val="00162AE9"/>
    <w:rsid w:val="00167BA8"/>
    <w:rsid w:val="001708BE"/>
    <w:rsid w:val="001765D0"/>
    <w:rsid w:val="00180B38"/>
    <w:rsid w:val="00181D3B"/>
    <w:rsid w:val="00195FBA"/>
    <w:rsid w:val="001A00A2"/>
    <w:rsid w:val="001A07C3"/>
    <w:rsid w:val="001A1C50"/>
    <w:rsid w:val="001A5944"/>
    <w:rsid w:val="001A66FC"/>
    <w:rsid w:val="001A7B58"/>
    <w:rsid w:val="001B032E"/>
    <w:rsid w:val="001B10B4"/>
    <w:rsid w:val="001B1334"/>
    <w:rsid w:val="001B2060"/>
    <w:rsid w:val="001B5EE5"/>
    <w:rsid w:val="001B76B9"/>
    <w:rsid w:val="001D103C"/>
    <w:rsid w:val="001D2E36"/>
    <w:rsid w:val="001D3B14"/>
    <w:rsid w:val="001D547C"/>
    <w:rsid w:val="001E2459"/>
    <w:rsid w:val="001E2F4A"/>
    <w:rsid w:val="001E4572"/>
    <w:rsid w:val="001F0B74"/>
    <w:rsid w:val="001F4838"/>
    <w:rsid w:val="0021028D"/>
    <w:rsid w:val="0021222B"/>
    <w:rsid w:val="00213167"/>
    <w:rsid w:val="002164A8"/>
    <w:rsid w:val="002213B6"/>
    <w:rsid w:val="00221F5D"/>
    <w:rsid w:val="00226671"/>
    <w:rsid w:val="00230B44"/>
    <w:rsid w:val="00233CD4"/>
    <w:rsid w:val="0024566A"/>
    <w:rsid w:val="0024760F"/>
    <w:rsid w:val="002514BF"/>
    <w:rsid w:val="00251530"/>
    <w:rsid w:val="002518E8"/>
    <w:rsid w:val="00251ECE"/>
    <w:rsid w:val="00254563"/>
    <w:rsid w:val="00254AF0"/>
    <w:rsid w:val="002569B4"/>
    <w:rsid w:val="00257AAB"/>
    <w:rsid w:val="0026081B"/>
    <w:rsid w:val="0026440B"/>
    <w:rsid w:val="0028138F"/>
    <w:rsid w:val="002830E2"/>
    <w:rsid w:val="0028456B"/>
    <w:rsid w:val="002854B6"/>
    <w:rsid w:val="00292053"/>
    <w:rsid w:val="002926BB"/>
    <w:rsid w:val="00293B7A"/>
    <w:rsid w:val="00293F74"/>
    <w:rsid w:val="002945B2"/>
    <w:rsid w:val="00295335"/>
    <w:rsid w:val="00296EB3"/>
    <w:rsid w:val="002A06AA"/>
    <w:rsid w:val="002A5B52"/>
    <w:rsid w:val="002A73AF"/>
    <w:rsid w:val="002A76E7"/>
    <w:rsid w:val="002B4BBD"/>
    <w:rsid w:val="002B6589"/>
    <w:rsid w:val="002C142F"/>
    <w:rsid w:val="002C2764"/>
    <w:rsid w:val="002C2FA7"/>
    <w:rsid w:val="002C4536"/>
    <w:rsid w:val="002C45B1"/>
    <w:rsid w:val="002C5635"/>
    <w:rsid w:val="002D4A3D"/>
    <w:rsid w:val="002D716C"/>
    <w:rsid w:val="002D76D8"/>
    <w:rsid w:val="002D7D5D"/>
    <w:rsid w:val="002E1231"/>
    <w:rsid w:val="002E4FF1"/>
    <w:rsid w:val="002F1EAC"/>
    <w:rsid w:val="0032365C"/>
    <w:rsid w:val="00323B43"/>
    <w:rsid w:val="00324A09"/>
    <w:rsid w:val="0032538C"/>
    <w:rsid w:val="0033508A"/>
    <w:rsid w:val="00337728"/>
    <w:rsid w:val="003379E0"/>
    <w:rsid w:val="00342B48"/>
    <w:rsid w:val="00356C33"/>
    <w:rsid w:val="003575D1"/>
    <w:rsid w:val="003619DD"/>
    <w:rsid w:val="003647A1"/>
    <w:rsid w:val="00365D84"/>
    <w:rsid w:val="00383670"/>
    <w:rsid w:val="003912D2"/>
    <w:rsid w:val="00397207"/>
    <w:rsid w:val="003A3509"/>
    <w:rsid w:val="003C0952"/>
    <w:rsid w:val="003C1188"/>
    <w:rsid w:val="003C5404"/>
    <w:rsid w:val="003C7A00"/>
    <w:rsid w:val="003C7F81"/>
    <w:rsid w:val="003D37D8"/>
    <w:rsid w:val="003E16C2"/>
    <w:rsid w:val="003E1EE6"/>
    <w:rsid w:val="003E57D8"/>
    <w:rsid w:val="00402761"/>
    <w:rsid w:val="0040302E"/>
    <w:rsid w:val="00403B22"/>
    <w:rsid w:val="004040D4"/>
    <w:rsid w:val="00404B09"/>
    <w:rsid w:val="0040631B"/>
    <w:rsid w:val="00406C3B"/>
    <w:rsid w:val="00406D22"/>
    <w:rsid w:val="00422B0C"/>
    <w:rsid w:val="00424BA1"/>
    <w:rsid w:val="00425C87"/>
    <w:rsid w:val="00426133"/>
    <w:rsid w:val="004358AB"/>
    <w:rsid w:val="00443A7E"/>
    <w:rsid w:val="00447137"/>
    <w:rsid w:val="00460911"/>
    <w:rsid w:val="00461462"/>
    <w:rsid w:val="00466F53"/>
    <w:rsid w:val="004710A0"/>
    <w:rsid w:val="004733EE"/>
    <w:rsid w:val="004929AD"/>
    <w:rsid w:val="00493941"/>
    <w:rsid w:val="004A0762"/>
    <w:rsid w:val="004A2697"/>
    <w:rsid w:val="004A3F65"/>
    <w:rsid w:val="004B0135"/>
    <w:rsid w:val="004B215E"/>
    <w:rsid w:val="004B4E92"/>
    <w:rsid w:val="004C43C9"/>
    <w:rsid w:val="004D579A"/>
    <w:rsid w:val="004D6F3E"/>
    <w:rsid w:val="004D7743"/>
    <w:rsid w:val="004D7B06"/>
    <w:rsid w:val="004E588B"/>
    <w:rsid w:val="004E6D2A"/>
    <w:rsid w:val="004F4DEA"/>
    <w:rsid w:val="00504BD2"/>
    <w:rsid w:val="00504C07"/>
    <w:rsid w:val="005102CD"/>
    <w:rsid w:val="00510F27"/>
    <w:rsid w:val="00512ECB"/>
    <w:rsid w:val="00515AD2"/>
    <w:rsid w:val="005168AA"/>
    <w:rsid w:val="0051706A"/>
    <w:rsid w:val="00520E23"/>
    <w:rsid w:val="0052488C"/>
    <w:rsid w:val="005318BA"/>
    <w:rsid w:val="0053496E"/>
    <w:rsid w:val="00550394"/>
    <w:rsid w:val="00552A2C"/>
    <w:rsid w:val="005535D8"/>
    <w:rsid w:val="00555A11"/>
    <w:rsid w:val="00557037"/>
    <w:rsid w:val="00560739"/>
    <w:rsid w:val="00560B75"/>
    <w:rsid w:val="00564927"/>
    <w:rsid w:val="00575752"/>
    <w:rsid w:val="0057717C"/>
    <w:rsid w:val="005813C0"/>
    <w:rsid w:val="00590094"/>
    <w:rsid w:val="005974A2"/>
    <w:rsid w:val="005A0523"/>
    <w:rsid w:val="005A1C08"/>
    <w:rsid w:val="005A1E09"/>
    <w:rsid w:val="005B280A"/>
    <w:rsid w:val="005B6860"/>
    <w:rsid w:val="005C237E"/>
    <w:rsid w:val="005C3811"/>
    <w:rsid w:val="005C497B"/>
    <w:rsid w:val="005D044F"/>
    <w:rsid w:val="005E2E59"/>
    <w:rsid w:val="005E4A79"/>
    <w:rsid w:val="005E5C91"/>
    <w:rsid w:val="005E610B"/>
    <w:rsid w:val="005E6B47"/>
    <w:rsid w:val="005F1B33"/>
    <w:rsid w:val="005F47E8"/>
    <w:rsid w:val="005F4D2A"/>
    <w:rsid w:val="005F50A4"/>
    <w:rsid w:val="005F6DDA"/>
    <w:rsid w:val="00600092"/>
    <w:rsid w:val="00602835"/>
    <w:rsid w:val="0061500A"/>
    <w:rsid w:val="006250ED"/>
    <w:rsid w:val="00634365"/>
    <w:rsid w:val="0064064B"/>
    <w:rsid w:val="00642AFB"/>
    <w:rsid w:val="00643AD4"/>
    <w:rsid w:val="00644DCC"/>
    <w:rsid w:val="00653EDF"/>
    <w:rsid w:val="006558DC"/>
    <w:rsid w:val="00670BED"/>
    <w:rsid w:val="0067175E"/>
    <w:rsid w:val="00671A6D"/>
    <w:rsid w:val="00681D5B"/>
    <w:rsid w:val="00685ACC"/>
    <w:rsid w:val="006947A8"/>
    <w:rsid w:val="00697426"/>
    <w:rsid w:val="006A15EF"/>
    <w:rsid w:val="006A7A25"/>
    <w:rsid w:val="006B05ED"/>
    <w:rsid w:val="006B25B5"/>
    <w:rsid w:val="006C1181"/>
    <w:rsid w:val="006C3F12"/>
    <w:rsid w:val="006C7EB1"/>
    <w:rsid w:val="006D0FE2"/>
    <w:rsid w:val="006D7659"/>
    <w:rsid w:val="006D7A4B"/>
    <w:rsid w:val="006E1A89"/>
    <w:rsid w:val="006E62B4"/>
    <w:rsid w:val="006E6436"/>
    <w:rsid w:val="006E7364"/>
    <w:rsid w:val="006E75F3"/>
    <w:rsid w:val="006F7282"/>
    <w:rsid w:val="00702430"/>
    <w:rsid w:val="00720664"/>
    <w:rsid w:val="007209DC"/>
    <w:rsid w:val="00724328"/>
    <w:rsid w:val="00724B25"/>
    <w:rsid w:val="007257B9"/>
    <w:rsid w:val="0072741F"/>
    <w:rsid w:val="00727507"/>
    <w:rsid w:val="00732F14"/>
    <w:rsid w:val="007447F9"/>
    <w:rsid w:val="00747CFF"/>
    <w:rsid w:val="00747F38"/>
    <w:rsid w:val="00753E2D"/>
    <w:rsid w:val="00754904"/>
    <w:rsid w:val="00756A65"/>
    <w:rsid w:val="00764D65"/>
    <w:rsid w:val="007746B2"/>
    <w:rsid w:val="00775110"/>
    <w:rsid w:val="007770B7"/>
    <w:rsid w:val="007774D3"/>
    <w:rsid w:val="00780A86"/>
    <w:rsid w:val="00782DC5"/>
    <w:rsid w:val="007835B2"/>
    <w:rsid w:val="00787547"/>
    <w:rsid w:val="0079206C"/>
    <w:rsid w:val="007A219F"/>
    <w:rsid w:val="007A3C98"/>
    <w:rsid w:val="007B0EF1"/>
    <w:rsid w:val="007B143E"/>
    <w:rsid w:val="007B552B"/>
    <w:rsid w:val="007B7C95"/>
    <w:rsid w:val="007C08F6"/>
    <w:rsid w:val="007C291F"/>
    <w:rsid w:val="007D2697"/>
    <w:rsid w:val="007D6864"/>
    <w:rsid w:val="007E26F7"/>
    <w:rsid w:val="007F23CC"/>
    <w:rsid w:val="007F48D4"/>
    <w:rsid w:val="007F56BF"/>
    <w:rsid w:val="007F6D29"/>
    <w:rsid w:val="007F7D81"/>
    <w:rsid w:val="00803E1F"/>
    <w:rsid w:val="00813A28"/>
    <w:rsid w:val="008254AB"/>
    <w:rsid w:val="00830923"/>
    <w:rsid w:val="00836243"/>
    <w:rsid w:val="00837140"/>
    <w:rsid w:val="0084021B"/>
    <w:rsid w:val="008448E5"/>
    <w:rsid w:val="00844A6E"/>
    <w:rsid w:val="00845EAC"/>
    <w:rsid w:val="00852DEC"/>
    <w:rsid w:val="00853695"/>
    <w:rsid w:val="00857183"/>
    <w:rsid w:val="00860BBB"/>
    <w:rsid w:val="008623E6"/>
    <w:rsid w:val="008633BA"/>
    <w:rsid w:val="00867F0B"/>
    <w:rsid w:val="008742B3"/>
    <w:rsid w:val="00874493"/>
    <w:rsid w:val="008744D1"/>
    <w:rsid w:val="0088025A"/>
    <w:rsid w:val="00886DA3"/>
    <w:rsid w:val="00891016"/>
    <w:rsid w:val="00893482"/>
    <w:rsid w:val="0089791F"/>
    <w:rsid w:val="008A13A3"/>
    <w:rsid w:val="008A53B7"/>
    <w:rsid w:val="008B0DCD"/>
    <w:rsid w:val="008B7726"/>
    <w:rsid w:val="008D0F58"/>
    <w:rsid w:val="008D682D"/>
    <w:rsid w:val="008D7C59"/>
    <w:rsid w:val="008E1345"/>
    <w:rsid w:val="008E4811"/>
    <w:rsid w:val="008E7275"/>
    <w:rsid w:val="008F0A90"/>
    <w:rsid w:val="008F26FD"/>
    <w:rsid w:val="008F3576"/>
    <w:rsid w:val="008F5336"/>
    <w:rsid w:val="00905418"/>
    <w:rsid w:val="00907196"/>
    <w:rsid w:val="00913DED"/>
    <w:rsid w:val="00924483"/>
    <w:rsid w:val="00924B8D"/>
    <w:rsid w:val="009260BC"/>
    <w:rsid w:val="0095258A"/>
    <w:rsid w:val="00954DBE"/>
    <w:rsid w:val="00962A81"/>
    <w:rsid w:val="009668AF"/>
    <w:rsid w:val="0096713F"/>
    <w:rsid w:val="00974BA4"/>
    <w:rsid w:val="009752B3"/>
    <w:rsid w:val="00977797"/>
    <w:rsid w:val="00980090"/>
    <w:rsid w:val="009A0F1D"/>
    <w:rsid w:val="009A2773"/>
    <w:rsid w:val="009B312B"/>
    <w:rsid w:val="009D151D"/>
    <w:rsid w:val="009D2E2B"/>
    <w:rsid w:val="009D4E94"/>
    <w:rsid w:val="009E343D"/>
    <w:rsid w:val="009E59B7"/>
    <w:rsid w:val="009F0602"/>
    <w:rsid w:val="009F0AA1"/>
    <w:rsid w:val="009F41AC"/>
    <w:rsid w:val="009F4651"/>
    <w:rsid w:val="009F59A6"/>
    <w:rsid w:val="009F64F9"/>
    <w:rsid w:val="00A01385"/>
    <w:rsid w:val="00A06F7D"/>
    <w:rsid w:val="00A11775"/>
    <w:rsid w:val="00A15BDE"/>
    <w:rsid w:val="00A1608C"/>
    <w:rsid w:val="00A1716F"/>
    <w:rsid w:val="00A2250C"/>
    <w:rsid w:val="00A25CFB"/>
    <w:rsid w:val="00A336C6"/>
    <w:rsid w:val="00A34A45"/>
    <w:rsid w:val="00A41500"/>
    <w:rsid w:val="00A458EC"/>
    <w:rsid w:val="00A46BB2"/>
    <w:rsid w:val="00A47D87"/>
    <w:rsid w:val="00A50EB2"/>
    <w:rsid w:val="00A605EE"/>
    <w:rsid w:val="00A613D1"/>
    <w:rsid w:val="00A65444"/>
    <w:rsid w:val="00A65BB0"/>
    <w:rsid w:val="00A669FF"/>
    <w:rsid w:val="00A717B8"/>
    <w:rsid w:val="00A74A64"/>
    <w:rsid w:val="00A77947"/>
    <w:rsid w:val="00A83597"/>
    <w:rsid w:val="00A84844"/>
    <w:rsid w:val="00A96EE0"/>
    <w:rsid w:val="00AA23E1"/>
    <w:rsid w:val="00AA4DBC"/>
    <w:rsid w:val="00AB0DF8"/>
    <w:rsid w:val="00AC549D"/>
    <w:rsid w:val="00AC5D06"/>
    <w:rsid w:val="00AD5A9B"/>
    <w:rsid w:val="00AE1622"/>
    <w:rsid w:val="00AE225C"/>
    <w:rsid w:val="00B01BAE"/>
    <w:rsid w:val="00B070AD"/>
    <w:rsid w:val="00B11570"/>
    <w:rsid w:val="00B1527B"/>
    <w:rsid w:val="00B16C27"/>
    <w:rsid w:val="00B2203B"/>
    <w:rsid w:val="00B24A6A"/>
    <w:rsid w:val="00B24D9B"/>
    <w:rsid w:val="00B2619C"/>
    <w:rsid w:val="00B30877"/>
    <w:rsid w:val="00B32108"/>
    <w:rsid w:val="00B3289E"/>
    <w:rsid w:val="00B32BAF"/>
    <w:rsid w:val="00B33B89"/>
    <w:rsid w:val="00B4236A"/>
    <w:rsid w:val="00B457CF"/>
    <w:rsid w:val="00B512C2"/>
    <w:rsid w:val="00B52D73"/>
    <w:rsid w:val="00B55955"/>
    <w:rsid w:val="00B56203"/>
    <w:rsid w:val="00B62E9D"/>
    <w:rsid w:val="00B71F01"/>
    <w:rsid w:val="00B901E5"/>
    <w:rsid w:val="00B95725"/>
    <w:rsid w:val="00BA24BF"/>
    <w:rsid w:val="00BA3F4F"/>
    <w:rsid w:val="00BA4C5C"/>
    <w:rsid w:val="00BA67B4"/>
    <w:rsid w:val="00BA70D9"/>
    <w:rsid w:val="00BB084C"/>
    <w:rsid w:val="00BB14B7"/>
    <w:rsid w:val="00BB3DEA"/>
    <w:rsid w:val="00BB75E0"/>
    <w:rsid w:val="00BC4FD9"/>
    <w:rsid w:val="00BC53DF"/>
    <w:rsid w:val="00BC628E"/>
    <w:rsid w:val="00BD00EB"/>
    <w:rsid w:val="00BD3C55"/>
    <w:rsid w:val="00BD66AF"/>
    <w:rsid w:val="00BF262E"/>
    <w:rsid w:val="00BF3DDC"/>
    <w:rsid w:val="00BF5022"/>
    <w:rsid w:val="00C05A58"/>
    <w:rsid w:val="00C076B0"/>
    <w:rsid w:val="00C130E1"/>
    <w:rsid w:val="00C21394"/>
    <w:rsid w:val="00C260FC"/>
    <w:rsid w:val="00C44F2E"/>
    <w:rsid w:val="00C4568D"/>
    <w:rsid w:val="00C5787B"/>
    <w:rsid w:val="00C64ABA"/>
    <w:rsid w:val="00C669C1"/>
    <w:rsid w:val="00C71635"/>
    <w:rsid w:val="00C75D00"/>
    <w:rsid w:val="00C85879"/>
    <w:rsid w:val="00C86A23"/>
    <w:rsid w:val="00C87FEC"/>
    <w:rsid w:val="00C96116"/>
    <w:rsid w:val="00C96BB9"/>
    <w:rsid w:val="00CA11E8"/>
    <w:rsid w:val="00CA37FA"/>
    <w:rsid w:val="00CA58FB"/>
    <w:rsid w:val="00CB65E4"/>
    <w:rsid w:val="00CC096D"/>
    <w:rsid w:val="00CC3398"/>
    <w:rsid w:val="00CC3ACC"/>
    <w:rsid w:val="00CC7113"/>
    <w:rsid w:val="00CD0D1A"/>
    <w:rsid w:val="00CD30CE"/>
    <w:rsid w:val="00CD3402"/>
    <w:rsid w:val="00CE27CB"/>
    <w:rsid w:val="00CE3F0E"/>
    <w:rsid w:val="00CF339F"/>
    <w:rsid w:val="00CF346B"/>
    <w:rsid w:val="00CF6A63"/>
    <w:rsid w:val="00D010C0"/>
    <w:rsid w:val="00D01526"/>
    <w:rsid w:val="00D0193A"/>
    <w:rsid w:val="00D122EE"/>
    <w:rsid w:val="00D23A00"/>
    <w:rsid w:val="00D31D50"/>
    <w:rsid w:val="00D3211B"/>
    <w:rsid w:val="00D360BD"/>
    <w:rsid w:val="00D404C0"/>
    <w:rsid w:val="00D43EC1"/>
    <w:rsid w:val="00D4578A"/>
    <w:rsid w:val="00D5158A"/>
    <w:rsid w:val="00D51CC3"/>
    <w:rsid w:val="00D56333"/>
    <w:rsid w:val="00D56694"/>
    <w:rsid w:val="00D65121"/>
    <w:rsid w:val="00D677FA"/>
    <w:rsid w:val="00D67BBC"/>
    <w:rsid w:val="00D7659A"/>
    <w:rsid w:val="00D76AD5"/>
    <w:rsid w:val="00D9680D"/>
    <w:rsid w:val="00DA0430"/>
    <w:rsid w:val="00DA30AA"/>
    <w:rsid w:val="00DA5AAA"/>
    <w:rsid w:val="00DB06AF"/>
    <w:rsid w:val="00DB3F51"/>
    <w:rsid w:val="00DB570C"/>
    <w:rsid w:val="00DC2376"/>
    <w:rsid w:val="00DE1A2A"/>
    <w:rsid w:val="00DE42FD"/>
    <w:rsid w:val="00DF44E8"/>
    <w:rsid w:val="00DF68FA"/>
    <w:rsid w:val="00E005A2"/>
    <w:rsid w:val="00E01A79"/>
    <w:rsid w:val="00E063BA"/>
    <w:rsid w:val="00E07A32"/>
    <w:rsid w:val="00E16519"/>
    <w:rsid w:val="00E24820"/>
    <w:rsid w:val="00E272CF"/>
    <w:rsid w:val="00E35072"/>
    <w:rsid w:val="00E43333"/>
    <w:rsid w:val="00E476A1"/>
    <w:rsid w:val="00E502BC"/>
    <w:rsid w:val="00E639AF"/>
    <w:rsid w:val="00E725E5"/>
    <w:rsid w:val="00E73F14"/>
    <w:rsid w:val="00E854D2"/>
    <w:rsid w:val="00E9088E"/>
    <w:rsid w:val="00E9408F"/>
    <w:rsid w:val="00E94C4A"/>
    <w:rsid w:val="00EA1F51"/>
    <w:rsid w:val="00EA24BE"/>
    <w:rsid w:val="00EB25AF"/>
    <w:rsid w:val="00EB414B"/>
    <w:rsid w:val="00EB7D1D"/>
    <w:rsid w:val="00EC35EA"/>
    <w:rsid w:val="00ED2463"/>
    <w:rsid w:val="00ED248A"/>
    <w:rsid w:val="00ED7E90"/>
    <w:rsid w:val="00ED7EFF"/>
    <w:rsid w:val="00EE0AE0"/>
    <w:rsid w:val="00EE6730"/>
    <w:rsid w:val="00EE7444"/>
    <w:rsid w:val="00EF5976"/>
    <w:rsid w:val="00EF68FD"/>
    <w:rsid w:val="00EF7CE7"/>
    <w:rsid w:val="00F013FB"/>
    <w:rsid w:val="00F01FB6"/>
    <w:rsid w:val="00F12311"/>
    <w:rsid w:val="00F23E2A"/>
    <w:rsid w:val="00F25972"/>
    <w:rsid w:val="00F26641"/>
    <w:rsid w:val="00F2682E"/>
    <w:rsid w:val="00F30AC1"/>
    <w:rsid w:val="00F33793"/>
    <w:rsid w:val="00F3443D"/>
    <w:rsid w:val="00F35613"/>
    <w:rsid w:val="00F359E5"/>
    <w:rsid w:val="00F41357"/>
    <w:rsid w:val="00F4177B"/>
    <w:rsid w:val="00F4207C"/>
    <w:rsid w:val="00F4225D"/>
    <w:rsid w:val="00F423EB"/>
    <w:rsid w:val="00F43208"/>
    <w:rsid w:val="00F61847"/>
    <w:rsid w:val="00F650A6"/>
    <w:rsid w:val="00F661FC"/>
    <w:rsid w:val="00F94CE9"/>
    <w:rsid w:val="00F96175"/>
    <w:rsid w:val="00F97407"/>
    <w:rsid w:val="00FA5B1E"/>
    <w:rsid w:val="00FA5C84"/>
    <w:rsid w:val="00FA64A6"/>
    <w:rsid w:val="00FB1E16"/>
    <w:rsid w:val="00FB28BF"/>
    <w:rsid w:val="00FB2BD2"/>
    <w:rsid w:val="00FB311A"/>
    <w:rsid w:val="00FB3BE9"/>
    <w:rsid w:val="00FC2349"/>
    <w:rsid w:val="00FC2948"/>
    <w:rsid w:val="00FC3FF8"/>
    <w:rsid w:val="00FC552F"/>
    <w:rsid w:val="00FD7047"/>
    <w:rsid w:val="00FE2D37"/>
    <w:rsid w:val="00FE408B"/>
    <w:rsid w:val="00FE6869"/>
    <w:rsid w:val="00FE7172"/>
    <w:rsid w:val="00FF4C9D"/>
    <w:rsid w:val="00FF6EF6"/>
    <w:rsid w:val="01A82CD7"/>
    <w:rsid w:val="03C43166"/>
    <w:rsid w:val="04D63997"/>
    <w:rsid w:val="07377A38"/>
    <w:rsid w:val="07CE4A46"/>
    <w:rsid w:val="09502444"/>
    <w:rsid w:val="0B661A8B"/>
    <w:rsid w:val="0D9E549B"/>
    <w:rsid w:val="1225617B"/>
    <w:rsid w:val="15D55902"/>
    <w:rsid w:val="1C2C087B"/>
    <w:rsid w:val="1E8B20DD"/>
    <w:rsid w:val="21B56A00"/>
    <w:rsid w:val="27C648BA"/>
    <w:rsid w:val="28F75D82"/>
    <w:rsid w:val="2CA75933"/>
    <w:rsid w:val="2E8A4BF2"/>
    <w:rsid w:val="313034EA"/>
    <w:rsid w:val="330116CA"/>
    <w:rsid w:val="34742D5B"/>
    <w:rsid w:val="36575075"/>
    <w:rsid w:val="39013227"/>
    <w:rsid w:val="39B24909"/>
    <w:rsid w:val="3A075AC2"/>
    <w:rsid w:val="3BAF0E16"/>
    <w:rsid w:val="3BE055C5"/>
    <w:rsid w:val="3C8B4B23"/>
    <w:rsid w:val="3CFC6D4D"/>
    <w:rsid w:val="3E9A0374"/>
    <w:rsid w:val="45337090"/>
    <w:rsid w:val="45AF1250"/>
    <w:rsid w:val="472739AC"/>
    <w:rsid w:val="48555C0A"/>
    <w:rsid w:val="4AE271AB"/>
    <w:rsid w:val="4DDE061F"/>
    <w:rsid w:val="4EDB6469"/>
    <w:rsid w:val="50474D30"/>
    <w:rsid w:val="524B3200"/>
    <w:rsid w:val="52BB5FDC"/>
    <w:rsid w:val="53B67427"/>
    <w:rsid w:val="558373E0"/>
    <w:rsid w:val="55E80B70"/>
    <w:rsid w:val="603A052B"/>
    <w:rsid w:val="618F0B83"/>
    <w:rsid w:val="62E8286E"/>
    <w:rsid w:val="638D3007"/>
    <w:rsid w:val="64CC4ABD"/>
    <w:rsid w:val="67B063A7"/>
    <w:rsid w:val="683B77F3"/>
    <w:rsid w:val="6AAD1330"/>
    <w:rsid w:val="6AD3180B"/>
    <w:rsid w:val="6EC73E02"/>
    <w:rsid w:val="701D4404"/>
    <w:rsid w:val="717141FC"/>
    <w:rsid w:val="76882A69"/>
    <w:rsid w:val="78B537F0"/>
    <w:rsid w:val="78F2102B"/>
    <w:rsid w:val="7BA00C8D"/>
    <w:rsid w:val="7CD11B1B"/>
    <w:rsid w:val="7D9951E9"/>
    <w:rsid w:val="7ED325B7"/>
    <w:rsid w:val="7EF87C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link w:val="47"/>
    <w:qFormat/>
    <w:uiPriority w:val="99"/>
    <w:pPr>
      <w:keepNext/>
      <w:keepLines/>
      <w:widowControl w:val="0"/>
      <w:adjustRightInd/>
      <w:snapToGrid/>
      <w:spacing w:before="480" w:after="0" w:line="268" w:lineRule="auto"/>
      <w:outlineLvl w:val="0"/>
    </w:pPr>
    <w:rPr>
      <w:rFonts w:ascii="Cambria" w:hAnsi="Cambria" w:eastAsia="Cambria" w:cs="Times New Roman"/>
      <w:b/>
      <w:color w:val="365F91"/>
      <w:sz w:val="28"/>
      <w:szCs w:val="28"/>
    </w:rPr>
  </w:style>
  <w:style w:type="paragraph" w:styleId="3">
    <w:name w:val="heading 2"/>
    <w:basedOn w:val="1"/>
    <w:next w:val="1"/>
    <w:link w:val="48"/>
    <w:qFormat/>
    <w:uiPriority w:val="9"/>
    <w:pPr>
      <w:keepNext/>
      <w:keepLines/>
      <w:widowControl w:val="0"/>
      <w:adjustRightInd/>
      <w:snapToGrid/>
      <w:spacing w:before="200" w:after="0" w:line="268" w:lineRule="auto"/>
      <w:outlineLvl w:val="1"/>
    </w:pPr>
    <w:rPr>
      <w:rFonts w:ascii="Arial" w:hAnsi="Arial" w:eastAsia="黑体" w:cs="Times New Roman"/>
      <w:b/>
      <w:sz w:val="32"/>
      <w:szCs w:val="32"/>
    </w:rPr>
  </w:style>
  <w:style w:type="paragraph" w:styleId="4">
    <w:name w:val="heading 3"/>
    <w:basedOn w:val="1"/>
    <w:next w:val="1"/>
    <w:link w:val="49"/>
    <w:qFormat/>
    <w:uiPriority w:val="0"/>
    <w:pPr>
      <w:keepNext/>
      <w:keepLines/>
      <w:widowControl w:val="0"/>
      <w:adjustRightInd/>
      <w:snapToGrid/>
      <w:spacing w:before="200" w:after="0" w:line="268" w:lineRule="auto"/>
      <w:outlineLvl w:val="2"/>
    </w:pPr>
    <w:rPr>
      <w:rFonts w:ascii="Cambria" w:hAnsi="Cambria" w:eastAsia="Cambria" w:cs="Times New Roman"/>
      <w:b/>
      <w:color w:val="4F81BD"/>
    </w:rPr>
  </w:style>
  <w:style w:type="paragraph" w:styleId="5">
    <w:name w:val="heading 4"/>
    <w:basedOn w:val="1"/>
    <w:next w:val="1"/>
    <w:link w:val="50"/>
    <w:qFormat/>
    <w:uiPriority w:val="0"/>
    <w:pPr>
      <w:keepNext/>
      <w:keepLines/>
      <w:widowControl w:val="0"/>
      <w:adjustRightInd/>
      <w:snapToGrid/>
      <w:spacing w:after="0" w:line="360" w:lineRule="auto"/>
      <w:jc w:val="both"/>
      <w:outlineLvl w:val="3"/>
    </w:pPr>
    <w:rPr>
      <w:rFonts w:ascii="Arial" w:hAnsi="Arial" w:eastAsia="宋体" w:cs="Times New Roman"/>
      <w:b/>
      <w:bCs/>
      <w:kern w:val="2"/>
      <w:sz w:val="21"/>
      <w:szCs w:val="21"/>
    </w:rPr>
  </w:style>
  <w:style w:type="paragraph" w:styleId="6">
    <w:name w:val="heading 5"/>
    <w:basedOn w:val="1"/>
    <w:next w:val="1"/>
    <w:link w:val="51"/>
    <w:qFormat/>
    <w:uiPriority w:val="0"/>
    <w:pPr>
      <w:keepNext/>
      <w:keepLines/>
      <w:widowControl w:val="0"/>
      <w:adjustRightInd/>
      <w:snapToGrid/>
      <w:spacing w:before="200" w:after="0" w:line="268" w:lineRule="auto"/>
      <w:outlineLvl w:val="4"/>
    </w:pPr>
    <w:rPr>
      <w:rFonts w:ascii="Cambria" w:hAnsi="Cambria" w:eastAsia="Cambria" w:cs="Times New Roman"/>
      <w:color w:val="243F60"/>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widowControl w:val="0"/>
      <w:adjustRightInd/>
      <w:snapToGrid/>
      <w:spacing w:after="0"/>
      <w:ind w:left="420" w:leftChars="200"/>
      <w:jc w:val="both"/>
    </w:pPr>
    <w:rPr>
      <w:rFonts w:ascii="Calibri" w:hAnsi="Calibri" w:eastAsia="宋体" w:cs="Times New Roman"/>
      <w:kern w:val="2"/>
      <w:sz w:val="30"/>
      <w:szCs w:val="30"/>
    </w:rPr>
  </w:style>
  <w:style w:type="paragraph" w:styleId="8">
    <w:name w:val="annotation text"/>
    <w:basedOn w:val="1"/>
    <w:link w:val="71"/>
    <w:qFormat/>
    <w:uiPriority w:val="0"/>
    <w:pPr>
      <w:widowControl w:val="0"/>
      <w:adjustRightInd/>
      <w:snapToGrid/>
      <w:spacing w:after="0"/>
    </w:pPr>
    <w:rPr>
      <w:rFonts w:ascii="Times New Roman" w:hAnsi="Times New Roman" w:eastAsia="宋体" w:cs="Times New Roman"/>
      <w:kern w:val="2"/>
      <w:sz w:val="21"/>
      <w:szCs w:val="21"/>
    </w:rPr>
  </w:style>
  <w:style w:type="paragraph" w:styleId="9">
    <w:name w:val="Body Text"/>
    <w:basedOn w:val="1"/>
    <w:link w:val="43"/>
    <w:qFormat/>
    <w:uiPriority w:val="99"/>
    <w:pPr>
      <w:widowControl w:val="0"/>
      <w:adjustRightInd/>
      <w:snapToGrid/>
      <w:spacing w:after="120"/>
      <w:jc w:val="both"/>
    </w:pPr>
    <w:rPr>
      <w:rFonts w:ascii="Calibri" w:hAnsi="Calibri" w:eastAsia="宋体" w:cs="Times New Roman"/>
      <w:kern w:val="2"/>
      <w:sz w:val="21"/>
      <w:szCs w:val="24"/>
    </w:rPr>
  </w:style>
  <w:style w:type="paragraph" w:styleId="10">
    <w:name w:val="Body Text Indent"/>
    <w:basedOn w:val="1"/>
    <w:next w:val="11"/>
    <w:link w:val="107"/>
    <w:qFormat/>
    <w:uiPriority w:val="0"/>
    <w:pPr>
      <w:widowControl w:val="0"/>
      <w:adjustRightInd/>
      <w:snapToGrid/>
      <w:spacing w:after="120"/>
      <w:ind w:left="420" w:leftChars="200"/>
      <w:jc w:val="both"/>
    </w:pPr>
    <w:rPr>
      <w:rFonts w:ascii="Times New Roman" w:hAnsi="Times New Roman" w:eastAsia="宋体" w:cs="Times New Roman"/>
      <w:kern w:val="2"/>
      <w:sz w:val="21"/>
      <w:szCs w:val="21"/>
    </w:rPr>
  </w:style>
  <w:style w:type="paragraph" w:styleId="11">
    <w:name w:val="envelope return"/>
    <w:basedOn w:val="1"/>
    <w:unhideWhenUsed/>
    <w:qFormat/>
    <w:uiPriority w:val="99"/>
    <w:rPr>
      <w:rFonts w:ascii="等线 Light" w:hAnsi="等线 Light" w:eastAsia="等线 Light" w:cs="Times New Roman"/>
    </w:rPr>
  </w:style>
  <w:style w:type="paragraph" w:styleId="12">
    <w:name w:val="toc 3"/>
    <w:basedOn w:val="1"/>
    <w:next w:val="1"/>
    <w:qFormat/>
    <w:uiPriority w:val="39"/>
    <w:pPr>
      <w:widowControl w:val="0"/>
      <w:adjustRightInd/>
      <w:snapToGrid/>
      <w:spacing w:after="0"/>
      <w:ind w:left="840" w:leftChars="400"/>
      <w:jc w:val="both"/>
    </w:pPr>
    <w:rPr>
      <w:rFonts w:ascii="Times New Roman" w:hAnsi="Times New Roman" w:eastAsia="宋体" w:cs="Times New Roman"/>
      <w:kern w:val="2"/>
      <w:sz w:val="21"/>
      <w:szCs w:val="21"/>
    </w:rPr>
  </w:style>
  <w:style w:type="paragraph" w:styleId="13">
    <w:name w:val="Plain Text"/>
    <w:basedOn w:val="1"/>
    <w:link w:val="54"/>
    <w:qFormat/>
    <w:uiPriority w:val="99"/>
    <w:pPr>
      <w:adjustRightInd/>
      <w:snapToGrid/>
      <w:spacing w:before="100" w:beforeAutospacing="1" w:line="268" w:lineRule="auto"/>
    </w:pPr>
    <w:rPr>
      <w:rFonts w:hint="eastAsia" w:ascii="宋体" w:hAnsi="Courier New" w:eastAsia="仿宋" w:cs="Times New Roman"/>
      <w:sz w:val="20"/>
      <w:szCs w:val="20"/>
    </w:rPr>
  </w:style>
  <w:style w:type="paragraph" w:styleId="14">
    <w:name w:val="Body Text Indent 2"/>
    <w:basedOn w:val="1"/>
    <w:link w:val="72"/>
    <w:qFormat/>
    <w:uiPriority w:val="0"/>
    <w:pPr>
      <w:widowControl w:val="0"/>
      <w:adjustRightInd/>
      <w:snapToGrid/>
      <w:spacing w:after="0" w:line="500" w:lineRule="exact"/>
      <w:ind w:firstLine="420" w:firstLineChars="200"/>
      <w:jc w:val="both"/>
    </w:pPr>
    <w:rPr>
      <w:rFonts w:ascii="Calibri" w:hAnsi="Calibri" w:eastAsia="宋体" w:cs="Times New Roman"/>
      <w:sz w:val="24"/>
      <w:szCs w:val="21"/>
    </w:rPr>
  </w:style>
  <w:style w:type="paragraph" w:styleId="15">
    <w:name w:val="Balloon Text"/>
    <w:basedOn w:val="1"/>
    <w:link w:val="56"/>
    <w:qFormat/>
    <w:uiPriority w:val="0"/>
    <w:pPr>
      <w:widowControl w:val="0"/>
      <w:adjustRightInd/>
      <w:snapToGrid/>
      <w:spacing w:after="0"/>
      <w:jc w:val="both"/>
    </w:pPr>
    <w:rPr>
      <w:rFonts w:ascii="Calibri" w:hAnsi="Calibri" w:eastAsia="宋体" w:cs="Times New Roman"/>
      <w:kern w:val="2"/>
      <w:sz w:val="18"/>
      <w:szCs w:val="24"/>
    </w:rPr>
  </w:style>
  <w:style w:type="paragraph" w:styleId="16">
    <w:name w:val="footer"/>
    <w:basedOn w:val="1"/>
    <w:link w:val="46"/>
    <w:unhideWhenUsed/>
    <w:qFormat/>
    <w:uiPriority w:val="0"/>
    <w:pPr>
      <w:tabs>
        <w:tab w:val="center" w:pos="4153"/>
        <w:tab w:val="right" w:pos="8306"/>
      </w:tabs>
    </w:pPr>
    <w:rPr>
      <w:sz w:val="18"/>
      <w:szCs w:val="18"/>
    </w:rPr>
  </w:style>
  <w:style w:type="paragraph" w:styleId="17">
    <w:name w:val="header"/>
    <w:basedOn w:val="1"/>
    <w:link w:val="45"/>
    <w:unhideWhenUsed/>
    <w:qFormat/>
    <w:uiPriority w:val="99"/>
    <w:pPr>
      <w:pBdr>
        <w:bottom w:val="single" w:color="auto" w:sz="6" w:space="1"/>
      </w:pBdr>
      <w:tabs>
        <w:tab w:val="center" w:pos="4153"/>
        <w:tab w:val="right" w:pos="8306"/>
      </w:tabs>
      <w:jc w:val="center"/>
    </w:pPr>
    <w:rPr>
      <w:sz w:val="18"/>
      <w:szCs w:val="18"/>
    </w:rPr>
  </w:style>
  <w:style w:type="paragraph" w:styleId="18">
    <w:name w:val="toc 1"/>
    <w:basedOn w:val="1"/>
    <w:next w:val="1"/>
    <w:qFormat/>
    <w:uiPriority w:val="39"/>
    <w:pPr>
      <w:adjustRightInd/>
      <w:snapToGrid/>
      <w:spacing w:before="120" w:after="120" w:line="268" w:lineRule="auto"/>
    </w:pPr>
    <w:rPr>
      <w:rFonts w:ascii="Calibri" w:hAnsi="Calibri" w:eastAsia="宋体" w:cs="Times New Roman"/>
      <w:b/>
      <w:caps/>
    </w:rPr>
  </w:style>
  <w:style w:type="paragraph" w:styleId="19">
    <w:name w:val="toc 2"/>
    <w:basedOn w:val="1"/>
    <w:next w:val="1"/>
    <w:qFormat/>
    <w:uiPriority w:val="39"/>
    <w:pPr>
      <w:widowControl w:val="0"/>
      <w:adjustRightInd/>
      <w:snapToGrid/>
      <w:spacing w:after="0"/>
      <w:ind w:left="420" w:leftChars="200"/>
      <w:jc w:val="both"/>
    </w:pPr>
    <w:rPr>
      <w:rFonts w:ascii="Times New Roman" w:hAnsi="Times New Roman" w:eastAsia="宋体" w:cs="Times New Roman"/>
      <w:kern w:val="2"/>
      <w:sz w:val="21"/>
      <w:szCs w:val="21"/>
    </w:rPr>
  </w:style>
  <w:style w:type="paragraph" w:styleId="20">
    <w:name w:val="Body Text 2"/>
    <w:basedOn w:val="1"/>
    <w:next w:val="9"/>
    <w:link w:val="119"/>
    <w:qFormat/>
    <w:uiPriority w:val="99"/>
    <w:pPr>
      <w:widowControl w:val="0"/>
      <w:adjustRightInd/>
      <w:snapToGrid/>
      <w:spacing w:after="0"/>
      <w:jc w:val="both"/>
    </w:pPr>
    <w:rPr>
      <w:rFonts w:ascii="宋体" w:hAnsi="宋体" w:eastAsia="宋体" w:cs="Times New Roman"/>
      <w:b/>
      <w:sz w:val="28"/>
      <w:szCs w:val="20"/>
    </w:rPr>
  </w:style>
  <w:style w:type="paragraph" w:styleId="21">
    <w:name w:val="Message Header"/>
    <w:basedOn w:val="1"/>
    <w:next w:val="1"/>
    <w:link w:val="52"/>
    <w:unhideWhenUsed/>
    <w:qFormat/>
    <w:uiPriority w:val="99"/>
    <w:pPr>
      <w:widowControl w:val="0"/>
      <w:pBdr>
        <w:top w:val="single" w:color="auto" w:sz="6" w:space="1"/>
        <w:left w:val="single" w:color="auto" w:sz="6" w:space="1"/>
        <w:bottom w:val="single" w:color="auto" w:sz="6" w:space="1"/>
        <w:right w:val="single" w:color="auto" w:sz="6" w:space="1"/>
      </w:pBdr>
      <w:shd w:val="pct20" w:color="auto" w:fill="auto"/>
      <w:adjustRightInd/>
      <w:snapToGrid/>
      <w:spacing w:after="0"/>
      <w:ind w:left="1080" w:leftChars="500" w:hanging="1080" w:hangingChars="500"/>
      <w:jc w:val="both"/>
    </w:pPr>
    <w:rPr>
      <w:rFonts w:ascii="Cambria" w:hAnsi="Cambria" w:eastAsia="宋体" w:cs="Times New Roman"/>
      <w:kern w:val="2"/>
      <w:sz w:val="24"/>
      <w:szCs w:val="24"/>
    </w:rPr>
  </w:style>
  <w:style w:type="paragraph" w:styleId="22">
    <w:name w:val="Normal (Web)"/>
    <w:basedOn w:val="1"/>
    <w:qFormat/>
    <w:uiPriority w:val="0"/>
    <w:pPr>
      <w:adjustRightInd/>
      <w:snapToGrid/>
      <w:spacing w:before="100" w:beforeAutospacing="1" w:after="100" w:afterAutospacing="1"/>
    </w:pPr>
    <w:rPr>
      <w:rFonts w:ascii="宋体" w:hAnsi="宋体" w:eastAsia="宋体" w:cs="宋体"/>
      <w:sz w:val="24"/>
      <w:szCs w:val="24"/>
    </w:rPr>
  </w:style>
  <w:style w:type="paragraph" w:styleId="23">
    <w:name w:val="annotation subject"/>
    <w:basedOn w:val="8"/>
    <w:next w:val="8"/>
    <w:link w:val="57"/>
    <w:qFormat/>
    <w:uiPriority w:val="0"/>
    <w:rPr>
      <w:rFonts w:ascii="Calibri" w:hAnsi="Calibri"/>
      <w:b/>
      <w:bCs/>
      <w:szCs w:val="24"/>
    </w:rPr>
  </w:style>
  <w:style w:type="paragraph" w:styleId="24">
    <w:name w:val="Body Text First Indent"/>
    <w:basedOn w:val="9"/>
    <w:link w:val="58"/>
    <w:qFormat/>
    <w:uiPriority w:val="99"/>
    <w:pPr>
      <w:ind w:firstLine="420" w:firstLineChars="100"/>
    </w:pPr>
  </w:style>
  <w:style w:type="paragraph" w:styleId="25">
    <w:name w:val="Body Text First Indent 2"/>
    <w:basedOn w:val="10"/>
    <w:next w:val="1"/>
    <w:link w:val="108"/>
    <w:unhideWhenUsed/>
    <w:qFormat/>
    <w:uiPriority w:val="0"/>
    <w:pPr>
      <w:ind w:firstLine="420" w:firstLineChars="200"/>
    </w:pPr>
  </w:style>
  <w:style w:type="table" w:styleId="27">
    <w:name w:val="Table Grid"/>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22"/>
    <w:rPr>
      <w:b/>
      <w:bCs/>
    </w:rPr>
  </w:style>
  <w:style w:type="character" w:styleId="30">
    <w:name w:val="page number"/>
    <w:basedOn w:val="28"/>
    <w:qFormat/>
    <w:uiPriority w:val="0"/>
  </w:style>
  <w:style w:type="character" w:styleId="31">
    <w:name w:val="FollowedHyperlink"/>
    <w:basedOn w:val="28"/>
    <w:qFormat/>
    <w:uiPriority w:val="99"/>
    <w:rPr>
      <w:color w:val="666666"/>
      <w:u w:val="none"/>
    </w:rPr>
  </w:style>
  <w:style w:type="character" w:styleId="32">
    <w:name w:val="Emphasis"/>
    <w:basedOn w:val="28"/>
    <w:qFormat/>
    <w:uiPriority w:val="20"/>
  </w:style>
  <w:style w:type="character" w:styleId="33">
    <w:name w:val="HTML Definition"/>
    <w:basedOn w:val="28"/>
    <w:qFormat/>
    <w:uiPriority w:val="99"/>
  </w:style>
  <w:style w:type="character" w:styleId="34">
    <w:name w:val="HTML Typewriter"/>
    <w:basedOn w:val="28"/>
    <w:qFormat/>
    <w:uiPriority w:val="99"/>
    <w:rPr>
      <w:rFonts w:hint="default" w:ascii="monospace" w:hAnsi="monospace" w:eastAsia="monospace" w:cs="monospace"/>
      <w:sz w:val="20"/>
    </w:rPr>
  </w:style>
  <w:style w:type="character" w:styleId="35">
    <w:name w:val="HTML Acronym"/>
    <w:basedOn w:val="28"/>
    <w:qFormat/>
    <w:uiPriority w:val="99"/>
  </w:style>
  <w:style w:type="character" w:styleId="36">
    <w:name w:val="HTML Variable"/>
    <w:basedOn w:val="28"/>
    <w:qFormat/>
    <w:uiPriority w:val="99"/>
  </w:style>
  <w:style w:type="character" w:styleId="37">
    <w:name w:val="Hyperlink"/>
    <w:basedOn w:val="28"/>
    <w:qFormat/>
    <w:uiPriority w:val="99"/>
    <w:rPr>
      <w:color w:val="666666"/>
      <w:u w:val="none"/>
    </w:rPr>
  </w:style>
  <w:style w:type="character" w:styleId="38">
    <w:name w:val="HTML Code"/>
    <w:basedOn w:val="28"/>
    <w:qFormat/>
    <w:uiPriority w:val="99"/>
    <w:rPr>
      <w:rFonts w:ascii="monospace" w:hAnsi="monospace" w:eastAsia="monospace" w:cs="monospace"/>
      <w:sz w:val="20"/>
    </w:rPr>
  </w:style>
  <w:style w:type="character" w:styleId="39">
    <w:name w:val="annotation reference"/>
    <w:qFormat/>
    <w:uiPriority w:val="0"/>
    <w:rPr>
      <w:sz w:val="21"/>
      <w:szCs w:val="21"/>
    </w:rPr>
  </w:style>
  <w:style w:type="character" w:styleId="40">
    <w:name w:val="HTML Cite"/>
    <w:basedOn w:val="28"/>
    <w:qFormat/>
    <w:uiPriority w:val="99"/>
  </w:style>
  <w:style w:type="character" w:styleId="41">
    <w:name w:val="HTML Keyboard"/>
    <w:basedOn w:val="28"/>
    <w:qFormat/>
    <w:uiPriority w:val="99"/>
    <w:rPr>
      <w:rFonts w:hint="default" w:ascii="monospace" w:hAnsi="monospace" w:eastAsia="monospace" w:cs="monospace"/>
      <w:sz w:val="20"/>
    </w:rPr>
  </w:style>
  <w:style w:type="character" w:styleId="42">
    <w:name w:val="HTML Sample"/>
    <w:basedOn w:val="28"/>
    <w:qFormat/>
    <w:uiPriority w:val="99"/>
    <w:rPr>
      <w:rFonts w:hint="default" w:ascii="monospace" w:hAnsi="monospace" w:eastAsia="monospace" w:cs="monospace"/>
    </w:rPr>
  </w:style>
  <w:style w:type="character" w:customStyle="1" w:styleId="43">
    <w:name w:val="正文文本 Char"/>
    <w:basedOn w:val="28"/>
    <w:link w:val="9"/>
    <w:qFormat/>
    <w:uiPriority w:val="0"/>
    <w:rPr>
      <w:rFonts w:ascii="Calibri" w:hAnsi="Calibri" w:eastAsia="宋体" w:cs="Times New Roman"/>
      <w:kern w:val="2"/>
      <w:sz w:val="21"/>
      <w:szCs w:val="24"/>
    </w:rPr>
  </w:style>
  <w:style w:type="paragraph" w:customStyle="1" w:styleId="44">
    <w:name w:val="Default"/>
    <w:basedOn w:val="1"/>
    <w:qFormat/>
    <w:uiPriority w:val="0"/>
    <w:pPr>
      <w:widowControl w:val="0"/>
      <w:autoSpaceDE w:val="0"/>
      <w:autoSpaceDN w:val="0"/>
      <w:snapToGrid/>
      <w:spacing w:before="100" w:beforeAutospacing="1" w:line="268" w:lineRule="auto"/>
    </w:pPr>
    <w:rPr>
      <w:rFonts w:hint="eastAsia" w:ascii="宋体" w:hAnsi="宋体" w:eastAsia="宋体" w:cs="Times New Roman"/>
      <w:color w:val="000000"/>
      <w:sz w:val="24"/>
      <w:szCs w:val="24"/>
    </w:rPr>
  </w:style>
  <w:style w:type="character" w:customStyle="1" w:styleId="45">
    <w:name w:val="页眉 Char"/>
    <w:basedOn w:val="28"/>
    <w:link w:val="17"/>
    <w:qFormat/>
    <w:uiPriority w:val="99"/>
    <w:rPr>
      <w:rFonts w:ascii="Tahoma" w:hAnsi="Tahoma"/>
      <w:sz w:val="18"/>
      <w:szCs w:val="18"/>
    </w:rPr>
  </w:style>
  <w:style w:type="character" w:customStyle="1" w:styleId="46">
    <w:name w:val="页脚 Char"/>
    <w:basedOn w:val="28"/>
    <w:link w:val="16"/>
    <w:qFormat/>
    <w:uiPriority w:val="99"/>
    <w:rPr>
      <w:rFonts w:ascii="Tahoma" w:hAnsi="Tahoma"/>
      <w:sz w:val="18"/>
      <w:szCs w:val="18"/>
    </w:rPr>
  </w:style>
  <w:style w:type="character" w:customStyle="1" w:styleId="47">
    <w:name w:val="标题 1 Char"/>
    <w:basedOn w:val="28"/>
    <w:link w:val="2"/>
    <w:qFormat/>
    <w:uiPriority w:val="99"/>
    <w:rPr>
      <w:rFonts w:ascii="Cambria" w:hAnsi="Cambria" w:eastAsia="Cambria" w:cs="Times New Roman"/>
      <w:b/>
      <w:color w:val="365F91"/>
      <w:sz w:val="28"/>
      <w:szCs w:val="28"/>
    </w:rPr>
  </w:style>
  <w:style w:type="character" w:customStyle="1" w:styleId="48">
    <w:name w:val="标题 2 Char"/>
    <w:basedOn w:val="28"/>
    <w:link w:val="3"/>
    <w:qFormat/>
    <w:uiPriority w:val="0"/>
    <w:rPr>
      <w:rFonts w:ascii="Arial" w:hAnsi="Arial" w:eastAsia="黑体" w:cs="Times New Roman"/>
      <w:b/>
      <w:sz w:val="32"/>
      <w:szCs w:val="32"/>
    </w:rPr>
  </w:style>
  <w:style w:type="character" w:customStyle="1" w:styleId="49">
    <w:name w:val="标题 3 Char"/>
    <w:basedOn w:val="28"/>
    <w:link w:val="4"/>
    <w:qFormat/>
    <w:uiPriority w:val="0"/>
    <w:rPr>
      <w:rFonts w:ascii="Cambria" w:hAnsi="Cambria" w:eastAsia="Cambria" w:cs="Times New Roman"/>
      <w:b/>
      <w:color w:val="4F81BD"/>
    </w:rPr>
  </w:style>
  <w:style w:type="character" w:customStyle="1" w:styleId="50">
    <w:name w:val="标题 4 Char"/>
    <w:basedOn w:val="28"/>
    <w:link w:val="5"/>
    <w:qFormat/>
    <w:uiPriority w:val="99"/>
    <w:rPr>
      <w:rFonts w:ascii="Arial" w:hAnsi="Arial" w:eastAsia="宋体" w:cs="Times New Roman"/>
      <w:b/>
      <w:bCs/>
      <w:kern w:val="2"/>
      <w:sz w:val="21"/>
      <w:szCs w:val="21"/>
    </w:rPr>
  </w:style>
  <w:style w:type="character" w:customStyle="1" w:styleId="51">
    <w:name w:val="标题 5 Char"/>
    <w:basedOn w:val="28"/>
    <w:link w:val="6"/>
    <w:qFormat/>
    <w:uiPriority w:val="0"/>
    <w:rPr>
      <w:rFonts w:ascii="Cambria" w:hAnsi="Cambria" w:eastAsia="Cambria" w:cs="Times New Roman"/>
      <w:color w:val="243F60"/>
    </w:rPr>
  </w:style>
  <w:style w:type="character" w:customStyle="1" w:styleId="52">
    <w:name w:val="信息标题 Char"/>
    <w:basedOn w:val="28"/>
    <w:link w:val="21"/>
    <w:qFormat/>
    <w:uiPriority w:val="99"/>
    <w:rPr>
      <w:rFonts w:ascii="Cambria" w:hAnsi="Cambria" w:eastAsia="宋体" w:cs="Times New Roman"/>
      <w:kern w:val="2"/>
      <w:sz w:val="24"/>
      <w:szCs w:val="24"/>
      <w:shd w:val="pct20" w:color="auto" w:fill="auto"/>
    </w:rPr>
  </w:style>
  <w:style w:type="character" w:customStyle="1" w:styleId="53">
    <w:name w:val="批注文字 Char"/>
    <w:basedOn w:val="28"/>
    <w:qFormat/>
    <w:uiPriority w:val="0"/>
    <w:rPr>
      <w:rFonts w:ascii="Tahoma" w:hAnsi="Tahoma"/>
    </w:rPr>
  </w:style>
  <w:style w:type="character" w:customStyle="1" w:styleId="54">
    <w:name w:val="纯文本 Char"/>
    <w:basedOn w:val="28"/>
    <w:link w:val="13"/>
    <w:qFormat/>
    <w:uiPriority w:val="0"/>
    <w:rPr>
      <w:rFonts w:ascii="宋体" w:hAnsi="Courier New" w:eastAsia="仿宋" w:cs="Times New Roman"/>
      <w:sz w:val="20"/>
      <w:szCs w:val="20"/>
    </w:rPr>
  </w:style>
  <w:style w:type="character" w:customStyle="1" w:styleId="55">
    <w:name w:val="正文文本缩进 2 Char"/>
    <w:basedOn w:val="28"/>
    <w:qFormat/>
    <w:uiPriority w:val="99"/>
    <w:rPr>
      <w:rFonts w:ascii="Tahoma" w:hAnsi="Tahoma"/>
    </w:rPr>
  </w:style>
  <w:style w:type="character" w:customStyle="1" w:styleId="56">
    <w:name w:val="批注框文本 Char"/>
    <w:basedOn w:val="28"/>
    <w:link w:val="15"/>
    <w:qFormat/>
    <w:uiPriority w:val="0"/>
    <w:rPr>
      <w:rFonts w:ascii="Calibri" w:hAnsi="Calibri" w:eastAsia="宋体" w:cs="Times New Roman"/>
      <w:kern w:val="2"/>
      <w:sz w:val="18"/>
      <w:szCs w:val="24"/>
    </w:rPr>
  </w:style>
  <w:style w:type="character" w:customStyle="1" w:styleId="57">
    <w:name w:val="批注主题 Char"/>
    <w:basedOn w:val="53"/>
    <w:link w:val="23"/>
    <w:qFormat/>
    <w:uiPriority w:val="0"/>
    <w:rPr>
      <w:rFonts w:ascii="Calibri" w:hAnsi="Calibri" w:eastAsia="宋体" w:cs="Times New Roman"/>
      <w:b/>
      <w:bCs/>
      <w:kern w:val="2"/>
      <w:sz w:val="21"/>
      <w:szCs w:val="24"/>
    </w:rPr>
  </w:style>
  <w:style w:type="character" w:customStyle="1" w:styleId="58">
    <w:name w:val="正文首行缩进 Char"/>
    <w:basedOn w:val="43"/>
    <w:link w:val="24"/>
    <w:qFormat/>
    <w:uiPriority w:val="99"/>
    <w:rPr>
      <w:rFonts w:ascii="Calibri" w:hAnsi="Calibri" w:eastAsia="宋体" w:cs="Times New Roman"/>
      <w:kern w:val="2"/>
      <w:sz w:val="21"/>
      <w:szCs w:val="24"/>
    </w:rPr>
  </w:style>
  <w:style w:type="character" w:customStyle="1" w:styleId="59">
    <w:name w:val="15"/>
    <w:basedOn w:val="28"/>
    <w:qFormat/>
    <w:uiPriority w:val="0"/>
    <w:rPr>
      <w:rFonts w:hint="default" w:ascii="Calibri" w:hAnsi="Calibri" w:cs="Calibri"/>
      <w:color w:val="0000FF"/>
      <w:u w:val="single"/>
    </w:rPr>
  </w:style>
  <w:style w:type="paragraph" w:customStyle="1" w:styleId="60">
    <w:name w:val="正文空2格  1."/>
    <w:basedOn w:val="1"/>
    <w:qFormat/>
    <w:uiPriority w:val="0"/>
    <w:pPr>
      <w:adjustRightInd/>
      <w:snapToGrid/>
      <w:spacing w:before="100" w:beforeAutospacing="1" w:line="268" w:lineRule="auto"/>
      <w:ind w:firstLine="480" w:firstLineChars="200"/>
    </w:pPr>
    <w:rPr>
      <w:rFonts w:ascii="Calibri" w:hAnsi="Calibri" w:eastAsia="宋体" w:cs="Times New Roman"/>
    </w:rPr>
  </w:style>
  <w:style w:type="paragraph" w:customStyle="1" w:styleId="61">
    <w:name w:val="正文 1.1.1"/>
    <w:basedOn w:val="1"/>
    <w:next w:val="1"/>
    <w:qFormat/>
    <w:uiPriority w:val="0"/>
    <w:pPr>
      <w:adjustRightInd/>
      <w:snapToGrid/>
      <w:spacing w:before="100" w:beforeAutospacing="1" w:line="268" w:lineRule="auto"/>
      <w:ind w:left="710"/>
      <w:outlineLvl w:val="2"/>
    </w:pPr>
    <w:rPr>
      <w:rFonts w:ascii="Calibri" w:hAnsi="宋体" w:eastAsia="宋体" w:cs="Times New Roman"/>
      <w:color w:val="FF0000"/>
    </w:rPr>
  </w:style>
  <w:style w:type="paragraph" w:customStyle="1" w:styleId="62">
    <w:name w:val="正文空4格  1）"/>
    <w:basedOn w:val="1"/>
    <w:qFormat/>
    <w:uiPriority w:val="0"/>
    <w:pPr>
      <w:adjustRightInd/>
      <w:snapToGrid/>
      <w:spacing w:before="100" w:beforeAutospacing="1" w:line="268" w:lineRule="auto"/>
      <w:ind w:firstLine="1120" w:firstLineChars="400"/>
    </w:pPr>
    <w:rPr>
      <w:rFonts w:ascii="Calibri" w:hAnsi="Calibri" w:eastAsia="宋体" w:cs="Times New Roman"/>
    </w:rPr>
  </w:style>
  <w:style w:type="paragraph" w:customStyle="1" w:styleId="63">
    <w:name w:val="正文 1.1"/>
    <w:basedOn w:val="1"/>
    <w:next w:val="61"/>
    <w:qFormat/>
    <w:uiPriority w:val="0"/>
    <w:pPr>
      <w:adjustRightInd/>
      <w:snapToGrid/>
      <w:spacing w:before="100" w:beforeAutospacing="1" w:line="268" w:lineRule="auto"/>
      <w:ind w:left="980" w:hanging="980"/>
      <w:outlineLvl w:val="1"/>
    </w:pPr>
    <w:rPr>
      <w:rFonts w:hint="eastAsia" w:ascii="仿宋" w:hAnsi="仿宋" w:eastAsia="仿宋" w:cs="Times New Roman"/>
      <w:b/>
      <w:sz w:val="24"/>
      <w:szCs w:val="24"/>
    </w:rPr>
  </w:style>
  <w:style w:type="paragraph" w:customStyle="1" w:styleId="64">
    <w:name w:val="正文 第一章"/>
    <w:basedOn w:val="1"/>
    <w:next w:val="63"/>
    <w:qFormat/>
    <w:uiPriority w:val="0"/>
    <w:pPr>
      <w:pageBreakBefore/>
      <w:adjustRightInd/>
      <w:snapToGrid/>
      <w:spacing w:before="240" w:after="240" w:line="480" w:lineRule="auto"/>
      <w:jc w:val="center"/>
      <w:outlineLvl w:val="0"/>
    </w:pPr>
    <w:rPr>
      <w:rFonts w:hint="eastAsia" w:ascii="宋体" w:hAnsi="宋体" w:eastAsia="宋体" w:cs="Times New Roman"/>
      <w:b/>
      <w:sz w:val="32"/>
      <w:szCs w:val="32"/>
    </w:rPr>
  </w:style>
  <w:style w:type="paragraph" w:customStyle="1" w:styleId="65">
    <w:name w:val="cjk"/>
    <w:basedOn w:val="1"/>
    <w:qFormat/>
    <w:uiPriority w:val="0"/>
    <w:pPr>
      <w:adjustRightInd/>
      <w:snapToGrid/>
      <w:spacing w:before="100" w:beforeAutospacing="1" w:after="100" w:afterAutospacing="1"/>
    </w:pPr>
    <w:rPr>
      <w:rFonts w:hint="eastAsia" w:ascii="宋体" w:hAnsi="宋体" w:eastAsia="宋体" w:cs="Times New Roman"/>
      <w:sz w:val="24"/>
      <w:szCs w:val="24"/>
    </w:rPr>
  </w:style>
  <w:style w:type="paragraph" w:customStyle="1" w:styleId="66">
    <w:name w:val="msotocheading"/>
    <w:basedOn w:val="2"/>
    <w:next w:val="1"/>
    <w:qFormat/>
    <w:uiPriority w:val="0"/>
    <w:pPr>
      <w:widowControl/>
      <w:spacing w:line="276" w:lineRule="auto"/>
    </w:pPr>
    <w:rPr>
      <w:rFonts w:eastAsia="宋体"/>
    </w:rPr>
  </w:style>
  <w:style w:type="character" w:customStyle="1" w:styleId="67">
    <w:name w:val="页眉 Char2"/>
    <w:basedOn w:val="28"/>
    <w:qFormat/>
    <w:uiPriority w:val="0"/>
    <w:rPr>
      <w:rFonts w:ascii="Times New Roman" w:hAnsi="Times New Roman"/>
      <w:kern w:val="2"/>
      <w:sz w:val="18"/>
      <w:szCs w:val="18"/>
    </w:rPr>
  </w:style>
  <w:style w:type="character" w:customStyle="1" w:styleId="68">
    <w:name w:val="批注框文本 Char1"/>
    <w:basedOn w:val="28"/>
    <w:semiHidden/>
    <w:qFormat/>
    <w:uiPriority w:val="99"/>
    <w:rPr>
      <w:rFonts w:ascii="Calibri" w:hAnsi="Calibri" w:eastAsia="宋体" w:cs="Times New Roman"/>
      <w:sz w:val="18"/>
      <w:szCs w:val="18"/>
    </w:rPr>
  </w:style>
  <w:style w:type="character" w:customStyle="1" w:styleId="69">
    <w:name w:val="纯文本 Char2"/>
    <w:basedOn w:val="28"/>
    <w:semiHidden/>
    <w:qFormat/>
    <w:uiPriority w:val="99"/>
    <w:rPr>
      <w:rFonts w:ascii="宋体" w:hAnsi="Courier New" w:eastAsia="宋体" w:cs="Courier New"/>
      <w:szCs w:val="21"/>
    </w:rPr>
  </w:style>
  <w:style w:type="character" w:customStyle="1" w:styleId="70">
    <w:name w:val="10"/>
    <w:basedOn w:val="28"/>
    <w:qFormat/>
    <w:uiPriority w:val="0"/>
    <w:rPr>
      <w:rFonts w:hint="default" w:ascii="Calibri" w:hAnsi="Calibri"/>
    </w:rPr>
  </w:style>
  <w:style w:type="character" w:customStyle="1" w:styleId="71">
    <w:name w:val="批注文字 Char1"/>
    <w:basedOn w:val="28"/>
    <w:link w:val="8"/>
    <w:qFormat/>
    <w:uiPriority w:val="0"/>
    <w:rPr>
      <w:rFonts w:ascii="Times New Roman" w:hAnsi="Times New Roman" w:eastAsia="宋体" w:cs="Times New Roman"/>
      <w:kern w:val="2"/>
      <w:sz w:val="21"/>
      <w:szCs w:val="21"/>
    </w:rPr>
  </w:style>
  <w:style w:type="character" w:customStyle="1" w:styleId="72">
    <w:name w:val="正文文本缩进 2 Char1"/>
    <w:basedOn w:val="28"/>
    <w:link w:val="14"/>
    <w:qFormat/>
    <w:uiPriority w:val="99"/>
    <w:rPr>
      <w:rFonts w:ascii="Calibri" w:hAnsi="Calibri" w:eastAsia="宋体" w:cs="Times New Roman"/>
      <w:sz w:val="24"/>
      <w:szCs w:val="21"/>
    </w:rPr>
  </w:style>
  <w:style w:type="character" w:customStyle="1" w:styleId="73">
    <w:name w:val="页眉 Char1"/>
    <w:basedOn w:val="28"/>
    <w:semiHidden/>
    <w:qFormat/>
    <w:uiPriority w:val="99"/>
    <w:rPr>
      <w:rFonts w:ascii="Calibri" w:hAnsi="Calibri" w:eastAsia="宋体" w:cs="Times New Roman"/>
      <w:sz w:val="18"/>
      <w:szCs w:val="18"/>
    </w:rPr>
  </w:style>
  <w:style w:type="character" w:customStyle="1" w:styleId="74">
    <w:name w:val="16"/>
    <w:basedOn w:val="28"/>
    <w:qFormat/>
    <w:uiPriority w:val="0"/>
    <w:rPr>
      <w:rFonts w:ascii="Arial" w:hAnsi="Arial" w:eastAsia="黑体" w:cs="Times New Roman"/>
      <w:b/>
      <w:bCs/>
      <w:sz w:val="32"/>
      <w:szCs w:val="32"/>
    </w:rPr>
  </w:style>
  <w:style w:type="character" w:customStyle="1" w:styleId="75">
    <w:name w:val="纯文本 Char1"/>
    <w:basedOn w:val="28"/>
    <w:semiHidden/>
    <w:qFormat/>
    <w:uiPriority w:val="99"/>
    <w:rPr>
      <w:rFonts w:ascii="宋体" w:hAnsi="Courier New" w:eastAsia="宋体" w:cs="Courier New"/>
      <w:szCs w:val="21"/>
    </w:rPr>
  </w:style>
  <w:style w:type="character" w:customStyle="1" w:styleId="76">
    <w:name w:val="页脚 Char2"/>
    <w:basedOn w:val="28"/>
    <w:qFormat/>
    <w:uiPriority w:val="99"/>
    <w:rPr>
      <w:rFonts w:ascii="Times New Roman" w:hAnsi="Times New Roman"/>
      <w:kern w:val="2"/>
      <w:sz w:val="18"/>
      <w:szCs w:val="18"/>
    </w:rPr>
  </w:style>
  <w:style w:type="character" w:customStyle="1" w:styleId="77">
    <w:name w:val="页脚 Char1"/>
    <w:basedOn w:val="28"/>
    <w:semiHidden/>
    <w:qFormat/>
    <w:uiPriority w:val="99"/>
    <w:rPr>
      <w:rFonts w:ascii="Calibri" w:hAnsi="Calibri" w:eastAsia="宋体" w:cs="Times New Roman"/>
      <w:sz w:val="18"/>
      <w:szCs w:val="18"/>
    </w:rPr>
  </w:style>
  <w:style w:type="character" w:customStyle="1" w:styleId="78">
    <w:name w:val="批注文字 Char2"/>
    <w:basedOn w:val="28"/>
    <w:qFormat/>
    <w:uiPriority w:val="0"/>
    <w:rPr>
      <w:kern w:val="2"/>
      <w:sz w:val="21"/>
      <w:szCs w:val="24"/>
    </w:rPr>
  </w:style>
  <w:style w:type="character" w:customStyle="1" w:styleId="79">
    <w:name w:val="页眉 Char3"/>
    <w:basedOn w:val="28"/>
    <w:qFormat/>
    <w:uiPriority w:val="0"/>
    <w:rPr>
      <w:kern w:val="2"/>
      <w:sz w:val="18"/>
      <w:szCs w:val="18"/>
    </w:rPr>
  </w:style>
  <w:style w:type="character" w:customStyle="1" w:styleId="80">
    <w:name w:val="正文文本缩进 2 Char2"/>
    <w:basedOn w:val="28"/>
    <w:qFormat/>
    <w:uiPriority w:val="0"/>
    <w:rPr>
      <w:kern w:val="2"/>
      <w:sz w:val="21"/>
      <w:szCs w:val="24"/>
    </w:rPr>
  </w:style>
  <w:style w:type="paragraph" w:customStyle="1" w:styleId="81">
    <w:name w:val="TOC 标题2"/>
    <w:basedOn w:val="2"/>
    <w:next w:val="1"/>
    <w:qFormat/>
    <w:uiPriority w:val="0"/>
    <w:pPr>
      <w:widowControl/>
      <w:spacing w:before="240" w:line="259" w:lineRule="auto"/>
      <w:outlineLvl w:val="9"/>
    </w:pPr>
    <w:rPr>
      <w:rFonts w:eastAsia="宋体"/>
      <w:b w:val="0"/>
      <w:sz w:val="32"/>
      <w:szCs w:val="32"/>
    </w:rPr>
  </w:style>
  <w:style w:type="paragraph" w:customStyle="1" w:styleId="82">
    <w:name w:val="样式 标题 3 + (中文) 黑体 小四 非加粗 段前: 7.8 磅 段后: 0 磅 行距: 固定值 20 磅"/>
    <w:basedOn w:val="4"/>
    <w:qFormat/>
    <w:uiPriority w:val="0"/>
    <w:pPr>
      <w:spacing w:before="0" w:line="400" w:lineRule="exact"/>
      <w:jc w:val="both"/>
    </w:pPr>
    <w:rPr>
      <w:rFonts w:ascii="Times New Roman" w:hAnsi="Times New Roman" w:eastAsia="黑体" w:cs="宋体"/>
      <w:b w:val="0"/>
      <w:color w:val="auto"/>
      <w:kern w:val="2"/>
      <w:sz w:val="24"/>
      <w:szCs w:val="24"/>
    </w:rPr>
  </w:style>
  <w:style w:type="paragraph" w:customStyle="1" w:styleId="83">
    <w:name w:val="msonormal"/>
    <w:basedOn w:val="1"/>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84">
    <w:name w:val="WPSOffice手动目录 1"/>
    <w:basedOn w:val="1"/>
    <w:qFormat/>
    <w:uiPriority w:val="0"/>
    <w:pPr>
      <w:adjustRightInd/>
      <w:snapToGrid/>
      <w:spacing w:before="100" w:beforeAutospacing="1" w:after="100" w:afterAutospacing="1"/>
    </w:pPr>
    <w:rPr>
      <w:rFonts w:ascii="Calibri" w:hAnsi="Calibri" w:eastAsia="宋体" w:cs="Calibri"/>
      <w:sz w:val="20"/>
      <w:szCs w:val="20"/>
    </w:rPr>
  </w:style>
  <w:style w:type="paragraph" w:customStyle="1" w:styleId="85">
    <w:name w:val="TOC 标题1"/>
    <w:basedOn w:val="2"/>
    <w:next w:val="1"/>
    <w:qFormat/>
    <w:uiPriority w:val="0"/>
    <w:pPr>
      <w:widowControl/>
      <w:spacing w:before="240" w:line="259" w:lineRule="auto"/>
      <w:outlineLvl w:val="9"/>
    </w:pPr>
    <w:rPr>
      <w:rFonts w:eastAsia="宋体"/>
      <w:b w:val="0"/>
      <w:sz w:val="32"/>
      <w:szCs w:val="32"/>
    </w:rPr>
  </w:style>
  <w:style w:type="paragraph" w:customStyle="1" w:styleId="86">
    <w:name w:val="样式 标题 2 + Times New Roman 四号 非加粗 段前: 5 磅 段后: 0 磅 行距: 固定值 20..."/>
    <w:basedOn w:val="3"/>
    <w:qFormat/>
    <w:uiPriority w:val="0"/>
    <w:pPr>
      <w:spacing w:before="100" w:line="400" w:lineRule="exact"/>
      <w:jc w:val="both"/>
    </w:pPr>
    <w:rPr>
      <w:rFonts w:ascii="Times New Roman" w:hAnsi="Times New Roman" w:cs="宋体"/>
      <w:b w:val="0"/>
      <w:kern w:val="2"/>
      <w:sz w:val="28"/>
      <w:szCs w:val="28"/>
    </w:rPr>
  </w:style>
  <w:style w:type="paragraph" w:customStyle="1" w:styleId="87">
    <w:name w:val="TOC 标题3"/>
    <w:basedOn w:val="2"/>
    <w:next w:val="1"/>
    <w:semiHidden/>
    <w:unhideWhenUsed/>
    <w:qFormat/>
    <w:uiPriority w:val="39"/>
    <w:pPr>
      <w:widowControl/>
      <w:spacing w:line="276" w:lineRule="auto"/>
      <w:outlineLvl w:val="9"/>
    </w:pPr>
    <w:rPr>
      <w:rFonts w:eastAsia="宋体"/>
      <w:bCs/>
    </w:rPr>
  </w:style>
  <w:style w:type="character" w:customStyle="1" w:styleId="88">
    <w:name w:val="layui-laypage-curr"/>
    <w:basedOn w:val="28"/>
    <w:qFormat/>
    <w:uiPriority w:val="0"/>
  </w:style>
  <w:style w:type="character" w:customStyle="1" w:styleId="89">
    <w:name w:val="first-child"/>
    <w:basedOn w:val="28"/>
    <w:qFormat/>
    <w:uiPriority w:val="0"/>
  </w:style>
  <w:style w:type="character" w:customStyle="1" w:styleId="90">
    <w:name w:val="mail-contents"/>
    <w:basedOn w:val="28"/>
    <w:qFormat/>
    <w:uiPriority w:val="0"/>
  </w:style>
  <w:style w:type="character" w:customStyle="1" w:styleId="91">
    <w:name w:val="s5"/>
    <w:basedOn w:val="28"/>
    <w:qFormat/>
    <w:uiPriority w:val="0"/>
    <w:rPr>
      <w:spacing w:val="87"/>
    </w:rPr>
  </w:style>
  <w:style w:type="character" w:customStyle="1" w:styleId="92">
    <w:name w:val="hover34"/>
    <w:basedOn w:val="28"/>
    <w:qFormat/>
    <w:uiPriority w:val="0"/>
    <w:rPr>
      <w:color w:val="5FB878"/>
    </w:rPr>
  </w:style>
  <w:style w:type="character" w:customStyle="1" w:styleId="93">
    <w:name w:val="hover35"/>
    <w:basedOn w:val="28"/>
    <w:qFormat/>
    <w:uiPriority w:val="0"/>
    <w:rPr>
      <w:color w:val="5FB878"/>
    </w:rPr>
  </w:style>
  <w:style w:type="character" w:customStyle="1" w:styleId="94">
    <w:name w:val="hover36"/>
    <w:basedOn w:val="28"/>
    <w:qFormat/>
    <w:uiPriority w:val="0"/>
    <w:rPr>
      <w:color w:val="FFFFFF"/>
    </w:rPr>
  </w:style>
  <w:style w:type="character" w:customStyle="1" w:styleId="95">
    <w:name w:val="layui-this4"/>
    <w:basedOn w:val="28"/>
    <w:qFormat/>
    <w:uiPriority w:val="0"/>
    <w:rPr>
      <w:bdr w:val="single" w:color="EEEEEE" w:sz="6" w:space="0"/>
      <w:shd w:val="clear" w:color="auto" w:fill="FFFFFF"/>
    </w:rPr>
  </w:style>
  <w:style w:type="character" w:customStyle="1" w:styleId="96">
    <w:name w:val="layui-this"/>
    <w:basedOn w:val="28"/>
    <w:qFormat/>
    <w:uiPriority w:val="0"/>
    <w:rPr>
      <w:bdr w:val="single" w:color="EEEEEE" w:sz="6" w:space="0"/>
      <w:shd w:val="clear" w:color="auto" w:fill="FFFFFF"/>
    </w:rPr>
  </w:style>
  <w:style w:type="character" w:customStyle="1" w:styleId="97">
    <w:name w:val="hover33"/>
    <w:basedOn w:val="28"/>
    <w:qFormat/>
    <w:uiPriority w:val="0"/>
    <w:rPr>
      <w:color w:val="FFFFFF"/>
    </w:rPr>
  </w:style>
  <w:style w:type="character" w:customStyle="1" w:styleId="98">
    <w:name w:val="hover1"/>
    <w:basedOn w:val="28"/>
    <w:qFormat/>
    <w:uiPriority w:val="0"/>
    <w:rPr>
      <w:color w:val="2590EB"/>
    </w:rPr>
  </w:style>
  <w:style w:type="character" w:customStyle="1" w:styleId="99">
    <w:name w:val="hover2"/>
    <w:basedOn w:val="28"/>
    <w:qFormat/>
    <w:uiPriority w:val="0"/>
    <w:rPr>
      <w:color w:val="2590EB"/>
    </w:rPr>
  </w:style>
  <w:style w:type="character" w:customStyle="1" w:styleId="100">
    <w:name w:val="hover3"/>
    <w:basedOn w:val="28"/>
    <w:qFormat/>
    <w:uiPriority w:val="0"/>
  </w:style>
  <w:style w:type="character" w:customStyle="1" w:styleId="101">
    <w:name w:val="mini-outputtext1"/>
    <w:basedOn w:val="28"/>
    <w:qFormat/>
    <w:uiPriority w:val="0"/>
  </w:style>
  <w:style w:type="paragraph" w:styleId="102">
    <w:name w:val="List Paragraph"/>
    <w:basedOn w:val="1"/>
    <w:qFormat/>
    <w:uiPriority w:val="34"/>
    <w:pPr>
      <w:ind w:firstLine="420" w:firstLineChars="200"/>
    </w:pPr>
  </w:style>
  <w:style w:type="paragraph" w:customStyle="1" w:styleId="103">
    <w:name w:val="标题 #2"/>
    <w:basedOn w:val="1"/>
    <w:qFormat/>
    <w:uiPriority w:val="0"/>
    <w:pPr>
      <w:widowControl w:val="0"/>
      <w:shd w:val="clear" w:color="auto" w:fill="FFFFFF"/>
      <w:spacing w:before="130" w:after="1940"/>
      <w:jc w:val="center"/>
      <w:outlineLvl w:val="1"/>
    </w:pPr>
    <w:rPr>
      <w:rFonts w:ascii="MingLiU" w:hAnsi="MingLiU" w:eastAsia="MingLiU" w:cs="MingLiU"/>
      <w:sz w:val="40"/>
      <w:szCs w:val="40"/>
      <w:lang w:val="zh-CN" w:bidi="zh-CN"/>
    </w:rPr>
  </w:style>
  <w:style w:type="paragraph" w:customStyle="1" w:styleId="104">
    <w:name w:val="正文文本1"/>
    <w:basedOn w:val="1"/>
    <w:qFormat/>
    <w:uiPriority w:val="0"/>
    <w:pPr>
      <w:widowControl w:val="0"/>
      <w:shd w:val="clear" w:color="auto" w:fill="FFFFFF"/>
      <w:spacing w:line="439" w:lineRule="auto"/>
      <w:ind w:firstLine="400"/>
    </w:pPr>
    <w:rPr>
      <w:rFonts w:ascii="MingLiU" w:hAnsi="MingLiU" w:eastAsia="MingLiU" w:cs="MingLiU"/>
      <w:lang w:val="zh-CN" w:bidi="zh-CN"/>
    </w:rPr>
  </w:style>
  <w:style w:type="paragraph" w:customStyle="1" w:styleId="105">
    <w:name w:val="其他"/>
    <w:basedOn w:val="1"/>
    <w:link w:val="106"/>
    <w:qFormat/>
    <w:uiPriority w:val="0"/>
    <w:pPr>
      <w:widowControl w:val="0"/>
      <w:shd w:val="clear" w:color="auto" w:fill="FFFFFF"/>
      <w:spacing w:line="439" w:lineRule="auto"/>
      <w:ind w:firstLine="400"/>
    </w:pPr>
    <w:rPr>
      <w:rFonts w:ascii="MingLiU" w:hAnsi="MingLiU" w:eastAsia="MingLiU" w:cs="MingLiU"/>
      <w:lang w:val="zh-CN" w:bidi="zh-CN"/>
    </w:rPr>
  </w:style>
  <w:style w:type="character" w:customStyle="1" w:styleId="106">
    <w:name w:val="其他_"/>
    <w:basedOn w:val="28"/>
    <w:link w:val="105"/>
    <w:qFormat/>
    <w:uiPriority w:val="0"/>
    <w:rPr>
      <w:rFonts w:ascii="MingLiU" w:hAnsi="MingLiU" w:eastAsia="MingLiU" w:cs="MingLiU"/>
      <w:sz w:val="22"/>
      <w:szCs w:val="22"/>
      <w:shd w:val="clear" w:color="auto" w:fill="FFFFFF"/>
      <w:lang w:val="zh-CN" w:bidi="zh-CN"/>
    </w:rPr>
  </w:style>
  <w:style w:type="character" w:customStyle="1" w:styleId="107">
    <w:name w:val="正文文本缩进 Char"/>
    <w:basedOn w:val="28"/>
    <w:link w:val="10"/>
    <w:qFormat/>
    <w:uiPriority w:val="0"/>
    <w:rPr>
      <w:kern w:val="2"/>
      <w:sz w:val="21"/>
      <w:szCs w:val="21"/>
    </w:rPr>
  </w:style>
  <w:style w:type="character" w:customStyle="1" w:styleId="108">
    <w:name w:val="正文首行缩进 2 Char"/>
    <w:basedOn w:val="107"/>
    <w:link w:val="25"/>
    <w:qFormat/>
    <w:uiPriority w:val="0"/>
    <w:rPr>
      <w:kern w:val="2"/>
      <w:sz w:val="21"/>
      <w:szCs w:val="21"/>
    </w:rPr>
  </w:style>
  <w:style w:type="character" w:customStyle="1" w:styleId="109">
    <w:name w:val="hover14"/>
    <w:basedOn w:val="28"/>
    <w:qFormat/>
    <w:uiPriority w:val="0"/>
  </w:style>
  <w:style w:type="character" w:customStyle="1" w:styleId="110">
    <w:name w:val="hover"/>
    <w:basedOn w:val="28"/>
    <w:qFormat/>
    <w:uiPriority w:val="0"/>
  </w:style>
  <w:style w:type="character" w:customStyle="1" w:styleId="111">
    <w:name w:val="正文文本 3 Char1"/>
    <w:semiHidden/>
    <w:qFormat/>
    <w:uiPriority w:val="99"/>
    <w:rPr>
      <w:rFonts w:ascii="Times New Roman" w:hAnsi="Times New Roman" w:eastAsia="宋体" w:cs="Times New Roman"/>
      <w:sz w:val="16"/>
      <w:szCs w:val="16"/>
    </w:rPr>
  </w:style>
  <w:style w:type="table" w:customStyle="1" w:styleId="112">
    <w:name w:val="网格型1"/>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3">
    <w:name w:val="网格型2"/>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4">
    <w:name w:val="网格型3"/>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5">
    <w:name w:val="网格型4"/>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6">
    <w:name w:val="网格型5"/>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7">
    <w:name w:val="网格型6"/>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18">
    <w:name w:val="网格型7"/>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9">
    <w:name w:val="正文文本 2 Char"/>
    <w:basedOn w:val="28"/>
    <w:link w:val="20"/>
    <w:qFormat/>
    <w:uiPriority w:val="99"/>
    <w:rPr>
      <w:rFonts w:ascii="宋体" w:hAnsi="宋体"/>
      <w:b/>
      <w:sz w:val="28"/>
    </w:rPr>
  </w:style>
  <w:style w:type="table" w:customStyle="1" w:styleId="120">
    <w:name w:val="网格型8"/>
    <w:basedOn w:val="26"/>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1">
    <w:name w:val="NormalCharacter"/>
    <w:qFormat/>
    <w:uiPriority w:val="0"/>
  </w:style>
  <w:style w:type="table" w:customStyle="1" w:styleId="122">
    <w:name w:val="Table Normal"/>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paragraph" w:customStyle="1" w:styleId="123">
    <w:name w:val="正文首行缩进1"/>
    <w:basedOn w:val="9"/>
    <w:qFormat/>
    <w:uiPriority w:val="0"/>
    <w:pPr>
      <w:ind w:firstLine="420"/>
    </w:pPr>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3073"/>
    <customShpInfo spid="_x0000_s3075"/>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1CD354-FBB9-43AA-9AD5-7AFA6856026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81</Pages>
  <Words>20426</Words>
  <Characters>22608</Characters>
  <Lines>304</Lines>
  <Paragraphs>85</Paragraphs>
  <TotalTime>7</TotalTime>
  <ScaleCrop>false</ScaleCrop>
  <LinksUpToDate>false</LinksUpToDate>
  <CharactersWithSpaces>22797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asus</dc:creator>
  <cp:lastModifiedBy>棒棒糖</cp:lastModifiedBy>
  <cp:lastPrinted>2025-01-06T07:08:00Z</cp:lastPrinted>
  <dcterms:modified xsi:type="dcterms:W3CDTF">2026-08-05T08:11:06Z</dcterms:modified>
  <cp:revision>346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A39656CB13724A049BA4DAFA6E673B50</vt:lpwstr>
  </property>
  <property fmtid="{D5CDD505-2E9C-101B-9397-08002B2CF9AE}" pid="4" name="KSOTemplateDocerSaveRecord">
    <vt:lpwstr>eyJoZGlkIjoiN2Q5YzVhYjI4YjNjMDk2OGI5ZjdjYjA2MGEyZWUxOWYiLCJ1c2VySWQiOiIzOTMwMzI5NzAifQ==</vt:lpwstr>
  </property>
</Properties>
</file>