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D7D1C">
      <w:pPr>
        <w:pageBreakBefore w:val="0"/>
        <w:tabs>
          <w:tab w:val="left" w:pos="7567"/>
        </w:tabs>
        <w:wordWrap w:val="0"/>
        <w:overflowPunct/>
        <w:bidi w:val="0"/>
        <w:spacing w:line="360" w:lineRule="auto"/>
        <w:jc w:val="center"/>
        <w:rPr>
          <w:rFonts w:hint="eastAsia" w:eastAsia="宋体"/>
          <w:b/>
          <w:color w:val="auto"/>
          <w:sz w:val="22"/>
          <w:szCs w:val="44"/>
          <w:highlight w:val="none"/>
          <w:u w:val="none"/>
          <w:lang w:eastAsia="zh-CN"/>
        </w:rPr>
      </w:pPr>
      <w:r>
        <w:rPr>
          <w:rFonts w:hint="eastAsia" w:eastAsia="宋体"/>
          <w:b/>
          <w:color w:val="auto"/>
          <w:sz w:val="22"/>
          <w:szCs w:val="44"/>
          <w:highlight w:val="none"/>
          <w:u w:val="none"/>
          <w:lang w:eastAsia="zh-CN"/>
        </w:rPr>
        <w:drawing>
          <wp:inline distT="0" distB="0" distL="114300" distR="114300">
            <wp:extent cx="5748020" cy="8084185"/>
            <wp:effectExtent l="0" t="0" r="5080" b="12065"/>
            <wp:docPr id="6" name="图片 6" descr="9f581df5359890161227a2345fd559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f581df5359890161227a2345fd5590e"/>
                    <pic:cNvPicPr>
                      <a:picLocks noChangeAspect="1"/>
                    </pic:cNvPicPr>
                  </pic:nvPicPr>
                  <pic:blipFill>
                    <a:blip r:embed="rId13"/>
                    <a:stretch>
                      <a:fillRect/>
                    </a:stretch>
                  </pic:blipFill>
                  <pic:spPr>
                    <a:xfrm>
                      <a:off x="0" y="0"/>
                      <a:ext cx="5748020" cy="8084185"/>
                    </a:xfrm>
                    <a:prstGeom prst="rect">
                      <a:avLst/>
                    </a:prstGeom>
                  </pic:spPr>
                </pic:pic>
              </a:graphicData>
            </a:graphic>
          </wp:inline>
        </w:drawing>
      </w:r>
    </w:p>
    <w:p w14:paraId="7D2D633B">
      <w:pPr>
        <w:pageBreakBefore w:val="0"/>
        <w:tabs>
          <w:tab w:val="left" w:pos="7567"/>
        </w:tabs>
        <w:wordWrap w:val="0"/>
        <w:overflowPunct/>
        <w:bidi w:val="0"/>
        <w:spacing w:line="360" w:lineRule="auto"/>
        <w:jc w:val="center"/>
        <w:rPr>
          <w:rFonts w:hint="eastAsia"/>
          <w:b/>
          <w:color w:val="auto"/>
          <w:sz w:val="56"/>
          <w:szCs w:val="56"/>
          <w:highlight w:val="none"/>
          <w:u w:val="none"/>
          <w:lang w:eastAsia="zh-CN"/>
        </w:rPr>
        <w:sectPr>
          <w:headerReference r:id="rId3" w:type="default"/>
          <w:footerReference r:id="rId4" w:type="default"/>
          <w:pgSz w:w="11906" w:h="16838"/>
          <w:pgMar w:top="1417" w:right="1417" w:bottom="1417" w:left="1417" w:header="777" w:footer="641" w:gutter="0"/>
          <w:cols w:space="720" w:num="1"/>
          <w:titlePg/>
        </w:sectPr>
      </w:pPr>
    </w:p>
    <w:p w14:paraId="5D0016D2">
      <w:pPr>
        <w:pageBreakBefore w:val="0"/>
        <w:tabs>
          <w:tab w:val="left" w:pos="7567"/>
        </w:tabs>
        <w:wordWrap w:val="0"/>
        <w:overflowPunct/>
        <w:bidi w:val="0"/>
        <w:spacing w:line="360" w:lineRule="auto"/>
        <w:jc w:val="center"/>
        <w:rPr>
          <w:rFonts w:hint="eastAsia"/>
          <w:b/>
          <w:color w:val="auto"/>
          <w:sz w:val="56"/>
          <w:szCs w:val="56"/>
          <w:highlight w:val="none"/>
          <w:u w:val="none"/>
          <w:lang w:eastAsia="zh-CN"/>
        </w:rPr>
      </w:pPr>
      <w:r>
        <w:rPr>
          <w:rFonts w:hint="eastAsia"/>
          <w:b/>
          <w:color w:val="auto"/>
          <w:sz w:val="56"/>
          <w:szCs w:val="56"/>
          <w:highlight w:val="none"/>
          <w:u w:val="none"/>
          <w:lang w:eastAsia="zh-CN"/>
        </w:rPr>
        <w:t>卢氏县机关事务中心车辆维修保养及租赁定点服务项目</w:t>
      </w:r>
    </w:p>
    <w:p w14:paraId="62FEA79A">
      <w:pPr>
        <w:pageBreakBefore w:val="0"/>
        <w:tabs>
          <w:tab w:val="left" w:pos="7567"/>
        </w:tabs>
        <w:wordWrap w:val="0"/>
        <w:overflowPunct/>
        <w:bidi w:val="0"/>
        <w:spacing w:line="360" w:lineRule="auto"/>
        <w:jc w:val="center"/>
        <w:rPr>
          <w:b/>
          <w:color w:val="auto"/>
          <w:sz w:val="56"/>
          <w:szCs w:val="56"/>
          <w:highlight w:val="none"/>
          <w:u w:val="none"/>
        </w:rPr>
      </w:pPr>
      <w:r>
        <w:rPr>
          <w:rFonts w:hint="eastAsia"/>
          <w:b/>
          <w:color w:val="auto"/>
          <w:sz w:val="56"/>
          <w:szCs w:val="56"/>
          <w:highlight w:val="none"/>
          <w:u w:val="none"/>
        </w:rPr>
        <w:t>征 集 文 件</w:t>
      </w:r>
    </w:p>
    <w:p w14:paraId="7537AEFF">
      <w:pPr>
        <w:pageBreakBefore w:val="0"/>
        <w:wordWrap w:val="0"/>
        <w:overflowPunct/>
        <w:bidi w:val="0"/>
        <w:spacing w:line="360" w:lineRule="auto"/>
        <w:jc w:val="center"/>
        <w:rPr>
          <w:rFonts w:hint="eastAsia"/>
          <w:color w:val="auto"/>
          <w:sz w:val="32"/>
          <w:szCs w:val="28"/>
          <w:highlight w:val="none"/>
          <w:u w:val="none"/>
        </w:rPr>
      </w:pPr>
    </w:p>
    <w:p w14:paraId="5B4182D0">
      <w:pPr>
        <w:pageBreakBefore w:val="0"/>
        <w:wordWrap w:val="0"/>
        <w:overflowPunct/>
        <w:bidi w:val="0"/>
        <w:spacing w:line="360" w:lineRule="auto"/>
        <w:jc w:val="both"/>
        <w:rPr>
          <w:rFonts w:hint="eastAsia" w:eastAsia="宋体"/>
          <w:b/>
          <w:bCs/>
          <w:color w:val="0000FF"/>
          <w:sz w:val="32"/>
          <w:szCs w:val="28"/>
          <w:highlight w:val="none"/>
          <w:u w:val="none"/>
          <w:lang w:val="en-US" w:eastAsia="zh-CN"/>
        </w:rPr>
      </w:pPr>
      <w:r>
        <w:rPr>
          <w:rFonts w:hint="eastAsia"/>
          <w:b/>
          <w:bCs/>
          <w:color w:val="auto"/>
          <w:sz w:val="32"/>
          <w:szCs w:val="28"/>
          <w:highlight w:val="none"/>
          <w:u w:val="none"/>
        </w:rPr>
        <w:t>项目编号：</w:t>
      </w:r>
      <w:r>
        <w:rPr>
          <w:rFonts w:hint="eastAsia"/>
          <w:b/>
          <w:bCs/>
          <w:color w:val="auto"/>
          <w:sz w:val="32"/>
          <w:szCs w:val="28"/>
          <w:highlight w:val="none"/>
          <w:u w:val="none"/>
          <w:lang w:val="en-US" w:eastAsia="zh-CN"/>
        </w:rPr>
        <w:t>三卢公开采购-2026-32、LSGZ[2026]149-ZC117</w:t>
      </w:r>
    </w:p>
    <w:p w14:paraId="47A4F74C">
      <w:pPr>
        <w:pageBreakBefore w:val="0"/>
        <w:wordWrap w:val="0"/>
        <w:overflowPunct/>
        <w:bidi w:val="0"/>
        <w:spacing w:line="360" w:lineRule="auto"/>
        <w:jc w:val="both"/>
        <w:rPr>
          <w:b/>
          <w:bCs/>
          <w:color w:val="auto"/>
          <w:sz w:val="36"/>
          <w:szCs w:val="36"/>
          <w:highlight w:val="none"/>
          <w:u w:val="none"/>
        </w:rPr>
      </w:pPr>
      <w:bookmarkStart w:id="0" w:name="_Toc22953395"/>
      <w:bookmarkEnd w:id="0"/>
      <w:bookmarkStart w:id="1" w:name="_Toc22804073"/>
      <w:bookmarkEnd w:id="1"/>
    </w:p>
    <w:p w14:paraId="3258C85D">
      <w:pPr>
        <w:pageBreakBefore w:val="0"/>
        <w:wordWrap w:val="0"/>
        <w:overflowPunct/>
        <w:bidi w:val="0"/>
        <w:spacing w:line="360" w:lineRule="auto"/>
        <w:jc w:val="center"/>
        <w:rPr>
          <w:b/>
          <w:bCs/>
          <w:color w:val="auto"/>
          <w:sz w:val="36"/>
          <w:szCs w:val="36"/>
          <w:highlight w:val="none"/>
          <w:u w:val="none"/>
        </w:rPr>
      </w:pPr>
      <w:r>
        <w:rPr>
          <w:rFonts w:hint="eastAsia" w:ascii="宋体" w:hAnsi="宋体" w:eastAsia="宋体" w:cs="宋体"/>
          <w:b/>
          <w:color w:val="000000"/>
          <w:spacing w:val="60"/>
          <w:sz w:val="120"/>
          <w:szCs w:val="120"/>
          <w:highlight w:val="none"/>
          <w:lang w:eastAsia="zh-CN"/>
        </w:rPr>
        <w:drawing>
          <wp:inline distT="0" distB="0" distL="114300" distR="114300">
            <wp:extent cx="2623820" cy="2816860"/>
            <wp:effectExtent l="0" t="0" r="5080" b="2540"/>
            <wp:docPr id="5" name="图片 1" descr="中审logo单独定稿转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中审logo单独定稿转曲"/>
                    <pic:cNvPicPr>
                      <a:picLocks noChangeAspect="1"/>
                    </pic:cNvPicPr>
                  </pic:nvPicPr>
                  <pic:blipFill>
                    <a:blip r:embed="rId14"/>
                    <a:srcRect l="2214" t="908" r="1697" b="1898"/>
                    <a:stretch>
                      <a:fillRect/>
                    </a:stretch>
                  </pic:blipFill>
                  <pic:spPr>
                    <a:xfrm>
                      <a:off x="0" y="0"/>
                      <a:ext cx="2623820" cy="2816860"/>
                    </a:xfrm>
                    <a:prstGeom prst="rect">
                      <a:avLst/>
                    </a:prstGeom>
                    <a:noFill/>
                    <a:ln>
                      <a:noFill/>
                    </a:ln>
                  </pic:spPr>
                </pic:pic>
              </a:graphicData>
            </a:graphic>
          </wp:inline>
        </w:drawing>
      </w:r>
    </w:p>
    <w:p w14:paraId="64896080">
      <w:pPr>
        <w:pageBreakBefore w:val="0"/>
        <w:wordWrap w:val="0"/>
        <w:overflowPunct/>
        <w:bidi w:val="0"/>
        <w:spacing w:line="360" w:lineRule="auto"/>
        <w:jc w:val="center"/>
        <w:rPr>
          <w:b/>
          <w:bCs/>
          <w:color w:val="auto"/>
          <w:sz w:val="36"/>
          <w:szCs w:val="36"/>
          <w:highlight w:val="none"/>
          <w:u w:val="none"/>
        </w:rPr>
      </w:pPr>
    </w:p>
    <w:p w14:paraId="37CC265C">
      <w:pPr>
        <w:pageBreakBefore w:val="0"/>
        <w:wordWrap w:val="0"/>
        <w:overflowPunct/>
        <w:bidi w:val="0"/>
        <w:spacing w:line="360" w:lineRule="auto"/>
        <w:ind w:firstLine="1084" w:firstLineChars="300"/>
        <w:jc w:val="both"/>
        <w:rPr>
          <w:rFonts w:hint="eastAsia" w:eastAsia="宋体"/>
          <w:b/>
          <w:bCs/>
          <w:color w:val="auto"/>
          <w:sz w:val="36"/>
          <w:szCs w:val="36"/>
          <w:highlight w:val="none"/>
          <w:u w:val="none"/>
          <w:lang w:eastAsia="zh-CN"/>
        </w:rPr>
      </w:pPr>
      <w:r>
        <w:rPr>
          <w:rFonts w:hint="eastAsia"/>
          <w:b/>
          <w:bCs/>
          <w:color w:val="auto"/>
          <w:sz w:val="36"/>
          <w:szCs w:val="36"/>
          <w:highlight w:val="none"/>
          <w:u w:val="none"/>
        </w:rPr>
        <w:t>采   购  人：</w:t>
      </w:r>
      <w:r>
        <w:rPr>
          <w:rFonts w:hint="eastAsia"/>
          <w:b/>
          <w:bCs/>
          <w:color w:val="auto"/>
          <w:sz w:val="36"/>
          <w:szCs w:val="36"/>
          <w:highlight w:val="none"/>
          <w:u w:val="none"/>
        </w:rPr>
        <w:tab/>
      </w:r>
      <w:r>
        <w:rPr>
          <w:rFonts w:hint="eastAsia"/>
          <w:b/>
          <w:bCs/>
          <w:color w:val="auto"/>
          <w:sz w:val="36"/>
          <w:szCs w:val="36"/>
          <w:highlight w:val="none"/>
          <w:u w:val="none"/>
          <w:lang w:eastAsia="zh-CN"/>
        </w:rPr>
        <w:t>卢氏县机关事务中心</w:t>
      </w:r>
    </w:p>
    <w:p w14:paraId="204C6115">
      <w:pPr>
        <w:pageBreakBefore w:val="0"/>
        <w:wordWrap w:val="0"/>
        <w:overflowPunct/>
        <w:bidi w:val="0"/>
        <w:spacing w:line="360" w:lineRule="auto"/>
        <w:ind w:firstLine="849" w:firstLineChars="235"/>
        <w:rPr>
          <w:rFonts w:hint="eastAsia" w:eastAsia="宋体"/>
          <w:b/>
          <w:bCs/>
          <w:color w:val="auto"/>
          <w:sz w:val="36"/>
          <w:szCs w:val="36"/>
          <w:highlight w:val="none"/>
          <w:u w:val="none"/>
          <w:lang w:eastAsia="zh-CN"/>
        </w:rPr>
      </w:pPr>
      <w:r>
        <w:rPr>
          <w:rFonts w:hint="eastAsia"/>
          <w:b/>
          <w:bCs/>
          <w:color w:val="auto"/>
          <w:sz w:val="36"/>
          <w:szCs w:val="36"/>
          <w:highlight w:val="none"/>
          <w:u w:val="none"/>
        </w:rPr>
        <w:t>采购代理机构：中审润奥项目管理有限公司</w:t>
      </w:r>
    </w:p>
    <w:p w14:paraId="0898D8F3">
      <w:pPr>
        <w:pageBreakBefore w:val="0"/>
        <w:wordWrap w:val="0"/>
        <w:overflowPunct/>
        <w:bidi w:val="0"/>
        <w:spacing w:line="360" w:lineRule="auto"/>
        <w:ind w:firstLine="1200" w:firstLineChars="332"/>
        <w:rPr>
          <w:b/>
          <w:bCs/>
          <w:color w:val="0000FF"/>
          <w:sz w:val="36"/>
          <w:szCs w:val="36"/>
          <w:highlight w:val="none"/>
          <w:u w:val="none"/>
        </w:rPr>
        <w:sectPr>
          <w:footerReference r:id="rId6" w:type="first"/>
          <w:footerReference r:id="rId5" w:type="default"/>
          <w:pgSz w:w="11906" w:h="16838"/>
          <w:pgMar w:top="1417" w:right="1417" w:bottom="1417" w:left="1417" w:header="777" w:footer="641" w:gutter="0"/>
          <w:cols w:space="720" w:num="1"/>
          <w:titlePg/>
        </w:sectPr>
      </w:pPr>
      <w:r>
        <w:rPr>
          <w:rFonts w:hint="eastAsia"/>
          <w:b/>
          <w:bCs/>
          <w:color w:val="auto"/>
          <w:sz w:val="36"/>
          <w:szCs w:val="36"/>
          <w:highlight w:val="none"/>
          <w:u w:val="none"/>
        </w:rPr>
        <w:t>日       期：</w:t>
      </w:r>
      <w:r>
        <w:rPr>
          <w:rFonts w:hint="eastAsia"/>
          <w:b/>
          <w:bCs/>
          <w:color w:val="auto"/>
          <w:sz w:val="36"/>
          <w:szCs w:val="36"/>
          <w:highlight w:val="none"/>
          <w:u w:val="none"/>
        </w:rPr>
        <w:tab/>
      </w:r>
      <w:r>
        <w:rPr>
          <w:rFonts w:hint="eastAsia"/>
          <w:b/>
          <w:bCs/>
          <w:color w:val="auto"/>
          <w:sz w:val="36"/>
          <w:szCs w:val="36"/>
          <w:highlight w:val="none"/>
          <w:u w:val="none"/>
        </w:rPr>
        <w:t>二〇二</w:t>
      </w:r>
      <w:r>
        <w:rPr>
          <w:rFonts w:hint="eastAsia"/>
          <w:b/>
          <w:bCs/>
          <w:color w:val="auto"/>
          <w:sz w:val="36"/>
          <w:szCs w:val="36"/>
          <w:highlight w:val="none"/>
          <w:u w:val="none"/>
          <w:lang w:val="en-US" w:eastAsia="zh-CN"/>
        </w:rPr>
        <w:t>六</w:t>
      </w:r>
      <w:r>
        <w:rPr>
          <w:rFonts w:hint="eastAsia"/>
          <w:b/>
          <w:bCs/>
          <w:color w:val="auto"/>
          <w:sz w:val="36"/>
          <w:szCs w:val="36"/>
          <w:highlight w:val="none"/>
          <w:u w:val="none"/>
        </w:rPr>
        <w:t>年</w:t>
      </w:r>
      <w:r>
        <w:rPr>
          <w:rFonts w:hint="eastAsia"/>
          <w:b/>
          <w:bCs/>
          <w:color w:val="auto"/>
          <w:sz w:val="36"/>
          <w:szCs w:val="36"/>
          <w:highlight w:val="none"/>
          <w:u w:val="none"/>
          <w:lang w:val="en-US" w:eastAsia="zh-CN"/>
        </w:rPr>
        <w:t>七</w:t>
      </w:r>
      <w:r>
        <w:rPr>
          <w:rFonts w:hint="eastAsia"/>
          <w:b/>
          <w:bCs/>
          <w:color w:val="auto"/>
          <w:sz w:val="36"/>
          <w:szCs w:val="36"/>
          <w:highlight w:val="none"/>
          <w:u w:val="none"/>
        </w:rPr>
        <w:t>月</w:t>
      </w:r>
    </w:p>
    <w:p w14:paraId="44C0F769">
      <w:pPr>
        <w:pageBreakBefore w:val="0"/>
        <w:wordWrap w:val="0"/>
        <w:overflowPunct/>
        <w:bidi w:val="0"/>
        <w:spacing w:line="360" w:lineRule="auto"/>
        <w:jc w:val="center"/>
        <w:outlineLvl w:val="0"/>
        <w:rPr>
          <w:b/>
          <w:bCs/>
          <w:color w:val="auto"/>
          <w:sz w:val="36"/>
          <w:szCs w:val="36"/>
          <w:highlight w:val="none"/>
          <w:u w:val="none"/>
        </w:rPr>
      </w:pPr>
      <w:bookmarkStart w:id="2" w:name="_Toc15316"/>
      <w:r>
        <w:rPr>
          <w:rFonts w:hint="eastAsia"/>
          <w:b/>
          <w:bCs/>
          <w:color w:val="auto"/>
          <w:sz w:val="36"/>
          <w:szCs w:val="36"/>
          <w:highlight w:val="none"/>
          <w:u w:val="none"/>
        </w:rPr>
        <w:t>目  录</w:t>
      </w:r>
      <w:bookmarkEnd w:id="2"/>
    </w:p>
    <w:sdt>
      <w:sdtPr>
        <w:rPr>
          <w:color w:val="auto"/>
          <w:highlight w:val="none"/>
          <w:u w:val="none"/>
        </w:rPr>
        <w:id w:val="147453683"/>
        <w15:color w:val="DBDBDB"/>
        <w:docPartObj>
          <w:docPartGallery w:val="Table of Contents"/>
          <w:docPartUnique/>
        </w:docPartObj>
      </w:sdtPr>
      <w:sdtEndPr>
        <w:rPr>
          <w:color w:val="auto"/>
          <w:highlight w:val="none"/>
          <w:u w:val="none"/>
        </w:rPr>
      </w:sdtEndPr>
      <w:sdtContent>
        <w:p w14:paraId="463D478D">
          <w:pPr>
            <w:pageBreakBefore w:val="0"/>
            <w:wordWrap w:val="0"/>
            <w:overflowPunct/>
            <w:bidi w:val="0"/>
            <w:jc w:val="center"/>
            <w:rPr>
              <w:color w:val="auto"/>
              <w:highlight w:val="none"/>
              <w:u w:val="none"/>
            </w:rPr>
          </w:pPr>
        </w:p>
        <w:p w14:paraId="7BF04EE7">
          <w:pPr>
            <w:pStyle w:val="16"/>
            <w:pageBreakBefore w:val="0"/>
            <w:tabs>
              <w:tab w:val="right" w:leader="dot" w:pos="9072"/>
            </w:tabs>
            <w:wordWrap w:val="0"/>
            <w:overflowPunct/>
            <w:bidi w:val="0"/>
            <w:rPr>
              <w:rFonts w:hint="eastAsia" w:eastAsia="宋体"/>
              <w:color w:val="auto"/>
              <w:highlight w:val="none"/>
              <w:u w:val="none"/>
              <w:lang w:eastAsia="zh-CN"/>
            </w:rPr>
          </w:pPr>
          <w:r>
            <w:rPr>
              <w:color w:val="auto"/>
              <w:highlight w:val="none"/>
              <w:u w:val="none"/>
            </w:rPr>
            <w:fldChar w:fldCharType="begin"/>
          </w:r>
          <w:r>
            <w:rPr>
              <w:color w:val="auto"/>
              <w:highlight w:val="none"/>
              <w:u w:val="none"/>
            </w:rPr>
            <w:instrText xml:space="preserve">TOC \o "1-3" \h \u </w:instrText>
          </w:r>
          <w:r>
            <w:rPr>
              <w:color w:val="auto"/>
              <w:highlight w:val="none"/>
              <w:u w:val="none"/>
            </w:rPr>
            <w:fldChar w:fldCharType="separate"/>
          </w:r>
          <w:r>
            <w:rPr>
              <w:color w:val="auto"/>
              <w:highlight w:val="none"/>
              <w:u w:val="none"/>
            </w:rPr>
            <w:fldChar w:fldCharType="begin"/>
          </w:r>
          <w:r>
            <w:rPr>
              <w:color w:val="auto"/>
              <w:highlight w:val="none"/>
              <w:u w:val="none"/>
            </w:rPr>
            <w:instrText xml:space="preserve"> HYPERLINK \l "_Toc18125" </w:instrText>
          </w:r>
          <w:r>
            <w:rPr>
              <w:color w:val="auto"/>
              <w:highlight w:val="none"/>
              <w:u w:val="none"/>
            </w:rPr>
            <w:fldChar w:fldCharType="separate"/>
          </w:r>
          <w:r>
            <w:rPr>
              <w:rFonts w:hint="eastAsia"/>
              <w:color w:val="auto"/>
              <w:highlight w:val="none"/>
              <w:u w:val="none"/>
            </w:rPr>
            <w:t>第一章  征集公告</w:t>
          </w:r>
          <w:r>
            <w:rPr>
              <w:color w:val="auto"/>
              <w:highlight w:val="none"/>
              <w:u w:val="none"/>
            </w:rPr>
            <w:tab/>
          </w:r>
          <w:r>
            <w:rPr>
              <w:rFonts w:hint="eastAsia"/>
              <w:color w:val="auto"/>
              <w:highlight w:val="none"/>
              <w:u w:val="none"/>
              <w:lang w:val="en-US" w:eastAsia="zh-CN"/>
            </w:rPr>
            <w:t>1</w:t>
          </w:r>
          <w:r>
            <w:rPr>
              <w:color w:val="auto"/>
              <w:highlight w:val="none"/>
              <w:u w:val="none"/>
            </w:rPr>
            <w:fldChar w:fldCharType="end"/>
          </w:r>
        </w:p>
        <w:p w14:paraId="571E9EE1">
          <w:pPr>
            <w:pStyle w:val="16"/>
            <w:pageBreakBefore w:val="0"/>
            <w:tabs>
              <w:tab w:val="right" w:leader="dot" w:pos="9072"/>
            </w:tabs>
            <w:wordWrap w:val="0"/>
            <w:overflowPunct/>
            <w:bidi w:val="0"/>
            <w:rPr>
              <w:color w:val="auto"/>
              <w:highlight w:val="none"/>
              <w:u w:val="none"/>
            </w:rPr>
          </w:pPr>
        </w:p>
        <w:p w14:paraId="02209F71">
          <w:pPr>
            <w:pStyle w:val="16"/>
            <w:pageBreakBefore w:val="0"/>
            <w:tabs>
              <w:tab w:val="right" w:leader="dot" w:pos="9072"/>
            </w:tabs>
            <w:wordWrap w:val="0"/>
            <w:overflowPunct/>
            <w:bidi w:val="0"/>
            <w:rPr>
              <w:color w:val="auto"/>
              <w:highlight w:val="none"/>
              <w:u w:val="none"/>
            </w:rPr>
          </w:pPr>
          <w:r>
            <w:rPr>
              <w:color w:val="auto"/>
              <w:highlight w:val="none"/>
              <w:u w:val="none"/>
            </w:rPr>
            <w:fldChar w:fldCharType="begin"/>
          </w:r>
          <w:r>
            <w:rPr>
              <w:color w:val="auto"/>
              <w:highlight w:val="none"/>
              <w:u w:val="none"/>
            </w:rPr>
            <w:instrText xml:space="preserve"> HYPERLINK \l "_Toc2181" </w:instrText>
          </w:r>
          <w:r>
            <w:rPr>
              <w:color w:val="auto"/>
              <w:highlight w:val="none"/>
              <w:u w:val="none"/>
            </w:rPr>
            <w:fldChar w:fldCharType="separate"/>
          </w:r>
          <w:r>
            <w:rPr>
              <w:rFonts w:hint="eastAsia"/>
              <w:color w:val="auto"/>
              <w:highlight w:val="none"/>
              <w:u w:val="none"/>
            </w:rPr>
            <w:t>第二章 供应商须知</w:t>
          </w:r>
          <w:r>
            <w:rPr>
              <w:color w:val="auto"/>
              <w:highlight w:val="none"/>
              <w:u w:val="none"/>
            </w:rPr>
            <w:tab/>
          </w:r>
          <w:r>
            <w:rPr>
              <w:color w:val="auto"/>
              <w:highlight w:val="none"/>
              <w:u w:val="none"/>
            </w:rPr>
            <w:fldChar w:fldCharType="begin"/>
          </w:r>
          <w:r>
            <w:rPr>
              <w:color w:val="auto"/>
              <w:highlight w:val="none"/>
              <w:u w:val="none"/>
            </w:rPr>
            <w:instrText xml:space="preserve"> PAGEREF _Toc2181 \h </w:instrText>
          </w:r>
          <w:r>
            <w:rPr>
              <w:color w:val="auto"/>
              <w:highlight w:val="none"/>
              <w:u w:val="none"/>
            </w:rPr>
            <w:fldChar w:fldCharType="separate"/>
          </w:r>
          <w:r>
            <w:rPr>
              <w:color w:val="auto"/>
              <w:highlight w:val="none"/>
              <w:u w:val="none"/>
            </w:rPr>
            <w:t>7</w:t>
          </w:r>
          <w:r>
            <w:rPr>
              <w:color w:val="auto"/>
              <w:highlight w:val="none"/>
              <w:u w:val="none"/>
            </w:rPr>
            <w:fldChar w:fldCharType="end"/>
          </w:r>
          <w:r>
            <w:rPr>
              <w:color w:val="auto"/>
              <w:highlight w:val="none"/>
              <w:u w:val="none"/>
            </w:rPr>
            <w:fldChar w:fldCharType="end"/>
          </w:r>
        </w:p>
        <w:p w14:paraId="5E6632B1">
          <w:pPr>
            <w:pStyle w:val="16"/>
            <w:pageBreakBefore w:val="0"/>
            <w:tabs>
              <w:tab w:val="right" w:leader="dot" w:pos="9072"/>
            </w:tabs>
            <w:wordWrap w:val="0"/>
            <w:overflowPunct/>
            <w:bidi w:val="0"/>
            <w:rPr>
              <w:color w:val="auto"/>
              <w:highlight w:val="none"/>
              <w:u w:val="none"/>
            </w:rPr>
          </w:pPr>
        </w:p>
        <w:p w14:paraId="04D6007E">
          <w:pPr>
            <w:pStyle w:val="16"/>
            <w:pageBreakBefore w:val="0"/>
            <w:tabs>
              <w:tab w:val="right" w:leader="dot" w:pos="9072"/>
            </w:tabs>
            <w:wordWrap w:val="0"/>
            <w:overflowPunct/>
            <w:bidi w:val="0"/>
            <w:rPr>
              <w:color w:val="auto"/>
              <w:highlight w:val="none"/>
              <w:u w:val="none"/>
            </w:rPr>
          </w:pPr>
          <w:r>
            <w:rPr>
              <w:color w:val="auto"/>
              <w:highlight w:val="none"/>
              <w:u w:val="none"/>
            </w:rPr>
            <w:fldChar w:fldCharType="begin"/>
          </w:r>
          <w:r>
            <w:rPr>
              <w:color w:val="auto"/>
              <w:highlight w:val="none"/>
              <w:u w:val="none"/>
            </w:rPr>
            <w:instrText xml:space="preserve"> HYPERLINK \l "_Toc30410" </w:instrText>
          </w:r>
          <w:r>
            <w:rPr>
              <w:color w:val="auto"/>
              <w:highlight w:val="none"/>
              <w:u w:val="none"/>
            </w:rPr>
            <w:fldChar w:fldCharType="separate"/>
          </w:r>
          <w:r>
            <w:rPr>
              <w:rFonts w:hint="eastAsia"/>
              <w:color w:val="auto"/>
              <w:szCs w:val="22"/>
              <w:highlight w:val="none"/>
              <w:u w:val="none"/>
            </w:rPr>
            <w:t>第三章  评审方法</w:t>
          </w:r>
          <w:r>
            <w:rPr>
              <w:color w:val="auto"/>
              <w:highlight w:val="none"/>
              <w:u w:val="none"/>
            </w:rPr>
            <w:tab/>
          </w:r>
          <w:r>
            <w:rPr>
              <w:color w:val="auto"/>
              <w:highlight w:val="none"/>
              <w:u w:val="none"/>
            </w:rPr>
            <w:fldChar w:fldCharType="begin"/>
          </w:r>
          <w:r>
            <w:rPr>
              <w:color w:val="auto"/>
              <w:highlight w:val="none"/>
              <w:u w:val="none"/>
            </w:rPr>
            <w:instrText xml:space="preserve"> PAGEREF _Toc30410 \h </w:instrText>
          </w:r>
          <w:r>
            <w:rPr>
              <w:color w:val="auto"/>
              <w:highlight w:val="none"/>
              <w:u w:val="none"/>
            </w:rPr>
            <w:fldChar w:fldCharType="separate"/>
          </w:r>
          <w:r>
            <w:rPr>
              <w:color w:val="auto"/>
              <w:highlight w:val="none"/>
              <w:u w:val="none"/>
            </w:rPr>
            <w:t>23</w:t>
          </w:r>
          <w:r>
            <w:rPr>
              <w:color w:val="auto"/>
              <w:highlight w:val="none"/>
              <w:u w:val="none"/>
            </w:rPr>
            <w:fldChar w:fldCharType="end"/>
          </w:r>
          <w:r>
            <w:rPr>
              <w:color w:val="auto"/>
              <w:highlight w:val="none"/>
              <w:u w:val="none"/>
            </w:rPr>
            <w:fldChar w:fldCharType="end"/>
          </w:r>
        </w:p>
        <w:p w14:paraId="20748655">
          <w:pPr>
            <w:pStyle w:val="16"/>
            <w:pageBreakBefore w:val="0"/>
            <w:tabs>
              <w:tab w:val="right" w:leader="dot" w:pos="9072"/>
            </w:tabs>
            <w:wordWrap w:val="0"/>
            <w:overflowPunct/>
            <w:bidi w:val="0"/>
            <w:rPr>
              <w:color w:val="auto"/>
              <w:highlight w:val="none"/>
              <w:u w:val="none"/>
            </w:rPr>
          </w:pPr>
        </w:p>
        <w:p w14:paraId="06D62472">
          <w:pPr>
            <w:pStyle w:val="16"/>
            <w:pageBreakBefore w:val="0"/>
            <w:tabs>
              <w:tab w:val="right" w:leader="dot" w:pos="9072"/>
            </w:tabs>
            <w:wordWrap w:val="0"/>
            <w:overflowPunct/>
            <w:bidi w:val="0"/>
            <w:rPr>
              <w:color w:val="auto"/>
              <w:highlight w:val="none"/>
              <w:u w:val="none"/>
            </w:rPr>
          </w:pPr>
          <w:r>
            <w:rPr>
              <w:color w:val="auto"/>
              <w:highlight w:val="none"/>
              <w:u w:val="none"/>
            </w:rPr>
            <w:fldChar w:fldCharType="begin"/>
          </w:r>
          <w:r>
            <w:rPr>
              <w:color w:val="auto"/>
              <w:highlight w:val="none"/>
              <w:u w:val="none"/>
            </w:rPr>
            <w:instrText xml:space="preserve"> HYPERLINK \l "_Toc26441" </w:instrText>
          </w:r>
          <w:r>
            <w:rPr>
              <w:color w:val="auto"/>
              <w:highlight w:val="none"/>
              <w:u w:val="none"/>
            </w:rPr>
            <w:fldChar w:fldCharType="separate"/>
          </w:r>
          <w:r>
            <w:rPr>
              <w:rFonts w:hint="eastAsia"/>
              <w:color w:val="auto"/>
              <w:szCs w:val="22"/>
              <w:highlight w:val="none"/>
              <w:u w:val="none"/>
            </w:rPr>
            <w:t>第四章  政府采购框架协议文本</w:t>
          </w:r>
          <w:r>
            <w:rPr>
              <w:color w:val="auto"/>
              <w:highlight w:val="none"/>
              <w:u w:val="none"/>
            </w:rPr>
            <w:tab/>
          </w:r>
          <w:r>
            <w:rPr>
              <w:color w:val="auto"/>
              <w:highlight w:val="none"/>
              <w:u w:val="none"/>
            </w:rPr>
            <w:fldChar w:fldCharType="begin"/>
          </w:r>
          <w:r>
            <w:rPr>
              <w:color w:val="auto"/>
              <w:highlight w:val="none"/>
              <w:u w:val="none"/>
            </w:rPr>
            <w:instrText xml:space="preserve"> PAGEREF _Toc26441 \h </w:instrText>
          </w:r>
          <w:r>
            <w:rPr>
              <w:color w:val="auto"/>
              <w:highlight w:val="none"/>
              <w:u w:val="none"/>
            </w:rPr>
            <w:fldChar w:fldCharType="separate"/>
          </w:r>
          <w:r>
            <w:rPr>
              <w:color w:val="auto"/>
              <w:highlight w:val="none"/>
              <w:u w:val="none"/>
            </w:rPr>
            <w:t>34</w:t>
          </w:r>
          <w:r>
            <w:rPr>
              <w:color w:val="auto"/>
              <w:highlight w:val="none"/>
              <w:u w:val="none"/>
            </w:rPr>
            <w:fldChar w:fldCharType="end"/>
          </w:r>
          <w:r>
            <w:rPr>
              <w:color w:val="auto"/>
              <w:highlight w:val="none"/>
              <w:u w:val="none"/>
            </w:rPr>
            <w:fldChar w:fldCharType="end"/>
          </w:r>
        </w:p>
        <w:p w14:paraId="45F5A403">
          <w:pPr>
            <w:pStyle w:val="16"/>
            <w:pageBreakBefore w:val="0"/>
            <w:tabs>
              <w:tab w:val="right" w:leader="dot" w:pos="9072"/>
            </w:tabs>
            <w:wordWrap w:val="0"/>
            <w:overflowPunct/>
            <w:bidi w:val="0"/>
            <w:rPr>
              <w:color w:val="auto"/>
              <w:highlight w:val="none"/>
              <w:u w:val="none"/>
            </w:rPr>
          </w:pPr>
        </w:p>
        <w:p w14:paraId="0B65FE41">
          <w:pPr>
            <w:pStyle w:val="16"/>
            <w:pageBreakBefore w:val="0"/>
            <w:tabs>
              <w:tab w:val="right" w:leader="dot" w:pos="9072"/>
            </w:tabs>
            <w:wordWrap w:val="0"/>
            <w:overflowPunct/>
            <w:bidi w:val="0"/>
            <w:rPr>
              <w:color w:val="auto"/>
              <w:highlight w:val="none"/>
              <w:u w:val="none"/>
            </w:rPr>
          </w:pPr>
          <w:r>
            <w:rPr>
              <w:color w:val="auto"/>
              <w:highlight w:val="none"/>
              <w:u w:val="none"/>
            </w:rPr>
            <w:fldChar w:fldCharType="begin"/>
          </w:r>
          <w:r>
            <w:rPr>
              <w:color w:val="auto"/>
              <w:highlight w:val="none"/>
              <w:u w:val="none"/>
            </w:rPr>
            <w:instrText xml:space="preserve"> HYPERLINK \l "_Toc4278" </w:instrText>
          </w:r>
          <w:r>
            <w:rPr>
              <w:color w:val="auto"/>
              <w:highlight w:val="none"/>
              <w:u w:val="none"/>
            </w:rPr>
            <w:fldChar w:fldCharType="separate"/>
          </w:r>
          <w:r>
            <w:rPr>
              <w:rFonts w:hint="eastAsia"/>
              <w:color w:val="auto"/>
              <w:szCs w:val="22"/>
              <w:highlight w:val="none"/>
              <w:u w:val="none"/>
            </w:rPr>
            <w:t xml:space="preserve">第五章  </w:t>
          </w:r>
          <w:r>
            <w:rPr>
              <w:rFonts w:hint="eastAsia"/>
              <w:color w:val="auto"/>
              <w:szCs w:val="22"/>
              <w:highlight w:val="none"/>
              <w:u w:val="none"/>
              <w:lang w:eastAsia="zh-CN"/>
            </w:rPr>
            <w:t>服务要求</w:t>
          </w:r>
          <w:r>
            <w:rPr>
              <w:color w:val="auto"/>
              <w:highlight w:val="none"/>
              <w:u w:val="none"/>
            </w:rPr>
            <w:tab/>
          </w:r>
          <w:r>
            <w:rPr>
              <w:color w:val="auto"/>
              <w:highlight w:val="none"/>
              <w:u w:val="none"/>
            </w:rPr>
            <w:fldChar w:fldCharType="begin"/>
          </w:r>
          <w:r>
            <w:rPr>
              <w:color w:val="auto"/>
              <w:highlight w:val="none"/>
              <w:u w:val="none"/>
            </w:rPr>
            <w:instrText xml:space="preserve"> PAGEREF _Toc4278 \h </w:instrText>
          </w:r>
          <w:r>
            <w:rPr>
              <w:color w:val="auto"/>
              <w:highlight w:val="none"/>
              <w:u w:val="none"/>
            </w:rPr>
            <w:fldChar w:fldCharType="separate"/>
          </w:r>
          <w:r>
            <w:rPr>
              <w:color w:val="auto"/>
              <w:highlight w:val="none"/>
              <w:u w:val="none"/>
            </w:rPr>
            <w:t>38</w:t>
          </w:r>
          <w:r>
            <w:rPr>
              <w:color w:val="auto"/>
              <w:highlight w:val="none"/>
              <w:u w:val="none"/>
            </w:rPr>
            <w:fldChar w:fldCharType="end"/>
          </w:r>
          <w:r>
            <w:rPr>
              <w:color w:val="auto"/>
              <w:highlight w:val="none"/>
              <w:u w:val="none"/>
            </w:rPr>
            <w:fldChar w:fldCharType="end"/>
          </w:r>
        </w:p>
        <w:p w14:paraId="6EF04F7F">
          <w:pPr>
            <w:pStyle w:val="16"/>
            <w:pageBreakBefore w:val="0"/>
            <w:tabs>
              <w:tab w:val="right" w:leader="dot" w:pos="9072"/>
            </w:tabs>
            <w:wordWrap w:val="0"/>
            <w:overflowPunct/>
            <w:bidi w:val="0"/>
            <w:rPr>
              <w:color w:val="auto"/>
              <w:highlight w:val="none"/>
              <w:u w:val="none"/>
            </w:rPr>
          </w:pPr>
        </w:p>
        <w:p w14:paraId="7322CEE1">
          <w:pPr>
            <w:pStyle w:val="16"/>
            <w:pageBreakBefore w:val="0"/>
            <w:tabs>
              <w:tab w:val="right" w:leader="dot" w:pos="9072"/>
            </w:tabs>
            <w:wordWrap w:val="0"/>
            <w:overflowPunct/>
            <w:bidi w:val="0"/>
            <w:rPr>
              <w:color w:val="auto"/>
              <w:highlight w:val="none"/>
              <w:u w:val="none"/>
            </w:rPr>
          </w:pPr>
          <w:r>
            <w:rPr>
              <w:color w:val="auto"/>
              <w:highlight w:val="none"/>
              <w:u w:val="none"/>
            </w:rPr>
            <w:fldChar w:fldCharType="begin"/>
          </w:r>
          <w:r>
            <w:rPr>
              <w:color w:val="auto"/>
              <w:highlight w:val="none"/>
              <w:u w:val="none"/>
            </w:rPr>
            <w:instrText xml:space="preserve"> HYPERLINK \l "_Toc20769" </w:instrText>
          </w:r>
          <w:r>
            <w:rPr>
              <w:color w:val="auto"/>
              <w:highlight w:val="none"/>
              <w:u w:val="none"/>
            </w:rPr>
            <w:fldChar w:fldCharType="separate"/>
          </w:r>
          <w:r>
            <w:rPr>
              <w:rFonts w:hint="eastAsia"/>
              <w:color w:val="auto"/>
              <w:szCs w:val="32"/>
              <w:highlight w:val="none"/>
              <w:u w:val="none"/>
            </w:rPr>
            <w:t>第六章  响应文件格式</w:t>
          </w:r>
          <w:r>
            <w:rPr>
              <w:color w:val="auto"/>
              <w:highlight w:val="none"/>
              <w:u w:val="none"/>
            </w:rPr>
            <w:tab/>
          </w:r>
          <w:r>
            <w:rPr>
              <w:color w:val="auto"/>
              <w:highlight w:val="none"/>
              <w:u w:val="none"/>
            </w:rPr>
            <w:fldChar w:fldCharType="begin"/>
          </w:r>
          <w:r>
            <w:rPr>
              <w:color w:val="auto"/>
              <w:highlight w:val="none"/>
              <w:u w:val="none"/>
            </w:rPr>
            <w:instrText xml:space="preserve"> PAGEREF _Toc20769 \h </w:instrText>
          </w:r>
          <w:r>
            <w:rPr>
              <w:color w:val="auto"/>
              <w:highlight w:val="none"/>
              <w:u w:val="none"/>
            </w:rPr>
            <w:fldChar w:fldCharType="separate"/>
          </w:r>
          <w:r>
            <w:rPr>
              <w:color w:val="auto"/>
              <w:highlight w:val="none"/>
              <w:u w:val="none"/>
            </w:rPr>
            <w:t>41</w:t>
          </w:r>
          <w:r>
            <w:rPr>
              <w:color w:val="auto"/>
              <w:highlight w:val="none"/>
              <w:u w:val="none"/>
            </w:rPr>
            <w:fldChar w:fldCharType="end"/>
          </w:r>
          <w:r>
            <w:rPr>
              <w:color w:val="auto"/>
              <w:highlight w:val="none"/>
              <w:u w:val="none"/>
            </w:rPr>
            <w:fldChar w:fldCharType="end"/>
          </w:r>
        </w:p>
        <w:p w14:paraId="258C59E1">
          <w:pPr>
            <w:pStyle w:val="18"/>
            <w:pageBreakBefore w:val="0"/>
            <w:tabs>
              <w:tab w:val="right" w:leader="dot" w:pos="9072"/>
            </w:tabs>
            <w:wordWrap w:val="0"/>
            <w:overflowPunct/>
            <w:bidi w:val="0"/>
            <w:rPr>
              <w:color w:val="auto"/>
              <w:highlight w:val="none"/>
              <w:u w:val="none"/>
            </w:rPr>
          </w:pPr>
        </w:p>
        <w:p w14:paraId="3FD0FB17">
          <w:pPr>
            <w:pageBreakBefore w:val="0"/>
            <w:wordWrap w:val="0"/>
            <w:overflowPunct/>
            <w:bidi w:val="0"/>
            <w:rPr>
              <w:color w:val="auto"/>
              <w:highlight w:val="none"/>
              <w:u w:val="none"/>
            </w:rPr>
          </w:pPr>
          <w:r>
            <w:rPr>
              <w:color w:val="auto"/>
              <w:highlight w:val="none"/>
              <w:u w:val="none"/>
            </w:rPr>
            <w:fldChar w:fldCharType="end"/>
          </w:r>
        </w:p>
      </w:sdtContent>
    </w:sdt>
    <w:p w14:paraId="18968672">
      <w:pPr>
        <w:pageBreakBefore w:val="0"/>
        <w:numPr>
          <w:ilvl w:val="0"/>
          <w:numId w:val="0"/>
        </w:numPr>
        <w:wordWrap w:val="0"/>
        <w:overflowPunct/>
        <w:bidi w:val="0"/>
        <w:spacing w:line="360" w:lineRule="auto"/>
        <w:jc w:val="center"/>
        <w:outlineLvl w:val="0"/>
        <w:rPr>
          <w:rFonts w:hint="eastAsia" w:ascii="宋体" w:hAnsi="宋体" w:eastAsia="宋体" w:cs="宋体"/>
          <w:b/>
          <w:bCs/>
          <w:color w:val="auto"/>
          <w:sz w:val="32"/>
          <w:szCs w:val="40"/>
          <w:highlight w:val="none"/>
          <w:u w:val="none"/>
          <w:lang w:eastAsia="zh-CN"/>
        </w:rPr>
        <w:sectPr>
          <w:headerReference r:id="rId7" w:type="default"/>
          <w:footerReference r:id="rId8" w:type="default"/>
          <w:pgSz w:w="11906" w:h="16838"/>
          <w:pgMar w:top="1417" w:right="1417" w:bottom="1417" w:left="1417" w:header="777" w:footer="641" w:gutter="0"/>
          <w:cols w:space="720" w:num="1"/>
        </w:sectPr>
      </w:pPr>
    </w:p>
    <w:p w14:paraId="482CE550">
      <w:pPr>
        <w:pageBreakBefore w:val="0"/>
        <w:numPr>
          <w:ilvl w:val="0"/>
          <w:numId w:val="0"/>
        </w:numPr>
        <w:wordWrap w:val="0"/>
        <w:overflowPunct/>
        <w:bidi w:val="0"/>
        <w:spacing w:line="360" w:lineRule="auto"/>
        <w:jc w:val="center"/>
        <w:outlineLvl w:val="0"/>
        <w:rPr>
          <w:rFonts w:hint="default" w:ascii="宋体" w:hAnsi="宋体" w:eastAsia="宋体" w:cs="宋体"/>
          <w:b/>
          <w:bCs/>
          <w:color w:val="auto"/>
          <w:sz w:val="32"/>
          <w:szCs w:val="40"/>
          <w:highlight w:val="none"/>
          <w:u w:val="none"/>
          <w:lang w:val="en-US" w:eastAsia="zh-CN"/>
        </w:rPr>
      </w:pPr>
      <w:r>
        <w:rPr>
          <w:rFonts w:hint="eastAsia" w:ascii="宋体" w:hAnsi="宋体" w:eastAsia="宋体" w:cs="宋体"/>
          <w:b/>
          <w:bCs/>
          <w:color w:val="auto"/>
          <w:sz w:val="32"/>
          <w:szCs w:val="40"/>
          <w:highlight w:val="none"/>
          <w:u w:val="none"/>
          <w:lang w:eastAsia="zh-CN"/>
        </w:rPr>
        <w:t>第一章</w:t>
      </w:r>
      <w:r>
        <w:rPr>
          <w:rFonts w:hint="eastAsia" w:ascii="宋体" w:hAnsi="宋体" w:eastAsia="宋体" w:cs="宋体"/>
          <w:b/>
          <w:bCs/>
          <w:color w:val="auto"/>
          <w:sz w:val="32"/>
          <w:szCs w:val="40"/>
          <w:highlight w:val="none"/>
          <w:u w:val="none"/>
          <w:lang w:val="en-US" w:eastAsia="zh-CN"/>
        </w:rPr>
        <w:t xml:space="preserve">  征集公告</w:t>
      </w:r>
    </w:p>
    <w:p w14:paraId="11C1AA2C">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中审润奥项目管理有限公司受卢氏县机关事务中心的委托，就卢氏县机关事务中心车辆维修保养及租赁定点服务项目进行公开招标（</w:t>
      </w:r>
      <w:r>
        <w:rPr>
          <w:rFonts w:hint="eastAsia" w:ascii="宋体" w:hAnsi="宋体" w:cs="Times New Roman"/>
          <w:bCs/>
          <w:color w:val="auto"/>
          <w:sz w:val="24"/>
          <w:szCs w:val="24"/>
          <w:highlight w:val="none"/>
          <w:u w:val="none"/>
          <w:lang w:val="en-US" w:eastAsia="zh-CN"/>
        </w:rPr>
        <w:t>封闭式</w:t>
      </w:r>
      <w:r>
        <w:rPr>
          <w:rFonts w:hint="eastAsia" w:ascii="宋体" w:hAnsi="宋体" w:eastAsia="宋体" w:cs="Times New Roman"/>
          <w:bCs/>
          <w:color w:val="auto"/>
          <w:sz w:val="24"/>
          <w:szCs w:val="24"/>
          <w:highlight w:val="none"/>
          <w:u w:val="none"/>
          <w:lang w:val="en-US" w:eastAsia="zh-CN"/>
        </w:rPr>
        <w:t>框架协议采购），现欢迎符合资格条件的供应商参加投标。</w:t>
      </w:r>
    </w:p>
    <w:p w14:paraId="11EF94D7">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cs="Times New Roman"/>
          <w:bCs/>
          <w:color w:val="auto"/>
          <w:sz w:val="24"/>
          <w:szCs w:val="24"/>
          <w:highlight w:val="none"/>
          <w:u w:val="none"/>
          <w:lang w:val="en-US" w:eastAsia="zh-CN"/>
        </w:rPr>
        <w:t>一、</w:t>
      </w:r>
      <w:r>
        <w:rPr>
          <w:rFonts w:hint="eastAsia" w:ascii="宋体" w:hAnsi="宋体" w:eastAsia="宋体" w:cs="Times New Roman"/>
          <w:bCs/>
          <w:color w:val="auto"/>
          <w:sz w:val="24"/>
          <w:szCs w:val="24"/>
          <w:highlight w:val="none"/>
          <w:u w:val="none"/>
          <w:lang w:val="en-US" w:eastAsia="zh-CN"/>
        </w:rPr>
        <w:t>项目概况与</w:t>
      </w:r>
      <w:r>
        <w:rPr>
          <w:rFonts w:hint="eastAsia" w:ascii="宋体" w:hAnsi="宋体" w:cs="Times New Roman"/>
          <w:bCs/>
          <w:color w:val="auto"/>
          <w:sz w:val="24"/>
          <w:szCs w:val="24"/>
          <w:highlight w:val="none"/>
          <w:u w:val="none"/>
          <w:lang w:val="en-US" w:eastAsia="zh-CN"/>
        </w:rPr>
        <w:t>服务</w:t>
      </w:r>
      <w:r>
        <w:rPr>
          <w:rFonts w:hint="eastAsia" w:ascii="宋体" w:hAnsi="宋体" w:eastAsia="宋体" w:cs="Times New Roman"/>
          <w:bCs/>
          <w:color w:val="auto"/>
          <w:sz w:val="24"/>
          <w:szCs w:val="24"/>
          <w:highlight w:val="none"/>
          <w:u w:val="none"/>
          <w:lang w:val="en-US" w:eastAsia="zh-CN"/>
        </w:rPr>
        <w:t>范围</w:t>
      </w:r>
    </w:p>
    <w:p w14:paraId="69CA2162">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1、征集人：卢氏县机关事务中心</w:t>
      </w:r>
    </w:p>
    <w:p w14:paraId="28756D28">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2、项目名称：</w:t>
      </w:r>
      <w:r>
        <w:rPr>
          <w:rFonts w:hint="eastAsia" w:cs="Times New Roman"/>
          <w:bCs/>
          <w:color w:val="auto"/>
          <w:sz w:val="24"/>
          <w:szCs w:val="24"/>
          <w:highlight w:val="none"/>
          <w:u w:val="none"/>
          <w:lang w:val="en-US" w:eastAsia="zh-CN"/>
        </w:rPr>
        <w:t>卢氏县机关事务中心车辆维修保养及租赁定点服务项目</w:t>
      </w:r>
    </w:p>
    <w:p w14:paraId="6986FDAA">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3、项目编号：三卢公开采购-2026-32、LSGZ[2026]149-ZC117</w:t>
      </w:r>
    </w:p>
    <w:p w14:paraId="754CE374">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4、采购方式：公开招标（封闭式框架协议采购）</w:t>
      </w:r>
    </w:p>
    <w:p w14:paraId="67FE1772">
      <w:pPr>
        <w:pageBreakBefore w:val="0"/>
        <w:wordWrap w:val="0"/>
        <w:overflowPunct/>
        <w:bidi w:val="0"/>
        <w:spacing w:line="360" w:lineRule="auto"/>
        <w:ind w:firstLine="480" w:firstLineChars="200"/>
        <w:rPr>
          <w:rFonts w:hint="default"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5、采购金额：本项目预估</w:t>
      </w:r>
      <w:r>
        <w:rPr>
          <w:rFonts w:hint="eastAsia" w:cs="Times New Roman"/>
          <w:bCs/>
          <w:color w:val="auto"/>
          <w:sz w:val="24"/>
          <w:szCs w:val="24"/>
          <w:highlight w:val="none"/>
          <w:u w:val="none"/>
          <w:lang w:val="en-US" w:eastAsia="zh-CN"/>
        </w:rPr>
        <w:t>84</w:t>
      </w:r>
      <w:r>
        <w:rPr>
          <w:rFonts w:hint="eastAsia" w:ascii="宋体" w:hAnsi="宋体" w:eastAsia="宋体" w:cs="Times New Roman"/>
          <w:bCs/>
          <w:color w:val="auto"/>
          <w:sz w:val="24"/>
          <w:szCs w:val="24"/>
          <w:highlight w:val="none"/>
          <w:u w:val="none"/>
          <w:lang w:val="en-US" w:eastAsia="zh-CN"/>
        </w:rPr>
        <w:t>万元</w:t>
      </w:r>
      <w:r>
        <w:rPr>
          <w:rFonts w:hint="eastAsia" w:cs="Times New Roman"/>
          <w:bCs/>
          <w:color w:val="auto"/>
          <w:sz w:val="24"/>
          <w:szCs w:val="24"/>
          <w:highlight w:val="none"/>
          <w:u w:val="none"/>
          <w:lang w:val="en-US" w:eastAsia="zh-CN"/>
        </w:rPr>
        <w:t>/年</w:t>
      </w:r>
      <w:r>
        <w:rPr>
          <w:rFonts w:hint="eastAsia" w:ascii="宋体" w:hAnsi="宋体" w:eastAsia="宋体" w:cs="Times New Roman"/>
          <w:bCs/>
          <w:color w:val="auto"/>
          <w:sz w:val="24"/>
          <w:szCs w:val="24"/>
          <w:highlight w:val="none"/>
          <w:u w:val="none"/>
          <w:lang w:val="en-US" w:eastAsia="zh-CN"/>
        </w:rPr>
        <w:t>（一标段：</w:t>
      </w:r>
      <w:r>
        <w:rPr>
          <w:rFonts w:hint="eastAsia" w:cs="Times New Roman"/>
          <w:bCs/>
          <w:color w:val="auto"/>
          <w:sz w:val="24"/>
          <w:szCs w:val="24"/>
          <w:highlight w:val="none"/>
          <w:u w:val="none"/>
          <w:lang w:val="en-US" w:eastAsia="zh-CN"/>
        </w:rPr>
        <w:t>64</w:t>
      </w:r>
      <w:r>
        <w:rPr>
          <w:rFonts w:hint="eastAsia" w:ascii="宋体" w:hAnsi="宋体" w:eastAsia="宋体" w:cs="Times New Roman"/>
          <w:bCs/>
          <w:color w:val="auto"/>
          <w:sz w:val="24"/>
          <w:szCs w:val="24"/>
          <w:highlight w:val="none"/>
          <w:u w:val="none"/>
          <w:lang w:val="en-US" w:eastAsia="zh-CN"/>
        </w:rPr>
        <w:t>万元</w:t>
      </w:r>
      <w:r>
        <w:rPr>
          <w:rFonts w:hint="eastAsia" w:cs="Times New Roman"/>
          <w:bCs/>
          <w:color w:val="auto"/>
          <w:sz w:val="24"/>
          <w:szCs w:val="24"/>
          <w:highlight w:val="none"/>
          <w:u w:val="none"/>
          <w:lang w:val="en-US" w:eastAsia="zh-CN"/>
        </w:rPr>
        <w:t>/年</w:t>
      </w:r>
      <w:r>
        <w:rPr>
          <w:rFonts w:hint="eastAsia" w:ascii="宋体" w:hAnsi="宋体" w:eastAsia="宋体" w:cs="Times New Roman"/>
          <w:bCs/>
          <w:color w:val="auto"/>
          <w:sz w:val="24"/>
          <w:szCs w:val="24"/>
          <w:highlight w:val="none"/>
          <w:u w:val="none"/>
          <w:lang w:val="en-US" w:eastAsia="zh-CN"/>
        </w:rPr>
        <w:t>；二标段：</w:t>
      </w:r>
      <w:r>
        <w:rPr>
          <w:rFonts w:hint="eastAsia" w:cs="Times New Roman"/>
          <w:bCs/>
          <w:color w:val="auto"/>
          <w:sz w:val="24"/>
          <w:szCs w:val="24"/>
          <w:highlight w:val="none"/>
          <w:u w:val="none"/>
          <w:lang w:val="en-US" w:eastAsia="zh-CN"/>
        </w:rPr>
        <w:t>20</w:t>
      </w:r>
      <w:r>
        <w:rPr>
          <w:rFonts w:hint="eastAsia" w:ascii="宋体" w:hAnsi="宋体" w:eastAsia="宋体" w:cs="Times New Roman"/>
          <w:bCs/>
          <w:color w:val="auto"/>
          <w:sz w:val="24"/>
          <w:szCs w:val="24"/>
          <w:highlight w:val="none"/>
          <w:u w:val="none"/>
          <w:lang w:val="en-US" w:eastAsia="zh-CN"/>
        </w:rPr>
        <w:t>万元</w:t>
      </w:r>
      <w:r>
        <w:rPr>
          <w:rFonts w:hint="eastAsia" w:cs="Times New Roman"/>
          <w:bCs/>
          <w:color w:val="auto"/>
          <w:sz w:val="24"/>
          <w:szCs w:val="24"/>
          <w:highlight w:val="none"/>
          <w:u w:val="none"/>
          <w:lang w:val="en-US" w:eastAsia="zh-CN"/>
        </w:rPr>
        <w:t>/年</w:t>
      </w:r>
      <w:r>
        <w:rPr>
          <w:rFonts w:hint="eastAsia" w:ascii="宋体" w:hAnsi="宋体" w:eastAsia="宋体" w:cs="Times New Roman"/>
          <w:bCs/>
          <w:color w:val="auto"/>
          <w:sz w:val="24"/>
          <w:szCs w:val="24"/>
          <w:highlight w:val="none"/>
          <w:u w:val="none"/>
          <w:lang w:val="en-US" w:eastAsia="zh-CN"/>
        </w:rPr>
        <w:t>，具体以实际服务产生为准，据实结算。</w:t>
      </w:r>
      <w:r>
        <w:rPr>
          <w:rFonts w:hint="eastAsia" w:cs="Times New Roman"/>
          <w:bCs/>
          <w:color w:val="auto"/>
          <w:sz w:val="24"/>
          <w:szCs w:val="24"/>
          <w:highlight w:val="none"/>
          <w:u w:val="none"/>
          <w:lang w:val="en-US" w:eastAsia="zh-CN"/>
        </w:rPr>
        <w:t>)</w:t>
      </w:r>
    </w:p>
    <w:p w14:paraId="0A93EB5E">
      <w:pPr>
        <w:pageBreakBefore w:val="0"/>
        <w:wordWrap w:val="0"/>
        <w:overflowPunct/>
        <w:bidi w:val="0"/>
        <w:spacing w:line="360" w:lineRule="auto"/>
        <w:ind w:firstLine="480" w:firstLineChars="200"/>
        <w:rPr>
          <w:rFonts w:hint="default"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6、本项目最高</w:t>
      </w:r>
      <w:r>
        <w:rPr>
          <w:rFonts w:hint="eastAsia" w:cs="Times New Roman"/>
          <w:bCs/>
          <w:color w:val="auto"/>
          <w:sz w:val="24"/>
          <w:szCs w:val="24"/>
          <w:highlight w:val="none"/>
          <w:u w:val="none"/>
          <w:lang w:val="en-US" w:eastAsia="zh-CN"/>
        </w:rPr>
        <w:t>投标</w:t>
      </w:r>
      <w:r>
        <w:rPr>
          <w:rFonts w:hint="eastAsia" w:ascii="宋体" w:hAnsi="宋体" w:eastAsia="宋体" w:cs="Times New Roman"/>
          <w:bCs/>
          <w:color w:val="auto"/>
          <w:sz w:val="24"/>
          <w:szCs w:val="24"/>
          <w:highlight w:val="none"/>
          <w:u w:val="none"/>
          <w:lang w:val="en-US" w:eastAsia="zh-CN"/>
        </w:rPr>
        <w:t>限价及招标控制：本项目采用优惠率报价，每个标段优惠率</w:t>
      </w:r>
      <w:r>
        <w:rPr>
          <w:rFonts w:hint="eastAsia" w:cs="Times New Roman"/>
          <w:bCs/>
          <w:color w:val="auto"/>
          <w:sz w:val="24"/>
          <w:szCs w:val="24"/>
          <w:highlight w:val="none"/>
          <w:u w:val="none"/>
          <w:lang w:val="en-US" w:eastAsia="zh-CN"/>
        </w:rPr>
        <w:t>均</w:t>
      </w:r>
      <w:r>
        <w:rPr>
          <w:rFonts w:hint="eastAsia" w:ascii="宋体" w:hAnsi="宋体" w:eastAsia="宋体" w:cs="Times New Roman"/>
          <w:bCs/>
          <w:color w:val="auto"/>
          <w:sz w:val="24"/>
          <w:szCs w:val="24"/>
          <w:highlight w:val="none"/>
          <w:u w:val="none"/>
          <w:lang w:val="en-US" w:eastAsia="zh-CN"/>
        </w:rPr>
        <w:t>不得低于</w:t>
      </w:r>
      <w:r>
        <w:rPr>
          <w:rFonts w:hint="eastAsia" w:cs="Times New Roman"/>
          <w:bCs/>
          <w:color w:val="auto"/>
          <w:sz w:val="24"/>
          <w:szCs w:val="24"/>
          <w:highlight w:val="none"/>
          <w:u w:val="none"/>
          <w:lang w:val="en-US" w:eastAsia="zh-CN"/>
        </w:rPr>
        <w:t>3</w:t>
      </w:r>
      <w:r>
        <w:rPr>
          <w:rFonts w:hint="eastAsia" w:ascii="宋体" w:hAnsi="宋体" w:eastAsia="宋体" w:cs="Times New Roman"/>
          <w:bCs/>
          <w:color w:val="auto"/>
          <w:sz w:val="24"/>
          <w:szCs w:val="24"/>
          <w:highlight w:val="none"/>
          <w:u w:val="none"/>
          <w:lang w:val="en-US" w:eastAsia="zh-CN"/>
        </w:rPr>
        <w:t>%。</w:t>
      </w:r>
    </w:p>
    <w:p w14:paraId="0096C8E0">
      <w:pPr>
        <w:pageBreakBefore w:val="0"/>
        <w:wordWrap w:val="0"/>
        <w:overflowPunct/>
        <w:bidi w:val="0"/>
        <w:spacing w:line="360" w:lineRule="auto"/>
        <w:ind w:firstLine="480" w:firstLineChars="200"/>
        <w:rPr>
          <w:rFonts w:hint="eastAsia"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7、服务内容：一标段：车辆维修保养服务项目；二标段：补充平台车辆租赁服务项目</w:t>
      </w:r>
      <w:r>
        <w:rPr>
          <w:rFonts w:hint="eastAsia" w:cs="Times New Roman"/>
          <w:bCs/>
          <w:color w:val="auto"/>
          <w:sz w:val="24"/>
          <w:szCs w:val="24"/>
          <w:highlight w:val="none"/>
          <w:u w:val="none"/>
          <w:lang w:val="en-US" w:eastAsia="zh-CN"/>
        </w:rPr>
        <w:t>；（具体服务内容详见第五章 服务要求）</w:t>
      </w:r>
    </w:p>
    <w:p w14:paraId="0AD08F7E">
      <w:pPr>
        <w:pageBreakBefore w:val="0"/>
        <w:wordWrap w:val="0"/>
        <w:overflowPunct/>
        <w:bidi w:val="0"/>
        <w:spacing w:line="360" w:lineRule="auto"/>
        <w:ind w:firstLine="480" w:firstLineChars="200"/>
        <w:rPr>
          <w:rFonts w:hint="eastAsia" w:cs="Times New Roman"/>
          <w:bCs/>
          <w:color w:val="auto"/>
          <w:sz w:val="24"/>
          <w:szCs w:val="24"/>
          <w:highlight w:val="none"/>
          <w:u w:val="none"/>
          <w:lang w:val="en-US" w:eastAsia="zh-CN"/>
        </w:rPr>
      </w:pPr>
      <w:r>
        <w:rPr>
          <w:rFonts w:hint="eastAsia" w:cs="Times New Roman"/>
          <w:bCs/>
          <w:color w:val="auto"/>
          <w:sz w:val="24"/>
          <w:szCs w:val="24"/>
          <w:highlight w:val="none"/>
          <w:u w:val="none"/>
          <w:lang w:val="en-US" w:eastAsia="zh-CN"/>
        </w:rPr>
        <w:t>本次征集活动为第一阶段入围供应商，</w:t>
      </w:r>
      <w:r>
        <w:rPr>
          <w:rFonts w:hint="eastAsia" w:ascii="宋体" w:hAnsi="宋体" w:eastAsia="宋体" w:cs="Times New Roman"/>
          <w:bCs/>
          <w:color w:val="auto"/>
          <w:sz w:val="24"/>
          <w:szCs w:val="24"/>
          <w:highlight w:val="none"/>
          <w:u w:val="none"/>
          <w:lang w:val="en-US" w:eastAsia="zh-CN"/>
        </w:rPr>
        <w:t>一标段：车辆维修保养服务项目</w:t>
      </w:r>
      <w:r>
        <w:rPr>
          <w:rFonts w:hint="eastAsia" w:cs="Times New Roman"/>
          <w:bCs/>
          <w:color w:val="auto"/>
          <w:sz w:val="24"/>
          <w:szCs w:val="24"/>
          <w:highlight w:val="none"/>
          <w:u w:val="none"/>
          <w:lang w:val="en-US" w:eastAsia="zh-CN"/>
        </w:rPr>
        <w:t>入围3家供应商，提交响应文件和符合资格条件、实质性要求的供应商均不得少于4家，淘汰比例不低于20%，且淘汰不少于1家供应商，最终依据评分由高到低，；</w:t>
      </w:r>
      <w:r>
        <w:rPr>
          <w:rFonts w:hint="eastAsia" w:ascii="宋体" w:hAnsi="宋体" w:eastAsia="宋体" w:cs="Times New Roman"/>
          <w:bCs/>
          <w:color w:val="auto"/>
          <w:sz w:val="24"/>
          <w:szCs w:val="24"/>
          <w:highlight w:val="none"/>
          <w:u w:val="none"/>
          <w:lang w:val="en-US" w:eastAsia="zh-CN"/>
        </w:rPr>
        <w:t>二标段：补充平台车辆租赁服务项目</w:t>
      </w:r>
      <w:r>
        <w:rPr>
          <w:rFonts w:hint="eastAsia" w:cs="Times New Roman"/>
          <w:bCs/>
          <w:color w:val="auto"/>
          <w:sz w:val="24"/>
          <w:szCs w:val="24"/>
          <w:highlight w:val="none"/>
          <w:u w:val="none"/>
          <w:lang w:val="en-US" w:eastAsia="zh-CN"/>
        </w:rPr>
        <w:t>入围4家供应商，提交响应文件和符合资格条件、实质性要求的供应商均不得少于5家，淘汰比例不低于20%，且淘汰不少于1家供应商，最终依据评分由高到低</w:t>
      </w:r>
      <w:r>
        <w:rPr>
          <w:rFonts w:hint="eastAsia" w:ascii="宋体" w:hAnsi="宋体" w:eastAsia="宋体" w:cs="Times New Roman"/>
          <w:bCs/>
          <w:color w:val="auto"/>
          <w:sz w:val="24"/>
          <w:szCs w:val="24"/>
          <w:highlight w:val="none"/>
          <w:u w:val="none"/>
          <w:lang w:val="en-US" w:eastAsia="zh-CN"/>
        </w:rPr>
        <w:t>；</w:t>
      </w:r>
    </w:p>
    <w:p w14:paraId="21D21C76">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8、标段划分：本项目共划分</w:t>
      </w:r>
      <w:r>
        <w:rPr>
          <w:rFonts w:hint="eastAsia" w:cs="Times New Roman"/>
          <w:bCs/>
          <w:color w:val="auto"/>
          <w:sz w:val="24"/>
          <w:szCs w:val="24"/>
          <w:highlight w:val="none"/>
          <w:u w:val="none"/>
          <w:lang w:val="en-US" w:eastAsia="zh-CN"/>
        </w:rPr>
        <w:t>二</w:t>
      </w:r>
      <w:r>
        <w:rPr>
          <w:rFonts w:hint="eastAsia" w:ascii="宋体" w:hAnsi="宋体" w:eastAsia="宋体" w:cs="Times New Roman"/>
          <w:bCs/>
          <w:color w:val="auto"/>
          <w:sz w:val="24"/>
          <w:szCs w:val="24"/>
          <w:highlight w:val="none"/>
          <w:u w:val="none"/>
          <w:lang w:val="en-US" w:eastAsia="zh-CN"/>
        </w:rPr>
        <w:t>个标段；</w:t>
      </w:r>
    </w:p>
    <w:p w14:paraId="2584BAD0">
      <w:pPr>
        <w:pageBreakBefore w:val="0"/>
        <w:wordWrap w:val="0"/>
        <w:overflowPunct/>
        <w:bidi w:val="0"/>
        <w:spacing w:line="360" w:lineRule="auto"/>
        <w:ind w:firstLine="480" w:firstLineChars="200"/>
        <w:rPr>
          <w:rFonts w:hint="default"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一标段：车辆维修保养服务项目；</w:t>
      </w:r>
    </w:p>
    <w:p w14:paraId="214270EF">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二标段：补充平台车辆租赁服务项目，以实际需求为准；</w:t>
      </w:r>
    </w:p>
    <w:p w14:paraId="6BB4D4D7">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9、资金来源：财政资金，已落实</w:t>
      </w:r>
    </w:p>
    <w:p w14:paraId="2EF8CDFE">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10、适用框架协议的服务对象范围：卢氏县机关事务中心</w:t>
      </w:r>
    </w:p>
    <w:p w14:paraId="306DB66C">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11、服务期（框架协议期限）：自框架协议签订之日起</w:t>
      </w:r>
      <w:r>
        <w:rPr>
          <w:rFonts w:hint="eastAsia" w:cs="Times New Roman"/>
          <w:bCs/>
          <w:color w:val="auto"/>
          <w:sz w:val="24"/>
          <w:szCs w:val="24"/>
          <w:highlight w:val="none"/>
          <w:u w:val="none"/>
          <w:lang w:val="en-US" w:eastAsia="zh-CN"/>
        </w:rPr>
        <w:t>2</w:t>
      </w:r>
      <w:r>
        <w:rPr>
          <w:rFonts w:hint="eastAsia" w:ascii="宋体" w:hAnsi="宋体" w:eastAsia="宋体" w:cs="Times New Roman"/>
          <w:bCs/>
          <w:color w:val="auto"/>
          <w:sz w:val="24"/>
          <w:szCs w:val="24"/>
          <w:highlight w:val="none"/>
          <w:u w:val="none"/>
          <w:lang w:val="en-US" w:eastAsia="zh-CN"/>
        </w:rPr>
        <w:t>年</w:t>
      </w:r>
    </w:p>
    <w:p w14:paraId="56AB14E7">
      <w:pPr>
        <w:pageBreakBefore w:val="0"/>
        <w:wordWrap w:val="0"/>
        <w:overflowPunct/>
        <w:bidi w:val="0"/>
        <w:spacing w:line="360" w:lineRule="auto"/>
        <w:ind w:firstLine="480" w:firstLineChars="200"/>
        <w:rPr>
          <w:rFonts w:hint="eastAsia" w:ascii="宋体" w:hAnsi="宋体" w:eastAsia="宋体" w:cs="Times New Roman"/>
          <w:bCs/>
          <w:color w:val="auto"/>
          <w:sz w:val="24"/>
          <w:szCs w:val="24"/>
          <w:highlight w:val="none"/>
          <w:u w:val="none"/>
          <w:lang w:val="en-US" w:eastAsia="zh-CN"/>
        </w:rPr>
      </w:pPr>
      <w:r>
        <w:rPr>
          <w:rFonts w:hint="eastAsia" w:ascii="宋体" w:hAnsi="宋体" w:eastAsia="宋体" w:cs="Times New Roman"/>
          <w:bCs/>
          <w:color w:val="auto"/>
          <w:sz w:val="24"/>
          <w:szCs w:val="24"/>
          <w:highlight w:val="none"/>
          <w:u w:val="none"/>
          <w:lang w:val="en-US" w:eastAsia="zh-CN"/>
        </w:rPr>
        <w:t>12、合同履行期限：同框架协议期限</w:t>
      </w:r>
    </w:p>
    <w:p w14:paraId="485B05AE">
      <w:pPr>
        <w:pageBreakBefore w:val="0"/>
        <w:wordWrap w:val="0"/>
        <w:overflowPunct/>
        <w:bidi w:val="0"/>
        <w:spacing w:line="360" w:lineRule="auto"/>
        <w:ind w:firstLine="480" w:firstLineChars="200"/>
        <w:rPr>
          <w:rFonts w:hint="eastAsia" w:ascii="宋体" w:hAnsi="宋体"/>
          <w:bCs/>
          <w:color w:val="auto"/>
          <w:sz w:val="24"/>
          <w:szCs w:val="24"/>
          <w:highlight w:val="none"/>
          <w:u w:val="none"/>
          <w:lang w:val="en-US" w:eastAsia="zh-CN"/>
        </w:rPr>
      </w:pPr>
      <w:r>
        <w:rPr>
          <w:rFonts w:hint="eastAsia" w:ascii="宋体" w:hAnsi="宋体"/>
          <w:bCs/>
          <w:color w:val="auto"/>
          <w:sz w:val="24"/>
          <w:szCs w:val="24"/>
          <w:highlight w:val="none"/>
          <w:u w:val="none"/>
          <w:lang w:val="en-US" w:eastAsia="zh-CN"/>
        </w:rPr>
        <w:t>13、质量要求：满足国家、行业相关规范要求</w:t>
      </w:r>
    </w:p>
    <w:p w14:paraId="6850AF9B">
      <w:pPr>
        <w:pageBreakBefore w:val="0"/>
        <w:wordWrap w:val="0"/>
        <w:overflowPunct/>
        <w:bidi w:val="0"/>
        <w:spacing w:line="360" w:lineRule="auto"/>
        <w:ind w:firstLine="480" w:firstLineChars="200"/>
        <w:rPr>
          <w:rFonts w:hint="eastAsia" w:ascii="宋体" w:hAnsi="宋体"/>
          <w:bCs/>
          <w:color w:val="auto"/>
          <w:sz w:val="24"/>
          <w:szCs w:val="24"/>
          <w:highlight w:val="none"/>
          <w:u w:val="none"/>
          <w:lang w:val="en-US" w:eastAsia="zh-CN"/>
        </w:rPr>
      </w:pPr>
      <w:r>
        <w:rPr>
          <w:rFonts w:hint="eastAsia" w:ascii="宋体" w:hAnsi="宋体"/>
          <w:bCs/>
          <w:color w:val="auto"/>
          <w:sz w:val="24"/>
          <w:szCs w:val="24"/>
          <w:highlight w:val="none"/>
          <w:u w:val="none"/>
          <w:lang w:val="en-US" w:eastAsia="zh-CN"/>
        </w:rPr>
        <w:t>14、售后服务要求：按国家（行业）标准执行</w:t>
      </w:r>
    </w:p>
    <w:p w14:paraId="5CB324C0">
      <w:pPr>
        <w:pageBreakBefore w:val="0"/>
        <w:wordWrap w:val="0"/>
        <w:overflowPunct/>
        <w:bidi w:val="0"/>
        <w:spacing w:line="360" w:lineRule="auto"/>
        <w:ind w:firstLine="480" w:firstLineChars="200"/>
        <w:rPr>
          <w:rFonts w:hint="eastAsia" w:ascii="宋体" w:hAnsi="宋体"/>
          <w:bCs/>
          <w:color w:val="auto"/>
          <w:sz w:val="24"/>
          <w:szCs w:val="24"/>
          <w:highlight w:val="none"/>
          <w:u w:val="none"/>
          <w:lang w:val="en-US" w:eastAsia="zh-CN"/>
        </w:rPr>
      </w:pPr>
      <w:r>
        <w:rPr>
          <w:rFonts w:hint="eastAsia" w:ascii="宋体" w:hAnsi="宋体"/>
          <w:bCs/>
          <w:color w:val="auto"/>
          <w:sz w:val="24"/>
          <w:szCs w:val="24"/>
          <w:highlight w:val="none"/>
          <w:u w:val="none"/>
          <w:lang w:val="en-US" w:eastAsia="zh-CN"/>
        </w:rPr>
        <w:t>15、是否接受进口产品：否</w:t>
      </w:r>
    </w:p>
    <w:p w14:paraId="3D8BD51F">
      <w:pPr>
        <w:pageBreakBefore w:val="0"/>
        <w:wordWrap w:val="0"/>
        <w:overflowPunct/>
        <w:bidi w:val="0"/>
        <w:spacing w:line="360" w:lineRule="auto"/>
        <w:ind w:firstLine="480" w:firstLineChars="200"/>
        <w:rPr>
          <w:rFonts w:hint="eastAsia" w:ascii="宋体" w:hAnsi="宋体"/>
          <w:bCs/>
          <w:color w:val="auto"/>
          <w:sz w:val="24"/>
          <w:szCs w:val="24"/>
          <w:highlight w:val="none"/>
          <w:u w:val="none"/>
          <w:lang w:val="en-US" w:eastAsia="zh-CN"/>
        </w:rPr>
      </w:pPr>
      <w:r>
        <w:rPr>
          <w:rFonts w:hint="eastAsia" w:ascii="宋体" w:hAnsi="宋体"/>
          <w:bCs/>
          <w:color w:val="auto"/>
          <w:sz w:val="24"/>
          <w:szCs w:val="24"/>
          <w:highlight w:val="none"/>
          <w:u w:val="none"/>
          <w:lang w:val="en-US" w:eastAsia="zh-CN"/>
        </w:rPr>
        <w:t>二、申请人资格要求</w:t>
      </w:r>
    </w:p>
    <w:p w14:paraId="3B79702B">
      <w:pPr>
        <w:pageBreakBefore w:val="0"/>
        <w:wordWrap w:val="0"/>
        <w:overflowPunct/>
        <w:bidi w:val="0"/>
        <w:spacing w:line="360" w:lineRule="auto"/>
        <w:ind w:firstLine="480" w:firstLineChars="200"/>
        <w:rPr>
          <w:rFonts w:hint="eastAsia" w:ascii="宋体" w:hAnsi="宋体"/>
          <w:bCs/>
          <w:color w:val="auto"/>
          <w:sz w:val="24"/>
          <w:szCs w:val="24"/>
          <w:highlight w:val="none"/>
          <w:u w:val="none"/>
          <w:lang w:val="en-US" w:eastAsia="zh-CN"/>
        </w:rPr>
      </w:pPr>
      <w:r>
        <w:rPr>
          <w:rFonts w:hint="eastAsia" w:ascii="宋体" w:hAnsi="宋体"/>
          <w:bCs/>
          <w:color w:val="auto"/>
          <w:sz w:val="24"/>
          <w:szCs w:val="24"/>
          <w:highlight w:val="none"/>
          <w:u w:val="none"/>
          <w:lang w:val="en-US" w:eastAsia="zh-CN"/>
        </w:rPr>
        <w:t>（一）满足《中华人民共和国政府采购法》第二十二条规定；</w:t>
      </w:r>
    </w:p>
    <w:p w14:paraId="3232E705">
      <w:pPr>
        <w:pageBreakBefore w:val="0"/>
        <w:wordWrap w:val="0"/>
        <w:overflowPunct/>
        <w:bidi w:val="0"/>
        <w:spacing w:line="360" w:lineRule="auto"/>
        <w:ind w:firstLine="480" w:firstLineChars="200"/>
        <w:rPr>
          <w:rFonts w:hint="eastAsia" w:ascii="宋体" w:hAnsi="宋体"/>
          <w:bCs/>
          <w:color w:val="auto"/>
          <w:sz w:val="24"/>
          <w:szCs w:val="24"/>
          <w:highlight w:val="none"/>
          <w:u w:val="none"/>
          <w:lang w:val="en-US" w:eastAsia="zh-CN"/>
        </w:rPr>
      </w:pPr>
      <w:r>
        <w:rPr>
          <w:rFonts w:hint="eastAsia" w:ascii="宋体" w:hAnsi="宋体"/>
          <w:bCs/>
          <w:color w:val="auto"/>
          <w:sz w:val="24"/>
          <w:szCs w:val="24"/>
          <w:highlight w:val="none"/>
          <w:u w:val="none"/>
          <w:lang w:val="en-US" w:eastAsia="zh-CN"/>
        </w:rPr>
        <w:t>（二）落实政府采购政策满足的资格要求：本项目面向中小企业，供应商须提供《中小企业声明函》，大型企业及未提供中小企业声明函的企业不享受中小企业扶持政策，其响应文件将作无效响应处理。监狱企业及残疾人福利性单位视同小型、微型企业；</w:t>
      </w:r>
    </w:p>
    <w:p w14:paraId="5C757EAA">
      <w:pPr>
        <w:pageBreakBefore w:val="0"/>
        <w:wordWrap w:val="0"/>
        <w:overflowPunct/>
        <w:bidi w:val="0"/>
        <w:spacing w:line="360" w:lineRule="auto"/>
        <w:ind w:firstLine="482" w:firstLineChars="200"/>
        <w:rPr>
          <w:rFonts w:hint="eastAsia" w:ascii="宋体" w:hAnsi="宋体"/>
          <w:b/>
          <w:bCs w:val="0"/>
          <w:color w:val="auto"/>
          <w:sz w:val="24"/>
          <w:szCs w:val="24"/>
          <w:highlight w:val="none"/>
          <w:u w:val="none"/>
          <w:lang w:val="en-US" w:eastAsia="zh-CN"/>
        </w:rPr>
      </w:pPr>
      <w:r>
        <w:rPr>
          <w:rFonts w:hint="eastAsia" w:ascii="宋体" w:hAnsi="宋体"/>
          <w:b/>
          <w:bCs w:val="0"/>
          <w:color w:val="auto"/>
          <w:sz w:val="24"/>
          <w:szCs w:val="24"/>
          <w:highlight w:val="none"/>
          <w:u w:val="none"/>
          <w:lang w:val="en-US" w:eastAsia="zh-CN"/>
        </w:rPr>
        <w:t>一标段：</w:t>
      </w:r>
    </w:p>
    <w:p w14:paraId="562FC3C9">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1、供应商须具有独立承担民事责任的能力，需提供有效的营业执照或其他证明材料；</w:t>
      </w:r>
    </w:p>
    <w:p w14:paraId="21D318AD">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2、</w:t>
      </w:r>
      <w:r>
        <w:rPr>
          <w:rFonts w:ascii="宋体" w:hAnsi="宋体" w:eastAsia="宋体" w:cs="宋体"/>
          <w:sz w:val="24"/>
          <w:szCs w:val="24"/>
        </w:rPr>
        <w:t>供应商须具备三类及以上汽车维修经营备案，提供经交通运输主管部门盖章确认的《机动车维修经营备案表》或官方有效电子备案凭证复印件（加盖投标人公章）</w:t>
      </w:r>
      <w:r>
        <w:rPr>
          <w:rFonts w:hint="eastAsia" w:ascii="宋体" w:hAnsi="宋体" w:eastAsia="宋体" w:cs="Times New Roman"/>
          <w:color w:val="auto"/>
          <w:sz w:val="24"/>
          <w:szCs w:val="24"/>
          <w:highlight w:val="none"/>
          <w:u w:val="none"/>
          <w:lang w:val="en-US" w:eastAsia="zh-CN"/>
        </w:rPr>
        <w:t>；</w:t>
      </w:r>
    </w:p>
    <w:p w14:paraId="20D9C13F">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3、单位负责人为同一人或者存在直接控股、管理关系的不同投标人，不得参加同一合同项下的政府采购活动；</w:t>
      </w:r>
    </w:p>
    <w:p w14:paraId="79A85614">
      <w:pPr>
        <w:pageBreakBefore w:val="0"/>
        <w:wordWrap w:val="0"/>
        <w:overflowPunct/>
        <w:bidi w:val="0"/>
        <w:spacing w:line="360" w:lineRule="auto"/>
        <w:ind w:firstLine="480" w:firstLineChars="200"/>
        <w:rPr>
          <w:rFonts w:hint="eastAsia"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4、具有履行合同所必需的与从事该项目活动相匹配的相关专业管理人员、专业技术人员、资金、设备和专业技术能力等条件</w:t>
      </w:r>
      <w:r>
        <w:rPr>
          <w:rFonts w:hint="eastAsia" w:cs="Times New Roman"/>
          <w:color w:val="auto"/>
          <w:sz w:val="24"/>
          <w:szCs w:val="24"/>
          <w:highlight w:val="none"/>
          <w:u w:val="none"/>
          <w:lang w:val="en-US" w:eastAsia="zh-CN"/>
        </w:rPr>
        <w:t>；</w:t>
      </w:r>
    </w:p>
    <w:p w14:paraId="48672365">
      <w:pPr>
        <w:pageBreakBefore w:val="0"/>
        <w:wordWrap w:val="0"/>
        <w:overflowPunct/>
        <w:bidi w:val="0"/>
        <w:spacing w:line="360" w:lineRule="auto"/>
        <w:ind w:firstLine="480" w:firstLineChars="200"/>
        <w:rPr>
          <w:rFonts w:hint="default"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5、具有良好的商业信誉和健全的财务会计制度，提供202</w:t>
      </w:r>
      <w:r>
        <w:rPr>
          <w:rFonts w:hint="eastAsia" w:cs="Times New Roman"/>
          <w:color w:val="auto"/>
          <w:sz w:val="24"/>
          <w:szCs w:val="24"/>
          <w:highlight w:val="none"/>
          <w:u w:val="none"/>
          <w:lang w:val="en-US" w:eastAsia="zh-CN"/>
        </w:rPr>
        <w:t>5</w:t>
      </w:r>
      <w:r>
        <w:rPr>
          <w:rFonts w:hint="eastAsia" w:ascii="宋体" w:hAnsi="宋体" w:eastAsia="宋体" w:cs="Times New Roman"/>
          <w:color w:val="auto"/>
          <w:sz w:val="24"/>
          <w:szCs w:val="24"/>
          <w:highlight w:val="none"/>
          <w:u w:val="none"/>
          <w:lang w:val="en-US" w:eastAsia="zh-CN"/>
        </w:rPr>
        <w:t>年度财务审计报告或财务报表；</w:t>
      </w:r>
    </w:p>
    <w:p w14:paraId="0649A053">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6、提供企业近半年任意连续三个月依法缴纳税收的证明资料（新成立的企业从成立之日起计算）；依法免税的投标响应人，应提供相应文件证明其依法免税；</w:t>
      </w:r>
    </w:p>
    <w:p w14:paraId="7E9EB8AB">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7、项目负责人为本单位正式员工（提供劳动合同）且已参加社会保险，提供近半年任意连续三个月参加社会养老保险的缴费证明（新成立企业从成立之日起计算）；</w:t>
      </w:r>
    </w:p>
    <w:p w14:paraId="6B21CF93">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8、参加政府采购活动前3年内无行贿犯罪记录、商业贿赂、不正当竞争行为、骗取中标、严重违约等问题；供应商出具无行贿犯罪记录在中国裁判文书网自行查询或自行承诺（查询对象：企业、法定代表人）；</w:t>
      </w:r>
    </w:p>
    <w:p w14:paraId="1A2D0533">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9、提供企业注册地工商管理部门出具的无商业贿赂和不正当竞争行为的查询证明（若当地工商管理部门不办理此项业务，供应商须自行出具本企业无商业贿赂和不正当竞争行为承诺书）；</w:t>
      </w:r>
    </w:p>
    <w:p w14:paraId="467A9E84">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10、据《关于在政府采购活动中查询及使用信用记录有关问题的通知》(财库[2016]125号)和豫财购【2016】15号的规定，企业没有被列入“信用中国”网站的“失信被执行人”、“重大税收违法失信主体”、“政府采购严重违法失信行为记录名单”及“中国政府采购网”网站的“政府采购严重违法失信行为信息记录”的响应人；（查询渠道：“信用中国”网站（www.creditchina.gov.cn）、中国政府采购网（www.ccgp.gov.cn）；提供网站的查询信息截图；(注：査询时间必须是征集公告发布以后开标时间以前并提供网站查询网页截图，查询结果清晰可见)；</w:t>
      </w:r>
    </w:p>
    <w:p w14:paraId="21589290">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eastAsia="zh-CN"/>
        </w:rPr>
      </w:pPr>
      <w:r>
        <w:rPr>
          <w:rFonts w:hint="eastAsia" w:ascii="宋体" w:hAnsi="宋体" w:eastAsia="宋体" w:cs="Times New Roman"/>
          <w:color w:val="auto"/>
          <w:sz w:val="24"/>
          <w:szCs w:val="24"/>
          <w:highlight w:val="none"/>
          <w:u w:val="none"/>
          <w:lang w:val="en-US" w:eastAsia="zh-CN"/>
        </w:rPr>
        <w:t>11</w:t>
      </w:r>
      <w:r>
        <w:rPr>
          <w:rFonts w:hint="eastAsia" w:ascii="宋体" w:hAnsi="宋体" w:eastAsia="宋体" w:cs="Times New Roman"/>
          <w:color w:val="auto"/>
          <w:sz w:val="24"/>
          <w:szCs w:val="24"/>
          <w:highlight w:val="none"/>
          <w:u w:val="none"/>
          <w:lang w:eastAsia="zh-CN"/>
        </w:rPr>
        <w:t>、本项目不接受联合体参加投标；</w:t>
      </w:r>
    </w:p>
    <w:p w14:paraId="5D747FB8">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eastAsia="zh-CN"/>
        </w:rPr>
      </w:pPr>
      <w:r>
        <w:rPr>
          <w:rFonts w:hint="eastAsia" w:ascii="宋体" w:hAnsi="宋体" w:eastAsia="宋体" w:cs="Times New Roman"/>
          <w:color w:val="auto"/>
          <w:sz w:val="24"/>
          <w:szCs w:val="24"/>
          <w:highlight w:val="none"/>
          <w:u w:val="none"/>
          <w:lang w:val="en-US" w:eastAsia="zh-CN"/>
        </w:rPr>
        <w:t>12、</w:t>
      </w:r>
      <w:r>
        <w:rPr>
          <w:rFonts w:hint="eastAsia" w:ascii="宋体" w:hAnsi="宋体" w:eastAsia="宋体" w:cs="Times New Roman"/>
          <w:color w:val="auto"/>
          <w:sz w:val="24"/>
          <w:szCs w:val="24"/>
          <w:highlight w:val="none"/>
          <w:u w:val="none"/>
        </w:rPr>
        <w:t>本项目实行资格后审</w:t>
      </w:r>
      <w:r>
        <w:rPr>
          <w:rFonts w:hint="eastAsia" w:ascii="宋体" w:hAnsi="宋体" w:eastAsia="宋体" w:cs="Times New Roman"/>
          <w:color w:val="auto"/>
          <w:sz w:val="24"/>
          <w:szCs w:val="24"/>
          <w:highlight w:val="none"/>
          <w:u w:val="none"/>
          <w:lang w:eastAsia="zh-CN"/>
        </w:rPr>
        <w:t>；</w:t>
      </w:r>
    </w:p>
    <w:p w14:paraId="12FB88E0">
      <w:pPr>
        <w:pageBreakBefore w:val="0"/>
        <w:wordWrap w:val="0"/>
        <w:overflowPunct/>
        <w:bidi w:val="0"/>
        <w:spacing w:line="360" w:lineRule="auto"/>
        <w:ind w:firstLine="482" w:firstLineChars="200"/>
        <w:rPr>
          <w:rFonts w:hint="eastAsia" w:ascii="宋体" w:hAnsi="宋体"/>
          <w:b/>
          <w:bCs w:val="0"/>
          <w:color w:val="auto"/>
          <w:sz w:val="24"/>
          <w:szCs w:val="24"/>
          <w:highlight w:val="none"/>
          <w:u w:val="none"/>
          <w:lang w:val="en-US" w:eastAsia="zh-CN"/>
        </w:rPr>
      </w:pPr>
      <w:r>
        <w:rPr>
          <w:rFonts w:hint="eastAsia"/>
          <w:b/>
          <w:bCs w:val="0"/>
          <w:color w:val="auto"/>
          <w:sz w:val="24"/>
          <w:szCs w:val="24"/>
          <w:highlight w:val="none"/>
          <w:u w:val="none"/>
          <w:lang w:val="en-US" w:eastAsia="zh-CN"/>
        </w:rPr>
        <w:t>二</w:t>
      </w:r>
      <w:r>
        <w:rPr>
          <w:rFonts w:hint="eastAsia" w:ascii="宋体" w:hAnsi="宋体"/>
          <w:b/>
          <w:bCs w:val="0"/>
          <w:color w:val="auto"/>
          <w:sz w:val="24"/>
          <w:szCs w:val="24"/>
          <w:highlight w:val="none"/>
          <w:u w:val="none"/>
          <w:lang w:val="en-US" w:eastAsia="zh-CN"/>
        </w:rPr>
        <w:t>标段：</w:t>
      </w:r>
    </w:p>
    <w:p w14:paraId="07A4DF88">
      <w:pPr>
        <w:pageBreakBefore w:val="0"/>
        <w:numPr>
          <w:ilvl w:val="0"/>
          <w:numId w:val="2"/>
        </w:numPr>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供应商须具有独立承担民事责任的能力，需提供有效的营业执照或其他证明材料；</w:t>
      </w:r>
    </w:p>
    <w:p w14:paraId="00CEE0A6">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2</w:t>
      </w:r>
      <w:r>
        <w:rPr>
          <w:rFonts w:hint="eastAsia" w:ascii="宋体" w:hAnsi="宋体" w:eastAsia="宋体" w:cs="Times New Roman"/>
          <w:color w:val="auto"/>
          <w:sz w:val="24"/>
          <w:szCs w:val="24"/>
          <w:highlight w:val="none"/>
          <w:u w:val="none"/>
          <w:lang w:val="en-US" w:eastAsia="zh-CN"/>
        </w:rPr>
        <w:t>、单位负责人为同一人或者存在直接控股、管理关系的不同投标人，不得参加同一合同项下的政府采购活动；</w:t>
      </w:r>
    </w:p>
    <w:p w14:paraId="1C9CDDD0">
      <w:pPr>
        <w:pageBreakBefore w:val="0"/>
        <w:wordWrap w:val="0"/>
        <w:overflowPunct/>
        <w:bidi w:val="0"/>
        <w:spacing w:line="360" w:lineRule="auto"/>
        <w:ind w:firstLine="480" w:firstLineChars="200"/>
        <w:rPr>
          <w:rFonts w:hint="eastAsia" w:ascii="宋体" w:hAnsi="宋体" w:eastAsia="宋体" w:cs="Times New Roman"/>
          <w:color w:val="FF0000"/>
          <w:sz w:val="24"/>
          <w:szCs w:val="24"/>
          <w:highlight w:val="none"/>
          <w:u w:val="none"/>
          <w:lang w:val="en-US" w:eastAsia="zh-CN"/>
        </w:rPr>
      </w:pPr>
      <w:r>
        <w:rPr>
          <w:rFonts w:hint="eastAsia" w:cs="Times New Roman"/>
          <w:color w:val="auto"/>
          <w:sz w:val="24"/>
          <w:szCs w:val="24"/>
          <w:highlight w:val="none"/>
          <w:u w:val="none"/>
          <w:lang w:val="en-US" w:eastAsia="zh-CN"/>
        </w:rPr>
        <w:t>3</w:t>
      </w:r>
      <w:r>
        <w:rPr>
          <w:rFonts w:hint="eastAsia" w:ascii="宋体" w:hAnsi="宋体" w:eastAsia="宋体" w:cs="Times New Roman"/>
          <w:color w:val="auto"/>
          <w:sz w:val="24"/>
          <w:szCs w:val="24"/>
          <w:highlight w:val="none"/>
          <w:u w:val="none"/>
          <w:lang w:val="en-US" w:eastAsia="zh-CN"/>
        </w:rPr>
        <w:t>、具有履行本项目采购内容所必须的设备和专业技术服务能力；(提供证明材料或承诺书)</w:t>
      </w:r>
    </w:p>
    <w:p w14:paraId="5E81D613">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4</w:t>
      </w:r>
      <w:r>
        <w:rPr>
          <w:rFonts w:hint="eastAsia" w:ascii="宋体" w:hAnsi="宋体" w:eastAsia="宋体" w:cs="Times New Roman"/>
          <w:color w:val="auto"/>
          <w:sz w:val="24"/>
          <w:szCs w:val="24"/>
          <w:highlight w:val="none"/>
          <w:u w:val="none"/>
          <w:lang w:val="en-US" w:eastAsia="zh-CN"/>
        </w:rPr>
        <w:t>、具有良好的商业信誉和健全的财务会计制度，提供202</w:t>
      </w:r>
      <w:r>
        <w:rPr>
          <w:rFonts w:hint="eastAsia" w:cs="Times New Roman"/>
          <w:color w:val="auto"/>
          <w:sz w:val="24"/>
          <w:szCs w:val="24"/>
          <w:highlight w:val="none"/>
          <w:u w:val="none"/>
          <w:lang w:val="en-US" w:eastAsia="zh-CN"/>
        </w:rPr>
        <w:t>5</w:t>
      </w:r>
      <w:r>
        <w:rPr>
          <w:rFonts w:hint="eastAsia" w:ascii="宋体" w:hAnsi="宋体" w:eastAsia="宋体" w:cs="Times New Roman"/>
          <w:color w:val="auto"/>
          <w:sz w:val="24"/>
          <w:szCs w:val="24"/>
          <w:highlight w:val="none"/>
          <w:u w:val="none"/>
          <w:lang w:val="en-US" w:eastAsia="zh-CN"/>
        </w:rPr>
        <w:t>年度财务审计报告或财务报表；</w:t>
      </w:r>
    </w:p>
    <w:p w14:paraId="770FFD1F">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5</w:t>
      </w:r>
      <w:r>
        <w:rPr>
          <w:rFonts w:hint="eastAsia" w:ascii="宋体" w:hAnsi="宋体" w:eastAsia="宋体" w:cs="Times New Roman"/>
          <w:color w:val="auto"/>
          <w:sz w:val="24"/>
          <w:szCs w:val="24"/>
          <w:highlight w:val="none"/>
          <w:u w:val="none"/>
          <w:lang w:val="en-US" w:eastAsia="zh-CN"/>
        </w:rPr>
        <w:t>、提供企业近半年任意连续三个月依法缴纳税收的证明资料（新成立的企业从成立之日起计算）；依法免税的投标响应人，应提供相应文件证明其依法免税；</w:t>
      </w:r>
    </w:p>
    <w:p w14:paraId="29A4F679">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、项目负责人为本单位正式员工（提供劳动合同）且已参加社会保险，提供近半年任意连续三个月参加社会养老保险的缴费证明（新成立企业从成立之日起计算）；</w:t>
      </w:r>
    </w:p>
    <w:p w14:paraId="0CC7529D">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、参加政府采购活动前3年内无行贿犯罪记录、商业贿赂、不正当竞争行为、骗取中标、严重违约等问题；供应商出具无行贿犯罪记录在中国裁判文书网自行查询或自行承诺（查询对象：企业、法定代表人）；</w:t>
      </w:r>
    </w:p>
    <w:p w14:paraId="177BC334">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8</w:t>
      </w:r>
      <w:r>
        <w:rPr>
          <w:rFonts w:hint="eastAsia" w:ascii="宋体" w:hAnsi="宋体" w:eastAsia="宋体" w:cs="Times New Roman"/>
          <w:color w:val="auto"/>
          <w:sz w:val="24"/>
          <w:szCs w:val="24"/>
          <w:highlight w:val="none"/>
          <w:u w:val="none"/>
          <w:lang w:val="en-US" w:eastAsia="zh-CN"/>
        </w:rPr>
        <w:t>、提供企业注册地工商管理部门出具的无商业贿赂和不正当竞争行为的查询证明（若当地工商管理部门不办理此项业务，供应商须自行出具本企业无商业贿赂和不正当竞争行为承诺书）；</w:t>
      </w:r>
    </w:p>
    <w:p w14:paraId="0BF642CC">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据《关于在政府采购活动中查询及使用信用记录有关问题的通知》(财库[2016]125号)和豫财购【2016】15号的规定，企业没有被列入“信用中国”网站的“失信被执行人”、“重大税收违法失信主体”、“政府采购严重违法失信行为记录名单”及“中国政府采购网”网站的“政府采购严重违法失信行为信息记录”的响应人；（查询渠道：“信用中国”网站（www.creditchina.gov.cn）、中国政府采购网（www.ccgp.gov.cn）；提供网站的查询信息截图；(注：査询时间必须是征集公告发布以后开标时间以前并提供网站查询网页截图，查询结果清晰可见)；</w:t>
      </w:r>
    </w:p>
    <w:p w14:paraId="67B4AB21">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eastAsia="zh-CN"/>
        </w:rPr>
      </w:pPr>
      <w:r>
        <w:rPr>
          <w:rFonts w:hint="eastAsia" w:cs="Times New Roman"/>
          <w:color w:val="auto"/>
          <w:sz w:val="24"/>
          <w:szCs w:val="24"/>
          <w:highlight w:val="none"/>
          <w:u w:val="none"/>
          <w:lang w:val="en-US" w:eastAsia="zh-CN"/>
        </w:rPr>
        <w:t>10</w:t>
      </w:r>
      <w:r>
        <w:rPr>
          <w:rFonts w:hint="eastAsia" w:ascii="宋体" w:hAnsi="宋体" w:eastAsia="宋体" w:cs="Times New Roman"/>
          <w:color w:val="auto"/>
          <w:sz w:val="24"/>
          <w:szCs w:val="24"/>
          <w:highlight w:val="none"/>
          <w:u w:val="none"/>
          <w:lang w:eastAsia="zh-CN"/>
        </w:rPr>
        <w:t>、本项目不接受联合体参加投标；</w:t>
      </w:r>
    </w:p>
    <w:p w14:paraId="786668B9">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eastAsia="zh-CN"/>
        </w:rPr>
      </w:pPr>
      <w:r>
        <w:rPr>
          <w:rFonts w:hint="eastAsia" w:ascii="宋体" w:hAnsi="宋体" w:eastAsia="宋体" w:cs="Times New Roman"/>
          <w:color w:val="auto"/>
          <w:sz w:val="24"/>
          <w:szCs w:val="24"/>
          <w:highlight w:val="none"/>
          <w:u w:val="none"/>
          <w:lang w:val="en-US" w:eastAsia="zh-CN"/>
        </w:rPr>
        <w:t>1</w:t>
      </w:r>
      <w:r>
        <w:rPr>
          <w:rFonts w:hint="eastAsia" w:cs="Times New Roman"/>
          <w:color w:val="auto"/>
          <w:sz w:val="24"/>
          <w:szCs w:val="24"/>
          <w:highlight w:val="none"/>
          <w:u w:val="none"/>
          <w:lang w:val="en-US" w:eastAsia="zh-CN"/>
        </w:rPr>
        <w:t>1</w:t>
      </w:r>
      <w:r>
        <w:rPr>
          <w:rFonts w:hint="eastAsia" w:ascii="宋体" w:hAnsi="宋体" w:eastAsia="宋体" w:cs="Times New Roman"/>
          <w:color w:val="auto"/>
          <w:sz w:val="24"/>
          <w:szCs w:val="24"/>
          <w:highlight w:val="none"/>
          <w:u w:val="none"/>
          <w:lang w:val="en-US" w:eastAsia="zh-CN"/>
        </w:rPr>
        <w:t>、</w:t>
      </w:r>
      <w:r>
        <w:rPr>
          <w:rFonts w:hint="eastAsia" w:ascii="宋体" w:hAnsi="宋体" w:eastAsia="宋体" w:cs="Times New Roman"/>
          <w:color w:val="auto"/>
          <w:sz w:val="24"/>
          <w:szCs w:val="24"/>
          <w:highlight w:val="none"/>
          <w:u w:val="none"/>
        </w:rPr>
        <w:t>本项目实行资格后审</w:t>
      </w:r>
      <w:r>
        <w:rPr>
          <w:rFonts w:hint="eastAsia" w:ascii="宋体" w:hAnsi="宋体" w:eastAsia="宋体" w:cs="Times New Roman"/>
          <w:color w:val="auto"/>
          <w:sz w:val="24"/>
          <w:szCs w:val="24"/>
          <w:highlight w:val="none"/>
          <w:u w:val="none"/>
          <w:lang w:eastAsia="zh-CN"/>
        </w:rPr>
        <w:t>；</w:t>
      </w:r>
    </w:p>
    <w:p w14:paraId="5B649946">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三、征集文件获取方式：</w:t>
      </w:r>
    </w:p>
    <w:p w14:paraId="1651FD71">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1、征集文件获取方式：本项目没有报名环节，供应商凭CA数字证书通过三门峡市公共资源交易中心网（网址：http://www.smxgzjy.org/），点击交易平台选择“交易主体登录”，在所参与项目右侧点击参与投标，即可直接下载本项目征集文件及其相关资料。</w:t>
      </w:r>
    </w:p>
    <w:p w14:paraId="0B53DD9A">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办理CA证书：http://gzjy.smx.gov.cn/fwzn/004003/20201019/a8fae6a0-baed-499b-bb50-8ecc8828a2ca.html</w:t>
      </w:r>
    </w:p>
    <w:p w14:paraId="02D36EB4">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2、征集文件下载时间：202</w:t>
      </w:r>
      <w:r>
        <w:rPr>
          <w:rFonts w:hint="eastAsia"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年0</w:t>
      </w:r>
      <w:r>
        <w:rPr>
          <w:rFonts w:hint="eastAsia"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cs="Times New Roman"/>
          <w:color w:val="auto"/>
          <w:sz w:val="24"/>
          <w:szCs w:val="24"/>
          <w:highlight w:val="none"/>
          <w:u w:val="none"/>
          <w:lang w:val="en-US" w:eastAsia="zh-CN"/>
        </w:rPr>
        <w:t>29</w:t>
      </w:r>
      <w:r>
        <w:rPr>
          <w:rFonts w:hint="eastAsia" w:ascii="宋体" w:hAnsi="宋体" w:eastAsia="宋体" w:cs="Times New Roman"/>
          <w:color w:val="auto"/>
          <w:sz w:val="24"/>
          <w:szCs w:val="24"/>
          <w:highlight w:val="none"/>
          <w:u w:val="none"/>
          <w:lang w:val="en-US" w:eastAsia="zh-CN"/>
        </w:rPr>
        <w:t>日08时00分至202</w:t>
      </w:r>
      <w:r>
        <w:rPr>
          <w:rFonts w:hint="eastAsia"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年0</w:t>
      </w:r>
      <w:r>
        <w:rPr>
          <w:rFonts w:hint="eastAsia" w:cs="Times New Roman"/>
          <w:color w:val="auto"/>
          <w:sz w:val="24"/>
          <w:szCs w:val="24"/>
          <w:highlight w:val="none"/>
          <w:u w:val="none"/>
          <w:lang w:val="en-US" w:eastAsia="zh-CN"/>
        </w:rPr>
        <w:t>8</w:t>
      </w:r>
      <w:r>
        <w:rPr>
          <w:rFonts w:hint="eastAsia" w:ascii="宋体" w:hAnsi="宋体" w:eastAsia="宋体" w:cs="Times New Roman"/>
          <w:color w:val="auto"/>
          <w:sz w:val="24"/>
          <w:szCs w:val="24"/>
          <w:highlight w:val="none"/>
          <w:u w:val="none"/>
          <w:lang w:val="en-US" w:eastAsia="zh-CN"/>
        </w:rPr>
        <w:t>月</w:t>
      </w:r>
      <w:r>
        <w:rPr>
          <w:rFonts w:hint="eastAsia" w:cs="Times New Roman"/>
          <w:color w:val="auto"/>
          <w:sz w:val="24"/>
          <w:szCs w:val="24"/>
          <w:highlight w:val="none"/>
          <w:u w:val="none"/>
          <w:lang w:val="en-US" w:eastAsia="zh-CN"/>
        </w:rPr>
        <w:t>18</w:t>
      </w:r>
      <w:r>
        <w:rPr>
          <w:rFonts w:hint="eastAsia" w:ascii="宋体" w:hAnsi="宋体" w:eastAsia="宋体" w:cs="Times New Roman"/>
          <w:color w:val="auto"/>
          <w:sz w:val="24"/>
          <w:szCs w:val="24"/>
          <w:highlight w:val="none"/>
          <w:u w:val="none"/>
          <w:lang w:val="en-US" w:eastAsia="zh-CN"/>
        </w:rPr>
        <w:t xml:space="preserve"> 日08时40分；</w:t>
      </w:r>
    </w:p>
    <w:p w14:paraId="3E6D0EBE">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3、开标方式：</w:t>
      </w:r>
    </w:p>
    <w:p w14:paraId="5B47F24B">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每位供应商的解密时间为开标时间起30分钟内完成。未按时解密的其投标将被否决。因供应商原因未能解密、解密失败或解密超时的将被拒绝。</w:t>
      </w:r>
    </w:p>
    <w:p w14:paraId="45AE4710">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4、本项目为全电子招标，不再收取征集文件费用。</w:t>
      </w:r>
    </w:p>
    <w:p w14:paraId="71684CB4">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四、投标资料的提交</w:t>
      </w:r>
    </w:p>
    <w:p w14:paraId="33579B57">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eastAsia="zh-CN"/>
        </w:rPr>
      </w:pPr>
      <w:r>
        <w:rPr>
          <w:rFonts w:hint="eastAsia" w:ascii="宋体" w:hAnsi="宋体" w:eastAsia="宋体" w:cs="Times New Roman"/>
          <w:color w:val="auto"/>
          <w:sz w:val="24"/>
          <w:szCs w:val="24"/>
          <w:highlight w:val="none"/>
          <w:u w:val="none"/>
          <w:lang w:val="en-US" w:eastAsia="zh-CN"/>
        </w:rPr>
        <w:t>本项目实行资格后审，审查内容以投标截止时间前在三门峡市公共资源交易中心网提交的投标文件的信息为准。其上传资料真实性由投标人自行承担，同时，投标人要完善主体库。原件扫描件清晰可辨。否则，由此造成应得分而未得分或资格审查不合格等情况的，由供应商承担责任。</w:t>
      </w:r>
    </w:p>
    <w:p w14:paraId="20945D6B">
      <w:pPr>
        <w:pageBreakBefore w:val="0"/>
        <w:wordWrap w:val="0"/>
        <w:overflowPunct/>
        <w:bidi w:val="0"/>
        <w:spacing w:line="360" w:lineRule="auto"/>
        <w:ind w:firstLine="480" w:firstLineChars="200"/>
        <w:rPr>
          <w:rFonts w:hint="eastAsia" w:ascii="宋体" w:hAnsi="宋体"/>
          <w:color w:val="auto"/>
          <w:sz w:val="24"/>
          <w:szCs w:val="24"/>
          <w:highlight w:val="none"/>
          <w:u w:val="none"/>
          <w:lang w:val="en-US" w:eastAsia="zh-CN"/>
        </w:rPr>
      </w:pPr>
      <w:r>
        <w:rPr>
          <w:rFonts w:hint="eastAsia" w:ascii="宋体" w:hAnsi="宋体"/>
          <w:color w:val="auto"/>
          <w:sz w:val="24"/>
          <w:szCs w:val="24"/>
          <w:highlight w:val="none"/>
          <w:u w:val="none"/>
          <w:lang w:val="en-US" w:eastAsia="zh-CN"/>
        </w:rPr>
        <w:t>五、</w:t>
      </w:r>
      <w:r>
        <w:rPr>
          <w:rFonts w:hint="eastAsia"/>
          <w:color w:val="auto"/>
          <w:sz w:val="24"/>
          <w:szCs w:val="24"/>
          <w:highlight w:val="none"/>
          <w:u w:val="none"/>
          <w:lang w:val="en-US" w:eastAsia="zh-CN"/>
        </w:rPr>
        <w:t>响应</w:t>
      </w:r>
      <w:r>
        <w:rPr>
          <w:rFonts w:hint="eastAsia" w:ascii="宋体" w:hAnsi="宋体"/>
          <w:color w:val="auto"/>
          <w:sz w:val="24"/>
          <w:szCs w:val="24"/>
          <w:highlight w:val="none"/>
          <w:u w:val="none"/>
          <w:lang w:eastAsia="zh-CN"/>
        </w:rPr>
        <w:t>文件</w:t>
      </w:r>
      <w:r>
        <w:rPr>
          <w:rFonts w:hint="eastAsia" w:ascii="宋体" w:hAnsi="宋体"/>
          <w:color w:val="auto"/>
          <w:sz w:val="24"/>
          <w:szCs w:val="24"/>
          <w:highlight w:val="none"/>
          <w:u w:val="none"/>
          <w:lang w:val="en-US" w:eastAsia="zh-CN"/>
        </w:rPr>
        <w:t>的</w:t>
      </w:r>
      <w:r>
        <w:rPr>
          <w:rFonts w:hint="eastAsia" w:ascii="宋体" w:hAnsi="宋体"/>
          <w:color w:val="auto"/>
          <w:sz w:val="24"/>
          <w:szCs w:val="24"/>
          <w:highlight w:val="none"/>
          <w:u w:val="none"/>
          <w:lang w:eastAsia="zh-CN"/>
        </w:rPr>
        <w:t>递交截止时间及开</w:t>
      </w:r>
      <w:r>
        <w:rPr>
          <w:rFonts w:hint="eastAsia" w:ascii="宋体" w:hAnsi="宋体"/>
          <w:color w:val="auto"/>
          <w:sz w:val="24"/>
          <w:szCs w:val="24"/>
          <w:highlight w:val="none"/>
          <w:u w:val="none"/>
          <w:lang w:val="en-US" w:eastAsia="zh-CN"/>
        </w:rPr>
        <w:t>评</w:t>
      </w:r>
      <w:r>
        <w:rPr>
          <w:rFonts w:hint="eastAsia" w:ascii="宋体" w:hAnsi="宋体"/>
          <w:color w:val="auto"/>
          <w:sz w:val="24"/>
          <w:szCs w:val="24"/>
          <w:highlight w:val="none"/>
          <w:u w:val="none"/>
          <w:lang w:eastAsia="zh-CN"/>
        </w:rPr>
        <w:t>标</w:t>
      </w:r>
      <w:r>
        <w:rPr>
          <w:rFonts w:hint="eastAsia" w:ascii="宋体" w:hAnsi="宋体"/>
          <w:color w:val="auto"/>
          <w:sz w:val="24"/>
          <w:szCs w:val="24"/>
          <w:highlight w:val="none"/>
          <w:u w:val="none"/>
          <w:lang w:val="en-US" w:eastAsia="zh-CN"/>
        </w:rPr>
        <w:t>地点</w:t>
      </w:r>
    </w:p>
    <w:p w14:paraId="6C9EDC3E">
      <w:pPr>
        <w:pageBreakBefore w:val="0"/>
        <w:wordWrap w:val="0"/>
        <w:overflowPunct/>
        <w:bidi w:val="0"/>
        <w:spacing w:line="360" w:lineRule="auto"/>
        <w:ind w:firstLine="480" w:firstLineChars="200"/>
        <w:rPr>
          <w:rFonts w:hint="eastAsia" w:ascii="宋体" w:hAnsi="宋体"/>
          <w:color w:val="auto"/>
          <w:sz w:val="24"/>
          <w:szCs w:val="24"/>
          <w:highlight w:val="none"/>
          <w:u w:val="none"/>
          <w:lang w:val="en-US" w:eastAsia="zh-CN"/>
        </w:rPr>
      </w:pPr>
      <w:r>
        <w:rPr>
          <w:rFonts w:hint="eastAsia" w:ascii="宋体" w:hAnsi="宋体"/>
          <w:color w:val="auto"/>
          <w:sz w:val="24"/>
          <w:szCs w:val="24"/>
          <w:highlight w:val="none"/>
          <w:u w:val="none"/>
          <w:lang w:val="en-US" w:eastAsia="zh-CN"/>
        </w:rPr>
        <w:t>1、</w:t>
      </w:r>
      <w:r>
        <w:rPr>
          <w:rFonts w:hint="eastAsia"/>
          <w:color w:val="auto"/>
          <w:sz w:val="24"/>
          <w:szCs w:val="24"/>
          <w:highlight w:val="none"/>
          <w:u w:val="none"/>
          <w:lang w:val="en-US" w:eastAsia="zh-CN"/>
        </w:rPr>
        <w:t>响应</w:t>
      </w:r>
      <w:r>
        <w:rPr>
          <w:rFonts w:hint="eastAsia" w:ascii="宋体" w:hAnsi="宋体"/>
          <w:color w:val="auto"/>
          <w:sz w:val="24"/>
          <w:szCs w:val="24"/>
          <w:highlight w:val="none"/>
          <w:u w:val="none"/>
          <w:lang w:val="en-US" w:eastAsia="zh-CN"/>
        </w:rPr>
        <w:t>文件递交截止时间及开标时间：202</w:t>
      </w:r>
      <w:r>
        <w:rPr>
          <w:rFonts w:hint="eastAsia"/>
          <w:color w:val="auto"/>
          <w:sz w:val="24"/>
          <w:szCs w:val="24"/>
          <w:highlight w:val="none"/>
          <w:u w:val="none"/>
          <w:lang w:val="en-US" w:eastAsia="zh-CN"/>
        </w:rPr>
        <w:t>6</w:t>
      </w:r>
      <w:r>
        <w:rPr>
          <w:rFonts w:hint="eastAsia" w:ascii="宋体" w:hAnsi="宋体"/>
          <w:color w:val="auto"/>
          <w:sz w:val="24"/>
          <w:szCs w:val="24"/>
          <w:highlight w:val="none"/>
          <w:u w:val="none"/>
          <w:lang w:val="en-US" w:eastAsia="zh-CN"/>
        </w:rPr>
        <w:t>年</w:t>
      </w:r>
      <w:r>
        <w:rPr>
          <w:rFonts w:hint="eastAsia"/>
          <w:color w:val="auto"/>
          <w:sz w:val="24"/>
          <w:szCs w:val="24"/>
          <w:highlight w:val="none"/>
          <w:u w:val="none"/>
          <w:lang w:val="en-US" w:eastAsia="zh-CN"/>
        </w:rPr>
        <w:t>08</w:t>
      </w:r>
      <w:r>
        <w:rPr>
          <w:rFonts w:hint="eastAsia" w:ascii="宋体" w:hAnsi="宋体"/>
          <w:color w:val="auto"/>
          <w:sz w:val="24"/>
          <w:szCs w:val="24"/>
          <w:highlight w:val="none"/>
          <w:u w:val="none"/>
          <w:lang w:val="en-US" w:eastAsia="zh-CN"/>
        </w:rPr>
        <w:t>月</w:t>
      </w:r>
      <w:r>
        <w:rPr>
          <w:rFonts w:hint="eastAsia"/>
          <w:color w:val="auto"/>
          <w:sz w:val="24"/>
          <w:szCs w:val="24"/>
          <w:highlight w:val="none"/>
          <w:u w:val="none"/>
          <w:lang w:val="en-US" w:eastAsia="zh-CN"/>
        </w:rPr>
        <w:t>18</w:t>
      </w:r>
      <w:r>
        <w:rPr>
          <w:rFonts w:hint="eastAsia" w:ascii="宋体" w:hAnsi="宋体"/>
          <w:color w:val="auto"/>
          <w:sz w:val="24"/>
          <w:szCs w:val="24"/>
          <w:highlight w:val="none"/>
          <w:u w:val="none"/>
          <w:lang w:val="en-US" w:eastAsia="zh-CN"/>
        </w:rPr>
        <w:t xml:space="preserve"> 日08时40分</w:t>
      </w:r>
    </w:p>
    <w:p w14:paraId="6FEF3AD4">
      <w:pPr>
        <w:pageBreakBefore w:val="0"/>
        <w:wordWrap w:val="0"/>
        <w:overflowPunct/>
        <w:bidi w:val="0"/>
        <w:spacing w:line="360" w:lineRule="auto"/>
        <w:ind w:firstLine="480" w:firstLineChars="200"/>
        <w:rPr>
          <w:rFonts w:hint="eastAsia" w:ascii="宋体" w:hAnsi="宋体"/>
          <w:color w:val="auto"/>
          <w:sz w:val="24"/>
          <w:szCs w:val="24"/>
          <w:highlight w:val="none"/>
          <w:u w:val="none"/>
          <w:lang w:val="en-US" w:eastAsia="zh-CN"/>
        </w:rPr>
      </w:pPr>
      <w:r>
        <w:rPr>
          <w:rFonts w:hint="eastAsia" w:ascii="宋体" w:hAnsi="宋体"/>
          <w:color w:val="auto"/>
          <w:sz w:val="24"/>
          <w:szCs w:val="24"/>
          <w:highlight w:val="none"/>
          <w:u w:val="none"/>
          <w:lang w:val="en-US" w:eastAsia="zh-CN"/>
        </w:rPr>
        <w:t>2、开标地点：卢氏县公共资源交易中心四楼第</w:t>
      </w:r>
      <w:r>
        <w:rPr>
          <w:rFonts w:hint="eastAsia"/>
          <w:color w:val="auto"/>
          <w:sz w:val="24"/>
          <w:szCs w:val="24"/>
          <w:highlight w:val="none"/>
          <w:u w:val="none"/>
          <w:lang w:val="en-US" w:eastAsia="zh-CN"/>
        </w:rPr>
        <w:t>一</w:t>
      </w:r>
      <w:r>
        <w:rPr>
          <w:rFonts w:hint="eastAsia" w:ascii="宋体" w:hAnsi="宋体"/>
          <w:color w:val="auto"/>
          <w:sz w:val="24"/>
          <w:szCs w:val="24"/>
          <w:highlight w:val="none"/>
          <w:u w:val="none"/>
          <w:lang w:val="en-US" w:eastAsia="zh-CN"/>
        </w:rPr>
        <w:t>开标室</w:t>
      </w:r>
    </w:p>
    <w:p w14:paraId="0AAAD7E8">
      <w:pPr>
        <w:pageBreakBefore w:val="0"/>
        <w:wordWrap w:val="0"/>
        <w:overflowPunct/>
        <w:bidi w:val="0"/>
        <w:spacing w:line="360" w:lineRule="auto"/>
        <w:ind w:firstLine="480" w:firstLineChars="200"/>
        <w:rPr>
          <w:rFonts w:hint="eastAsia" w:ascii="宋体" w:hAnsi="宋体"/>
          <w:color w:val="auto"/>
          <w:sz w:val="24"/>
          <w:szCs w:val="24"/>
          <w:highlight w:val="none"/>
          <w:u w:val="none"/>
          <w:lang w:val="en-US" w:eastAsia="zh-CN"/>
        </w:rPr>
      </w:pPr>
      <w:r>
        <w:rPr>
          <w:rFonts w:hint="eastAsia" w:ascii="宋体" w:hAnsi="宋体"/>
          <w:color w:val="auto"/>
          <w:sz w:val="24"/>
          <w:szCs w:val="24"/>
          <w:highlight w:val="none"/>
          <w:u w:val="none"/>
          <w:lang w:val="en-US" w:eastAsia="zh-CN"/>
        </w:rPr>
        <w:t>3、评标地点：卢氏县公共资源交易中心二楼第</w:t>
      </w:r>
      <w:r>
        <w:rPr>
          <w:rFonts w:hint="eastAsia"/>
          <w:color w:val="auto"/>
          <w:sz w:val="24"/>
          <w:szCs w:val="24"/>
          <w:highlight w:val="none"/>
          <w:u w:val="none"/>
          <w:lang w:val="en-US" w:eastAsia="zh-CN"/>
        </w:rPr>
        <w:t>一</w:t>
      </w:r>
      <w:r>
        <w:rPr>
          <w:rFonts w:hint="eastAsia" w:ascii="宋体" w:hAnsi="宋体"/>
          <w:color w:val="auto"/>
          <w:sz w:val="24"/>
          <w:szCs w:val="24"/>
          <w:highlight w:val="none"/>
          <w:u w:val="none"/>
          <w:lang w:val="en-US" w:eastAsia="zh-CN"/>
        </w:rPr>
        <w:t>评标室</w:t>
      </w:r>
    </w:p>
    <w:p w14:paraId="34F35E54">
      <w:pPr>
        <w:pageBreakBefore w:val="0"/>
        <w:wordWrap w:val="0"/>
        <w:overflowPunct/>
        <w:bidi w:val="0"/>
        <w:spacing w:line="360" w:lineRule="auto"/>
        <w:ind w:firstLine="480" w:firstLineChars="200"/>
        <w:rPr>
          <w:rFonts w:hint="eastAsia" w:ascii="宋体" w:hAnsi="宋体"/>
          <w:color w:val="auto"/>
          <w:sz w:val="24"/>
          <w:szCs w:val="24"/>
          <w:highlight w:val="none"/>
          <w:u w:val="none"/>
        </w:rPr>
      </w:pPr>
      <w:r>
        <w:rPr>
          <w:rFonts w:hint="eastAsia" w:ascii="宋体" w:hAnsi="宋体"/>
          <w:color w:val="auto"/>
          <w:sz w:val="24"/>
          <w:szCs w:val="24"/>
          <w:highlight w:val="none"/>
          <w:u w:val="none"/>
        </w:rPr>
        <w:t>注：本项目为不见面开标项目，开标当日，供应商无需到开标现场参加开标会议，登陆不见面开标大厅选择登陆三门峡市公共资源电子招投标系统进行登陆（网址为：</w:t>
      </w:r>
    </w:p>
    <w:p w14:paraId="3B969077">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color w:val="auto"/>
          <w:sz w:val="24"/>
          <w:szCs w:val="24"/>
          <w:highlight w:val="none"/>
          <w:u w:val="none"/>
        </w:rPr>
        <w:t>http://120.194.249.36:10094/BidOpening/bidopeninghallaction/hall/login）,在线准时参加开标活动并进行响应文件解密等。每位投标人的解密时间为开标时间起30分钟内完成</w:t>
      </w:r>
      <w:r>
        <w:rPr>
          <w:rFonts w:hint="eastAsia" w:ascii="宋体" w:hAnsi="宋体" w:eastAsia="宋体" w:cs="Times New Roman"/>
          <w:color w:val="auto"/>
          <w:sz w:val="24"/>
          <w:szCs w:val="24"/>
          <w:highlight w:val="none"/>
          <w:u w:val="none"/>
          <w:lang w:val="en-US" w:eastAsia="zh-CN"/>
        </w:rPr>
        <w:t>。因供应商原因未能解密、解密失败或解密超时的将被拒绝。</w:t>
      </w:r>
    </w:p>
    <w:p w14:paraId="41944AD4">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六、发布公告的媒介</w:t>
      </w:r>
    </w:p>
    <w:p w14:paraId="363A5DA0">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本次征集公告在《中国招标投标公共服务平台》、《河南省政府采购网》、《三门峡市公共资源交易中心网》同时发布。</w:t>
      </w:r>
    </w:p>
    <w:p w14:paraId="5EC03A7C">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七、其他补充事宜</w:t>
      </w:r>
    </w:p>
    <w:p w14:paraId="3AB4F442">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eastAsia="zh-CN"/>
        </w:rPr>
      </w:pPr>
      <w:r>
        <w:rPr>
          <w:rFonts w:hint="eastAsia" w:ascii="宋体" w:hAnsi="宋体" w:eastAsia="宋体" w:cs="Times New Roman"/>
          <w:color w:val="auto"/>
          <w:sz w:val="24"/>
          <w:szCs w:val="24"/>
          <w:highlight w:val="none"/>
          <w:u w:val="none"/>
          <w:lang w:eastAsia="zh-CN"/>
        </w:rPr>
        <w:t>1、投标供应商应仔细阅读操作手册，在本公告中要求的截止时间前完成</w:t>
      </w:r>
      <w:r>
        <w:rPr>
          <w:rFonts w:hint="eastAsia" w:ascii="宋体" w:hAnsi="宋体" w:eastAsia="宋体" w:cs="Times New Roman"/>
          <w:color w:val="auto"/>
          <w:sz w:val="24"/>
          <w:szCs w:val="24"/>
          <w:highlight w:val="none"/>
          <w:u w:val="none"/>
          <w:lang w:val="en-US" w:eastAsia="zh-CN"/>
        </w:rPr>
        <w:t>征集</w:t>
      </w:r>
      <w:r>
        <w:rPr>
          <w:rFonts w:hint="eastAsia" w:ascii="宋体" w:hAnsi="宋体" w:eastAsia="宋体" w:cs="Times New Roman"/>
          <w:color w:val="auto"/>
          <w:sz w:val="24"/>
          <w:szCs w:val="24"/>
          <w:highlight w:val="none"/>
          <w:u w:val="none"/>
          <w:lang w:eastAsia="zh-CN"/>
        </w:rPr>
        <w:t>文件下载等工作。并充分考虑人为操作和时间等因素，因投标供应商操作不当造成的无法下载</w:t>
      </w:r>
      <w:r>
        <w:rPr>
          <w:rFonts w:hint="eastAsia" w:ascii="宋体" w:hAnsi="宋体" w:eastAsia="宋体" w:cs="Times New Roman"/>
          <w:color w:val="auto"/>
          <w:sz w:val="24"/>
          <w:szCs w:val="24"/>
          <w:highlight w:val="none"/>
          <w:u w:val="none"/>
          <w:lang w:val="en-US" w:eastAsia="zh-CN"/>
        </w:rPr>
        <w:t>征集</w:t>
      </w:r>
      <w:r>
        <w:rPr>
          <w:rFonts w:hint="eastAsia" w:ascii="宋体" w:hAnsi="宋体" w:eastAsia="宋体" w:cs="Times New Roman"/>
          <w:color w:val="auto"/>
          <w:sz w:val="24"/>
          <w:szCs w:val="24"/>
          <w:highlight w:val="none"/>
          <w:u w:val="none"/>
          <w:lang w:eastAsia="zh-CN"/>
        </w:rPr>
        <w:t>文件、无法投标等一切后果，由投标供应商自行承担。</w:t>
      </w:r>
    </w:p>
    <w:p w14:paraId="42F145D3">
      <w:pPr>
        <w:pageBreakBefore w:val="0"/>
        <w:wordWrap w:val="0"/>
        <w:overflowPunct/>
        <w:bidi w:val="0"/>
        <w:spacing w:line="360" w:lineRule="auto"/>
        <w:ind w:firstLine="480" w:firstLineChars="200"/>
        <w:jc w:val="left"/>
        <w:rPr>
          <w:rFonts w:hint="eastAsia" w:ascii="宋体" w:hAnsi="宋体" w:eastAsia="宋体" w:cs="Times New Roman"/>
          <w:color w:val="auto"/>
          <w:sz w:val="24"/>
          <w:szCs w:val="24"/>
          <w:highlight w:val="none"/>
          <w:u w:val="none"/>
          <w:lang w:eastAsia="zh-CN"/>
        </w:rPr>
      </w:pPr>
      <w:r>
        <w:rPr>
          <w:rFonts w:hint="eastAsia" w:ascii="宋体" w:hAnsi="宋体" w:eastAsia="宋体" w:cs="Times New Roman"/>
          <w:color w:val="auto"/>
          <w:sz w:val="24"/>
          <w:szCs w:val="24"/>
          <w:highlight w:val="none"/>
          <w:u w:val="none"/>
          <w:lang w:val="en-US" w:eastAsia="zh-CN"/>
        </w:rPr>
        <w:t>2</w:t>
      </w:r>
      <w:r>
        <w:rPr>
          <w:rFonts w:hint="eastAsia" w:ascii="宋体" w:hAnsi="宋体" w:eastAsia="宋体" w:cs="Times New Roman"/>
          <w:color w:val="auto"/>
          <w:sz w:val="24"/>
          <w:szCs w:val="24"/>
          <w:highlight w:val="none"/>
          <w:u w:val="none"/>
          <w:lang w:eastAsia="zh-CN"/>
        </w:rPr>
        <w:t>、根据《河南省财政厅关于优化政府采购营商环境有关问题的通知》（豫财购【2019】4号）第6条的规定，入围保证金不再收取。</w:t>
      </w:r>
    </w:p>
    <w:p w14:paraId="6E0C29E9">
      <w:pPr>
        <w:pageBreakBefore w:val="0"/>
        <w:wordWrap w:val="0"/>
        <w:overflowPunct/>
        <w:bidi w:val="0"/>
        <w:spacing w:line="360" w:lineRule="auto"/>
        <w:ind w:firstLine="480" w:firstLineChars="200"/>
        <w:jc w:val="left"/>
        <w:rPr>
          <w:rFonts w:hint="eastAsia" w:ascii="宋体" w:hAnsi="宋体" w:eastAsia="宋体" w:cs="Times New Roman"/>
          <w:color w:val="auto"/>
          <w:sz w:val="24"/>
          <w:szCs w:val="24"/>
          <w:highlight w:val="none"/>
          <w:u w:val="none"/>
          <w:lang w:eastAsia="zh-CN"/>
        </w:rPr>
      </w:pPr>
      <w:r>
        <w:rPr>
          <w:rFonts w:hint="eastAsia" w:ascii="宋体" w:hAnsi="宋体" w:eastAsia="宋体" w:cs="Times New Roman"/>
          <w:color w:val="auto"/>
          <w:sz w:val="24"/>
          <w:szCs w:val="24"/>
          <w:highlight w:val="none"/>
          <w:u w:val="none"/>
          <w:lang w:val="en-US" w:eastAsia="zh-CN"/>
        </w:rPr>
        <w:t>3</w:t>
      </w:r>
      <w:r>
        <w:rPr>
          <w:rFonts w:hint="eastAsia" w:ascii="宋体" w:hAnsi="宋体" w:eastAsia="宋体" w:cs="Times New Roman"/>
          <w:color w:val="auto"/>
          <w:sz w:val="24"/>
          <w:szCs w:val="24"/>
          <w:highlight w:val="none"/>
          <w:u w:val="none"/>
          <w:lang w:eastAsia="zh-CN"/>
        </w:rPr>
        <w:t>、本项目实行资格后审，审查内容以响应文件为准，其上传资料真实性由供应商自行承担，同时，供应商请完善主体库。</w:t>
      </w:r>
    </w:p>
    <w:p w14:paraId="3F3FDB65">
      <w:pPr>
        <w:pageBreakBefore w:val="0"/>
        <w:wordWrap w:val="0"/>
        <w:overflowPunct/>
        <w:bidi w:val="0"/>
        <w:spacing w:line="360" w:lineRule="auto"/>
        <w:ind w:firstLine="480" w:firstLineChars="200"/>
        <w:jc w:val="left"/>
        <w:rPr>
          <w:rFonts w:hint="eastAsia" w:ascii="宋体" w:hAnsi="宋体" w:eastAsia="宋体" w:cs="Times New Roman"/>
          <w:color w:val="auto"/>
          <w:sz w:val="24"/>
          <w:szCs w:val="24"/>
          <w:highlight w:val="none"/>
          <w:u w:val="none"/>
          <w:lang w:eastAsia="zh-CN"/>
        </w:rPr>
      </w:pPr>
      <w:r>
        <w:rPr>
          <w:rFonts w:hint="eastAsia" w:ascii="宋体" w:hAnsi="宋体" w:eastAsia="宋体" w:cs="Times New Roman"/>
          <w:color w:val="auto"/>
          <w:sz w:val="24"/>
          <w:szCs w:val="24"/>
          <w:highlight w:val="none"/>
          <w:u w:val="none"/>
          <w:lang w:val="en-US" w:eastAsia="zh-CN"/>
        </w:rPr>
        <w:t>4</w:t>
      </w:r>
      <w:r>
        <w:rPr>
          <w:rFonts w:hint="eastAsia" w:ascii="宋体" w:hAnsi="宋体" w:eastAsia="宋体" w:cs="Times New Roman"/>
          <w:color w:val="auto"/>
          <w:sz w:val="24"/>
          <w:szCs w:val="24"/>
          <w:highlight w:val="none"/>
          <w:u w:val="none"/>
          <w:lang w:eastAsia="zh-CN"/>
        </w:rPr>
        <w:t>、评标打分部分：评标打分部分按照100分制原则进行，涉及到资格审查、企业荣誉、企业业绩等计分部分时，以供应商自行上传到响应文件中的相应内容为准。</w:t>
      </w:r>
    </w:p>
    <w:p w14:paraId="45318476">
      <w:pPr>
        <w:pageBreakBefore w:val="0"/>
        <w:wordWrap w:val="0"/>
        <w:overflowPunct/>
        <w:bidi w:val="0"/>
        <w:spacing w:line="360" w:lineRule="auto"/>
        <w:ind w:firstLine="480" w:firstLineChars="200"/>
        <w:jc w:val="left"/>
        <w:rPr>
          <w:rFonts w:hint="eastAsia" w:ascii="宋体" w:hAnsi="宋体" w:eastAsia="宋体" w:cs="Times New Roman"/>
          <w:color w:val="auto"/>
          <w:sz w:val="24"/>
          <w:szCs w:val="24"/>
          <w:highlight w:val="none"/>
          <w:u w:val="none"/>
          <w:lang w:eastAsia="zh-CN"/>
        </w:rPr>
      </w:pPr>
      <w:r>
        <w:rPr>
          <w:rFonts w:hint="eastAsia" w:ascii="宋体" w:hAnsi="宋体" w:eastAsia="宋体" w:cs="Times New Roman"/>
          <w:color w:val="auto"/>
          <w:sz w:val="24"/>
          <w:szCs w:val="24"/>
          <w:highlight w:val="none"/>
          <w:u w:val="none"/>
          <w:lang w:val="en-US" w:eastAsia="zh-CN"/>
        </w:rPr>
        <w:t>5、</w:t>
      </w:r>
      <w:r>
        <w:rPr>
          <w:rFonts w:hint="eastAsia" w:ascii="宋体" w:hAnsi="宋体" w:eastAsia="宋体" w:cs="Times New Roman"/>
          <w:color w:val="auto"/>
          <w:sz w:val="24"/>
          <w:szCs w:val="24"/>
          <w:highlight w:val="none"/>
          <w:u w:val="none"/>
          <w:lang w:eastAsia="zh-CN"/>
        </w:rPr>
        <w:t>在征集文件中要求供应商按照响应文件格式进行响应文件编制，在响应文件编制时，应明确将供应商企业基本情况、人员情况、财务情况、业绩情况编入响应文件，便于进行资格审查及评标打分。</w:t>
      </w:r>
    </w:p>
    <w:p w14:paraId="7B77A84B">
      <w:pPr>
        <w:pageBreakBefore w:val="0"/>
        <w:wordWrap w:val="0"/>
        <w:overflowPunct/>
        <w:bidi w:val="0"/>
        <w:spacing w:line="360" w:lineRule="auto"/>
        <w:ind w:firstLine="480" w:firstLineChars="200"/>
        <w:jc w:val="left"/>
        <w:rPr>
          <w:rFonts w:hint="eastAsia" w:ascii="宋体" w:hAnsi="宋体" w:eastAsia="宋体" w:cs="Times New Roman"/>
          <w:color w:val="auto"/>
          <w:sz w:val="24"/>
          <w:szCs w:val="24"/>
          <w:highlight w:val="none"/>
          <w:u w:val="none"/>
        </w:rPr>
      </w:pPr>
      <w:r>
        <w:rPr>
          <w:rFonts w:hint="eastAsia" w:ascii="宋体" w:hAnsi="宋体" w:eastAsia="宋体" w:cs="Times New Roman"/>
          <w:color w:val="auto"/>
          <w:sz w:val="24"/>
          <w:szCs w:val="24"/>
          <w:highlight w:val="none"/>
          <w:u w:val="none"/>
          <w:lang w:eastAsia="zh-CN"/>
        </w:rPr>
        <w:t>温馨提示：本项目为电子化、无纸化交易项目，开标时不再接受任何纸质资料，为保证您能投标成功，请需仔细阅读</w:t>
      </w:r>
      <w:r>
        <w:rPr>
          <w:rFonts w:hint="eastAsia" w:ascii="宋体" w:hAnsi="宋体" w:eastAsia="宋体" w:cs="Times New Roman"/>
          <w:color w:val="auto"/>
          <w:sz w:val="24"/>
          <w:szCs w:val="24"/>
          <w:highlight w:val="none"/>
          <w:u w:val="none"/>
          <w:lang w:val="en-US" w:eastAsia="zh-CN"/>
        </w:rPr>
        <w:t>征集</w:t>
      </w:r>
      <w:r>
        <w:rPr>
          <w:rFonts w:hint="eastAsia" w:ascii="宋体" w:hAnsi="宋体" w:eastAsia="宋体" w:cs="Times New Roman"/>
          <w:color w:val="auto"/>
          <w:sz w:val="24"/>
          <w:szCs w:val="24"/>
          <w:highlight w:val="none"/>
          <w:u w:val="none"/>
          <w:lang w:eastAsia="zh-CN"/>
        </w:rPr>
        <w:t>文件和三门峡市公共资源交易中心官网业务办理指南。</w:t>
      </w:r>
    </w:p>
    <w:p w14:paraId="7454EA0F">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八、联系方式</w:t>
      </w:r>
    </w:p>
    <w:p w14:paraId="17ED8DD6">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监督单位：卢氏县政府采购办公室</w:t>
      </w:r>
    </w:p>
    <w:p w14:paraId="7FF0534C">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联系人：郭亚楠</w:t>
      </w:r>
    </w:p>
    <w:p w14:paraId="0D3B44AE">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电话：0398-7863556</w:t>
      </w:r>
    </w:p>
    <w:p w14:paraId="3FB60B47">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地址：卢氏县城关镇解放路中段</w:t>
      </w:r>
    </w:p>
    <w:p w14:paraId="667F3992">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监督单位：卢氏县机关事务中心</w:t>
      </w:r>
    </w:p>
    <w:p w14:paraId="3B0669BA">
      <w:pPr>
        <w:pageBreakBefore w:val="0"/>
        <w:wordWrap w:val="0"/>
        <w:overflowPunct/>
        <w:bidi w:val="0"/>
        <w:spacing w:line="360" w:lineRule="auto"/>
        <w:ind w:firstLine="480" w:firstLineChars="200"/>
        <w:rPr>
          <w:rFonts w:hint="default"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联系人：</w:t>
      </w:r>
      <w:r>
        <w:rPr>
          <w:rFonts w:hint="eastAsia" w:cs="Times New Roman"/>
          <w:color w:val="auto"/>
          <w:sz w:val="24"/>
          <w:szCs w:val="24"/>
          <w:highlight w:val="none"/>
          <w:u w:val="none"/>
          <w:lang w:val="en-US" w:eastAsia="zh-CN"/>
        </w:rPr>
        <w:t>鲁艺兰</w:t>
      </w:r>
    </w:p>
    <w:p w14:paraId="50575CDE">
      <w:pPr>
        <w:pageBreakBefore w:val="0"/>
        <w:wordWrap w:val="0"/>
        <w:overflowPunct/>
        <w:bidi w:val="0"/>
        <w:spacing w:line="360" w:lineRule="auto"/>
        <w:ind w:firstLine="480" w:firstLineChars="200"/>
        <w:rPr>
          <w:rFonts w:hint="default"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电话：</w:t>
      </w:r>
      <w:r>
        <w:rPr>
          <w:rFonts w:hint="eastAsia" w:cs="Times New Roman"/>
          <w:color w:val="auto"/>
          <w:sz w:val="24"/>
          <w:szCs w:val="24"/>
          <w:highlight w:val="none"/>
          <w:u w:val="none"/>
          <w:lang w:val="en-US" w:eastAsia="zh-CN"/>
        </w:rPr>
        <w:t>0398-7189913</w:t>
      </w:r>
    </w:p>
    <w:p w14:paraId="5558D9BF">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地址：卢氏县东明镇解放路东段老地税院</w:t>
      </w:r>
    </w:p>
    <w:p w14:paraId="5FFB3532">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征集人：卢氏县机关事务中心</w:t>
      </w:r>
    </w:p>
    <w:p w14:paraId="611A3E45">
      <w:pPr>
        <w:pageBreakBefore w:val="0"/>
        <w:wordWrap w:val="0"/>
        <w:overflowPunct/>
        <w:bidi w:val="0"/>
        <w:spacing w:line="360" w:lineRule="auto"/>
        <w:ind w:firstLine="480" w:firstLineChars="200"/>
        <w:rPr>
          <w:rFonts w:hint="default"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联系人：</w:t>
      </w:r>
      <w:r>
        <w:rPr>
          <w:rFonts w:hint="eastAsia" w:cs="Times New Roman"/>
          <w:color w:val="auto"/>
          <w:sz w:val="24"/>
          <w:szCs w:val="24"/>
          <w:highlight w:val="none"/>
          <w:u w:val="none"/>
          <w:lang w:val="en-US" w:eastAsia="zh-CN"/>
        </w:rPr>
        <w:t>周安新</w:t>
      </w:r>
    </w:p>
    <w:p w14:paraId="0BA9DD9D">
      <w:pPr>
        <w:pageBreakBefore w:val="0"/>
        <w:wordWrap w:val="0"/>
        <w:overflowPunct/>
        <w:bidi w:val="0"/>
        <w:spacing w:line="360" w:lineRule="auto"/>
        <w:ind w:firstLine="480" w:firstLineChars="200"/>
        <w:rPr>
          <w:rFonts w:hint="default"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电话：</w:t>
      </w:r>
      <w:r>
        <w:rPr>
          <w:rFonts w:hint="eastAsia" w:cs="Times New Roman"/>
          <w:color w:val="auto"/>
          <w:sz w:val="24"/>
          <w:szCs w:val="24"/>
          <w:highlight w:val="none"/>
          <w:u w:val="none"/>
          <w:lang w:val="en-US" w:eastAsia="zh-CN"/>
        </w:rPr>
        <w:t>0398-7189913</w:t>
      </w:r>
    </w:p>
    <w:p w14:paraId="6412FA23">
      <w:pPr>
        <w:pageBreakBefore w:val="0"/>
        <w:wordWrap w:val="0"/>
        <w:overflowPunct/>
        <w:bidi w:val="0"/>
        <w:spacing w:line="360" w:lineRule="auto"/>
        <w:ind w:firstLine="480" w:firstLineChars="200"/>
        <w:rPr>
          <w:rFonts w:hint="eastAsia" w:ascii="宋体" w:hAnsi="宋体" w:eastAsia="宋体" w:cs="Times New Roman"/>
          <w:color w:val="FF0000"/>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地址：卢氏县东明镇解放路东段老地税院</w:t>
      </w:r>
    </w:p>
    <w:p w14:paraId="08055D15">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代理机构：中审润奥项目管理有限公司</w:t>
      </w:r>
    </w:p>
    <w:p w14:paraId="0F174DD2">
      <w:pPr>
        <w:pageBreakBefore w:val="0"/>
        <w:wordWrap w:val="0"/>
        <w:overflowPunct/>
        <w:bidi w:val="0"/>
        <w:spacing w:line="360" w:lineRule="auto"/>
        <w:ind w:firstLine="480" w:firstLineChars="200"/>
        <w:rPr>
          <w:rFonts w:hint="default"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联系人：周洋</w:t>
      </w:r>
    </w:p>
    <w:p w14:paraId="49B50248">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联系电话：15238952275、18839867725</w:t>
      </w:r>
    </w:p>
    <w:p w14:paraId="4C4326C5">
      <w:pPr>
        <w:pageBreakBefore w:val="0"/>
        <w:wordWrap w:val="0"/>
        <w:overflowPunct/>
        <w:bidi w:val="0"/>
        <w:spacing w:line="360" w:lineRule="auto"/>
        <w:ind w:firstLine="480" w:firstLineChars="200"/>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 xml:space="preserve">地址：郑州市中原区建设西路10号9层901号 </w:t>
      </w:r>
      <w:r>
        <w:rPr>
          <w:rFonts w:hint="eastAsia" w:ascii="宋体" w:hAnsi="宋体" w:eastAsia="宋体" w:cs="Times New Roman"/>
          <w:color w:val="auto"/>
          <w:sz w:val="24"/>
          <w:szCs w:val="24"/>
          <w:highlight w:val="none"/>
          <w:u w:val="none"/>
          <w:lang w:val="en-US" w:eastAsia="zh-CN"/>
        </w:rPr>
        <w:br w:type="page"/>
      </w:r>
    </w:p>
    <w:p w14:paraId="085F48F5">
      <w:pPr>
        <w:pageBreakBefore w:val="0"/>
        <w:numPr>
          <w:ilvl w:val="0"/>
          <w:numId w:val="0"/>
        </w:numPr>
        <w:wordWrap w:val="0"/>
        <w:overflowPunct/>
        <w:bidi w:val="0"/>
        <w:spacing w:line="360" w:lineRule="auto"/>
        <w:jc w:val="center"/>
        <w:outlineLvl w:val="0"/>
        <w:rPr>
          <w:rStyle w:val="38"/>
          <w:rFonts w:ascii="宋体" w:hAnsi="宋体" w:cs="宋体"/>
          <w:color w:val="auto"/>
          <w:highlight w:val="none"/>
          <w:u w:val="none"/>
        </w:rPr>
      </w:pPr>
      <w:r>
        <w:rPr>
          <w:rStyle w:val="38"/>
          <w:rFonts w:hint="eastAsia" w:ascii="宋体" w:hAnsi="宋体" w:eastAsia="宋体" w:cs="宋体"/>
          <w:color w:val="auto"/>
          <w:highlight w:val="none"/>
          <w:u w:val="none"/>
          <w:lang w:eastAsia="zh-CN"/>
        </w:rPr>
        <w:t>第二章</w:t>
      </w:r>
      <w:r>
        <w:rPr>
          <w:rStyle w:val="38"/>
          <w:rFonts w:hint="eastAsia" w:ascii="宋体" w:hAnsi="宋体" w:eastAsia="宋体" w:cs="宋体"/>
          <w:color w:val="auto"/>
          <w:highlight w:val="none"/>
          <w:u w:val="none"/>
        </w:rPr>
        <w:t xml:space="preserve"> </w:t>
      </w:r>
      <w:bookmarkStart w:id="3" w:name="_Toc108379314"/>
      <w:bookmarkStart w:id="4" w:name="_Toc15521"/>
      <w:bookmarkStart w:id="5" w:name="_Toc2181"/>
      <w:r>
        <w:rPr>
          <w:rStyle w:val="38"/>
          <w:rFonts w:hint="eastAsia" w:ascii="宋体" w:hAnsi="宋体" w:cs="宋体"/>
          <w:color w:val="auto"/>
          <w:highlight w:val="none"/>
          <w:u w:val="none"/>
        </w:rPr>
        <w:t>供应商须知</w:t>
      </w:r>
      <w:bookmarkEnd w:id="3"/>
      <w:bookmarkEnd w:id="4"/>
      <w:bookmarkEnd w:id="5"/>
    </w:p>
    <w:p w14:paraId="4A92CD45">
      <w:pPr>
        <w:pStyle w:val="20"/>
        <w:pageBreakBefore w:val="0"/>
        <w:wordWrap w:val="0"/>
        <w:overflowPunct/>
        <w:bidi w:val="0"/>
        <w:ind w:firstLine="241"/>
        <w:jc w:val="center"/>
        <w:outlineLvl w:val="1"/>
        <w:rPr>
          <w:b/>
          <w:color w:val="auto"/>
          <w:sz w:val="24"/>
          <w:szCs w:val="24"/>
          <w:highlight w:val="none"/>
          <w:u w:val="none"/>
        </w:rPr>
      </w:pPr>
      <w:bookmarkStart w:id="6" w:name="_Toc403"/>
      <w:bookmarkStart w:id="7" w:name="_Toc108379315"/>
      <w:bookmarkStart w:id="8" w:name="_Toc21153"/>
      <w:r>
        <w:rPr>
          <w:rFonts w:hint="eastAsia"/>
          <w:b/>
          <w:color w:val="auto"/>
          <w:sz w:val="24"/>
          <w:szCs w:val="24"/>
          <w:highlight w:val="none"/>
          <w:u w:val="none"/>
        </w:rPr>
        <w:t>供应商须知前附表</w:t>
      </w:r>
      <w:bookmarkEnd w:id="6"/>
      <w:bookmarkEnd w:id="7"/>
      <w:bookmarkEnd w:id="8"/>
    </w:p>
    <w:tbl>
      <w:tblPr>
        <w:tblStyle w:val="22"/>
        <w:tblpPr w:leftFromText="180" w:rightFromText="180" w:vertAnchor="text" w:horzAnchor="page" w:tblpX="1480" w:tblpY="453"/>
        <w:tblOverlap w:val="never"/>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1950"/>
        <w:gridCol w:w="6314"/>
      </w:tblGrid>
      <w:tr w14:paraId="1C39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168E2873">
            <w:pPr>
              <w:pageBreakBefore w:val="0"/>
              <w:wordWrap w:val="0"/>
              <w:overflowPunct/>
              <w:bidi w:val="0"/>
              <w:snapToGrid w:val="0"/>
              <w:spacing w:line="360" w:lineRule="atLeast"/>
              <w:jc w:val="center"/>
              <w:rPr>
                <w:b/>
                <w:bCs/>
                <w:color w:val="auto"/>
                <w:sz w:val="24"/>
                <w:szCs w:val="24"/>
                <w:highlight w:val="none"/>
                <w:u w:val="none"/>
              </w:rPr>
            </w:pPr>
            <w:r>
              <w:rPr>
                <w:rFonts w:hint="eastAsia"/>
                <w:b/>
                <w:bCs/>
                <w:color w:val="auto"/>
                <w:sz w:val="24"/>
                <w:szCs w:val="24"/>
                <w:highlight w:val="none"/>
                <w:u w:val="none"/>
              </w:rPr>
              <w:t>条款号</w:t>
            </w:r>
          </w:p>
        </w:tc>
        <w:tc>
          <w:tcPr>
            <w:tcW w:w="1950" w:type="dxa"/>
            <w:vAlign w:val="center"/>
          </w:tcPr>
          <w:p w14:paraId="165BD799">
            <w:pPr>
              <w:pageBreakBefore w:val="0"/>
              <w:wordWrap w:val="0"/>
              <w:overflowPunct/>
              <w:bidi w:val="0"/>
              <w:snapToGrid w:val="0"/>
              <w:spacing w:line="360" w:lineRule="atLeast"/>
              <w:jc w:val="center"/>
              <w:rPr>
                <w:b/>
                <w:bCs/>
                <w:color w:val="auto"/>
                <w:sz w:val="24"/>
                <w:szCs w:val="24"/>
                <w:highlight w:val="none"/>
                <w:u w:val="none"/>
              </w:rPr>
            </w:pPr>
            <w:r>
              <w:rPr>
                <w:rFonts w:hint="eastAsia"/>
                <w:b/>
                <w:bCs/>
                <w:color w:val="auto"/>
                <w:sz w:val="24"/>
                <w:szCs w:val="24"/>
                <w:highlight w:val="none"/>
                <w:u w:val="none"/>
              </w:rPr>
              <w:t>条款名称</w:t>
            </w:r>
          </w:p>
        </w:tc>
        <w:tc>
          <w:tcPr>
            <w:tcW w:w="6314" w:type="dxa"/>
            <w:vAlign w:val="center"/>
          </w:tcPr>
          <w:p w14:paraId="02274B05">
            <w:pPr>
              <w:pageBreakBefore w:val="0"/>
              <w:wordWrap w:val="0"/>
              <w:overflowPunct/>
              <w:bidi w:val="0"/>
              <w:snapToGrid w:val="0"/>
              <w:spacing w:line="360" w:lineRule="atLeast"/>
              <w:jc w:val="center"/>
              <w:rPr>
                <w:b/>
                <w:bCs/>
                <w:color w:val="auto"/>
                <w:sz w:val="24"/>
                <w:szCs w:val="24"/>
                <w:highlight w:val="none"/>
                <w:u w:val="none"/>
              </w:rPr>
            </w:pPr>
            <w:r>
              <w:rPr>
                <w:rFonts w:hint="eastAsia"/>
                <w:b/>
                <w:bCs/>
                <w:color w:val="auto"/>
                <w:sz w:val="24"/>
                <w:szCs w:val="24"/>
                <w:highlight w:val="none"/>
                <w:u w:val="none"/>
              </w:rPr>
              <w:t>编列内容</w:t>
            </w:r>
          </w:p>
        </w:tc>
      </w:tr>
      <w:tr w14:paraId="7F30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0AB99D06">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1</w:t>
            </w:r>
          </w:p>
        </w:tc>
        <w:tc>
          <w:tcPr>
            <w:tcW w:w="1950" w:type="dxa"/>
            <w:vAlign w:val="center"/>
          </w:tcPr>
          <w:p w14:paraId="33BC429D">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采购人</w:t>
            </w:r>
          </w:p>
        </w:tc>
        <w:tc>
          <w:tcPr>
            <w:tcW w:w="6314" w:type="dxa"/>
            <w:vAlign w:val="center"/>
          </w:tcPr>
          <w:p w14:paraId="6409044E">
            <w:pPr>
              <w:pageBreakBefore w:val="0"/>
              <w:widowControl/>
              <w:wordWrap w:val="0"/>
              <w:overflowPunct/>
              <w:bidi w:val="0"/>
              <w:snapToGrid w:val="0"/>
              <w:spacing w:line="360" w:lineRule="atLeast"/>
              <w:rPr>
                <w:rFonts w:hint="eastAsia"/>
                <w:color w:val="auto"/>
                <w:sz w:val="24"/>
                <w:szCs w:val="24"/>
                <w:highlight w:val="none"/>
                <w:u w:val="none"/>
                <w:lang w:val="en-US" w:eastAsia="zh-CN"/>
              </w:rPr>
            </w:pPr>
            <w:r>
              <w:rPr>
                <w:rFonts w:hint="eastAsia"/>
                <w:color w:val="auto"/>
                <w:sz w:val="24"/>
                <w:szCs w:val="24"/>
                <w:highlight w:val="none"/>
                <w:u w:val="none"/>
                <w:lang w:val="en-US" w:eastAsia="zh-CN"/>
              </w:rPr>
              <w:t>征集人：卢氏县机关事务中心</w:t>
            </w:r>
          </w:p>
          <w:p w14:paraId="7E5570F1">
            <w:pPr>
              <w:pageBreakBefore w:val="0"/>
              <w:widowControl/>
              <w:wordWrap w:val="0"/>
              <w:overflowPunct/>
              <w:bidi w:val="0"/>
              <w:snapToGrid w:val="0"/>
              <w:spacing w:line="360" w:lineRule="atLeast"/>
              <w:rPr>
                <w:rFonts w:hint="eastAsia"/>
                <w:color w:val="auto"/>
                <w:sz w:val="24"/>
                <w:szCs w:val="24"/>
                <w:highlight w:val="none"/>
                <w:u w:val="none"/>
                <w:lang w:val="en-US" w:eastAsia="zh-CN"/>
              </w:rPr>
            </w:pPr>
            <w:r>
              <w:rPr>
                <w:rFonts w:hint="eastAsia"/>
                <w:color w:val="auto"/>
                <w:sz w:val="24"/>
                <w:szCs w:val="24"/>
                <w:highlight w:val="none"/>
                <w:u w:val="none"/>
                <w:lang w:val="en-US" w:eastAsia="zh-CN"/>
              </w:rPr>
              <w:t>联系人：周安新</w:t>
            </w:r>
          </w:p>
          <w:p w14:paraId="74DE823C">
            <w:pPr>
              <w:pageBreakBefore w:val="0"/>
              <w:widowControl/>
              <w:wordWrap w:val="0"/>
              <w:overflowPunct/>
              <w:bidi w:val="0"/>
              <w:snapToGrid w:val="0"/>
              <w:spacing w:line="360" w:lineRule="atLeast"/>
              <w:rPr>
                <w:rFonts w:hint="eastAsia"/>
                <w:color w:val="auto"/>
                <w:sz w:val="24"/>
                <w:szCs w:val="24"/>
                <w:highlight w:val="none"/>
                <w:u w:val="none"/>
                <w:lang w:val="en-US" w:eastAsia="zh-CN"/>
              </w:rPr>
            </w:pPr>
            <w:r>
              <w:rPr>
                <w:rFonts w:hint="eastAsia"/>
                <w:color w:val="auto"/>
                <w:sz w:val="24"/>
                <w:szCs w:val="24"/>
                <w:highlight w:val="none"/>
                <w:u w:val="none"/>
                <w:lang w:val="en-US" w:eastAsia="zh-CN"/>
              </w:rPr>
              <w:t>电话：0398-7189913</w:t>
            </w:r>
          </w:p>
          <w:p w14:paraId="20B9FFAB">
            <w:pPr>
              <w:pageBreakBefore w:val="0"/>
              <w:widowControl/>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lang w:val="en-US" w:eastAsia="zh-CN"/>
              </w:rPr>
              <w:t>地址：卢氏县东明镇解放路东段老地税院</w:t>
            </w:r>
          </w:p>
        </w:tc>
      </w:tr>
      <w:tr w14:paraId="7FC6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045ABDD1">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w:t>
            </w:r>
          </w:p>
        </w:tc>
        <w:tc>
          <w:tcPr>
            <w:tcW w:w="1950" w:type="dxa"/>
            <w:vAlign w:val="center"/>
          </w:tcPr>
          <w:p w14:paraId="3F4CF912">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采购代理机构</w:t>
            </w:r>
          </w:p>
        </w:tc>
        <w:tc>
          <w:tcPr>
            <w:tcW w:w="6314" w:type="dxa"/>
            <w:vAlign w:val="center"/>
          </w:tcPr>
          <w:p w14:paraId="4BD6FA79">
            <w:pPr>
              <w:pageBreakBefore w:val="0"/>
              <w:widowControl/>
              <w:wordWrap w:val="0"/>
              <w:overflowPunct/>
              <w:bidi w:val="0"/>
              <w:spacing w:line="400" w:lineRule="exact"/>
              <w:jc w:val="left"/>
              <w:rPr>
                <w:rFonts w:hint="eastAsia"/>
                <w:bCs/>
                <w:color w:val="auto"/>
                <w:kern w:val="0"/>
                <w:sz w:val="24"/>
                <w:szCs w:val="24"/>
                <w:highlight w:val="none"/>
                <w:u w:val="none"/>
                <w:lang w:val="en-US" w:eastAsia="zh-CN" w:bidi="ar"/>
              </w:rPr>
            </w:pPr>
            <w:r>
              <w:rPr>
                <w:rFonts w:hint="eastAsia"/>
                <w:bCs/>
                <w:color w:val="auto"/>
                <w:kern w:val="0"/>
                <w:sz w:val="24"/>
                <w:szCs w:val="24"/>
                <w:highlight w:val="none"/>
                <w:u w:val="none"/>
                <w:lang w:val="en-US" w:eastAsia="zh-CN" w:bidi="ar"/>
              </w:rPr>
              <w:t>代理机构：中审润奥项目管理有限公司</w:t>
            </w:r>
          </w:p>
          <w:p w14:paraId="7CAA664F">
            <w:pPr>
              <w:pageBreakBefore w:val="0"/>
              <w:widowControl/>
              <w:wordWrap w:val="0"/>
              <w:overflowPunct/>
              <w:bidi w:val="0"/>
              <w:spacing w:line="400" w:lineRule="exact"/>
              <w:jc w:val="left"/>
              <w:rPr>
                <w:rFonts w:hint="default"/>
                <w:bCs/>
                <w:color w:val="auto"/>
                <w:kern w:val="0"/>
                <w:sz w:val="24"/>
                <w:szCs w:val="24"/>
                <w:highlight w:val="none"/>
                <w:u w:val="none"/>
                <w:lang w:val="en-US" w:eastAsia="zh-CN" w:bidi="ar"/>
              </w:rPr>
            </w:pPr>
            <w:r>
              <w:rPr>
                <w:rFonts w:hint="eastAsia"/>
                <w:bCs/>
                <w:color w:val="auto"/>
                <w:kern w:val="0"/>
                <w:sz w:val="24"/>
                <w:szCs w:val="24"/>
                <w:highlight w:val="none"/>
                <w:u w:val="none"/>
                <w:lang w:val="en-US" w:eastAsia="zh-CN" w:bidi="ar"/>
              </w:rPr>
              <w:t>联系人：周洋</w:t>
            </w:r>
          </w:p>
          <w:p w14:paraId="72B38CC4">
            <w:pPr>
              <w:pageBreakBefore w:val="0"/>
              <w:widowControl/>
              <w:wordWrap w:val="0"/>
              <w:overflowPunct/>
              <w:bidi w:val="0"/>
              <w:spacing w:line="400" w:lineRule="exact"/>
              <w:jc w:val="left"/>
              <w:rPr>
                <w:rFonts w:hint="eastAsia"/>
                <w:bCs/>
                <w:color w:val="auto"/>
                <w:kern w:val="0"/>
                <w:sz w:val="24"/>
                <w:szCs w:val="24"/>
                <w:highlight w:val="none"/>
                <w:u w:val="none"/>
                <w:lang w:val="en-US" w:eastAsia="zh-CN" w:bidi="ar"/>
              </w:rPr>
            </w:pPr>
            <w:r>
              <w:rPr>
                <w:rFonts w:hint="eastAsia"/>
                <w:bCs/>
                <w:color w:val="auto"/>
                <w:kern w:val="0"/>
                <w:sz w:val="24"/>
                <w:szCs w:val="24"/>
                <w:highlight w:val="none"/>
                <w:u w:val="none"/>
                <w:lang w:val="en-US" w:eastAsia="zh-CN" w:bidi="ar"/>
              </w:rPr>
              <w:t>联系电话：15238952275、18839867725</w:t>
            </w:r>
          </w:p>
          <w:p w14:paraId="378A07EB">
            <w:pPr>
              <w:pageBreakBefore w:val="0"/>
              <w:widowControl/>
              <w:wordWrap w:val="0"/>
              <w:overflowPunct/>
              <w:bidi w:val="0"/>
              <w:spacing w:line="400" w:lineRule="exact"/>
              <w:jc w:val="left"/>
              <w:rPr>
                <w:bCs/>
                <w:color w:val="auto"/>
                <w:kern w:val="0"/>
                <w:sz w:val="24"/>
                <w:szCs w:val="24"/>
                <w:highlight w:val="none"/>
                <w:u w:val="none"/>
                <w:lang w:bidi="ar"/>
              </w:rPr>
            </w:pPr>
            <w:r>
              <w:rPr>
                <w:rFonts w:hint="eastAsia"/>
                <w:bCs/>
                <w:color w:val="auto"/>
                <w:kern w:val="0"/>
                <w:sz w:val="24"/>
                <w:szCs w:val="24"/>
                <w:highlight w:val="none"/>
                <w:u w:val="none"/>
                <w:lang w:val="en-US" w:eastAsia="zh-CN" w:bidi="ar"/>
              </w:rPr>
              <w:t xml:space="preserve">地址：郑州市中原区建设西路10号9层901号 </w:t>
            </w:r>
          </w:p>
        </w:tc>
      </w:tr>
      <w:tr w14:paraId="5E64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058" w:type="dxa"/>
            <w:vAlign w:val="center"/>
          </w:tcPr>
          <w:p w14:paraId="4CA2F8DD">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3</w:t>
            </w:r>
          </w:p>
        </w:tc>
        <w:tc>
          <w:tcPr>
            <w:tcW w:w="1950" w:type="dxa"/>
            <w:vAlign w:val="center"/>
          </w:tcPr>
          <w:p w14:paraId="7F4F8635">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适用框架协议的采购对象范围</w:t>
            </w:r>
          </w:p>
        </w:tc>
        <w:tc>
          <w:tcPr>
            <w:tcW w:w="6314" w:type="dxa"/>
            <w:vAlign w:val="center"/>
          </w:tcPr>
          <w:p w14:paraId="558F6879">
            <w:pPr>
              <w:pageBreakBefore w:val="0"/>
              <w:wordWrap w:val="0"/>
              <w:overflowPunct/>
              <w:bidi w:val="0"/>
              <w:snapToGrid w:val="0"/>
              <w:spacing w:line="360" w:lineRule="atLeast"/>
              <w:rPr>
                <w:rFonts w:hint="eastAsia" w:eastAsia="宋体"/>
                <w:color w:val="auto"/>
                <w:sz w:val="24"/>
                <w:szCs w:val="24"/>
                <w:highlight w:val="none"/>
                <w:u w:val="none"/>
                <w:lang w:eastAsia="zh-CN"/>
              </w:rPr>
            </w:pPr>
            <w:r>
              <w:rPr>
                <w:rFonts w:hint="eastAsia"/>
                <w:color w:val="auto"/>
                <w:kern w:val="0"/>
                <w:sz w:val="24"/>
                <w:szCs w:val="24"/>
                <w:highlight w:val="none"/>
                <w:u w:val="none"/>
                <w:shd w:val="clear" w:color="auto" w:fill="FFFFFF"/>
                <w:lang w:eastAsia="zh-CN" w:bidi="ar"/>
              </w:rPr>
              <w:t>卢氏县机关事务中心</w:t>
            </w:r>
          </w:p>
        </w:tc>
      </w:tr>
      <w:tr w14:paraId="0F31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10C81551">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4</w:t>
            </w:r>
          </w:p>
        </w:tc>
        <w:tc>
          <w:tcPr>
            <w:tcW w:w="1950" w:type="dxa"/>
            <w:vAlign w:val="center"/>
          </w:tcPr>
          <w:p w14:paraId="2088495F">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资金来源</w:t>
            </w:r>
          </w:p>
        </w:tc>
        <w:tc>
          <w:tcPr>
            <w:tcW w:w="6314" w:type="dxa"/>
            <w:vAlign w:val="center"/>
          </w:tcPr>
          <w:p w14:paraId="0E9A5C08">
            <w:pPr>
              <w:pageBreakBefore w:val="0"/>
              <w:wordWrap w:val="0"/>
              <w:overflowPunct/>
              <w:bidi w:val="0"/>
              <w:snapToGrid w:val="0"/>
              <w:spacing w:line="360" w:lineRule="atLeast"/>
              <w:jc w:val="left"/>
              <w:rPr>
                <w:color w:val="auto"/>
                <w:sz w:val="24"/>
                <w:szCs w:val="24"/>
                <w:highlight w:val="none"/>
                <w:u w:val="none"/>
              </w:rPr>
            </w:pPr>
            <w:r>
              <w:rPr>
                <w:rFonts w:hint="eastAsia"/>
                <w:color w:val="auto"/>
                <w:sz w:val="24"/>
                <w:szCs w:val="24"/>
                <w:highlight w:val="none"/>
                <w:u w:val="none"/>
                <w:lang w:eastAsia="zh-CN"/>
              </w:rPr>
              <w:t>财政资金</w:t>
            </w:r>
            <w:r>
              <w:rPr>
                <w:rFonts w:hint="eastAsia"/>
                <w:color w:val="auto"/>
                <w:sz w:val="24"/>
                <w:szCs w:val="24"/>
                <w:highlight w:val="none"/>
                <w:u w:val="none"/>
              </w:rPr>
              <w:t>，已落实</w:t>
            </w:r>
          </w:p>
        </w:tc>
      </w:tr>
      <w:tr w14:paraId="6331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37ECD46C">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5</w:t>
            </w:r>
          </w:p>
        </w:tc>
        <w:tc>
          <w:tcPr>
            <w:tcW w:w="1950" w:type="dxa"/>
            <w:vAlign w:val="center"/>
          </w:tcPr>
          <w:p w14:paraId="7694AF52">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项目名称及项目编号</w:t>
            </w:r>
          </w:p>
        </w:tc>
        <w:tc>
          <w:tcPr>
            <w:tcW w:w="6314" w:type="dxa"/>
            <w:vAlign w:val="center"/>
          </w:tcPr>
          <w:p w14:paraId="21A95CBD">
            <w:pPr>
              <w:pageBreakBefore w:val="0"/>
              <w:wordWrap w:val="0"/>
              <w:overflowPunct/>
              <w:bidi w:val="0"/>
              <w:snapToGrid w:val="0"/>
              <w:spacing w:line="360" w:lineRule="atLeast"/>
              <w:jc w:val="left"/>
              <w:rPr>
                <w:rFonts w:hint="eastAsia" w:eastAsia="宋体"/>
                <w:b/>
                <w:color w:val="auto"/>
                <w:sz w:val="24"/>
                <w:szCs w:val="24"/>
                <w:highlight w:val="none"/>
                <w:u w:val="none"/>
                <w:lang w:eastAsia="zh-CN"/>
              </w:rPr>
            </w:pPr>
            <w:r>
              <w:rPr>
                <w:rFonts w:hint="eastAsia"/>
                <w:color w:val="auto"/>
                <w:sz w:val="24"/>
                <w:szCs w:val="24"/>
                <w:highlight w:val="none"/>
                <w:u w:val="none"/>
              </w:rPr>
              <w:t>项目名称：</w:t>
            </w:r>
            <w:r>
              <w:rPr>
                <w:rFonts w:hint="eastAsia"/>
                <w:color w:val="auto"/>
                <w:sz w:val="24"/>
                <w:szCs w:val="24"/>
                <w:highlight w:val="none"/>
                <w:u w:val="none"/>
                <w:shd w:val="clear" w:color="auto" w:fill="FFFFFF"/>
                <w:lang w:eastAsia="zh-CN"/>
              </w:rPr>
              <w:t>卢氏县机关事务中心车辆维修保养及租赁定点服务项目</w:t>
            </w:r>
          </w:p>
          <w:p w14:paraId="66ED9F82">
            <w:pPr>
              <w:pageBreakBefore w:val="0"/>
              <w:wordWrap w:val="0"/>
              <w:overflowPunct/>
              <w:bidi w:val="0"/>
              <w:snapToGrid w:val="0"/>
              <w:spacing w:line="360" w:lineRule="atLeast"/>
              <w:jc w:val="left"/>
              <w:rPr>
                <w:color w:val="auto"/>
                <w:sz w:val="24"/>
                <w:szCs w:val="24"/>
                <w:highlight w:val="none"/>
                <w:u w:val="none"/>
              </w:rPr>
            </w:pPr>
            <w:r>
              <w:rPr>
                <w:rFonts w:hint="eastAsia"/>
                <w:color w:val="auto"/>
                <w:sz w:val="24"/>
                <w:szCs w:val="24"/>
                <w:highlight w:val="none"/>
                <w:u w:val="none"/>
              </w:rPr>
              <w:t>项目编号：</w:t>
            </w:r>
            <w:r>
              <w:rPr>
                <w:rFonts w:hint="eastAsia" w:ascii="宋体" w:hAnsi="宋体" w:eastAsia="宋体" w:cs="Times New Roman"/>
                <w:bCs/>
                <w:color w:val="auto"/>
                <w:sz w:val="24"/>
                <w:szCs w:val="24"/>
                <w:highlight w:val="none"/>
                <w:u w:val="none"/>
                <w:lang w:val="en-US" w:eastAsia="zh-CN"/>
              </w:rPr>
              <w:t>三卢公开采购-2026-32、LSGZ[2026]149-ZC117</w:t>
            </w:r>
          </w:p>
        </w:tc>
      </w:tr>
      <w:tr w14:paraId="1D79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64321FBC">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6</w:t>
            </w:r>
          </w:p>
        </w:tc>
        <w:tc>
          <w:tcPr>
            <w:tcW w:w="1950" w:type="dxa"/>
            <w:vAlign w:val="center"/>
          </w:tcPr>
          <w:p w14:paraId="6F6676EB">
            <w:pPr>
              <w:pageBreakBefore w:val="0"/>
              <w:wordWrap w:val="0"/>
              <w:overflowPunct/>
              <w:topLinePunct/>
              <w:bidi w:val="0"/>
              <w:snapToGrid w:val="0"/>
              <w:spacing w:line="360" w:lineRule="atLeast"/>
              <w:jc w:val="center"/>
              <w:rPr>
                <w:rFonts w:hint="eastAsia" w:eastAsia="宋体"/>
                <w:color w:val="auto"/>
                <w:sz w:val="24"/>
                <w:szCs w:val="24"/>
                <w:highlight w:val="none"/>
                <w:u w:val="none"/>
                <w:lang w:eastAsia="zh-CN"/>
              </w:rPr>
            </w:pPr>
            <w:r>
              <w:rPr>
                <w:rFonts w:hint="eastAsia"/>
                <w:color w:val="auto"/>
                <w:sz w:val="24"/>
                <w:szCs w:val="24"/>
                <w:highlight w:val="none"/>
                <w:u w:val="none"/>
                <w:lang w:eastAsia="zh-CN"/>
              </w:rPr>
              <w:t>服务内容</w:t>
            </w:r>
          </w:p>
        </w:tc>
        <w:tc>
          <w:tcPr>
            <w:tcW w:w="6314" w:type="dxa"/>
            <w:vAlign w:val="center"/>
          </w:tcPr>
          <w:p w14:paraId="5AEA7020">
            <w:pPr>
              <w:pageBreakBefore w:val="0"/>
              <w:wordWrap w:val="0"/>
              <w:overflowPunct/>
              <w:bidi w:val="0"/>
              <w:spacing w:line="360" w:lineRule="auto"/>
              <w:ind w:firstLine="480" w:firstLineChars="200"/>
              <w:rPr>
                <w:rFonts w:hint="default"/>
                <w:color w:val="auto"/>
                <w:sz w:val="24"/>
                <w:szCs w:val="24"/>
                <w:highlight w:val="none"/>
                <w:u w:val="none"/>
                <w:lang w:val="en-US"/>
              </w:rPr>
            </w:pPr>
            <w:r>
              <w:rPr>
                <w:rFonts w:hint="eastAsia" w:cs="Times New Roman"/>
                <w:bCs/>
                <w:color w:val="auto"/>
                <w:sz w:val="24"/>
                <w:szCs w:val="24"/>
                <w:highlight w:val="none"/>
                <w:u w:val="none"/>
                <w:lang w:val="en-US" w:eastAsia="zh-CN"/>
              </w:rPr>
              <w:t>本次征集活动为第一阶段入围供应商，</w:t>
            </w:r>
            <w:r>
              <w:rPr>
                <w:rFonts w:hint="eastAsia" w:ascii="宋体" w:hAnsi="宋体" w:eastAsia="宋体" w:cs="Times New Roman"/>
                <w:bCs/>
                <w:color w:val="auto"/>
                <w:sz w:val="24"/>
                <w:szCs w:val="24"/>
                <w:highlight w:val="none"/>
                <w:u w:val="none"/>
                <w:lang w:val="en-US" w:eastAsia="zh-CN"/>
              </w:rPr>
              <w:t>一标段：车辆维修保养服务项目</w:t>
            </w:r>
            <w:r>
              <w:rPr>
                <w:rFonts w:hint="eastAsia" w:cs="Times New Roman"/>
                <w:bCs/>
                <w:color w:val="auto"/>
                <w:sz w:val="24"/>
                <w:szCs w:val="24"/>
                <w:highlight w:val="none"/>
                <w:u w:val="none"/>
                <w:lang w:val="en-US" w:eastAsia="zh-CN"/>
              </w:rPr>
              <w:t>入围3家供应商，提交响应文件和符合资格条件、实质性要求的供应商均不得少于4家，淘汰比例不低于20%，且淘汰不少于1家供应商，最终依据评分由高到低，；</w:t>
            </w:r>
            <w:r>
              <w:rPr>
                <w:rFonts w:hint="eastAsia" w:ascii="宋体" w:hAnsi="宋体" w:eastAsia="宋体" w:cs="Times New Roman"/>
                <w:bCs/>
                <w:color w:val="auto"/>
                <w:sz w:val="24"/>
                <w:szCs w:val="24"/>
                <w:highlight w:val="none"/>
                <w:u w:val="none"/>
                <w:lang w:val="en-US" w:eastAsia="zh-CN"/>
              </w:rPr>
              <w:t>二标段：补充平台车辆租赁服务项目</w:t>
            </w:r>
            <w:r>
              <w:rPr>
                <w:rFonts w:hint="eastAsia" w:cs="Times New Roman"/>
                <w:bCs/>
                <w:color w:val="auto"/>
                <w:sz w:val="24"/>
                <w:szCs w:val="24"/>
                <w:highlight w:val="none"/>
                <w:u w:val="none"/>
                <w:lang w:val="en-US" w:eastAsia="zh-CN"/>
              </w:rPr>
              <w:t>入围4家供应商，提交响应文件和符合资格条件、实质性要求的供应商均不得少于5家，淘汰比例不低于20%，且淘汰不少于1家供应商，最终依据评分由高到低</w:t>
            </w:r>
            <w:r>
              <w:rPr>
                <w:rFonts w:hint="eastAsia" w:ascii="宋体" w:hAnsi="宋体" w:eastAsia="宋体" w:cs="Times New Roman"/>
                <w:bCs/>
                <w:color w:val="auto"/>
                <w:sz w:val="24"/>
                <w:szCs w:val="24"/>
                <w:highlight w:val="none"/>
                <w:u w:val="none"/>
                <w:lang w:val="en-US" w:eastAsia="zh-CN"/>
              </w:rPr>
              <w:t>；</w:t>
            </w:r>
          </w:p>
        </w:tc>
      </w:tr>
      <w:tr w14:paraId="1698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435A0B8A">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7</w:t>
            </w:r>
          </w:p>
        </w:tc>
        <w:tc>
          <w:tcPr>
            <w:tcW w:w="1950" w:type="dxa"/>
            <w:vAlign w:val="center"/>
          </w:tcPr>
          <w:p w14:paraId="4ABD20AD">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服务期（框架协议期限）</w:t>
            </w:r>
          </w:p>
        </w:tc>
        <w:tc>
          <w:tcPr>
            <w:tcW w:w="6314" w:type="dxa"/>
            <w:vAlign w:val="center"/>
          </w:tcPr>
          <w:p w14:paraId="54F37292">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自框架协议签订之日起</w:t>
            </w:r>
            <w:r>
              <w:rPr>
                <w:rFonts w:hint="eastAsia"/>
                <w:color w:val="auto"/>
                <w:sz w:val="24"/>
                <w:szCs w:val="24"/>
                <w:highlight w:val="none"/>
                <w:u w:val="none"/>
                <w:lang w:val="en-US" w:eastAsia="zh-CN"/>
              </w:rPr>
              <w:t>2</w:t>
            </w:r>
            <w:r>
              <w:rPr>
                <w:rFonts w:hint="eastAsia"/>
                <w:color w:val="auto"/>
                <w:sz w:val="24"/>
                <w:szCs w:val="24"/>
                <w:highlight w:val="none"/>
                <w:u w:val="none"/>
              </w:rPr>
              <w:t>年</w:t>
            </w:r>
          </w:p>
        </w:tc>
      </w:tr>
      <w:tr w14:paraId="62C5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vAlign w:val="center"/>
          </w:tcPr>
          <w:p w14:paraId="25FEC902">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8</w:t>
            </w:r>
          </w:p>
        </w:tc>
        <w:tc>
          <w:tcPr>
            <w:tcW w:w="1950" w:type="dxa"/>
            <w:vAlign w:val="center"/>
          </w:tcPr>
          <w:p w14:paraId="549E1853">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质量要求</w:t>
            </w:r>
          </w:p>
        </w:tc>
        <w:tc>
          <w:tcPr>
            <w:tcW w:w="6314" w:type="dxa"/>
            <w:vAlign w:val="center"/>
          </w:tcPr>
          <w:p w14:paraId="69A625D8">
            <w:pPr>
              <w:pageBreakBefore w:val="0"/>
              <w:wordWrap w:val="0"/>
              <w:overflowPunct/>
              <w:bidi w:val="0"/>
              <w:snapToGrid w:val="0"/>
              <w:spacing w:line="360" w:lineRule="atLeast"/>
              <w:jc w:val="left"/>
              <w:rPr>
                <w:color w:val="auto"/>
                <w:sz w:val="24"/>
                <w:szCs w:val="24"/>
                <w:highlight w:val="none"/>
                <w:u w:val="none"/>
              </w:rPr>
            </w:pPr>
            <w:r>
              <w:rPr>
                <w:rFonts w:hint="eastAsia"/>
                <w:color w:val="auto"/>
                <w:sz w:val="24"/>
                <w:szCs w:val="24"/>
                <w:highlight w:val="none"/>
                <w:u w:val="none"/>
              </w:rPr>
              <w:t>满足国家、行业相关规范要求</w:t>
            </w:r>
          </w:p>
        </w:tc>
      </w:tr>
      <w:tr w14:paraId="765F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vAlign w:val="center"/>
          </w:tcPr>
          <w:p w14:paraId="717C10D0">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9</w:t>
            </w:r>
          </w:p>
        </w:tc>
        <w:tc>
          <w:tcPr>
            <w:tcW w:w="1950" w:type="dxa"/>
            <w:vAlign w:val="center"/>
          </w:tcPr>
          <w:p w14:paraId="5A0848A2">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售后服务要求</w:t>
            </w:r>
          </w:p>
        </w:tc>
        <w:tc>
          <w:tcPr>
            <w:tcW w:w="6314" w:type="dxa"/>
            <w:vAlign w:val="center"/>
          </w:tcPr>
          <w:p w14:paraId="325C5AF2">
            <w:pPr>
              <w:pageBreakBefore w:val="0"/>
              <w:wordWrap w:val="0"/>
              <w:overflowPunct/>
              <w:bidi w:val="0"/>
              <w:snapToGrid w:val="0"/>
              <w:spacing w:line="360" w:lineRule="atLeast"/>
              <w:jc w:val="left"/>
              <w:rPr>
                <w:color w:val="auto"/>
                <w:sz w:val="24"/>
                <w:szCs w:val="24"/>
                <w:highlight w:val="none"/>
                <w:u w:val="none"/>
              </w:rPr>
            </w:pPr>
            <w:r>
              <w:rPr>
                <w:rFonts w:hint="eastAsia"/>
                <w:color w:val="auto"/>
                <w:sz w:val="24"/>
                <w:szCs w:val="24"/>
                <w:highlight w:val="none"/>
                <w:u w:val="none"/>
              </w:rPr>
              <w:t>按国家（行业）标准执行</w:t>
            </w:r>
          </w:p>
        </w:tc>
      </w:tr>
      <w:tr w14:paraId="7A3B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17E14AE8">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10</w:t>
            </w:r>
          </w:p>
        </w:tc>
        <w:tc>
          <w:tcPr>
            <w:tcW w:w="1950" w:type="dxa"/>
            <w:vAlign w:val="center"/>
          </w:tcPr>
          <w:p w14:paraId="2B117612">
            <w:pPr>
              <w:pageBreakBefore w:val="0"/>
              <w:wordWrap w:val="0"/>
              <w:overflowPunct/>
              <w:topLine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供应商资格条件</w:t>
            </w:r>
          </w:p>
        </w:tc>
        <w:tc>
          <w:tcPr>
            <w:tcW w:w="6314" w:type="dxa"/>
            <w:vAlign w:val="center"/>
          </w:tcPr>
          <w:p w14:paraId="1B724C9E">
            <w:pPr>
              <w:pageBreakBefore w:val="0"/>
              <w:wordWrap w:val="0"/>
              <w:overflowPunct/>
              <w:bidi w:val="0"/>
              <w:snapToGrid w:val="0"/>
              <w:spacing w:line="360" w:lineRule="atLeast"/>
              <w:jc w:val="left"/>
              <w:rPr>
                <w:rFonts w:hint="eastAsia" w:eastAsia="宋体"/>
                <w:color w:val="auto"/>
                <w:sz w:val="24"/>
                <w:szCs w:val="24"/>
                <w:highlight w:val="none"/>
                <w:u w:val="none"/>
                <w:lang w:eastAsia="zh-CN"/>
              </w:rPr>
            </w:pPr>
            <w:r>
              <w:rPr>
                <w:rFonts w:hint="eastAsia"/>
                <w:color w:val="auto"/>
                <w:sz w:val="24"/>
                <w:szCs w:val="24"/>
                <w:highlight w:val="none"/>
                <w:u w:val="none"/>
                <w:lang w:eastAsia="zh-CN"/>
              </w:rPr>
              <w:t>详见征集公告</w:t>
            </w:r>
          </w:p>
        </w:tc>
      </w:tr>
      <w:tr w14:paraId="3525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7A47DA27">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11</w:t>
            </w:r>
          </w:p>
        </w:tc>
        <w:tc>
          <w:tcPr>
            <w:tcW w:w="1950" w:type="dxa"/>
            <w:vAlign w:val="center"/>
          </w:tcPr>
          <w:p w14:paraId="7EE19DE5">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是否接受联合体</w:t>
            </w:r>
          </w:p>
        </w:tc>
        <w:tc>
          <w:tcPr>
            <w:tcW w:w="6314" w:type="dxa"/>
            <w:vAlign w:val="center"/>
          </w:tcPr>
          <w:p w14:paraId="6520A0CF">
            <w:pPr>
              <w:pageBreakBefore w:val="0"/>
              <w:tabs>
                <w:tab w:val="left" w:pos="630"/>
              </w:tabs>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√不接受</w:t>
            </w:r>
          </w:p>
        </w:tc>
      </w:tr>
      <w:tr w14:paraId="4B06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1ABE8274">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12</w:t>
            </w:r>
          </w:p>
        </w:tc>
        <w:tc>
          <w:tcPr>
            <w:tcW w:w="1950" w:type="dxa"/>
            <w:vAlign w:val="center"/>
          </w:tcPr>
          <w:p w14:paraId="343EE08E">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入围供应商数量</w:t>
            </w:r>
          </w:p>
        </w:tc>
        <w:tc>
          <w:tcPr>
            <w:tcW w:w="6314" w:type="dxa"/>
            <w:vAlign w:val="center"/>
          </w:tcPr>
          <w:p w14:paraId="3F36129B">
            <w:pPr>
              <w:pageBreakBefore w:val="0"/>
              <w:tabs>
                <w:tab w:val="left" w:pos="630"/>
              </w:tabs>
              <w:wordWrap w:val="0"/>
              <w:overflowPunct/>
              <w:bidi w:val="0"/>
              <w:snapToGrid w:val="0"/>
              <w:spacing w:line="360" w:lineRule="atLeast"/>
              <w:rPr>
                <w:color w:val="auto"/>
                <w:sz w:val="24"/>
                <w:szCs w:val="24"/>
                <w:highlight w:val="none"/>
                <w:u w:val="none"/>
              </w:rPr>
            </w:pPr>
            <w:r>
              <w:rPr>
                <w:rFonts w:hint="eastAsia" w:cs="Times New Roman"/>
                <w:bCs/>
                <w:color w:val="auto"/>
                <w:sz w:val="24"/>
                <w:szCs w:val="24"/>
                <w:highlight w:val="none"/>
                <w:u w:val="none"/>
                <w:lang w:val="en-US" w:eastAsia="zh-CN"/>
              </w:rPr>
              <w:t>本次征集活动为第一阶段入围供应商，</w:t>
            </w:r>
            <w:r>
              <w:rPr>
                <w:rFonts w:hint="eastAsia" w:ascii="宋体" w:hAnsi="宋体" w:eastAsia="宋体" w:cs="Times New Roman"/>
                <w:bCs/>
                <w:color w:val="auto"/>
                <w:sz w:val="24"/>
                <w:szCs w:val="24"/>
                <w:highlight w:val="none"/>
                <w:u w:val="none"/>
                <w:lang w:val="en-US" w:eastAsia="zh-CN"/>
              </w:rPr>
              <w:t>一标段：车辆维修保养服务项目</w:t>
            </w:r>
            <w:r>
              <w:rPr>
                <w:rFonts w:hint="eastAsia" w:cs="Times New Roman"/>
                <w:bCs/>
                <w:color w:val="auto"/>
                <w:sz w:val="24"/>
                <w:szCs w:val="24"/>
                <w:highlight w:val="none"/>
                <w:u w:val="none"/>
                <w:lang w:val="en-US" w:eastAsia="zh-CN"/>
              </w:rPr>
              <w:t>入围3家供应商，提交响应文件和符合资格条件、实质性要求的供应商均不得少于4家，淘汰比例不低于20%，且淘汰不少于1家供应商，最终依据评分由高到低，；</w:t>
            </w:r>
            <w:r>
              <w:rPr>
                <w:rFonts w:hint="eastAsia" w:ascii="宋体" w:hAnsi="宋体" w:eastAsia="宋体" w:cs="Times New Roman"/>
                <w:bCs/>
                <w:color w:val="auto"/>
                <w:sz w:val="24"/>
                <w:szCs w:val="24"/>
                <w:highlight w:val="none"/>
                <w:u w:val="none"/>
                <w:lang w:val="en-US" w:eastAsia="zh-CN"/>
              </w:rPr>
              <w:t>二标段：补充平台车辆租赁服务项目</w:t>
            </w:r>
            <w:r>
              <w:rPr>
                <w:rFonts w:hint="eastAsia" w:cs="Times New Roman"/>
                <w:bCs/>
                <w:color w:val="auto"/>
                <w:sz w:val="24"/>
                <w:szCs w:val="24"/>
                <w:highlight w:val="none"/>
                <w:u w:val="none"/>
                <w:lang w:val="en-US" w:eastAsia="zh-CN"/>
              </w:rPr>
              <w:t>入围4家供应商，提交响应文件和符合资格条件、实质性要求的供应商均不得少于5家，淘汰比例不低于20%，且淘汰不少于1家供应商，最终依据评分由高到低</w:t>
            </w:r>
            <w:r>
              <w:rPr>
                <w:rFonts w:hint="eastAsia" w:ascii="宋体" w:hAnsi="宋体" w:eastAsia="宋体" w:cs="Times New Roman"/>
                <w:bCs/>
                <w:color w:val="auto"/>
                <w:sz w:val="24"/>
                <w:szCs w:val="24"/>
                <w:highlight w:val="none"/>
                <w:u w:val="none"/>
                <w:lang w:val="en-US" w:eastAsia="zh-CN"/>
              </w:rPr>
              <w:t>；</w:t>
            </w:r>
          </w:p>
        </w:tc>
      </w:tr>
      <w:tr w14:paraId="20B2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538FFB77">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13</w:t>
            </w:r>
          </w:p>
        </w:tc>
        <w:tc>
          <w:tcPr>
            <w:tcW w:w="1950" w:type="dxa"/>
            <w:vAlign w:val="center"/>
          </w:tcPr>
          <w:p w14:paraId="0AB34DAA">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确定入围供应商的淘汰率</w:t>
            </w:r>
          </w:p>
        </w:tc>
        <w:tc>
          <w:tcPr>
            <w:tcW w:w="6314" w:type="dxa"/>
            <w:vAlign w:val="center"/>
          </w:tcPr>
          <w:p w14:paraId="3A0031A5">
            <w:pPr>
              <w:pageBreakBefore w:val="0"/>
              <w:wordWrap w:val="0"/>
              <w:overflowPunct/>
              <w:bidi w:val="0"/>
              <w:spacing w:line="360" w:lineRule="auto"/>
              <w:ind w:firstLine="482" w:firstLineChars="200"/>
              <w:rPr>
                <w:b/>
                <w:bCs/>
                <w:color w:val="auto"/>
                <w:sz w:val="24"/>
                <w:szCs w:val="24"/>
                <w:highlight w:val="none"/>
                <w:u w:val="none"/>
              </w:rPr>
            </w:pPr>
            <w:r>
              <w:rPr>
                <w:rFonts w:hint="eastAsia" w:ascii="宋体" w:hAnsi="宋体" w:eastAsia="宋体" w:cs="宋体"/>
                <w:b/>
                <w:bCs/>
                <w:color w:val="auto"/>
                <w:sz w:val="24"/>
                <w:szCs w:val="24"/>
                <w:highlight w:val="none"/>
                <w:u w:val="none"/>
              </w:rPr>
              <w:t>确定入围供应商时，</w:t>
            </w:r>
            <w:r>
              <w:rPr>
                <w:rFonts w:hint="eastAsia" w:ascii="宋体" w:hAnsi="宋体" w:eastAsia="宋体" w:cs="宋体"/>
                <w:b/>
                <w:bCs/>
                <w:color w:val="auto"/>
                <w:sz w:val="24"/>
                <w:szCs w:val="24"/>
                <w:highlight w:val="none"/>
                <w:u w:val="none"/>
                <w:lang w:val="en-US" w:eastAsia="zh-CN"/>
              </w:rPr>
              <w:t>一标段：车辆维修保养服务项目入围3家供应商，提交响应文件和符合资格条件、实质性要求的供应商均不得少于4家，淘汰比例不低于20%，且淘汰不少于1家供应商，最终依据评分由高到低，；二标段：补充平台车辆租赁服务项目入围4家供应商，提交响应文件和符合资格条件、实质性要求的供应商均不得少于5家，淘汰比例不低于20%，且淘汰</w:t>
            </w:r>
            <w:bookmarkStart w:id="765" w:name="_GoBack"/>
            <w:bookmarkEnd w:id="765"/>
            <w:r>
              <w:rPr>
                <w:rFonts w:hint="eastAsia" w:ascii="宋体" w:hAnsi="宋体" w:eastAsia="宋体" w:cs="宋体"/>
                <w:b/>
                <w:bCs/>
                <w:color w:val="auto"/>
                <w:sz w:val="24"/>
                <w:szCs w:val="24"/>
                <w:highlight w:val="none"/>
                <w:u w:val="none"/>
                <w:lang w:val="en-US" w:eastAsia="zh-CN"/>
              </w:rPr>
              <w:t>不少于1家供应商，最终依据评分由高到低；</w:t>
            </w:r>
          </w:p>
        </w:tc>
      </w:tr>
      <w:tr w14:paraId="29D6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1778B1F4">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14</w:t>
            </w:r>
          </w:p>
        </w:tc>
        <w:tc>
          <w:tcPr>
            <w:tcW w:w="1950" w:type="dxa"/>
            <w:vAlign w:val="center"/>
          </w:tcPr>
          <w:p w14:paraId="07000D4A">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分包</w:t>
            </w:r>
          </w:p>
        </w:tc>
        <w:tc>
          <w:tcPr>
            <w:tcW w:w="6314" w:type="dxa"/>
            <w:vAlign w:val="center"/>
          </w:tcPr>
          <w:p w14:paraId="4798C910">
            <w:pPr>
              <w:pageBreakBefore w:val="0"/>
              <w:tabs>
                <w:tab w:val="left" w:pos="720"/>
                <w:tab w:val="left" w:pos="1904"/>
              </w:tabs>
              <w:wordWrap w:val="0"/>
              <w:overflowPunct/>
              <w:bidi w:val="0"/>
              <w:snapToGrid w:val="0"/>
              <w:spacing w:line="360" w:lineRule="atLeast"/>
              <w:jc w:val="left"/>
              <w:rPr>
                <w:color w:val="auto"/>
                <w:sz w:val="24"/>
                <w:szCs w:val="24"/>
                <w:highlight w:val="none"/>
                <w:u w:val="none"/>
              </w:rPr>
            </w:pPr>
            <w:r>
              <w:rPr>
                <w:rFonts w:hint="eastAsia"/>
                <w:color w:val="auto"/>
                <w:sz w:val="24"/>
                <w:szCs w:val="24"/>
                <w:highlight w:val="none"/>
                <w:u w:val="none"/>
              </w:rPr>
              <w:t>不允许</w:t>
            </w:r>
          </w:p>
        </w:tc>
      </w:tr>
      <w:tr w14:paraId="4CF6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vAlign w:val="center"/>
          </w:tcPr>
          <w:p w14:paraId="33EB12E2">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15</w:t>
            </w:r>
          </w:p>
        </w:tc>
        <w:tc>
          <w:tcPr>
            <w:tcW w:w="1950" w:type="dxa"/>
            <w:vAlign w:val="center"/>
          </w:tcPr>
          <w:p w14:paraId="435E804B">
            <w:pPr>
              <w:pageBreakBefore w:val="0"/>
              <w:wordWrap w:val="0"/>
              <w:overflowPunct/>
              <w:bidi w:val="0"/>
              <w:snapToGrid w:val="0"/>
              <w:spacing w:line="360" w:lineRule="atLeast"/>
              <w:jc w:val="center"/>
              <w:rPr>
                <w:color w:val="auto"/>
                <w:sz w:val="24"/>
                <w:szCs w:val="24"/>
                <w:highlight w:val="none"/>
                <w:u w:val="none"/>
              </w:rPr>
            </w:pPr>
            <w:r>
              <w:rPr>
                <w:rFonts w:hint="eastAsia"/>
                <w:color w:val="auto"/>
                <w:kern w:val="0"/>
                <w:sz w:val="24"/>
                <w:szCs w:val="24"/>
                <w:highlight w:val="none"/>
                <w:u w:val="none"/>
              </w:rPr>
              <w:t>实质性偏差</w:t>
            </w:r>
          </w:p>
        </w:tc>
        <w:tc>
          <w:tcPr>
            <w:tcW w:w="6314" w:type="dxa"/>
            <w:vAlign w:val="center"/>
          </w:tcPr>
          <w:p w14:paraId="0BB35290">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不允许负偏离</w:t>
            </w:r>
          </w:p>
        </w:tc>
      </w:tr>
      <w:tr w14:paraId="51F1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058" w:type="dxa"/>
            <w:vAlign w:val="center"/>
          </w:tcPr>
          <w:p w14:paraId="2C4BA630">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16</w:t>
            </w:r>
          </w:p>
        </w:tc>
        <w:tc>
          <w:tcPr>
            <w:tcW w:w="1950" w:type="dxa"/>
            <w:vAlign w:val="center"/>
          </w:tcPr>
          <w:p w14:paraId="1603C931">
            <w:pPr>
              <w:pageBreakBefore w:val="0"/>
              <w:tabs>
                <w:tab w:val="left" w:pos="630"/>
              </w:tabs>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征集文件的澄清或修改的截止时间</w:t>
            </w:r>
          </w:p>
        </w:tc>
        <w:tc>
          <w:tcPr>
            <w:tcW w:w="6314" w:type="dxa"/>
            <w:vAlign w:val="center"/>
          </w:tcPr>
          <w:p w14:paraId="07C86039">
            <w:pPr>
              <w:pageBreakBefore w:val="0"/>
              <w:tabs>
                <w:tab w:val="left" w:pos="630"/>
              </w:tabs>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投标截止15日前，通知所有获取征集文件的潜在供应商；不足15日的，顺延提交响应文件的截止时间。</w:t>
            </w:r>
          </w:p>
        </w:tc>
      </w:tr>
      <w:tr w14:paraId="4AE2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058" w:type="dxa"/>
            <w:vAlign w:val="center"/>
          </w:tcPr>
          <w:p w14:paraId="57D86956">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17</w:t>
            </w:r>
          </w:p>
        </w:tc>
        <w:tc>
          <w:tcPr>
            <w:tcW w:w="1950" w:type="dxa"/>
            <w:vAlign w:val="center"/>
          </w:tcPr>
          <w:p w14:paraId="35602E88">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澄清或修改征集文件的时间、</w:t>
            </w:r>
            <w:r>
              <w:rPr>
                <w:rFonts w:hint="eastAsia"/>
                <w:color w:val="auto"/>
                <w:kern w:val="0"/>
                <w:sz w:val="24"/>
                <w:szCs w:val="24"/>
                <w:highlight w:val="none"/>
                <w:u w:val="none"/>
              </w:rPr>
              <w:t>形式</w:t>
            </w:r>
          </w:p>
        </w:tc>
        <w:tc>
          <w:tcPr>
            <w:tcW w:w="6314" w:type="dxa"/>
            <w:vAlign w:val="center"/>
          </w:tcPr>
          <w:p w14:paraId="5C0BE7AF">
            <w:pPr>
              <w:pageBreakBefore w:val="0"/>
              <w:widowControl/>
              <w:kinsoku w:val="0"/>
              <w:wordWrap w:val="0"/>
              <w:overflowPunct/>
              <w:autoSpaceDE w:val="0"/>
              <w:autoSpaceDN w:val="0"/>
              <w:bidi w:val="0"/>
              <w:adjustRightInd w:val="0"/>
              <w:snapToGrid w:val="0"/>
              <w:spacing w:line="360" w:lineRule="auto"/>
              <w:ind w:right="44" w:firstLine="240" w:firstLineChars="100"/>
              <w:jc w:val="left"/>
              <w:textAlignment w:val="baseline"/>
              <w:rPr>
                <w:color w:val="auto"/>
                <w:sz w:val="24"/>
                <w:szCs w:val="24"/>
                <w:highlight w:val="none"/>
                <w:u w:val="none"/>
              </w:rPr>
            </w:pPr>
            <w:r>
              <w:rPr>
                <w:rFonts w:hint="eastAsia"/>
                <w:color w:val="auto"/>
                <w:sz w:val="24"/>
                <w:szCs w:val="24"/>
                <w:highlight w:val="none"/>
                <w:u w:val="none"/>
              </w:rPr>
              <w:t>1.征集文件的澄清或者修改将通过三门峡市公共资源交易平台系统内部“答疑文件”告知供应商，发布给所有成功下载征集文件的供应商，并在原征集公告发布媒体上发布澄清公告，但不指明澄清问题的来源。对于项目中已经成功下载征集文件的供应商，系统将通过第三方短信群发方式提醒供应商进行查询。各供应商须重新下载最新的答疑文件，以此编制响应文件。</w:t>
            </w:r>
          </w:p>
          <w:p w14:paraId="5BB99C7E">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2.供应商市场主体信息登记时所留手机联系方式要保持畅通，因联系方式变更而未及时更新系统内联系方式的，将会造成收不到短信。此短信仅系友情提示，并不具有任何约束性和必要性，采购人和采购代理机构不承担供应商未收到短信而引起的一切后果和法律责任。</w:t>
            </w:r>
          </w:p>
        </w:tc>
      </w:tr>
      <w:tr w14:paraId="4EC7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atLeast"/>
        </w:trPr>
        <w:tc>
          <w:tcPr>
            <w:tcW w:w="1058" w:type="dxa"/>
            <w:vMerge w:val="restart"/>
            <w:vAlign w:val="center"/>
          </w:tcPr>
          <w:p w14:paraId="7BA7F814">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18</w:t>
            </w:r>
          </w:p>
        </w:tc>
        <w:tc>
          <w:tcPr>
            <w:tcW w:w="1950" w:type="dxa"/>
            <w:vMerge w:val="restart"/>
            <w:vAlign w:val="center"/>
          </w:tcPr>
          <w:p w14:paraId="253088CD">
            <w:pPr>
              <w:pageBreakBefore w:val="0"/>
              <w:wordWrap w:val="0"/>
              <w:overflowPunct/>
              <w:bidi w:val="0"/>
              <w:snapToGrid w:val="0"/>
              <w:spacing w:line="360" w:lineRule="atLeast"/>
              <w:rPr>
                <w:rFonts w:hint="eastAsia"/>
                <w:color w:val="auto"/>
                <w:sz w:val="24"/>
                <w:szCs w:val="24"/>
                <w:highlight w:val="none"/>
                <w:u w:val="none"/>
              </w:rPr>
            </w:pPr>
            <w:r>
              <w:rPr>
                <w:rFonts w:hint="eastAsia"/>
                <w:color w:val="auto"/>
                <w:sz w:val="24"/>
                <w:szCs w:val="24"/>
                <w:highlight w:val="none"/>
                <w:u w:val="none"/>
              </w:rPr>
              <w:t>供应商确认收到征集文件修改</w:t>
            </w:r>
          </w:p>
        </w:tc>
        <w:tc>
          <w:tcPr>
            <w:tcW w:w="6314" w:type="dxa"/>
            <w:vAlign w:val="center"/>
          </w:tcPr>
          <w:p w14:paraId="0997D59C">
            <w:pPr>
              <w:pageBreakBefore w:val="0"/>
              <w:wordWrap w:val="0"/>
              <w:overflowPunct/>
              <w:bidi w:val="0"/>
              <w:snapToGrid w:val="0"/>
              <w:spacing w:line="360" w:lineRule="atLeast"/>
              <w:rPr>
                <w:rFonts w:hint="eastAsia"/>
                <w:color w:val="auto"/>
                <w:sz w:val="24"/>
                <w:szCs w:val="24"/>
                <w:highlight w:val="none"/>
                <w:u w:val="none"/>
              </w:rPr>
            </w:pPr>
            <w:r>
              <w:rPr>
                <w:rFonts w:hint="eastAsia"/>
                <w:color w:val="auto"/>
                <w:sz w:val="24"/>
                <w:szCs w:val="24"/>
                <w:highlight w:val="none"/>
                <w:u w:val="none"/>
              </w:rPr>
              <w:t>时间：在收到相应澄清文件后24小时内</w:t>
            </w:r>
          </w:p>
          <w:p w14:paraId="4003CFA1">
            <w:pPr>
              <w:pageBreakBefore w:val="0"/>
              <w:wordWrap w:val="0"/>
              <w:overflowPunct/>
              <w:bidi w:val="0"/>
              <w:snapToGrid w:val="0"/>
              <w:spacing w:line="360" w:lineRule="atLeast"/>
              <w:rPr>
                <w:rFonts w:hint="eastAsia"/>
                <w:color w:val="auto"/>
                <w:sz w:val="24"/>
                <w:szCs w:val="24"/>
                <w:highlight w:val="none"/>
                <w:u w:val="none"/>
              </w:rPr>
            </w:pPr>
            <w:r>
              <w:rPr>
                <w:rFonts w:hint="eastAsia"/>
                <w:color w:val="auto"/>
                <w:sz w:val="24"/>
                <w:szCs w:val="24"/>
                <w:highlight w:val="none"/>
                <w:u w:val="none"/>
              </w:rPr>
              <w:t>形式：在三门峡市公共资源电子招标投标交易平台进行回复确认</w:t>
            </w:r>
          </w:p>
        </w:tc>
      </w:tr>
      <w:tr w14:paraId="3DDF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1058" w:type="dxa"/>
            <w:vMerge w:val="continue"/>
            <w:vAlign w:val="center"/>
          </w:tcPr>
          <w:p w14:paraId="3126E141">
            <w:pPr>
              <w:pageBreakBefore w:val="0"/>
              <w:wordWrap w:val="0"/>
              <w:overflowPunct/>
              <w:bidi w:val="0"/>
              <w:snapToGrid w:val="0"/>
              <w:spacing w:line="360" w:lineRule="atLeast"/>
              <w:jc w:val="center"/>
              <w:rPr>
                <w:color w:val="auto"/>
                <w:kern w:val="0"/>
                <w:sz w:val="24"/>
                <w:szCs w:val="24"/>
                <w:highlight w:val="none"/>
                <w:u w:val="none"/>
              </w:rPr>
            </w:pPr>
          </w:p>
        </w:tc>
        <w:tc>
          <w:tcPr>
            <w:tcW w:w="1950" w:type="dxa"/>
            <w:vMerge w:val="continue"/>
            <w:vAlign w:val="center"/>
          </w:tcPr>
          <w:p w14:paraId="1334975E">
            <w:pPr>
              <w:pageBreakBefore w:val="0"/>
              <w:wordWrap w:val="0"/>
              <w:overflowPunct/>
              <w:bidi w:val="0"/>
              <w:snapToGrid w:val="0"/>
              <w:spacing w:line="360" w:lineRule="atLeast"/>
              <w:jc w:val="center"/>
              <w:rPr>
                <w:color w:val="auto"/>
                <w:kern w:val="0"/>
                <w:sz w:val="24"/>
                <w:szCs w:val="24"/>
                <w:highlight w:val="none"/>
                <w:u w:val="none"/>
              </w:rPr>
            </w:pPr>
          </w:p>
        </w:tc>
        <w:tc>
          <w:tcPr>
            <w:tcW w:w="6314" w:type="dxa"/>
            <w:vAlign w:val="center"/>
          </w:tcPr>
          <w:p w14:paraId="4D6E1DB5">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形式：在三门峡市公共资源电子招标投标交易平台进行回复确认</w:t>
            </w:r>
          </w:p>
        </w:tc>
      </w:tr>
      <w:tr w14:paraId="7EB8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1058" w:type="dxa"/>
            <w:vAlign w:val="center"/>
          </w:tcPr>
          <w:p w14:paraId="7FF34AAF">
            <w:pPr>
              <w:pageBreakBefore w:val="0"/>
              <w:wordWrap w:val="0"/>
              <w:overflowPunct/>
              <w:bidi w:val="0"/>
              <w:snapToGrid w:val="0"/>
              <w:spacing w:line="360" w:lineRule="atLeast"/>
              <w:jc w:val="center"/>
              <w:rPr>
                <w:color w:val="auto"/>
                <w:kern w:val="0"/>
                <w:sz w:val="24"/>
                <w:szCs w:val="24"/>
                <w:highlight w:val="none"/>
                <w:u w:val="none"/>
              </w:rPr>
            </w:pPr>
            <w:r>
              <w:rPr>
                <w:rFonts w:hint="eastAsia"/>
                <w:color w:val="auto"/>
                <w:kern w:val="0"/>
                <w:sz w:val="24"/>
                <w:szCs w:val="24"/>
                <w:highlight w:val="none"/>
                <w:u w:val="none"/>
              </w:rPr>
              <w:t>19</w:t>
            </w:r>
          </w:p>
        </w:tc>
        <w:tc>
          <w:tcPr>
            <w:tcW w:w="1950" w:type="dxa"/>
            <w:vAlign w:val="center"/>
          </w:tcPr>
          <w:p w14:paraId="3F4A985E">
            <w:pPr>
              <w:pageBreakBefore w:val="0"/>
              <w:wordWrap w:val="0"/>
              <w:overflowPunct/>
              <w:bidi w:val="0"/>
              <w:snapToGrid w:val="0"/>
              <w:spacing w:line="360" w:lineRule="atLeast"/>
              <w:jc w:val="center"/>
              <w:rPr>
                <w:color w:val="auto"/>
                <w:kern w:val="0"/>
                <w:sz w:val="24"/>
                <w:szCs w:val="24"/>
                <w:highlight w:val="none"/>
                <w:u w:val="none"/>
              </w:rPr>
            </w:pPr>
            <w:r>
              <w:rPr>
                <w:rFonts w:hint="eastAsia"/>
                <w:color w:val="auto"/>
                <w:kern w:val="0"/>
                <w:sz w:val="24"/>
                <w:szCs w:val="24"/>
                <w:highlight w:val="none"/>
                <w:u w:val="none"/>
              </w:rPr>
              <w:t>最高投标限价</w:t>
            </w:r>
          </w:p>
        </w:tc>
        <w:tc>
          <w:tcPr>
            <w:tcW w:w="6314" w:type="dxa"/>
            <w:vAlign w:val="center"/>
          </w:tcPr>
          <w:p w14:paraId="3BE7B94C">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本项目采用优惠率报价，每个标段优惠率</w:t>
            </w:r>
            <w:r>
              <w:rPr>
                <w:rFonts w:hint="eastAsia"/>
                <w:color w:val="auto"/>
                <w:sz w:val="24"/>
                <w:szCs w:val="24"/>
                <w:highlight w:val="none"/>
                <w:u w:val="none"/>
                <w:lang w:eastAsia="zh-CN"/>
              </w:rPr>
              <w:t>均</w:t>
            </w:r>
            <w:r>
              <w:rPr>
                <w:rFonts w:hint="eastAsia"/>
                <w:color w:val="auto"/>
                <w:sz w:val="24"/>
                <w:szCs w:val="24"/>
                <w:highlight w:val="none"/>
                <w:u w:val="none"/>
              </w:rPr>
              <w:t>不得低于</w:t>
            </w:r>
            <w:r>
              <w:rPr>
                <w:rFonts w:hint="eastAsia"/>
                <w:color w:val="auto"/>
                <w:sz w:val="24"/>
                <w:szCs w:val="24"/>
                <w:highlight w:val="none"/>
                <w:u w:val="none"/>
                <w:lang w:val="en-US" w:eastAsia="zh-CN"/>
              </w:rPr>
              <w:t>3</w:t>
            </w:r>
            <w:r>
              <w:rPr>
                <w:rFonts w:hint="eastAsia"/>
                <w:color w:val="auto"/>
                <w:sz w:val="24"/>
                <w:szCs w:val="24"/>
                <w:highlight w:val="none"/>
                <w:u w:val="none"/>
              </w:rPr>
              <w:t>%。凡投标供应商投标报价超过“投标最高限价”的，该投标供应商的电子化响应文件应作无效标处理。</w:t>
            </w:r>
          </w:p>
        </w:tc>
      </w:tr>
      <w:tr w14:paraId="1F1B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58" w:type="dxa"/>
            <w:vAlign w:val="center"/>
          </w:tcPr>
          <w:p w14:paraId="61A1F0F3">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20</w:t>
            </w:r>
          </w:p>
        </w:tc>
        <w:tc>
          <w:tcPr>
            <w:tcW w:w="1950" w:type="dxa"/>
            <w:vAlign w:val="center"/>
          </w:tcPr>
          <w:p w14:paraId="6EFA8D38">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响应文件有效期</w:t>
            </w:r>
          </w:p>
        </w:tc>
        <w:tc>
          <w:tcPr>
            <w:tcW w:w="6314" w:type="dxa"/>
            <w:vAlign w:val="center"/>
          </w:tcPr>
          <w:p w14:paraId="301B22D9">
            <w:pPr>
              <w:pageBreakBefore w:val="0"/>
              <w:wordWrap w:val="0"/>
              <w:overflowPunct/>
              <w:bidi w:val="0"/>
              <w:snapToGrid w:val="0"/>
              <w:spacing w:line="360" w:lineRule="atLeast"/>
              <w:rPr>
                <w:color w:val="auto"/>
                <w:kern w:val="0"/>
                <w:sz w:val="24"/>
                <w:szCs w:val="24"/>
                <w:highlight w:val="none"/>
                <w:u w:val="none"/>
              </w:rPr>
            </w:pPr>
            <w:r>
              <w:rPr>
                <w:rFonts w:hint="eastAsia"/>
                <w:color w:val="auto"/>
                <w:kern w:val="0"/>
                <w:sz w:val="24"/>
                <w:szCs w:val="24"/>
                <w:highlight w:val="none"/>
                <w:u w:val="none"/>
              </w:rPr>
              <w:t>自投标截止之日起60日历天</w:t>
            </w:r>
          </w:p>
        </w:tc>
      </w:tr>
      <w:tr w14:paraId="0282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58" w:type="dxa"/>
            <w:vAlign w:val="center"/>
          </w:tcPr>
          <w:p w14:paraId="663A6C68">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21</w:t>
            </w:r>
          </w:p>
        </w:tc>
        <w:tc>
          <w:tcPr>
            <w:tcW w:w="1950" w:type="dxa"/>
            <w:vAlign w:val="center"/>
          </w:tcPr>
          <w:p w14:paraId="5DFFA268">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入围保证金</w:t>
            </w:r>
          </w:p>
        </w:tc>
        <w:tc>
          <w:tcPr>
            <w:tcW w:w="6314" w:type="dxa"/>
            <w:vAlign w:val="center"/>
          </w:tcPr>
          <w:p w14:paraId="63EC5BBC">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根据《河南省财政厅关于优化政府采购营商环境有关问题的通知》（豫财购[2020]4号）的规定，保证金不再收取。</w:t>
            </w:r>
          </w:p>
        </w:tc>
      </w:tr>
      <w:tr w14:paraId="24F8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58" w:type="dxa"/>
            <w:vAlign w:val="center"/>
          </w:tcPr>
          <w:p w14:paraId="0E243AF4">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22</w:t>
            </w:r>
          </w:p>
        </w:tc>
        <w:tc>
          <w:tcPr>
            <w:tcW w:w="1950" w:type="dxa"/>
            <w:vAlign w:val="center"/>
          </w:tcPr>
          <w:p w14:paraId="311AAE8A">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电子化响应文件的编制</w:t>
            </w:r>
          </w:p>
        </w:tc>
        <w:tc>
          <w:tcPr>
            <w:tcW w:w="6314" w:type="dxa"/>
            <w:vAlign w:val="center"/>
          </w:tcPr>
          <w:p w14:paraId="35D26E7D">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1.投标供应商所上传的电子化响应文件，应是通过三门峡市公共资源交易中心响应文件制作系统制作的（响应文件制作工具下载地址：https://download.bqpoint.com/download/downloaddetail.html?SourceFrom=Ztb&amp;ZtbSoftXiaQuCode=1506&amp;ZtbSoftType=tballinclusive），经过签章和加密后生成的电子版响应文件。其中包含用于响应文件上传的主文件（后缀为.smxtf）和用于应急补救的响应文件备份文件（后缀为.nsmxtf）。</w:t>
            </w:r>
          </w:p>
          <w:p w14:paraId="63270C0E">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2.在征集文件中要求供应商按照响应文件格式进行响应文件编制，在响应文件编制时，应明确将供应商企业基本情况、人员情况、业绩情况编入响应文件，便于进行资格审查及评标打分。</w:t>
            </w:r>
          </w:p>
          <w:p w14:paraId="7890B421">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3.征集文件中要求投标供应商盖章的，以签盖单位章为准；要求法定代表人签章的，以签盖法定代表人签章为准。电子化响应文件具体制作教材请投标供应商通过CA证书登录三门峡市公共资源电子化交易系统在右上角“组件下载”中查看。</w:t>
            </w:r>
          </w:p>
        </w:tc>
      </w:tr>
      <w:tr w14:paraId="279E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vAlign w:val="center"/>
          </w:tcPr>
          <w:p w14:paraId="78214E00">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23</w:t>
            </w:r>
          </w:p>
        </w:tc>
        <w:tc>
          <w:tcPr>
            <w:tcW w:w="1950" w:type="dxa"/>
            <w:vAlign w:val="center"/>
          </w:tcPr>
          <w:p w14:paraId="5C32CBE1">
            <w:pPr>
              <w:pageBreakBefore w:val="0"/>
              <w:tabs>
                <w:tab w:val="left" w:pos="720"/>
              </w:tabs>
              <w:wordWrap w:val="0"/>
              <w:overflowPunct/>
              <w:bidi w:val="0"/>
              <w:snapToGrid w:val="0"/>
              <w:spacing w:line="360" w:lineRule="atLeast"/>
              <w:jc w:val="center"/>
              <w:rPr>
                <w:color w:val="auto"/>
                <w:sz w:val="24"/>
                <w:szCs w:val="24"/>
                <w:highlight w:val="none"/>
                <w:u w:val="none"/>
              </w:rPr>
            </w:pPr>
            <w:r>
              <w:rPr>
                <w:rFonts w:hint="eastAsia"/>
                <w:color w:val="auto"/>
                <w:kern w:val="0"/>
                <w:sz w:val="24"/>
                <w:szCs w:val="24"/>
                <w:highlight w:val="none"/>
                <w:u w:val="none"/>
              </w:rPr>
              <w:t>响应文件提交及方式</w:t>
            </w:r>
          </w:p>
        </w:tc>
        <w:tc>
          <w:tcPr>
            <w:tcW w:w="6314" w:type="dxa"/>
            <w:vAlign w:val="center"/>
          </w:tcPr>
          <w:p w14:paraId="7FC5121B">
            <w:pPr>
              <w:pStyle w:val="7"/>
              <w:pageBreakBefore w:val="0"/>
              <w:wordWrap w:val="0"/>
              <w:overflowPunct/>
              <w:bidi w:val="0"/>
              <w:snapToGrid w:val="0"/>
              <w:spacing w:line="360" w:lineRule="atLeast"/>
              <w:rPr>
                <w:rFonts w:ascii="宋体" w:hAnsi="宋体" w:cs="宋体"/>
                <w:color w:val="auto"/>
                <w:sz w:val="24"/>
                <w:szCs w:val="24"/>
                <w:highlight w:val="none"/>
                <w:u w:val="none"/>
              </w:rPr>
            </w:pPr>
            <w:r>
              <w:rPr>
                <w:rFonts w:hint="eastAsia" w:ascii="宋体" w:hAnsi="宋体" w:cs="宋体"/>
                <w:color w:val="auto"/>
                <w:sz w:val="24"/>
                <w:szCs w:val="24"/>
                <w:highlight w:val="none"/>
                <w:u w:val="none"/>
              </w:rPr>
              <w:t>1.投标供应商所上传的电子化响应文件，应是通过三门峡市公共资源交易中心响应文件制作系统制作的（响应文件制作工具下载地址：https://download.bqpoint.com/download/downloaddetail.html?SourceFrom=Ztb&amp;ZtbSoftXiaQuCode=1506&amp;ZtbSoftType=tballinclusive），经过签章和加密后生成的电子版响应文件。其中包含用于响应文件上传的主文件（后缀为.smxtf）和用于应急补救的响应文件备份文件（后缀为.nsmxtf）。</w:t>
            </w:r>
          </w:p>
          <w:p w14:paraId="5C0AA398">
            <w:pPr>
              <w:pStyle w:val="7"/>
              <w:pageBreakBefore w:val="0"/>
              <w:wordWrap w:val="0"/>
              <w:overflowPunct/>
              <w:bidi w:val="0"/>
              <w:snapToGrid w:val="0"/>
              <w:spacing w:line="360" w:lineRule="atLeast"/>
              <w:rPr>
                <w:rFonts w:ascii="宋体" w:hAnsi="宋体" w:cs="宋体"/>
                <w:color w:val="auto"/>
                <w:sz w:val="24"/>
                <w:szCs w:val="24"/>
                <w:highlight w:val="none"/>
                <w:u w:val="none"/>
              </w:rPr>
            </w:pPr>
            <w:r>
              <w:rPr>
                <w:rFonts w:hint="eastAsia" w:ascii="宋体" w:hAnsi="宋体" w:cs="宋体"/>
                <w:color w:val="auto"/>
                <w:sz w:val="24"/>
                <w:szCs w:val="24"/>
                <w:highlight w:val="none"/>
                <w:u w:val="none"/>
              </w:rPr>
              <w:t>2.电子化响应文件应在投标截止时间前成功上传至三门峡市公共资源电子化交易系统。至投标截止时间止，仍未上传成功的电子化响应文件将不予接收。</w:t>
            </w:r>
          </w:p>
          <w:p w14:paraId="2ECAE470">
            <w:pPr>
              <w:pStyle w:val="7"/>
              <w:pageBreakBefore w:val="0"/>
              <w:wordWrap w:val="0"/>
              <w:overflowPunct/>
              <w:bidi w:val="0"/>
              <w:snapToGrid w:val="0"/>
              <w:spacing w:line="360" w:lineRule="atLeast"/>
              <w:rPr>
                <w:rFonts w:ascii="宋体" w:hAnsi="宋体" w:cs="宋体"/>
                <w:color w:val="auto"/>
                <w:sz w:val="24"/>
                <w:szCs w:val="24"/>
                <w:highlight w:val="none"/>
                <w:u w:val="none"/>
              </w:rPr>
            </w:pPr>
            <w:r>
              <w:rPr>
                <w:rFonts w:hint="eastAsia" w:ascii="宋体" w:hAnsi="宋体" w:cs="宋体"/>
                <w:color w:val="auto"/>
                <w:sz w:val="24"/>
                <w:szCs w:val="24"/>
                <w:highlight w:val="none"/>
                <w:u w:val="none"/>
              </w:rPr>
              <w:t>注：如按照电子化投标操作教材制作完成的电子化响应文件无法上传的，投标供应商应在投标截止时间前尽早的联系三门峡市公共资源交易中心技术人员，以便有充分的时间进行处理。投标供应商应充分考虑到处理技术问题和上传数据等工作所需的时间问题，响应文件未在投标截止时间前成功上传的，其响应文件不予接收。</w:t>
            </w:r>
          </w:p>
        </w:tc>
      </w:tr>
      <w:tr w14:paraId="1671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2038BF51">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24</w:t>
            </w:r>
          </w:p>
        </w:tc>
        <w:tc>
          <w:tcPr>
            <w:tcW w:w="1950" w:type="dxa"/>
            <w:vAlign w:val="center"/>
          </w:tcPr>
          <w:p w14:paraId="0E2DC2F2">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响应文件的签字和盖章</w:t>
            </w:r>
          </w:p>
        </w:tc>
        <w:tc>
          <w:tcPr>
            <w:tcW w:w="6314" w:type="dxa"/>
            <w:vAlign w:val="center"/>
          </w:tcPr>
          <w:p w14:paraId="23CAC6C3">
            <w:pPr>
              <w:pageBreakBefore w:val="0"/>
              <w:wordWrap w:val="0"/>
              <w:overflowPunct/>
              <w:bidi w:val="0"/>
              <w:snapToGrid w:val="0"/>
              <w:spacing w:line="360" w:lineRule="atLeast"/>
              <w:rPr>
                <w:b/>
                <w:bCs/>
                <w:color w:val="auto"/>
                <w:kern w:val="0"/>
                <w:sz w:val="24"/>
                <w:szCs w:val="24"/>
                <w:highlight w:val="none"/>
                <w:u w:val="none"/>
              </w:rPr>
            </w:pPr>
            <w:r>
              <w:rPr>
                <w:rFonts w:hint="eastAsia"/>
                <w:color w:val="auto"/>
                <w:sz w:val="24"/>
                <w:szCs w:val="24"/>
                <w:highlight w:val="none"/>
                <w:u w:val="none"/>
              </w:rPr>
              <w:t>供应商在进行电子化响应文件签章时，征集文件中要求供应商盖章的，以签盖单位章为准；要求法定代表人签章的，以签盖法定代表人签章为准</w:t>
            </w:r>
          </w:p>
        </w:tc>
      </w:tr>
      <w:tr w14:paraId="5094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31D16D76">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25</w:t>
            </w:r>
          </w:p>
        </w:tc>
        <w:tc>
          <w:tcPr>
            <w:tcW w:w="1950" w:type="dxa"/>
            <w:vAlign w:val="center"/>
          </w:tcPr>
          <w:p w14:paraId="100D5DDB">
            <w:pPr>
              <w:pageBreakBefore w:val="0"/>
              <w:tabs>
                <w:tab w:val="left" w:pos="720"/>
              </w:tabs>
              <w:wordWrap w:val="0"/>
              <w:overflowPunct/>
              <w:bidi w:val="0"/>
              <w:snapToGrid w:val="0"/>
              <w:spacing w:line="360" w:lineRule="atLeast"/>
              <w:jc w:val="center"/>
              <w:rPr>
                <w:color w:val="auto"/>
                <w:sz w:val="24"/>
                <w:szCs w:val="24"/>
                <w:highlight w:val="none"/>
                <w:u w:val="none"/>
              </w:rPr>
            </w:pPr>
            <w:r>
              <w:rPr>
                <w:rFonts w:hint="eastAsia"/>
                <w:color w:val="auto"/>
                <w:kern w:val="0"/>
                <w:sz w:val="24"/>
                <w:szCs w:val="24"/>
                <w:highlight w:val="none"/>
                <w:u w:val="none"/>
              </w:rPr>
              <w:t>响应文件提交</w:t>
            </w:r>
            <w:r>
              <w:rPr>
                <w:rFonts w:hint="eastAsia"/>
                <w:color w:val="auto"/>
                <w:spacing w:val="-2"/>
                <w:kern w:val="0"/>
                <w:sz w:val="24"/>
                <w:szCs w:val="24"/>
                <w:highlight w:val="none"/>
                <w:u w:val="none"/>
              </w:rPr>
              <w:t>截</w:t>
            </w:r>
            <w:r>
              <w:rPr>
                <w:rFonts w:hint="eastAsia"/>
                <w:color w:val="auto"/>
                <w:kern w:val="0"/>
                <w:sz w:val="24"/>
                <w:szCs w:val="24"/>
                <w:highlight w:val="none"/>
                <w:u w:val="none"/>
              </w:rPr>
              <w:t>止</w:t>
            </w:r>
            <w:r>
              <w:rPr>
                <w:rFonts w:hint="eastAsia"/>
                <w:color w:val="auto"/>
                <w:spacing w:val="-2"/>
                <w:kern w:val="0"/>
                <w:sz w:val="24"/>
                <w:szCs w:val="24"/>
                <w:highlight w:val="none"/>
                <w:u w:val="none"/>
              </w:rPr>
              <w:t>时</w:t>
            </w:r>
            <w:r>
              <w:rPr>
                <w:rFonts w:hint="eastAsia"/>
                <w:color w:val="auto"/>
                <w:kern w:val="0"/>
                <w:sz w:val="24"/>
                <w:szCs w:val="24"/>
                <w:highlight w:val="none"/>
                <w:u w:val="none"/>
              </w:rPr>
              <w:t>间、地点</w:t>
            </w:r>
          </w:p>
        </w:tc>
        <w:tc>
          <w:tcPr>
            <w:tcW w:w="6314" w:type="dxa"/>
            <w:vAlign w:val="center"/>
          </w:tcPr>
          <w:p w14:paraId="48868441">
            <w:pPr>
              <w:pageBreakBefore w:val="0"/>
              <w:wordWrap w:val="0"/>
              <w:overflowPunct/>
              <w:bidi w:val="0"/>
              <w:snapToGrid w:val="0"/>
              <w:spacing w:line="360" w:lineRule="atLeast"/>
              <w:jc w:val="left"/>
              <w:rPr>
                <w:color w:val="auto"/>
                <w:sz w:val="24"/>
                <w:szCs w:val="24"/>
                <w:highlight w:val="none"/>
                <w:u w:val="none"/>
              </w:rPr>
            </w:pPr>
            <w:r>
              <w:rPr>
                <w:rFonts w:hint="eastAsia"/>
                <w:color w:val="auto"/>
                <w:sz w:val="24"/>
                <w:szCs w:val="24"/>
                <w:highlight w:val="none"/>
                <w:u w:val="none"/>
              </w:rPr>
              <w:t>截止时间：</w:t>
            </w:r>
            <w:r>
              <w:rPr>
                <w:color w:val="auto"/>
                <w:sz w:val="24"/>
                <w:szCs w:val="24"/>
                <w:highlight w:val="none"/>
                <w:u w:val="none"/>
              </w:rPr>
              <w:t>202</w:t>
            </w:r>
            <w:r>
              <w:rPr>
                <w:rFonts w:hint="eastAsia"/>
                <w:color w:val="auto"/>
                <w:sz w:val="24"/>
                <w:szCs w:val="24"/>
                <w:highlight w:val="none"/>
                <w:u w:val="none"/>
                <w:lang w:val="en-US" w:eastAsia="zh-CN"/>
              </w:rPr>
              <w:t>6</w:t>
            </w:r>
            <w:r>
              <w:rPr>
                <w:color w:val="auto"/>
                <w:sz w:val="24"/>
                <w:szCs w:val="24"/>
                <w:highlight w:val="none"/>
                <w:u w:val="none"/>
              </w:rPr>
              <w:t>年</w:t>
            </w:r>
            <w:r>
              <w:rPr>
                <w:rFonts w:hint="eastAsia"/>
                <w:color w:val="auto"/>
                <w:sz w:val="24"/>
                <w:szCs w:val="24"/>
                <w:highlight w:val="none"/>
                <w:u w:val="none"/>
                <w:lang w:val="en-US" w:eastAsia="zh-CN"/>
              </w:rPr>
              <w:t>08</w:t>
            </w:r>
            <w:r>
              <w:rPr>
                <w:color w:val="auto"/>
                <w:sz w:val="24"/>
                <w:szCs w:val="24"/>
                <w:highlight w:val="none"/>
                <w:u w:val="none"/>
              </w:rPr>
              <w:t>月</w:t>
            </w:r>
            <w:r>
              <w:rPr>
                <w:rFonts w:hint="eastAsia"/>
                <w:color w:val="auto"/>
                <w:sz w:val="24"/>
                <w:szCs w:val="24"/>
                <w:highlight w:val="none"/>
                <w:u w:val="none"/>
                <w:lang w:val="en-US" w:eastAsia="zh-CN"/>
              </w:rPr>
              <w:t>18</w:t>
            </w:r>
            <w:r>
              <w:rPr>
                <w:color w:val="auto"/>
                <w:sz w:val="24"/>
                <w:szCs w:val="24"/>
                <w:highlight w:val="none"/>
                <w:u w:val="none"/>
              </w:rPr>
              <w:t>日8时</w:t>
            </w:r>
            <w:r>
              <w:rPr>
                <w:rFonts w:hint="eastAsia"/>
                <w:color w:val="auto"/>
                <w:sz w:val="24"/>
                <w:szCs w:val="24"/>
                <w:highlight w:val="none"/>
                <w:u w:val="none"/>
                <w:lang w:val="en-US" w:eastAsia="zh-CN"/>
              </w:rPr>
              <w:t>4</w:t>
            </w:r>
            <w:r>
              <w:rPr>
                <w:color w:val="auto"/>
                <w:sz w:val="24"/>
                <w:szCs w:val="24"/>
                <w:highlight w:val="none"/>
                <w:u w:val="none"/>
              </w:rPr>
              <w:t>0分</w:t>
            </w:r>
            <w:r>
              <w:rPr>
                <w:rFonts w:hint="eastAsia"/>
                <w:color w:val="auto"/>
                <w:sz w:val="24"/>
                <w:szCs w:val="24"/>
                <w:highlight w:val="none"/>
                <w:u w:val="none"/>
              </w:rPr>
              <w:t>（北京时间）</w:t>
            </w:r>
          </w:p>
          <w:p w14:paraId="3B411996">
            <w:pPr>
              <w:pageBreakBefore w:val="0"/>
              <w:wordWrap w:val="0"/>
              <w:overflowPunct/>
              <w:bidi w:val="0"/>
              <w:snapToGrid w:val="0"/>
              <w:spacing w:line="360" w:lineRule="atLeast"/>
              <w:jc w:val="left"/>
              <w:rPr>
                <w:color w:val="auto"/>
                <w:sz w:val="24"/>
                <w:szCs w:val="24"/>
                <w:highlight w:val="none"/>
                <w:u w:val="none"/>
              </w:rPr>
            </w:pPr>
            <w:r>
              <w:rPr>
                <w:rFonts w:hint="eastAsia"/>
                <w:color w:val="auto"/>
                <w:sz w:val="24"/>
                <w:szCs w:val="24"/>
                <w:highlight w:val="none"/>
                <w:u w:val="none"/>
              </w:rPr>
              <w:t>递交地点：上传至三门峡市公共资源交易中心系统</w:t>
            </w:r>
            <w:r>
              <w:rPr>
                <w:rFonts w:hint="eastAsia"/>
                <w:color w:val="auto"/>
                <w:kern w:val="0"/>
                <w:sz w:val="24"/>
                <w:szCs w:val="24"/>
                <w:highlight w:val="none"/>
                <w:u w:val="none"/>
              </w:rPr>
              <w:t>。</w:t>
            </w:r>
          </w:p>
        </w:tc>
      </w:tr>
      <w:tr w14:paraId="2D65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058" w:type="dxa"/>
            <w:vAlign w:val="center"/>
          </w:tcPr>
          <w:p w14:paraId="260CE90B">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26</w:t>
            </w:r>
          </w:p>
        </w:tc>
        <w:tc>
          <w:tcPr>
            <w:tcW w:w="1950" w:type="dxa"/>
            <w:vAlign w:val="center"/>
          </w:tcPr>
          <w:p w14:paraId="20B9E7C6">
            <w:pPr>
              <w:keepLines/>
              <w:pageBreakBefore w:val="0"/>
              <w:wordWrap w:val="0"/>
              <w:overflowPunct/>
              <w:bidi w:val="0"/>
              <w:spacing w:line="360" w:lineRule="auto"/>
              <w:jc w:val="center"/>
              <w:rPr>
                <w:color w:val="auto"/>
                <w:kern w:val="0"/>
                <w:sz w:val="24"/>
                <w:szCs w:val="24"/>
                <w:highlight w:val="none"/>
                <w:u w:val="none"/>
              </w:rPr>
            </w:pPr>
            <w:r>
              <w:rPr>
                <w:rFonts w:hint="eastAsia"/>
                <w:color w:val="auto"/>
                <w:kern w:val="0"/>
                <w:sz w:val="24"/>
                <w:szCs w:val="24"/>
                <w:highlight w:val="none"/>
                <w:u w:val="none"/>
              </w:rPr>
              <w:t>资格审查</w:t>
            </w:r>
          </w:p>
        </w:tc>
        <w:tc>
          <w:tcPr>
            <w:tcW w:w="6314" w:type="dxa"/>
            <w:vAlign w:val="center"/>
          </w:tcPr>
          <w:p w14:paraId="36C90AED">
            <w:pPr>
              <w:pageBreakBefore w:val="0"/>
              <w:widowControl/>
              <w:kinsoku w:val="0"/>
              <w:wordWrap w:val="0"/>
              <w:overflowPunct/>
              <w:autoSpaceDE w:val="0"/>
              <w:autoSpaceDN w:val="0"/>
              <w:bidi w:val="0"/>
              <w:adjustRightInd w:val="0"/>
              <w:snapToGrid w:val="0"/>
              <w:spacing w:line="360" w:lineRule="auto"/>
              <w:ind w:right="102"/>
              <w:jc w:val="left"/>
              <w:textAlignment w:val="baseline"/>
              <w:rPr>
                <w:color w:val="auto"/>
                <w:sz w:val="24"/>
                <w:szCs w:val="24"/>
                <w:highlight w:val="none"/>
                <w:u w:val="none"/>
              </w:rPr>
            </w:pPr>
            <w:r>
              <w:rPr>
                <w:rFonts w:hint="eastAsia"/>
                <w:color w:val="auto"/>
                <w:kern w:val="0"/>
                <w:sz w:val="24"/>
                <w:szCs w:val="24"/>
                <w:highlight w:val="none"/>
                <w:u w:val="none"/>
              </w:rPr>
              <w:t>开标结束后，由采购人和采购代理机构依法对供应商的资格进行审查。</w:t>
            </w:r>
          </w:p>
        </w:tc>
      </w:tr>
      <w:tr w14:paraId="28A7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0769F9E2">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27</w:t>
            </w:r>
          </w:p>
        </w:tc>
        <w:tc>
          <w:tcPr>
            <w:tcW w:w="1950" w:type="dxa"/>
            <w:vAlign w:val="center"/>
          </w:tcPr>
          <w:p w14:paraId="60134A4E">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开标时间及地点</w:t>
            </w:r>
          </w:p>
        </w:tc>
        <w:tc>
          <w:tcPr>
            <w:tcW w:w="6314" w:type="dxa"/>
            <w:vAlign w:val="center"/>
          </w:tcPr>
          <w:p w14:paraId="2F0B15EB">
            <w:pPr>
              <w:pageBreakBefore w:val="0"/>
              <w:wordWrap w:val="0"/>
              <w:overflowPunct/>
              <w:bidi w:val="0"/>
              <w:snapToGrid w:val="0"/>
              <w:spacing w:line="360" w:lineRule="atLeast"/>
              <w:jc w:val="left"/>
              <w:rPr>
                <w:color w:val="auto"/>
                <w:sz w:val="24"/>
                <w:szCs w:val="24"/>
                <w:highlight w:val="none"/>
                <w:u w:val="none"/>
              </w:rPr>
            </w:pPr>
            <w:r>
              <w:rPr>
                <w:rFonts w:hint="eastAsia"/>
                <w:color w:val="auto"/>
                <w:sz w:val="24"/>
                <w:szCs w:val="24"/>
                <w:highlight w:val="none"/>
                <w:u w:val="none"/>
              </w:rPr>
              <w:t>时间：202</w:t>
            </w:r>
            <w:r>
              <w:rPr>
                <w:rFonts w:hint="eastAsia"/>
                <w:color w:val="auto"/>
                <w:sz w:val="24"/>
                <w:szCs w:val="24"/>
                <w:highlight w:val="none"/>
                <w:u w:val="none"/>
                <w:lang w:val="en-US" w:eastAsia="zh-CN"/>
              </w:rPr>
              <w:t>6</w:t>
            </w:r>
            <w:r>
              <w:rPr>
                <w:rFonts w:hint="eastAsia"/>
                <w:color w:val="auto"/>
                <w:sz w:val="24"/>
                <w:szCs w:val="24"/>
                <w:highlight w:val="none"/>
                <w:u w:val="none"/>
              </w:rPr>
              <w:t>年</w:t>
            </w:r>
            <w:r>
              <w:rPr>
                <w:rFonts w:hint="eastAsia"/>
                <w:color w:val="auto"/>
                <w:sz w:val="24"/>
                <w:szCs w:val="24"/>
                <w:highlight w:val="none"/>
                <w:u w:val="none"/>
                <w:lang w:val="en-US" w:eastAsia="zh-CN"/>
              </w:rPr>
              <w:t>08</w:t>
            </w:r>
            <w:r>
              <w:rPr>
                <w:rFonts w:hint="eastAsia"/>
                <w:color w:val="auto"/>
                <w:sz w:val="24"/>
                <w:szCs w:val="24"/>
                <w:highlight w:val="none"/>
                <w:u w:val="none"/>
              </w:rPr>
              <w:t>月</w:t>
            </w:r>
            <w:r>
              <w:rPr>
                <w:rFonts w:hint="eastAsia"/>
                <w:color w:val="auto"/>
                <w:sz w:val="24"/>
                <w:szCs w:val="24"/>
                <w:highlight w:val="none"/>
                <w:u w:val="none"/>
                <w:lang w:val="en-US" w:eastAsia="zh-CN"/>
              </w:rPr>
              <w:t>18</w:t>
            </w:r>
            <w:r>
              <w:rPr>
                <w:rFonts w:hint="eastAsia"/>
                <w:color w:val="auto"/>
                <w:sz w:val="24"/>
                <w:szCs w:val="24"/>
                <w:highlight w:val="none"/>
                <w:u w:val="none"/>
              </w:rPr>
              <w:t>日8时</w:t>
            </w:r>
            <w:r>
              <w:rPr>
                <w:rFonts w:hint="eastAsia"/>
                <w:color w:val="auto"/>
                <w:sz w:val="24"/>
                <w:szCs w:val="24"/>
                <w:highlight w:val="none"/>
                <w:u w:val="none"/>
                <w:lang w:val="en-US" w:eastAsia="zh-CN"/>
              </w:rPr>
              <w:t>4</w:t>
            </w:r>
            <w:r>
              <w:rPr>
                <w:rFonts w:hint="eastAsia"/>
                <w:color w:val="auto"/>
                <w:sz w:val="24"/>
                <w:szCs w:val="24"/>
                <w:highlight w:val="none"/>
                <w:u w:val="none"/>
              </w:rPr>
              <w:t>0分</w:t>
            </w:r>
          </w:p>
          <w:p w14:paraId="67693E1F">
            <w:pPr>
              <w:pageBreakBefore w:val="0"/>
              <w:wordWrap w:val="0"/>
              <w:overflowPunct/>
              <w:bidi w:val="0"/>
              <w:snapToGrid w:val="0"/>
              <w:spacing w:line="360" w:lineRule="atLeast"/>
              <w:jc w:val="left"/>
              <w:rPr>
                <w:color w:val="auto"/>
                <w:sz w:val="24"/>
                <w:szCs w:val="24"/>
                <w:highlight w:val="none"/>
                <w:u w:val="none"/>
              </w:rPr>
            </w:pPr>
            <w:r>
              <w:rPr>
                <w:rFonts w:hint="eastAsia"/>
                <w:color w:val="auto"/>
                <w:sz w:val="24"/>
                <w:szCs w:val="24"/>
                <w:highlight w:val="none"/>
                <w:u w:val="none"/>
              </w:rPr>
              <w:t>地点：</w:t>
            </w:r>
            <w:r>
              <w:rPr>
                <w:rFonts w:hint="eastAsia"/>
                <w:color w:val="auto"/>
                <w:sz w:val="24"/>
                <w:szCs w:val="24"/>
                <w:highlight w:val="none"/>
                <w:u w:val="none"/>
                <w:lang w:val="en-US" w:eastAsia="zh-CN"/>
              </w:rPr>
              <w:t>卢氏县公共资源交易中心四楼第一开标室</w:t>
            </w:r>
          </w:p>
        </w:tc>
      </w:tr>
      <w:tr w14:paraId="3BD8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2A19B146">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28</w:t>
            </w:r>
          </w:p>
        </w:tc>
        <w:tc>
          <w:tcPr>
            <w:tcW w:w="1950" w:type="dxa"/>
            <w:vAlign w:val="center"/>
          </w:tcPr>
          <w:p w14:paraId="4A3E7532">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评审小组的组建</w:t>
            </w:r>
          </w:p>
        </w:tc>
        <w:tc>
          <w:tcPr>
            <w:tcW w:w="6314" w:type="dxa"/>
            <w:vAlign w:val="center"/>
          </w:tcPr>
          <w:p w14:paraId="576C6AC7">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评审委员会构成：</w:t>
            </w:r>
            <w:r>
              <w:rPr>
                <w:rFonts w:hint="eastAsia"/>
                <w:color w:val="auto"/>
                <w:sz w:val="24"/>
                <w:szCs w:val="24"/>
                <w:highlight w:val="none"/>
                <w:u w:val="none"/>
                <w:lang w:val="en-US" w:eastAsia="zh-CN"/>
              </w:rPr>
              <w:t>5</w:t>
            </w:r>
            <w:r>
              <w:rPr>
                <w:rFonts w:hint="eastAsia"/>
                <w:color w:val="auto"/>
                <w:sz w:val="24"/>
                <w:szCs w:val="24"/>
                <w:highlight w:val="none"/>
                <w:u w:val="none"/>
              </w:rPr>
              <w:t xml:space="preserve"> 人，其中经济、技术类专家</w:t>
            </w:r>
            <w:r>
              <w:rPr>
                <w:rFonts w:hint="eastAsia"/>
                <w:color w:val="auto"/>
                <w:sz w:val="24"/>
                <w:szCs w:val="24"/>
                <w:highlight w:val="none"/>
                <w:u w:val="none"/>
                <w:lang w:val="en-US" w:eastAsia="zh-CN"/>
              </w:rPr>
              <w:t>4</w:t>
            </w:r>
            <w:r>
              <w:rPr>
                <w:rFonts w:hint="eastAsia"/>
                <w:color w:val="auto"/>
                <w:sz w:val="24"/>
                <w:szCs w:val="24"/>
                <w:highlight w:val="none"/>
                <w:u w:val="none"/>
              </w:rPr>
              <w:t>人，采购人代表</w:t>
            </w:r>
            <w:r>
              <w:rPr>
                <w:rFonts w:hint="eastAsia"/>
                <w:color w:val="auto"/>
                <w:sz w:val="24"/>
                <w:szCs w:val="24"/>
                <w:highlight w:val="none"/>
                <w:u w:val="none"/>
                <w:lang w:val="en-US" w:eastAsia="zh-CN"/>
              </w:rPr>
              <w:t>1</w:t>
            </w:r>
            <w:r>
              <w:rPr>
                <w:rFonts w:hint="eastAsia"/>
                <w:color w:val="auto"/>
                <w:sz w:val="24"/>
                <w:szCs w:val="24"/>
                <w:highlight w:val="none"/>
                <w:u w:val="none"/>
              </w:rPr>
              <w:t>人。</w:t>
            </w:r>
          </w:p>
          <w:p w14:paraId="61AD5492">
            <w:pPr>
              <w:pageBreakBefore w:val="0"/>
              <w:wordWrap w:val="0"/>
              <w:overflowPunct/>
              <w:bidi w:val="0"/>
              <w:snapToGrid w:val="0"/>
              <w:spacing w:line="360" w:lineRule="atLeast"/>
              <w:rPr>
                <w:rFonts w:hint="eastAsia"/>
                <w:color w:val="auto"/>
                <w:sz w:val="24"/>
                <w:szCs w:val="24"/>
                <w:highlight w:val="none"/>
                <w:u w:val="none"/>
              </w:rPr>
            </w:pPr>
            <w:r>
              <w:rPr>
                <w:rFonts w:hint="eastAsia"/>
                <w:color w:val="auto"/>
                <w:sz w:val="24"/>
                <w:szCs w:val="24"/>
                <w:highlight w:val="none"/>
                <w:u w:val="none"/>
              </w:rPr>
              <w:t>开标后在三门峡市卢氏县抽取终端通过河南省政府采购评审专家库中随机抽取。</w:t>
            </w:r>
          </w:p>
          <w:p w14:paraId="08159D09">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评标专家确定方法：评标专家库随机抽取</w:t>
            </w:r>
          </w:p>
        </w:tc>
      </w:tr>
      <w:tr w14:paraId="7F95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vAlign w:val="center"/>
          </w:tcPr>
          <w:p w14:paraId="5A697CEC">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29</w:t>
            </w:r>
          </w:p>
        </w:tc>
        <w:tc>
          <w:tcPr>
            <w:tcW w:w="1950" w:type="dxa"/>
            <w:vAlign w:val="center"/>
          </w:tcPr>
          <w:p w14:paraId="5D86DEB5">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履约保证金</w:t>
            </w:r>
          </w:p>
        </w:tc>
        <w:tc>
          <w:tcPr>
            <w:tcW w:w="6314" w:type="dxa"/>
            <w:vAlign w:val="center"/>
          </w:tcPr>
          <w:p w14:paraId="302544C1">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无</w:t>
            </w:r>
          </w:p>
        </w:tc>
      </w:tr>
      <w:tr w14:paraId="2000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7B9A9CAD">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30</w:t>
            </w:r>
          </w:p>
        </w:tc>
        <w:tc>
          <w:tcPr>
            <w:tcW w:w="1950" w:type="dxa"/>
            <w:vAlign w:val="center"/>
          </w:tcPr>
          <w:p w14:paraId="78499127">
            <w:pPr>
              <w:pageBreakBefore w:val="0"/>
              <w:wordWrap w:val="0"/>
              <w:overflowPunct/>
              <w:bidi w:val="0"/>
              <w:snapToGrid w:val="0"/>
              <w:spacing w:line="360" w:lineRule="atLeast"/>
              <w:jc w:val="center"/>
              <w:rPr>
                <w:color w:val="auto"/>
                <w:sz w:val="24"/>
                <w:szCs w:val="24"/>
                <w:highlight w:val="none"/>
                <w:u w:val="none"/>
              </w:rPr>
            </w:pPr>
            <w:r>
              <w:rPr>
                <w:rFonts w:hint="eastAsia"/>
                <w:color w:val="auto"/>
                <w:sz w:val="24"/>
                <w:szCs w:val="24"/>
                <w:highlight w:val="none"/>
                <w:u w:val="none"/>
              </w:rPr>
              <w:t>第二阶段成交供应商的选定</w:t>
            </w:r>
          </w:p>
        </w:tc>
        <w:tc>
          <w:tcPr>
            <w:tcW w:w="6314" w:type="dxa"/>
            <w:vAlign w:val="center"/>
          </w:tcPr>
          <w:p w14:paraId="3DF346D2">
            <w:pPr>
              <w:pageBreakBefore w:val="0"/>
              <w:wordWrap w:val="0"/>
              <w:overflowPunct/>
              <w:bidi w:val="0"/>
              <w:snapToGrid w:val="0"/>
              <w:spacing w:line="360" w:lineRule="atLeast"/>
              <w:rPr>
                <w:color w:val="auto"/>
                <w:sz w:val="24"/>
                <w:szCs w:val="24"/>
                <w:highlight w:val="none"/>
                <w:u w:val="none"/>
              </w:rPr>
            </w:pPr>
            <w:r>
              <w:rPr>
                <w:rFonts w:hint="eastAsia"/>
                <w:color w:val="auto"/>
                <w:sz w:val="24"/>
                <w:szCs w:val="24"/>
                <w:highlight w:val="none"/>
                <w:u w:val="none"/>
              </w:rPr>
              <w:t>直接选定。</w:t>
            </w:r>
          </w:p>
        </w:tc>
      </w:tr>
      <w:tr w14:paraId="4152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305A6AF7">
            <w:pPr>
              <w:spacing w:line="360" w:lineRule="auto"/>
              <w:ind w:right="105" w:rightChars="50"/>
              <w:jc w:val="center"/>
              <w:rPr>
                <w:rFonts w:hint="default" w:ascii="宋体" w:hAnsi="Times New Roman" w:eastAsia="宋体" w:cs="Times New Roman"/>
                <w:color w:val="auto"/>
                <w:sz w:val="24"/>
                <w:szCs w:val="24"/>
                <w:highlight w:val="none"/>
                <w:lang w:val="en-US" w:eastAsia="zh-CN"/>
              </w:rPr>
            </w:pPr>
            <w:r>
              <w:rPr>
                <w:rFonts w:hint="eastAsia" w:ascii="宋体" w:hAnsi="Times New Roman" w:eastAsia="宋体" w:cs="Times New Roman"/>
                <w:color w:val="auto"/>
                <w:sz w:val="24"/>
                <w:szCs w:val="24"/>
                <w:highlight w:val="none"/>
                <w:lang w:val="en-US" w:eastAsia="zh-CN"/>
              </w:rPr>
              <w:t>31</w:t>
            </w:r>
          </w:p>
        </w:tc>
        <w:tc>
          <w:tcPr>
            <w:tcW w:w="1950" w:type="dxa"/>
            <w:vAlign w:val="center"/>
          </w:tcPr>
          <w:p w14:paraId="677EBD1E">
            <w:pPr>
              <w:spacing w:line="360" w:lineRule="auto"/>
              <w:ind w:right="105" w:rightChars="50"/>
              <w:rPr>
                <w:rFonts w:hint="eastAsia" w:ascii="宋体" w:hAnsi="Times New Roman" w:eastAsia="宋体" w:cs="Times New Roman"/>
                <w:color w:val="auto"/>
                <w:sz w:val="24"/>
                <w:szCs w:val="24"/>
                <w:highlight w:val="none"/>
                <w:lang w:val="en-US" w:eastAsia="zh-CN"/>
              </w:rPr>
            </w:pPr>
            <w:r>
              <w:rPr>
                <w:rFonts w:hint="eastAsia" w:ascii="宋体" w:hAnsi="Times New Roman" w:eastAsia="宋体" w:cs="Times New Roman"/>
                <w:color w:val="auto"/>
                <w:sz w:val="24"/>
                <w:szCs w:val="24"/>
                <w:highlight w:val="none"/>
                <w:lang w:val="en-US" w:eastAsia="zh-CN"/>
              </w:rPr>
              <w:t>代理服务费</w:t>
            </w:r>
          </w:p>
        </w:tc>
        <w:tc>
          <w:tcPr>
            <w:tcW w:w="6314" w:type="dxa"/>
            <w:vAlign w:val="top"/>
          </w:tcPr>
          <w:p w14:paraId="45AFAEEA">
            <w:pPr>
              <w:spacing w:line="360" w:lineRule="auto"/>
              <w:ind w:right="105" w:rightChars="50"/>
              <w:rPr>
                <w:rFonts w:hint="eastAsia" w:ascii="宋体" w:hAnsi="Times New Roman" w:eastAsia="宋体" w:cs="Times New Roman"/>
                <w:color w:val="auto"/>
                <w:sz w:val="24"/>
                <w:szCs w:val="24"/>
                <w:highlight w:val="none"/>
                <w:lang w:val="zh-CN" w:eastAsia="zh-CN"/>
              </w:rPr>
            </w:pPr>
            <w:r>
              <w:rPr>
                <w:rFonts w:hint="eastAsia" w:ascii="宋体" w:hAnsi="Times New Roman" w:eastAsia="宋体" w:cs="Times New Roman"/>
                <w:color w:val="auto"/>
                <w:sz w:val="24"/>
                <w:szCs w:val="24"/>
                <w:highlight w:val="none"/>
                <w:lang w:val="en-US" w:eastAsia="zh-CN"/>
              </w:rPr>
              <w:t>招标代理服务收费参照豫招协[2023]002号《河南省招标代理服务收费指导意见》规定的收费标准收取中标服务费。</w:t>
            </w:r>
          </w:p>
        </w:tc>
      </w:tr>
      <w:tr w14:paraId="7696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44E3DE13">
            <w:pPr>
              <w:pageBreakBefore w:val="0"/>
              <w:wordWrap w:val="0"/>
              <w:overflowPunct/>
              <w:bidi w:val="0"/>
              <w:snapToGrid w:val="0"/>
              <w:spacing w:line="360" w:lineRule="atLeast"/>
              <w:jc w:val="center"/>
              <w:rPr>
                <w:rFonts w:hint="default"/>
                <w:color w:val="auto"/>
                <w:sz w:val="24"/>
                <w:szCs w:val="24"/>
                <w:highlight w:val="none"/>
                <w:u w:val="none"/>
                <w:lang w:val="en-US" w:eastAsia="zh-CN"/>
              </w:rPr>
            </w:pPr>
            <w:r>
              <w:rPr>
                <w:rFonts w:hint="eastAsia"/>
                <w:color w:val="auto"/>
                <w:sz w:val="24"/>
                <w:szCs w:val="24"/>
                <w:highlight w:val="none"/>
                <w:u w:val="none"/>
                <w:lang w:val="en-US" w:eastAsia="zh-CN"/>
              </w:rPr>
              <w:t>32</w:t>
            </w:r>
          </w:p>
        </w:tc>
        <w:tc>
          <w:tcPr>
            <w:tcW w:w="1950" w:type="dxa"/>
            <w:vAlign w:val="center"/>
          </w:tcPr>
          <w:p w14:paraId="3D7E65DF">
            <w:pPr>
              <w:widowControl/>
              <w:adjustRightInd w:val="0"/>
              <w:snapToGrid w:val="0"/>
              <w:jc w:val="center"/>
              <w:rPr>
                <w:rFonts w:hint="eastAsia" w:ascii="宋体" w:hAnsi="宋体" w:eastAsia="宋体" w:cs="宋体"/>
                <w:color w:val="auto"/>
                <w:kern w:val="0"/>
                <w:sz w:val="24"/>
                <w:szCs w:val="24"/>
                <w:highlight w:val="none"/>
                <w:lang w:val="en-US" w:eastAsia="zh-CN" w:bidi="ar-SA"/>
              </w:rPr>
            </w:pPr>
            <w:r>
              <w:rPr>
                <w:rFonts w:hint="eastAsia" w:ascii="宋体" w:hAnsi="宋体"/>
                <w:color w:val="auto"/>
                <w:kern w:val="0"/>
                <w:sz w:val="24"/>
                <w:szCs w:val="24"/>
                <w:highlight w:val="none"/>
              </w:rPr>
              <w:t>采购标的所属行业</w:t>
            </w:r>
          </w:p>
        </w:tc>
        <w:tc>
          <w:tcPr>
            <w:tcW w:w="6314" w:type="dxa"/>
            <w:vAlign w:val="center"/>
          </w:tcPr>
          <w:p w14:paraId="32E53CFE">
            <w:pPr>
              <w:spacing w:line="360" w:lineRule="auto"/>
              <w:ind w:right="105" w:rightChars="50"/>
              <w:rPr>
                <w:rFonts w:hint="eastAsia" w:ascii="宋体" w:hAnsi="Times New Roman" w:eastAsia="宋体" w:cs="Times New Roman"/>
                <w:color w:val="auto"/>
                <w:sz w:val="24"/>
                <w:szCs w:val="24"/>
                <w:highlight w:val="none"/>
                <w:lang w:val="en-US" w:eastAsia="zh-CN"/>
              </w:rPr>
            </w:pPr>
            <w:r>
              <w:rPr>
                <w:rFonts w:hint="eastAsia" w:ascii="宋体" w:hAnsi="Times New Roman" w:eastAsia="宋体" w:cs="Times New Roman"/>
                <w:color w:val="auto"/>
                <w:sz w:val="24"/>
                <w:szCs w:val="24"/>
                <w:highlight w:val="none"/>
                <w:lang w:val="en-US" w:eastAsia="zh-CN"/>
              </w:rPr>
              <w:t>采购标的所属行业：其他未列明行业</w:t>
            </w:r>
          </w:p>
          <w:p w14:paraId="434E22F6">
            <w:pPr>
              <w:spacing w:line="360" w:lineRule="auto"/>
              <w:ind w:right="105" w:rightChars="50"/>
              <w:rPr>
                <w:rFonts w:hint="eastAsia" w:ascii="宋体" w:hAnsi="Times New Roman" w:eastAsia="宋体" w:cs="Times New Roman"/>
                <w:color w:val="auto"/>
                <w:kern w:val="2"/>
                <w:sz w:val="24"/>
                <w:szCs w:val="24"/>
                <w:highlight w:val="none"/>
                <w:lang w:val="zh-CN" w:eastAsia="zh-CN" w:bidi="ar-SA"/>
              </w:rPr>
            </w:pPr>
            <w:r>
              <w:rPr>
                <w:rFonts w:hint="eastAsia" w:ascii="宋体" w:hAnsi="Times New Roman" w:eastAsia="宋体" w:cs="Times New Roman"/>
                <w:color w:val="auto"/>
                <w:sz w:val="24"/>
                <w:szCs w:val="24"/>
                <w:highlight w:val="none"/>
                <w:lang w:val="en-US" w:eastAsia="zh-CN"/>
              </w:rPr>
              <w:t>划定标准为：中小微企业划分按照《国家统计局关于印发&lt;统计上大中小 微型企业划分办法（2017）&gt;的通知》国统字【2017】213 号文件及《工业和信息化部、国家统计局、国家发展和改革委员会、财政部关于印发&lt; 中小企业划型标准规定&gt;（工信部联企业〔2011〕300号）规定的划分标准为依据。</w:t>
            </w:r>
          </w:p>
        </w:tc>
      </w:tr>
      <w:tr w14:paraId="6F6E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vAlign w:val="center"/>
          </w:tcPr>
          <w:p w14:paraId="1D816B6F">
            <w:pPr>
              <w:pageBreakBefore w:val="0"/>
              <w:wordWrap w:val="0"/>
              <w:overflowPunct/>
              <w:bidi w:val="0"/>
              <w:snapToGrid w:val="0"/>
              <w:spacing w:line="360" w:lineRule="atLeast"/>
              <w:jc w:val="center"/>
              <w:rPr>
                <w:rFonts w:hint="default" w:ascii="宋体" w:hAnsi="宋体" w:eastAsia="宋体" w:cs="宋体"/>
                <w:color w:val="auto"/>
                <w:kern w:val="2"/>
                <w:sz w:val="24"/>
                <w:szCs w:val="24"/>
                <w:highlight w:val="none"/>
                <w:u w:val="none"/>
                <w:lang w:val="en-US" w:eastAsia="zh-CN" w:bidi="ar-SA"/>
              </w:rPr>
            </w:pPr>
            <w:r>
              <w:rPr>
                <w:rFonts w:hint="eastAsia"/>
                <w:color w:val="auto"/>
                <w:sz w:val="24"/>
                <w:szCs w:val="24"/>
                <w:highlight w:val="none"/>
                <w:u w:val="none"/>
                <w:lang w:val="en-US" w:eastAsia="zh-CN"/>
              </w:rPr>
              <w:t>33</w:t>
            </w:r>
          </w:p>
        </w:tc>
        <w:tc>
          <w:tcPr>
            <w:tcW w:w="1950" w:type="dxa"/>
            <w:vAlign w:val="center"/>
          </w:tcPr>
          <w:p w14:paraId="7BCA6C7D">
            <w:pPr>
              <w:pageBreakBefore w:val="0"/>
              <w:wordWrap w:val="0"/>
              <w:overflowPunct/>
              <w:bidi w:val="0"/>
              <w:snapToGrid w:val="0"/>
              <w:spacing w:line="360" w:lineRule="atLeast"/>
              <w:rPr>
                <w:rFonts w:hint="eastAsia" w:ascii="宋体" w:hAnsi="宋体" w:eastAsia="宋体" w:cs="宋体"/>
                <w:color w:val="auto"/>
                <w:kern w:val="2"/>
                <w:sz w:val="24"/>
                <w:szCs w:val="24"/>
                <w:highlight w:val="none"/>
                <w:u w:val="none"/>
                <w:lang w:val="en-US" w:eastAsia="zh-CN" w:bidi="ar-SA"/>
              </w:rPr>
            </w:pPr>
            <w:r>
              <w:rPr>
                <w:rFonts w:hint="eastAsia"/>
                <w:color w:val="auto"/>
                <w:sz w:val="24"/>
                <w:szCs w:val="24"/>
                <w:highlight w:val="none"/>
                <w:u w:val="none"/>
              </w:rPr>
              <w:t>其它需要说明的内容</w:t>
            </w:r>
          </w:p>
        </w:tc>
        <w:tc>
          <w:tcPr>
            <w:tcW w:w="6314" w:type="dxa"/>
            <w:vAlign w:val="center"/>
          </w:tcPr>
          <w:p w14:paraId="775A2A5D">
            <w:pPr>
              <w:pageBreakBefore w:val="0"/>
              <w:wordWrap w:val="0"/>
              <w:overflowPunct/>
              <w:bidi w:val="0"/>
              <w:snapToGrid w:val="0"/>
              <w:spacing w:line="360" w:lineRule="atLeast"/>
              <w:rPr>
                <w:rFonts w:hint="eastAsia"/>
                <w:color w:val="auto"/>
                <w:sz w:val="24"/>
                <w:szCs w:val="24"/>
                <w:highlight w:val="none"/>
                <w:u w:val="none"/>
                <w:lang w:val="zh-CN" w:eastAsia="zh-CN"/>
              </w:rPr>
            </w:pPr>
            <w:r>
              <w:rPr>
                <w:rFonts w:hint="eastAsia"/>
                <w:color w:val="auto"/>
                <w:sz w:val="24"/>
                <w:szCs w:val="24"/>
                <w:highlight w:val="none"/>
                <w:u w:val="none"/>
                <w:lang w:val="zh-CN" w:eastAsia="zh-CN"/>
              </w:rPr>
              <w:t>1、投标人供应商依据征集文件（含补充说明，如果有的话）并结合项目内容及采购需求，所有标准和要求均应为国家现行最新有效版本和国家强制性规范要求；</w:t>
            </w:r>
          </w:p>
          <w:p w14:paraId="0348126F">
            <w:pPr>
              <w:pageBreakBefore w:val="0"/>
              <w:wordWrap w:val="0"/>
              <w:overflowPunct/>
              <w:bidi w:val="0"/>
              <w:snapToGrid w:val="0"/>
              <w:spacing w:line="360" w:lineRule="atLeast"/>
              <w:rPr>
                <w:rFonts w:hint="eastAsia" w:ascii="宋体" w:hAnsi="宋体" w:eastAsia="宋体" w:cs="宋体"/>
                <w:color w:val="auto"/>
                <w:kern w:val="2"/>
                <w:sz w:val="24"/>
                <w:szCs w:val="24"/>
                <w:highlight w:val="none"/>
                <w:u w:val="none"/>
                <w:lang w:val="en-US" w:eastAsia="zh-CN" w:bidi="ar-SA"/>
              </w:rPr>
            </w:pPr>
            <w:r>
              <w:rPr>
                <w:rFonts w:hint="eastAsia"/>
                <w:color w:val="auto"/>
                <w:sz w:val="24"/>
                <w:szCs w:val="24"/>
                <w:highlight w:val="none"/>
                <w:u w:val="none"/>
                <w:lang w:val="zh-CN" w:eastAsia="zh-CN"/>
              </w:rPr>
              <w:t>2、本征集文件未尽事宜，执行国家、省、市相关规定。</w:t>
            </w:r>
          </w:p>
        </w:tc>
      </w:tr>
      <w:tr w14:paraId="6F89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14:paraId="4CC7BF64">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本项目为电子化、无纸化交易项目，响应文件是投标人、供应商（以下简称“投标人”）通过中心响应文件制作系统制作，并经过电子签章和加密后生成的电子版响应文件。投标人投标时，将不再接受任何纸质文件资料。</w:t>
            </w:r>
          </w:p>
          <w:p w14:paraId="7C613FBB">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电子化响应文件工具请在三门峡市公共资源交易中心网首页“下载专区”下载。</w:t>
            </w:r>
          </w:p>
          <w:p w14:paraId="1E192435">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温馨提示：本项目为电子化、无纸化交易项目，开标时不接受任何纸质资料，为保证您能投标成功，请需仔细阅读以下条款。</w:t>
            </w:r>
          </w:p>
          <w:p w14:paraId="654A329C">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一、电子化投标</w:t>
            </w:r>
          </w:p>
          <w:p w14:paraId="31F14FBA">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（一）电子化响应文件的签章</w:t>
            </w:r>
          </w:p>
          <w:p w14:paraId="3EE09D74">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1、投标人在生成电子化响应文件后，应对电子化响应文件进行签章，未进行签章的视为无效投标。</w:t>
            </w:r>
          </w:p>
          <w:p w14:paraId="00B0C2AE">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2、响应文件中要求法定代表人或授权委托人盖章的，投标人在进行电子化响应文件签章时，以签盖法定代表人签章为准。电子化响应文件具体制作教材请投标人通过CA证书登录三门峡市公共资源电子化交易系统在右上角“交易智库”中查看。电子化响应文件工具请点击http://t.cn/A6ZvtVob进行下载。</w:t>
            </w:r>
          </w:p>
          <w:p w14:paraId="6350EE75">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（二）电子化响应文件的格式及上传投标</w:t>
            </w:r>
          </w:p>
          <w:p w14:paraId="4AE3F485">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1、投标人所上传的电子化响应文件，应是通过中心响应文件制作系统制作的，经过签章和加密后生成的电子版响应文件。生成的电子版响应文件包含用于响应文件上传的主文件（后缀为.smxtf）和用于应急补救的响应文件备份文件（后缀为.nsmxtf），备份文件主要用于电子化开标出现技术问题后的补救，请投标人随身携带。</w:t>
            </w:r>
          </w:p>
          <w:p w14:paraId="1C0C0084">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注：投标人投报多个标段的，需要每个标段单独制作电子响应文件。</w:t>
            </w:r>
          </w:p>
          <w:p w14:paraId="0931553D">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2、电子化响应文件应在投标截止时间前成功上传至三门峡市公共资源电子化交易系统。至投标截止时间止，仍未上传成功的电子化响应文件将不予接收。</w:t>
            </w:r>
          </w:p>
          <w:p w14:paraId="38634A6C">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注：如按照电子化投标操作教材制作完成的电子化响应文件无法上传的，投标人应在投标截止时间前尽早的联系中心技术人员，以便有充分的时间进行处理。投标人应充分考虑到处理技术问题和上传数据等工作所需的时间问题，响应文件未在投标截止时间前成功上传的，其响应文件不予接收。</w:t>
            </w:r>
          </w:p>
          <w:p w14:paraId="4A47C800">
            <w:pPr>
              <w:keepNext w:val="0"/>
              <w:keepLines w:val="0"/>
              <w:pageBreakBefore w:val="0"/>
              <w:widowControl w:val="0"/>
              <w:kinsoku/>
              <w:wordWrap w:val="0"/>
              <w:overflowPunct/>
              <w:topLinePunct w:val="0"/>
              <w:autoSpaceDE/>
              <w:autoSpaceDN/>
              <w:bidi w:val="0"/>
              <w:adjustRightInd/>
              <w:snapToGrid w:val="0"/>
              <w:spacing w:line="500" w:lineRule="exact"/>
              <w:textAlignment w:val="auto"/>
              <w:rPr>
                <w:rFonts w:hint="eastAsia"/>
                <w:color w:val="auto"/>
                <w:sz w:val="24"/>
                <w:szCs w:val="24"/>
                <w:highlight w:val="none"/>
                <w:u w:val="none"/>
                <w:lang w:val="en-US" w:eastAsia="zh-CN"/>
              </w:rPr>
            </w:pPr>
            <w:r>
              <w:rPr>
                <w:rFonts w:hint="eastAsia"/>
                <w:color w:val="auto"/>
                <w:sz w:val="24"/>
                <w:szCs w:val="24"/>
                <w:highlight w:val="none"/>
                <w:u w:val="none"/>
              </w:rPr>
              <w:t>技术联系电话：</w:t>
            </w:r>
            <w:r>
              <w:rPr>
                <w:rFonts w:hint="eastAsia"/>
                <w:color w:val="auto"/>
                <w:sz w:val="24"/>
                <w:szCs w:val="24"/>
                <w:highlight w:val="none"/>
                <w:u w:val="none"/>
                <w:lang w:val="en-US" w:eastAsia="zh-CN"/>
              </w:rPr>
              <w:t>400 998 0000</w:t>
            </w:r>
          </w:p>
          <w:p w14:paraId="2D686470">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（三）电子化项目开标、解密、唱标、评审</w:t>
            </w:r>
          </w:p>
          <w:p w14:paraId="3463716D">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1、本项目采用电子化、无纸化进行招标，本项目为不见面开标项目，因疫情防控需要，开标当日供应商不得到开标现场参加开标会议，投标人应当在投标截止时间前，登陆不见面开标大厅选择登陆三门峡市公共资源电子招投标系统进行登陆（网址为http://120.194.249.36:10094/BidOpening/bidopeninghallaction/hall/login）,在线准时参加开标活动并进行响应文件解密等。</w:t>
            </w:r>
          </w:p>
          <w:p w14:paraId="6DFE2180">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2、电子化响应文件采用一次加密方式。开标时，由投标人使用CA证书，在规定时间内对其电子化响应文件进行解密。每位投标人的解密时间为开标时间起30分钟内，如在规定时间内未完成解密的，其响应文件不予开标、唱标。</w:t>
            </w:r>
          </w:p>
          <w:p w14:paraId="60B65FCC">
            <w:pPr>
              <w:keepNext w:val="0"/>
              <w:keepLines w:val="0"/>
              <w:pageBreakBefore w:val="0"/>
              <w:widowControl w:val="0"/>
              <w:kinsoku/>
              <w:wordWrap w:val="0"/>
              <w:overflowPunct/>
              <w:topLinePunct w:val="0"/>
              <w:autoSpaceDE/>
              <w:autoSpaceDN/>
              <w:bidi w:val="0"/>
              <w:adjustRightInd/>
              <w:snapToGrid w:val="0"/>
              <w:spacing w:line="360" w:lineRule="auto"/>
              <w:textAlignment w:val="auto"/>
              <w:rPr>
                <w:color w:val="auto"/>
                <w:sz w:val="24"/>
                <w:szCs w:val="24"/>
                <w:highlight w:val="none"/>
                <w:u w:val="none"/>
              </w:rPr>
            </w:pPr>
            <w:r>
              <w:rPr>
                <w:rFonts w:hint="eastAsia"/>
                <w:color w:val="auto"/>
                <w:sz w:val="24"/>
                <w:szCs w:val="24"/>
                <w:highlight w:val="none"/>
                <w:u w:val="none"/>
              </w:rPr>
              <w:t>如投标人携带CA证书至现场参加开标的，首先应按照中介服务机构指引，使用投标人CA证书对其电子化响应文件进行解密。</w:t>
            </w:r>
          </w:p>
          <w:p w14:paraId="249D8518">
            <w:pPr>
              <w:keepNext w:val="0"/>
              <w:keepLines w:val="0"/>
              <w:pageBreakBefore w:val="0"/>
              <w:widowControl w:val="0"/>
              <w:kinsoku/>
              <w:wordWrap w:val="0"/>
              <w:overflowPunct/>
              <w:topLinePunct w:val="0"/>
              <w:autoSpaceDE/>
              <w:autoSpaceDN/>
              <w:bidi w:val="0"/>
              <w:adjustRightInd/>
              <w:snapToGrid w:val="0"/>
              <w:spacing w:line="360" w:lineRule="auto"/>
              <w:textAlignment w:val="auto"/>
              <w:rPr>
                <w:color w:val="auto"/>
                <w:sz w:val="24"/>
                <w:szCs w:val="24"/>
                <w:highlight w:val="none"/>
                <w:u w:val="none"/>
              </w:rPr>
            </w:pPr>
            <w:r>
              <w:rPr>
                <w:rFonts w:hint="eastAsia"/>
                <w:color w:val="auto"/>
                <w:sz w:val="24"/>
                <w:szCs w:val="24"/>
                <w:highlight w:val="none"/>
                <w:u w:val="none"/>
              </w:rPr>
              <w:t>3、电子化响应文件异常情况的处理。</w:t>
            </w:r>
          </w:p>
          <w:p w14:paraId="7EC29252">
            <w:pPr>
              <w:keepNext w:val="0"/>
              <w:keepLines w:val="0"/>
              <w:pageBreakBefore w:val="0"/>
              <w:widowControl w:val="0"/>
              <w:kinsoku/>
              <w:wordWrap w:val="0"/>
              <w:overflowPunct/>
              <w:topLinePunct w:val="0"/>
              <w:autoSpaceDE/>
              <w:autoSpaceDN/>
              <w:bidi w:val="0"/>
              <w:adjustRightInd/>
              <w:snapToGrid w:val="0"/>
              <w:spacing w:line="360" w:lineRule="auto"/>
              <w:textAlignment w:val="auto"/>
              <w:rPr>
                <w:color w:val="auto"/>
                <w:sz w:val="24"/>
                <w:szCs w:val="24"/>
                <w:highlight w:val="none"/>
                <w:u w:val="none"/>
              </w:rPr>
            </w:pPr>
            <w:r>
              <w:rPr>
                <w:rFonts w:hint="eastAsia"/>
                <w:color w:val="auto"/>
                <w:sz w:val="24"/>
                <w:szCs w:val="24"/>
                <w:highlight w:val="none"/>
                <w:u w:val="none"/>
              </w:rPr>
              <w:t>如出现投标人的电子响应文件无法解密等异常情况，投标人应及时致电中介服务机构说明。响应文件异常，按以下步骤进行处理：</w:t>
            </w:r>
          </w:p>
          <w:p w14:paraId="44D4DBE3">
            <w:pPr>
              <w:keepNext w:val="0"/>
              <w:keepLines w:val="0"/>
              <w:pageBreakBefore w:val="0"/>
              <w:widowControl w:val="0"/>
              <w:kinsoku/>
              <w:wordWrap w:val="0"/>
              <w:overflowPunct/>
              <w:topLinePunct w:val="0"/>
              <w:autoSpaceDE/>
              <w:autoSpaceDN/>
              <w:bidi w:val="0"/>
              <w:adjustRightInd/>
              <w:snapToGrid w:val="0"/>
              <w:spacing w:line="360" w:lineRule="auto"/>
              <w:textAlignment w:val="auto"/>
              <w:rPr>
                <w:color w:val="auto"/>
                <w:sz w:val="24"/>
                <w:szCs w:val="24"/>
                <w:highlight w:val="none"/>
                <w:u w:val="none"/>
              </w:rPr>
            </w:pPr>
            <w:r>
              <w:rPr>
                <w:rFonts w:hint="eastAsia"/>
                <w:color w:val="auto"/>
                <w:sz w:val="24"/>
                <w:szCs w:val="24"/>
                <w:highlight w:val="none"/>
                <w:u w:val="none"/>
              </w:rPr>
              <w:t>（1）首先由技术人员进行问题排查；</w:t>
            </w:r>
          </w:p>
          <w:p w14:paraId="4D3D2945">
            <w:pPr>
              <w:keepNext w:val="0"/>
              <w:keepLines w:val="0"/>
              <w:pageBreakBefore w:val="0"/>
              <w:widowControl w:val="0"/>
              <w:kinsoku/>
              <w:wordWrap w:val="0"/>
              <w:overflowPunct/>
              <w:topLinePunct w:val="0"/>
              <w:autoSpaceDE/>
              <w:autoSpaceDN/>
              <w:bidi w:val="0"/>
              <w:adjustRightInd/>
              <w:snapToGrid w:val="0"/>
              <w:spacing w:line="360" w:lineRule="auto"/>
              <w:textAlignment w:val="auto"/>
              <w:rPr>
                <w:color w:val="auto"/>
                <w:sz w:val="24"/>
                <w:szCs w:val="24"/>
                <w:highlight w:val="none"/>
                <w:u w:val="none"/>
              </w:rPr>
            </w:pPr>
            <w:r>
              <w:rPr>
                <w:rFonts w:hint="eastAsia"/>
                <w:color w:val="auto"/>
                <w:sz w:val="24"/>
                <w:szCs w:val="24"/>
                <w:highlight w:val="none"/>
                <w:u w:val="none"/>
              </w:rPr>
              <w:t>（2）经技术人员排查后，是投标人文件自身问题导致响应文件无法解密的，该响应文件将不予接收、解密和唱标。开标会议继续进行；</w:t>
            </w:r>
          </w:p>
          <w:p w14:paraId="173C02C6">
            <w:pPr>
              <w:keepNext w:val="0"/>
              <w:keepLines w:val="0"/>
              <w:pageBreakBefore w:val="0"/>
              <w:widowControl w:val="0"/>
              <w:kinsoku/>
              <w:wordWrap w:val="0"/>
              <w:overflowPunct/>
              <w:topLinePunct w:val="0"/>
              <w:autoSpaceDE/>
              <w:autoSpaceDN/>
              <w:bidi w:val="0"/>
              <w:adjustRightInd/>
              <w:snapToGrid w:val="0"/>
              <w:spacing w:line="360" w:lineRule="auto"/>
              <w:textAlignment w:val="auto"/>
              <w:rPr>
                <w:color w:val="auto"/>
                <w:sz w:val="24"/>
                <w:szCs w:val="24"/>
                <w:highlight w:val="none"/>
                <w:u w:val="none"/>
              </w:rPr>
            </w:pPr>
            <w:r>
              <w:rPr>
                <w:rFonts w:hint="eastAsia"/>
                <w:color w:val="auto"/>
                <w:sz w:val="24"/>
                <w:szCs w:val="24"/>
                <w:highlight w:val="none"/>
                <w:u w:val="none"/>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75C9D59E">
            <w:pPr>
              <w:keepNext w:val="0"/>
              <w:keepLines w:val="0"/>
              <w:pageBreakBefore w:val="0"/>
              <w:widowControl w:val="0"/>
              <w:kinsoku/>
              <w:wordWrap w:val="0"/>
              <w:overflowPunct/>
              <w:topLinePunct w:val="0"/>
              <w:autoSpaceDE/>
              <w:autoSpaceDN/>
              <w:bidi w:val="0"/>
              <w:adjustRightInd/>
              <w:snapToGrid w:val="0"/>
              <w:spacing w:line="360" w:lineRule="auto"/>
              <w:textAlignment w:val="auto"/>
              <w:rPr>
                <w:color w:val="auto"/>
                <w:sz w:val="24"/>
                <w:szCs w:val="24"/>
                <w:highlight w:val="none"/>
                <w:u w:val="none"/>
              </w:rPr>
            </w:pPr>
            <w:r>
              <w:rPr>
                <w:rFonts w:hint="eastAsia"/>
                <w:color w:val="auto"/>
                <w:sz w:val="24"/>
                <w:szCs w:val="24"/>
                <w:highlight w:val="none"/>
                <w:u w:val="none"/>
              </w:rPr>
              <w:t>4、待所有投标人响应文件解密完成后，由中介服务机构操作，对所有已解密响应文件进行唱标。</w:t>
            </w:r>
          </w:p>
          <w:p w14:paraId="4DF105FC">
            <w:pPr>
              <w:keepNext w:val="0"/>
              <w:keepLines w:val="0"/>
              <w:pageBreakBefore w:val="0"/>
              <w:widowControl w:val="0"/>
              <w:kinsoku/>
              <w:wordWrap w:val="0"/>
              <w:overflowPunct/>
              <w:topLinePunct w:val="0"/>
              <w:autoSpaceDE/>
              <w:autoSpaceDN/>
              <w:bidi w:val="0"/>
              <w:adjustRightInd/>
              <w:snapToGrid w:val="0"/>
              <w:spacing w:line="360" w:lineRule="auto"/>
              <w:textAlignment w:val="auto"/>
              <w:rPr>
                <w:color w:val="auto"/>
                <w:sz w:val="24"/>
                <w:szCs w:val="24"/>
                <w:highlight w:val="none"/>
                <w:u w:val="none"/>
              </w:rPr>
            </w:pPr>
            <w:r>
              <w:rPr>
                <w:rFonts w:hint="eastAsia"/>
                <w:color w:val="auto"/>
                <w:sz w:val="24"/>
                <w:szCs w:val="24"/>
                <w:highlight w:val="none"/>
                <w:u w:val="none"/>
              </w:rPr>
              <w:t>投标人应保证在开标期间电话、电脑、网络能够正常工作，投标人因停电、电脑病毒、网络堵塞等原因，未在规定的解密时间内对响应文件进行解密的，其响应文件不予接收、唱标。</w:t>
            </w:r>
          </w:p>
          <w:p w14:paraId="3973E58B">
            <w:pPr>
              <w:keepNext w:val="0"/>
              <w:keepLines w:val="0"/>
              <w:pageBreakBefore w:val="0"/>
              <w:widowControl w:val="0"/>
              <w:kinsoku/>
              <w:wordWrap w:val="0"/>
              <w:overflowPunct/>
              <w:topLinePunct w:val="0"/>
              <w:autoSpaceDE/>
              <w:autoSpaceDN/>
              <w:bidi w:val="0"/>
              <w:adjustRightInd/>
              <w:snapToGrid/>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开标时投标人可登录到交易系统中在开标解密栏中点击报价一览表查看自己的投标报价。如对自己的唱标内容有异议的，应在投标人解密成功后10分钟内向中服务机构通过开标大厅对话框提出质疑。中介服务机构应在监督人员的监督下接受投标人的质疑通过开标大厅对话框进行答复并做好书面记录。投标人未在规定时间内提出质疑的，视为认可唱标内容。</w:t>
            </w:r>
          </w:p>
          <w:p w14:paraId="726D5785">
            <w:pPr>
              <w:keepNext w:val="0"/>
              <w:keepLines w:val="0"/>
              <w:pageBreakBefore w:val="0"/>
              <w:widowControl w:val="0"/>
              <w:kinsoku/>
              <w:wordWrap w:val="0"/>
              <w:overflowPunct/>
              <w:topLinePunct w:val="0"/>
              <w:autoSpaceDE/>
              <w:autoSpaceDN/>
              <w:bidi w:val="0"/>
              <w:adjustRightInd/>
              <w:snapToGrid/>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评标时，评标委员会对电子化投标文件有质疑的，将通过电子化交易系统向投标人发起质疑。投标人的回复文件必须以经过投标人和其法定代表人签章的PDF式文件为准，并通过电子化交易系统提交至评标委员会。</w:t>
            </w:r>
          </w:p>
          <w:p w14:paraId="42CE9880">
            <w:pPr>
              <w:keepNext w:val="0"/>
              <w:keepLines w:val="0"/>
              <w:pageBreakBefore w:val="0"/>
              <w:widowControl w:val="0"/>
              <w:kinsoku/>
              <w:wordWrap w:val="0"/>
              <w:overflowPunct/>
              <w:topLinePunct w:val="0"/>
              <w:autoSpaceDE/>
              <w:autoSpaceDN/>
              <w:bidi w:val="0"/>
              <w:adjustRightInd/>
              <w:snapToGrid/>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7、如评标委员会对需要回复的投标人在规定时间内（30分钟内）通过电子化交易系统未收到回复的，视为投标人放弃回复，评标委员会将自行对需要回复的内容进行认定。</w:t>
            </w:r>
          </w:p>
          <w:p w14:paraId="2671F85B">
            <w:pPr>
              <w:keepNext w:val="0"/>
              <w:keepLines w:val="0"/>
              <w:pageBreakBefore w:val="0"/>
              <w:widowControl w:val="0"/>
              <w:kinsoku/>
              <w:wordWrap w:val="0"/>
              <w:overflowPunct/>
              <w:topLinePunct w:val="0"/>
              <w:autoSpaceDE/>
              <w:autoSpaceDN/>
              <w:bidi w:val="0"/>
              <w:adjustRightInd/>
              <w:snapToGrid w:val="0"/>
              <w:spacing w:line="360" w:lineRule="auto"/>
              <w:textAlignment w:val="auto"/>
              <w:rPr>
                <w:color w:val="auto"/>
                <w:sz w:val="24"/>
                <w:szCs w:val="24"/>
                <w:highlight w:val="none"/>
                <w:u w:val="none"/>
              </w:rPr>
            </w:pPr>
            <w:r>
              <w:rPr>
                <w:rFonts w:hint="eastAsia"/>
                <w:color w:val="auto"/>
                <w:sz w:val="24"/>
                <w:szCs w:val="24"/>
                <w:highlight w:val="none"/>
                <w:u w:val="none"/>
              </w:rPr>
              <w:t>二、相关证书原件的提交</w:t>
            </w:r>
          </w:p>
          <w:p w14:paraId="1D665B90">
            <w:pPr>
              <w:keepNext w:val="0"/>
              <w:keepLines w:val="0"/>
              <w:pageBreakBefore w:val="0"/>
              <w:widowControl w:val="0"/>
              <w:kinsoku/>
              <w:wordWrap w:val="0"/>
              <w:overflowPunct/>
              <w:topLinePunct w:val="0"/>
              <w:autoSpaceDE/>
              <w:autoSpaceDN/>
              <w:bidi w:val="0"/>
              <w:adjustRightInd/>
              <w:snapToGrid w:val="0"/>
              <w:spacing w:line="360" w:lineRule="auto"/>
              <w:textAlignment w:val="auto"/>
              <w:rPr>
                <w:rFonts w:hint="eastAsia"/>
                <w:color w:val="auto"/>
                <w:sz w:val="24"/>
                <w:szCs w:val="24"/>
                <w:highlight w:val="none"/>
                <w:u w:val="none"/>
              </w:rPr>
            </w:pPr>
            <w:r>
              <w:rPr>
                <w:rFonts w:hint="eastAsia"/>
                <w:color w:val="auto"/>
                <w:sz w:val="24"/>
                <w:szCs w:val="24"/>
                <w:highlight w:val="none"/>
                <w:u w:val="none"/>
              </w:rPr>
              <w:t>本项目实行资格后审，审查内容以投标截止时间前在三门峡市公共资源交易平台“响应文件”上传的信息为准，同时，投标人（供应商）要完善主体库。规定时间外上传或更改的信息不作为评审依据。响应文件中上传的信息真实有效，扫描件清晰可辨。否则，</w:t>
            </w:r>
          </w:p>
          <w:p w14:paraId="5E597B3C">
            <w:pPr>
              <w:keepNext w:val="0"/>
              <w:keepLines w:val="0"/>
              <w:pageBreakBefore w:val="0"/>
              <w:widowControl w:val="0"/>
              <w:kinsoku/>
              <w:wordWrap w:val="0"/>
              <w:overflowPunct/>
              <w:topLinePunct w:val="0"/>
              <w:autoSpaceDE/>
              <w:autoSpaceDN/>
              <w:bidi w:val="0"/>
              <w:adjustRightInd/>
              <w:snapToGrid w:val="0"/>
              <w:spacing w:line="500" w:lineRule="exact"/>
              <w:textAlignment w:val="auto"/>
              <w:rPr>
                <w:rFonts w:hint="eastAsia"/>
                <w:color w:val="auto"/>
                <w:sz w:val="24"/>
                <w:szCs w:val="24"/>
                <w:highlight w:val="none"/>
                <w:u w:val="none"/>
              </w:rPr>
            </w:pPr>
            <w:r>
              <w:rPr>
                <w:rFonts w:hint="eastAsia"/>
                <w:color w:val="auto"/>
                <w:sz w:val="24"/>
                <w:szCs w:val="24"/>
                <w:highlight w:val="none"/>
                <w:u w:val="none"/>
              </w:rPr>
              <w:t>由此造成应得分而未得分或资格审查不合格等情况的，由投标人承担责任。</w:t>
            </w:r>
          </w:p>
          <w:p w14:paraId="690FAF8A">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投标人需保证上传内容齐全，真实有效，原件扫描件清晰可辨。因投标人上传原因导致应得分项而未得分或资格审查不合格等情况的，由投标人自行承担责任。</w:t>
            </w:r>
          </w:p>
          <w:p w14:paraId="6E2CCB2D">
            <w:pPr>
              <w:keepNext w:val="0"/>
              <w:keepLines w:val="0"/>
              <w:pageBreakBefore w:val="0"/>
              <w:widowControl w:val="0"/>
              <w:kinsoku/>
              <w:wordWrap w:val="0"/>
              <w:overflowPunct/>
              <w:topLinePunct w:val="0"/>
              <w:autoSpaceDE/>
              <w:autoSpaceDN/>
              <w:bidi w:val="0"/>
              <w:adjustRightInd/>
              <w:snapToGrid w:val="0"/>
              <w:spacing w:line="500" w:lineRule="exact"/>
              <w:textAlignment w:val="auto"/>
              <w:rPr>
                <w:color w:val="auto"/>
                <w:sz w:val="24"/>
                <w:szCs w:val="24"/>
                <w:highlight w:val="none"/>
                <w:u w:val="none"/>
              </w:rPr>
            </w:pPr>
            <w:r>
              <w:rPr>
                <w:rFonts w:hint="eastAsia"/>
                <w:color w:val="auto"/>
                <w:sz w:val="24"/>
                <w:szCs w:val="24"/>
                <w:highlight w:val="none"/>
                <w:u w:val="none"/>
              </w:rPr>
              <w:t>提示：本项目为电子化、无纸化交易项目，开标时不再接受任何纸质资料，为保证您能投标成功，请需仔细阅读以上条款。</w:t>
            </w:r>
          </w:p>
        </w:tc>
      </w:tr>
    </w:tbl>
    <w:p w14:paraId="736061F3">
      <w:pPr>
        <w:pageBreakBefore w:val="0"/>
        <w:wordWrap w:val="0"/>
        <w:overflowPunct/>
        <w:bidi w:val="0"/>
        <w:rPr>
          <w:vanish/>
          <w:color w:val="auto"/>
          <w:sz w:val="24"/>
          <w:szCs w:val="24"/>
          <w:highlight w:val="none"/>
          <w:u w:val="none"/>
        </w:rPr>
      </w:pPr>
    </w:p>
    <w:p w14:paraId="53C8F251">
      <w:pPr>
        <w:pStyle w:val="2"/>
        <w:pageBreakBefore w:val="0"/>
        <w:numPr>
          <w:ilvl w:val="0"/>
          <w:numId w:val="3"/>
        </w:numPr>
        <w:tabs>
          <w:tab w:val="left" w:pos="721"/>
          <w:tab w:val="left" w:pos="2880"/>
          <w:tab w:val="left" w:pos="3780"/>
        </w:tabs>
        <w:wordWrap w:val="0"/>
        <w:overflowPunct/>
        <w:bidi w:val="0"/>
        <w:spacing w:before="0" w:after="0" w:line="360" w:lineRule="auto"/>
        <w:ind w:left="0" w:firstLine="0"/>
        <w:rPr>
          <w:rFonts w:ascii="宋体" w:hAnsi="宋体" w:eastAsia="宋体" w:cs="宋体"/>
          <w:color w:val="auto"/>
          <w:sz w:val="24"/>
          <w:szCs w:val="24"/>
          <w:highlight w:val="none"/>
          <w:u w:val="none"/>
        </w:rPr>
      </w:pPr>
      <w:bookmarkStart w:id="9" w:name="_Toc312133543"/>
      <w:r>
        <w:rPr>
          <w:rFonts w:hint="eastAsia" w:ascii="宋体" w:hAnsi="宋体" w:eastAsia="宋体" w:cs="宋体"/>
          <w:color w:val="auto"/>
          <w:sz w:val="24"/>
          <w:szCs w:val="24"/>
          <w:highlight w:val="none"/>
          <w:u w:val="none"/>
        </w:rPr>
        <w:br w:type="page"/>
      </w:r>
      <w:bookmarkStart w:id="10" w:name="_Toc28687"/>
      <w:bookmarkStart w:id="11" w:name="_Toc24817"/>
      <w:bookmarkStart w:id="12" w:name="_Toc108379316"/>
      <w:r>
        <w:rPr>
          <w:rFonts w:hint="eastAsia" w:ascii="宋体" w:hAnsi="宋体" w:eastAsia="宋体" w:cs="宋体"/>
          <w:color w:val="auto"/>
          <w:sz w:val="24"/>
          <w:szCs w:val="24"/>
          <w:highlight w:val="none"/>
          <w:u w:val="none"/>
        </w:rPr>
        <w:t>总则</w:t>
      </w:r>
      <w:bookmarkEnd w:id="9"/>
      <w:bookmarkEnd w:id="10"/>
      <w:bookmarkEnd w:id="11"/>
      <w:bookmarkEnd w:id="12"/>
    </w:p>
    <w:p w14:paraId="4B863B17">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13" w:name="_Toc30513"/>
      <w:bookmarkStart w:id="14" w:name="_Toc26193"/>
      <w:bookmarkStart w:id="15" w:name="_Toc18176"/>
      <w:bookmarkStart w:id="16" w:name="_Toc28377"/>
      <w:bookmarkStart w:id="17" w:name="_Toc17878"/>
      <w:bookmarkStart w:id="18" w:name="_Toc28200"/>
      <w:bookmarkStart w:id="19" w:name="_Toc24769"/>
      <w:bookmarkStart w:id="20" w:name="_Toc20743"/>
      <w:bookmarkStart w:id="21" w:name="_Toc108379317"/>
      <w:bookmarkStart w:id="22" w:name="_Toc14496"/>
      <w:bookmarkStart w:id="23" w:name="_Toc4828"/>
      <w:bookmarkStart w:id="24" w:name="_Toc5358"/>
      <w:bookmarkStart w:id="25" w:name="_Toc24772"/>
      <w:bookmarkStart w:id="26" w:name="_Toc8395"/>
      <w:bookmarkStart w:id="27" w:name="_Toc4908"/>
      <w:bookmarkStart w:id="28" w:name="_Toc31179"/>
      <w:r>
        <w:rPr>
          <w:rFonts w:hint="eastAsia" w:cs="宋体"/>
          <w:color w:val="auto"/>
          <w:sz w:val="24"/>
          <w:szCs w:val="24"/>
          <w:highlight w:val="none"/>
          <w:u w:val="none"/>
        </w:rPr>
        <w:t>适用范围</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37BD7CCB">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bookmarkStart w:id="29" w:name="_Toc17529"/>
      <w:bookmarkStart w:id="30" w:name="_Toc14116"/>
      <w:bookmarkStart w:id="31" w:name="_Toc23240"/>
      <w:bookmarkStart w:id="32" w:name="_Toc2056"/>
      <w:bookmarkStart w:id="33" w:name="_Toc29433"/>
      <w:bookmarkStart w:id="34" w:name="_Toc13473"/>
      <w:bookmarkStart w:id="35" w:name="_Toc17774"/>
      <w:bookmarkStart w:id="36" w:name="_Toc13223"/>
      <w:bookmarkStart w:id="37" w:name="_Toc13726"/>
      <w:bookmarkStart w:id="38" w:name="_Toc31067"/>
      <w:r>
        <w:rPr>
          <w:rFonts w:hint="eastAsia"/>
          <w:color w:val="auto"/>
          <w:kern w:val="0"/>
          <w:sz w:val="24"/>
          <w:szCs w:val="24"/>
          <w:highlight w:val="none"/>
          <w:u w:val="none"/>
        </w:rPr>
        <w:t>根据《中华人民共和国政府采购法》、《中华人民共和国政府采购法实施条例》、《政府采购框架协议采购方式管理暂行办法》等有关法律、法规和规章的规定，就本项目进行框架协议采购，现欢迎符合相关条件的供应商参加。</w:t>
      </w:r>
    </w:p>
    <w:p w14:paraId="4A372268">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rPr>
        <w:t>本采购项目采购人：见供应商须知前附表。</w:t>
      </w:r>
    </w:p>
    <w:p w14:paraId="6AC42E0A">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rPr>
        <w:t>本采购项目采购代理机构：见供应商须知前附表。</w:t>
      </w:r>
    </w:p>
    <w:p w14:paraId="451BAFF3">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rPr>
        <w:t>适用框架协议的采购对象范围：见供应商须知前附表。</w:t>
      </w:r>
    </w:p>
    <w:bookmarkEnd w:id="29"/>
    <w:bookmarkEnd w:id="30"/>
    <w:bookmarkEnd w:id="31"/>
    <w:bookmarkEnd w:id="32"/>
    <w:bookmarkEnd w:id="33"/>
    <w:bookmarkEnd w:id="34"/>
    <w:bookmarkEnd w:id="35"/>
    <w:bookmarkEnd w:id="36"/>
    <w:bookmarkEnd w:id="37"/>
    <w:bookmarkEnd w:id="38"/>
    <w:p w14:paraId="67CC4F47">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39" w:name="_Toc19054"/>
      <w:bookmarkStart w:id="40" w:name="_Toc108379318"/>
      <w:bookmarkStart w:id="41" w:name="_Toc1133"/>
      <w:bookmarkStart w:id="42" w:name="_Toc20211"/>
      <w:bookmarkStart w:id="43" w:name="_Toc4436"/>
      <w:bookmarkStart w:id="44" w:name="_Toc16391"/>
      <w:r>
        <w:rPr>
          <w:rFonts w:hint="eastAsia" w:cs="宋体"/>
          <w:color w:val="auto"/>
          <w:sz w:val="24"/>
          <w:szCs w:val="24"/>
          <w:highlight w:val="none"/>
          <w:u w:val="none"/>
        </w:rPr>
        <w:t>采购项目的名称、编号及资金来源</w:t>
      </w:r>
      <w:bookmarkEnd w:id="39"/>
      <w:bookmarkEnd w:id="40"/>
      <w:bookmarkEnd w:id="41"/>
      <w:bookmarkEnd w:id="42"/>
      <w:bookmarkEnd w:id="43"/>
      <w:bookmarkEnd w:id="44"/>
    </w:p>
    <w:p w14:paraId="1BA36729">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rPr>
        <w:t>资金来源：见供应商须知前附表。</w:t>
      </w:r>
    </w:p>
    <w:p w14:paraId="7627FE3C">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rPr>
        <w:t>采购项目名称及编号：见供应商须知前附表。</w:t>
      </w:r>
    </w:p>
    <w:p w14:paraId="7B0CD9C5">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45" w:name="_Toc10455"/>
      <w:bookmarkStart w:id="46" w:name="_Toc108379319"/>
      <w:bookmarkStart w:id="47" w:name="_Toc12478"/>
      <w:bookmarkStart w:id="48" w:name="_Toc29356"/>
      <w:bookmarkStart w:id="49" w:name="_Toc8288"/>
      <w:bookmarkStart w:id="50" w:name="_Toc9369"/>
      <w:bookmarkStart w:id="51" w:name="_Toc11812"/>
      <w:bookmarkStart w:id="52" w:name="_Toc12702"/>
      <w:r>
        <w:rPr>
          <w:rFonts w:hint="eastAsia" w:cs="宋体"/>
          <w:color w:val="auto"/>
          <w:sz w:val="24"/>
          <w:szCs w:val="24"/>
          <w:highlight w:val="none"/>
          <w:u w:val="none"/>
          <w:lang w:eastAsia="zh-CN"/>
        </w:rPr>
        <w:t>服务内容</w:t>
      </w:r>
      <w:r>
        <w:rPr>
          <w:rFonts w:hint="eastAsia" w:cs="宋体"/>
          <w:color w:val="auto"/>
          <w:sz w:val="24"/>
          <w:szCs w:val="24"/>
          <w:highlight w:val="none"/>
          <w:u w:val="none"/>
        </w:rPr>
        <w:t>、质量要求、合同履约期限及</w:t>
      </w:r>
      <w:bookmarkEnd w:id="45"/>
      <w:bookmarkEnd w:id="46"/>
      <w:bookmarkEnd w:id="47"/>
      <w:bookmarkEnd w:id="48"/>
      <w:bookmarkEnd w:id="49"/>
      <w:bookmarkEnd w:id="50"/>
      <w:r>
        <w:rPr>
          <w:rFonts w:hint="eastAsia" w:cs="宋体"/>
          <w:color w:val="auto"/>
          <w:sz w:val="24"/>
          <w:szCs w:val="24"/>
          <w:highlight w:val="none"/>
          <w:u w:val="none"/>
        </w:rPr>
        <w:t>售后服务要求</w:t>
      </w:r>
      <w:bookmarkEnd w:id="51"/>
      <w:bookmarkEnd w:id="52"/>
    </w:p>
    <w:p w14:paraId="6BC5CDFE">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lang w:eastAsia="zh-CN"/>
        </w:rPr>
        <w:t>服务内容</w:t>
      </w:r>
      <w:r>
        <w:rPr>
          <w:rFonts w:hint="eastAsia"/>
          <w:color w:val="auto"/>
          <w:kern w:val="0"/>
          <w:sz w:val="24"/>
          <w:szCs w:val="24"/>
          <w:highlight w:val="none"/>
          <w:u w:val="none"/>
        </w:rPr>
        <w:t>：见供应商须知前附表。</w:t>
      </w:r>
    </w:p>
    <w:p w14:paraId="5AA204C3">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r>
        <w:rPr>
          <w:rFonts w:hint="eastAsia"/>
          <w:color w:val="auto"/>
          <w:sz w:val="24"/>
          <w:szCs w:val="24"/>
          <w:highlight w:val="none"/>
          <w:u w:val="none"/>
        </w:rPr>
        <w:t>合同履约</w:t>
      </w:r>
      <w:r>
        <w:rPr>
          <w:rFonts w:hint="eastAsia"/>
          <w:color w:val="auto"/>
          <w:kern w:val="0"/>
          <w:sz w:val="24"/>
          <w:szCs w:val="24"/>
          <w:highlight w:val="none"/>
          <w:u w:val="none"/>
        </w:rPr>
        <w:t>期限：见供应商须知前附表。</w:t>
      </w:r>
    </w:p>
    <w:p w14:paraId="7FEDA149">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rPr>
        <w:t>售后服务要求：见供应商须知前附表。</w:t>
      </w:r>
    </w:p>
    <w:p w14:paraId="1A4ADF71">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53" w:name="_Toc108379320"/>
      <w:bookmarkStart w:id="54" w:name="_Toc24421"/>
      <w:bookmarkStart w:id="55" w:name="_Toc12303"/>
      <w:bookmarkStart w:id="56" w:name="_Toc25730"/>
      <w:bookmarkStart w:id="57" w:name="_Toc13920"/>
      <w:bookmarkStart w:id="58" w:name="_Toc26779"/>
      <w:bookmarkStart w:id="59" w:name="_Toc10971"/>
      <w:bookmarkStart w:id="60" w:name="_Toc15768"/>
      <w:r>
        <w:rPr>
          <w:rFonts w:hint="eastAsia" w:cs="宋体"/>
          <w:color w:val="auto"/>
          <w:sz w:val="24"/>
          <w:szCs w:val="24"/>
          <w:highlight w:val="none"/>
          <w:u w:val="none"/>
        </w:rPr>
        <w:t>供应商资格要求</w:t>
      </w:r>
      <w:bookmarkEnd w:id="53"/>
      <w:bookmarkEnd w:id="54"/>
      <w:bookmarkEnd w:id="55"/>
      <w:bookmarkEnd w:id="56"/>
      <w:bookmarkEnd w:id="57"/>
      <w:bookmarkEnd w:id="58"/>
      <w:bookmarkEnd w:id="59"/>
      <w:bookmarkEnd w:id="60"/>
    </w:p>
    <w:p w14:paraId="18679F8F">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rPr>
        <w:t>供应商资格要求：见供应商须知前附表。</w:t>
      </w:r>
    </w:p>
    <w:p w14:paraId="36FEC23B">
      <w:pPr>
        <w:pageBreakBefore w:val="0"/>
        <w:numPr>
          <w:ilvl w:val="2"/>
          <w:numId w:val="4"/>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本项目不接受联合体入围。</w:t>
      </w:r>
    </w:p>
    <w:p w14:paraId="3A5F05C1">
      <w:pPr>
        <w:pageBreakBefore w:val="0"/>
        <w:numPr>
          <w:ilvl w:val="2"/>
          <w:numId w:val="4"/>
        </w:numPr>
        <w:wordWrap w:val="0"/>
        <w:overflowPunct/>
        <w:topLine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rPr>
        <w:t>供应商不得存在下列情形之一：</w:t>
      </w:r>
    </w:p>
    <w:p w14:paraId="0F571782">
      <w:pPr>
        <w:pageBreakBefore w:val="0"/>
        <w:numPr>
          <w:ilvl w:val="0"/>
          <w:numId w:val="5"/>
        </w:numPr>
        <w:wordWrap w:val="0"/>
        <w:overflowPunct/>
        <w:topLinePunct/>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与采购人存在利害关系且可能影响招标公正性；</w:t>
      </w:r>
    </w:p>
    <w:p w14:paraId="4B313FD4">
      <w:pPr>
        <w:pageBreakBefore w:val="0"/>
        <w:numPr>
          <w:ilvl w:val="0"/>
          <w:numId w:val="5"/>
        </w:numPr>
        <w:wordWrap w:val="0"/>
        <w:overflowPunct/>
        <w:topLinePunct/>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与本招标项目的其他投标供应商的单位负责人为同一人；</w:t>
      </w:r>
    </w:p>
    <w:p w14:paraId="06C55DA6">
      <w:pPr>
        <w:pageBreakBefore w:val="0"/>
        <w:numPr>
          <w:ilvl w:val="0"/>
          <w:numId w:val="5"/>
        </w:numPr>
        <w:wordWrap w:val="0"/>
        <w:overflowPunct/>
        <w:topLinePunct/>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与本招标项目的其他投标供应商存在直接控股、管理关系；</w:t>
      </w:r>
    </w:p>
    <w:p w14:paraId="6091CB88">
      <w:pPr>
        <w:pageBreakBefore w:val="0"/>
        <w:numPr>
          <w:ilvl w:val="0"/>
          <w:numId w:val="5"/>
        </w:numPr>
        <w:wordWrap w:val="0"/>
        <w:overflowPunct/>
        <w:topLinePunct/>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被依法暂停或者取消投标资格；</w:t>
      </w:r>
    </w:p>
    <w:p w14:paraId="4365028F">
      <w:pPr>
        <w:pageBreakBefore w:val="0"/>
        <w:numPr>
          <w:ilvl w:val="0"/>
          <w:numId w:val="5"/>
        </w:numPr>
        <w:wordWrap w:val="0"/>
        <w:overflowPunct/>
        <w:topLinePunct/>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被责令停产停业、暂扣或者吊销许可证、暂扣或者吊销执照；</w:t>
      </w:r>
    </w:p>
    <w:p w14:paraId="61085084">
      <w:pPr>
        <w:pageBreakBefore w:val="0"/>
        <w:numPr>
          <w:ilvl w:val="0"/>
          <w:numId w:val="5"/>
        </w:numPr>
        <w:wordWrap w:val="0"/>
        <w:overflowPunct/>
        <w:topLinePunct/>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进入清算程序，或被宣告破产，或其他丧失履约能力的情形；</w:t>
      </w:r>
    </w:p>
    <w:p w14:paraId="387CD345">
      <w:pPr>
        <w:pageBreakBefore w:val="0"/>
        <w:numPr>
          <w:ilvl w:val="0"/>
          <w:numId w:val="5"/>
        </w:numPr>
        <w:wordWrap w:val="0"/>
        <w:overflowPunct/>
        <w:topLinePunct/>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在最近三年内严重违约、发生重大产品质量问题的。法律法规规定的其他情形。</w:t>
      </w:r>
    </w:p>
    <w:p w14:paraId="1DE6AA9C">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61" w:name="_Toc108379321"/>
      <w:bookmarkStart w:id="62" w:name="_Toc8749"/>
      <w:bookmarkStart w:id="63" w:name="_Toc12998"/>
      <w:bookmarkStart w:id="64" w:name="_Toc1837"/>
      <w:bookmarkStart w:id="65" w:name="_Toc15962"/>
      <w:bookmarkStart w:id="66" w:name="_Toc31854"/>
      <w:r>
        <w:rPr>
          <w:rFonts w:hint="eastAsia" w:cs="宋体"/>
          <w:color w:val="auto"/>
          <w:sz w:val="24"/>
          <w:szCs w:val="24"/>
          <w:highlight w:val="none"/>
          <w:u w:val="none"/>
        </w:rPr>
        <w:t>入围供应商数量</w:t>
      </w:r>
      <w:bookmarkEnd w:id="61"/>
      <w:bookmarkEnd w:id="62"/>
      <w:bookmarkEnd w:id="63"/>
      <w:bookmarkEnd w:id="64"/>
      <w:bookmarkEnd w:id="65"/>
      <w:bookmarkEnd w:id="66"/>
    </w:p>
    <w:p w14:paraId="12F43EFA">
      <w:pPr>
        <w:pStyle w:val="19"/>
        <w:pageBreakBefore w:val="0"/>
        <w:widowControl/>
        <w:wordWrap w:val="0"/>
        <w:overflowPunct/>
        <w:bidi w:val="0"/>
        <w:spacing w:before="0" w:beforeAutospacing="0" w:after="0" w:afterAutospacing="0" w:line="360" w:lineRule="auto"/>
        <w:ind w:firstLine="480" w:firstLineChars="200"/>
        <w:jc w:val="both"/>
        <w:rPr>
          <w:rFonts w:cs="宋体"/>
          <w:color w:val="auto"/>
          <w:sz w:val="24"/>
          <w:szCs w:val="24"/>
          <w:highlight w:val="none"/>
          <w:u w:val="none"/>
        </w:rPr>
      </w:pPr>
      <w:r>
        <w:rPr>
          <w:rFonts w:hint="eastAsia" w:cs="宋体"/>
          <w:color w:val="auto"/>
          <w:sz w:val="24"/>
          <w:szCs w:val="24"/>
          <w:highlight w:val="none"/>
          <w:u w:val="none"/>
          <w:shd w:val="clear" w:color="auto" w:fill="FFFFFF"/>
        </w:rPr>
        <w:t>提交响应文件和符合资格条件、实质性要求的供应商应当均不少于3家，淘汰比例一般不得低于20%，且至少淘汰一家供应商。具体入围数量详见供应商须知前附表。</w:t>
      </w:r>
    </w:p>
    <w:p w14:paraId="36D980FA">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67" w:name="_Toc25383"/>
      <w:bookmarkStart w:id="68" w:name="_Toc17673"/>
      <w:bookmarkStart w:id="69" w:name="_Toc108379322"/>
      <w:bookmarkStart w:id="70" w:name="_Toc8328"/>
      <w:bookmarkStart w:id="71" w:name="_Toc15721"/>
      <w:bookmarkStart w:id="72" w:name="_Toc19265"/>
      <w:bookmarkStart w:id="73" w:name="_Toc21006"/>
      <w:bookmarkStart w:id="74" w:name="_Toc31529"/>
      <w:bookmarkStart w:id="75" w:name="_Toc15243"/>
      <w:bookmarkStart w:id="76" w:name="_Toc11556"/>
      <w:bookmarkStart w:id="77" w:name="_Toc10741"/>
      <w:bookmarkStart w:id="78" w:name="_Toc22894"/>
      <w:bookmarkStart w:id="79" w:name="_Toc9366"/>
      <w:bookmarkStart w:id="80" w:name="_Toc29415"/>
      <w:bookmarkStart w:id="81" w:name="_Toc7848"/>
      <w:bookmarkStart w:id="82" w:name="_Toc6127"/>
      <w:r>
        <w:rPr>
          <w:rFonts w:hint="eastAsia" w:cs="宋体"/>
          <w:color w:val="auto"/>
          <w:sz w:val="24"/>
          <w:szCs w:val="24"/>
          <w:highlight w:val="none"/>
          <w:u w:val="none"/>
        </w:rPr>
        <w:t>入围费用</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5CC4E975">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供应商准备和参加入围活动发生的费用自理。</w:t>
      </w:r>
    </w:p>
    <w:p w14:paraId="400B07BA">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83" w:name="_Toc3265"/>
      <w:bookmarkStart w:id="84" w:name="_Toc20467"/>
      <w:bookmarkStart w:id="85" w:name="_Toc9561"/>
      <w:bookmarkStart w:id="86" w:name="_Toc26711"/>
      <w:bookmarkStart w:id="87" w:name="_Toc25250"/>
      <w:bookmarkStart w:id="88" w:name="_Toc28982"/>
      <w:bookmarkStart w:id="89" w:name="_Toc19504"/>
      <w:bookmarkStart w:id="90" w:name="_Toc27635"/>
      <w:bookmarkStart w:id="91" w:name="_Toc21313"/>
      <w:bookmarkStart w:id="92" w:name="_Toc19657"/>
      <w:bookmarkStart w:id="93" w:name="_Toc21638"/>
      <w:bookmarkStart w:id="94" w:name="_Toc7448"/>
      <w:bookmarkStart w:id="95" w:name="_Toc8265"/>
      <w:bookmarkStart w:id="96" w:name="_Toc108379323"/>
      <w:bookmarkStart w:id="97" w:name="_Toc10737"/>
      <w:bookmarkStart w:id="98" w:name="_Toc19659"/>
      <w:r>
        <w:rPr>
          <w:rFonts w:hint="eastAsia" w:cs="宋体"/>
          <w:color w:val="auto"/>
          <w:sz w:val="24"/>
          <w:szCs w:val="24"/>
          <w:highlight w:val="none"/>
          <w:u w:val="none"/>
        </w:rPr>
        <w:t>分包</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09C6A241">
      <w:pPr>
        <w:pageBreakBefore w:val="0"/>
        <w:wordWrap w:val="0"/>
        <w:overflowPunct/>
        <w:bidi w:val="0"/>
        <w:spacing w:line="360" w:lineRule="auto"/>
        <w:ind w:firstLine="480" w:firstLineChars="200"/>
        <w:rPr>
          <w:color w:val="auto"/>
          <w:sz w:val="24"/>
          <w:szCs w:val="24"/>
          <w:highlight w:val="none"/>
          <w:u w:val="none"/>
        </w:rPr>
      </w:pPr>
      <w:bookmarkStart w:id="99" w:name="_Toc26753"/>
      <w:bookmarkStart w:id="100" w:name="_Toc9963"/>
      <w:bookmarkStart w:id="101" w:name="_Toc11954"/>
      <w:bookmarkStart w:id="102" w:name="_Toc28651"/>
      <w:bookmarkStart w:id="103" w:name="_Toc2167"/>
      <w:bookmarkStart w:id="104" w:name="_Toc6725"/>
      <w:bookmarkStart w:id="105" w:name="_Toc8743"/>
      <w:bookmarkStart w:id="106" w:name="_Toc12631"/>
      <w:bookmarkStart w:id="107" w:name="_Toc14567"/>
      <w:bookmarkStart w:id="108" w:name="_Toc26863"/>
      <w:bookmarkStart w:id="109" w:name="_Toc31207"/>
      <w:bookmarkStart w:id="110" w:name="_Toc20874"/>
      <w:r>
        <w:rPr>
          <w:rFonts w:hint="eastAsia"/>
          <w:color w:val="auto"/>
          <w:sz w:val="24"/>
          <w:szCs w:val="24"/>
          <w:highlight w:val="none"/>
          <w:u w:val="none"/>
        </w:rPr>
        <w:t>不允许。</w:t>
      </w:r>
    </w:p>
    <w:p w14:paraId="60BDBB08">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111" w:name="_Toc28771"/>
      <w:bookmarkStart w:id="112" w:name="_Toc10657"/>
      <w:bookmarkStart w:id="113" w:name="_Toc4320"/>
      <w:bookmarkStart w:id="114" w:name="_Toc4523"/>
      <w:bookmarkStart w:id="115" w:name="_Toc108379324"/>
      <w:bookmarkStart w:id="116" w:name="_Toc20952"/>
      <w:r>
        <w:rPr>
          <w:rFonts w:hint="eastAsia" w:cs="宋体"/>
          <w:color w:val="auto"/>
          <w:sz w:val="24"/>
          <w:szCs w:val="24"/>
          <w:highlight w:val="none"/>
          <w:u w:val="none"/>
        </w:rPr>
        <w:t>响应和偏差</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79D052E8">
      <w:pPr>
        <w:pageBreakBefore w:val="0"/>
        <w:numPr>
          <w:ilvl w:val="2"/>
          <w:numId w:val="4"/>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供应商的服务技术、商务等条件不得低于采购需求。响应文件应当对征集文件的实质性要求和条件作出满足或更有利于采购人的响应，否则，供应商的</w:t>
      </w:r>
      <w:r>
        <w:rPr>
          <w:rFonts w:hint="eastAsia"/>
          <w:b/>
          <w:bCs/>
          <w:color w:val="auto"/>
          <w:sz w:val="24"/>
          <w:szCs w:val="24"/>
          <w:highlight w:val="none"/>
          <w:u w:val="none"/>
        </w:rPr>
        <w:t>响应文件将被否决</w:t>
      </w:r>
      <w:r>
        <w:rPr>
          <w:rFonts w:hint="eastAsia"/>
          <w:color w:val="auto"/>
          <w:sz w:val="24"/>
          <w:szCs w:val="24"/>
          <w:highlight w:val="none"/>
          <w:u w:val="none"/>
        </w:rPr>
        <w:t>。实质性要求和条件见供应商须知前附表。</w:t>
      </w:r>
    </w:p>
    <w:p w14:paraId="56ECDB38">
      <w:pPr>
        <w:pageBreakBefore w:val="0"/>
        <w:numPr>
          <w:ilvl w:val="2"/>
          <w:numId w:val="4"/>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供应商应根据征集文件的要求提供方案等内容以对征集文件作出响应。</w:t>
      </w:r>
    </w:p>
    <w:p w14:paraId="416CB109">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117" w:name="_Toc18321"/>
      <w:bookmarkStart w:id="118" w:name="_Toc9147"/>
      <w:bookmarkStart w:id="119" w:name="_Toc30516"/>
      <w:bookmarkStart w:id="120" w:name="_Toc29202"/>
      <w:bookmarkStart w:id="121" w:name="_Toc16595"/>
      <w:bookmarkStart w:id="122" w:name="_Toc108379325"/>
      <w:bookmarkStart w:id="123" w:name="_Toc9588"/>
      <w:bookmarkStart w:id="124" w:name="_Toc28188"/>
      <w:bookmarkStart w:id="125" w:name="_Toc23201"/>
      <w:bookmarkStart w:id="126" w:name="_Toc25317"/>
      <w:bookmarkStart w:id="127" w:name="_Toc12963"/>
      <w:bookmarkStart w:id="128" w:name="_Toc5679"/>
      <w:bookmarkStart w:id="129" w:name="_Toc15630"/>
      <w:bookmarkStart w:id="130" w:name="_Toc26506"/>
      <w:bookmarkStart w:id="131" w:name="_Toc15911"/>
      <w:bookmarkStart w:id="132" w:name="_Toc14740"/>
      <w:r>
        <w:rPr>
          <w:rFonts w:hint="eastAsia" w:cs="宋体"/>
          <w:color w:val="auto"/>
          <w:sz w:val="24"/>
          <w:szCs w:val="24"/>
          <w:highlight w:val="none"/>
          <w:u w:val="none"/>
        </w:rPr>
        <w:t>语言</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7FA5C86">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响应文件使用的语言文字为中文。专用术语使用外文的，应附有中文注释。</w:t>
      </w:r>
    </w:p>
    <w:p w14:paraId="4A0866B1">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133" w:name="_Toc29987"/>
      <w:bookmarkStart w:id="134" w:name="_Toc4326"/>
      <w:bookmarkStart w:id="135" w:name="_Toc31734"/>
      <w:bookmarkStart w:id="136" w:name="_Toc23880"/>
      <w:bookmarkStart w:id="137" w:name="_Toc28940"/>
      <w:bookmarkStart w:id="138" w:name="_Toc27063"/>
      <w:bookmarkStart w:id="139" w:name="_Toc16602"/>
      <w:bookmarkStart w:id="140" w:name="_Toc108379326"/>
      <w:bookmarkStart w:id="141" w:name="_Toc23957"/>
      <w:bookmarkStart w:id="142" w:name="_Toc26666"/>
      <w:bookmarkStart w:id="143" w:name="_Toc8172"/>
      <w:bookmarkStart w:id="144" w:name="_Toc20160"/>
      <w:bookmarkStart w:id="145" w:name="_Toc24032"/>
      <w:bookmarkStart w:id="146" w:name="_Toc12071"/>
      <w:bookmarkStart w:id="147" w:name="_Toc19923"/>
      <w:bookmarkStart w:id="148" w:name="_Toc15754"/>
      <w:r>
        <w:rPr>
          <w:rFonts w:hint="eastAsia" w:cs="宋体"/>
          <w:color w:val="auto"/>
          <w:sz w:val="24"/>
          <w:szCs w:val="24"/>
          <w:highlight w:val="none"/>
          <w:u w:val="none"/>
        </w:rPr>
        <w:t>货币</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0A38F7AD">
      <w:pPr>
        <w:pageBreakBefore w:val="0"/>
        <w:tabs>
          <w:tab w:val="left" w:pos="720"/>
          <w:tab w:val="left" w:pos="1904"/>
        </w:tabs>
        <w:wordWrap w:val="0"/>
        <w:overflowPunct/>
        <w:bidi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不进行投标报价，结算货币为人民币。 </w:t>
      </w:r>
    </w:p>
    <w:p w14:paraId="61F13D9D">
      <w:pPr>
        <w:pStyle w:val="4"/>
        <w:pageBreakBefore w:val="0"/>
        <w:numPr>
          <w:ilvl w:val="1"/>
          <w:numId w:val="4"/>
        </w:numPr>
        <w:wordWrap w:val="0"/>
        <w:overflowPunct/>
        <w:bidi w:val="0"/>
        <w:spacing w:before="0" w:after="0" w:line="360" w:lineRule="auto"/>
        <w:rPr>
          <w:rFonts w:cs="宋体"/>
          <w:color w:val="auto"/>
          <w:sz w:val="24"/>
          <w:szCs w:val="24"/>
          <w:highlight w:val="none"/>
          <w:u w:val="none"/>
        </w:rPr>
      </w:pPr>
      <w:bookmarkStart w:id="149" w:name="_Toc141"/>
      <w:bookmarkStart w:id="150" w:name="_Toc29504"/>
      <w:bookmarkStart w:id="151" w:name="_Toc19335"/>
      <w:bookmarkStart w:id="152" w:name="_Toc12030"/>
      <w:bookmarkStart w:id="153" w:name="_Toc24561"/>
      <w:bookmarkStart w:id="154" w:name="_Toc15496"/>
      <w:bookmarkStart w:id="155" w:name="_Toc31790"/>
      <w:bookmarkStart w:id="156" w:name="_Toc16853"/>
      <w:bookmarkStart w:id="157" w:name="_Toc28184"/>
      <w:bookmarkStart w:id="158" w:name="_Toc25048"/>
      <w:bookmarkStart w:id="159" w:name="_Toc31058"/>
      <w:bookmarkStart w:id="160" w:name="_Toc6849"/>
      <w:bookmarkStart w:id="161" w:name="_Toc4030"/>
      <w:bookmarkStart w:id="162" w:name="_Toc29105"/>
      <w:bookmarkStart w:id="163" w:name="_Toc20536"/>
      <w:bookmarkStart w:id="164" w:name="_Toc17573"/>
      <w:bookmarkStart w:id="165" w:name="_Toc26021"/>
      <w:bookmarkStart w:id="166" w:name="_Toc108379327"/>
      <w:r>
        <w:rPr>
          <w:rFonts w:hint="eastAsia" w:cs="宋体"/>
          <w:color w:val="auto"/>
          <w:sz w:val="24"/>
          <w:szCs w:val="24"/>
          <w:highlight w:val="none"/>
          <w:u w:val="none"/>
        </w:rPr>
        <w:t>保密</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6EF0FF99">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参与本项目采购活动的各方应对征集文件和响应文件中的商业和技术等秘密保密，否则应承担相应的法律责任。</w:t>
      </w:r>
    </w:p>
    <w:p w14:paraId="0A1BC895">
      <w:pPr>
        <w:pStyle w:val="2"/>
        <w:pageBreakBefore w:val="0"/>
        <w:numPr>
          <w:ilvl w:val="0"/>
          <w:numId w:val="3"/>
        </w:numPr>
        <w:tabs>
          <w:tab w:val="left" w:pos="721"/>
          <w:tab w:val="left" w:pos="2880"/>
          <w:tab w:val="left" w:pos="3780"/>
        </w:tabs>
        <w:wordWrap w:val="0"/>
        <w:overflowPunct/>
        <w:bidi w:val="0"/>
        <w:spacing w:before="0" w:after="0" w:line="360" w:lineRule="auto"/>
        <w:ind w:left="0" w:firstLine="0"/>
        <w:rPr>
          <w:rFonts w:ascii="宋体" w:hAnsi="宋体" w:eastAsia="宋体" w:cs="宋体"/>
          <w:color w:val="auto"/>
          <w:sz w:val="24"/>
          <w:szCs w:val="24"/>
          <w:highlight w:val="none"/>
          <w:u w:val="none"/>
        </w:rPr>
      </w:pPr>
      <w:bookmarkStart w:id="167" w:name="_Toc22953398"/>
      <w:bookmarkEnd w:id="167"/>
      <w:bookmarkStart w:id="168" w:name="_Toc19308"/>
      <w:bookmarkStart w:id="169" w:name="_Toc21608"/>
      <w:bookmarkStart w:id="170" w:name="_Toc108379328"/>
      <w:r>
        <w:rPr>
          <w:rFonts w:hint="eastAsia" w:ascii="宋体" w:hAnsi="宋体" w:eastAsia="宋体" w:cs="宋体"/>
          <w:color w:val="auto"/>
          <w:sz w:val="24"/>
          <w:szCs w:val="24"/>
          <w:highlight w:val="none"/>
          <w:u w:val="none"/>
        </w:rPr>
        <w:t>征集文件</w:t>
      </w:r>
      <w:bookmarkEnd w:id="168"/>
      <w:bookmarkEnd w:id="169"/>
      <w:bookmarkEnd w:id="170"/>
    </w:p>
    <w:p w14:paraId="41FF6172">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171" w:name="_Toc27662"/>
      <w:bookmarkStart w:id="172" w:name="_Toc22611"/>
      <w:bookmarkStart w:id="173" w:name="_Toc8809"/>
      <w:bookmarkStart w:id="174" w:name="_Toc18762"/>
      <w:bookmarkStart w:id="175" w:name="_Toc22436"/>
      <w:bookmarkStart w:id="176" w:name="_Toc22684"/>
      <w:bookmarkStart w:id="177" w:name="_Toc15548"/>
      <w:bookmarkStart w:id="178" w:name="_Toc20374"/>
      <w:bookmarkStart w:id="179" w:name="_Toc17016"/>
      <w:bookmarkStart w:id="180" w:name="_Toc2039"/>
      <w:bookmarkStart w:id="181" w:name="_Toc341"/>
      <w:bookmarkStart w:id="182" w:name="_Toc108379329"/>
      <w:bookmarkStart w:id="183" w:name="_Toc8059"/>
      <w:bookmarkStart w:id="184" w:name="_Toc12900"/>
      <w:bookmarkStart w:id="185" w:name="_Toc8007"/>
      <w:bookmarkStart w:id="186" w:name="_Toc23916"/>
      <w:r>
        <w:rPr>
          <w:rFonts w:hint="eastAsia" w:cs="宋体"/>
          <w:color w:val="auto"/>
          <w:sz w:val="24"/>
          <w:szCs w:val="24"/>
          <w:highlight w:val="none"/>
          <w:u w:val="none"/>
        </w:rPr>
        <w:t>征集文件的构成</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7B8F9A92">
      <w:pPr>
        <w:pStyle w:val="17"/>
        <w:pageBreakBefore w:val="0"/>
        <w:tabs>
          <w:tab w:val="left" w:pos="720"/>
          <w:tab w:val="left" w:pos="1080"/>
        </w:tabs>
        <w:wordWrap w:val="0"/>
        <w:overflowPunct/>
        <w:bidi w:val="0"/>
        <w:spacing w:line="360" w:lineRule="auto"/>
        <w:ind w:left="0" w:firstLine="0"/>
        <w:rPr>
          <w:rFonts w:eastAsia="宋体"/>
          <w:color w:val="auto"/>
          <w:sz w:val="24"/>
          <w:szCs w:val="24"/>
          <w:highlight w:val="none"/>
          <w:u w:val="none"/>
        </w:rPr>
      </w:pPr>
      <w:r>
        <w:rPr>
          <w:rFonts w:hint="eastAsia" w:eastAsia="宋体"/>
          <w:color w:val="auto"/>
          <w:sz w:val="24"/>
          <w:szCs w:val="24"/>
          <w:highlight w:val="none"/>
          <w:u w:val="none"/>
        </w:rPr>
        <w:t xml:space="preserve">征集文件由下述部分组成： </w:t>
      </w:r>
    </w:p>
    <w:p w14:paraId="5E414949">
      <w:pPr>
        <w:pStyle w:val="13"/>
        <w:pageBreakBefore w:val="0"/>
        <w:numPr>
          <w:ilvl w:val="0"/>
          <w:numId w:val="6"/>
        </w:numPr>
        <w:tabs>
          <w:tab w:val="left" w:pos="1080"/>
        </w:tabs>
        <w:wordWrap w:val="0"/>
        <w:overflowPunct/>
        <w:bidi w:val="0"/>
        <w:spacing w:line="360" w:lineRule="auto"/>
        <w:ind w:left="218" w:leftChars="104" w:firstLine="0"/>
        <w:rPr>
          <w:rFonts w:ascii="宋体" w:hAnsi="宋体" w:cs="宋体"/>
          <w:color w:val="auto"/>
          <w:sz w:val="24"/>
          <w:szCs w:val="24"/>
          <w:highlight w:val="none"/>
          <w:u w:val="none"/>
        </w:rPr>
      </w:pPr>
      <w:r>
        <w:rPr>
          <w:rFonts w:hint="eastAsia" w:ascii="宋体" w:hAnsi="宋体" w:cs="宋体"/>
          <w:color w:val="auto"/>
          <w:sz w:val="24"/>
          <w:szCs w:val="24"/>
          <w:highlight w:val="none"/>
          <w:u w:val="none"/>
        </w:rPr>
        <w:t>征集公告</w:t>
      </w:r>
    </w:p>
    <w:p w14:paraId="3F43BF9B">
      <w:pPr>
        <w:pStyle w:val="13"/>
        <w:pageBreakBefore w:val="0"/>
        <w:numPr>
          <w:ilvl w:val="0"/>
          <w:numId w:val="6"/>
        </w:numPr>
        <w:tabs>
          <w:tab w:val="left" w:pos="1080"/>
        </w:tabs>
        <w:wordWrap w:val="0"/>
        <w:overflowPunct/>
        <w:bidi w:val="0"/>
        <w:spacing w:line="360" w:lineRule="auto"/>
        <w:ind w:left="218" w:leftChars="104" w:firstLine="0"/>
        <w:rPr>
          <w:rFonts w:ascii="宋体" w:hAnsi="宋体" w:cs="宋体"/>
          <w:color w:val="auto"/>
          <w:sz w:val="24"/>
          <w:szCs w:val="24"/>
          <w:highlight w:val="none"/>
          <w:u w:val="none"/>
        </w:rPr>
      </w:pPr>
      <w:r>
        <w:rPr>
          <w:rFonts w:hint="eastAsia" w:ascii="宋体" w:hAnsi="宋体" w:cs="宋体"/>
          <w:color w:val="auto"/>
          <w:sz w:val="24"/>
          <w:szCs w:val="24"/>
          <w:highlight w:val="none"/>
          <w:u w:val="none"/>
        </w:rPr>
        <w:t>供应商须知</w:t>
      </w:r>
    </w:p>
    <w:p w14:paraId="135C980F">
      <w:pPr>
        <w:pStyle w:val="13"/>
        <w:pageBreakBefore w:val="0"/>
        <w:numPr>
          <w:ilvl w:val="0"/>
          <w:numId w:val="6"/>
        </w:numPr>
        <w:tabs>
          <w:tab w:val="left" w:pos="1080"/>
        </w:tabs>
        <w:wordWrap w:val="0"/>
        <w:overflowPunct/>
        <w:bidi w:val="0"/>
        <w:spacing w:line="360" w:lineRule="auto"/>
        <w:ind w:left="218" w:leftChars="104" w:firstLine="0"/>
        <w:rPr>
          <w:rFonts w:ascii="宋体" w:hAnsi="宋体" w:cs="宋体"/>
          <w:color w:val="auto"/>
          <w:sz w:val="24"/>
          <w:szCs w:val="24"/>
          <w:highlight w:val="none"/>
          <w:u w:val="none"/>
        </w:rPr>
      </w:pPr>
      <w:r>
        <w:rPr>
          <w:rFonts w:hint="eastAsia" w:ascii="宋体" w:hAnsi="宋体" w:cs="宋体"/>
          <w:color w:val="auto"/>
          <w:sz w:val="24"/>
          <w:szCs w:val="24"/>
          <w:highlight w:val="none"/>
          <w:u w:val="none"/>
        </w:rPr>
        <w:t>评审方法</w:t>
      </w:r>
    </w:p>
    <w:p w14:paraId="157FA129">
      <w:pPr>
        <w:pStyle w:val="13"/>
        <w:pageBreakBefore w:val="0"/>
        <w:numPr>
          <w:ilvl w:val="0"/>
          <w:numId w:val="6"/>
        </w:numPr>
        <w:tabs>
          <w:tab w:val="left" w:pos="1080"/>
        </w:tabs>
        <w:wordWrap w:val="0"/>
        <w:overflowPunct/>
        <w:bidi w:val="0"/>
        <w:spacing w:line="360" w:lineRule="auto"/>
        <w:ind w:left="218" w:leftChars="104" w:firstLine="0"/>
        <w:rPr>
          <w:rFonts w:ascii="宋体" w:hAnsi="宋体" w:cs="宋体"/>
          <w:color w:val="auto"/>
          <w:sz w:val="24"/>
          <w:szCs w:val="24"/>
          <w:highlight w:val="none"/>
          <w:u w:val="none"/>
        </w:rPr>
      </w:pPr>
      <w:r>
        <w:rPr>
          <w:rFonts w:hint="eastAsia" w:ascii="宋体" w:hAnsi="宋体" w:cs="宋体"/>
          <w:color w:val="auto"/>
          <w:sz w:val="24"/>
          <w:szCs w:val="24"/>
          <w:highlight w:val="none"/>
          <w:u w:val="none"/>
        </w:rPr>
        <w:t>框架协议文本</w:t>
      </w:r>
    </w:p>
    <w:p w14:paraId="5F1E2BEC">
      <w:pPr>
        <w:pStyle w:val="13"/>
        <w:pageBreakBefore w:val="0"/>
        <w:numPr>
          <w:ilvl w:val="0"/>
          <w:numId w:val="6"/>
        </w:numPr>
        <w:tabs>
          <w:tab w:val="left" w:pos="1080"/>
        </w:tabs>
        <w:wordWrap w:val="0"/>
        <w:overflowPunct/>
        <w:bidi w:val="0"/>
        <w:spacing w:line="360" w:lineRule="auto"/>
        <w:ind w:left="218" w:leftChars="104" w:firstLine="0"/>
        <w:rPr>
          <w:rFonts w:ascii="宋体" w:hAnsi="宋体" w:cs="宋体"/>
          <w:color w:val="auto"/>
          <w:sz w:val="24"/>
          <w:szCs w:val="24"/>
          <w:highlight w:val="none"/>
          <w:u w:val="none"/>
        </w:rPr>
      </w:pPr>
      <w:r>
        <w:rPr>
          <w:rFonts w:hint="eastAsia" w:ascii="宋体" w:hAnsi="宋体" w:cs="宋体"/>
          <w:color w:val="auto"/>
          <w:sz w:val="24"/>
          <w:szCs w:val="24"/>
          <w:highlight w:val="none"/>
          <w:u w:val="none"/>
          <w:lang w:eastAsia="zh-CN"/>
        </w:rPr>
        <w:t>服务要求</w:t>
      </w:r>
    </w:p>
    <w:p w14:paraId="3C50460D">
      <w:pPr>
        <w:pStyle w:val="13"/>
        <w:pageBreakBefore w:val="0"/>
        <w:numPr>
          <w:ilvl w:val="0"/>
          <w:numId w:val="6"/>
        </w:numPr>
        <w:tabs>
          <w:tab w:val="left" w:pos="1080"/>
        </w:tabs>
        <w:wordWrap w:val="0"/>
        <w:overflowPunct/>
        <w:bidi w:val="0"/>
        <w:spacing w:line="360" w:lineRule="auto"/>
        <w:ind w:left="218" w:leftChars="104" w:firstLine="0"/>
        <w:rPr>
          <w:rFonts w:ascii="宋体" w:hAnsi="宋体" w:cs="宋体"/>
          <w:color w:val="auto"/>
          <w:sz w:val="24"/>
          <w:szCs w:val="24"/>
          <w:highlight w:val="none"/>
          <w:u w:val="none"/>
        </w:rPr>
      </w:pPr>
      <w:r>
        <w:rPr>
          <w:rFonts w:hint="eastAsia" w:ascii="宋体" w:hAnsi="宋体" w:cs="宋体"/>
          <w:color w:val="auto"/>
          <w:sz w:val="24"/>
          <w:szCs w:val="24"/>
          <w:highlight w:val="none"/>
          <w:u w:val="none"/>
        </w:rPr>
        <w:t>响应文件格式</w:t>
      </w:r>
    </w:p>
    <w:p w14:paraId="5F9D6D29">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供应商应仔细阅读征集文件中供应商须知、拟签订的框架协议条款的所有事项、格式要求和采购需求，按征集文件的要求提供响应文件，并保证所提供的全部资料的真实性，以使其响应文件对征集文件做出实质性响应，否则，将承担其</w:t>
      </w:r>
      <w:r>
        <w:rPr>
          <w:rFonts w:hint="eastAsia"/>
          <w:b/>
          <w:bCs/>
          <w:color w:val="auto"/>
          <w:sz w:val="24"/>
          <w:szCs w:val="24"/>
          <w:highlight w:val="none"/>
          <w:u w:val="none"/>
        </w:rPr>
        <w:t>响应文件被拒绝或认定为响应文件无效的风险</w:t>
      </w:r>
      <w:r>
        <w:rPr>
          <w:rFonts w:hint="eastAsia"/>
          <w:color w:val="auto"/>
          <w:sz w:val="24"/>
          <w:szCs w:val="24"/>
          <w:highlight w:val="none"/>
          <w:u w:val="none"/>
        </w:rPr>
        <w:t>。</w:t>
      </w:r>
    </w:p>
    <w:p w14:paraId="2385470D">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供应商制作响应文件时应充分完整理解征集文件的整体要求。</w:t>
      </w:r>
    </w:p>
    <w:p w14:paraId="70D9A97D">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根据本章第第2.2款和第2.3款对征集文件所做的澄清和修改，构成征集文件的组成部分。</w:t>
      </w:r>
    </w:p>
    <w:p w14:paraId="5A82D553">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187" w:name="_Toc19467"/>
      <w:bookmarkStart w:id="188" w:name="_Toc9788"/>
      <w:bookmarkStart w:id="189" w:name="_Toc74"/>
      <w:bookmarkStart w:id="190" w:name="_Toc14335"/>
      <w:bookmarkStart w:id="191" w:name="_Toc13997"/>
      <w:bookmarkStart w:id="192" w:name="_Toc29772"/>
      <w:bookmarkStart w:id="193" w:name="_Toc6447"/>
      <w:bookmarkStart w:id="194" w:name="_Toc10510"/>
      <w:bookmarkStart w:id="195" w:name="_Toc27083"/>
      <w:bookmarkStart w:id="196" w:name="_Toc6478"/>
      <w:bookmarkStart w:id="197" w:name="_Toc22595"/>
      <w:bookmarkStart w:id="198" w:name="_Toc30758"/>
      <w:bookmarkStart w:id="199" w:name="_Toc18000"/>
      <w:bookmarkStart w:id="200" w:name="_Toc32697"/>
      <w:bookmarkStart w:id="201" w:name="_Toc108379330"/>
      <w:bookmarkStart w:id="202" w:name="_Toc7860"/>
      <w:r>
        <w:rPr>
          <w:rFonts w:hint="eastAsia" w:cs="宋体"/>
          <w:color w:val="auto"/>
          <w:sz w:val="24"/>
          <w:szCs w:val="24"/>
          <w:highlight w:val="none"/>
          <w:u w:val="none"/>
        </w:rPr>
        <w:t>征集文件的澄清</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6F1F1A58">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供应商应仔细阅读和检查征集文件的全部内容。如发现缺页或附件不全，应及时向采购人提出，以便补齐。如有疑问，应按供应商须知前附表规定的时间和形式将提出的问题送达采购人，要求采购人对征集文件予以澄清。</w:t>
      </w:r>
    </w:p>
    <w:p w14:paraId="083BA082">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征集文件的澄清以供应商须知前附表规定的形式发给所有获取征集文件的供应商，同时在原公告媒体发布澄清公告，但不指明澄清问题的来源。澄清发出的时间距本章第4.2.1项规定的响应文件提交截止时间不足15日的，并且澄清内容可能影响响应文件编制的，将相应延长响应文件提交截止时间。</w:t>
      </w:r>
    </w:p>
    <w:p w14:paraId="05B045F1">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供应商在收到澄清后，应按供应商须知前附表规定通知采购人，确认已收到该澄清。</w:t>
      </w:r>
    </w:p>
    <w:p w14:paraId="6ABF7E6D">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除非采购人认为确有必要答复，否则，采购人有权拒绝回复供应商在本章第2.2.1项规定的时间后的任何澄清要求。在规定的时间内未提出疑问的，将被视为对征集文件完全认可。</w:t>
      </w:r>
    </w:p>
    <w:p w14:paraId="421E3E6B">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203" w:name="_Toc7881"/>
      <w:bookmarkStart w:id="204" w:name="_Toc15286"/>
      <w:bookmarkStart w:id="205" w:name="_Toc21811"/>
      <w:bookmarkStart w:id="206" w:name="_Toc21606"/>
      <w:bookmarkStart w:id="207" w:name="_Toc28275"/>
      <w:bookmarkStart w:id="208" w:name="_Toc32645"/>
      <w:bookmarkStart w:id="209" w:name="_Toc17409"/>
      <w:bookmarkStart w:id="210" w:name="_Toc32016"/>
      <w:bookmarkStart w:id="211" w:name="_Toc16407"/>
      <w:bookmarkStart w:id="212" w:name="_Toc8372"/>
      <w:bookmarkStart w:id="213" w:name="_Toc24"/>
      <w:bookmarkStart w:id="214" w:name="_Toc108379331"/>
      <w:bookmarkStart w:id="215" w:name="_Toc24423"/>
      <w:bookmarkStart w:id="216" w:name="_Toc15525"/>
      <w:bookmarkStart w:id="217" w:name="_Toc23306"/>
      <w:bookmarkStart w:id="218" w:name="_Toc11254"/>
      <w:r>
        <w:rPr>
          <w:rFonts w:hint="eastAsia" w:cs="宋体"/>
          <w:color w:val="auto"/>
          <w:sz w:val="24"/>
          <w:szCs w:val="24"/>
          <w:highlight w:val="none"/>
          <w:u w:val="none"/>
        </w:rPr>
        <w:t>征集文件的修改</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64A6E75A">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采购人或者采购代理机构可以对已发出的征集文件进行必要的修改，但不得改变采购标的和资格条件，修改的内容为征集文件的组成部分。</w:t>
      </w:r>
    </w:p>
    <w:p w14:paraId="3323B38A">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采购人或采购代理机构以供应商须知前附表规定的形式修改征集文件，在原公告媒介发布变更公告。修改征集文件的时间距本章第4.2.1项规定的响应文件提交截止时间不足15日的，并且修改内容可能影响响应文件编制的，将相应延长响应文件提交截止时间。</w:t>
      </w:r>
    </w:p>
    <w:p w14:paraId="11D4B5B4">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供应商收到修改内容后，自行在电子化交易系统查看。</w:t>
      </w:r>
    </w:p>
    <w:p w14:paraId="68029437">
      <w:pPr>
        <w:pStyle w:val="2"/>
        <w:pageBreakBefore w:val="0"/>
        <w:numPr>
          <w:ilvl w:val="0"/>
          <w:numId w:val="3"/>
        </w:numPr>
        <w:tabs>
          <w:tab w:val="left" w:pos="721"/>
          <w:tab w:val="left" w:pos="2880"/>
          <w:tab w:val="left" w:pos="3780"/>
        </w:tabs>
        <w:wordWrap w:val="0"/>
        <w:overflowPunct/>
        <w:bidi w:val="0"/>
        <w:spacing w:before="0" w:after="0" w:line="360" w:lineRule="auto"/>
        <w:ind w:left="0" w:firstLine="0"/>
        <w:jc w:val="both"/>
        <w:rPr>
          <w:rFonts w:ascii="宋体" w:hAnsi="宋体" w:eastAsia="宋体" w:cs="宋体"/>
          <w:color w:val="auto"/>
          <w:sz w:val="24"/>
          <w:szCs w:val="24"/>
          <w:highlight w:val="none"/>
          <w:u w:val="none"/>
        </w:rPr>
      </w:pPr>
      <w:bookmarkStart w:id="219" w:name="_Toc108379332"/>
      <w:bookmarkStart w:id="220" w:name="_Toc23006"/>
      <w:bookmarkStart w:id="221" w:name="_Toc1415"/>
      <w:r>
        <w:rPr>
          <w:rFonts w:hint="eastAsia" w:ascii="宋体" w:hAnsi="宋体" w:eastAsia="宋体" w:cs="宋体"/>
          <w:color w:val="auto"/>
          <w:sz w:val="24"/>
          <w:szCs w:val="24"/>
          <w:highlight w:val="none"/>
          <w:u w:val="none"/>
        </w:rPr>
        <w:t>响应文件</w:t>
      </w:r>
      <w:bookmarkEnd w:id="219"/>
      <w:bookmarkEnd w:id="220"/>
      <w:bookmarkEnd w:id="221"/>
    </w:p>
    <w:p w14:paraId="74EFA41C">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222" w:name="_Toc6052"/>
      <w:bookmarkStart w:id="223" w:name="_Toc24384"/>
      <w:bookmarkStart w:id="224" w:name="_Toc11643"/>
      <w:bookmarkStart w:id="225" w:name="_Toc21684"/>
      <w:bookmarkStart w:id="226" w:name="_Toc13530"/>
      <w:bookmarkStart w:id="227" w:name="_Toc5187"/>
      <w:bookmarkStart w:id="228" w:name="_Toc16815"/>
      <w:bookmarkStart w:id="229" w:name="_Toc26694"/>
      <w:bookmarkStart w:id="230" w:name="_Toc10184"/>
      <w:bookmarkStart w:id="231" w:name="_Toc29146"/>
      <w:bookmarkStart w:id="232" w:name="_Toc29160"/>
      <w:bookmarkStart w:id="233" w:name="_Toc23403"/>
      <w:bookmarkStart w:id="234" w:name="_Toc108379333"/>
      <w:bookmarkStart w:id="235" w:name="_Toc27918"/>
      <w:bookmarkStart w:id="236" w:name="_Toc31836"/>
      <w:bookmarkStart w:id="237" w:name="_Toc2931"/>
      <w:r>
        <w:rPr>
          <w:rFonts w:hint="eastAsia" w:cs="宋体"/>
          <w:color w:val="auto"/>
          <w:sz w:val="24"/>
          <w:szCs w:val="24"/>
          <w:highlight w:val="none"/>
          <w:u w:val="none"/>
        </w:rPr>
        <w:t>响应文件的组成</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154B2766">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响应文件包括下列部分：</w:t>
      </w:r>
    </w:p>
    <w:p w14:paraId="18E5D23E">
      <w:pPr>
        <w:pageBreakBefore w:val="0"/>
        <w:wordWrap w:val="0"/>
        <w:overflowPunct/>
        <w:autoSpaceDE w:val="0"/>
        <w:autoSpaceDN w:val="0"/>
        <w:bidi w:val="0"/>
        <w:adjustRightInd w:val="0"/>
        <w:spacing w:line="360" w:lineRule="auto"/>
        <w:ind w:firstLine="480" w:firstLineChars="200"/>
        <w:jc w:val="left"/>
        <w:rPr>
          <w:color w:val="auto"/>
          <w:kern w:val="0"/>
          <w:sz w:val="24"/>
          <w:szCs w:val="24"/>
          <w:highlight w:val="none"/>
          <w:u w:val="none"/>
        </w:rPr>
      </w:pPr>
      <w:r>
        <w:rPr>
          <w:rFonts w:hint="eastAsia"/>
          <w:color w:val="auto"/>
          <w:kern w:val="0"/>
          <w:sz w:val="24"/>
          <w:szCs w:val="24"/>
          <w:highlight w:val="none"/>
          <w:u w:val="none"/>
        </w:rPr>
        <w:t>详见“第六章 响应文件格式”</w:t>
      </w:r>
    </w:p>
    <w:p w14:paraId="768FC7CE">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响应文件应与征集文件的响应文件格式次序一一对应。</w:t>
      </w:r>
    </w:p>
    <w:p w14:paraId="1FC62AB6">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征集文件中的每个分包，是项目不可拆分的最小单元，供应商必须按此分包编制响应文件，提交相应的文件资料，拆包将视为漏项或非实质性响应予以认定为</w:t>
      </w:r>
      <w:r>
        <w:rPr>
          <w:rFonts w:hint="eastAsia"/>
          <w:b/>
          <w:bCs/>
          <w:color w:val="auto"/>
          <w:sz w:val="24"/>
          <w:szCs w:val="24"/>
          <w:highlight w:val="none"/>
          <w:u w:val="none"/>
        </w:rPr>
        <w:t>响应文件无效</w:t>
      </w:r>
      <w:r>
        <w:rPr>
          <w:rFonts w:hint="eastAsia"/>
          <w:color w:val="auto"/>
          <w:sz w:val="24"/>
          <w:szCs w:val="24"/>
          <w:highlight w:val="none"/>
          <w:u w:val="none"/>
        </w:rPr>
        <w:t>。</w:t>
      </w:r>
    </w:p>
    <w:p w14:paraId="1484439F">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238" w:name="_Toc3579"/>
      <w:bookmarkStart w:id="239" w:name="_Toc13045"/>
      <w:bookmarkStart w:id="240" w:name="_Toc470"/>
      <w:bookmarkStart w:id="241" w:name="_Toc30036"/>
      <w:bookmarkStart w:id="242" w:name="_Toc16658"/>
      <w:bookmarkStart w:id="243" w:name="_Toc6676"/>
      <w:bookmarkStart w:id="244" w:name="_Toc8109"/>
      <w:bookmarkStart w:id="245" w:name="_Toc108379334"/>
      <w:bookmarkStart w:id="246" w:name="_Toc22626"/>
      <w:bookmarkStart w:id="247" w:name="_Toc3735"/>
      <w:bookmarkStart w:id="248" w:name="_Toc6819"/>
      <w:bookmarkStart w:id="249" w:name="_Toc11558"/>
      <w:bookmarkStart w:id="250" w:name="_Toc4954"/>
      <w:bookmarkStart w:id="251" w:name="_Toc32649"/>
      <w:bookmarkStart w:id="252" w:name="_Toc28359"/>
      <w:bookmarkStart w:id="253" w:name="_Toc780"/>
      <w:r>
        <w:rPr>
          <w:rFonts w:hint="eastAsia" w:cs="宋体"/>
          <w:color w:val="auto"/>
          <w:sz w:val="24"/>
          <w:szCs w:val="24"/>
          <w:highlight w:val="none"/>
          <w:u w:val="none"/>
        </w:rPr>
        <w:t>响应报价</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2D4813E5">
      <w:pPr>
        <w:pageBreakBefore w:val="0"/>
        <w:tabs>
          <w:tab w:val="left" w:pos="720"/>
          <w:tab w:val="left" w:pos="1904"/>
        </w:tabs>
        <w:wordWrap w:val="0"/>
        <w:overflowPunct/>
        <w:bidi w:val="0"/>
        <w:snapToGrid w:val="0"/>
        <w:spacing w:line="360" w:lineRule="auto"/>
        <w:ind w:firstLine="480" w:firstLineChars="200"/>
        <w:rPr>
          <w:color w:val="auto"/>
          <w:sz w:val="24"/>
          <w:szCs w:val="24"/>
          <w:highlight w:val="none"/>
          <w:u w:val="none"/>
        </w:rPr>
      </w:pPr>
      <w:bookmarkStart w:id="254" w:name="_Toc26284"/>
      <w:bookmarkStart w:id="255" w:name="_Toc27886"/>
      <w:r>
        <w:rPr>
          <w:rFonts w:hint="eastAsia"/>
          <w:color w:val="auto"/>
          <w:sz w:val="24"/>
          <w:szCs w:val="24"/>
          <w:highlight w:val="none"/>
          <w:u w:val="none"/>
        </w:rPr>
        <w:t>3.2.1供应商应按“响应文件格式”的要求在报价函中进行报价；</w:t>
      </w:r>
    </w:p>
    <w:p w14:paraId="4CF44358">
      <w:pPr>
        <w:pageBreakBefore w:val="0"/>
        <w:wordWrap w:val="0"/>
        <w:overflowPunct/>
        <w:bidi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3.2.2供应商应充分了解该项目的总体情况以及影响报价的其他要素。</w:t>
      </w:r>
    </w:p>
    <w:p w14:paraId="115FA3CE">
      <w:pPr>
        <w:pageBreakBefore w:val="0"/>
        <w:wordWrap w:val="0"/>
        <w:overflowPunct/>
        <w:bidi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3.2.3采购人设有最高限价的，供应商的报价不得超过最高限价。</w:t>
      </w:r>
    </w:p>
    <w:p w14:paraId="3BFF5F25">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256" w:name="_Toc108379335"/>
      <w:bookmarkStart w:id="257" w:name="_Toc3588"/>
      <w:bookmarkStart w:id="258" w:name="_Toc797"/>
      <w:bookmarkStart w:id="259" w:name="_Toc29976"/>
      <w:r>
        <w:rPr>
          <w:rFonts w:hint="eastAsia" w:cs="宋体"/>
          <w:color w:val="auto"/>
          <w:sz w:val="24"/>
          <w:szCs w:val="24"/>
          <w:highlight w:val="none"/>
          <w:u w:val="none"/>
        </w:rPr>
        <w:t>响应文件有效期</w:t>
      </w:r>
      <w:bookmarkEnd w:id="254"/>
      <w:bookmarkEnd w:id="255"/>
      <w:bookmarkEnd w:id="256"/>
      <w:bookmarkEnd w:id="257"/>
      <w:bookmarkEnd w:id="258"/>
      <w:bookmarkEnd w:id="259"/>
    </w:p>
    <w:p w14:paraId="3ACA6F5A">
      <w:pPr>
        <w:pageBreakBefore w:val="0"/>
        <w:numPr>
          <w:ilvl w:val="2"/>
          <w:numId w:val="3"/>
        </w:numPr>
        <w:wordWrap w:val="0"/>
        <w:overflowPunct/>
        <w:bidi w:val="0"/>
        <w:spacing w:line="360" w:lineRule="auto"/>
        <w:ind w:firstLine="480" w:firstLineChars="200"/>
        <w:rPr>
          <w:color w:val="auto"/>
          <w:sz w:val="24"/>
          <w:szCs w:val="24"/>
          <w:highlight w:val="none"/>
          <w:u w:val="none"/>
        </w:rPr>
      </w:pPr>
      <w:bookmarkStart w:id="260" w:name="_Toc26367"/>
      <w:bookmarkStart w:id="261" w:name="_Toc10542"/>
      <w:bookmarkStart w:id="262" w:name="_Toc7916"/>
      <w:bookmarkStart w:id="263" w:name="_Toc13400"/>
      <w:bookmarkStart w:id="264" w:name="_Toc724"/>
      <w:bookmarkStart w:id="265" w:name="_Toc22106"/>
      <w:bookmarkStart w:id="266" w:name="_Toc24295"/>
      <w:bookmarkStart w:id="267" w:name="_Toc3318"/>
      <w:bookmarkStart w:id="268" w:name="_Toc30836"/>
      <w:bookmarkStart w:id="269" w:name="_Toc4082"/>
      <w:bookmarkStart w:id="270" w:name="_Toc24684"/>
      <w:bookmarkStart w:id="271" w:name="_Toc9648"/>
      <w:r>
        <w:rPr>
          <w:rFonts w:hint="eastAsia"/>
          <w:color w:val="auto"/>
          <w:sz w:val="24"/>
          <w:szCs w:val="24"/>
          <w:highlight w:val="none"/>
          <w:u w:val="none"/>
        </w:rPr>
        <w:t>响应文件有效期见供应商须知前附表。响应文件有效期内供应商不得撤销响应文件。</w:t>
      </w:r>
    </w:p>
    <w:p w14:paraId="04BCFD2E">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响应文件应自提交响应文件的截止之日起，在供应商须知前附表规定的时间内保持有效。响应文件有效期不足的将被视为未响应而予以拒绝。</w:t>
      </w:r>
    </w:p>
    <w:p w14:paraId="695E62BE">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在特殊情况下，在原响应文件有效期截止之前，采购人和采购代理机构可征求供应商同意延长响应文件有效期。这种要求与答复均应以书面形式提交。供应商可以拒绝这种要求。同意延期的供应商将不会被要求也不允许修改其响应文件。</w:t>
      </w:r>
    </w:p>
    <w:p w14:paraId="716CB145">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272" w:name="_Toc9538"/>
      <w:bookmarkStart w:id="273" w:name="_Toc108379336"/>
      <w:bookmarkStart w:id="274" w:name="_Toc6614"/>
      <w:bookmarkStart w:id="275" w:name="_Toc26454"/>
      <w:r>
        <w:rPr>
          <w:rFonts w:hint="eastAsia" w:cs="宋体"/>
          <w:color w:val="auto"/>
          <w:sz w:val="24"/>
          <w:szCs w:val="24"/>
          <w:highlight w:val="none"/>
          <w:u w:val="none"/>
        </w:rPr>
        <w:t>入围保证金</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6D7D87EF">
      <w:pPr>
        <w:pageBreakBefore w:val="0"/>
        <w:wordWrap w:val="0"/>
        <w:overflowPunct/>
        <w:bidi w:val="0"/>
        <w:spacing w:line="360" w:lineRule="auto"/>
        <w:ind w:left="420" w:leftChars="200"/>
        <w:rPr>
          <w:color w:val="auto"/>
          <w:sz w:val="24"/>
          <w:szCs w:val="24"/>
          <w:highlight w:val="none"/>
          <w:u w:val="none"/>
        </w:rPr>
      </w:pPr>
      <w:bookmarkStart w:id="276" w:name="_Toc27644"/>
      <w:bookmarkStart w:id="277" w:name="_Toc27911"/>
      <w:bookmarkStart w:id="278" w:name="_Toc28591"/>
      <w:bookmarkStart w:id="279" w:name="_Toc24091"/>
      <w:bookmarkStart w:id="280" w:name="_Toc10853"/>
      <w:bookmarkStart w:id="281" w:name="_Toc30729"/>
      <w:bookmarkStart w:id="282" w:name="_Toc10698"/>
      <w:bookmarkStart w:id="283" w:name="_Toc7411"/>
      <w:bookmarkStart w:id="284" w:name="_Toc1022"/>
      <w:bookmarkStart w:id="285" w:name="_Toc18654"/>
      <w:r>
        <w:rPr>
          <w:rFonts w:hint="eastAsia"/>
          <w:color w:val="auto"/>
          <w:sz w:val="24"/>
          <w:szCs w:val="24"/>
          <w:highlight w:val="none"/>
          <w:u w:val="none"/>
        </w:rPr>
        <w:t>本次征集不收取入围保证金。</w:t>
      </w:r>
      <w:bookmarkEnd w:id="276"/>
      <w:bookmarkEnd w:id="277"/>
      <w:bookmarkEnd w:id="278"/>
      <w:bookmarkEnd w:id="279"/>
      <w:bookmarkEnd w:id="280"/>
      <w:bookmarkEnd w:id="281"/>
      <w:bookmarkEnd w:id="282"/>
      <w:bookmarkEnd w:id="283"/>
      <w:bookmarkEnd w:id="284"/>
      <w:bookmarkEnd w:id="285"/>
    </w:p>
    <w:p w14:paraId="48AFDBAE">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286" w:name="_Toc22782"/>
      <w:bookmarkStart w:id="287" w:name="_Toc27342"/>
      <w:bookmarkStart w:id="288" w:name="_Toc32562"/>
      <w:bookmarkStart w:id="289" w:name="_Toc691"/>
      <w:bookmarkStart w:id="290" w:name="_Toc21072"/>
      <w:bookmarkStart w:id="291" w:name="_Toc21671"/>
      <w:bookmarkStart w:id="292" w:name="_Toc23864"/>
      <w:bookmarkStart w:id="293" w:name="_Toc30724"/>
      <w:bookmarkStart w:id="294" w:name="_Toc12331"/>
      <w:bookmarkStart w:id="295" w:name="_Toc19227"/>
      <w:bookmarkStart w:id="296" w:name="_Toc108379337"/>
      <w:bookmarkStart w:id="297" w:name="_Toc11716"/>
      <w:bookmarkStart w:id="298" w:name="_Toc8364"/>
      <w:bookmarkStart w:id="299" w:name="_Toc12326"/>
      <w:bookmarkStart w:id="300" w:name="_Toc2428"/>
      <w:bookmarkStart w:id="301" w:name="_Toc15563"/>
      <w:r>
        <w:rPr>
          <w:rFonts w:hint="eastAsia" w:cs="宋体"/>
          <w:color w:val="auto"/>
          <w:sz w:val="24"/>
          <w:szCs w:val="24"/>
          <w:highlight w:val="none"/>
          <w:u w:val="none"/>
        </w:rPr>
        <w:t>供应商资格的证明文件</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3E7FC746">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依据供应商须知前附表中的要求提交相应的资格证明文件，作为响应文件的一部分，以证明其有资格进行响应和有能力履行合同。</w:t>
      </w:r>
    </w:p>
    <w:p w14:paraId="296268EA">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302" w:name="_Toc26554"/>
      <w:bookmarkStart w:id="303" w:name="_Toc9806"/>
      <w:bookmarkStart w:id="304" w:name="_Toc4607"/>
      <w:bookmarkStart w:id="305" w:name="_Toc6867"/>
      <w:bookmarkStart w:id="306" w:name="_Toc20231"/>
      <w:bookmarkStart w:id="307" w:name="_Toc26788"/>
      <w:bookmarkStart w:id="308" w:name="_Toc23248"/>
      <w:bookmarkStart w:id="309" w:name="_Toc31597"/>
      <w:bookmarkStart w:id="310" w:name="_Toc738"/>
      <w:bookmarkStart w:id="311" w:name="_Toc18317"/>
      <w:bookmarkStart w:id="312" w:name="_Toc14789"/>
      <w:bookmarkStart w:id="313" w:name="_Toc108379338"/>
      <w:bookmarkStart w:id="314" w:name="_Toc30598"/>
      <w:bookmarkStart w:id="315" w:name="_Toc2878"/>
      <w:bookmarkStart w:id="316" w:name="_Toc5379"/>
      <w:bookmarkStart w:id="317" w:name="_Toc6618"/>
      <w:r>
        <w:rPr>
          <w:rFonts w:hint="eastAsia" w:cs="宋体"/>
          <w:color w:val="auto"/>
          <w:sz w:val="24"/>
          <w:szCs w:val="24"/>
          <w:highlight w:val="none"/>
          <w:u w:val="none"/>
        </w:rPr>
        <w:t>供应商技术证明文件</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3BA65924">
      <w:pPr>
        <w:pageBreakBefore w:val="0"/>
        <w:numPr>
          <w:ilvl w:val="2"/>
          <w:numId w:val="3"/>
        </w:numPr>
        <w:wordWrap w:val="0"/>
        <w:overflowPunct/>
        <w:bidi w:val="0"/>
        <w:spacing w:line="360" w:lineRule="auto"/>
        <w:ind w:firstLine="480" w:firstLineChars="200"/>
        <w:rPr>
          <w:color w:val="auto"/>
          <w:sz w:val="24"/>
          <w:szCs w:val="24"/>
          <w:highlight w:val="none"/>
          <w:u w:val="none"/>
        </w:rPr>
      </w:pPr>
      <w:bookmarkStart w:id="318" w:name="_Toc27143"/>
      <w:bookmarkStart w:id="319" w:name="_Toc32415"/>
      <w:bookmarkStart w:id="320" w:name="_Toc3838"/>
      <w:bookmarkStart w:id="321" w:name="_Toc25186"/>
      <w:bookmarkStart w:id="322" w:name="_Toc10867"/>
      <w:bookmarkStart w:id="323" w:name="_Toc11578"/>
      <w:bookmarkStart w:id="324" w:name="_Toc20415"/>
      <w:bookmarkStart w:id="325" w:name="_Toc7496"/>
      <w:bookmarkStart w:id="326" w:name="_Toc630"/>
      <w:bookmarkStart w:id="327" w:name="_Toc10019"/>
      <w:bookmarkStart w:id="328" w:name="_Toc24210"/>
      <w:bookmarkStart w:id="329" w:name="_Toc21050"/>
      <w:r>
        <w:rPr>
          <w:rFonts w:hint="eastAsia"/>
          <w:color w:val="auto"/>
          <w:sz w:val="24"/>
          <w:szCs w:val="24"/>
          <w:highlight w:val="none"/>
          <w:u w:val="none"/>
          <w:shd w:val="clear" w:color="auto" w:fill="FFFFFF"/>
        </w:rPr>
        <w:t>供应商响应的服务的技术、商务等条件不得低于采购需求。</w:t>
      </w:r>
    </w:p>
    <w:p w14:paraId="3B08778B">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供应商应提交证明其符合征集文件规定的技术证明文件，作为响应文件的一部分。</w:t>
      </w:r>
    </w:p>
    <w:p w14:paraId="6F07D131">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证明文件可以是文字资料、图纸和数据</w:t>
      </w:r>
      <w:r>
        <w:rPr>
          <w:rFonts w:hint="eastAsia"/>
          <w:color w:val="auto"/>
          <w:sz w:val="24"/>
          <w:szCs w:val="24"/>
          <w:highlight w:val="none"/>
          <w:u w:val="none"/>
          <w:lang w:eastAsia="zh-CN"/>
        </w:rPr>
        <w:t>等</w:t>
      </w:r>
      <w:r>
        <w:rPr>
          <w:rFonts w:hint="eastAsia"/>
          <w:color w:val="auto"/>
          <w:sz w:val="24"/>
          <w:szCs w:val="24"/>
          <w:highlight w:val="none"/>
          <w:u w:val="none"/>
        </w:rPr>
        <w:t>。</w:t>
      </w:r>
    </w:p>
    <w:p w14:paraId="1FF02AA5">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330" w:name="_Toc108379339"/>
      <w:bookmarkStart w:id="331" w:name="_Toc30791"/>
      <w:bookmarkStart w:id="332" w:name="_Toc7555"/>
      <w:bookmarkStart w:id="333" w:name="_Toc1809"/>
      <w:r>
        <w:rPr>
          <w:rFonts w:hint="eastAsia" w:cs="宋体"/>
          <w:color w:val="auto"/>
          <w:sz w:val="24"/>
          <w:szCs w:val="24"/>
          <w:highlight w:val="none"/>
          <w:u w:val="none"/>
        </w:rPr>
        <w:t>响应文件编制</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678667D3">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响应文件应按第六章“响应文件格式”进行编写，如有必要，可以增加附页，作为响应文件的组成部分。其中，响应一览表在满足征集文件实质性要求的基础上，可以提出比征集文件要求更有利于采购人的承诺。</w:t>
      </w:r>
    </w:p>
    <w:p w14:paraId="08261667">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响应文件应当对征集文件有关采购范围、质量要求、售后、合同履约期限等实质性内容作出响应。</w:t>
      </w:r>
    </w:p>
    <w:p w14:paraId="60951C7C">
      <w:pPr>
        <w:pStyle w:val="2"/>
        <w:pageBreakBefore w:val="0"/>
        <w:numPr>
          <w:ilvl w:val="0"/>
          <w:numId w:val="3"/>
        </w:numPr>
        <w:tabs>
          <w:tab w:val="left" w:pos="721"/>
          <w:tab w:val="left" w:pos="2880"/>
          <w:tab w:val="left" w:pos="3780"/>
        </w:tabs>
        <w:wordWrap w:val="0"/>
        <w:overflowPunct/>
        <w:bidi w:val="0"/>
        <w:spacing w:before="0" w:after="0" w:line="360" w:lineRule="auto"/>
        <w:ind w:left="0" w:firstLine="0"/>
        <w:jc w:val="both"/>
        <w:rPr>
          <w:rFonts w:ascii="宋体" w:hAnsi="宋体" w:eastAsia="宋体" w:cs="宋体"/>
          <w:color w:val="auto"/>
          <w:sz w:val="24"/>
          <w:szCs w:val="24"/>
          <w:highlight w:val="none"/>
          <w:u w:val="none"/>
        </w:rPr>
      </w:pPr>
      <w:bookmarkStart w:id="334" w:name="_Toc24333"/>
      <w:bookmarkStart w:id="335" w:name="_Toc6529"/>
      <w:bookmarkStart w:id="336" w:name="_Toc108379340"/>
      <w:r>
        <w:rPr>
          <w:rFonts w:hint="eastAsia" w:ascii="宋体" w:hAnsi="宋体" w:eastAsia="宋体" w:cs="宋体"/>
          <w:color w:val="auto"/>
          <w:sz w:val="24"/>
          <w:szCs w:val="24"/>
          <w:highlight w:val="none"/>
          <w:u w:val="none"/>
        </w:rPr>
        <w:t>响应</w:t>
      </w:r>
      <w:bookmarkEnd w:id="334"/>
      <w:bookmarkEnd w:id="335"/>
      <w:bookmarkEnd w:id="336"/>
    </w:p>
    <w:p w14:paraId="3A90D15C">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337" w:name="_Toc17190"/>
      <w:bookmarkStart w:id="338" w:name="_Toc24089"/>
      <w:bookmarkStart w:id="339" w:name="_Toc7004"/>
      <w:bookmarkStart w:id="340" w:name="_Toc504"/>
      <w:bookmarkStart w:id="341" w:name="_Toc15515"/>
      <w:bookmarkStart w:id="342" w:name="_Toc22690"/>
      <w:bookmarkStart w:id="343" w:name="_Toc11217"/>
      <w:bookmarkStart w:id="344" w:name="_Toc7201"/>
      <w:bookmarkStart w:id="345" w:name="_Toc2541"/>
      <w:bookmarkStart w:id="346" w:name="_Toc5976"/>
      <w:bookmarkStart w:id="347" w:name="_Toc29011"/>
      <w:bookmarkStart w:id="348" w:name="_Toc12719"/>
      <w:bookmarkStart w:id="349" w:name="_Toc7061"/>
      <w:bookmarkStart w:id="350" w:name="_Toc7632"/>
      <w:bookmarkStart w:id="351" w:name="_Toc108379341"/>
      <w:bookmarkStart w:id="352" w:name="_Toc25028"/>
      <w:r>
        <w:rPr>
          <w:rFonts w:hint="eastAsia" w:cs="宋体"/>
          <w:color w:val="auto"/>
          <w:sz w:val="24"/>
          <w:szCs w:val="24"/>
          <w:highlight w:val="none"/>
          <w:u w:val="none"/>
        </w:rPr>
        <w:t>响应文件的密封</w:t>
      </w:r>
      <w:bookmarkEnd w:id="337"/>
      <w:bookmarkEnd w:id="338"/>
      <w:bookmarkEnd w:id="339"/>
      <w:bookmarkEnd w:id="340"/>
      <w:bookmarkEnd w:id="341"/>
      <w:bookmarkEnd w:id="342"/>
      <w:bookmarkEnd w:id="343"/>
      <w:bookmarkEnd w:id="344"/>
      <w:bookmarkEnd w:id="345"/>
      <w:bookmarkEnd w:id="346"/>
      <w:r>
        <w:rPr>
          <w:rFonts w:hint="eastAsia" w:cs="宋体"/>
          <w:color w:val="auto"/>
          <w:sz w:val="24"/>
          <w:szCs w:val="24"/>
          <w:highlight w:val="none"/>
          <w:u w:val="none"/>
        </w:rPr>
        <w:t>和标记</w:t>
      </w:r>
      <w:bookmarkEnd w:id="347"/>
      <w:bookmarkEnd w:id="348"/>
      <w:bookmarkEnd w:id="349"/>
      <w:bookmarkEnd w:id="350"/>
      <w:bookmarkEnd w:id="351"/>
      <w:bookmarkEnd w:id="352"/>
    </w:p>
    <w:p w14:paraId="5830066C">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4.1.1</w:t>
      </w:r>
      <w:bookmarkStart w:id="353" w:name="_Toc28937"/>
      <w:bookmarkStart w:id="354" w:name="_Toc25206"/>
      <w:bookmarkStart w:id="355" w:name="_Toc10448"/>
      <w:bookmarkStart w:id="356" w:name="_Toc12787"/>
      <w:bookmarkStart w:id="357" w:name="_Toc2882"/>
      <w:bookmarkStart w:id="358" w:name="_Toc14647"/>
      <w:bookmarkStart w:id="359" w:name="_Toc32067"/>
      <w:bookmarkStart w:id="360" w:name="_Toc17234"/>
      <w:bookmarkStart w:id="361" w:name="_Toc17164"/>
      <w:bookmarkStart w:id="362" w:name="_Toc8642"/>
      <w:bookmarkStart w:id="363" w:name="_Toc17088"/>
      <w:bookmarkStart w:id="364" w:name="_Toc10018"/>
      <w:r>
        <w:rPr>
          <w:rFonts w:hint="eastAsia"/>
          <w:color w:val="auto"/>
          <w:sz w:val="24"/>
          <w:szCs w:val="24"/>
          <w:highlight w:val="none"/>
          <w:u w:val="none"/>
        </w:rPr>
        <w:t xml:space="preserve">签字或盖章的具体要求见供应商须知前附表。供应商应当按照征集文件和电子化交易系统的要求加密响应文件，具体要求见供应商须知前附表。 </w:t>
      </w:r>
    </w:p>
    <w:p w14:paraId="611E841F">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4.1.2未按本章第4.1.1项要求加密和盖章的响应文件，电子化交易系统将予以拒收。</w:t>
      </w:r>
    </w:p>
    <w:p w14:paraId="43BE078B">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365" w:name="_Toc32003"/>
      <w:bookmarkStart w:id="366" w:name="_Toc30418"/>
      <w:bookmarkStart w:id="367" w:name="_Toc108379342"/>
      <w:bookmarkStart w:id="368" w:name="_Toc5715"/>
      <w:r>
        <w:rPr>
          <w:rFonts w:hint="eastAsia" w:cs="宋体"/>
          <w:color w:val="auto"/>
          <w:sz w:val="24"/>
          <w:szCs w:val="24"/>
          <w:highlight w:val="none"/>
          <w:u w:val="none"/>
        </w:rPr>
        <w:t>响应文件的</w:t>
      </w:r>
      <w:bookmarkEnd w:id="353"/>
      <w:bookmarkEnd w:id="354"/>
      <w:bookmarkEnd w:id="355"/>
      <w:bookmarkEnd w:id="356"/>
      <w:bookmarkEnd w:id="357"/>
      <w:bookmarkEnd w:id="358"/>
      <w:bookmarkEnd w:id="359"/>
      <w:bookmarkEnd w:id="360"/>
      <w:bookmarkEnd w:id="361"/>
      <w:bookmarkEnd w:id="362"/>
      <w:r>
        <w:rPr>
          <w:rFonts w:hint="eastAsia" w:cs="宋体"/>
          <w:color w:val="auto"/>
          <w:sz w:val="24"/>
          <w:szCs w:val="24"/>
          <w:highlight w:val="none"/>
          <w:u w:val="none"/>
        </w:rPr>
        <w:t>提交</w:t>
      </w:r>
      <w:bookmarkEnd w:id="363"/>
      <w:bookmarkEnd w:id="364"/>
      <w:bookmarkEnd w:id="365"/>
      <w:bookmarkEnd w:id="366"/>
      <w:bookmarkEnd w:id="367"/>
      <w:bookmarkEnd w:id="368"/>
    </w:p>
    <w:p w14:paraId="42894CBD">
      <w:pPr>
        <w:pageBreakBefore w:val="0"/>
        <w:numPr>
          <w:ilvl w:val="2"/>
          <w:numId w:val="3"/>
        </w:numPr>
        <w:wordWrap w:val="0"/>
        <w:overflowPunct/>
        <w:bidi w:val="0"/>
        <w:spacing w:line="360" w:lineRule="auto"/>
        <w:ind w:firstLine="480" w:firstLineChars="200"/>
        <w:rPr>
          <w:color w:val="auto"/>
          <w:sz w:val="24"/>
          <w:szCs w:val="24"/>
          <w:highlight w:val="none"/>
          <w:u w:val="none"/>
        </w:rPr>
      </w:pPr>
      <w:bookmarkStart w:id="369" w:name="_Toc7423"/>
      <w:bookmarkStart w:id="370" w:name="_Toc32365"/>
      <w:bookmarkStart w:id="371" w:name="_Toc22212"/>
      <w:bookmarkStart w:id="372" w:name="_Toc1614"/>
      <w:bookmarkStart w:id="373" w:name="_Toc21569"/>
      <w:bookmarkStart w:id="374" w:name="_Toc7070"/>
      <w:bookmarkStart w:id="375" w:name="_Toc23125"/>
      <w:bookmarkStart w:id="376" w:name="_Toc3471"/>
      <w:bookmarkStart w:id="377" w:name="_Toc19554"/>
      <w:bookmarkStart w:id="378" w:name="_Toc23154"/>
      <w:bookmarkStart w:id="379" w:name="_Toc31018"/>
      <w:bookmarkStart w:id="380" w:name="_Toc1408"/>
      <w:r>
        <w:rPr>
          <w:rFonts w:hint="eastAsia"/>
          <w:color w:val="auto"/>
          <w:kern w:val="0"/>
          <w:sz w:val="24"/>
          <w:szCs w:val="24"/>
          <w:highlight w:val="none"/>
          <w:u w:val="none"/>
        </w:rPr>
        <w:t>供应商</w:t>
      </w:r>
      <w:r>
        <w:rPr>
          <w:rFonts w:hint="eastAsia"/>
          <w:color w:val="auto"/>
          <w:spacing w:val="-2"/>
          <w:kern w:val="0"/>
          <w:sz w:val="24"/>
          <w:szCs w:val="24"/>
          <w:highlight w:val="none"/>
          <w:u w:val="none"/>
        </w:rPr>
        <w:t>应</w:t>
      </w:r>
      <w:r>
        <w:rPr>
          <w:rFonts w:hint="eastAsia"/>
          <w:color w:val="auto"/>
          <w:kern w:val="0"/>
          <w:sz w:val="24"/>
          <w:szCs w:val="24"/>
          <w:highlight w:val="none"/>
          <w:u w:val="none"/>
        </w:rPr>
        <w:t>在</w:t>
      </w:r>
      <w:r>
        <w:rPr>
          <w:rFonts w:hint="eastAsia"/>
          <w:color w:val="auto"/>
          <w:spacing w:val="-2"/>
          <w:kern w:val="0"/>
          <w:sz w:val="24"/>
          <w:szCs w:val="24"/>
          <w:highlight w:val="none"/>
          <w:u w:val="none"/>
        </w:rPr>
        <w:t>供应商须</w:t>
      </w:r>
      <w:r>
        <w:rPr>
          <w:rFonts w:hint="eastAsia"/>
          <w:color w:val="auto"/>
          <w:kern w:val="0"/>
          <w:sz w:val="24"/>
          <w:szCs w:val="24"/>
          <w:highlight w:val="none"/>
          <w:u w:val="none"/>
        </w:rPr>
        <w:t>知前</w:t>
      </w:r>
      <w:r>
        <w:rPr>
          <w:rFonts w:hint="eastAsia"/>
          <w:color w:val="auto"/>
          <w:spacing w:val="-2"/>
          <w:kern w:val="0"/>
          <w:sz w:val="24"/>
          <w:szCs w:val="24"/>
          <w:highlight w:val="none"/>
          <w:u w:val="none"/>
        </w:rPr>
        <w:t>附</w:t>
      </w:r>
      <w:r>
        <w:rPr>
          <w:rFonts w:hint="eastAsia"/>
          <w:color w:val="auto"/>
          <w:kern w:val="0"/>
          <w:sz w:val="24"/>
          <w:szCs w:val="24"/>
          <w:highlight w:val="none"/>
          <w:u w:val="none"/>
        </w:rPr>
        <w:t>表</w:t>
      </w:r>
      <w:r>
        <w:rPr>
          <w:rFonts w:hint="eastAsia"/>
          <w:color w:val="auto"/>
          <w:spacing w:val="-2"/>
          <w:kern w:val="0"/>
          <w:sz w:val="24"/>
          <w:szCs w:val="24"/>
          <w:highlight w:val="none"/>
          <w:u w:val="none"/>
        </w:rPr>
        <w:t>规</w:t>
      </w:r>
      <w:r>
        <w:rPr>
          <w:rFonts w:hint="eastAsia"/>
          <w:color w:val="auto"/>
          <w:kern w:val="0"/>
          <w:sz w:val="24"/>
          <w:szCs w:val="24"/>
          <w:highlight w:val="none"/>
          <w:u w:val="none"/>
        </w:rPr>
        <w:t>定</w:t>
      </w:r>
      <w:r>
        <w:rPr>
          <w:rFonts w:hint="eastAsia"/>
          <w:color w:val="auto"/>
          <w:spacing w:val="-2"/>
          <w:kern w:val="0"/>
          <w:sz w:val="24"/>
          <w:szCs w:val="24"/>
          <w:highlight w:val="none"/>
          <w:u w:val="none"/>
        </w:rPr>
        <w:t>的</w:t>
      </w:r>
      <w:r>
        <w:rPr>
          <w:rFonts w:hint="eastAsia"/>
          <w:color w:val="auto"/>
          <w:kern w:val="0"/>
          <w:sz w:val="24"/>
          <w:szCs w:val="24"/>
          <w:highlight w:val="none"/>
          <w:u w:val="none"/>
        </w:rPr>
        <w:t>响应文件提交方式、提交截止时间和地点</w:t>
      </w:r>
      <w:r>
        <w:rPr>
          <w:rFonts w:hint="eastAsia"/>
          <w:color w:val="auto"/>
          <w:sz w:val="24"/>
          <w:szCs w:val="24"/>
          <w:highlight w:val="none"/>
          <w:u w:val="none"/>
        </w:rPr>
        <w:t>通过下载征集文件的电子化交易系统提交电子响应文件，具体要求见供应商须知前附表。</w:t>
      </w:r>
    </w:p>
    <w:p w14:paraId="7242F977">
      <w:pPr>
        <w:pageBreakBefore w:val="0"/>
        <w:numPr>
          <w:ilvl w:val="2"/>
          <w:numId w:val="3"/>
        </w:numPr>
        <w:wordWrap w:val="0"/>
        <w:overflow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rPr>
        <w:t>逾期提交的响应文件或未按规定加密的响应文件，电子化交易系统将予以拒收。</w:t>
      </w:r>
    </w:p>
    <w:p w14:paraId="667CCCE6">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381" w:name="_Toc3479"/>
      <w:bookmarkStart w:id="382" w:name="_Toc108379343"/>
      <w:bookmarkStart w:id="383" w:name="_Toc9785"/>
      <w:bookmarkStart w:id="384" w:name="_Toc23823"/>
      <w:r>
        <w:rPr>
          <w:rFonts w:hint="eastAsia" w:cs="宋体"/>
          <w:color w:val="auto"/>
          <w:sz w:val="24"/>
          <w:szCs w:val="24"/>
          <w:highlight w:val="none"/>
          <w:u w:val="none"/>
        </w:rPr>
        <w:t>响应文件的修改和撤回</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40B55F02">
      <w:pPr>
        <w:pageBreakBefore w:val="0"/>
        <w:numPr>
          <w:ilvl w:val="2"/>
          <w:numId w:val="3"/>
        </w:numPr>
        <w:wordWrap w:val="0"/>
        <w:overflowPunct/>
        <w:bidi w:val="0"/>
        <w:spacing w:line="360" w:lineRule="auto"/>
        <w:ind w:firstLine="480" w:firstLineChars="200"/>
        <w:rPr>
          <w:color w:val="auto"/>
          <w:kern w:val="0"/>
          <w:sz w:val="24"/>
          <w:szCs w:val="24"/>
          <w:highlight w:val="none"/>
          <w:u w:val="none"/>
        </w:rPr>
      </w:pPr>
      <w:bookmarkStart w:id="385" w:name="_Toc312133547"/>
      <w:r>
        <w:rPr>
          <w:rFonts w:hint="eastAsia"/>
          <w:color w:val="auto"/>
          <w:kern w:val="0"/>
          <w:sz w:val="24"/>
          <w:szCs w:val="24"/>
          <w:highlight w:val="none"/>
          <w:u w:val="none"/>
        </w:rPr>
        <w:t>提交响应文件以后，如果供应商进行修改或撤回的，须在响应文件提交截止时间前通过电子化交易系统修改撤回。</w:t>
      </w:r>
    </w:p>
    <w:p w14:paraId="18B13029">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在响应文件提交截止时间之后，供应商不得对其响应文件做任何修改。</w:t>
      </w:r>
    </w:p>
    <w:p w14:paraId="152D110C">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从响应文件提交截止时间至供应商在响应文件中载明的响应文件有效期满期间，供应商不得撤回其响应文件。</w:t>
      </w:r>
    </w:p>
    <w:p w14:paraId="2513F1A7">
      <w:pPr>
        <w:pStyle w:val="2"/>
        <w:pageBreakBefore w:val="0"/>
        <w:numPr>
          <w:ilvl w:val="0"/>
          <w:numId w:val="3"/>
        </w:numPr>
        <w:tabs>
          <w:tab w:val="left" w:pos="721"/>
          <w:tab w:val="left" w:pos="2880"/>
          <w:tab w:val="left" w:pos="3780"/>
        </w:tabs>
        <w:wordWrap w:val="0"/>
        <w:overflowPunct/>
        <w:bidi w:val="0"/>
        <w:spacing w:before="0" w:after="0" w:line="360" w:lineRule="auto"/>
        <w:ind w:left="0" w:firstLine="0"/>
        <w:jc w:val="both"/>
        <w:rPr>
          <w:rFonts w:ascii="宋体" w:hAnsi="宋体" w:eastAsia="宋体" w:cs="宋体"/>
          <w:color w:val="auto"/>
          <w:sz w:val="24"/>
          <w:szCs w:val="24"/>
          <w:highlight w:val="none"/>
          <w:u w:val="none"/>
        </w:rPr>
      </w:pPr>
      <w:bookmarkStart w:id="386" w:name="_Toc32474"/>
      <w:bookmarkStart w:id="387" w:name="_Toc108379344"/>
      <w:bookmarkStart w:id="388" w:name="_Toc30293"/>
      <w:r>
        <w:rPr>
          <w:rFonts w:hint="eastAsia" w:ascii="宋体" w:hAnsi="宋体" w:eastAsia="宋体" w:cs="宋体"/>
          <w:color w:val="auto"/>
          <w:sz w:val="24"/>
          <w:szCs w:val="24"/>
          <w:highlight w:val="none"/>
          <w:u w:val="none"/>
        </w:rPr>
        <w:t>开标、资格审查与</w:t>
      </w:r>
      <w:bookmarkEnd w:id="385"/>
      <w:r>
        <w:rPr>
          <w:rFonts w:hint="eastAsia" w:ascii="宋体" w:hAnsi="宋体" w:eastAsia="宋体" w:cs="宋体"/>
          <w:color w:val="auto"/>
          <w:sz w:val="24"/>
          <w:szCs w:val="24"/>
          <w:highlight w:val="none"/>
          <w:u w:val="none"/>
        </w:rPr>
        <w:t>评审</w:t>
      </w:r>
      <w:bookmarkEnd w:id="386"/>
      <w:bookmarkEnd w:id="387"/>
      <w:bookmarkEnd w:id="388"/>
    </w:p>
    <w:p w14:paraId="193EF332">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389" w:name="_Toc15697"/>
      <w:bookmarkStart w:id="390" w:name="_Toc7329"/>
      <w:bookmarkStart w:id="391" w:name="_Toc28628"/>
      <w:bookmarkStart w:id="392" w:name="_Toc1051"/>
      <w:bookmarkStart w:id="393" w:name="_Toc27050"/>
      <w:bookmarkStart w:id="394" w:name="_Toc30834"/>
      <w:bookmarkStart w:id="395" w:name="_Toc24837"/>
      <w:bookmarkStart w:id="396" w:name="_Toc10066"/>
      <w:bookmarkStart w:id="397" w:name="_Toc3484"/>
      <w:bookmarkStart w:id="398" w:name="_Toc31117"/>
      <w:bookmarkStart w:id="399" w:name="_Toc3802"/>
      <w:bookmarkStart w:id="400" w:name="_Toc18032"/>
      <w:bookmarkStart w:id="401" w:name="_Toc20993"/>
      <w:bookmarkStart w:id="402" w:name="_Toc28821"/>
      <w:bookmarkStart w:id="403" w:name="_Toc21689"/>
      <w:bookmarkStart w:id="404" w:name="_Toc108379345"/>
      <w:r>
        <w:rPr>
          <w:rFonts w:hint="eastAsia" w:cs="宋体"/>
          <w:color w:val="auto"/>
          <w:sz w:val="24"/>
          <w:szCs w:val="24"/>
          <w:highlight w:val="none"/>
          <w:u w:val="none"/>
        </w:rPr>
        <w:t>开标</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71ED37F5">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2.1.1采购代理机构在供应商须知前附表中规定的时间和地点组织公开开标。供应商不足3家的，不得开标。</w:t>
      </w:r>
    </w:p>
    <w:p w14:paraId="68803C13">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5.1.2响应文件开启时，供应商通过采购电子采购系统对已递交的电子响应文件进行解密，所有供应商当准时在线解密。因供应商原因造成响应文件未解密的，视为其撤销响应文件。解密完成后，通过电子采购系统宣读供应商名称、响应价格及征集文件规定的内容。</w:t>
      </w:r>
    </w:p>
    <w:p w14:paraId="0B877996">
      <w:pPr>
        <w:pageBreakBefore w:val="0"/>
        <w:wordWrap w:val="0"/>
        <w:overflowPunct/>
        <w:bidi w:val="0"/>
        <w:spacing w:line="360" w:lineRule="auto"/>
        <w:ind w:left="420" w:leftChars="200"/>
        <w:rPr>
          <w:color w:val="auto"/>
          <w:sz w:val="24"/>
          <w:szCs w:val="24"/>
          <w:highlight w:val="none"/>
          <w:u w:val="none"/>
        </w:rPr>
      </w:pPr>
      <w:r>
        <w:rPr>
          <w:rFonts w:hint="eastAsia"/>
          <w:color w:val="auto"/>
          <w:sz w:val="24"/>
          <w:szCs w:val="24"/>
          <w:highlight w:val="none"/>
          <w:u w:val="none"/>
        </w:rPr>
        <w:t>5.1.3供应商未参加开标的，视同认可开标结果。</w:t>
      </w:r>
    </w:p>
    <w:p w14:paraId="17F0AB04">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405" w:name="_Toc24277"/>
      <w:bookmarkStart w:id="406" w:name="_Toc29315"/>
      <w:bookmarkStart w:id="407" w:name="_Toc14516"/>
      <w:bookmarkStart w:id="408" w:name="_Toc27296"/>
      <w:bookmarkStart w:id="409" w:name="_Toc31363"/>
      <w:bookmarkStart w:id="410" w:name="_Toc18956"/>
      <w:bookmarkStart w:id="411" w:name="_Toc29637"/>
      <w:bookmarkStart w:id="412" w:name="_Toc22131"/>
      <w:bookmarkStart w:id="413" w:name="_Toc18862"/>
      <w:bookmarkStart w:id="414" w:name="_Toc4214"/>
      <w:bookmarkStart w:id="415" w:name="_Toc11192"/>
      <w:bookmarkStart w:id="416" w:name="_Toc8400"/>
      <w:bookmarkStart w:id="417" w:name="_Toc5716"/>
      <w:bookmarkStart w:id="418" w:name="_Toc108379346"/>
      <w:bookmarkStart w:id="419" w:name="_Toc29955"/>
      <w:bookmarkStart w:id="420" w:name="_Toc20142"/>
      <w:r>
        <w:rPr>
          <w:rFonts w:hint="eastAsia" w:cs="宋体"/>
          <w:color w:val="auto"/>
          <w:sz w:val="24"/>
          <w:szCs w:val="24"/>
          <w:highlight w:val="none"/>
          <w:u w:val="none"/>
        </w:rPr>
        <w:t>资格审查工作</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5E96C964">
      <w:pPr>
        <w:pageBreakBefore w:val="0"/>
        <w:wordWrap w:val="0"/>
        <w:overflowPunct/>
        <w:bidi w:val="0"/>
        <w:spacing w:line="360" w:lineRule="auto"/>
        <w:ind w:firstLine="480" w:firstLineChars="200"/>
        <w:rPr>
          <w:rFonts w:hint="eastAsia" w:ascii="Times New Roman" w:hAnsi="Times New Roman" w:eastAsia="宋体" w:cs="Times New Roman"/>
          <w:color w:val="auto"/>
          <w:sz w:val="24"/>
          <w:szCs w:val="24"/>
          <w:highlight w:val="none"/>
          <w:u w:val="none"/>
        </w:rPr>
      </w:pPr>
      <w:bookmarkStart w:id="421" w:name="_Toc8035"/>
      <w:bookmarkStart w:id="422" w:name="_Toc1771"/>
      <w:bookmarkStart w:id="423" w:name="_Toc32536"/>
      <w:bookmarkStart w:id="424" w:name="_Toc11870"/>
      <w:bookmarkStart w:id="425" w:name="_Toc29342"/>
      <w:bookmarkStart w:id="426" w:name="_Toc108379347"/>
      <w:r>
        <w:rPr>
          <w:rFonts w:hint="eastAsia" w:ascii="Times New Roman" w:hAnsi="Times New Roman" w:eastAsia="宋体" w:cs="Times New Roman"/>
          <w:color w:val="auto"/>
          <w:sz w:val="24"/>
          <w:szCs w:val="24"/>
          <w:highlight w:val="none"/>
          <w:u w:val="none"/>
        </w:rPr>
        <w:t>开标结束后，采购代理机构或采购人代表应当依法对供应商的资格进行审查，未通过资格审查的供应商不能进入评审，其响应将被认定为无效响应；</w:t>
      </w:r>
    </w:p>
    <w:p w14:paraId="5D80AC9B">
      <w:pPr>
        <w:pageBreakBefore w:val="0"/>
        <w:wordWrap w:val="0"/>
        <w:overflowPunct/>
        <w:bidi w:val="0"/>
        <w:spacing w:line="360" w:lineRule="auto"/>
        <w:ind w:firstLine="480" w:firstLineChars="200"/>
        <w:rPr>
          <w:color w:val="auto"/>
          <w:sz w:val="24"/>
          <w:szCs w:val="24"/>
          <w:highlight w:val="none"/>
          <w:u w:val="none"/>
        </w:rPr>
      </w:pPr>
      <w:r>
        <w:rPr>
          <w:rFonts w:hint="eastAsia" w:ascii="宋体" w:hAnsi="宋体" w:eastAsia="宋体" w:cs="Times New Roman"/>
          <w:bCs/>
          <w:color w:val="auto"/>
          <w:sz w:val="24"/>
          <w:szCs w:val="24"/>
          <w:highlight w:val="none"/>
          <w:u w:val="none"/>
          <w:lang w:val="en-US" w:eastAsia="zh-CN"/>
        </w:rPr>
        <w:t>一标段：车辆维修保养服务项目</w:t>
      </w:r>
      <w:r>
        <w:rPr>
          <w:rFonts w:hint="eastAsia" w:ascii="Times New Roman" w:hAnsi="Times New Roman" w:eastAsia="宋体" w:cs="Times New Roman"/>
          <w:color w:val="auto"/>
          <w:sz w:val="24"/>
          <w:szCs w:val="24"/>
          <w:highlight w:val="none"/>
          <w:u w:val="none"/>
        </w:rPr>
        <w:t>合格供应商不足</w:t>
      </w:r>
      <w:r>
        <w:rPr>
          <w:rFonts w:hint="eastAsia" w:ascii="Times New Roman" w:hAnsi="Times New Roman" w:eastAsia="宋体" w:cs="Times New Roman"/>
          <w:color w:val="auto"/>
          <w:sz w:val="24"/>
          <w:szCs w:val="24"/>
          <w:highlight w:val="none"/>
          <w:u w:val="none"/>
          <w:lang w:val="en-US" w:eastAsia="zh-CN"/>
        </w:rPr>
        <w:t>4</w:t>
      </w:r>
      <w:r>
        <w:rPr>
          <w:rFonts w:hint="eastAsia" w:ascii="Times New Roman" w:hAnsi="Times New Roman" w:eastAsia="宋体" w:cs="Times New Roman"/>
          <w:color w:val="auto"/>
          <w:sz w:val="24"/>
          <w:szCs w:val="24"/>
          <w:highlight w:val="none"/>
          <w:u w:val="none"/>
        </w:rPr>
        <w:t>家的，不得评审</w:t>
      </w:r>
      <w:r>
        <w:rPr>
          <w:rFonts w:hint="eastAsia" w:ascii="Times New Roman" w:hAnsi="Times New Roman" w:eastAsia="宋体" w:cs="Times New Roman"/>
          <w:color w:val="auto"/>
          <w:sz w:val="24"/>
          <w:szCs w:val="24"/>
          <w:highlight w:val="none"/>
          <w:u w:val="none"/>
          <w:lang w:eastAsia="zh-CN"/>
        </w:rPr>
        <w:t>；</w:t>
      </w:r>
      <w:r>
        <w:rPr>
          <w:rFonts w:hint="eastAsia" w:ascii="宋体" w:hAnsi="宋体" w:eastAsia="宋体" w:cs="Times New Roman"/>
          <w:bCs/>
          <w:color w:val="auto"/>
          <w:sz w:val="24"/>
          <w:szCs w:val="24"/>
          <w:highlight w:val="none"/>
          <w:u w:val="none"/>
          <w:lang w:val="en-US" w:eastAsia="zh-CN"/>
        </w:rPr>
        <w:t>二标段：补充平台车辆租赁服务项目，</w:t>
      </w:r>
      <w:r>
        <w:rPr>
          <w:rFonts w:hint="eastAsia" w:ascii="Times New Roman" w:hAnsi="Times New Roman" w:eastAsia="宋体" w:cs="Times New Roman"/>
          <w:color w:val="auto"/>
          <w:sz w:val="24"/>
          <w:szCs w:val="24"/>
          <w:highlight w:val="none"/>
          <w:u w:val="none"/>
        </w:rPr>
        <w:t>合格供应商不足</w:t>
      </w:r>
      <w:r>
        <w:rPr>
          <w:rFonts w:hint="eastAsia" w:ascii="Times New Roman" w:hAnsi="Times New Roman" w:eastAsia="宋体" w:cs="Times New Roman"/>
          <w:color w:val="auto"/>
          <w:sz w:val="24"/>
          <w:szCs w:val="24"/>
          <w:highlight w:val="none"/>
          <w:u w:val="none"/>
          <w:lang w:val="en-US" w:eastAsia="zh-CN"/>
        </w:rPr>
        <w:t>5</w:t>
      </w:r>
      <w:r>
        <w:rPr>
          <w:rFonts w:hint="eastAsia" w:ascii="Times New Roman" w:hAnsi="Times New Roman" w:eastAsia="宋体" w:cs="Times New Roman"/>
          <w:color w:val="auto"/>
          <w:sz w:val="24"/>
          <w:szCs w:val="24"/>
          <w:highlight w:val="none"/>
          <w:u w:val="none"/>
        </w:rPr>
        <w:t>家的，不得评审。</w:t>
      </w:r>
    </w:p>
    <w:p w14:paraId="0D4C868F">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r>
        <w:rPr>
          <w:rFonts w:hint="eastAsia" w:cs="宋体"/>
          <w:color w:val="auto"/>
          <w:sz w:val="24"/>
          <w:szCs w:val="24"/>
          <w:highlight w:val="none"/>
          <w:u w:val="none"/>
        </w:rPr>
        <w:t>评审工作</w:t>
      </w:r>
      <w:bookmarkEnd w:id="421"/>
      <w:bookmarkEnd w:id="422"/>
      <w:bookmarkEnd w:id="423"/>
      <w:bookmarkEnd w:id="424"/>
      <w:bookmarkEnd w:id="425"/>
      <w:bookmarkEnd w:id="426"/>
    </w:p>
    <w:p w14:paraId="4CCE4049">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评审小组</w:t>
      </w:r>
    </w:p>
    <w:p w14:paraId="656A1630">
      <w:pPr>
        <w:pageBreakBefore w:val="0"/>
        <w:numPr>
          <w:ilvl w:val="0"/>
          <w:numId w:val="7"/>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评审工作由采购人依法组建的评审小组负责，对所有供应商的响应文件进行审评，并按评审方法规定的方式确定入围供应商。</w:t>
      </w:r>
    </w:p>
    <w:p w14:paraId="4F9E9421">
      <w:pPr>
        <w:pageBreakBefore w:val="0"/>
        <w:numPr>
          <w:ilvl w:val="0"/>
          <w:numId w:val="7"/>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评审小组由采购人代表和评审专家组成，成员人数为7人以上单数，其中评审专家不得少于成员总数的三分之二。</w:t>
      </w:r>
    </w:p>
    <w:p w14:paraId="5F39A124">
      <w:pPr>
        <w:pageBreakBefore w:val="0"/>
        <w:numPr>
          <w:ilvl w:val="0"/>
          <w:numId w:val="7"/>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评审专家对本单位的采购项目只能作为采购人代表参与评审，对技术复杂、专业性强的采购项目，通过随机方式难以确定合适评审专家的情形除外。</w:t>
      </w:r>
    </w:p>
    <w:p w14:paraId="30C35BD4">
      <w:pPr>
        <w:pageBreakBefore w:val="0"/>
        <w:numPr>
          <w:ilvl w:val="0"/>
          <w:numId w:val="7"/>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采购代理机构工作人员不得参加由本机构代理的政府采购项目的评审。</w:t>
      </w:r>
    </w:p>
    <w:p w14:paraId="47FE27F7">
      <w:pPr>
        <w:pageBreakBefore w:val="0"/>
        <w:numPr>
          <w:ilvl w:val="0"/>
          <w:numId w:val="7"/>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评审小组成员名单在评审结果公告前应当保密。</w:t>
      </w:r>
    </w:p>
    <w:p w14:paraId="7A96E7AC">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评审小组及其成员不得有下列行为：</w:t>
      </w:r>
    </w:p>
    <w:p w14:paraId="2A996ADB">
      <w:pPr>
        <w:pageBreakBefore w:val="0"/>
        <w:numPr>
          <w:ilvl w:val="0"/>
          <w:numId w:val="8"/>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确定参与评审至评审结束前私自接触供应商；</w:t>
      </w:r>
    </w:p>
    <w:p w14:paraId="0D6139B7">
      <w:pPr>
        <w:pageBreakBefore w:val="0"/>
        <w:numPr>
          <w:ilvl w:val="0"/>
          <w:numId w:val="8"/>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接受供应商提出的与响应文件不一致的澄清或者说明（对于响应文件中含义不明确、同类问题表述不一致或者有明显文字和计算错误的内容，评审小组以书面形式要求供应商作出必要的澄清、说明或者补正的除外）；</w:t>
      </w:r>
    </w:p>
    <w:p w14:paraId="7290F4FF">
      <w:pPr>
        <w:pageBreakBefore w:val="0"/>
        <w:numPr>
          <w:ilvl w:val="0"/>
          <w:numId w:val="8"/>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违反评审纪律发表倾向性意见或者征询采购人的倾向性意见；</w:t>
      </w:r>
    </w:p>
    <w:p w14:paraId="1BFF21B3">
      <w:pPr>
        <w:pageBreakBefore w:val="0"/>
        <w:numPr>
          <w:ilvl w:val="0"/>
          <w:numId w:val="8"/>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对需要专业判断的主观评审因素协商评分；</w:t>
      </w:r>
    </w:p>
    <w:p w14:paraId="093E9DEB">
      <w:pPr>
        <w:pageBreakBefore w:val="0"/>
        <w:numPr>
          <w:ilvl w:val="0"/>
          <w:numId w:val="8"/>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在评审过程中擅离职守，影响评审程序正常进行的；</w:t>
      </w:r>
    </w:p>
    <w:p w14:paraId="7643ED48">
      <w:pPr>
        <w:pageBreakBefore w:val="0"/>
        <w:numPr>
          <w:ilvl w:val="0"/>
          <w:numId w:val="8"/>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记录、复制或者带走任何评审资料；</w:t>
      </w:r>
    </w:p>
    <w:p w14:paraId="57BB43CA">
      <w:pPr>
        <w:pageBreakBefore w:val="0"/>
        <w:numPr>
          <w:ilvl w:val="0"/>
          <w:numId w:val="8"/>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其他不遵守评审纪律的行为。</w:t>
      </w:r>
    </w:p>
    <w:p w14:paraId="5E43F2DA">
      <w:pPr>
        <w:pageBreakBefore w:val="0"/>
        <w:tabs>
          <w:tab w:val="left" w:pos="720"/>
        </w:tabs>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评审小组成员有本章第5.3.2项第（1）至（5）行为之一的，其评审意见无效，并不得获取评审劳务报酬。</w:t>
      </w:r>
    </w:p>
    <w:p w14:paraId="7D2887D2">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评审小组成员对需要共同认定的事项存在争议的，应当按照少数服从多数的原则作出结论。持不同意见的评审小组成员应当在评审报告上签署不同意见及理由，否则视为同意评审报告。</w:t>
      </w:r>
    </w:p>
    <w:p w14:paraId="0B17287C">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评审</w:t>
      </w:r>
    </w:p>
    <w:p w14:paraId="4F816D75">
      <w:pPr>
        <w:pageBreakBefore w:val="0"/>
        <w:numPr>
          <w:ilvl w:val="0"/>
          <w:numId w:val="9"/>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评审小组按照第三章评审方法规定的方法、评审因素、标准和程序对响应文件进行评审。第三章评审方法没有规定的方法、评审因素和标准，不作为评审依据。</w:t>
      </w:r>
    </w:p>
    <w:p w14:paraId="034650C7">
      <w:pPr>
        <w:pageBreakBefore w:val="0"/>
        <w:numPr>
          <w:ilvl w:val="0"/>
          <w:numId w:val="9"/>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bookmarkStart w:id="427" w:name="_Toc27176"/>
      <w:bookmarkStart w:id="428" w:name="_Toc7396"/>
      <w:bookmarkStart w:id="429" w:name="_Toc25755"/>
      <w:bookmarkStart w:id="430" w:name="_Toc27622"/>
      <w:bookmarkStart w:id="431" w:name="_Toc10927"/>
      <w:bookmarkStart w:id="432" w:name="_Toc27170"/>
      <w:bookmarkStart w:id="433" w:name="_Toc12131"/>
      <w:bookmarkStart w:id="434" w:name="_Toc608"/>
      <w:bookmarkStart w:id="435" w:name="_Toc28834"/>
      <w:bookmarkStart w:id="436" w:name="_Toc25530"/>
      <w:bookmarkStart w:id="437" w:name="_Toc12609"/>
      <w:bookmarkStart w:id="438" w:name="_Toc11769"/>
      <w:r>
        <w:rPr>
          <w:rFonts w:hint="eastAsia"/>
          <w:color w:val="auto"/>
          <w:kern w:val="0"/>
          <w:sz w:val="24"/>
          <w:szCs w:val="24"/>
          <w:highlight w:val="none"/>
          <w:u w:val="none"/>
        </w:rPr>
        <w:t>评审完成后，评审小组应当向采购人提交书面评审报告和入围供应商名单。</w:t>
      </w:r>
    </w:p>
    <w:p w14:paraId="6CB91EAB">
      <w:pPr>
        <w:rPr>
          <w:color w:val="auto"/>
          <w:kern w:val="0"/>
          <w:sz w:val="24"/>
          <w:szCs w:val="24"/>
          <w:highlight w:val="none"/>
          <w:u w:val="none"/>
        </w:rPr>
      </w:pPr>
      <w:r>
        <w:rPr>
          <w:rFonts w:hint="eastAsia"/>
          <w:color w:val="auto"/>
          <w:kern w:val="0"/>
          <w:sz w:val="24"/>
          <w:szCs w:val="24"/>
          <w:highlight w:val="none"/>
          <w:u w:val="none"/>
        </w:rPr>
        <w:br w:type="page"/>
      </w:r>
    </w:p>
    <w:p w14:paraId="333658FB">
      <w:pPr>
        <w:pStyle w:val="2"/>
      </w:pPr>
    </w:p>
    <w:p w14:paraId="7756CBAD">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439" w:name="_Toc108379348"/>
      <w:bookmarkStart w:id="440" w:name="_Toc1795"/>
      <w:bookmarkStart w:id="441" w:name="_Toc16842"/>
      <w:bookmarkStart w:id="442" w:name="_Toc32144"/>
      <w:r>
        <w:rPr>
          <w:rFonts w:hint="eastAsia" w:cs="宋体"/>
          <w:color w:val="auto"/>
          <w:sz w:val="24"/>
          <w:szCs w:val="24"/>
          <w:highlight w:val="none"/>
          <w:u w:val="none"/>
        </w:rPr>
        <w:t>保密及其它注意事项</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34572A7E">
      <w:pPr>
        <w:pageBreakBefore w:val="0"/>
        <w:numPr>
          <w:ilvl w:val="2"/>
          <w:numId w:val="3"/>
        </w:numPr>
        <w:wordWrap w:val="0"/>
        <w:overflowPunct/>
        <w:bidi w:val="0"/>
        <w:spacing w:line="360" w:lineRule="auto"/>
        <w:ind w:firstLine="480" w:firstLineChars="200"/>
        <w:rPr>
          <w:color w:val="auto"/>
          <w:sz w:val="24"/>
          <w:szCs w:val="24"/>
          <w:highlight w:val="none"/>
          <w:u w:val="none"/>
        </w:rPr>
      </w:pPr>
      <w:bookmarkStart w:id="443" w:name="_Toc312133548"/>
      <w:r>
        <w:rPr>
          <w:rFonts w:hint="eastAsia"/>
          <w:color w:val="auto"/>
          <w:sz w:val="24"/>
          <w:szCs w:val="24"/>
          <w:highlight w:val="none"/>
          <w:u w:val="none"/>
        </w:rPr>
        <w:t>评审是采购工作的重要环节，评审工作在评审小组内独立进行。</w:t>
      </w:r>
    </w:p>
    <w:p w14:paraId="01D37C86">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评审小组将遵照规定的评审方法，公正、平等地对待所有供应商。</w:t>
      </w:r>
    </w:p>
    <w:p w14:paraId="7205F899">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在开标、评审期间，供应商不得向评委询问评审情况，不得进行旨在影响评审结果的活动。否则其响应文件可能被拒绝。</w:t>
      </w:r>
    </w:p>
    <w:p w14:paraId="589EA98A">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为保证评审的公正性，开标后直至授予框架协议，评委不得与供应商私下交换意见。</w:t>
      </w:r>
    </w:p>
    <w:p w14:paraId="73DEE3D0">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在评审工作结束后，凡与评审情况有接触的任何人不得擅自将评审情况扩散出评审人员之外。</w:t>
      </w:r>
    </w:p>
    <w:p w14:paraId="6CCB5760">
      <w:pPr>
        <w:pStyle w:val="2"/>
        <w:pageBreakBefore w:val="0"/>
        <w:numPr>
          <w:ilvl w:val="0"/>
          <w:numId w:val="3"/>
        </w:numPr>
        <w:tabs>
          <w:tab w:val="left" w:pos="721"/>
          <w:tab w:val="left" w:pos="2880"/>
          <w:tab w:val="left" w:pos="3780"/>
        </w:tabs>
        <w:wordWrap w:val="0"/>
        <w:overflowPunct/>
        <w:bidi w:val="0"/>
        <w:spacing w:before="0" w:after="0" w:line="360" w:lineRule="auto"/>
        <w:ind w:left="0" w:firstLine="0"/>
        <w:jc w:val="both"/>
        <w:rPr>
          <w:rFonts w:ascii="宋体" w:hAnsi="宋体" w:eastAsia="宋体" w:cs="宋体"/>
          <w:color w:val="auto"/>
          <w:sz w:val="24"/>
          <w:szCs w:val="24"/>
          <w:highlight w:val="none"/>
          <w:u w:val="none"/>
        </w:rPr>
      </w:pPr>
      <w:bookmarkStart w:id="444" w:name="_Toc108379349"/>
      <w:bookmarkStart w:id="445" w:name="_Toc12657"/>
      <w:bookmarkStart w:id="446" w:name="_Toc28761"/>
      <w:r>
        <w:rPr>
          <w:rFonts w:hint="eastAsia" w:ascii="宋体" w:hAnsi="宋体" w:eastAsia="宋体" w:cs="宋体"/>
          <w:color w:val="auto"/>
          <w:sz w:val="24"/>
          <w:szCs w:val="24"/>
          <w:highlight w:val="none"/>
          <w:u w:val="none"/>
        </w:rPr>
        <w:t>授予</w:t>
      </w:r>
      <w:bookmarkEnd w:id="443"/>
      <w:r>
        <w:rPr>
          <w:rFonts w:hint="eastAsia" w:ascii="宋体" w:hAnsi="宋体" w:eastAsia="宋体" w:cs="宋体"/>
          <w:color w:val="auto"/>
          <w:sz w:val="24"/>
          <w:szCs w:val="24"/>
          <w:highlight w:val="none"/>
          <w:u w:val="none"/>
        </w:rPr>
        <w:t>框架协议</w:t>
      </w:r>
      <w:bookmarkEnd w:id="444"/>
      <w:bookmarkEnd w:id="445"/>
      <w:bookmarkEnd w:id="446"/>
    </w:p>
    <w:p w14:paraId="6068294D">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447" w:name="_Toc12598"/>
      <w:bookmarkStart w:id="448" w:name="_Toc20199"/>
      <w:bookmarkStart w:id="449" w:name="_Toc27632"/>
      <w:bookmarkStart w:id="450" w:name="_Toc9601"/>
      <w:bookmarkStart w:id="451" w:name="_Toc13743"/>
      <w:bookmarkStart w:id="452" w:name="_Toc22245"/>
      <w:bookmarkStart w:id="453" w:name="_Toc6320"/>
      <w:bookmarkStart w:id="454" w:name="_Toc13599"/>
      <w:bookmarkStart w:id="455" w:name="_Toc3574"/>
      <w:bookmarkStart w:id="456" w:name="_Toc108379350"/>
      <w:bookmarkStart w:id="457" w:name="_Toc24587"/>
      <w:bookmarkStart w:id="458" w:name="_Toc32241"/>
      <w:bookmarkStart w:id="459" w:name="_Toc21756"/>
      <w:bookmarkStart w:id="460" w:name="_Toc15386"/>
      <w:bookmarkStart w:id="461" w:name="_Toc22971"/>
      <w:bookmarkStart w:id="462" w:name="_Toc5223"/>
      <w:bookmarkStart w:id="463" w:name="_Toc22088"/>
      <w:bookmarkStart w:id="464" w:name="_Toc26604"/>
      <w:bookmarkStart w:id="465" w:name="_Toc22457"/>
      <w:bookmarkStart w:id="466" w:name="_Toc17818"/>
      <w:bookmarkStart w:id="467" w:name="_Toc23900"/>
      <w:bookmarkStart w:id="468" w:name="_Toc30644"/>
      <w:r>
        <w:rPr>
          <w:rFonts w:hint="eastAsia" w:cs="宋体"/>
          <w:color w:val="auto"/>
          <w:sz w:val="24"/>
          <w:szCs w:val="24"/>
          <w:highlight w:val="none"/>
          <w:u w:val="none"/>
        </w:rPr>
        <w:t>入围结果公告</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bookmarkEnd w:id="463"/>
    <w:bookmarkEnd w:id="464"/>
    <w:bookmarkEnd w:id="465"/>
    <w:bookmarkEnd w:id="466"/>
    <w:bookmarkEnd w:id="467"/>
    <w:bookmarkEnd w:id="468"/>
    <w:p w14:paraId="5E0EB5A1">
      <w:pPr>
        <w:pageBreakBefore w:val="0"/>
        <w:numPr>
          <w:ilvl w:val="2"/>
          <w:numId w:val="3"/>
        </w:numPr>
        <w:wordWrap w:val="0"/>
        <w:overflowPunct/>
        <w:bidi w:val="0"/>
        <w:spacing w:line="360" w:lineRule="auto"/>
        <w:ind w:firstLine="480" w:firstLineChars="200"/>
        <w:rPr>
          <w:color w:val="auto"/>
          <w:sz w:val="24"/>
          <w:szCs w:val="24"/>
          <w:highlight w:val="none"/>
          <w:u w:val="none"/>
        </w:rPr>
      </w:pPr>
      <w:bookmarkStart w:id="469" w:name="_Toc22820"/>
      <w:bookmarkStart w:id="470" w:name="_Toc18763"/>
      <w:bookmarkStart w:id="471" w:name="_Toc6603"/>
      <w:bookmarkStart w:id="472" w:name="_Toc16455"/>
      <w:bookmarkStart w:id="473" w:name="_Toc16406"/>
      <w:bookmarkStart w:id="474" w:name="_Toc23610"/>
      <w:bookmarkStart w:id="475" w:name="_Toc12224"/>
      <w:bookmarkStart w:id="476" w:name="_Toc22911"/>
      <w:bookmarkStart w:id="477" w:name="_Toc29117"/>
      <w:bookmarkStart w:id="478" w:name="_Toc21786"/>
      <w:bookmarkStart w:id="479" w:name="_Toc22373"/>
      <w:bookmarkStart w:id="480" w:name="_Toc25621"/>
      <w:r>
        <w:rPr>
          <w:rFonts w:hint="eastAsia"/>
          <w:color w:val="auto"/>
          <w:sz w:val="24"/>
          <w:szCs w:val="24"/>
          <w:highlight w:val="none"/>
          <w:u w:val="none"/>
        </w:rPr>
        <w:t>采购代理机构应当在评审结束起2个工作日内，在省级以上指定的媒体上发布入围结果公告。公告期限为1个工作日。</w:t>
      </w:r>
    </w:p>
    <w:p w14:paraId="304BD195">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入围结果公告内容包括采购项目名称、编号、采购人的名称、地址、联系人和联系方式、入围供应商名称、地址及排序、主要采购内容及质量，入围单价、评审小组成员名单、采购代理服务收费标准、公告期限及其他事项。</w:t>
      </w:r>
    </w:p>
    <w:p w14:paraId="1C69E92A">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入围通知书发出后，采购人不得违法改变入围结果，入围供应商无正当理由不得放弃入围。</w:t>
      </w:r>
    </w:p>
    <w:p w14:paraId="39C20A65">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481" w:name="_Toc108379351"/>
      <w:bookmarkStart w:id="482" w:name="_Toc19038"/>
      <w:bookmarkStart w:id="483" w:name="_Toc32044"/>
      <w:bookmarkStart w:id="484" w:name="_Toc30507"/>
      <w:r>
        <w:rPr>
          <w:rFonts w:hint="eastAsia" w:cs="宋体"/>
          <w:color w:val="auto"/>
          <w:sz w:val="24"/>
          <w:szCs w:val="24"/>
          <w:highlight w:val="none"/>
          <w:u w:val="none"/>
        </w:rPr>
        <w:t>取消入围资格或者</w:t>
      </w:r>
      <w:r>
        <w:rPr>
          <w:rFonts w:hint="eastAsia" w:cs="宋体"/>
          <w:color w:val="auto"/>
          <w:kern w:val="0"/>
          <w:sz w:val="24"/>
          <w:szCs w:val="24"/>
          <w:highlight w:val="none"/>
          <w:u w:val="none"/>
        </w:rPr>
        <w:t>解除框架协议</w:t>
      </w:r>
      <w:bookmarkEnd w:id="469"/>
      <w:bookmarkEnd w:id="470"/>
      <w:bookmarkEnd w:id="471"/>
      <w:r>
        <w:rPr>
          <w:rFonts w:hint="eastAsia" w:cs="宋体"/>
          <w:color w:val="auto"/>
          <w:kern w:val="0"/>
          <w:sz w:val="24"/>
          <w:szCs w:val="24"/>
          <w:highlight w:val="none"/>
          <w:u w:val="none"/>
        </w:rPr>
        <w:t>的情形</w:t>
      </w:r>
      <w:bookmarkEnd w:id="472"/>
      <w:bookmarkEnd w:id="473"/>
      <w:bookmarkEnd w:id="481"/>
      <w:bookmarkEnd w:id="482"/>
      <w:bookmarkEnd w:id="483"/>
      <w:bookmarkEnd w:id="484"/>
    </w:p>
    <w:p w14:paraId="083FE187">
      <w:pPr>
        <w:pageBreakBefore w:val="0"/>
        <w:numPr>
          <w:ilvl w:val="2"/>
          <w:numId w:val="3"/>
        </w:numPr>
        <w:wordWrap w:val="0"/>
        <w:overflowPunct/>
        <w:bidi w:val="0"/>
        <w:spacing w:line="360" w:lineRule="auto"/>
        <w:ind w:firstLine="480" w:firstLineChars="200"/>
        <w:rPr>
          <w:color w:val="auto"/>
          <w:sz w:val="24"/>
          <w:szCs w:val="24"/>
          <w:highlight w:val="none"/>
          <w:u w:val="none"/>
        </w:rPr>
      </w:pPr>
      <w:bookmarkStart w:id="485" w:name="_Toc10523"/>
      <w:bookmarkStart w:id="486" w:name="_Toc3263"/>
      <w:r>
        <w:rPr>
          <w:rFonts w:hint="eastAsia"/>
          <w:color w:val="auto"/>
          <w:sz w:val="24"/>
          <w:szCs w:val="24"/>
          <w:highlight w:val="none"/>
          <w:u w:val="none"/>
        </w:rPr>
        <w:t>入围供应商有下列情形之一，尚未签订框架协议的，取消其入围资格；已经签订框架协议的，解除与其签订的框架协议： </w:t>
      </w:r>
    </w:p>
    <w:p w14:paraId="59888DB3">
      <w:pPr>
        <w:pageBreakBefore w:val="0"/>
        <w:widowControl/>
        <w:numPr>
          <w:ilvl w:val="0"/>
          <w:numId w:val="10"/>
        </w:numPr>
        <w:wordWrap w:val="0"/>
        <w:overflowPunct/>
        <w:bidi w:val="0"/>
        <w:spacing w:line="360" w:lineRule="auto"/>
        <w:ind w:left="0" w:firstLine="480" w:firstLineChars="200"/>
        <w:rPr>
          <w:color w:val="auto"/>
          <w:kern w:val="0"/>
          <w:sz w:val="24"/>
          <w:szCs w:val="24"/>
          <w:highlight w:val="none"/>
          <w:u w:val="none"/>
          <w:lang w:bidi="ar"/>
        </w:rPr>
      </w:pPr>
      <w:r>
        <w:rPr>
          <w:rFonts w:hint="eastAsia"/>
          <w:color w:val="auto"/>
          <w:kern w:val="0"/>
          <w:sz w:val="24"/>
          <w:szCs w:val="24"/>
          <w:highlight w:val="none"/>
          <w:u w:val="none"/>
          <w:shd w:val="clear" w:color="auto" w:fill="FFFFFF"/>
          <w:lang w:bidi="ar"/>
        </w:rPr>
        <w:t>恶意串通谋取入围或者合同成交的； </w:t>
      </w:r>
    </w:p>
    <w:p w14:paraId="2FA6E3FF">
      <w:pPr>
        <w:pageBreakBefore w:val="0"/>
        <w:widowControl/>
        <w:numPr>
          <w:ilvl w:val="0"/>
          <w:numId w:val="10"/>
        </w:numPr>
        <w:wordWrap w:val="0"/>
        <w:overflowPunct/>
        <w:bidi w:val="0"/>
        <w:spacing w:line="360" w:lineRule="auto"/>
        <w:ind w:left="0" w:firstLine="480" w:firstLineChars="200"/>
        <w:rPr>
          <w:color w:val="auto"/>
          <w:kern w:val="0"/>
          <w:sz w:val="24"/>
          <w:szCs w:val="24"/>
          <w:highlight w:val="none"/>
          <w:u w:val="none"/>
          <w:lang w:bidi="ar"/>
        </w:rPr>
      </w:pPr>
      <w:r>
        <w:rPr>
          <w:rFonts w:hint="eastAsia"/>
          <w:color w:val="auto"/>
          <w:kern w:val="0"/>
          <w:sz w:val="24"/>
          <w:szCs w:val="24"/>
          <w:highlight w:val="none"/>
          <w:u w:val="none"/>
          <w:shd w:val="clear" w:color="auto" w:fill="FFFFFF"/>
          <w:lang w:bidi="ar"/>
        </w:rPr>
        <w:t>提供虚假材料谋取入围或者合同成交的； </w:t>
      </w:r>
    </w:p>
    <w:p w14:paraId="02776C17">
      <w:pPr>
        <w:pageBreakBefore w:val="0"/>
        <w:widowControl/>
        <w:numPr>
          <w:ilvl w:val="0"/>
          <w:numId w:val="10"/>
        </w:numPr>
        <w:wordWrap w:val="0"/>
        <w:overflowPunct/>
        <w:bidi w:val="0"/>
        <w:spacing w:line="360" w:lineRule="auto"/>
        <w:ind w:left="0" w:firstLine="480" w:firstLineChars="200"/>
        <w:rPr>
          <w:color w:val="auto"/>
          <w:kern w:val="0"/>
          <w:sz w:val="24"/>
          <w:szCs w:val="24"/>
          <w:highlight w:val="none"/>
          <w:u w:val="none"/>
          <w:lang w:bidi="ar"/>
        </w:rPr>
      </w:pPr>
      <w:r>
        <w:rPr>
          <w:rFonts w:hint="eastAsia"/>
          <w:color w:val="auto"/>
          <w:kern w:val="0"/>
          <w:sz w:val="24"/>
          <w:szCs w:val="24"/>
          <w:highlight w:val="none"/>
          <w:u w:val="none"/>
          <w:shd w:val="clear" w:color="auto" w:fill="FFFFFF"/>
          <w:lang w:bidi="ar"/>
        </w:rPr>
        <w:t>无正当理由拒不接受合同授予的； </w:t>
      </w:r>
    </w:p>
    <w:p w14:paraId="4632EFE1">
      <w:pPr>
        <w:pageBreakBefore w:val="0"/>
        <w:widowControl/>
        <w:numPr>
          <w:ilvl w:val="0"/>
          <w:numId w:val="10"/>
        </w:numPr>
        <w:wordWrap w:val="0"/>
        <w:overflowPunct/>
        <w:bidi w:val="0"/>
        <w:spacing w:line="360" w:lineRule="auto"/>
        <w:ind w:left="0" w:firstLine="480" w:firstLineChars="200"/>
        <w:rPr>
          <w:color w:val="auto"/>
          <w:kern w:val="0"/>
          <w:sz w:val="24"/>
          <w:szCs w:val="24"/>
          <w:highlight w:val="none"/>
          <w:u w:val="none"/>
          <w:lang w:bidi="ar"/>
        </w:rPr>
      </w:pPr>
      <w:r>
        <w:rPr>
          <w:rFonts w:hint="eastAsia"/>
          <w:color w:val="auto"/>
          <w:kern w:val="0"/>
          <w:sz w:val="24"/>
          <w:szCs w:val="24"/>
          <w:highlight w:val="none"/>
          <w:u w:val="none"/>
          <w:shd w:val="clear" w:color="auto" w:fill="FFFFFF"/>
          <w:lang w:bidi="ar"/>
        </w:rPr>
        <w:t>不履行合同义务或者履行合同义务不符合约定，经采购人请求履行后仍不履行或者仍未按约定履行的； </w:t>
      </w:r>
    </w:p>
    <w:p w14:paraId="2F83EFD3">
      <w:pPr>
        <w:pageBreakBefore w:val="0"/>
        <w:widowControl/>
        <w:numPr>
          <w:ilvl w:val="0"/>
          <w:numId w:val="10"/>
        </w:numPr>
        <w:wordWrap w:val="0"/>
        <w:overflowPunct/>
        <w:bidi w:val="0"/>
        <w:spacing w:line="360" w:lineRule="auto"/>
        <w:ind w:left="0" w:firstLine="480" w:firstLineChars="200"/>
        <w:rPr>
          <w:color w:val="auto"/>
          <w:kern w:val="0"/>
          <w:sz w:val="24"/>
          <w:szCs w:val="24"/>
          <w:highlight w:val="none"/>
          <w:u w:val="none"/>
          <w:lang w:bidi="ar"/>
        </w:rPr>
      </w:pPr>
      <w:r>
        <w:rPr>
          <w:rFonts w:hint="eastAsia"/>
          <w:color w:val="auto"/>
          <w:kern w:val="0"/>
          <w:sz w:val="24"/>
          <w:szCs w:val="24"/>
          <w:highlight w:val="none"/>
          <w:u w:val="none"/>
          <w:shd w:val="clear" w:color="auto" w:fill="FFFFFF"/>
          <w:lang w:bidi="ar"/>
        </w:rPr>
        <w:t>框架协议有效期内，因违法行为被禁止或限制参加政府采购活动的； </w:t>
      </w:r>
    </w:p>
    <w:p w14:paraId="7FFC19FA">
      <w:pPr>
        <w:pageBreakBefore w:val="0"/>
        <w:widowControl/>
        <w:numPr>
          <w:ilvl w:val="0"/>
          <w:numId w:val="10"/>
        </w:numPr>
        <w:wordWrap w:val="0"/>
        <w:overflowPunct/>
        <w:bidi w:val="0"/>
        <w:spacing w:line="360" w:lineRule="auto"/>
        <w:ind w:left="0" w:firstLine="480" w:firstLineChars="200"/>
        <w:rPr>
          <w:color w:val="auto"/>
          <w:kern w:val="0"/>
          <w:sz w:val="24"/>
          <w:szCs w:val="24"/>
          <w:highlight w:val="none"/>
          <w:u w:val="none"/>
          <w:lang w:bidi="ar"/>
        </w:rPr>
      </w:pPr>
      <w:r>
        <w:rPr>
          <w:rFonts w:hint="eastAsia"/>
          <w:color w:val="auto"/>
          <w:kern w:val="0"/>
          <w:sz w:val="24"/>
          <w:szCs w:val="24"/>
          <w:highlight w:val="none"/>
          <w:u w:val="none"/>
          <w:shd w:val="clear" w:color="auto" w:fill="FFFFFF"/>
          <w:lang w:bidi="ar"/>
        </w:rPr>
        <w:t>框架协议约定的其他情形。 </w:t>
      </w:r>
    </w:p>
    <w:p w14:paraId="1437CBBB">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被取消入围资格或者被解除框架协议的供应商不得参加同一封闭式框架协议补充征集。</w:t>
      </w:r>
    </w:p>
    <w:p w14:paraId="72B46718">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因重大变故采购任务取消时，采购人有权拒绝任何供应商入围，且对受影响的供应商不承担任何责任。</w:t>
      </w:r>
    </w:p>
    <w:p w14:paraId="7489763A">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487" w:name="_Toc108379352"/>
      <w:bookmarkStart w:id="488" w:name="_Toc20010"/>
      <w:bookmarkStart w:id="489" w:name="_Toc16068"/>
      <w:bookmarkStart w:id="490" w:name="_Toc7333"/>
      <w:r>
        <w:rPr>
          <w:rFonts w:hint="eastAsia" w:cs="宋体"/>
          <w:color w:val="auto"/>
          <w:sz w:val="24"/>
          <w:szCs w:val="24"/>
          <w:highlight w:val="none"/>
          <w:u w:val="none"/>
        </w:rPr>
        <w:t>入围通知书</w:t>
      </w:r>
      <w:bookmarkEnd w:id="485"/>
      <w:bookmarkEnd w:id="486"/>
      <w:bookmarkEnd w:id="487"/>
      <w:bookmarkEnd w:id="488"/>
      <w:bookmarkEnd w:id="489"/>
      <w:bookmarkEnd w:id="490"/>
    </w:p>
    <w:p w14:paraId="17E1A5CF">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在公告入围结果的同时，采购人或者采购代理机构应当向入围供应商发出入围通知书，入围通知书将作为签订框架协议的依据。</w:t>
      </w:r>
    </w:p>
    <w:bookmarkEnd w:id="474"/>
    <w:bookmarkEnd w:id="475"/>
    <w:bookmarkEnd w:id="476"/>
    <w:bookmarkEnd w:id="477"/>
    <w:bookmarkEnd w:id="478"/>
    <w:bookmarkEnd w:id="479"/>
    <w:bookmarkEnd w:id="480"/>
    <w:p w14:paraId="0BCF745E">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491" w:name="_Toc14180"/>
      <w:bookmarkStart w:id="492" w:name="_Toc1040"/>
      <w:bookmarkStart w:id="493" w:name="_Toc16412"/>
      <w:bookmarkStart w:id="494" w:name="_Toc15209"/>
      <w:bookmarkStart w:id="495" w:name="_Toc25686"/>
      <w:bookmarkStart w:id="496" w:name="_Toc3815"/>
      <w:bookmarkStart w:id="497" w:name="_Toc9865"/>
      <w:bookmarkStart w:id="498" w:name="_Toc21924"/>
      <w:bookmarkStart w:id="499" w:name="_Toc14397"/>
      <w:bookmarkStart w:id="500" w:name="_Toc13906"/>
      <w:bookmarkStart w:id="501" w:name="_Toc26111"/>
      <w:bookmarkStart w:id="502" w:name="_Toc11136"/>
      <w:bookmarkStart w:id="503" w:name="_Toc9352"/>
      <w:bookmarkStart w:id="504" w:name="_Toc889"/>
      <w:bookmarkStart w:id="505" w:name="_Toc108379353"/>
      <w:bookmarkStart w:id="506" w:name="_Toc3979"/>
      <w:bookmarkStart w:id="507" w:name="_Toc15061"/>
      <w:bookmarkStart w:id="508" w:name="_Toc11221"/>
      <w:bookmarkStart w:id="509" w:name="_Toc26471"/>
      <w:bookmarkStart w:id="510" w:name="_Toc12530"/>
      <w:bookmarkStart w:id="511" w:name="_Toc1226"/>
      <w:bookmarkStart w:id="512" w:name="_Toc3376"/>
      <w:r>
        <w:rPr>
          <w:rFonts w:hint="eastAsia" w:cs="宋体"/>
          <w:color w:val="auto"/>
          <w:sz w:val="24"/>
          <w:szCs w:val="24"/>
          <w:highlight w:val="none"/>
          <w:u w:val="none"/>
        </w:rPr>
        <w:t>履约保证金</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14:paraId="5CFE6D19">
      <w:pPr>
        <w:pageBreakBefore w:val="0"/>
        <w:wordWrap w:val="0"/>
        <w:overflowPunct/>
        <w:bidi w:val="0"/>
        <w:spacing w:line="360" w:lineRule="auto"/>
        <w:ind w:firstLine="480" w:firstLineChars="200"/>
        <w:rPr>
          <w:color w:val="auto"/>
          <w:sz w:val="24"/>
          <w:szCs w:val="24"/>
          <w:highlight w:val="none"/>
          <w:u w:val="none"/>
        </w:rPr>
      </w:pPr>
      <w:bookmarkStart w:id="513" w:name="_Toc22384"/>
      <w:r>
        <w:rPr>
          <w:rFonts w:hint="eastAsia"/>
          <w:color w:val="auto"/>
          <w:sz w:val="24"/>
          <w:szCs w:val="24"/>
          <w:highlight w:val="none"/>
          <w:u w:val="none"/>
        </w:rPr>
        <w:t>不要求</w:t>
      </w:r>
    </w:p>
    <w:p w14:paraId="49DC9D70">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514" w:name="_Toc8166"/>
      <w:bookmarkStart w:id="515" w:name="_Toc10148"/>
      <w:bookmarkStart w:id="516" w:name="_Toc22876"/>
      <w:bookmarkStart w:id="517" w:name="_Toc27066"/>
      <w:bookmarkStart w:id="518" w:name="_Toc19856"/>
      <w:bookmarkStart w:id="519" w:name="_Toc108379354"/>
      <w:bookmarkStart w:id="520" w:name="_Toc396"/>
      <w:bookmarkStart w:id="521" w:name="_Toc2318"/>
      <w:bookmarkStart w:id="522" w:name="_Toc17849"/>
      <w:r>
        <w:rPr>
          <w:rFonts w:hint="eastAsia" w:cs="宋体"/>
          <w:color w:val="auto"/>
          <w:sz w:val="24"/>
          <w:szCs w:val="24"/>
          <w:highlight w:val="none"/>
          <w:u w:val="none"/>
        </w:rPr>
        <w:t>签订</w:t>
      </w:r>
      <w:bookmarkEnd w:id="507"/>
      <w:bookmarkEnd w:id="508"/>
      <w:bookmarkEnd w:id="509"/>
      <w:bookmarkEnd w:id="510"/>
      <w:bookmarkEnd w:id="511"/>
      <w:bookmarkEnd w:id="512"/>
      <w:bookmarkEnd w:id="513"/>
      <w:bookmarkEnd w:id="514"/>
      <w:bookmarkEnd w:id="515"/>
      <w:bookmarkEnd w:id="516"/>
      <w:r>
        <w:rPr>
          <w:rFonts w:hint="eastAsia" w:cs="宋体"/>
          <w:color w:val="auto"/>
          <w:sz w:val="24"/>
          <w:szCs w:val="24"/>
          <w:highlight w:val="none"/>
          <w:u w:val="none"/>
        </w:rPr>
        <w:t>框架协议</w:t>
      </w:r>
      <w:bookmarkEnd w:id="517"/>
      <w:bookmarkEnd w:id="518"/>
      <w:bookmarkEnd w:id="519"/>
      <w:bookmarkEnd w:id="520"/>
      <w:bookmarkEnd w:id="521"/>
      <w:bookmarkEnd w:id="522"/>
    </w:p>
    <w:p w14:paraId="6FF06D99">
      <w:pPr>
        <w:pageBreakBefore w:val="0"/>
        <w:wordWrap w:val="0"/>
        <w:overflowPunct/>
        <w:bidi w:val="0"/>
        <w:adjustRightInd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采购人应当自入围通知书发出之日起30日内和入围供应商签订框架协议。</w:t>
      </w:r>
    </w:p>
    <w:p w14:paraId="28FF6CE7">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所签订的框架协议不得对征集文件确定的事项和入围供应商响应文件作实质性修改。</w:t>
      </w:r>
    </w:p>
    <w:p w14:paraId="534974B4">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入围供应商拒绝与采购人签订框架协议或者不按本章第6.5.1项约定签订框架协议的，采购人将取消其入围资格，剩余入围供应商不足入围供应商总数70%且影响框架协议执行的，框架协议有效期内，采购人可以补充征集供应商。</w:t>
      </w:r>
    </w:p>
    <w:p w14:paraId="2D537D34">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征集文件、入围供应商的响应文件和澄清文件等，均应作为签约的合同文本的基础。</w:t>
      </w:r>
    </w:p>
    <w:p w14:paraId="3860EED8">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入围供应商无正当理由，不得主动放弃入围资格或者退出框架协议。</w:t>
      </w:r>
    </w:p>
    <w:p w14:paraId="2C039366">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采购人在框架协议签订后3个工作日内通过电子化交易系统将入围信息告知适用框架协议的所有采购人或者服务对象。</w:t>
      </w:r>
    </w:p>
    <w:p w14:paraId="17F8A3D7">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入围信息应当包括所有入围供应商的名称、地址、联系方式、入围产品信息和协议价格等内容。入围产品信息应当详细列明技术规格或者服务内容、服务标准等能反映产品质量特点的内容。</w:t>
      </w:r>
    </w:p>
    <w:p w14:paraId="73FBF4E6">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征集文件和入围信息在整个框架协议有效期内随时可供公众查阅。</w:t>
      </w:r>
    </w:p>
    <w:p w14:paraId="2CC75C18">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523" w:name="_Toc29498"/>
      <w:bookmarkStart w:id="524" w:name="_Toc108379355"/>
      <w:bookmarkStart w:id="525" w:name="_Toc31510"/>
      <w:bookmarkStart w:id="526" w:name="_Toc18515"/>
      <w:bookmarkStart w:id="527" w:name="_Toc31873"/>
      <w:bookmarkStart w:id="528" w:name="_Toc21375"/>
      <w:r>
        <w:rPr>
          <w:rFonts w:hint="eastAsia" w:cs="宋体"/>
          <w:color w:val="auto"/>
          <w:sz w:val="24"/>
          <w:szCs w:val="24"/>
          <w:highlight w:val="none"/>
          <w:u w:val="none"/>
        </w:rPr>
        <w:t>第二阶段成交供应商的选定</w:t>
      </w:r>
      <w:bookmarkEnd w:id="523"/>
      <w:bookmarkEnd w:id="524"/>
      <w:bookmarkEnd w:id="525"/>
      <w:bookmarkEnd w:id="526"/>
      <w:bookmarkEnd w:id="527"/>
      <w:bookmarkEnd w:id="528"/>
    </w:p>
    <w:p w14:paraId="40FFC73D">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由采购人按照供应商须知表6.6.1中规定的方式确定第二阶段成交供应商。</w:t>
      </w:r>
    </w:p>
    <w:p w14:paraId="2334DB64">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采购人应当在确定成交供应商后1个工作日内发布入围结果公告。包括采购人的名称、地址和联系方式、框架协议采购项目名称、编号、成交供应商名称、地址和成交金额、成交标的名称、主要服务内容及服务标准、数量、单价、公告期限。</w:t>
      </w:r>
    </w:p>
    <w:p w14:paraId="25762778">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服务对象采购框架协议约定的服务，应当将第二阶段的采购合同授予入围供应商。</w:t>
      </w:r>
    </w:p>
    <w:p w14:paraId="766E1FEF">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同一框架协议采购应当使用统一的采购合同文本，服务对象和供应商不得擅自改变框架协议约定的合同实质性条款。</w:t>
      </w:r>
    </w:p>
    <w:p w14:paraId="77897D64">
      <w:pPr>
        <w:pStyle w:val="4"/>
        <w:pageBreakBefore w:val="0"/>
        <w:numPr>
          <w:ilvl w:val="1"/>
          <w:numId w:val="3"/>
        </w:numPr>
        <w:wordWrap w:val="0"/>
        <w:overflowPunct/>
        <w:bidi w:val="0"/>
        <w:spacing w:before="0" w:after="0" w:line="360" w:lineRule="auto"/>
        <w:rPr>
          <w:rFonts w:cs="宋体"/>
          <w:color w:val="auto"/>
          <w:sz w:val="24"/>
          <w:szCs w:val="24"/>
          <w:highlight w:val="none"/>
          <w:u w:val="none"/>
        </w:rPr>
      </w:pPr>
      <w:bookmarkStart w:id="529" w:name="_Toc17795"/>
      <w:bookmarkStart w:id="530" w:name="_Toc1407"/>
      <w:bookmarkStart w:id="531" w:name="_Toc28294"/>
      <w:bookmarkStart w:id="532" w:name="_Toc108379356"/>
      <w:bookmarkStart w:id="533" w:name="_Toc28234"/>
      <w:bookmarkStart w:id="534" w:name="_Toc8674"/>
      <w:r>
        <w:rPr>
          <w:rFonts w:hint="eastAsia" w:cs="宋体"/>
          <w:color w:val="auto"/>
          <w:sz w:val="24"/>
          <w:szCs w:val="24"/>
          <w:highlight w:val="none"/>
          <w:u w:val="none"/>
        </w:rPr>
        <w:t>入围供应商的清退</w:t>
      </w:r>
      <w:bookmarkEnd w:id="529"/>
      <w:bookmarkEnd w:id="530"/>
      <w:bookmarkEnd w:id="531"/>
      <w:bookmarkEnd w:id="532"/>
      <w:r>
        <w:rPr>
          <w:rFonts w:hint="eastAsia" w:cs="宋体"/>
          <w:color w:val="auto"/>
          <w:sz w:val="24"/>
          <w:szCs w:val="24"/>
          <w:highlight w:val="none"/>
          <w:u w:val="none"/>
        </w:rPr>
        <w:t>和补充</w:t>
      </w:r>
      <w:bookmarkEnd w:id="533"/>
      <w:bookmarkEnd w:id="534"/>
    </w:p>
    <w:p w14:paraId="041E1087">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入围供应商无正当理由，不得主动放弃入围资格或者退出框架协议。</w:t>
      </w:r>
    </w:p>
    <w:p w14:paraId="4A0A2211">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入围供应商的清退</w:t>
      </w:r>
    </w:p>
    <w:p w14:paraId="3283C6CD">
      <w:pPr>
        <w:pageBreakBefore w:val="0"/>
        <w:wordWrap w:val="0"/>
        <w:overflowPunct/>
        <w:bidi w:val="0"/>
        <w:adjustRightInd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入围供应商有下列情形之一，尚未签订框架协议的，取消其入围资格；已经签订框架协议的，解除与其签订的框架协议： </w:t>
      </w:r>
    </w:p>
    <w:p w14:paraId="68192566">
      <w:pPr>
        <w:pageBreakBefore w:val="0"/>
        <w:wordWrap w:val="0"/>
        <w:overflowPunct/>
        <w:bidi w:val="0"/>
        <w:adjustRightInd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（一）恶意串通谋取入围或者合同成交的； </w:t>
      </w:r>
    </w:p>
    <w:p w14:paraId="0DE80D2B">
      <w:pPr>
        <w:pageBreakBefore w:val="0"/>
        <w:wordWrap w:val="0"/>
        <w:overflowPunct/>
        <w:bidi w:val="0"/>
        <w:adjustRightInd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（二）提供虚假材料谋取入围或者合同成交的； </w:t>
      </w:r>
    </w:p>
    <w:p w14:paraId="0A37860D">
      <w:pPr>
        <w:pageBreakBefore w:val="0"/>
        <w:wordWrap w:val="0"/>
        <w:overflowPunct/>
        <w:bidi w:val="0"/>
        <w:adjustRightInd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（三）无正当理由拒不接受合同授予的； </w:t>
      </w:r>
    </w:p>
    <w:p w14:paraId="50EA82FE">
      <w:pPr>
        <w:pageBreakBefore w:val="0"/>
        <w:wordWrap w:val="0"/>
        <w:overflowPunct/>
        <w:bidi w:val="0"/>
        <w:adjustRightInd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（四）不履行合同义务或者履行合同义务不符合约定，经采购人请求履行后仍不履行或者仍未按约定履行的； </w:t>
      </w:r>
    </w:p>
    <w:p w14:paraId="0EA92498">
      <w:pPr>
        <w:pageBreakBefore w:val="0"/>
        <w:wordWrap w:val="0"/>
        <w:overflowPunct/>
        <w:bidi w:val="0"/>
        <w:adjustRightInd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（五）框架协议有效期内，因违法行为被禁止或限制参加政府采购活动的； </w:t>
      </w:r>
    </w:p>
    <w:p w14:paraId="00500515">
      <w:pPr>
        <w:pageBreakBefore w:val="0"/>
        <w:wordWrap w:val="0"/>
        <w:overflowPunct/>
        <w:bidi w:val="0"/>
        <w:adjustRightInd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（六）框架协议约定的其他情形。 </w:t>
      </w:r>
    </w:p>
    <w:p w14:paraId="675FF38B">
      <w:pPr>
        <w:pageBreakBefore w:val="0"/>
        <w:wordWrap w:val="0"/>
        <w:overflowPunct/>
        <w:bidi w:val="0"/>
        <w:adjustRightInd w:val="0"/>
        <w:snapToGrid w:val="0"/>
        <w:spacing w:line="360" w:lineRule="auto"/>
        <w:ind w:firstLine="480" w:firstLineChars="200"/>
        <w:rPr>
          <w:color w:val="auto"/>
          <w:sz w:val="24"/>
          <w:szCs w:val="24"/>
          <w:highlight w:val="none"/>
          <w:u w:val="none"/>
        </w:rPr>
      </w:pPr>
      <w:r>
        <w:rPr>
          <w:rFonts w:hint="eastAsia"/>
          <w:color w:val="auto"/>
          <w:sz w:val="24"/>
          <w:szCs w:val="24"/>
          <w:highlight w:val="none"/>
          <w:u w:val="none"/>
        </w:rPr>
        <w:t>6.7.3除剩余入围供应商不足入围供应商总数70%且影响框架协议执行的情形外，框架协议有效期内，采购人不得补充征集供应商。</w:t>
      </w:r>
    </w:p>
    <w:p w14:paraId="2034E30D">
      <w:pPr>
        <w:pStyle w:val="2"/>
        <w:pageBreakBefore w:val="0"/>
        <w:numPr>
          <w:ilvl w:val="0"/>
          <w:numId w:val="3"/>
        </w:numPr>
        <w:tabs>
          <w:tab w:val="left" w:pos="721"/>
          <w:tab w:val="left" w:pos="2880"/>
          <w:tab w:val="left" w:pos="3780"/>
        </w:tabs>
        <w:wordWrap w:val="0"/>
        <w:overflowPunct/>
        <w:bidi w:val="0"/>
        <w:spacing w:before="0" w:after="0" w:line="360" w:lineRule="auto"/>
        <w:ind w:left="0" w:firstLine="0"/>
        <w:jc w:val="both"/>
        <w:rPr>
          <w:rFonts w:ascii="宋体" w:hAnsi="宋体" w:eastAsia="宋体" w:cs="宋体"/>
          <w:color w:val="auto"/>
          <w:sz w:val="24"/>
          <w:szCs w:val="24"/>
          <w:highlight w:val="none"/>
          <w:u w:val="none"/>
        </w:rPr>
      </w:pPr>
      <w:bookmarkStart w:id="535" w:name="_Toc22996"/>
      <w:bookmarkStart w:id="536" w:name="_Toc18707"/>
      <w:bookmarkStart w:id="537" w:name="_Toc108379357"/>
      <w:r>
        <w:rPr>
          <w:rFonts w:hint="eastAsia" w:ascii="宋体" w:hAnsi="宋体" w:eastAsia="宋体" w:cs="宋体"/>
          <w:color w:val="auto"/>
          <w:sz w:val="24"/>
          <w:szCs w:val="24"/>
          <w:highlight w:val="none"/>
          <w:u w:val="none"/>
        </w:rPr>
        <w:t>采购代理服务费</w:t>
      </w:r>
      <w:bookmarkEnd w:id="535"/>
      <w:bookmarkEnd w:id="536"/>
      <w:bookmarkEnd w:id="537"/>
    </w:p>
    <w:p w14:paraId="5D4DA843">
      <w:pPr>
        <w:pageBreakBefore w:val="0"/>
        <w:numPr>
          <w:ilvl w:val="2"/>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shd w:val="clear" w:color="auto" w:fill="FFFFFF"/>
        </w:rPr>
        <w:t>入围单位在领取入围通知书时，按照协议约定应向采购代理机构支付采购代理服务费。</w:t>
      </w:r>
    </w:p>
    <w:p w14:paraId="51281745">
      <w:pPr>
        <w:pStyle w:val="2"/>
        <w:pageBreakBefore w:val="0"/>
        <w:numPr>
          <w:ilvl w:val="0"/>
          <w:numId w:val="3"/>
        </w:numPr>
        <w:tabs>
          <w:tab w:val="left" w:pos="721"/>
          <w:tab w:val="left" w:pos="2880"/>
          <w:tab w:val="left" w:pos="3780"/>
        </w:tabs>
        <w:wordWrap w:val="0"/>
        <w:overflowPunct/>
        <w:bidi w:val="0"/>
        <w:spacing w:before="0" w:after="0" w:line="360" w:lineRule="auto"/>
        <w:ind w:left="0" w:firstLine="0"/>
        <w:jc w:val="both"/>
        <w:rPr>
          <w:rFonts w:ascii="宋体" w:hAnsi="宋体" w:eastAsia="宋体" w:cs="宋体"/>
          <w:color w:val="auto"/>
          <w:sz w:val="24"/>
          <w:szCs w:val="24"/>
          <w:highlight w:val="none"/>
          <w:u w:val="none"/>
        </w:rPr>
      </w:pPr>
      <w:bookmarkStart w:id="538" w:name="_Toc25707"/>
      <w:bookmarkStart w:id="539" w:name="_Toc108379358"/>
      <w:bookmarkStart w:id="540" w:name="_Toc1005"/>
      <w:r>
        <w:rPr>
          <w:rFonts w:hint="eastAsia" w:ascii="宋体" w:hAnsi="宋体" w:eastAsia="宋体" w:cs="宋体"/>
          <w:color w:val="auto"/>
          <w:sz w:val="24"/>
          <w:szCs w:val="24"/>
          <w:highlight w:val="none"/>
          <w:u w:val="none"/>
        </w:rPr>
        <w:t>需要补充的其他内容</w:t>
      </w:r>
      <w:bookmarkEnd w:id="538"/>
      <w:bookmarkEnd w:id="539"/>
      <w:bookmarkEnd w:id="540"/>
    </w:p>
    <w:p w14:paraId="4E5BEF99">
      <w:pPr>
        <w:pageBreakBefore w:val="0"/>
        <w:numPr>
          <w:ilvl w:val="1"/>
          <w:numId w:val="3"/>
        </w:numPr>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需要补充的其他内容：见供应商须知前附表。</w:t>
      </w:r>
    </w:p>
    <w:p w14:paraId="244FE005">
      <w:pPr>
        <w:pStyle w:val="3"/>
        <w:pageBreakBefore w:val="0"/>
        <w:numPr>
          <w:ilvl w:val="0"/>
          <w:numId w:val="0"/>
        </w:numPr>
        <w:tabs>
          <w:tab w:val="clear" w:pos="0"/>
        </w:tabs>
        <w:wordWrap w:val="0"/>
        <w:overflowPunct/>
        <w:bidi w:val="0"/>
        <w:spacing w:line="360" w:lineRule="auto"/>
        <w:ind w:left="0" w:leftChars="0" w:firstLine="0" w:firstLineChars="0"/>
        <w:rPr>
          <w:rFonts w:ascii="宋体" w:hAnsi="宋体" w:cs="宋体"/>
          <w:color w:val="auto"/>
          <w:highlight w:val="none"/>
          <w:u w:val="none"/>
        </w:rPr>
      </w:pPr>
      <w:r>
        <w:rPr>
          <w:rFonts w:hint="default" w:ascii="Arial" w:hAnsi="Arial" w:eastAsia="黑体" w:cs="宋体"/>
          <w:b/>
          <w:bCs/>
          <w:i w:val="0"/>
          <w:color w:val="auto"/>
          <w:kern w:val="44"/>
          <w:sz w:val="32"/>
          <w:szCs w:val="30"/>
          <w:lang w:val="en-US" w:eastAsia="zh-CN" w:bidi="ar-SA"/>
        </w:rPr>
        <w:t xml:space="preserve"> </w:t>
      </w:r>
      <w:r>
        <w:rPr>
          <w:rStyle w:val="38"/>
          <w:rFonts w:hint="eastAsia" w:ascii="宋体" w:hAnsi="宋体" w:cs="宋体"/>
          <w:b w:val="0"/>
          <w:color w:val="auto"/>
          <w:szCs w:val="22"/>
          <w:highlight w:val="none"/>
          <w:u w:val="none"/>
        </w:rPr>
        <w:br w:type="page"/>
      </w:r>
      <w:bookmarkStart w:id="541" w:name="_Toc30410"/>
      <w:bookmarkStart w:id="542" w:name="_Toc108379359"/>
      <w:bookmarkStart w:id="543" w:name="_Toc18362"/>
      <w:r>
        <w:rPr>
          <w:rStyle w:val="38"/>
          <w:rFonts w:hint="eastAsia" w:ascii="宋体" w:hAnsi="宋体" w:cs="宋体"/>
          <w:b/>
          <w:bCs/>
          <w:color w:val="auto"/>
          <w:szCs w:val="22"/>
          <w:highlight w:val="none"/>
          <w:u w:val="none"/>
        </w:rPr>
        <w:t>第三章  评审方法</w:t>
      </w:r>
      <w:bookmarkEnd w:id="541"/>
      <w:bookmarkEnd w:id="542"/>
      <w:bookmarkEnd w:id="543"/>
    </w:p>
    <w:p w14:paraId="3C007778">
      <w:pPr>
        <w:pStyle w:val="4"/>
        <w:pageBreakBefore w:val="0"/>
        <w:wordWrap w:val="0"/>
        <w:overflowPunct/>
        <w:bidi w:val="0"/>
        <w:spacing w:before="0" w:after="0" w:line="360" w:lineRule="auto"/>
        <w:jc w:val="center"/>
        <w:rPr>
          <w:rFonts w:cs="宋体"/>
          <w:color w:val="auto"/>
          <w:sz w:val="24"/>
          <w:szCs w:val="24"/>
          <w:highlight w:val="none"/>
          <w:u w:val="none"/>
        </w:rPr>
      </w:pPr>
      <w:bookmarkStart w:id="544" w:name="_Toc27033"/>
      <w:bookmarkStart w:id="545" w:name="_Toc32551"/>
      <w:bookmarkStart w:id="546" w:name="_Toc5243"/>
      <w:bookmarkStart w:id="547" w:name="_Toc21991"/>
      <w:bookmarkStart w:id="548" w:name="_Toc21173"/>
      <w:bookmarkStart w:id="549" w:name="_Toc12487"/>
      <w:bookmarkStart w:id="550" w:name="_Toc30806"/>
      <w:bookmarkStart w:id="551" w:name="_Toc13197"/>
      <w:bookmarkStart w:id="552" w:name="_Toc31431"/>
      <w:bookmarkStart w:id="553" w:name="_Toc108379360"/>
      <w:bookmarkStart w:id="554" w:name="_Toc4018"/>
      <w:bookmarkStart w:id="555" w:name="_Toc27205"/>
      <w:bookmarkStart w:id="556" w:name="_Toc30398"/>
      <w:bookmarkStart w:id="557" w:name="_Toc10606"/>
      <w:r>
        <w:rPr>
          <w:rFonts w:hint="eastAsia" w:cs="宋体"/>
          <w:color w:val="auto"/>
          <w:sz w:val="24"/>
          <w:szCs w:val="24"/>
          <w:highlight w:val="none"/>
          <w:u w:val="none"/>
        </w:rPr>
        <w:t>一</w:t>
      </w:r>
      <w:r>
        <w:rPr>
          <w:rFonts w:hint="eastAsia" w:cs="宋体"/>
          <w:color w:val="auto"/>
          <w:sz w:val="24"/>
          <w:szCs w:val="24"/>
          <w:highlight w:val="none"/>
          <w:u w:val="none"/>
          <w:lang w:val="en-US" w:eastAsia="zh-CN"/>
        </w:rPr>
        <w:t xml:space="preserve">标段 </w:t>
      </w:r>
      <w:r>
        <w:rPr>
          <w:rFonts w:hint="eastAsia" w:cs="宋体"/>
          <w:color w:val="auto"/>
          <w:sz w:val="24"/>
          <w:szCs w:val="24"/>
          <w:highlight w:val="none"/>
          <w:u w:val="none"/>
        </w:rPr>
        <w:t>资格审查前附表</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tbl>
      <w:tblPr>
        <w:tblStyle w:val="22"/>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876"/>
        <w:gridCol w:w="2103"/>
        <w:gridCol w:w="5410"/>
      </w:tblGrid>
      <w:tr w14:paraId="6518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6" w:type="dxa"/>
            <w:gridSpan w:val="2"/>
            <w:vAlign w:val="center"/>
          </w:tcPr>
          <w:p w14:paraId="60361CED">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条款</w:t>
            </w:r>
          </w:p>
        </w:tc>
        <w:tc>
          <w:tcPr>
            <w:tcW w:w="2103" w:type="dxa"/>
            <w:vAlign w:val="center"/>
          </w:tcPr>
          <w:p w14:paraId="2BCB1F08">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评审因素</w:t>
            </w:r>
          </w:p>
        </w:tc>
        <w:tc>
          <w:tcPr>
            <w:tcW w:w="5410" w:type="dxa"/>
            <w:vAlign w:val="center"/>
          </w:tcPr>
          <w:p w14:paraId="73404745">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评审标准</w:t>
            </w:r>
          </w:p>
        </w:tc>
      </w:tr>
      <w:tr w14:paraId="18A2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dxa"/>
            <w:vMerge w:val="restart"/>
            <w:vAlign w:val="center"/>
          </w:tcPr>
          <w:p w14:paraId="0B80D574">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lang w:val="en-US" w:eastAsia="zh-CN"/>
              </w:rPr>
              <w:t>1</w:t>
            </w:r>
            <w:r>
              <w:rPr>
                <w:rFonts w:hint="eastAsia"/>
                <w:color w:val="auto"/>
                <w:kern w:val="0"/>
                <w:sz w:val="24"/>
                <w:highlight w:val="none"/>
                <w:u w:val="none"/>
              </w:rPr>
              <w:t>.1.1</w:t>
            </w:r>
          </w:p>
        </w:tc>
        <w:tc>
          <w:tcPr>
            <w:tcW w:w="876" w:type="dxa"/>
            <w:vMerge w:val="restart"/>
            <w:vAlign w:val="center"/>
          </w:tcPr>
          <w:p w14:paraId="52E39C0D">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符合性评审</w:t>
            </w:r>
          </w:p>
        </w:tc>
        <w:tc>
          <w:tcPr>
            <w:tcW w:w="2103" w:type="dxa"/>
            <w:vAlign w:val="center"/>
          </w:tcPr>
          <w:p w14:paraId="74762F32">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供应商名称</w:t>
            </w:r>
          </w:p>
        </w:tc>
        <w:tc>
          <w:tcPr>
            <w:tcW w:w="5410" w:type="dxa"/>
            <w:vAlign w:val="center"/>
          </w:tcPr>
          <w:p w14:paraId="667CC0E4">
            <w:pPr>
              <w:pageBreakBefore w:val="0"/>
              <w:widowControl/>
              <w:wordWrap w:val="0"/>
              <w:overflowPunct/>
              <w:topLinePunct/>
              <w:bidi w:val="0"/>
              <w:spacing w:line="360" w:lineRule="auto"/>
              <w:jc w:val="left"/>
              <w:rPr>
                <w:color w:val="auto"/>
                <w:kern w:val="0"/>
                <w:sz w:val="24"/>
                <w:highlight w:val="none"/>
                <w:u w:val="none"/>
              </w:rPr>
            </w:pPr>
            <w:r>
              <w:rPr>
                <w:rFonts w:hint="eastAsia"/>
                <w:bCs/>
                <w:color w:val="auto"/>
                <w:kern w:val="0"/>
                <w:sz w:val="24"/>
                <w:highlight w:val="none"/>
                <w:u w:val="none"/>
              </w:rPr>
              <w:t>与营业执照、资质证书一致</w:t>
            </w:r>
          </w:p>
        </w:tc>
      </w:tr>
      <w:tr w14:paraId="164F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continue"/>
            <w:vAlign w:val="center"/>
          </w:tcPr>
          <w:p w14:paraId="565708F5">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6C8083AA">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4EA20B5F">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响应文件签字、盖章</w:t>
            </w:r>
          </w:p>
        </w:tc>
        <w:tc>
          <w:tcPr>
            <w:tcW w:w="5410" w:type="dxa"/>
            <w:vAlign w:val="center"/>
          </w:tcPr>
          <w:p w14:paraId="3F844ED9">
            <w:pPr>
              <w:pageBreakBefore w:val="0"/>
              <w:widowControl/>
              <w:wordWrap w:val="0"/>
              <w:overflowPunct/>
              <w:topLinePunct/>
              <w:bidi w:val="0"/>
              <w:spacing w:line="360" w:lineRule="auto"/>
              <w:jc w:val="left"/>
              <w:rPr>
                <w:color w:val="auto"/>
                <w:kern w:val="0"/>
                <w:sz w:val="24"/>
                <w:highlight w:val="none"/>
                <w:u w:val="none"/>
              </w:rPr>
            </w:pPr>
            <w:r>
              <w:rPr>
                <w:rFonts w:hint="eastAsia"/>
                <w:color w:val="auto"/>
                <w:sz w:val="24"/>
                <w:highlight w:val="none"/>
                <w:u w:val="none"/>
              </w:rPr>
              <w:t>响应文件按征集文件要求签字、盖章的</w:t>
            </w:r>
          </w:p>
        </w:tc>
      </w:tr>
      <w:tr w14:paraId="149C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continue"/>
            <w:vAlign w:val="center"/>
          </w:tcPr>
          <w:p w14:paraId="7FF5B578">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5B62F8EC">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6A00895D">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报价唯一</w:t>
            </w:r>
          </w:p>
        </w:tc>
        <w:tc>
          <w:tcPr>
            <w:tcW w:w="5410" w:type="dxa"/>
            <w:vAlign w:val="center"/>
          </w:tcPr>
          <w:p w14:paraId="2F8E5131">
            <w:pPr>
              <w:pageBreakBefore w:val="0"/>
              <w:widowControl/>
              <w:wordWrap w:val="0"/>
              <w:overflowPunct/>
              <w:topLinePunct/>
              <w:bidi w:val="0"/>
              <w:spacing w:line="360" w:lineRule="auto"/>
              <w:jc w:val="left"/>
              <w:rPr>
                <w:color w:val="auto"/>
                <w:kern w:val="0"/>
                <w:sz w:val="24"/>
                <w:highlight w:val="none"/>
                <w:u w:val="none"/>
              </w:rPr>
            </w:pPr>
            <w:r>
              <w:rPr>
                <w:rFonts w:hint="eastAsia"/>
                <w:color w:val="auto"/>
                <w:kern w:val="0"/>
                <w:sz w:val="24"/>
                <w:highlight w:val="none"/>
                <w:u w:val="none"/>
              </w:rPr>
              <w:t>只能有一个有效报价</w:t>
            </w:r>
          </w:p>
        </w:tc>
      </w:tr>
      <w:tr w14:paraId="407C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exact"/>
          <w:jc w:val="center"/>
        </w:trPr>
        <w:tc>
          <w:tcPr>
            <w:tcW w:w="990" w:type="dxa"/>
            <w:vMerge w:val="restart"/>
            <w:vAlign w:val="center"/>
          </w:tcPr>
          <w:p w14:paraId="0BB1AB99">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lang w:val="en-US" w:eastAsia="zh-CN"/>
              </w:rPr>
              <w:t>1</w:t>
            </w:r>
            <w:r>
              <w:rPr>
                <w:rFonts w:hint="eastAsia"/>
                <w:color w:val="auto"/>
                <w:kern w:val="0"/>
                <w:sz w:val="24"/>
                <w:highlight w:val="none"/>
                <w:u w:val="none"/>
              </w:rPr>
              <w:t>.1.2</w:t>
            </w:r>
          </w:p>
        </w:tc>
        <w:tc>
          <w:tcPr>
            <w:tcW w:w="876" w:type="dxa"/>
            <w:vMerge w:val="restart"/>
            <w:vAlign w:val="center"/>
          </w:tcPr>
          <w:p w14:paraId="72C78798">
            <w:pPr>
              <w:pageBreakBefore w:val="0"/>
              <w:widowControl/>
              <w:wordWrap w:val="0"/>
              <w:overflowPunct/>
              <w:topLinePunct/>
              <w:bidi w:val="0"/>
              <w:spacing w:line="360" w:lineRule="auto"/>
              <w:jc w:val="center"/>
              <w:rPr>
                <w:rFonts w:hint="eastAsia"/>
                <w:color w:val="auto"/>
                <w:kern w:val="0"/>
                <w:sz w:val="24"/>
                <w:highlight w:val="none"/>
                <w:u w:val="none"/>
              </w:rPr>
            </w:pPr>
            <w:r>
              <w:rPr>
                <w:rFonts w:hint="eastAsia"/>
                <w:color w:val="auto"/>
                <w:sz w:val="24"/>
                <w:highlight w:val="none"/>
                <w:u w:val="none"/>
              </w:rPr>
              <w:t>资格审查</w:t>
            </w:r>
            <w:r>
              <w:rPr>
                <w:rFonts w:hint="eastAsia"/>
                <w:color w:val="auto"/>
                <w:kern w:val="0"/>
                <w:sz w:val="24"/>
                <w:highlight w:val="none"/>
                <w:u w:val="none"/>
              </w:rPr>
              <w:t>标准</w:t>
            </w:r>
          </w:p>
          <w:p w14:paraId="2153FF21">
            <w:pPr>
              <w:pageBreakBefore w:val="0"/>
              <w:widowControl/>
              <w:wordWrap w:val="0"/>
              <w:overflowPunct/>
              <w:topLinePunct/>
              <w:bidi w:val="0"/>
              <w:spacing w:line="360" w:lineRule="auto"/>
              <w:jc w:val="both"/>
              <w:rPr>
                <w:rFonts w:hint="eastAsia" w:eastAsia="宋体"/>
                <w:color w:val="auto"/>
                <w:kern w:val="0"/>
                <w:sz w:val="24"/>
                <w:highlight w:val="none"/>
                <w:u w:val="none"/>
                <w:lang w:val="en-US" w:eastAsia="zh-CN"/>
              </w:rPr>
            </w:pPr>
          </w:p>
        </w:tc>
        <w:tc>
          <w:tcPr>
            <w:tcW w:w="2103" w:type="dxa"/>
            <w:vAlign w:val="center"/>
          </w:tcPr>
          <w:p w14:paraId="3B5A5B73">
            <w:pPr>
              <w:spacing w:line="5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满足《中华人民共和国政府采购法》第二十二条规定</w:t>
            </w:r>
          </w:p>
        </w:tc>
        <w:tc>
          <w:tcPr>
            <w:tcW w:w="5410" w:type="dxa"/>
            <w:vAlign w:val="center"/>
          </w:tcPr>
          <w:p w14:paraId="0039CBA4">
            <w:pPr>
              <w:spacing w:line="5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满足《中华人民共和国政府采购法》第二十二条规定，提供承诺书</w:t>
            </w:r>
          </w:p>
        </w:tc>
      </w:tr>
      <w:tr w14:paraId="1C84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exact"/>
          <w:jc w:val="center"/>
        </w:trPr>
        <w:tc>
          <w:tcPr>
            <w:tcW w:w="990" w:type="dxa"/>
            <w:vMerge w:val="continue"/>
            <w:vAlign w:val="center"/>
          </w:tcPr>
          <w:p w14:paraId="68425D15">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41211135">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140A47CF">
            <w:pPr>
              <w:spacing w:line="500" w:lineRule="exact"/>
              <w:jc w:val="center"/>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营业执照</w:t>
            </w:r>
          </w:p>
        </w:tc>
        <w:tc>
          <w:tcPr>
            <w:tcW w:w="5410" w:type="dxa"/>
            <w:vAlign w:val="center"/>
          </w:tcPr>
          <w:p w14:paraId="60758F68">
            <w:pPr>
              <w:spacing w:line="500" w:lineRule="exact"/>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供应商须具有独立承担民事责任的能力，需提供有效的营业执照或其他证明材料；</w:t>
            </w:r>
          </w:p>
        </w:tc>
      </w:tr>
      <w:tr w14:paraId="23F0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exact"/>
          <w:jc w:val="center"/>
        </w:trPr>
        <w:tc>
          <w:tcPr>
            <w:tcW w:w="990" w:type="dxa"/>
            <w:vMerge w:val="continue"/>
            <w:vAlign w:val="center"/>
          </w:tcPr>
          <w:p w14:paraId="1BB78886">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6642643F">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20B1B87E">
            <w:pPr>
              <w:spacing w:line="500" w:lineRule="exact"/>
              <w:jc w:val="center"/>
              <w:rPr>
                <w:rFonts w:hint="eastAsia" w:ascii="宋体" w:hAnsi="宋体" w:eastAsia="宋体" w:cs="宋体"/>
                <w:color w:val="auto"/>
                <w:sz w:val="24"/>
                <w:highlight w:val="none"/>
                <w:lang w:val="en-US" w:eastAsia="zh-CN"/>
              </w:rPr>
            </w:pPr>
            <w:r>
              <w:rPr>
                <w:rFonts w:hint="eastAsia" w:ascii="宋体" w:hAnsi="宋体" w:cs="宋体"/>
                <w:sz w:val="24"/>
                <w:szCs w:val="24"/>
                <w:highlight w:val="none"/>
              </w:rPr>
              <w:t>企业资质证书</w:t>
            </w:r>
          </w:p>
        </w:tc>
        <w:tc>
          <w:tcPr>
            <w:tcW w:w="5410" w:type="dxa"/>
            <w:vAlign w:val="center"/>
          </w:tcPr>
          <w:p w14:paraId="2C1F3B4D">
            <w:pPr>
              <w:spacing w:line="500" w:lineRule="exact"/>
              <w:rPr>
                <w:rFonts w:hint="eastAsia" w:ascii="宋体" w:hAnsi="宋体" w:cs="宋体"/>
                <w:color w:val="auto"/>
                <w:sz w:val="24"/>
                <w:highlight w:val="none"/>
                <w:lang w:val="en-US" w:eastAsia="zh-CN"/>
              </w:rPr>
            </w:pPr>
            <w:r>
              <w:rPr>
                <w:rFonts w:ascii="宋体" w:hAnsi="宋体" w:eastAsia="宋体" w:cs="宋体"/>
                <w:sz w:val="24"/>
                <w:szCs w:val="24"/>
              </w:rPr>
              <w:t>供应商须具备三类及以上汽车维修经营备案，提供经交通运输主管部门盖章确认的《机动车维修经营备案表》或官方有效电子备案凭证复印件（加盖投标人公章）</w:t>
            </w:r>
          </w:p>
        </w:tc>
      </w:tr>
      <w:tr w14:paraId="4E09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exact"/>
          <w:jc w:val="center"/>
        </w:trPr>
        <w:tc>
          <w:tcPr>
            <w:tcW w:w="990" w:type="dxa"/>
            <w:vMerge w:val="continue"/>
            <w:vAlign w:val="center"/>
          </w:tcPr>
          <w:p w14:paraId="3D3742B7">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0228E269">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1C866A05">
            <w:pPr>
              <w:spacing w:line="500" w:lineRule="exact"/>
              <w:jc w:val="center"/>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企业税收和社保</w:t>
            </w:r>
          </w:p>
        </w:tc>
        <w:tc>
          <w:tcPr>
            <w:tcW w:w="5410" w:type="dxa"/>
            <w:vAlign w:val="center"/>
          </w:tcPr>
          <w:p w14:paraId="2FEF4268">
            <w:pPr>
              <w:spacing w:line="50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提供企业近半年任意连续三个月依法缴纳税收的证明资料（新成立的企业从成立之日起计算）；依法免税的投标响应人，应提供相应文件证明其依法免税；</w:t>
            </w:r>
          </w:p>
          <w:p w14:paraId="3627A221">
            <w:pPr>
              <w:spacing w:line="500" w:lineRule="exact"/>
              <w:rPr>
                <w:rFonts w:ascii="宋体" w:hAnsi="宋体" w:eastAsia="宋体" w:cs="宋体"/>
                <w:color w:val="auto"/>
                <w:kern w:val="2"/>
                <w:sz w:val="24"/>
                <w:szCs w:val="24"/>
                <w:highlight w:val="none"/>
                <w:lang w:val="en-US" w:eastAsia="zh-CN" w:bidi="ar-SA"/>
              </w:rPr>
            </w:pPr>
          </w:p>
        </w:tc>
      </w:tr>
      <w:tr w14:paraId="6E10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exact"/>
          <w:jc w:val="center"/>
        </w:trPr>
        <w:tc>
          <w:tcPr>
            <w:tcW w:w="990" w:type="dxa"/>
            <w:vMerge w:val="continue"/>
            <w:vAlign w:val="center"/>
          </w:tcPr>
          <w:p w14:paraId="0D15CD49">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725C6F71">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60CEAFCA">
            <w:pPr>
              <w:spacing w:line="500" w:lineRule="exact"/>
              <w:jc w:val="center"/>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项目负责人</w:t>
            </w:r>
          </w:p>
        </w:tc>
        <w:tc>
          <w:tcPr>
            <w:tcW w:w="5410" w:type="dxa"/>
            <w:vAlign w:val="center"/>
          </w:tcPr>
          <w:p w14:paraId="0E6CC2BA">
            <w:pPr>
              <w:spacing w:line="500" w:lineRule="exact"/>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val="en-US" w:eastAsia="zh-CN"/>
              </w:rPr>
              <w:t>项目负责人为本单位正式员工（提供劳动合同）且已参加社会保险，提供近半年任意连续三个月参加社会养老保险的缴费证明（新成立企业从成立之日起计算）</w:t>
            </w:r>
          </w:p>
        </w:tc>
      </w:tr>
      <w:tr w14:paraId="186A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exact"/>
          <w:jc w:val="center"/>
        </w:trPr>
        <w:tc>
          <w:tcPr>
            <w:tcW w:w="990" w:type="dxa"/>
            <w:vMerge w:val="continue"/>
            <w:vAlign w:val="center"/>
          </w:tcPr>
          <w:p w14:paraId="2953BD79">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3911E693">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10D42174">
            <w:pPr>
              <w:spacing w:line="5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财务</w:t>
            </w:r>
            <w:r>
              <w:rPr>
                <w:rFonts w:hint="eastAsia" w:ascii="宋体" w:hAnsi="宋体" w:cs="宋体"/>
                <w:color w:val="auto"/>
                <w:sz w:val="24"/>
                <w:highlight w:val="none"/>
                <w:lang w:val="en-US" w:eastAsia="zh-CN"/>
              </w:rPr>
              <w:t>状况</w:t>
            </w:r>
          </w:p>
        </w:tc>
        <w:tc>
          <w:tcPr>
            <w:tcW w:w="5410" w:type="dxa"/>
            <w:vAlign w:val="center"/>
          </w:tcPr>
          <w:p w14:paraId="71FB0718">
            <w:pPr>
              <w:spacing w:line="50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具有良好的商业信誉和健全的财务会计制度，提供2025年度财务审计报告或财务报表；</w:t>
            </w:r>
          </w:p>
          <w:p w14:paraId="4A166DDE">
            <w:pPr>
              <w:spacing w:line="500" w:lineRule="exact"/>
              <w:rPr>
                <w:rFonts w:ascii="宋体" w:hAnsi="宋体" w:eastAsia="宋体" w:cs="宋体"/>
                <w:color w:val="auto"/>
                <w:kern w:val="2"/>
                <w:sz w:val="24"/>
                <w:szCs w:val="24"/>
                <w:highlight w:val="none"/>
                <w:lang w:val="en-US" w:eastAsia="zh-CN" w:bidi="ar-SA"/>
              </w:rPr>
            </w:pPr>
          </w:p>
        </w:tc>
      </w:tr>
      <w:tr w14:paraId="531C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exact"/>
          <w:jc w:val="center"/>
        </w:trPr>
        <w:tc>
          <w:tcPr>
            <w:tcW w:w="990" w:type="dxa"/>
            <w:vMerge w:val="continue"/>
            <w:vAlign w:val="center"/>
          </w:tcPr>
          <w:p w14:paraId="7391AEC4">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45DE85D7">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37479805">
            <w:pPr>
              <w:pStyle w:val="11"/>
              <w:spacing w:line="500" w:lineRule="exact"/>
              <w:jc w:val="center"/>
              <w:rPr>
                <w:rFonts w:ascii="宋体" w:hAnsi="宋体" w:eastAsia="宋体" w:cs="宋体"/>
                <w:color w:val="auto"/>
                <w:kern w:val="2"/>
                <w:sz w:val="24"/>
                <w:szCs w:val="21"/>
                <w:highlight w:val="none"/>
                <w:lang w:val="en-US" w:eastAsia="zh-CN" w:bidi="ar-SA"/>
              </w:rPr>
            </w:pPr>
            <w:r>
              <w:rPr>
                <w:rFonts w:hint="eastAsia" w:hAnsi="宋体" w:cs="宋体"/>
                <w:color w:val="auto"/>
                <w:sz w:val="24"/>
                <w:highlight w:val="none"/>
              </w:rPr>
              <w:t>企业履行合同能力</w:t>
            </w:r>
          </w:p>
        </w:tc>
        <w:tc>
          <w:tcPr>
            <w:tcW w:w="5410" w:type="dxa"/>
            <w:vAlign w:val="center"/>
          </w:tcPr>
          <w:p w14:paraId="1BFD362C">
            <w:pPr>
              <w:spacing w:line="500" w:lineRule="exact"/>
              <w:rPr>
                <w:rFonts w:ascii="宋体" w:hAnsi="宋体" w:eastAsia="宋体" w:cs="宋体"/>
                <w:color w:val="auto"/>
                <w:kern w:val="2"/>
                <w:sz w:val="24"/>
                <w:szCs w:val="24"/>
                <w:highlight w:val="none"/>
                <w:lang w:val="en-US" w:eastAsia="zh-CN" w:bidi="ar-SA"/>
              </w:rPr>
            </w:pPr>
            <w:r>
              <w:rPr>
                <w:rFonts w:hint="eastAsia" w:ascii="宋体" w:hAnsi="宋体" w:eastAsia="宋体" w:cs="Times New Roman"/>
                <w:color w:val="auto"/>
                <w:sz w:val="24"/>
                <w:szCs w:val="24"/>
                <w:highlight w:val="none"/>
                <w:u w:val="none"/>
                <w:lang w:val="en-US" w:eastAsia="zh-CN"/>
              </w:rPr>
              <w:t>具有履行合同所必需的与从事该项目活动相匹配的相关专业管理人员、专业技术人员、资金、设备和专业技术能力等条件</w:t>
            </w:r>
            <w:r>
              <w:rPr>
                <w:rFonts w:hint="eastAsia" w:cs="Times New Roman"/>
                <w:color w:val="auto"/>
                <w:sz w:val="24"/>
                <w:szCs w:val="24"/>
                <w:highlight w:val="none"/>
                <w:u w:val="none"/>
                <w:lang w:val="en-US" w:eastAsia="zh-CN"/>
              </w:rPr>
              <w:t>；</w:t>
            </w:r>
          </w:p>
        </w:tc>
      </w:tr>
      <w:tr w14:paraId="6A94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1" w:hRule="exact"/>
          <w:jc w:val="center"/>
        </w:trPr>
        <w:tc>
          <w:tcPr>
            <w:tcW w:w="990" w:type="dxa"/>
            <w:vMerge w:val="continue"/>
            <w:vAlign w:val="center"/>
          </w:tcPr>
          <w:p w14:paraId="4A66A981">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652EA0E2">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685EF893">
            <w:pPr>
              <w:pageBreakBefore w:val="0"/>
              <w:widowControl/>
              <w:wordWrap w:val="0"/>
              <w:overflowPunct/>
              <w:topLinePunct/>
              <w:bidi w:val="0"/>
              <w:spacing w:line="360" w:lineRule="auto"/>
              <w:jc w:val="center"/>
              <w:rPr>
                <w:rFonts w:hint="eastAsia" w:eastAsia="宋体"/>
                <w:color w:val="auto"/>
                <w:kern w:val="0"/>
                <w:sz w:val="24"/>
                <w:highlight w:val="none"/>
                <w:u w:val="none"/>
                <w:lang w:eastAsia="zh-CN"/>
              </w:rPr>
            </w:pPr>
            <w:r>
              <w:rPr>
                <w:rFonts w:hint="eastAsia"/>
                <w:color w:val="auto"/>
                <w:kern w:val="0"/>
                <w:sz w:val="24"/>
                <w:highlight w:val="none"/>
                <w:u w:val="none"/>
                <w:lang w:eastAsia="zh-CN"/>
              </w:rPr>
              <w:t>信用查询及承诺</w:t>
            </w:r>
          </w:p>
        </w:tc>
        <w:tc>
          <w:tcPr>
            <w:tcW w:w="5410" w:type="dxa"/>
            <w:vAlign w:val="center"/>
          </w:tcPr>
          <w:p w14:paraId="6790B279">
            <w:pPr>
              <w:pageBreakBefore w:val="0"/>
              <w:wordWrap w:val="0"/>
              <w:overflowPunct/>
              <w:topLinePunct/>
              <w:bidi w:val="0"/>
              <w:spacing w:line="360" w:lineRule="auto"/>
              <w:rPr>
                <w:rFonts w:hint="eastAsia"/>
                <w:color w:val="auto"/>
                <w:sz w:val="24"/>
                <w:highlight w:val="none"/>
                <w:u w:val="none"/>
              </w:rPr>
            </w:pPr>
            <w:r>
              <w:rPr>
                <w:rFonts w:hint="eastAsia"/>
                <w:color w:val="auto"/>
                <w:sz w:val="24"/>
                <w:highlight w:val="none"/>
                <w:u w:val="none"/>
                <w:lang w:val="en-US" w:eastAsia="zh-CN"/>
              </w:rPr>
              <w:t>1</w:t>
            </w:r>
            <w:r>
              <w:rPr>
                <w:rFonts w:hint="eastAsia"/>
                <w:color w:val="auto"/>
                <w:sz w:val="24"/>
                <w:highlight w:val="none"/>
                <w:u w:val="none"/>
              </w:rPr>
              <w:t>、参加政府采购活动前3年内无行贿犯罪记录、商业贿赂、不正当竞争行为、骗取中标、严重违约等问题；供应商出具无行贿犯罪记录在中国裁判文书网自行查询或自行承诺（查询对象：企业、法定代表人）；</w:t>
            </w:r>
          </w:p>
          <w:p w14:paraId="496C7405">
            <w:pPr>
              <w:pageBreakBefore w:val="0"/>
              <w:wordWrap w:val="0"/>
              <w:overflowPunct/>
              <w:topLinePunct/>
              <w:bidi w:val="0"/>
              <w:spacing w:line="360" w:lineRule="auto"/>
              <w:rPr>
                <w:rFonts w:hint="eastAsia"/>
                <w:color w:val="auto"/>
                <w:sz w:val="24"/>
                <w:highlight w:val="none"/>
                <w:u w:val="none"/>
              </w:rPr>
            </w:pPr>
            <w:r>
              <w:rPr>
                <w:rFonts w:hint="eastAsia"/>
                <w:color w:val="auto"/>
                <w:sz w:val="24"/>
                <w:highlight w:val="none"/>
                <w:u w:val="none"/>
                <w:lang w:val="en-US" w:eastAsia="zh-CN"/>
              </w:rPr>
              <w:t>2</w:t>
            </w:r>
            <w:r>
              <w:rPr>
                <w:rFonts w:hint="eastAsia"/>
                <w:color w:val="auto"/>
                <w:sz w:val="24"/>
                <w:highlight w:val="none"/>
                <w:u w:val="none"/>
              </w:rPr>
              <w:t>、提供企业注册地工商管理部门出具的无商业贿赂和不正当竞争行为的查询证明（若当地工商管理部门不办理此项业务，供应商须自行出具本企业无商业贿赂和不正当竞争行为承诺书）；</w:t>
            </w:r>
          </w:p>
          <w:p w14:paraId="37D23EBE">
            <w:pPr>
              <w:pageBreakBefore w:val="0"/>
              <w:wordWrap w:val="0"/>
              <w:overflowPunct/>
              <w:topLinePunct/>
              <w:bidi w:val="0"/>
              <w:spacing w:line="360" w:lineRule="auto"/>
              <w:rPr>
                <w:color w:val="auto"/>
                <w:sz w:val="24"/>
                <w:highlight w:val="none"/>
                <w:u w:val="none"/>
              </w:rPr>
            </w:pPr>
            <w:r>
              <w:rPr>
                <w:rFonts w:hint="eastAsia"/>
                <w:color w:val="auto"/>
                <w:sz w:val="24"/>
                <w:highlight w:val="none"/>
                <w:u w:val="none"/>
                <w:lang w:val="en-US" w:eastAsia="zh-CN"/>
              </w:rPr>
              <w:t>3</w:t>
            </w:r>
            <w:r>
              <w:rPr>
                <w:rFonts w:hint="eastAsia"/>
                <w:color w:val="auto"/>
                <w:sz w:val="24"/>
                <w:highlight w:val="none"/>
                <w:u w:val="none"/>
              </w:rPr>
              <w:t>、据《关于在政府采购活动中查询及使用信用记录有关问题的通知》(财库[2016]125号)和豫财购【2016】15号的规定，企业没有被列入“信用中国”网站的“失信被执行人”、“重大税收违法失信主体”、“政府采购严重违法失信行为记录名单”及“中国政府采购网”网站的“政府采购严重违法失信行为信息记录”的响应人；（查询渠道：“信用中国”网站（www.creditchina.gov.cn）、中国政府采购网（www.ccgp.gov.cn）；提供网站的查询信息截图；(注：査询时间必须是征集公告发布以后开标时间以前并提供网站查询网页截图，查询结果清晰可见)；</w:t>
            </w:r>
          </w:p>
        </w:tc>
      </w:tr>
      <w:tr w14:paraId="61F2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90" w:type="dxa"/>
            <w:vMerge w:val="continue"/>
            <w:vAlign w:val="center"/>
          </w:tcPr>
          <w:p w14:paraId="15963AE8">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781B7987">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78AA6525">
            <w:pPr>
              <w:pStyle w:val="39"/>
              <w:wordWrap w:val="0"/>
              <w:spacing w:line="360" w:lineRule="auto"/>
              <w:jc w:val="center"/>
              <w:rPr>
                <w:rFonts w:ascii="宋体" w:hAnsi="宋体" w:eastAsia="宋体" w:cs="宋体"/>
                <w:color w:val="auto"/>
                <w:kern w:val="2"/>
                <w:sz w:val="24"/>
                <w:szCs w:val="24"/>
                <w:highlight w:val="none"/>
                <w:lang w:val="en-US" w:eastAsia="zh-CN" w:bidi="ar-SA"/>
              </w:rPr>
            </w:pPr>
            <w:r>
              <w:rPr>
                <w:rFonts w:hint="eastAsia" w:hAnsi="宋体" w:cs="宋体"/>
                <w:color w:val="auto"/>
                <w:sz w:val="24"/>
                <w:szCs w:val="24"/>
                <w:highlight w:val="none"/>
              </w:rPr>
              <w:t>其他内容</w:t>
            </w:r>
          </w:p>
        </w:tc>
        <w:tc>
          <w:tcPr>
            <w:tcW w:w="5410" w:type="dxa"/>
            <w:vAlign w:val="center"/>
          </w:tcPr>
          <w:p w14:paraId="4CC22ED0">
            <w:pPr>
              <w:wordWrap w:val="0"/>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eastAsia="zh-CN"/>
              </w:rPr>
              <w:t>征集文</w:t>
            </w:r>
            <w:r>
              <w:rPr>
                <w:rFonts w:hint="eastAsia" w:ascii="宋体" w:hAnsi="宋体" w:cs="宋体"/>
                <w:color w:val="auto"/>
                <w:sz w:val="24"/>
                <w:highlight w:val="none"/>
              </w:rPr>
              <w:t>规定的资格要求的其他内容</w:t>
            </w:r>
          </w:p>
        </w:tc>
      </w:tr>
      <w:tr w14:paraId="5B1B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restart"/>
            <w:vAlign w:val="center"/>
          </w:tcPr>
          <w:p w14:paraId="72EA44A0">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lang w:val="en-US" w:eastAsia="zh-CN"/>
              </w:rPr>
              <w:t>1</w:t>
            </w:r>
            <w:r>
              <w:rPr>
                <w:rFonts w:hint="eastAsia"/>
                <w:color w:val="auto"/>
                <w:kern w:val="0"/>
                <w:sz w:val="24"/>
                <w:highlight w:val="none"/>
                <w:u w:val="none"/>
              </w:rPr>
              <w:t>.1.3</w:t>
            </w:r>
          </w:p>
        </w:tc>
        <w:tc>
          <w:tcPr>
            <w:tcW w:w="876" w:type="dxa"/>
            <w:vMerge w:val="restart"/>
            <w:vAlign w:val="center"/>
          </w:tcPr>
          <w:p w14:paraId="42F85A22">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sz w:val="24"/>
                <w:highlight w:val="none"/>
                <w:u w:val="none"/>
              </w:rPr>
              <w:t>响应性审查</w:t>
            </w:r>
            <w:r>
              <w:rPr>
                <w:rFonts w:hint="eastAsia"/>
                <w:color w:val="auto"/>
                <w:kern w:val="0"/>
                <w:sz w:val="24"/>
                <w:highlight w:val="none"/>
                <w:u w:val="none"/>
              </w:rPr>
              <w:t>标准</w:t>
            </w:r>
          </w:p>
        </w:tc>
        <w:tc>
          <w:tcPr>
            <w:tcW w:w="2103" w:type="dxa"/>
            <w:vAlign w:val="center"/>
          </w:tcPr>
          <w:p w14:paraId="66C20E8D">
            <w:pPr>
              <w:pageBreakBefore w:val="0"/>
              <w:widowControl/>
              <w:wordWrap w:val="0"/>
              <w:overflowPunct/>
              <w:topLinePunct/>
              <w:bidi w:val="0"/>
              <w:spacing w:line="360" w:lineRule="auto"/>
              <w:jc w:val="center"/>
              <w:rPr>
                <w:rFonts w:hint="eastAsia" w:eastAsia="宋体"/>
                <w:color w:val="auto"/>
                <w:kern w:val="0"/>
                <w:sz w:val="24"/>
                <w:highlight w:val="none"/>
                <w:u w:val="none"/>
                <w:lang w:eastAsia="zh-CN"/>
              </w:rPr>
            </w:pPr>
            <w:r>
              <w:rPr>
                <w:rFonts w:hint="eastAsia"/>
                <w:color w:val="auto"/>
                <w:kern w:val="0"/>
                <w:sz w:val="24"/>
                <w:highlight w:val="none"/>
                <w:u w:val="none"/>
                <w:lang w:eastAsia="zh-CN"/>
              </w:rPr>
              <w:t>服务内容</w:t>
            </w:r>
          </w:p>
        </w:tc>
        <w:tc>
          <w:tcPr>
            <w:tcW w:w="5410" w:type="dxa"/>
            <w:vAlign w:val="center"/>
          </w:tcPr>
          <w:p w14:paraId="518A55FF">
            <w:pPr>
              <w:pageBreakBefore w:val="0"/>
              <w:widowControl/>
              <w:wordWrap w:val="0"/>
              <w:overflowPunct/>
              <w:topLinePunct/>
              <w:bidi w:val="0"/>
              <w:spacing w:line="360" w:lineRule="auto"/>
              <w:jc w:val="left"/>
              <w:rPr>
                <w:color w:val="auto"/>
                <w:kern w:val="0"/>
                <w:sz w:val="24"/>
                <w:highlight w:val="none"/>
                <w:u w:val="none"/>
              </w:rPr>
            </w:pPr>
            <w:r>
              <w:rPr>
                <w:rFonts w:hint="eastAsia"/>
                <w:color w:val="auto"/>
                <w:kern w:val="0"/>
                <w:sz w:val="24"/>
                <w:highlight w:val="none"/>
                <w:u w:val="none"/>
              </w:rPr>
              <w:t>满足入围文件要求</w:t>
            </w:r>
          </w:p>
        </w:tc>
      </w:tr>
      <w:tr w14:paraId="562D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continue"/>
            <w:vAlign w:val="center"/>
          </w:tcPr>
          <w:p w14:paraId="5644B160">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3576A677">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5343174C">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投标报价</w:t>
            </w:r>
          </w:p>
        </w:tc>
        <w:tc>
          <w:tcPr>
            <w:tcW w:w="5410" w:type="dxa"/>
            <w:vAlign w:val="center"/>
          </w:tcPr>
          <w:p w14:paraId="02045A8F">
            <w:pPr>
              <w:pageBreakBefore w:val="0"/>
              <w:widowControl/>
              <w:wordWrap w:val="0"/>
              <w:overflowPunct/>
              <w:topLinePunct/>
              <w:bidi w:val="0"/>
              <w:spacing w:line="360" w:lineRule="auto"/>
              <w:jc w:val="left"/>
              <w:rPr>
                <w:color w:val="auto"/>
                <w:kern w:val="0"/>
                <w:sz w:val="24"/>
                <w:highlight w:val="none"/>
                <w:u w:val="none"/>
              </w:rPr>
            </w:pPr>
            <w:r>
              <w:rPr>
                <w:rFonts w:hint="eastAsia"/>
                <w:color w:val="auto"/>
                <w:kern w:val="0"/>
                <w:sz w:val="24"/>
                <w:highlight w:val="none"/>
                <w:u w:val="none"/>
              </w:rPr>
              <w:t>报价未超过公开征集文件中规定的最高限价</w:t>
            </w:r>
          </w:p>
        </w:tc>
      </w:tr>
      <w:tr w14:paraId="25EC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continue"/>
            <w:vAlign w:val="center"/>
          </w:tcPr>
          <w:p w14:paraId="7B303D33">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46E8BA3E">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37F969B0">
            <w:pPr>
              <w:pageBreakBefore w:val="0"/>
              <w:widowControl/>
              <w:wordWrap w:val="0"/>
              <w:overflowPunct/>
              <w:topLinePunct/>
              <w:bidi w:val="0"/>
              <w:spacing w:line="360" w:lineRule="auto"/>
              <w:jc w:val="center"/>
              <w:rPr>
                <w:rFonts w:hint="eastAsia"/>
                <w:color w:val="auto"/>
                <w:kern w:val="0"/>
                <w:sz w:val="24"/>
                <w:highlight w:val="none"/>
                <w:u w:val="none"/>
              </w:rPr>
            </w:pPr>
            <w:r>
              <w:rPr>
                <w:rFonts w:hint="eastAsia"/>
                <w:color w:val="auto"/>
                <w:kern w:val="0"/>
                <w:sz w:val="24"/>
                <w:highlight w:val="none"/>
                <w:u w:val="none"/>
                <w:lang w:val="en-US" w:eastAsia="zh-CN"/>
              </w:rPr>
              <w:t>服务期（框架协议期限）</w:t>
            </w:r>
          </w:p>
        </w:tc>
        <w:tc>
          <w:tcPr>
            <w:tcW w:w="5410" w:type="dxa"/>
            <w:vAlign w:val="center"/>
          </w:tcPr>
          <w:p w14:paraId="0AD007D3">
            <w:pPr>
              <w:pageBreakBefore w:val="0"/>
              <w:widowControl/>
              <w:wordWrap w:val="0"/>
              <w:overflowPunct/>
              <w:topLinePunct/>
              <w:bidi w:val="0"/>
              <w:spacing w:line="360" w:lineRule="auto"/>
              <w:jc w:val="left"/>
              <w:rPr>
                <w:rFonts w:hint="eastAsia"/>
                <w:color w:val="auto"/>
                <w:sz w:val="24"/>
                <w:highlight w:val="none"/>
                <w:u w:val="none"/>
              </w:rPr>
            </w:pPr>
            <w:r>
              <w:rPr>
                <w:rFonts w:hint="eastAsia" w:ascii="宋体" w:hAnsi="宋体" w:eastAsia="宋体" w:cs="Times New Roman"/>
                <w:bCs/>
                <w:color w:val="auto"/>
                <w:sz w:val="24"/>
                <w:szCs w:val="24"/>
                <w:highlight w:val="none"/>
                <w:u w:val="none"/>
                <w:lang w:val="en-US" w:eastAsia="zh-CN"/>
              </w:rPr>
              <w:t>自框架协议签订之日起</w:t>
            </w:r>
            <w:r>
              <w:rPr>
                <w:rFonts w:hint="eastAsia" w:cs="Times New Roman"/>
                <w:bCs/>
                <w:color w:val="auto"/>
                <w:sz w:val="24"/>
                <w:szCs w:val="24"/>
                <w:highlight w:val="none"/>
                <w:u w:val="none"/>
                <w:lang w:val="en-US" w:eastAsia="zh-CN"/>
              </w:rPr>
              <w:t>2</w:t>
            </w:r>
            <w:r>
              <w:rPr>
                <w:rFonts w:hint="eastAsia" w:ascii="宋体" w:hAnsi="宋体" w:eastAsia="宋体" w:cs="Times New Roman"/>
                <w:bCs/>
                <w:color w:val="auto"/>
                <w:sz w:val="24"/>
                <w:szCs w:val="24"/>
                <w:highlight w:val="none"/>
                <w:u w:val="none"/>
                <w:lang w:val="en-US" w:eastAsia="zh-CN"/>
              </w:rPr>
              <w:t>年</w:t>
            </w:r>
          </w:p>
        </w:tc>
      </w:tr>
      <w:tr w14:paraId="7285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continue"/>
            <w:vAlign w:val="center"/>
          </w:tcPr>
          <w:p w14:paraId="05CAA618">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5AA4B413">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0E99C2ED">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质量标准</w:t>
            </w:r>
          </w:p>
        </w:tc>
        <w:tc>
          <w:tcPr>
            <w:tcW w:w="5410" w:type="dxa"/>
            <w:vAlign w:val="center"/>
          </w:tcPr>
          <w:p w14:paraId="7CBD5790">
            <w:pPr>
              <w:pageBreakBefore w:val="0"/>
              <w:widowControl/>
              <w:wordWrap w:val="0"/>
              <w:overflowPunct/>
              <w:topLinePunct/>
              <w:bidi w:val="0"/>
              <w:spacing w:line="360" w:lineRule="auto"/>
              <w:jc w:val="left"/>
              <w:rPr>
                <w:color w:val="auto"/>
                <w:kern w:val="0"/>
                <w:sz w:val="24"/>
                <w:highlight w:val="none"/>
                <w:u w:val="none"/>
              </w:rPr>
            </w:pPr>
            <w:r>
              <w:rPr>
                <w:rFonts w:hint="eastAsia"/>
                <w:color w:val="auto"/>
                <w:kern w:val="0"/>
                <w:sz w:val="24"/>
                <w:highlight w:val="none"/>
                <w:u w:val="none"/>
                <w:lang w:val="en-US" w:eastAsia="zh-CN"/>
              </w:rPr>
              <w:t>满足国家、行业相关规范要求</w:t>
            </w:r>
          </w:p>
        </w:tc>
      </w:tr>
      <w:tr w14:paraId="3337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90" w:type="dxa"/>
            <w:vMerge w:val="continue"/>
            <w:vAlign w:val="center"/>
          </w:tcPr>
          <w:p w14:paraId="383F96C9">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392ED547">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420770CB">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sz w:val="24"/>
                <w:highlight w:val="none"/>
                <w:u w:val="none"/>
              </w:rPr>
              <w:t>响应文件有效期</w:t>
            </w:r>
          </w:p>
        </w:tc>
        <w:tc>
          <w:tcPr>
            <w:tcW w:w="5410" w:type="dxa"/>
            <w:vAlign w:val="center"/>
          </w:tcPr>
          <w:p w14:paraId="5B753DF4">
            <w:pPr>
              <w:pageBreakBefore w:val="0"/>
              <w:widowControl/>
              <w:wordWrap w:val="0"/>
              <w:overflowPunct/>
              <w:topLinePunct/>
              <w:bidi w:val="0"/>
              <w:spacing w:line="360" w:lineRule="auto"/>
              <w:jc w:val="left"/>
              <w:rPr>
                <w:color w:val="auto"/>
                <w:kern w:val="0"/>
                <w:sz w:val="24"/>
                <w:highlight w:val="none"/>
                <w:u w:val="none"/>
              </w:rPr>
            </w:pPr>
            <w:r>
              <w:rPr>
                <w:rFonts w:hint="eastAsia"/>
                <w:color w:val="auto"/>
                <w:sz w:val="24"/>
                <w:highlight w:val="none"/>
                <w:u w:val="none"/>
              </w:rPr>
              <w:t>自投标截止之日起</w:t>
            </w:r>
            <w:r>
              <w:rPr>
                <w:color w:val="auto"/>
                <w:sz w:val="24"/>
                <w:highlight w:val="none"/>
                <w:u w:val="none"/>
              </w:rPr>
              <w:t>60日历天</w:t>
            </w:r>
          </w:p>
        </w:tc>
      </w:tr>
      <w:tr w14:paraId="5917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90" w:type="dxa"/>
            <w:vMerge w:val="continue"/>
            <w:vAlign w:val="center"/>
          </w:tcPr>
          <w:p w14:paraId="7B36471C">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1282BEBA">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535D5C2A">
            <w:pPr>
              <w:pageBreakBefore w:val="0"/>
              <w:widowControl/>
              <w:wordWrap w:val="0"/>
              <w:overflowPunct/>
              <w:topLinePunct/>
              <w:bidi w:val="0"/>
              <w:spacing w:line="360" w:lineRule="auto"/>
              <w:jc w:val="center"/>
              <w:rPr>
                <w:color w:val="auto"/>
                <w:sz w:val="24"/>
                <w:highlight w:val="none"/>
                <w:u w:val="none"/>
              </w:rPr>
            </w:pPr>
            <w:r>
              <w:rPr>
                <w:rFonts w:hint="eastAsia"/>
                <w:color w:val="auto"/>
                <w:sz w:val="24"/>
                <w:highlight w:val="none"/>
                <w:u w:val="none"/>
              </w:rPr>
              <w:t>售后服务要求</w:t>
            </w:r>
          </w:p>
        </w:tc>
        <w:tc>
          <w:tcPr>
            <w:tcW w:w="5410" w:type="dxa"/>
            <w:vAlign w:val="center"/>
          </w:tcPr>
          <w:p w14:paraId="4AB3E28A">
            <w:pPr>
              <w:pageBreakBefore w:val="0"/>
              <w:widowControl/>
              <w:wordWrap w:val="0"/>
              <w:overflowPunct/>
              <w:topLinePunct/>
              <w:bidi w:val="0"/>
              <w:spacing w:line="360" w:lineRule="auto"/>
              <w:jc w:val="left"/>
              <w:rPr>
                <w:color w:val="auto"/>
                <w:sz w:val="24"/>
                <w:highlight w:val="none"/>
                <w:u w:val="none"/>
              </w:rPr>
            </w:pPr>
            <w:r>
              <w:rPr>
                <w:rFonts w:hint="eastAsia"/>
                <w:color w:val="auto"/>
                <w:sz w:val="24"/>
                <w:highlight w:val="none"/>
                <w:u w:val="none"/>
              </w:rPr>
              <w:t>按国家（行业）标准执行</w:t>
            </w:r>
          </w:p>
        </w:tc>
      </w:tr>
    </w:tbl>
    <w:p w14:paraId="0EF9432E">
      <w:pPr>
        <w:pageBreakBefore w:val="0"/>
        <w:wordWrap w:val="0"/>
        <w:overflowPunct/>
        <w:bidi w:val="0"/>
        <w:rPr>
          <w:color w:val="auto"/>
          <w:highlight w:val="none"/>
          <w:u w:val="none"/>
        </w:rPr>
      </w:pPr>
    </w:p>
    <w:p w14:paraId="06FF54D4">
      <w:pPr>
        <w:pStyle w:val="4"/>
        <w:pageBreakBefore w:val="0"/>
        <w:wordWrap w:val="0"/>
        <w:overflowPunct/>
        <w:bidi w:val="0"/>
        <w:spacing w:before="0" w:after="0" w:line="360" w:lineRule="auto"/>
        <w:jc w:val="center"/>
        <w:rPr>
          <w:rFonts w:cs="宋体"/>
          <w:color w:val="auto"/>
          <w:sz w:val="24"/>
          <w:szCs w:val="24"/>
          <w:highlight w:val="none"/>
          <w:u w:val="none"/>
        </w:rPr>
      </w:pPr>
      <w:r>
        <w:rPr>
          <w:rFonts w:hint="eastAsia" w:cs="宋体"/>
          <w:color w:val="auto"/>
          <w:sz w:val="24"/>
          <w:szCs w:val="24"/>
          <w:highlight w:val="none"/>
          <w:u w:val="none"/>
          <w:lang w:val="en-US" w:eastAsia="zh-CN"/>
        </w:rPr>
        <w:t xml:space="preserve">二标段 </w:t>
      </w:r>
      <w:r>
        <w:rPr>
          <w:rFonts w:hint="eastAsia" w:cs="宋体"/>
          <w:color w:val="auto"/>
          <w:sz w:val="24"/>
          <w:szCs w:val="24"/>
          <w:highlight w:val="none"/>
          <w:u w:val="none"/>
        </w:rPr>
        <w:t>资格审查前附表</w:t>
      </w:r>
    </w:p>
    <w:tbl>
      <w:tblPr>
        <w:tblStyle w:val="22"/>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876"/>
        <w:gridCol w:w="2103"/>
        <w:gridCol w:w="5410"/>
      </w:tblGrid>
      <w:tr w14:paraId="23BB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6" w:type="dxa"/>
            <w:gridSpan w:val="2"/>
            <w:vAlign w:val="center"/>
          </w:tcPr>
          <w:p w14:paraId="1BCE5D1E">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条款</w:t>
            </w:r>
          </w:p>
        </w:tc>
        <w:tc>
          <w:tcPr>
            <w:tcW w:w="2103" w:type="dxa"/>
            <w:vAlign w:val="center"/>
          </w:tcPr>
          <w:p w14:paraId="4A02A0FC">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评审因素</w:t>
            </w:r>
          </w:p>
        </w:tc>
        <w:tc>
          <w:tcPr>
            <w:tcW w:w="5410" w:type="dxa"/>
            <w:vAlign w:val="center"/>
          </w:tcPr>
          <w:p w14:paraId="578A301B">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评审标准</w:t>
            </w:r>
          </w:p>
        </w:tc>
      </w:tr>
      <w:tr w14:paraId="46D9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dxa"/>
            <w:vMerge w:val="restart"/>
            <w:vAlign w:val="center"/>
          </w:tcPr>
          <w:p w14:paraId="31572C9B">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lang w:val="en-US" w:eastAsia="zh-CN"/>
              </w:rPr>
              <w:t>1</w:t>
            </w:r>
            <w:r>
              <w:rPr>
                <w:rFonts w:hint="eastAsia"/>
                <w:color w:val="auto"/>
                <w:kern w:val="0"/>
                <w:sz w:val="24"/>
                <w:highlight w:val="none"/>
                <w:u w:val="none"/>
              </w:rPr>
              <w:t>.1.1</w:t>
            </w:r>
          </w:p>
        </w:tc>
        <w:tc>
          <w:tcPr>
            <w:tcW w:w="876" w:type="dxa"/>
            <w:vMerge w:val="restart"/>
            <w:vAlign w:val="center"/>
          </w:tcPr>
          <w:p w14:paraId="2D147AE1">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符合性评审</w:t>
            </w:r>
          </w:p>
        </w:tc>
        <w:tc>
          <w:tcPr>
            <w:tcW w:w="2103" w:type="dxa"/>
            <w:vAlign w:val="center"/>
          </w:tcPr>
          <w:p w14:paraId="7432D01F">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供应商名称</w:t>
            </w:r>
          </w:p>
        </w:tc>
        <w:tc>
          <w:tcPr>
            <w:tcW w:w="5410" w:type="dxa"/>
            <w:vAlign w:val="center"/>
          </w:tcPr>
          <w:p w14:paraId="5C599D35">
            <w:pPr>
              <w:pageBreakBefore w:val="0"/>
              <w:widowControl/>
              <w:wordWrap w:val="0"/>
              <w:overflowPunct/>
              <w:topLinePunct/>
              <w:bidi w:val="0"/>
              <w:spacing w:line="360" w:lineRule="auto"/>
              <w:jc w:val="left"/>
              <w:rPr>
                <w:color w:val="auto"/>
                <w:kern w:val="0"/>
                <w:sz w:val="24"/>
                <w:highlight w:val="none"/>
                <w:u w:val="none"/>
              </w:rPr>
            </w:pPr>
            <w:r>
              <w:rPr>
                <w:rFonts w:hint="eastAsia"/>
                <w:bCs/>
                <w:color w:val="auto"/>
                <w:kern w:val="0"/>
                <w:sz w:val="24"/>
                <w:highlight w:val="none"/>
                <w:u w:val="none"/>
              </w:rPr>
              <w:t>与营业执照、资质证书一致</w:t>
            </w:r>
          </w:p>
        </w:tc>
      </w:tr>
      <w:tr w14:paraId="4A4C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continue"/>
            <w:vAlign w:val="center"/>
          </w:tcPr>
          <w:p w14:paraId="2DEC04C0">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7FA85911">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18977596">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响应文件签字、盖章</w:t>
            </w:r>
          </w:p>
        </w:tc>
        <w:tc>
          <w:tcPr>
            <w:tcW w:w="5410" w:type="dxa"/>
            <w:vAlign w:val="center"/>
          </w:tcPr>
          <w:p w14:paraId="65579789">
            <w:pPr>
              <w:pageBreakBefore w:val="0"/>
              <w:widowControl/>
              <w:wordWrap w:val="0"/>
              <w:overflowPunct/>
              <w:topLinePunct/>
              <w:bidi w:val="0"/>
              <w:spacing w:line="360" w:lineRule="auto"/>
              <w:jc w:val="left"/>
              <w:rPr>
                <w:color w:val="auto"/>
                <w:kern w:val="0"/>
                <w:sz w:val="24"/>
                <w:highlight w:val="none"/>
                <w:u w:val="none"/>
              </w:rPr>
            </w:pPr>
            <w:r>
              <w:rPr>
                <w:rFonts w:hint="eastAsia"/>
                <w:color w:val="auto"/>
                <w:sz w:val="24"/>
                <w:highlight w:val="none"/>
                <w:u w:val="none"/>
              </w:rPr>
              <w:t>响应文件按征集文件要求签字、盖章的</w:t>
            </w:r>
          </w:p>
        </w:tc>
      </w:tr>
      <w:tr w14:paraId="7C84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continue"/>
            <w:vAlign w:val="center"/>
          </w:tcPr>
          <w:p w14:paraId="3EBA995A">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5307B3CA">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1693B431">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报价唯一</w:t>
            </w:r>
          </w:p>
        </w:tc>
        <w:tc>
          <w:tcPr>
            <w:tcW w:w="5410" w:type="dxa"/>
            <w:vAlign w:val="center"/>
          </w:tcPr>
          <w:p w14:paraId="284B9971">
            <w:pPr>
              <w:pageBreakBefore w:val="0"/>
              <w:widowControl/>
              <w:wordWrap w:val="0"/>
              <w:overflowPunct/>
              <w:topLinePunct/>
              <w:bidi w:val="0"/>
              <w:spacing w:line="360" w:lineRule="auto"/>
              <w:jc w:val="left"/>
              <w:rPr>
                <w:color w:val="auto"/>
                <w:kern w:val="0"/>
                <w:sz w:val="24"/>
                <w:highlight w:val="none"/>
                <w:u w:val="none"/>
              </w:rPr>
            </w:pPr>
            <w:r>
              <w:rPr>
                <w:rFonts w:hint="eastAsia"/>
                <w:color w:val="auto"/>
                <w:kern w:val="0"/>
                <w:sz w:val="24"/>
                <w:highlight w:val="none"/>
                <w:u w:val="none"/>
              </w:rPr>
              <w:t>只能有一个有效报价</w:t>
            </w:r>
          </w:p>
        </w:tc>
      </w:tr>
      <w:tr w14:paraId="1378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exact"/>
          <w:jc w:val="center"/>
        </w:trPr>
        <w:tc>
          <w:tcPr>
            <w:tcW w:w="990" w:type="dxa"/>
            <w:vMerge w:val="restart"/>
            <w:vAlign w:val="center"/>
          </w:tcPr>
          <w:p w14:paraId="0EB9F50B">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lang w:val="en-US" w:eastAsia="zh-CN"/>
              </w:rPr>
              <w:t>1</w:t>
            </w:r>
            <w:r>
              <w:rPr>
                <w:rFonts w:hint="eastAsia"/>
                <w:color w:val="auto"/>
                <w:kern w:val="0"/>
                <w:sz w:val="24"/>
                <w:highlight w:val="none"/>
                <w:u w:val="none"/>
              </w:rPr>
              <w:t>.1.2</w:t>
            </w:r>
          </w:p>
        </w:tc>
        <w:tc>
          <w:tcPr>
            <w:tcW w:w="876" w:type="dxa"/>
            <w:vMerge w:val="restart"/>
            <w:vAlign w:val="center"/>
          </w:tcPr>
          <w:p w14:paraId="7601EAD2">
            <w:pPr>
              <w:pageBreakBefore w:val="0"/>
              <w:widowControl/>
              <w:wordWrap w:val="0"/>
              <w:overflowPunct/>
              <w:topLinePunct/>
              <w:bidi w:val="0"/>
              <w:spacing w:line="360" w:lineRule="auto"/>
              <w:jc w:val="center"/>
              <w:rPr>
                <w:rFonts w:hint="eastAsia"/>
                <w:color w:val="auto"/>
                <w:kern w:val="0"/>
                <w:sz w:val="24"/>
                <w:highlight w:val="none"/>
                <w:u w:val="none"/>
              </w:rPr>
            </w:pPr>
            <w:r>
              <w:rPr>
                <w:rFonts w:hint="eastAsia"/>
                <w:color w:val="auto"/>
                <w:sz w:val="24"/>
                <w:highlight w:val="none"/>
                <w:u w:val="none"/>
              </w:rPr>
              <w:t>资格审查</w:t>
            </w:r>
            <w:r>
              <w:rPr>
                <w:rFonts w:hint="eastAsia"/>
                <w:color w:val="auto"/>
                <w:kern w:val="0"/>
                <w:sz w:val="24"/>
                <w:highlight w:val="none"/>
                <w:u w:val="none"/>
              </w:rPr>
              <w:t>标准</w:t>
            </w:r>
          </w:p>
          <w:p w14:paraId="56804E29">
            <w:pPr>
              <w:pageBreakBefore w:val="0"/>
              <w:widowControl/>
              <w:wordWrap w:val="0"/>
              <w:overflowPunct/>
              <w:topLinePunct/>
              <w:bidi w:val="0"/>
              <w:spacing w:line="360" w:lineRule="auto"/>
              <w:jc w:val="both"/>
              <w:rPr>
                <w:rFonts w:hint="eastAsia" w:eastAsia="宋体"/>
                <w:color w:val="auto"/>
                <w:kern w:val="0"/>
                <w:sz w:val="24"/>
                <w:highlight w:val="none"/>
                <w:u w:val="none"/>
                <w:lang w:val="en-US" w:eastAsia="zh-CN"/>
              </w:rPr>
            </w:pPr>
          </w:p>
        </w:tc>
        <w:tc>
          <w:tcPr>
            <w:tcW w:w="2103" w:type="dxa"/>
            <w:vAlign w:val="center"/>
          </w:tcPr>
          <w:p w14:paraId="72100C11">
            <w:pPr>
              <w:spacing w:line="5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满足《中华人民共和国政府采购法》第二十二条规定</w:t>
            </w:r>
          </w:p>
        </w:tc>
        <w:tc>
          <w:tcPr>
            <w:tcW w:w="5410" w:type="dxa"/>
            <w:vAlign w:val="center"/>
          </w:tcPr>
          <w:p w14:paraId="3E5803E9">
            <w:pPr>
              <w:spacing w:line="5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满足《中华人民共和国政府采购法》第二十二条规定，提供承诺书</w:t>
            </w:r>
          </w:p>
        </w:tc>
      </w:tr>
      <w:tr w14:paraId="7221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exact"/>
          <w:jc w:val="center"/>
        </w:trPr>
        <w:tc>
          <w:tcPr>
            <w:tcW w:w="990" w:type="dxa"/>
            <w:vMerge w:val="continue"/>
            <w:vAlign w:val="center"/>
          </w:tcPr>
          <w:p w14:paraId="622FFAE7">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1D449DD3">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319080FA">
            <w:pPr>
              <w:spacing w:line="500" w:lineRule="exact"/>
              <w:jc w:val="center"/>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营业执照</w:t>
            </w:r>
          </w:p>
        </w:tc>
        <w:tc>
          <w:tcPr>
            <w:tcW w:w="5410" w:type="dxa"/>
            <w:vAlign w:val="center"/>
          </w:tcPr>
          <w:p w14:paraId="6CDBA96C">
            <w:pPr>
              <w:spacing w:line="500" w:lineRule="exact"/>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供应商须具有独立承担民事责任的能力，需提供有效的营业执照或其他证明材料；</w:t>
            </w:r>
          </w:p>
        </w:tc>
      </w:tr>
      <w:tr w14:paraId="20C6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exact"/>
          <w:jc w:val="center"/>
        </w:trPr>
        <w:tc>
          <w:tcPr>
            <w:tcW w:w="990" w:type="dxa"/>
            <w:vMerge w:val="continue"/>
            <w:vAlign w:val="center"/>
          </w:tcPr>
          <w:p w14:paraId="6FB1FB57">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1318DAA5">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0164E619">
            <w:pPr>
              <w:spacing w:line="500" w:lineRule="exact"/>
              <w:jc w:val="center"/>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企业税收和社保</w:t>
            </w:r>
          </w:p>
        </w:tc>
        <w:tc>
          <w:tcPr>
            <w:tcW w:w="5410" w:type="dxa"/>
            <w:vAlign w:val="center"/>
          </w:tcPr>
          <w:p w14:paraId="154DE44D">
            <w:pPr>
              <w:spacing w:line="50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提供企业近半年任意连续三个月依法缴纳税收的证明资料（新成立的企业从成立之日起计算）；依法免税的投标响应人，应提供相应文件证明其依法免税；</w:t>
            </w:r>
          </w:p>
          <w:p w14:paraId="3052B3E6">
            <w:pPr>
              <w:spacing w:line="500" w:lineRule="exact"/>
              <w:rPr>
                <w:rFonts w:ascii="宋体" w:hAnsi="宋体" w:eastAsia="宋体" w:cs="宋体"/>
                <w:color w:val="auto"/>
                <w:kern w:val="2"/>
                <w:sz w:val="24"/>
                <w:szCs w:val="24"/>
                <w:highlight w:val="none"/>
                <w:lang w:val="en-US" w:eastAsia="zh-CN" w:bidi="ar-SA"/>
              </w:rPr>
            </w:pPr>
          </w:p>
        </w:tc>
      </w:tr>
      <w:tr w14:paraId="4B38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exact"/>
          <w:jc w:val="center"/>
        </w:trPr>
        <w:tc>
          <w:tcPr>
            <w:tcW w:w="990" w:type="dxa"/>
            <w:vMerge w:val="continue"/>
            <w:vAlign w:val="center"/>
          </w:tcPr>
          <w:p w14:paraId="417A217D">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3DC3A949">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25FC17E2">
            <w:pPr>
              <w:spacing w:line="500" w:lineRule="exact"/>
              <w:jc w:val="center"/>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项目负责人</w:t>
            </w:r>
          </w:p>
        </w:tc>
        <w:tc>
          <w:tcPr>
            <w:tcW w:w="5410" w:type="dxa"/>
            <w:vAlign w:val="center"/>
          </w:tcPr>
          <w:p w14:paraId="557DF0A6">
            <w:pPr>
              <w:spacing w:line="500" w:lineRule="exact"/>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val="en-US" w:eastAsia="zh-CN"/>
              </w:rPr>
              <w:t>项目负责人为本单位正式员工（提供劳动合同）且已参加社会保险，提供近半年任意连续三个月参加社会养老保险的缴费证明（新成立企业从成立之日起计算）</w:t>
            </w:r>
          </w:p>
        </w:tc>
      </w:tr>
      <w:tr w14:paraId="2B95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exact"/>
          <w:jc w:val="center"/>
        </w:trPr>
        <w:tc>
          <w:tcPr>
            <w:tcW w:w="990" w:type="dxa"/>
            <w:vMerge w:val="continue"/>
            <w:vAlign w:val="center"/>
          </w:tcPr>
          <w:p w14:paraId="4D70A586">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3064DAA2">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76DAD022">
            <w:pPr>
              <w:spacing w:line="5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财务</w:t>
            </w:r>
            <w:r>
              <w:rPr>
                <w:rFonts w:hint="eastAsia" w:ascii="宋体" w:hAnsi="宋体" w:cs="宋体"/>
                <w:color w:val="auto"/>
                <w:sz w:val="24"/>
                <w:highlight w:val="none"/>
                <w:lang w:val="en-US" w:eastAsia="zh-CN"/>
              </w:rPr>
              <w:t>状况</w:t>
            </w:r>
          </w:p>
        </w:tc>
        <w:tc>
          <w:tcPr>
            <w:tcW w:w="5410" w:type="dxa"/>
            <w:vAlign w:val="center"/>
          </w:tcPr>
          <w:p w14:paraId="3225961D">
            <w:pPr>
              <w:spacing w:line="50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具有良好的商业信誉和健全的财务会计制度，提供2025年度财务审计报告或财务报表；</w:t>
            </w:r>
          </w:p>
          <w:p w14:paraId="29E3622B">
            <w:pPr>
              <w:spacing w:line="500" w:lineRule="exact"/>
              <w:rPr>
                <w:rFonts w:ascii="宋体" w:hAnsi="宋体" w:eastAsia="宋体" w:cs="宋体"/>
                <w:color w:val="auto"/>
                <w:kern w:val="2"/>
                <w:sz w:val="24"/>
                <w:szCs w:val="24"/>
                <w:highlight w:val="none"/>
                <w:lang w:val="en-US" w:eastAsia="zh-CN" w:bidi="ar-SA"/>
              </w:rPr>
            </w:pPr>
          </w:p>
        </w:tc>
      </w:tr>
      <w:tr w14:paraId="3940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exact"/>
          <w:jc w:val="center"/>
        </w:trPr>
        <w:tc>
          <w:tcPr>
            <w:tcW w:w="990" w:type="dxa"/>
            <w:vMerge w:val="continue"/>
            <w:vAlign w:val="center"/>
          </w:tcPr>
          <w:p w14:paraId="3470D022">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136EE23D">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22CEE2D9">
            <w:pPr>
              <w:pStyle w:val="11"/>
              <w:spacing w:line="500" w:lineRule="exact"/>
              <w:jc w:val="center"/>
              <w:rPr>
                <w:rFonts w:ascii="宋体" w:hAnsi="宋体" w:eastAsia="宋体" w:cs="宋体"/>
                <w:color w:val="auto"/>
                <w:kern w:val="2"/>
                <w:sz w:val="24"/>
                <w:szCs w:val="21"/>
                <w:highlight w:val="none"/>
                <w:lang w:val="en-US" w:eastAsia="zh-CN" w:bidi="ar-SA"/>
              </w:rPr>
            </w:pPr>
            <w:r>
              <w:rPr>
                <w:rFonts w:hint="eastAsia" w:hAnsi="宋体" w:cs="宋体"/>
                <w:color w:val="auto"/>
                <w:sz w:val="24"/>
                <w:highlight w:val="none"/>
              </w:rPr>
              <w:t>企业履行合同能力</w:t>
            </w:r>
          </w:p>
        </w:tc>
        <w:tc>
          <w:tcPr>
            <w:tcW w:w="5410" w:type="dxa"/>
            <w:vAlign w:val="center"/>
          </w:tcPr>
          <w:p w14:paraId="57A39A6C">
            <w:pPr>
              <w:spacing w:line="500" w:lineRule="exact"/>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具有履行合同所必需的设备和专业技术能力（提供承诺书，格式自拟）</w:t>
            </w:r>
          </w:p>
        </w:tc>
      </w:tr>
      <w:tr w14:paraId="4A6D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1" w:hRule="exact"/>
          <w:jc w:val="center"/>
        </w:trPr>
        <w:tc>
          <w:tcPr>
            <w:tcW w:w="990" w:type="dxa"/>
            <w:vMerge w:val="continue"/>
            <w:vAlign w:val="center"/>
          </w:tcPr>
          <w:p w14:paraId="7962D3EC">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7583F17E">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633DD5B3">
            <w:pPr>
              <w:pageBreakBefore w:val="0"/>
              <w:widowControl/>
              <w:wordWrap w:val="0"/>
              <w:overflowPunct/>
              <w:topLinePunct/>
              <w:bidi w:val="0"/>
              <w:spacing w:line="360" w:lineRule="auto"/>
              <w:jc w:val="center"/>
              <w:rPr>
                <w:rFonts w:hint="eastAsia" w:eastAsia="宋体"/>
                <w:color w:val="auto"/>
                <w:kern w:val="0"/>
                <w:sz w:val="24"/>
                <w:highlight w:val="none"/>
                <w:u w:val="none"/>
                <w:lang w:eastAsia="zh-CN"/>
              </w:rPr>
            </w:pPr>
            <w:r>
              <w:rPr>
                <w:rFonts w:hint="eastAsia"/>
                <w:color w:val="auto"/>
                <w:kern w:val="0"/>
                <w:sz w:val="24"/>
                <w:highlight w:val="none"/>
                <w:u w:val="none"/>
                <w:lang w:eastAsia="zh-CN"/>
              </w:rPr>
              <w:t>信用查询及承诺</w:t>
            </w:r>
          </w:p>
        </w:tc>
        <w:tc>
          <w:tcPr>
            <w:tcW w:w="5410" w:type="dxa"/>
            <w:vAlign w:val="center"/>
          </w:tcPr>
          <w:p w14:paraId="5019E4B9">
            <w:pPr>
              <w:pageBreakBefore w:val="0"/>
              <w:wordWrap w:val="0"/>
              <w:overflowPunct/>
              <w:topLinePunct/>
              <w:bidi w:val="0"/>
              <w:spacing w:line="360" w:lineRule="auto"/>
              <w:rPr>
                <w:rFonts w:hint="eastAsia"/>
                <w:color w:val="auto"/>
                <w:sz w:val="24"/>
                <w:highlight w:val="none"/>
                <w:u w:val="none"/>
              </w:rPr>
            </w:pPr>
            <w:r>
              <w:rPr>
                <w:rFonts w:hint="eastAsia"/>
                <w:color w:val="auto"/>
                <w:sz w:val="24"/>
                <w:highlight w:val="none"/>
                <w:u w:val="none"/>
                <w:lang w:val="en-US" w:eastAsia="zh-CN"/>
              </w:rPr>
              <w:t>1</w:t>
            </w:r>
            <w:r>
              <w:rPr>
                <w:rFonts w:hint="eastAsia"/>
                <w:color w:val="auto"/>
                <w:sz w:val="24"/>
                <w:highlight w:val="none"/>
                <w:u w:val="none"/>
              </w:rPr>
              <w:t>、参加政府采购活动前3年内无行贿犯罪记录、商业贿赂、不正当竞争行为、骗取中标、严重违约等问题；供应商出具无行贿犯罪记录在中国裁判文书网自行查询或自行承诺（查询对象：企业、法定代表人）；</w:t>
            </w:r>
          </w:p>
          <w:p w14:paraId="235E0646">
            <w:pPr>
              <w:pageBreakBefore w:val="0"/>
              <w:wordWrap w:val="0"/>
              <w:overflowPunct/>
              <w:topLinePunct/>
              <w:bidi w:val="0"/>
              <w:spacing w:line="360" w:lineRule="auto"/>
              <w:rPr>
                <w:rFonts w:hint="eastAsia"/>
                <w:color w:val="auto"/>
                <w:sz w:val="24"/>
                <w:highlight w:val="none"/>
                <w:u w:val="none"/>
              </w:rPr>
            </w:pPr>
            <w:r>
              <w:rPr>
                <w:rFonts w:hint="eastAsia"/>
                <w:color w:val="auto"/>
                <w:sz w:val="24"/>
                <w:highlight w:val="none"/>
                <w:u w:val="none"/>
                <w:lang w:val="en-US" w:eastAsia="zh-CN"/>
              </w:rPr>
              <w:t>2</w:t>
            </w:r>
            <w:r>
              <w:rPr>
                <w:rFonts w:hint="eastAsia"/>
                <w:color w:val="auto"/>
                <w:sz w:val="24"/>
                <w:highlight w:val="none"/>
                <w:u w:val="none"/>
              </w:rPr>
              <w:t>、提供企业注册地工商管理部门出具的无商业贿赂和不正当竞争行为的查询证明（若当地工商管理部门不办理此项业务，供应商须自行出具本企业无商业贿赂和不正当竞争行为承诺书）；</w:t>
            </w:r>
          </w:p>
          <w:p w14:paraId="3D2075E5">
            <w:pPr>
              <w:pageBreakBefore w:val="0"/>
              <w:wordWrap w:val="0"/>
              <w:overflowPunct/>
              <w:topLinePunct/>
              <w:bidi w:val="0"/>
              <w:spacing w:line="360" w:lineRule="auto"/>
              <w:rPr>
                <w:color w:val="auto"/>
                <w:sz w:val="24"/>
                <w:highlight w:val="none"/>
                <w:u w:val="none"/>
              </w:rPr>
            </w:pPr>
            <w:r>
              <w:rPr>
                <w:rFonts w:hint="eastAsia"/>
                <w:color w:val="auto"/>
                <w:sz w:val="24"/>
                <w:highlight w:val="none"/>
                <w:u w:val="none"/>
                <w:lang w:val="en-US" w:eastAsia="zh-CN"/>
              </w:rPr>
              <w:t>3</w:t>
            </w:r>
            <w:r>
              <w:rPr>
                <w:rFonts w:hint="eastAsia"/>
                <w:color w:val="auto"/>
                <w:sz w:val="24"/>
                <w:highlight w:val="none"/>
                <w:u w:val="none"/>
              </w:rPr>
              <w:t>、据《关于在政府采购活动中查询及使用信用记录有关问题的通知》(财库[2016]125号)和豫财购【2016】15号的规定，企业没有被列入“信用中国”网站的“失信被执行人”、“重大税收违法失信主体”、“政府采购严重违法失信行为记录名单”及“中国政府采购网”网站的“政府采购严重违法失信行为信息记录”的响应人；（查询渠道：“信用中国”网站（www.creditchina.gov.cn）、中国政府采购网（www.ccgp.gov.cn）；提供网站的查询信息截图；(注：査询时间必须是征集公告发布以后开标时间以前并提供网站查询网页截图，查询结果清晰可见)；</w:t>
            </w:r>
          </w:p>
        </w:tc>
      </w:tr>
      <w:tr w14:paraId="79BC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90" w:type="dxa"/>
            <w:vMerge w:val="continue"/>
            <w:vAlign w:val="center"/>
          </w:tcPr>
          <w:p w14:paraId="5B163F8D">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6E0B85FC">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5DA30F28">
            <w:pPr>
              <w:pStyle w:val="39"/>
              <w:wordWrap w:val="0"/>
              <w:spacing w:line="360" w:lineRule="auto"/>
              <w:jc w:val="center"/>
              <w:rPr>
                <w:rFonts w:ascii="宋体" w:hAnsi="宋体" w:eastAsia="宋体" w:cs="宋体"/>
                <w:color w:val="auto"/>
                <w:kern w:val="2"/>
                <w:sz w:val="24"/>
                <w:szCs w:val="24"/>
                <w:highlight w:val="none"/>
                <w:lang w:val="en-US" w:eastAsia="zh-CN" w:bidi="ar-SA"/>
              </w:rPr>
            </w:pPr>
            <w:r>
              <w:rPr>
                <w:rFonts w:hint="eastAsia" w:hAnsi="宋体" w:cs="宋体"/>
                <w:color w:val="auto"/>
                <w:sz w:val="24"/>
                <w:szCs w:val="24"/>
                <w:highlight w:val="none"/>
              </w:rPr>
              <w:t>其他内容</w:t>
            </w:r>
          </w:p>
        </w:tc>
        <w:tc>
          <w:tcPr>
            <w:tcW w:w="5410" w:type="dxa"/>
            <w:vAlign w:val="center"/>
          </w:tcPr>
          <w:p w14:paraId="3B0491FA">
            <w:pPr>
              <w:wordWrap w:val="0"/>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eastAsia="zh-CN"/>
              </w:rPr>
              <w:t>征集文</w:t>
            </w:r>
            <w:r>
              <w:rPr>
                <w:rFonts w:hint="eastAsia" w:ascii="宋体" w:hAnsi="宋体" w:cs="宋体"/>
                <w:color w:val="auto"/>
                <w:sz w:val="24"/>
                <w:highlight w:val="none"/>
              </w:rPr>
              <w:t>规定的资格要求的其他内容</w:t>
            </w:r>
          </w:p>
        </w:tc>
      </w:tr>
      <w:tr w14:paraId="26D7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restart"/>
            <w:vAlign w:val="center"/>
          </w:tcPr>
          <w:p w14:paraId="1E6AAE53">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lang w:val="en-US" w:eastAsia="zh-CN"/>
              </w:rPr>
              <w:t>1</w:t>
            </w:r>
            <w:r>
              <w:rPr>
                <w:rFonts w:hint="eastAsia"/>
                <w:color w:val="auto"/>
                <w:kern w:val="0"/>
                <w:sz w:val="24"/>
                <w:highlight w:val="none"/>
                <w:u w:val="none"/>
              </w:rPr>
              <w:t>.1.3</w:t>
            </w:r>
          </w:p>
        </w:tc>
        <w:tc>
          <w:tcPr>
            <w:tcW w:w="876" w:type="dxa"/>
            <w:vMerge w:val="restart"/>
            <w:vAlign w:val="center"/>
          </w:tcPr>
          <w:p w14:paraId="5E0F2BD4">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sz w:val="24"/>
                <w:highlight w:val="none"/>
                <w:u w:val="none"/>
              </w:rPr>
              <w:t>响应性审查</w:t>
            </w:r>
            <w:r>
              <w:rPr>
                <w:rFonts w:hint="eastAsia"/>
                <w:color w:val="auto"/>
                <w:kern w:val="0"/>
                <w:sz w:val="24"/>
                <w:highlight w:val="none"/>
                <w:u w:val="none"/>
              </w:rPr>
              <w:t>标准</w:t>
            </w:r>
          </w:p>
        </w:tc>
        <w:tc>
          <w:tcPr>
            <w:tcW w:w="2103" w:type="dxa"/>
            <w:vAlign w:val="center"/>
          </w:tcPr>
          <w:p w14:paraId="599D83FA">
            <w:pPr>
              <w:pageBreakBefore w:val="0"/>
              <w:widowControl/>
              <w:wordWrap w:val="0"/>
              <w:overflowPunct/>
              <w:topLinePunct/>
              <w:bidi w:val="0"/>
              <w:spacing w:line="360" w:lineRule="auto"/>
              <w:jc w:val="center"/>
              <w:rPr>
                <w:rFonts w:hint="eastAsia" w:eastAsia="宋体"/>
                <w:color w:val="auto"/>
                <w:kern w:val="0"/>
                <w:sz w:val="24"/>
                <w:highlight w:val="none"/>
                <w:u w:val="none"/>
                <w:lang w:eastAsia="zh-CN"/>
              </w:rPr>
            </w:pPr>
            <w:r>
              <w:rPr>
                <w:rFonts w:hint="eastAsia"/>
                <w:color w:val="auto"/>
                <w:kern w:val="0"/>
                <w:sz w:val="24"/>
                <w:highlight w:val="none"/>
                <w:u w:val="none"/>
                <w:lang w:eastAsia="zh-CN"/>
              </w:rPr>
              <w:t>服务内容</w:t>
            </w:r>
          </w:p>
        </w:tc>
        <w:tc>
          <w:tcPr>
            <w:tcW w:w="5410" w:type="dxa"/>
            <w:vAlign w:val="center"/>
          </w:tcPr>
          <w:p w14:paraId="50A5880C">
            <w:pPr>
              <w:pageBreakBefore w:val="0"/>
              <w:widowControl/>
              <w:wordWrap w:val="0"/>
              <w:overflowPunct/>
              <w:topLinePunct/>
              <w:bidi w:val="0"/>
              <w:spacing w:line="360" w:lineRule="auto"/>
              <w:jc w:val="left"/>
              <w:rPr>
                <w:color w:val="auto"/>
                <w:kern w:val="0"/>
                <w:sz w:val="24"/>
                <w:highlight w:val="none"/>
                <w:u w:val="none"/>
              </w:rPr>
            </w:pPr>
            <w:r>
              <w:rPr>
                <w:rFonts w:hint="eastAsia"/>
                <w:color w:val="auto"/>
                <w:kern w:val="0"/>
                <w:sz w:val="24"/>
                <w:highlight w:val="none"/>
                <w:u w:val="none"/>
              </w:rPr>
              <w:t>满足入围文件要求</w:t>
            </w:r>
          </w:p>
        </w:tc>
      </w:tr>
      <w:tr w14:paraId="0AF1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continue"/>
            <w:vAlign w:val="center"/>
          </w:tcPr>
          <w:p w14:paraId="1DC84FDF">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52D18A60">
            <w:pPr>
              <w:pageBreakBefore w:val="0"/>
              <w:widowControl/>
              <w:wordWrap w:val="0"/>
              <w:overflowPunct/>
              <w:topLinePunct/>
              <w:bidi w:val="0"/>
              <w:spacing w:line="360" w:lineRule="auto"/>
              <w:jc w:val="center"/>
              <w:rPr>
                <w:color w:val="auto"/>
                <w:sz w:val="24"/>
                <w:highlight w:val="none"/>
                <w:u w:val="none"/>
              </w:rPr>
            </w:pPr>
          </w:p>
        </w:tc>
        <w:tc>
          <w:tcPr>
            <w:tcW w:w="2103" w:type="dxa"/>
            <w:vAlign w:val="center"/>
          </w:tcPr>
          <w:p w14:paraId="2F676ED4">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投标报价</w:t>
            </w:r>
          </w:p>
        </w:tc>
        <w:tc>
          <w:tcPr>
            <w:tcW w:w="5410" w:type="dxa"/>
            <w:vAlign w:val="center"/>
          </w:tcPr>
          <w:p w14:paraId="43343188">
            <w:pPr>
              <w:pageBreakBefore w:val="0"/>
              <w:widowControl/>
              <w:wordWrap w:val="0"/>
              <w:overflowPunct/>
              <w:topLinePunct/>
              <w:bidi w:val="0"/>
              <w:spacing w:line="360" w:lineRule="auto"/>
              <w:jc w:val="left"/>
              <w:rPr>
                <w:color w:val="auto"/>
                <w:kern w:val="0"/>
                <w:sz w:val="24"/>
                <w:highlight w:val="none"/>
                <w:u w:val="none"/>
              </w:rPr>
            </w:pPr>
            <w:r>
              <w:rPr>
                <w:rFonts w:hint="eastAsia"/>
                <w:color w:val="auto"/>
                <w:kern w:val="0"/>
                <w:sz w:val="24"/>
                <w:highlight w:val="none"/>
                <w:u w:val="none"/>
              </w:rPr>
              <w:t>报价未超过公开征集文件中规定的最高限价</w:t>
            </w:r>
          </w:p>
        </w:tc>
      </w:tr>
      <w:tr w14:paraId="0F27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continue"/>
            <w:vAlign w:val="center"/>
          </w:tcPr>
          <w:p w14:paraId="2B52C818">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5842595F">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72DBFFCE">
            <w:pPr>
              <w:pageBreakBefore w:val="0"/>
              <w:widowControl/>
              <w:wordWrap w:val="0"/>
              <w:overflowPunct/>
              <w:topLinePunct/>
              <w:bidi w:val="0"/>
              <w:spacing w:line="360" w:lineRule="auto"/>
              <w:jc w:val="center"/>
              <w:rPr>
                <w:rFonts w:hint="eastAsia"/>
                <w:color w:val="auto"/>
                <w:kern w:val="0"/>
                <w:sz w:val="24"/>
                <w:highlight w:val="none"/>
                <w:u w:val="none"/>
              </w:rPr>
            </w:pPr>
            <w:r>
              <w:rPr>
                <w:rFonts w:hint="eastAsia"/>
                <w:color w:val="auto"/>
                <w:kern w:val="0"/>
                <w:sz w:val="24"/>
                <w:highlight w:val="none"/>
                <w:u w:val="none"/>
                <w:lang w:val="en-US" w:eastAsia="zh-CN"/>
              </w:rPr>
              <w:t>服务期（框架协议期限）</w:t>
            </w:r>
          </w:p>
        </w:tc>
        <w:tc>
          <w:tcPr>
            <w:tcW w:w="5410" w:type="dxa"/>
            <w:vAlign w:val="center"/>
          </w:tcPr>
          <w:p w14:paraId="034E50C7">
            <w:pPr>
              <w:pageBreakBefore w:val="0"/>
              <w:widowControl/>
              <w:wordWrap w:val="0"/>
              <w:overflowPunct/>
              <w:topLinePunct/>
              <w:bidi w:val="0"/>
              <w:spacing w:line="360" w:lineRule="auto"/>
              <w:jc w:val="left"/>
              <w:rPr>
                <w:rFonts w:hint="eastAsia"/>
                <w:color w:val="auto"/>
                <w:sz w:val="24"/>
                <w:highlight w:val="none"/>
                <w:u w:val="none"/>
              </w:rPr>
            </w:pPr>
            <w:r>
              <w:rPr>
                <w:rFonts w:hint="eastAsia" w:ascii="宋体" w:hAnsi="宋体" w:eastAsia="宋体" w:cs="Times New Roman"/>
                <w:bCs/>
                <w:color w:val="auto"/>
                <w:sz w:val="24"/>
                <w:szCs w:val="24"/>
                <w:highlight w:val="none"/>
                <w:u w:val="none"/>
                <w:lang w:val="en-US" w:eastAsia="zh-CN"/>
              </w:rPr>
              <w:t>自框架协议签订之日起</w:t>
            </w:r>
            <w:r>
              <w:rPr>
                <w:rFonts w:hint="eastAsia" w:cs="Times New Roman"/>
                <w:bCs/>
                <w:color w:val="auto"/>
                <w:sz w:val="24"/>
                <w:szCs w:val="24"/>
                <w:highlight w:val="none"/>
                <w:u w:val="none"/>
                <w:lang w:val="en-US" w:eastAsia="zh-CN"/>
              </w:rPr>
              <w:t>2</w:t>
            </w:r>
            <w:r>
              <w:rPr>
                <w:rFonts w:hint="eastAsia" w:ascii="宋体" w:hAnsi="宋体" w:eastAsia="宋体" w:cs="Times New Roman"/>
                <w:bCs/>
                <w:color w:val="auto"/>
                <w:sz w:val="24"/>
                <w:szCs w:val="24"/>
                <w:highlight w:val="none"/>
                <w:u w:val="none"/>
                <w:lang w:val="en-US" w:eastAsia="zh-CN"/>
              </w:rPr>
              <w:t>年</w:t>
            </w:r>
          </w:p>
        </w:tc>
      </w:tr>
      <w:tr w14:paraId="3B93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continue"/>
            <w:vAlign w:val="center"/>
          </w:tcPr>
          <w:p w14:paraId="6B3377A8">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7549165C">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65304A63">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kern w:val="0"/>
                <w:sz w:val="24"/>
                <w:highlight w:val="none"/>
                <w:u w:val="none"/>
              </w:rPr>
              <w:t>质量标准</w:t>
            </w:r>
          </w:p>
        </w:tc>
        <w:tc>
          <w:tcPr>
            <w:tcW w:w="5410" w:type="dxa"/>
            <w:vAlign w:val="center"/>
          </w:tcPr>
          <w:p w14:paraId="0185B9D9">
            <w:pPr>
              <w:pageBreakBefore w:val="0"/>
              <w:widowControl/>
              <w:wordWrap w:val="0"/>
              <w:overflowPunct/>
              <w:topLinePunct/>
              <w:bidi w:val="0"/>
              <w:spacing w:line="360" w:lineRule="auto"/>
              <w:jc w:val="left"/>
              <w:rPr>
                <w:color w:val="auto"/>
                <w:kern w:val="0"/>
                <w:sz w:val="24"/>
                <w:highlight w:val="none"/>
                <w:u w:val="none"/>
              </w:rPr>
            </w:pPr>
            <w:r>
              <w:rPr>
                <w:rFonts w:hint="eastAsia"/>
                <w:color w:val="auto"/>
                <w:kern w:val="0"/>
                <w:sz w:val="24"/>
                <w:highlight w:val="none"/>
                <w:u w:val="none"/>
                <w:lang w:val="en-US" w:eastAsia="zh-CN"/>
              </w:rPr>
              <w:t>满足国家、行业相关规范要求</w:t>
            </w:r>
          </w:p>
        </w:tc>
      </w:tr>
      <w:tr w14:paraId="117C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90" w:type="dxa"/>
            <w:vMerge w:val="continue"/>
            <w:vAlign w:val="center"/>
          </w:tcPr>
          <w:p w14:paraId="733EF11E">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03469B37">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33244BD7">
            <w:pPr>
              <w:pageBreakBefore w:val="0"/>
              <w:widowControl/>
              <w:wordWrap w:val="0"/>
              <w:overflowPunct/>
              <w:topLinePunct/>
              <w:bidi w:val="0"/>
              <w:spacing w:line="360" w:lineRule="auto"/>
              <w:jc w:val="center"/>
              <w:rPr>
                <w:color w:val="auto"/>
                <w:kern w:val="0"/>
                <w:sz w:val="24"/>
                <w:highlight w:val="none"/>
                <w:u w:val="none"/>
              </w:rPr>
            </w:pPr>
            <w:r>
              <w:rPr>
                <w:rFonts w:hint="eastAsia"/>
                <w:color w:val="auto"/>
                <w:sz w:val="24"/>
                <w:highlight w:val="none"/>
                <w:u w:val="none"/>
              </w:rPr>
              <w:t>响应文件有效期</w:t>
            </w:r>
          </w:p>
        </w:tc>
        <w:tc>
          <w:tcPr>
            <w:tcW w:w="5410" w:type="dxa"/>
            <w:vAlign w:val="center"/>
          </w:tcPr>
          <w:p w14:paraId="5577EEEA">
            <w:pPr>
              <w:pageBreakBefore w:val="0"/>
              <w:widowControl/>
              <w:wordWrap w:val="0"/>
              <w:overflowPunct/>
              <w:topLinePunct/>
              <w:bidi w:val="0"/>
              <w:spacing w:line="360" w:lineRule="auto"/>
              <w:jc w:val="left"/>
              <w:rPr>
                <w:color w:val="auto"/>
                <w:kern w:val="0"/>
                <w:sz w:val="24"/>
                <w:highlight w:val="none"/>
                <w:u w:val="none"/>
              </w:rPr>
            </w:pPr>
            <w:r>
              <w:rPr>
                <w:rFonts w:hint="eastAsia"/>
                <w:color w:val="auto"/>
                <w:sz w:val="24"/>
                <w:highlight w:val="none"/>
                <w:u w:val="none"/>
              </w:rPr>
              <w:t>自投标截止之日起</w:t>
            </w:r>
            <w:r>
              <w:rPr>
                <w:color w:val="auto"/>
                <w:sz w:val="24"/>
                <w:highlight w:val="none"/>
                <w:u w:val="none"/>
              </w:rPr>
              <w:t>60日历天</w:t>
            </w:r>
          </w:p>
        </w:tc>
      </w:tr>
      <w:tr w14:paraId="7A96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90" w:type="dxa"/>
            <w:vMerge w:val="continue"/>
            <w:vAlign w:val="center"/>
          </w:tcPr>
          <w:p w14:paraId="4D8D7B90">
            <w:pPr>
              <w:pageBreakBefore w:val="0"/>
              <w:widowControl/>
              <w:wordWrap w:val="0"/>
              <w:overflowPunct/>
              <w:topLinePunct/>
              <w:bidi w:val="0"/>
              <w:spacing w:line="360" w:lineRule="auto"/>
              <w:jc w:val="center"/>
              <w:rPr>
                <w:color w:val="auto"/>
                <w:kern w:val="0"/>
                <w:sz w:val="24"/>
                <w:highlight w:val="none"/>
                <w:u w:val="none"/>
              </w:rPr>
            </w:pPr>
          </w:p>
        </w:tc>
        <w:tc>
          <w:tcPr>
            <w:tcW w:w="876" w:type="dxa"/>
            <w:vMerge w:val="continue"/>
            <w:vAlign w:val="center"/>
          </w:tcPr>
          <w:p w14:paraId="3DAFC4AD">
            <w:pPr>
              <w:pageBreakBefore w:val="0"/>
              <w:widowControl/>
              <w:wordWrap w:val="0"/>
              <w:overflowPunct/>
              <w:topLinePunct/>
              <w:bidi w:val="0"/>
              <w:spacing w:line="360" w:lineRule="auto"/>
              <w:jc w:val="center"/>
              <w:rPr>
                <w:color w:val="auto"/>
                <w:kern w:val="0"/>
                <w:sz w:val="24"/>
                <w:highlight w:val="none"/>
                <w:u w:val="none"/>
              </w:rPr>
            </w:pPr>
          </w:p>
        </w:tc>
        <w:tc>
          <w:tcPr>
            <w:tcW w:w="2103" w:type="dxa"/>
            <w:vAlign w:val="center"/>
          </w:tcPr>
          <w:p w14:paraId="208D925C">
            <w:pPr>
              <w:pageBreakBefore w:val="0"/>
              <w:widowControl/>
              <w:wordWrap w:val="0"/>
              <w:overflowPunct/>
              <w:topLinePunct/>
              <w:bidi w:val="0"/>
              <w:spacing w:line="360" w:lineRule="auto"/>
              <w:jc w:val="center"/>
              <w:rPr>
                <w:color w:val="auto"/>
                <w:sz w:val="24"/>
                <w:highlight w:val="none"/>
                <w:u w:val="none"/>
              </w:rPr>
            </w:pPr>
            <w:r>
              <w:rPr>
                <w:rFonts w:hint="eastAsia"/>
                <w:color w:val="auto"/>
                <w:sz w:val="24"/>
                <w:highlight w:val="none"/>
                <w:u w:val="none"/>
              </w:rPr>
              <w:t>售后服务要求</w:t>
            </w:r>
          </w:p>
        </w:tc>
        <w:tc>
          <w:tcPr>
            <w:tcW w:w="5410" w:type="dxa"/>
            <w:vAlign w:val="center"/>
          </w:tcPr>
          <w:p w14:paraId="4ADE6FD9">
            <w:pPr>
              <w:pageBreakBefore w:val="0"/>
              <w:widowControl/>
              <w:wordWrap w:val="0"/>
              <w:overflowPunct/>
              <w:topLinePunct/>
              <w:bidi w:val="0"/>
              <w:spacing w:line="360" w:lineRule="auto"/>
              <w:jc w:val="left"/>
              <w:rPr>
                <w:color w:val="auto"/>
                <w:sz w:val="24"/>
                <w:highlight w:val="none"/>
                <w:u w:val="none"/>
              </w:rPr>
            </w:pPr>
            <w:r>
              <w:rPr>
                <w:rFonts w:hint="eastAsia"/>
                <w:color w:val="auto"/>
                <w:sz w:val="24"/>
                <w:highlight w:val="none"/>
                <w:u w:val="none"/>
              </w:rPr>
              <w:t>按国家（行业）标准执行</w:t>
            </w:r>
          </w:p>
        </w:tc>
      </w:tr>
    </w:tbl>
    <w:p w14:paraId="26AD369A">
      <w:pPr>
        <w:pageBreakBefore w:val="0"/>
        <w:wordWrap w:val="0"/>
        <w:overflowPunct/>
        <w:bidi w:val="0"/>
        <w:spacing w:line="360" w:lineRule="auto"/>
        <w:rPr>
          <w:b/>
          <w:color w:val="auto"/>
          <w:sz w:val="24"/>
          <w:szCs w:val="24"/>
          <w:highlight w:val="none"/>
          <w:u w:val="none"/>
        </w:rPr>
      </w:pPr>
    </w:p>
    <w:p w14:paraId="56702CD3">
      <w:pPr>
        <w:pStyle w:val="4"/>
        <w:pageBreakBefore w:val="0"/>
        <w:numPr>
          <w:ilvl w:val="0"/>
          <w:numId w:val="11"/>
        </w:numPr>
        <w:wordWrap w:val="0"/>
        <w:overflowPunct/>
        <w:bidi w:val="0"/>
        <w:spacing w:before="0" w:after="0" w:line="360" w:lineRule="auto"/>
        <w:rPr>
          <w:rFonts w:cs="宋体"/>
          <w:color w:val="auto"/>
          <w:sz w:val="24"/>
          <w:szCs w:val="24"/>
          <w:highlight w:val="none"/>
          <w:u w:val="none"/>
        </w:rPr>
      </w:pPr>
      <w:bookmarkStart w:id="558" w:name="_Toc12258"/>
      <w:bookmarkStart w:id="559" w:name="_Toc16607"/>
      <w:bookmarkStart w:id="560" w:name="_Toc14234"/>
      <w:bookmarkStart w:id="561" w:name="_Toc25514"/>
      <w:bookmarkStart w:id="562" w:name="_Toc21337"/>
      <w:bookmarkStart w:id="563" w:name="_Toc23399"/>
      <w:bookmarkStart w:id="564" w:name="_Toc14278"/>
      <w:bookmarkStart w:id="565" w:name="_Toc17949"/>
      <w:bookmarkStart w:id="566" w:name="_Toc16266"/>
      <w:bookmarkStart w:id="567" w:name="_Toc12891"/>
      <w:bookmarkStart w:id="568" w:name="_Toc465"/>
      <w:bookmarkStart w:id="569" w:name="_Toc16293"/>
      <w:bookmarkStart w:id="570" w:name="_Toc108379361"/>
      <w:bookmarkStart w:id="571" w:name="_Toc9461"/>
      <w:bookmarkStart w:id="572" w:name="_Toc1301"/>
      <w:bookmarkStart w:id="573" w:name="_Toc12353"/>
      <w:bookmarkStart w:id="574" w:name="_Toc16179"/>
      <w:bookmarkStart w:id="575" w:name="_Toc2378"/>
      <w:r>
        <w:rPr>
          <w:rFonts w:hint="eastAsia" w:cs="宋体"/>
          <w:color w:val="auto"/>
          <w:sz w:val="24"/>
          <w:szCs w:val="24"/>
          <w:highlight w:val="none"/>
          <w:u w:val="none"/>
        </w:rPr>
        <w:t>资格审查</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35A4AFDA">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开标结束后，采购代理机构或采购人代表应当依法对供应商的资格进行审查。</w:t>
      </w:r>
    </w:p>
    <w:p w14:paraId="0FA8F7C1">
      <w:pPr>
        <w:pStyle w:val="4"/>
        <w:pageBreakBefore w:val="0"/>
        <w:numPr>
          <w:ilvl w:val="0"/>
          <w:numId w:val="11"/>
        </w:numPr>
        <w:wordWrap w:val="0"/>
        <w:overflowPunct/>
        <w:bidi w:val="0"/>
        <w:spacing w:before="0" w:after="0" w:line="360" w:lineRule="auto"/>
        <w:rPr>
          <w:rFonts w:cs="宋体"/>
          <w:color w:val="auto"/>
          <w:sz w:val="24"/>
          <w:szCs w:val="24"/>
          <w:highlight w:val="none"/>
          <w:u w:val="none"/>
        </w:rPr>
      </w:pPr>
      <w:bookmarkStart w:id="576" w:name="_Toc21593"/>
      <w:bookmarkStart w:id="577" w:name="_Toc29893"/>
      <w:bookmarkStart w:id="578" w:name="_Toc14364"/>
      <w:bookmarkStart w:id="579" w:name="_Toc8631"/>
      <w:bookmarkStart w:id="580" w:name="_Toc108379362"/>
      <w:bookmarkStart w:id="581" w:name="_Toc8366"/>
      <w:bookmarkStart w:id="582" w:name="_Toc23230"/>
      <w:bookmarkStart w:id="583" w:name="_Toc7630"/>
      <w:bookmarkStart w:id="584" w:name="_Toc10952"/>
      <w:bookmarkStart w:id="585" w:name="_Toc3310"/>
      <w:bookmarkStart w:id="586" w:name="_Toc13752"/>
      <w:bookmarkStart w:id="587" w:name="_Toc8280"/>
      <w:bookmarkStart w:id="588" w:name="_Toc23237"/>
      <w:bookmarkStart w:id="589" w:name="_Toc2610"/>
      <w:bookmarkStart w:id="590" w:name="_Toc18033"/>
      <w:bookmarkStart w:id="591" w:name="_Toc22158"/>
      <w:bookmarkStart w:id="592" w:name="_Toc11542"/>
      <w:bookmarkStart w:id="593" w:name="_Toc21015"/>
      <w:r>
        <w:rPr>
          <w:rFonts w:hint="eastAsia" w:cs="宋体"/>
          <w:color w:val="auto"/>
          <w:sz w:val="24"/>
          <w:szCs w:val="24"/>
          <w:highlight w:val="none"/>
          <w:u w:val="none"/>
        </w:rPr>
        <w:t>资格审查标准</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14:paraId="37F32392">
      <w:pPr>
        <w:pageBreakBefore w:val="0"/>
        <w:wordWrap w:val="0"/>
        <w:overflowPunct/>
        <w:autoSpaceDE w:val="0"/>
        <w:autoSpaceDN w:val="0"/>
        <w:bidi w:val="0"/>
        <w:adjustRightInd w:val="0"/>
        <w:spacing w:line="360" w:lineRule="auto"/>
        <w:ind w:firstLine="480" w:firstLineChars="200"/>
        <w:jc w:val="left"/>
        <w:rPr>
          <w:color w:val="auto"/>
          <w:sz w:val="24"/>
          <w:szCs w:val="24"/>
          <w:highlight w:val="none"/>
          <w:u w:val="none"/>
        </w:rPr>
      </w:pPr>
      <w:r>
        <w:rPr>
          <w:rFonts w:hint="eastAsia"/>
          <w:color w:val="auto"/>
          <w:kern w:val="0"/>
          <w:sz w:val="24"/>
          <w:szCs w:val="24"/>
          <w:highlight w:val="none"/>
          <w:u w:val="none"/>
        </w:rPr>
        <w:t>资格审查标准：见资格审查前附表。</w:t>
      </w:r>
    </w:p>
    <w:p w14:paraId="61BEACBD">
      <w:pPr>
        <w:pStyle w:val="4"/>
        <w:pageBreakBefore w:val="0"/>
        <w:numPr>
          <w:ilvl w:val="0"/>
          <w:numId w:val="11"/>
        </w:numPr>
        <w:wordWrap w:val="0"/>
        <w:overflowPunct/>
        <w:bidi w:val="0"/>
        <w:spacing w:before="0" w:after="0" w:line="360" w:lineRule="auto"/>
        <w:rPr>
          <w:rFonts w:cs="宋体"/>
          <w:color w:val="auto"/>
          <w:sz w:val="24"/>
          <w:szCs w:val="24"/>
          <w:highlight w:val="none"/>
          <w:u w:val="none"/>
        </w:rPr>
      </w:pPr>
      <w:bookmarkStart w:id="594" w:name="_Toc32375"/>
      <w:bookmarkStart w:id="595" w:name="_Toc10180"/>
      <w:bookmarkStart w:id="596" w:name="_Toc14542"/>
      <w:bookmarkStart w:id="597" w:name="_Toc19383"/>
      <w:bookmarkStart w:id="598" w:name="_Toc920"/>
      <w:bookmarkStart w:id="599" w:name="_Toc6743"/>
      <w:bookmarkStart w:id="600" w:name="_Toc28164"/>
      <w:bookmarkStart w:id="601" w:name="_Toc15233"/>
      <w:bookmarkStart w:id="602" w:name="_Toc13549"/>
      <w:bookmarkStart w:id="603" w:name="_Toc2259"/>
      <w:bookmarkStart w:id="604" w:name="_Toc14072"/>
      <w:bookmarkStart w:id="605" w:name="_Toc650"/>
      <w:bookmarkStart w:id="606" w:name="_Toc13525"/>
      <w:bookmarkStart w:id="607" w:name="_Toc5940"/>
      <w:bookmarkStart w:id="608" w:name="_Toc25607"/>
      <w:bookmarkStart w:id="609" w:name="_Toc27738"/>
      <w:bookmarkStart w:id="610" w:name="_Toc108379363"/>
      <w:bookmarkStart w:id="611" w:name="_Toc16031"/>
      <w:r>
        <w:rPr>
          <w:rFonts w:hint="eastAsia" w:cs="宋体"/>
          <w:color w:val="auto"/>
          <w:sz w:val="24"/>
          <w:szCs w:val="24"/>
          <w:highlight w:val="none"/>
          <w:u w:val="none"/>
        </w:rPr>
        <w:t>资格审查程序</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29F8AF37">
      <w:pPr>
        <w:pageBreakBefore w:val="0"/>
        <w:wordWrap w:val="0"/>
        <w:overflowPunct/>
        <w:autoSpaceDE w:val="0"/>
        <w:autoSpaceDN w:val="0"/>
        <w:bidi w:val="0"/>
        <w:adjustRightInd w:val="0"/>
        <w:spacing w:line="360" w:lineRule="auto"/>
        <w:ind w:firstLine="472" w:firstLineChars="200"/>
        <w:jc w:val="left"/>
        <w:rPr>
          <w:color w:val="auto"/>
          <w:kern w:val="0"/>
          <w:sz w:val="24"/>
          <w:szCs w:val="24"/>
          <w:highlight w:val="none"/>
          <w:u w:val="none"/>
        </w:rPr>
      </w:pPr>
      <w:r>
        <w:rPr>
          <w:rFonts w:hint="eastAsia"/>
          <w:color w:val="auto"/>
          <w:spacing w:val="-2"/>
          <w:kern w:val="0"/>
          <w:sz w:val="24"/>
          <w:szCs w:val="24"/>
          <w:highlight w:val="none"/>
          <w:u w:val="none"/>
        </w:rPr>
        <w:t>资格审查人员依</w:t>
      </w:r>
      <w:r>
        <w:rPr>
          <w:rFonts w:hint="eastAsia"/>
          <w:color w:val="auto"/>
          <w:kern w:val="0"/>
          <w:sz w:val="24"/>
          <w:szCs w:val="24"/>
          <w:highlight w:val="none"/>
          <w:u w:val="none"/>
        </w:rPr>
        <w:t>据本</w:t>
      </w:r>
      <w:r>
        <w:rPr>
          <w:rFonts w:hint="eastAsia"/>
          <w:color w:val="auto"/>
          <w:spacing w:val="-2"/>
          <w:kern w:val="0"/>
          <w:sz w:val="24"/>
          <w:szCs w:val="24"/>
          <w:highlight w:val="none"/>
          <w:u w:val="none"/>
        </w:rPr>
        <w:t>章</w:t>
      </w:r>
      <w:r>
        <w:rPr>
          <w:rFonts w:hint="eastAsia"/>
          <w:color w:val="auto"/>
          <w:kern w:val="0"/>
          <w:sz w:val="24"/>
          <w:szCs w:val="24"/>
          <w:highlight w:val="none"/>
          <w:u w:val="none"/>
        </w:rPr>
        <w:t>资格审查前附表</w:t>
      </w:r>
      <w:r>
        <w:rPr>
          <w:rFonts w:hint="eastAsia"/>
          <w:color w:val="auto"/>
          <w:spacing w:val="-2"/>
          <w:kern w:val="0"/>
          <w:sz w:val="24"/>
          <w:szCs w:val="24"/>
          <w:highlight w:val="none"/>
          <w:u w:val="none"/>
        </w:rPr>
        <w:t>规</w:t>
      </w:r>
      <w:r>
        <w:rPr>
          <w:rFonts w:hint="eastAsia"/>
          <w:color w:val="auto"/>
          <w:kern w:val="0"/>
          <w:sz w:val="24"/>
          <w:szCs w:val="24"/>
          <w:highlight w:val="none"/>
          <w:u w:val="none"/>
        </w:rPr>
        <w:t>定</w:t>
      </w:r>
      <w:r>
        <w:rPr>
          <w:rFonts w:hint="eastAsia"/>
          <w:color w:val="auto"/>
          <w:spacing w:val="-2"/>
          <w:kern w:val="0"/>
          <w:sz w:val="24"/>
          <w:szCs w:val="24"/>
          <w:highlight w:val="none"/>
          <w:u w:val="none"/>
        </w:rPr>
        <w:t>的标</w:t>
      </w:r>
      <w:r>
        <w:rPr>
          <w:rFonts w:hint="eastAsia"/>
          <w:color w:val="auto"/>
          <w:kern w:val="0"/>
          <w:sz w:val="24"/>
          <w:szCs w:val="24"/>
          <w:highlight w:val="none"/>
          <w:u w:val="none"/>
        </w:rPr>
        <w:t>准对</w:t>
      </w:r>
      <w:r>
        <w:rPr>
          <w:rFonts w:hint="eastAsia"/>
          <w:color w:val="auto"/>
          <w:spacing w:val="-2"/>
          <w:kern w:val="0"/>
          <w:sz w:val="24"/>
          <w:szCs w:val="24"/>
          <w:highlight w:val="none"/>
          <w:u w:val="none"/>
        </w:rPr>
        <w:t>响应文件进</w:t>
      </w:r>
      <w:r>
        <w:rPr>
          <w:rFonts w:hint="eastAsia"/>
          <w:color w:val="auto"/>
          <w:kern w:val="0"/>
          <w:sz w:val="24"/>
          <w:szCs w:val="24"/>
          <w:highlight w:val="none"/>
          <w:u w:val="none"/>
        </w:rPr>
        <w:t>行</w:t>
      </w:r>
      <w:r>
        <w:rPr>
          <w:rFonts w:hint="eastAsia"/>
          <w:color w:val="auto"/>
          <w:spacing w:val="-2"/>
          <w:kern w:val="0"/>
          <w:sz w:val="24"/>
          <w:szCs w:val="24"/>
          <w:highlight w:val="none"/>
          <w:u w:val="none"/>
        </w:rPr>
        <w:t>资</w:t>
      </w:r>
      <w:r>
        <w:rPr>
          <w:rFonts w:hint="eastAsia"/>
          <w:color w:val="auto"/>
          <w:kern w:val="0"/>
          <w:sz w:val="24"/>
          <w:szCs w:val="24"/>
          <w:highlight w:val="none"/>
          <w:u w:val="none"/>
        </w:rPr>
        <w:t>格审查，以确定供应商是否具备入围资格，有一项不符合评审标准的，资格审查人员应当认定其</w:t>
      </w:r>
      <w:r>
        <w:rPr>
          <w:rFonts w:hint="eastAsia"/>
          <w:b/>
          <w:bCs/>
          <w:color w:val="auto"/>
          <w:kern w:val="0"/>
          <w:sz w:val="24"/>
          <w:szCs w:val="24"/>
          <w:highlight w:val="none"/>
          <w:u w:val="none"/>
        </w:rPr>
        <w:t>响应文件无效</w:t>
      </w:r>
      <w:r>
        <w:rPr>
          <w:rFonts w:hint="eastAsia"/>
          <w:color w:val="auto"/>
          <w:kern w:val="0"/>
          <w:sz w:val="24"/>
          <w:szCs w:val="24"/>
          <w:highlight w:val="none"/>
          <w:u w:val="none"/>
        </w:rPr>
        <w:t>，合格供应商不足3家的，不得评审。</w:t>
      </w:r>
    </w:p>
    <w:p w14:paraId="414F93A6">
      <w:pPr>
        <w:pageBreakBefore w:val="0"/>
        <w:wordWrap w:val="0"/>
        <w:overflowPunct/>
        <w:autoSpaceDE w:val="0"/>
        <w:autoSpaceDN w:val="0"/>
        <w:bidi w:val="0"/>
        <w:adjustRightInd w:val="0"/>
        <w:spacing w:line="360" w:lineRule="auto"/>
        <w:rPr>
          <w:color w:val="auto"/>
          <w:kern w:val="0"/>
          <w:szCs w:val="21"/>
          <w:highlight w:val="none"/>
          <w:u w:val="none"/>
        </w:rPr>
      </w:pPr>
    </w:p>
    <w:p w14:paraId="57333C5D">
      <w:pPr>
        <w:pageBreakBefore w:val="0"/>
        <w:wordWrap w:val="0"/>
        <w:overflowPunct/>
        <w:bidi w:val="0"/>
        <w:rPr>
          <w:color w:val="auto"/>
          <w:sz w:val="24"/>
          <w:highlight w:val="none"/>
          <w:u w:val="none"/>
        </w:rPr>
      </w:pPr>
      <w:bookmarkStart w:id="612" w:name="_Toc31921"/>
      <w:bookmarkStart w:id="613" w:name="_Toc8830"/>
      <w:bookmarkStart w:id="614" w:name="_Toc9469"/>
      <w:bookmarkStart w:id="615" w:name="_Toc14114"/>
      <w:bookmarkStart w:id="616" w:name="_Toc16535"/>
      <w:bookmarkStart w:id="617" w:name="_Toc108379364"/>
      <w:bookmarkStart w:id="618" w:name="_Toc22753"/>
      <w:bookmarkStart w:id="619" w:name="_Toc6633"/>
      <w:bookmarkStart w:id="620" w:name="_Toc11507"/>
      <w:bookmarkStart w:id="621" w:name="_Toc12415"/>
      <w:bookmarkStart w:id="622" w:name="_Toc11325"/>
      <w:bookmarkStart w:id="623" w:name="_Toc12975"/>
      <w:bookmarkStart w:id="624" w:name="_Toc16950"/>
      <w:r>
        <w:rPr>
          <w:rFonts w:hint="eastAsia"/>
          <w:color w:val="auto"/>
          <w:sz w:val="24"/>
          <w:highlight w:val="none"/>
          <w:u w:val="none"/>
        </w:rPr>
        <w:br w:type="page"/>
      </w:r>
    </w:p>
    <w:p w14:paraId="6E6D3952">
      <w:pPr>
        <w:pStyle w:val="4"/>
        <w:pageBreakBefore w:val="0"/>
        <w:numPr>
          <w:ilvl w:val="0"/>
          <w:numId w:val="12"/>
        </w:numPr>
        <w:wordWrap w:val="0"/>
        <w:overflowPunct/>
        <w:bidi w:val="0"/>
        <w:spacing w:before="0" w:after="0" w:line="360" w:lineRule="auto"/>
        <w:jc w:val="center"/>
        <w:rPr>
          <w:rFonts w:hint="eastAsia" w:cs="宋体"/>
          <w:color w:val="auto"/>
          <w:sz w:val="24"/>
          <w:szCs w:val="24"/>
          <w:highlight w:val="none"/>
          <w:u w:val="none"/>
        </w:rPr>
      </w:pPr>
      <w:bookmarkStart w:id="625" w:name="_Toc31583"/>
      <w:bookmarkStart w:id="626" w:name="_Toc25332"/>
      <w:r>
        <w:rPr>
          <w:rFonts w:hint="eastAsia" w:cs="宋体"/>
          <w:color w:val="auto"/>
          <w:sz w:val="24"/>
          <w:szCs w:val="24"/>
          <w:highlight w:val="none"/>
          <w:u w:val="none"/>
        </w:rPr>
        <w:t>评审方法</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14:paraId="566238BA">
      <w:pPr>
        <w:pStyle w:val="4"/>
        <w:pageBreakBefore w:val="0"/>
        <w:numPr>
          <w:ilvl w:val="0"/>
          <w:numId w:val="0"/>
        </w:numPr>
        <w:wordWrap w:val="0"/>
        <w:overflowPunct/>
        <w:bidi w:val="0"/>
        <w:spacing w:before="0" w:after="0" w:line="360" w:lineRule="auto"/>
        <w:jc w:val="center"/>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lang w:eastAsia="zh-CN"/>
        </w:rPr>
        <w:t>一、</w:t>
      </w:r>
      <w:r>
        <w:rPr>
          <w:rFonts w:hint="eastAsia" w:cs="宋体"/>
          <w:color w:val="auto"/>
          <w:sz w:val="24"/>
          <w:szCs w:val="24"/>
          <w:highlight w:val="none"/>
          <w:u w:val="none"/>
          <w:lang w:val="en-US" w:eastAsia="zh-CN"/>
        </w:rPr>
        <w:t>二</w:t>
      </w:r>
      <w:r>
        <w:rPr>
          <w:rFonts w:hint="eastAsia" w:ascii="宋体" w:hAnsi="宋体" w:eastAsia="宋体" w:cs="宋体"/>
          <w:color w:val="auto"/>
          <w:sz w:val="24"/>
          <w:szCs w:val="24"/>
          <w:highlight w:val="none"/>
          <w:u w:val="none"/>
          <w:lang w:eastAsia="zh-CN"/>
        </w:rPr>
        <w:t>标段评标办法</w:t>
      </w:r>
    </w:p>
    <w:tbl>
      <w:tblPr>
        <w:tblStyle w:val="22"/>
        <w:tblW w:w="8713" w:type="dxa"/>
        <w:tblInd w:w="285"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945"/>
        <w:gridCol w:w="1241"/>
        <w:gridCol w:w="1532"/>
        <w:gridCol w:w="4995"/>
      </w:tblGrid>
      <w:tr w14:paraId="29AEE0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8" w:hRule="atLeast"/>
        </w:trPr>
        <w:tc>
          <w:tcPr>
            <w:tcW w:w="945" w:type="dxa"/>
            <w:tcBorders>
              <w:top w:val="single" w:color="auto" w:sz="4" w:space="0"/>
              <w:left w:val="single" w:color="auto" w:sz="4" w:space="0"/>
              <w:bottom w:val="single" w:color="auto" w:sz="4" w:space="0"/>
              <w:right w:val="single" w:color="auto" w:sz="4" w:space="0"/>
            </w:tcBorders>
            <w:noWrap w:val="0"/>
            <w:vAlign w:val="center"/>
          </w:tcPr>
          <w:p w14:paraId="73BF3130">
            <w:pPr>
              <w:widowControl/>
              <w:snapToGrid/>
              <w:spacing w:before="0" w:beforeLines="0" w:beforeAutospacing="0" w:after="0" w:afterLines="0" w:afterAutospacing="0" w:line="600" w:lineRule="exact"/>
              <w:ind w:left="0" w:leftChars="0" w:right="0" w:rightChars="0"/>
              <w:jc w:val="center"/>
              <w:textAlignment w:val="baseline"/>
              <w:rPr>
                <w:rFonts w:hint="eastAsia" w:ascii="宋体" w:hAnsi="宋体" w:eastAsia="宋体" w:cs="宋体"/>
                <w:b/>
                <w:bCs/>
                <w:i w:val="0"/>
                <w:caps w:val="0"/>
                <w:color w:val="auto"/>
                <w:spacing w:val="0"/>
                <w:w w:val="100"/>
                <w:kern w:val="2"/>
                <w:sz w:val="24"/>
                <w:szCs w:val="24"/>
                <w:highlight w:val="none"/>
                <w:lang w:val="en-US" w:eastAsia="zh-CN"/>
              </w:rPr>
            </w:pPr>
            <w:r>
              <w:rPr>
                <w:rFonts w:hint="eastAsia" w:ascii="宋体" w:hAnsi="宋体" w:eastAsia="宋体" w:cs="宋体"/>
                <w:b/>
                <w:bCs/>
                <w:i w:val="0"/>
                <w:caps w:val="0"/>
                <w:color w:val="auto"/>
                <w:spacing w:val="0"/>
                <w:w w:val="100"/>
                <w:kern w:val="2"/>
                <w:sz w:val="24"/>
                <w:szCs w:val="24"/>
                <w:highlight w:val="none"/>
                <w:lang w:val="en-US" w:eastAsia="zh-CN"/>
              </w:rPr>
              <w:t>条款号</w:t>
            </w:r>
          </w:p>
        </w:tc>
        <w:tc>
          <w:tcPr>
            <w:tcW w:w="2773" w:type="dxa"/>
            <w:gridSpan w:val="2"/>
            <w:tcBorders>
              <w:top w:val="single" w:color="auto" w:sz="4" w:space="0"/>
              <w:left w:val="nil"/>
              <w:bottom w:val="single" w:color="auto" w:sz="4" w:space="0"/>
              <w:right w:val="single" w:color="auto" w:sz="4" w:space="0"/>
            </w:tcBorders>
            <w:noWrap w:val="0"/>
            <w:vAlign w:val="center"/>
          </w:tcPr>
          <w:p w14:paraId="7049D389">
            <w:pPr>
              <w:widowControl/>
              <w:snapToGrid/>
              <w:spacing w:before="0" w:beforeLines="0" w:beforeAutospacing="0" w:after="0" w:afterLines="0" w:afterAutospacing="0" w:line="600" w:lineRule="exact"/>
              <w:ind w:left="0" w:leftChars="0" w:right="0" w:rightChars="0"/>
              <w:jc w:val="center"/>
              <w:textAlignment w:val="baseline"/>
              <w:rPr>
                <w:rFonts w:hint="eastAsia" w:ascii="宋体" w:hAnsi="宋体" w:eastAsia="宋体" w:cs="宋体"/>
                <w:b/>
                <w:bCs/>
                <w:i w:val="0"/>
                <w:caps w:val="0"/>
                <w:color w:val="auto"/>
                <w:spacing w:val="0"/>
                <w:w w:val="100"/>
                <w:kern w:val="2"/>
                <w:sz w:val="24"/>
                <w:szCs w:val="24"/>
                <w:highlight w:val="none"/>
                <w:lang w:val="en-US" w:eastAsia="zh-CN"/>
              </w:rPr>
            </w:pPr>
            <w:r>
              <w:rPr>
                <w:rFonts w:hint="eastAsia" w:ascii="宋体" w:hAnsi="宋体" w:eastAsia="宋体" w:cs="宋体"/>
                <w:b/>
                <w:bCs/>
                <w:i w:val="0"/>
                <w:caps w:val="0"/>
                <w:color w:val="auto"/>
                <w:spacing w:val="0"/>
                <w:w w:val="100"/>
                <w:kern w:val="2"/>
                <w:sz w:val="24"/>
                <w:szCs w:val="24"/>
                <w:highlight w:val="none"/>
                <w:lang w:val="en-US" w:eastAsia="zh-CN"/>
              </w:rPr>
              <w:t>评分因素</w:t>
            </w:r>
          </w:p>
        </w:tc>
        <w:tc>
          <w:tcPr>
            <w:tcW w:w="4995" w:type="dxa"/>
            <w:tcBorders>
              <w:top w:val="single" w:color="auto" w:sz="4" w:space="0"/>
              <w:left w:val="nil"/>
              <w:bottom w:val="single" w:color="auto" w:sz="4" w:space="0"/>
              <w:right w:val="single" w:color="auto" w:sz="4" w:space="0"/>
            </w:tcBorders>
            <w:noWrap w:val="0"/>
            <w:vAlign w:val="center"/>
          </w:tcPr>
          <w:p w14:paraId="36725D12">
            <w:pPr>
              <w:widowControl/>
              <w:snapToGrid/>
              <w:spacing w:before="0" w:beforeLines="0" w:beforeAutospacing="0" w:after="0" w:afterLines="0" w:afterAutospacing="0" w:line="600" w:lineRule="exact"/>
              <w:ind w:left="0" w:leftChars="0" w:right="0" w:rightChars="0"/>
              <w:jc w:val="center"/>
              <w:textAlignment w:val="baseline"/>
              <w:rPr>
                <w:rFonts w:hint="eastAsia" w:ascii="宋体" w:hAnsi="宋体" w:eastAsia="宋体" w:cs="宋体"/>
                <w:b/>
                <w:bCs/>
                <w:i w:val="0"/>
                <w:caps w:val="0"/>
                <w:color w:val="auto"/>
                <w:spacing w:val="0"/>
                <w:w w:val="100"/>
                <w:kern w:val="2"/>
                <w:sz w:val="24"/>
                <w:szCs w:val="24"/>
                <w:highlight w:val="none"/>
                <w:lang w:val="en-US" w:eastAsia="zh-CN"/>
              </w:rPr>
            </w:pPr>
            <w:r>
              <w:rPr>
                <w:rFonts w:hint="eastAsia" w:ascii="宋体" w:hAnsi="宋体" w:eastAsia="宋体" w:cs="宋体"/>
                <w:b/>
                <w:bCs/>
                <w:i w:val="0"/>
                <w:caps w:val="0"/>
                <w:color w:val="auto"/>
                <w:spacing w:val="0"/>
                <w:w w:val="100"/>
                <w:kern w:val="2"/>
                <w:sz w:val="24"/>
                <w:szCs w:val="24"/>
                <w:highlight w:val="none"/>
                <w:lang w:val="en-US" w:eastAsia="zh-CN"/>
              </w:rPr>
              <w:t>评标标准</w:t>
            </w:r>
          </w:p>
        </w:tc>
      </w:tr>
      <w:tr w14:paraId="1DC6D2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540" w:hRule="atLeast"/>
        </w:trPr>
        <w:tc>
          <w:tcPr>
            <w:tcW w:w="945" w:type="dxa"/>
            <w:tcBorders>
              <w:top w:val="single" w:color="auto" w:sz="4" w:space="0"/>
              <w:left w:val="single" w:color="auto" w:sz="4" w:space="0"/>
              <w:bottom w:val="single" w:color="auto" w:sz="4" w:space="0"/>
              <w:right w:val="single" w:color="auto" w:sz="4" w:space="0"/>
            </w:tcBorders>
            <w:noWrap w:val="0"/>
            <w:vAlign w:val="center"/>
          </w:tcPr>
          <w:p w14:paraId="22D1D6C6">
            <w:pPr>
              <w:widowControl w:val="0"/>
              <w:spacing w:line="360" w:lineRule="auto"/>
              <w:jc w:val="both"/>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1</w:t>
            </w:r>
          </w:p>
        </w:tc>
        <w:tc>
          <w:tcPr>
            <w:tcW w:w="2773" w:type="dxa"/>
            <w:gridSpan w:val="2"/>
            <w:tcBorders>
              <w:top w:val="single" w:color="auto" w:sz="4" w:space="0"/>
              <w:left w:val="nil"/>
              <w:bottom w:val="single" w:color="auto" w:sz="4" w:space="0"/>
              <w:right w:val="single" w:color="auto" w:sz="4" w:space="0"/>
            </w:tcBorders>
            <w:noWrap w:val="0"/>
            <w:vAlign w:val="center"/>
          </w:tcPr>
          <w:p w14:paraId="599547D0">
            <w:pPr>
              <w:widowControl w:val="0"/>
              <w:spacing w:line="360" w:lineRule="auto"/>
              <w:jc w:val="left"/>
              <w:rPr>
                <w:rFonts w:hint="eastAsia" w:ascii="宋体" w:hAnsi="宋体" w:cs="宋体"/>
                <w:color w:val="auto"/>
                <w:sz w:val="24"/>
                <w:szCs w:val="24"/>
                <w:highlight w:val="none"/>
              </w:rPr>
            </w:pPr>
          </w:p>
          <w:p w14:paraId="6D640C13">
            <w:pPr>
              <w:widowControl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投标报价（</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rPr>
              <w:t>分）</w:t>
            </w:r>
          </w:p>
        </w:tc>
        <w:tc>
          <w:tcPr>
            <w:tcW w:w="4995" w:type="dxa"/>
            <w:tcBorders>
              <w:top w:val="single" w:color="auto" w:sz="4" w:space="0"/>
              <w:left w:val="nil"/>
              <w:bottom w:val="single" w:color="auto" w:sz="4" w:space="0"/>
              <w:right w:val="single" w:color="auto" w:sz="4" w:space="0"/>
            </w:tcBorders>
            <w:noWrap w:val="0"/>
            <w:vAlign w:val="center"/>
          </w:tcPr>
          <w:p w14:paraId="3F40F0CB">
            <w:pPr>
              <w:widowControl/>
              <w:snapToGrid/>
              <w:spacing w:before="0" w:beforeLines="0" w:beforeAutospacing="0" w:after="0" w:afterLines="0" w:afterAutospacing="0" w:line="480" w:lineRule="auto"/>
              <w:ind w:left="0" w:leftChars="0" w:right="0" w:rightChars="0"/>
              <w:jc w:val="both"/>
              <w:textAlignment w:val="baseline"/>
              <w:rPr>
                <w:rFonts w:hint="eastAsia" w:ascii="宋体" w:hAnsi="宋体" w:eastAsia="宋体" w:cs="宋体"/>
                <w:b w:val="0"/>
                <w:i w:val="0"/>
                <w:caps w:val="0"/>
                <w:snapToGrid w:val="0"/>
                <w:color w:val="000000"/>
                <w:spacing w:val="0"/>
                <w:w w:val="100"/>
                <w:kern w:val="2"/>
                <w:sz w:val="24"/>
                <w:szCs w:val="24"/>
                <w:lang w:val="en-US" w:eastAsia="zh-CN" w:bidi="ar-SA"/>
              </w:rPr>
            </w:pPr>
            <w:r>
              <w:rPr>
                <w:rFonts w:hint="eastAsia" w:ascii="宋体" w:hAnsi="宋体" w:eastAsia="宋体" w:cs="宋体"/>
                <w:color w:val="auto"/>
                <w:kern w:val="2"/>
                <w:sz w:val="24"/>
                <w:szCs w:val="24"/>
                <w:highlight w:val="none"/>
                <w:lang w:val="en-US" w:eastAsia="zh-CN" w:bidi="ar-SA"/>
              </w:rPr>
              <w:t>综合评分法中的价格分统一采用低价优先法计算，即满足征集文件要求且最后报价最低的供应商的价格为基准价，其价格分为满分。其他</w:t>
            </w:r>
            <w:r>
              <w:rPr>
                <w:rFonts w:hint="eastAsia" w:ascii="宋体" w:hAnsi="宋体" w:eastAsia="宋体" w:cs="宋体"/>
                <w:b w:val="0"/>
                <w:i w:val="0"/>
                <w:caps w:val="0"/>
                <w:snapToGrid w:val="0"/>
                <w:color w:val="000000"/>
                <w:spacing w:val="0"/>
                <w:w w:val="100"/>
                <w:kern w:val="2"/>
                <w:sz w:val="24"/>
                <w:szCs w:val="24"/>
                <w:lang w:val="en-US" w:eastAsia="zh-CN" w:bidi="ar-SA"/>
              </w:rPr>
              <w:t>供应商的价格分统一按照下列公式计算：</w:t>
            </w:r>
          </w:p>
          <w:p w14:paraId="4742D05E">
            <w:pPr>
              <w:widowControl/>
              <w:snapToGrid/>
              <w:spacing w:before="0" w:beforeLines="0" w:beforeAutospacing="0" w:after="0" w:afterLines="0" w:afterAutospacing="0" w:line="480" w:lineRule="auto"/>
              <w:ind w:left="0" w:leftChars="0" w:right="0" w:rightChars="0"/>
              <w:jc w:val="both"/>
              <w:textAlignment w:val="baseline"/>
              <w:rPr>
                <w:rFonts w:ascii="宋体" w:hAnsi="宋体" w:eastAsia="宋体" w:cs="宋体"/>
                <w:color w:val="auto"/>
                <w:kern w:val="2"/>
                <w:sz w:val="24"/>
                <w:szCs w:val="24"/>
                <w:highlight w:val="none"/>
                <w:lang w:val="en-US" w:eastAsia="zh-CN" w:bidi="ar-SA"/>
              </w:rPr>
            </w:pPr>
            <w:r>
              <w:rPr>
                <w:rFonts w:hint="eastAsia" w:ascii="宋体" w:hAnsi="宋体" w:eastAsia="宋体" w:cs="宋体"/>
                <w:b w:val="0"/>
                <w:i w:val="0"/>
                <w:caps w:val="0"/>
                <w:snapToGrid w:val="0"/>
                <w:color w:val="000000"/>
                <w:spacing w:val="0"/>
                <w:w w:val="100"/>
                <w:kern w:val="2"/>
                <w:sz w:val="24"/>
                <w:szCs w:val="24"/>
                <w:lang w:val="en-US" w:eastAsia="zh-CN" w:bidi="ar-SA"/>
              </w:rPr>
              <w:t>报价得分=（基准价/供应商报价）×30</w:t>
            </w:r>
          </w:p>
        </w:tc>
      </w:tr>
      <w:tr w14:paraId="7CBA90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35" w:hRule="atLeast"/>
        </w:trPr>
        <w:tc>
          <w:tcPr>
            <w:tcW w:w="945" w:type="dxa"/>
            <w:vMerge w:val="restart"/>
            <w:tcBorders>
              <w:top w:val="single" w:color="auto" w:sz="4" w:space="0"/>
              <w:left w:val="single" w:color="auto" w:sz="4" w:space="0"/>
              <w:bottom w:val="single" w:color="auto" w:sz="4" w:space="0"/>
              <w:right w:val="single" w:color="auto" w:sz="4" w:space="0"/>
            </w:tcBorders>
            <w:noWrap w:val="0"/>
            <w:vAlign w:val="center"/>
          </w:tcPr>
          <w:p w14:paraId="2B9C57C4">
            <w:pPr>
              <w:widowControl w:val="0"/>
              <w:spacing w:line="360" w:lineRule="auto"/>
              <w:jc w:val="both"/>
              <w:rPr>
                <w:rFonts w:ascii="宋体" w:hAnsi="宋体" w:cs="宋体"/>
                <w:color w:val="auto"/>
                <w:sz w:val="24"/>
                <w:szCs w:val="24"/>
                <w:highlight w:val="none"/>
              </w:rPr>
            </w:pPr>
            <w:r>
              <w:rPr>
                <w:rFonts w:hint="eastAsia" w:ascii="宋体" w:hAnsi="宋体" w:cs="宋体"/>
                <w:color w:val="auto"/>
                <w:sz w:val="24"/>
                <w:szCs w:val="24"/>
                <w:highlight w:val="none"/>
              </w:rPr>
              <w:t>1.1.3</w:t>
            </w:r>
          </w:p>
        </w:tc>
        <w:tc>
          <w:tcPr>
            <w:tcW w:w="1241" w:type="dxa"/>
            <w:vMerge w:val="restart"/>
            <w:tcBorders>
              <w:top w:val="single" w:color="auto" w:sz="4" w:space="0"/>
              <w:left w:val="single" w:color="auto" w:sz="4" w:space="0"/>
              <w:bottom w:val="single" w:color="auto" w:sz="4" w:space="0"/>
              <w:right w:val="single" w:color="auto" w:sz="4" w:space="0"/>
            </w:tcBorders>
            <w:noWrap w:val="0"/>
            <w:vAlign w:val="center"/>
          </w:tcPr>
          <w:p w14:paraId="542C86C8">
            <w:pPr>
              <w:widowControl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技术部分评分标准</w:t>
            </w:r>
          </w:p>
          <w:p w14:paraId="4AC77822">
            <w:pPr>
              <w:widowControl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cs="宋体"/>
                <w:color w:val="auto"/>
                <w:sz w:val="24"/>
                <w:szCs w:val="24"/>
                <w:highlight w:val="none"/>
                <w:lang w:val="en-US" w:eastAsia="zh-CN"/>
              </w:rPr>
              <w:t>50</w:t>
            </w:r>
            <w:r>
              <w:rPr>
                <w:rFonts w:hint="eastAsia" w:ascii="宋体" w:hAnsi="宋体" w:cs="宋体"/>
                <w:color w:val="auto"/>
                <w:sz w:val="24"/>
                <w:szCs w:val="24"/>
                <w:highlight w:val="none"/>
              </w:rPr>
              <w:t>分）</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3D1C1A54">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整体服务方案（5 分）</w:t>
            </w:r>
          </w:p>
        </w:tc>
        <w:tc>
          <w:tcPr>
            <w:tcW w:w="4995" w:type="dxa"/>
            <w:tcBorders>
              <w:top w:val="single" w:color="auto" w:sz="4" w:space="0"/>
              <w:left w:val="single" w:color="auto" w:sz="4" w:space="0"/>
              <w:bottom w:val="single" w:color="auto" w:sz="4" w:space="0"/>
              <w:right w:val="single" w:color="auto" w:sz="4" w:space="0"/>
            </w:tcBorders>
            <w:noWrap w:val="0"/>
            <w:vAlign w:val="center"/>
          </w:tcPr>
          <w:p w14:paraId="12F3C27C">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供应商整体服务方案内容完整详尽、科学合理、服务措施考虑周全，完全能够保障</w:t>
            </w:r>
            <w:r>
              <w:rPr>
                <w:rFonts w:hint="eastAsia" w:cs="宋体"/>
                <w:color w:val="auto"/>
                <w:kern w:val="2"/>
                <w:sz w:val="24"/>
                <w:szCs w:val="24"/>
                <w:highlight w:val="none"/>
                <w:lang w:val="en-US" w:eastAsia="zh-CN" w:bidi="ar-SA"/>
              </w:rPr>
              <w:t>项目</w:t>
            </w:r>
            <w:r>
              <w:rPr>
                <w:rFonts w:hint="eastAsia" w:ascii="宋体" w:hAnsi="宋体" w:eastAsia="宋体" w:cs="宋体"/>
                <w:color w:val="auto"/>
                <w:kern w:val="2"/>
                <w:sz w:val="24"/>
                <w:szCs w:val="24"/>
                <w:highlight w:val="none"/>
                <w:lang w:val="en-US" w:eastAsia="zh-CN" w:bidi="ar-SA"/>
              </w:rPr>
              <w:t>服务顺利实施的，得 5 分；</w:t>
            </w:r>
          </w:p>
          <w:p w14:paraId="5F4087A3">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供应商整体服务方案内容基本完整、合理，有较好的服务措施，基本能够保障租赁服务的实施的，得3分；</w:t>
            </w:r>
          </w:p>
          <w:p w14:paraId="15CA4636">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供应商整体服务方案内容欠缺，考虑不够全面的，得 2 分。</w:t>
            </w:r>
          </w:p>
          <w:p w14:paraId="06B273A1">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没有不得分</w:t>
            </w:r>
            <w:r>
              <w:rPr>
                <w:rFonts w:hint="eastAsia" w:ascii="宋体" w:hAnsi="宋体" w:eastAsia="宋体" w:cs="宋体"/>
                <w:color w:val="auto"/>
                <w:kern w:val="2"/>
                <w:sz w:val="24"/>
                <w:szCs w:val="24"/>
                <w:highlight w:val="none"/>
                <w:lang w:val="en-US" w:eastAsia="zh-CN" w:bidi="ar-SA"/>
              </w:rPr>
              <w:t>。</w:t>
            </w:r>
          </w:p>
        </w:tc>
      </w:tr>
      <w:tr w14:paraId="72E64B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35" w:hRule="atLeast"/>
        </w:trPr>
        <w:tc>
          <w:tcPr>
            <w:tcW w:w="945" w:type="dxa"/>
            <w:vMerge w:val="continue"/>
            <w:tcBorders>
              <w:top w:val="single" w:color="auto" w:sz="4" w:space="0"/>
              <w:left w:val="single" w:color="auto" w:sz="4" w:space="0"/>
              <w:bottom w:val="single" w:color="auto" w:sz="4" w:space="0"/>
              <w:right w:val="single" w:color="auto" w:sz="4" w:space="0"/>
            </w:tcBorders>
            <w:noWrap w:val="0"/>
            <w:vAlign w:val="center"/>
          </w:tcPr>
          <w:p w14:paraId="51C35B7C">
            <w:pPr>
              <w:widowControl w:val="0"/>
              <w:spacing w:line="360" w:lineRule="auto"/>
              <w:jc w:val="both"/>
              <w:rPr>
                <w:rFonts w:hint="eastAsia" w:ascii="宋体" w:hAnsi="宋体" w:cs="宋体"/>
                <w:color w:val="auto"/>
                <w:sz w:val="24"/>
                <w:szCs w:val="24"/>
                <w:highlight w:val="none"/>
              </w:rPr>
            </w:pPr>
          </w:p>
        </w:tc>
        <w:tc>
          <w:tcPr>
            <w:tcW w:w="1241" w:type="dxa"/>
            <w:vMerge w:val="continue"/>
            <w:tcBorders>
              <w:top w:val="single" w:color="auto" w:sz="4" w:space="0"/>
              <w:left w:val="single" w:color="auto" w:sz="4" w:space="0"/>
              <w:bottom w:val="single" w:color="auto" w:sz="4" w:space="0"/>
              <w:right w:val="single" w:color="auto" w:sz="4" w:space="0"/>
            </w:tcBorders>
            <w:noWrap w:val="0"/>
            <w:vAlign w:val="center"/>
          </w:tcPr>
          <w:p w14:paraId="33C5D1AF">
            <w:pPr>
              <w:widowControl w:val="0"/>
              <w:spacing w:line="360" w:lineRule="auto"/>
              <w:jc w:val="left"/>
              <w:rPr>
                <w:rFonts w:hint="eastAsia" w:ascii="宋体" w:hAnsi="宋体" w:cs="宋体"/>
                <w:color w:val="auto"/>
                <w:sz w:val="24"/>
                <w:szCs w:val="24"/>
                <w:highlight w:val="none"/>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390409D7">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本项目重难点分析（</w:t>
            </w:r>
            <w:r>
              <w:rPr>
                <w:rFonts w:hint="eastAsia"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分）</w:t>
            </w:r>
          </w:p>
        </w:tc>
        <w:tc>
          <w:tcPr>
            <w:tcW w:w="4995" w:type="dxa"/>
            <w:tcBorders>
              <w:top w:val="single" w:color="auto" w:sz="4" w:space="0"/>
              <w:left w:val="single" w:color="auto" w:sz="4" w:space="0"/>
              <w:bottom w:val="single" w:color="auto" w:sz="4" w:space="0"/>
              <w:right w:val="single" w:color="auto" w:sz="4" w:space="0"/>
            </w:tcBorders>
            <w:noWrap w:val="0"/>
            <w:vAlign w:val="center"/>
          </w:tcPr>
          <w:p w14:paraId="0F953DC2">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对项目重难点问题进行分析全面，解决方案合理可行，完全满足采购需求，得</w:t>
            </w:r>
            <w:r>
              <w:rPr>
                <w:rFonts w:hint="eastAsia"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分；</w:t>
            </w:r>
          </w:p>
          <w:p w14:paraId="708AA694">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对项目重难点问题进行分析基本全面，解决方案基本合理可行，基本满足采购需求，得2 分；</w:t>
            </w:r>
          </w:p>
          <w:p w14:paraId="08B54A05">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对项目重难点问题进行分析不全面，得1 分；没有不得分。</w:t>
            </w:r>
          </w:p>
        </w:tc>
      </w:tr>
      <w:tr w14:paraId="39CB34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35" w:hRule="atLeast"/>
        </w:trPr>
        <w:tc>
          <w:tcPr>
            <w:tcW w:w="945" w:type="dxa"/>
            <w:vMerge w:val="continue"/>
            <w:tcBorders>
              <w:top w:val="single" w:color="auto" w:sz="4" w:space="0"/>
              <w:left w:val="single" w:color="auto" w:sz="4" w:space="0"/>
              <w:bottom w:val="single" w:color="auto" w:sz="4" w:space="0"/>
              <w:right w:val="single" w:color="auto" w:sz="4" w:space="0"/>
            </w:tcBorders>
            <w:noWrap w:val="0"/>
            <w:vAlign w:val="center"/>
          </w:tcPr>
          <w:p w14:paraId="530B9B67">
            <w:pPr>
              <w:widowControl w:val="0"/>
              <w:spacing w:line="360" w:lineRule="auto"/>
              <w:jc w:val="both"/>
              <w:rPr>
                <w:rFonts w:hint="eastAsia" w:ascii="宋体" w:hAnsi="宋体" w:cs="宋体"/>
                <w:color w:val="auto"/>
                <w:sz w:val="24"/>
                <w:szCs w:val="24"/>
                <w:highlight w:val="none"/>
              </w:rPr>
            </w:pPr>
          </w:p>
        </w:tc>
        <w:tc>
          <w:tcPr>
            <w:tcW w:w="1241" w:type="dxa"/>
            <w:vMerge w:val="continue"/>
            <w:tcBorders>
              <w:top w:val="single" w:color="auto" w:sz="4" w:space="0"/>
              <w:left w:val="single" w:color="auto" w:sz="4" w:space="0"/>
              <w:bottom w:val="single" w:color="auto" w:sz="4" w:space="0"/>
              <w:right w:val="single" w:color="auto" w:sz="4" w:space="0"/>
            </w:tcBorders>
            <w:noWrap w:val="0"/>
            <w:vAlign w:val="center"/>
          </w:tcPr>
          <w:p w14:paraId="7F532EC7">
            <w:pPr>
              <w:widowControl w:val="0"/>
              <w:spacing w:line="360" w:lineRule="auto"/>
              <w:jc w:val="left"/>
              <w:rPr>
                <w:rFonts w:hint="eastAsia" w:ascii="宋体" w:hAnsi="宋体" w:cs="宋体"/>
                <w:color w:val="auto"/>
                <w:sz w:val="24"/>
                <w:szCs w:val="24"/>
                <w:highlight w:val="none"/>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2B70FEAD">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服务质量保证措施（0-15分）</w:t>
            </w:r>
          </w:p>
        </w:tc>
        <w:tc>
          <w:tcPr>
            <w:tcW w:w="4995" w:type="dxa"/>
            <w:tcBorders>
              <w:top w:val="single" w:color="auto" w:sz="4" w:space="0"/>
              <w:left w:val="single" w:color="auto" w:sz="4" w:space="0"/>
              <w:bottom w:val="single" w:color="auto" w:sz="4" w:space="0"/>
              <w:right w:val="single" w:color="auto" w:sz="4" w:space="0"/>
            </w:tcBorders>
            <w:noWrap w:val="0"/>
            <w:vAlign w:val="center"/>
          </w:tcPr>
          <w:p w14:paraId="783869BF">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质量保证措施方案全面、合理、可行、措施有保障的，得15分；</w:t>
            </w:r>
          </w:p>
          <w:p w14:paraId="326F7F25">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质量保证措施方案较为全面、合理、措施有保障的，得10分； </w:t>
            </w:r>
          </w:p>
          <w:p w14:paraId="720D4B94">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质量保证措施方案基本合理、措施有保障的，得5分；</w:t>
            </w:r>
          </w:p>
          <w:p w14:paraId="3A67E446">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未提供不得分。</w:t>
            </w:r>
          </w:p>
        </w:tc>
      </w:tr>
      <w:tr w14:paraId="4D0ECB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3" w:hRule="atLeast"/>
        </w:trPr>
        <w:tc>
          <w:tcPr>
            <w:tcW w:w="945" w:type="dxa"/>
            <w:vMerge w:val="continue"/>
            <w:tcBorders>
              <w:top w:val="single" w:color="auto" w:sz="4" w:space="0"/>
              <w:left w:val="single" w:color="auto" w:sz="4" w:space="0"/>
              <w:bottom w:val="single" w:color="auto" w:sz="4" w:space="0"/>
              <w:right w:val="single" w:color="auto" w:sz="4" w:space="0"/>
            </w:tcBorders>
            <w:noWrap w:val="0"/>
            <w:vAlign w:val="center"/>
          </w:tcPr>
          <w:p w14:paraId="01A3BC9A">
            <w:pPr>
              <w:widowControl w:val="0"/>
              <w:spacing w:line="360" w:lineRule="auto"/>
              <w:jc w:val="both"/>
              <w:rPr>
                <w:rFonts w:ascii="宋体" w:hAnsi="宋体" w:cs="宋体"/>
                <w:color w:val="auto"/>
                <w:sz w:val="24"/>
                <w:szCs w:val="24"/>
                <w:highlight w:val="none"/>
              </w:rPr>
            </w:pPr>
          </w:p>
        </w:tc>
        <w:tc>
          <w:tcPr>
            <w:tcW w:w="1241" w:type="dxa"/>
            <w:vMerge w:val="continue"/>
            <w:tcBorders>
              <w:top w:val="single" w:color="auto" w:sz="4" w:space="0"/>
              <w:left w:val="single" w:color="auto" w:sz="4" w:space="0"/>
              <w:bottom w:val="single" w:color="auto" w:sz="4" w:space="0"/>
              <w:right w:val="single" w:color="auto" w:sz="4" w:space="0"/>
            </w:tcBorders>
            <w:noWrap w:val="0"/>
            <w:vAlign w:val="center"/>
          </w:tcPr>
          <w:p w14:paraId="063EB133">
            <w:pPr>
              <w:widowControl w:val="0"/>
              <w:spacing w:line="360" w:lineRule="auto"/>
              <w:jc w:val="both"/>
              <w:rPr>
                <w:rFonts w:ascii="宋体" w:hAnsi="宋体" w:cs="宋体"/>
                <w:color w:val="auto"/>
                <w:sz w:val="24"/>
                <w:szCs w:val="24"/>
                <w:highlight w:val="none"/>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2A72B6A6">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600" w:lineRule="exact"/>
              <w:ind w:left="0" w:leftChars="0" w:right="0" w:rightChars="0"/>
              <w:jc w:val="both"/>
              <w:textAlignment w:val="baseline"/>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实施方案（0-15分）</w:t>
            </w:r>
          </w:p>
        </w:tc>
        <w:tc>
          <w:tcPr>
            <w:tcW w:w="4995" w:type="dxa"/>
            <w:tcBorders>
              <w:top w:val="single" w:color="auto" w:sz="4" w:space="0"/>
              <w:left w:val="single" w:color="auto" w:sz="4" w:space="0"/>
              <w:bottom w:val="single" w:color="auto" w:sz="4" w:space="0"/>
              <w:right w:val="single" w:color="auto" w:sz="4" w:space="0"/>
            </w:tcBorders>
            <w:noWrap w:val="0"/>
            <w:vAlign w:val="center"/>
          </w:tcPr>
          <w:p w14:paraId="3C482AC0">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项目实施方案要素针对性强、完整无缺项、详实、阐述 清晰、重点突出、可操作性强，能完全满足各项内容需求的，得15分；</w:t>
            </w:r>
          </w:p>
          <w:p w14:paraId="3868DDB8">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项目实施方案较完整且无缺项，虽存在部分内容表述不足但其内容重点突出、具有可操作性、满足各项内容需求的，得10分；</w:t>
            </w:r>
          </w:p>
          <w:p w14:paraId="25B51899">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项目实施方案中有缺项的该项不得分；其它小项其内容 重点不太明显、操作的可行性复杂，可能影响到技术偏差的，得5分；</w:t>
            </w:r>
          </w:p>
          <w:p w14:paraId="0CF43AE5">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未提供方案或者提供的方案与本项目无关的不得分。</w:t>
            </w:r>
          </w:p>
        </w:tc>
      </w:tr>
      <w:tr w14:paraId="6D9CD8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3" w:hRule="atLeast"/>
        </w:trPr>
        <w:tc>
          <w:tcPr>
            <w:tcW w:w="945" w:type="dxa"/>
            <w:vMerge w:val="continue"/>
            <w:tcBorders>
              <w:top w:val="single" w:color="auto" w:sz="4" w:space="0"/>
              <w:left w:val="single" w:color="auto" w:sz="4" w:space="0"/>
              <w:bottom w:val="single" w:color="auto" w:sz="4" w:space="0"/>
              <w:right w:val="single" w:color="auto" w:sz="4" w:space="0"/>
            </w:tcBorders>
            <w:noWrap w:val="0"/>
            <w:vAlign w:val="center"/>
          </w:tcPr>
          <w:p w14:paraId="27A0FF52">
            <w:pPr>
              <w:widowControl w:val="0"/>
              <w:spacing w:line="360" w:lineRule="auto"/>
              <w:jc w:val="both"/>
              <w:rPr>
                <w:rFonts w:ascii="宋体" w:hAnsi="宋体" w:cs="宋体"/>
                <w:color w:val="auto"/>
                <w:sz w:val="24"/>
                <w:szCs w:val="24"/>
                <w:highlight w:val="none"/>
              </w:rPr>
            </w:pPr>
          </w:p>
        </w:tc>
        <w:tc>
          <w:tcPr>
            <w:tcW w:w="1241" w:type="dxa"/>
            <w:vMerge w:val="continue"/>
            <w:tcBorders>
              <w:top w:val="single" w:color="auto" w:sz="4" w:space="0"/>
              <w:left w:val="single" w:color="auto" w:sz="4" w:space="0"/>
              <w:bottom w:val="single" w:color="auto" w:sz="4" w:space="0"/>
              <w:right w:val="single" w:color="auto" w:sz="4" w:space="0"/>
            </w:tcBorders>
            <w:noWrap w:val="0"/>
            <w:vAlign w:val="center"/>
          </w:tcPr>
          <w:p w14:paraId="60F51161">
            <w:pPr>
              <w:widowControl w:val="0"/>
              <w:spacing w:line="360" w:lineRule="auto"/>
              <w:jc w:val="both"/>
              <w:rPr>
                <w:rFonts w:ascii="宋体" w:hAnsi="宋体" w:cs="宋体"/>
                <w:color w:val="auto"/>
                <w:sz w:val="24"/>
                <w:szCs w:val="24"/>
                <w:highlight w:val="none"/>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73C2EE2F">
            <w:pPr>
              <w:widowControl/>
              <w:snapToGrid/>
              <w:spacing w:before="0" w:beforeLines="0" w:beforeAutospacing="0" w:after="0" w:afterLines="0" w:afterAutospacing="0" w:line="600" w:lineRule="exact"/>
              <w:ind w:left="0" w:leftChars="0" w:right="0" w:rightChars="0"/>
              <w:jc w:val="both"/>
              <w:textAlignment w:val="baseline"/>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服务能力和优惠承诺（0-10分）</w:t>
            </w:r>
          </w:p>
        </w:tc>
        <w:tc>
          <w:tcPr>
            <w:tcW w:w="4995" w:type="dxa"/>
            <w:tcBorders>
              <w:top w:val="single" w:color="auto" w:sz="4" w:space="0"/>
              <w:left w:val="single" w:color="auto" w:sz="4" w:space="0"/>
              <w:bottom w:val="single" w:color="auto" w:sz="4" w:space="0"/>
              <w:right w:val="single" w:color="auto" w:sz="4" w:space="0"/>
            </w:tcBorders>
            <w:noWrap w:val="0"/>
            <w:vAlign w:val="center"/>
          </w:tcPr>
          <w:p w14:paraId="0A129051">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评审小组根据</w:t>
            </w:r>
            <w:r>
              <w:rPr>
                <w:rFonts w:hint="eastAsia" w:ascii="宋体" w:hAnsi="宋体" w:eastAsia="宋体" w:cs="宋体"/>
                <w:color w:val="auto"/>
                <w:kern w:val="2"/>
                <w:sz w:val="24"/>
                <w:szCs w:val="24"/>
                <w:highlight w:val="none"/>
                <w:lang w:val="zh-CN" w:eastAsia="zh-CN" w:bidi="ar-SA"/>
              </w:rPr>
              <w:t>投标人</w:t>
            </w:r>
            <w:r>
              <w:rPr>
                <w:rFonts w:hint="eastAsia" w:ascii="宋体" w:hAnsi="宋体" w:eastAsia="宋体" w:cs="宋体"/>
                <w:color w:val="auto"/>
                <w:kern w:val="2"/>
                <w:sz w:val="24"/>
                <w:szCs w:val="24"/>
                <w:highlight w:val="none"/>
                <w:lang w:val="en-US" w:eastAsia="zh-CN" w:bidi="ar-SA"/>
              </w:rPr>
              <w:t>提供的服务能力和优惠承诺</w:t>
            </w:r>
            <w:r>
              <w:rPr>
                <w:rFonts w:hint="eastAsia" w:ascii="宋体" w:hAnsi="宋体" w:eastAsia="宋体" w:cs="宋体"/>
                <w:color w:val="auto"/>
                <w:kern w:val="2"/>
                <w:sz w:val="24"/>
                <w:szCs w:val="24"/>
                <w:highlight w:val="none"/>
                <w:lang w:val="zh-CN" w:eastAsia="zh-CN" w:bidi="ar-SA"/>
              </w:rPr>
              <w:t>，服务程序、人员配备技术力量和问题响应及解决时间</w:t>
            </w:r>
            <w:r>
              <w:rPr>
                <w:rFonts w:hint="eastAsia" w:ascii="宋体" w:hAnsi="宋体" w:eastAsia="宋体" w:cs="宋体"/>
                <w:color w:val="auto"/>
                <w:kern w:val="2"/>
                <w:sz w:val="24"/>
                <w:szCs w:val="24"/>
                <w:highlight w:val="none"/>
                <w:lang w:val="en-US" w:eastAsia="zh-CN" w:bidi="ar-SA"/>
              </w:rPr>
              <w:t>等打分。</w:t>
            </w:r>
          </w:p>
          <w:p w14:paraId="63E3E969">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zh-CN" w:eastAsia="zh-CN" w:bidi="ar-SA"/>
              </w:rPr>
              <w:t>内容详实，科学、合理，考虑周全，措施到位，针对性强，完全能够满足项目的需要，得</w:t>
            </w:r>
            <w:r>
              <w:rPr>
                <w:rFonts w:hint="eastAsia" w:ascii="宋体" w:hAnsi="宋体" w:eastAsia="宋体" w:cs="宋体"/>
                <w:color w:val="auto"/>
                <w:kern w:val="2"/>
                <w:sz w:val="24"/>
                <w:szCs w:val="24"/>
                <w:highlight w:val="none"/>
                <w:lang w:val="en-US" w:eastAsia="zh-CN" w:bidi="ar-SA"/>
              </w:rPr>
              <w:t>10</w:t>
            </w:r>
            <w:r>
              <w:rPr>
                <w:rFonts w:hint="eastAsia" w:ascii="宋体" w:hAnsi="宋体" w:eastAsia="宋体" w:cs="宋体"/>
                <w:color w:val="auto"/>
                <w:kern w:val="2"/>
                <w:sz w:val="24"/>
                <w:szCs w:val="24"/>
                <w:highlight w:val="none"/>
                <w:lang w:val="zh-CN" w:eastAsia="zh-CN" w:bidi="ar-SA"/>
              </w:rPr>
              <w:t>分。</w:t>
            </w:r>
          </w:p>
          <w:p w14:paraId="11FA4026">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内容完整，基本科学、合理，考虑基本周全，措施基本到位，针对性较强，可以满足项目的需要，但有个别细节需要进一步完善或提高，得</w:t>
            </w:r>
            <w:r>
              <w:rPr>
                <w:rFonts w:hint="eastAsia" w:ascii="宋体" w:hAnsi="宋体" w:eastAsia="宋体" w:cs="宋体"/>
                <w:color w:val="auto"/>
                <w:kern w:val="2"/>
                <w:sz w:val="24"/>
                <w:szCs w:val="24"/>
                <w:highlight w:val="none"/>
                <w:lang w:val="en-US" w:eastAsia="zh-CN" w:bidi="ar-SA"/>
              </w:rPr>
              <w:t>7</w:t>
            </w:r>
            <w:r>
              <w:rPr>
                <w:rFonts w:hint="eastAsia" w:ascii="宋体" w:hAnsi="宋体" w:eastAsia="宋体" w:cs="宋体"/>
                <w:color w:val="auto"/>
                <w:kern w:val="2"/>
                <w:sz w:val="24"/>
                <w:szCs w:val="24"/>
                <w:highlight w:val="none"/>
                <w:lang w:val="zh-CN" w:eastAsia="zh-CN" w:bidi="ar-SA"/>
              </w:rPr>
              <w:t>分。</w:t>
            </w:r>
          </w:p>
          <w:p w14:paraId="10116087">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内容基本完整，科学、合理方面一般，考虑不</w:t>
            </w:r>
            <w:r>
              <w:rPr>
                <w:rFonts w:hint="eastAsia" w:ascii="宋体" w:hAnsi="宋体" w:eastAsia="宋体" w:cs="宋体"/>
                <w:color w:val="auto"/>
                <w:kern w:val="2"/>
                <w:sz w:val="24"/>
                <w:szCs w:val="24"/>
                <w:highlight w:val="none"/>
                <w:lang w:val="en-US" w:eastAsia="zh-CN" w:bidi="ar-SA"/>
              </w:rPr>
              <w:t>够全面</w:t>
            </w:r>
            <w:r>
              <w:rPr>
                <w:rFonts w:hint="eastAsia" w:ascii="宋体" w:hAnsi="宋体" w:eastAsia="宋体" w:cs="宋体"/>
                <w:color w:val="auto"/>
                <w:kern w:val="2"/>
                <w:sz w:val="24"/>
                <w:szCs w:val="24"/>
                <w:highlight w:val="none"/>
                <w:lang w:val="zh-CN" w:eastAsia="zh-CN" w:bidi="ar-SA"/>
              </w:rPr>
              <w:t>，措施不够到位，针对性不强，虽然能够基本满足项目的需要，但有很多方面需要进一步完善甚至重新考虑，得</w:t>
            </w:r>
            <w:r>
              <w:rPr>
                <w:rFonts w:hint="eastAsia" w:ascii="宋体" w:hAnsi="宋体" w:eastAsia="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zh-CN" w:eastAsia="zh-CN" w:bidi="ar-SA"/>
              </w:rPr>
              <w:t>分。</w:t>
            </w:r>
          </w:p>
          <w:p w14:paraId="631A0FF8">
            <w:pPr>
              <w:widowControl/>
              <w:snapToGrid/>
              <w:spacing w:before="0" w:beforeLines="0" w:beforeAutospacing="0" w:after="0" w:afterLines="0" w:afterAutospacing="0" w:line="600" w:lineRule="exact"/>
              <w:ind w:left="0" w:leftChars="0" w:right="0" w:rightChars="0"/>
              <w:jc w:val="both"/>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zh-CN" w:eastAsia="zh-CN" w:bidi="ar-SA"/>
              </w:rPr>
              <w:t>未提供不得分。</w:t>
            </w:r>
          </w:p>
        </w:tc>
      </w:tr>
      <w:tr w14:paraId="6FE0CE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51" w:hRule="atLeast"/>
        </w:trPr>
        <w:tc>
          <w:tcPr>
            <w:tcW w:w="945" w:type="dxa"/>
            <w:vMerge w:val="restart"/>
            <w:tcBorders>
              <w:top w:val="single" w:color="auto" w:sz="4" w:space="0"/>
              <w:left w:val="single" w:color="auto" w:sz="4" w:space="0"/>
              <w:bottom w:val="single" w:color="auto" w:sz="4" w:space="0"/>
              <w:right w:val="single" w:color="auto" w:sz="4" w:space="0"/>
            </w:tcBorders>
            <w:noWrap w:val="0"/>
            <w:vAlign w:val="center"/>
          </w:tcPr>
          <w:p w14:paraId="6AD27576">
            <w:pPr>
              <w:adjustRightInd w:val="0"/>
              <w:spacing w:line="360" w:lineRule="auto"/>
              <w:ind w:left="2" w:leftChars="0" w:hanging="2" w:hangingChars="1"/>
              <w:jc w:val="both"/>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1.1.4</w:t>
            </w:r>
          </w:p>
        </w:tc>
        <w:tc>
          <w:tcPr>
            <w:tcW w:w="1241" w:type="dxa"/>
            <w:vMerge w:val="restart"/>
            <w:tcBorders>
              <w:top w:val="single" w:color="auto" w:sz="4" w:space="0"/>
              <w:left w:val="single" w:color="auto" w:sz="4" w:space="0"/>
              <w:bottom w:val="single" w:color="auto" w:sz="4" w:space="0"/>
              <w:right w:val="single" w:color="auto" w:sz="4" w:space="0"/>
            </w:tcBorders>
            <w:noWrap w:val="0"/>
            <w:vAlign w:val="center"/>
          </w:tcPr>
          <w:p w14:paraId="1DED92BF">
            <w:pPr>
              <w:keepNext w:val="0"/>
              <w:keepLines w:val="0"/>
              <w:pageBreakBefore w:val="0"/>
              <w:widowControl w:val="0"/>
              <w:kinsoku/>
              <w:wordWrap w:val="0"/>
              <w:overflowPunct/>
              <w:topLinePunct w:val="0"/>
              <w:autoSpaceDE/>
              <w:autoSpaceDN/>
              <w:bidi w:val="0"/>
              <w:adjustRightInd w:val="0"/>
              <w:snapToGrid/>
              <w:spacing w:line="360" w:lineRule="auto"/>
              <w:ind w:left="2" w:leftChars="0" w:hanging="2" w:hangingChars="1"/>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商务部分评分标准</w:t>
            </w:r>
          </w:p>
          <w:p w14:paraId="7B7BA06E">
            <w:pPr>
              <w:keepNext w:val="0"/>
              <w:keepLines w:val="0"/>
              <w:pageBreakBefore w:val="0"/>
              <w:widowControl w:val="0"/>
              <w:kinsoku/>
              <w:wordWrap w:val="0"/>
              <w:overflowPunct/>
              <w:topLinePunct w:val="0"/>
              <w:autoSpaceDE/>
              <w:autoSpaceDN/>
              <w:bidi w:val="0"/>
              <w:adjustRightInd w:val="0"/>
              <w:snapToGrid/>
              <w:spacing w:line="360" w:lineRule="auto"/>
              <w:ind w:left="2" w:leftChars="0" w:hanging="2" w:hangingChars="1"/>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0分）</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297AA2C6">
            <w:pPr>
              <w:keepNext w:val="0"/>
              <w:keepLines w:val="0"/>
              <w:pageBreakBefore w:val="0"/>
              <w:widowControl w:val="0"/>
              <w:kinsoku/>
              <w:wordWrap w:val="0"/>
              <w:overflowPunct/>
              <w:topLinePunct w:val="0"/>
              <w:autoSpaceDE/>
              <w:autoSpaceDN/>
              <w:bidi w:val="0"/>
              <w:adjustRightInd w:val="0"/>
              <w:snapToGrid/>
              <w:spacing w:line="360" w:lineRule="auto"/>
              <w:ind w:left="2" w:leftChars="0" w:hanging="2" w:hangingChars="1"/>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企业业绩</w:t>
            </w:r>
          </w:p>
          <w:p w14:paraId="5C7EF98F">
            <w:pPr>
              <w:keepNext w:val="0"/>
              <w:keepLines w:val="0"/>
              <w:pageBreakBefore w:val="0"/>
              <w:widowControl w:val="0"/>
              <w:kinsoku/>
              <w:wordWrap w:val="0"/>
              <w:overflowPunct/>
              <w:topLinePunct w:val="0"/>
              <w:autoSpaceDE/>
              <w:autoSpaceDN/>
              <w:bidi w:val="0"/>
              <w:adjustRightInd w:val="0"/>
              <w:snapToGrid/>
              <w:spacing w:line="360" w:lineRule="auto"/>
              <w:ind w:left="2" w:leftChars="0" w:hanging="2" w:hangingChars="1"/>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（0-9分）</w:t>
            </w:r>
          </w:p>
        </w:tc>
        <w:tc>
          <w:tcPr>
            <w:tcW w:w="4995" w:type="dxa"/>
            <w:tcBorders>
              <w:top w:val="single" w:color="auto" w:sz="4" w:space="0"/>
              <w:left w:val="single" w:color="auto" w:sz="4" w:space="0"/>
              <w:bottom w:val="single" w:color="auto" w:sz="4" w:space="0"/>
              <w:right w:val="single" w:color="auto" w:sz="4" w:space="0"/>
            </w:tcBorders>
            <w:noWrap w:val="0"/>
            <w:vAlign w:val="center"/>
          </w:tcPr>
          <w:p w14:paraId="3FE19894">
            <w:pPr>
              <w:adjustRightInd w:val="0"/>
              <w:spacing w:line="360" w:lineRule="auto"/>
              <w:ind w:left="2" w:leftChars="0" w:hanging="2" w:hangingChars="1"/>
              <w:jc w:val="both"/>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供应商提供</w:t>
            </w:r>
            <w:r>
              <w:rPr>
                <w:rFonts w:hint="eastAsia" w:ascii="Times New Roman" w:hAnsi="Times New Roman" w:cs="Times New Roman"/>
                <w:color w:val="auto"/>
                <w:sz w:val="24"/>
                <w:szCs w:val="24"/>
                <w:highlight w:val="none"/>
                <w:lang w:val="en-US" w:eastAsia="zh-CN"/>
              </w:rPr>
              <w:t>2023年01以</w:t>
            </w:r>
            <w:r>
              <w:rPr>
                <w:rFonts w:hint="eastAsia" w:ascii="Times New Roman" w:hAnsi="Times New Roman" w:eastAsia="宋体" w:cs="Times New Roman"/>
                <w:color w:val="auto"/>
                <w:sz w:val="24"/>
                <w:szCs w:val="24"/>
                <w:highlight w:val="none"/>
                <w:lang w:val="en-US" w:eastAsia="zh-CN"/>
              </w:rPr>
              <w:t>来类似项目业绩，每有一项得3分，最多得9分。（需提供中标通知书</w:t>
            </w:r>
            <w:r>
              <w:rPr>
                <w:rFonts w:hint="eastAsia" w:ascii="Times New Roman" w:hAnsi="Times New Roman" w:cs="Times New Roman"/>
                <w:color w:val="auto"/>
                <w:sz w:val="24"/>
                <w:szCs w:val="24"/>
                <w:highlight w:val="none"/>
                <w:lang w:val="en-US" w:eastAsia="zh-CN"/>
              </w:rPr>
              <w:t>或</w:t>
            </w:r>
            <w:r>
              <w:rPr>
                <w:rFonts w:hint="eastAsia" w:ascii="Times New Roman" w:hAnsi="Times New Roman" w:eastAsia="宋体" w:cs="Times New Roman"/>
                <w:color w:val="auto"/>
                <w:sz w:val="24"/>
                <w:szCs w:val="24"/>
                <w:highlight w:val="none"/>
                <w:lang w:val="en-US" w:eastAsia="zh-CN"/>
              </w:rPr>
              <w:t>合同协议书原件扫描件以供应商自行上传到响应文件中的内容为准）</w:t>
            </w:r>
          </w:p>
        </w:tc>
      </w:tr>
      <w:tr w14:paraId="38ECA5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67" w:hRule="atLeast"/>
        </w:trPr>
        <w:tc>
          <w:tcPr>
            <w:tcW w:w="945" w:type="dxa"/>
            <w:vMerge w:val="continue"/>
            <w:tcBorders>
              <w:top w:val="single" w:color="auto" w:sz="4" w:space="0"/>
              <w:left w:val="single" w:color="auto" w:sz="4" w:space="0"/>
              <w:bottom w:val="single" w:color="auto" w:sz="4" w:space="0"/>
              <w:right w:val="single" w:color="auto" w:sz="4" w:space="0"/>
            </w:tcBorders>
            <w:noWrap w:val="0"/>
            <w:vAlign w:val="center"/>
          </w:tcPr>
          <w:p w14:paraId="285AFB0A">
            <w:pPr>
              <w:adjustRightInd w:val="0"/>
              <w:spacing w:line="360" w:lineRule="auto"/>
              <w:ind w:left="2" w:leftChars="0" w:hanging="2" w:hangingChars="1"/>
              <w:jc w:val="both"/>
              <w:rPr>
                <w:rFonts w:hint="eastAsia" w:ascii="Times New Roman" w:hAnsi="Times New Roman" w:eastAsia="宋体" w:cs="Times New Roman"/>
                <w:color w:val="auto"/>
                <w:sz w:val="24"/>
                <w:szCs w:val="24"/>
                <w:highlight w:val="none"/>
                <w:lang w:val="en-US" w:eastAsia="zh-CN"/>
              </w:rPr>
            </w:pPr>
          </w:p>
        </w:tc>
        <w:tc>
          <w:tcPr>
            <w:tcW w:w="1241" w:type="dxa"/>
            <w:vMerge w:val="continue"/>
            <w:tcBorders>
              <w:top w:val="single" w:color="auto" w:sz="4" w:space="0"/>
              <w:left w:val="single" w:color="auto" w:sz="4" w:space="0"/>
              <w:bottom w:val="single" w:color="auto" w:sz="4" w:space="0"/>
              <w:right w:val="single" w:color="auto" w:sz="4" w:space="0"/>
            </w:tcBorders>
            <w:noWrap w:val="0"/>
            <w:vAlign w:val="center"/>
          </w:tcPr>
          <w:p w14:paraId="2B74779E">
            <w:pPr>
              <w:keepNext w:val="0"/>
              <w:keepLines w:val="0"/>
              <w:pageBreakBefore w:val="0"/>
              <w:widowControl w:val="0"/>
              <w:kinsoku/>
              <w:wordWrap w:val="0"/>
              <w:overflowPunct/>
              <w:topLinePunct w:val="0"/>
              <w:autoSpaceDE/>
              <w:autoSpaceDN/>
              <w:bidi w:val="0"/>
              <w:adjustRightInd w:val="0"/>
              <w:snapToGrid/>
              <w:spacing w:line="360" w:lineRule="auto"/>
              <w:ind w:left="2" w:leftChars="0" w:hanging="2" w:hangingChars="1"/>
              <w:jc w:val="both"/>
              <w:textAlignment w:val="auto"/>
              <w:rPr>
                <w:rFonts w:hint="eastAsia" w:ascii="Times New Roman" w:hAnsi="Times New Roman" w:eastAsia="宋体" w:cs="Times New Roman"/>
                <w:color w:val="auto"/>
                <w:sz w:val="24"/>
                <w:szCs w:val="24"/>
                <w:highlight w:val="none"/>
                <w:lang w:val="en-US" w:eastAsia="zh-CN"/>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2BE2EA10">
            <w:pPr>
              <w:keepNext w:val="0"/>
              <w:keepLines w:val="0"/>
              <w:pageBreakBefore w:val="0"/>
              <w:widowControl w:val="0"/>
              <w:kinsoku/>
              <w:wordWrap w:val="0"/>
              <w:overflowPunct/>
              <w:topLinePunct w:val="0"/>
              <w:autoSpaceDE/>
              <w:autoSpaceDN/>
              <w:bidi w:val="0"/>
              <w:adjustRightInd w:val="0"/>
              <w:snapToGrid/>
              <w:spacing w:line="360" w:lineRule="auto"/>
              <w:ind w:left="2" w:leftChars="0" w:hanging="2" w:hangingChars="1"/>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售后服务（0-</w:t>
            </w:r>
            <w:r>
              <w:rPr>
                <w:rFonts w:hint="eastAsia" w:ascii="Times New Roman" w:hAnsi="Times New Roman" w:cs="Times New Roman"/>
                <w:color w:val="auto"/>
                <w:sz w:val="24"/>
                <w:szCs w:val="24"/>
                <w:highlight w:val="none"/>
                <w:lang w:val="en-US" w:eastAsia="zh-CN"/>
              </w:rPr>
              <w:t>11</w:t>
            </w:r>
            <w:r>
              <w:rPr>
                <w:rFonts w:hint="eastAsia" w:ascii="Times New Roman" w:hAnsi="Times New Roman" w:eastAsia="宋体" w:cs="Times New Roman"/>
                <w:color w:val="auto"/>
                <w:sz w:val="24"/>
                <w:szCs w:val="24"/>
                <w:highlight w:val="none"/>
                <w:lang w:val="en-US" w:eastAsia="zh-CN"/>
              </w:rPr>
              <w:t>分）</w:t>
            </w:r>
          </w:p>
        </w:tc>
        <w:tc>
          <w:tcPr>
            <w:tcW w:w="4995" w:type="dxa"/>
            <w:tcBorders>
              <w:top w:val="single" w:color="auto" w:sz="4" w:space="0"/>
              <w:left w:val="single" w:color="auto" w:sz="4" w:space="0"/>
              <w:bottom w:val="single" w:color="auto" w:sz="4" w:space="0"/>
              <w:right w:val="single" w:color="auto" w:sz="4" w:space="0"/>
            </w:tcBorders>
            <w:noWrap w:val="0"/>
            <w:vAlign w:val="center"/>
          </w:tcPr>
          <w:p w14:paraId="07D9F6A3">
            <w:pPr>
              <w:adjustRightInd w:val="0"/>
              <w:spacing w:line="360" w:lineRule="auto"/>
              <w:ind w:left="2" w:leftChars="0" w:hanging="2" w:hangingChars="1"/>
              <w:jc w:val="both"/>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详细说明售后服务(售后服务的内容、形式、免费维修时间、解决质量或操作问题的响应时间、解决问题时间、地点)全面、详细、可行的得6分，基本全面、详细、可行的得3分；一般全面、详细、可行的得1分；没有不得分。</w:t>
            </w:r>
          </w:p>
          <w:p w14:paraId="566FE048">
            <w:pPr>
              <w:adjustRightInd w:val="0"/>
              <w:spacing w:line="360" w:lineRule="auto"/>
              <w:ind w:left="2" w:leftChars="0" w:hanging="2" w:hangingChars="1"/>
              <w:jc w:val="both"/>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、供应商详细说明机构设置、人员配备情况、备品备件供应情况，全面、详细、可行的得</w:t>
            </w: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 xml:space="preserve">分；基本全面、详细、可行的得3分；一般全面、详细、可行的得1分；没有不得分。 </w:t>
            </w:r>
          </w:p>
        </w:tc>
      </w:tr>
      <w:tr w14:paraId="4D17EF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84" w:hRule="atLeast"/>
        </w:trPr>
        <w:tc>
          <w:tcPr>
            <w:tcW w:w="8713" w:type="dxa"/>
            <w:gridSpan w:val="4"/>
            <w:tcBorders>
              <w:top w:val="single" w:color="auto" w:sz="4" w:space="0"/>
              <w:left w:val="single" w:color="auto" w:sz="4" w:space="0"/>
              <w:bottom w:val="single" w:color="auto" w:sz="4" w:space="0"/>
              <w:right w:val="single" w:color="auto" w:sz="4" w:space="0"/>
            </w:tcBorders>
            <w:noWrap w:val="0"/>
            <w:vAlign w:val="center"/>
          </w:tcPr>
          <w:p w14:paraId="2087CB3A">
            <w:pPr>
              <w:adjustRightInd w:val="0"/>
              <w:spacing w:line="360" w:lineRule="auto"/>
              <w:ind w:left="2" w:leftChars="0" w:hanging="2" w:hangingChars="1"/>
              <w:jc w:val="both"/>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注：</w:t>
            </w:r>
            <w:r>
              <w:rPr>
                <w:rFonts w:hint="eastAsia" w:ascii="Times New Roman" w:hAnsi="Times New Roman"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评审中资格审查、评审打分以响应文件中原件扫描件为准且必须内容齐全、真实有效、清晰可辨。响应性文件的内容真实性由供应商自行承担。</w:t>
            </w:r>
          </w:p>
          <w:p w14:paraId="4DC1744F">
            <w:pPr>
              <w:adjustRightInd w:val="0"/>
              <w:spacing w:line="360" w:lineRule="auto"/>
              <w:ind w:left="2" w:leftChars="0" w:hanging="2" w:hangingChars="1"/>
              <w:jc w:val="both"/>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2、评标开始后，不再接受任何补充材料。</w:t>
            </w:r>
          </w:p>
        </w:tc>
      </w:tr>
    </w:tbl>
    <w:p w14:paraId="170097DC">
      <w:pPr>
        <w:pageBreakBefore w:val="0"/>
        <w:wordWrap w:val="0"/>
        <w:overflowPunct/>
        <w:bidi w:val="0"/>
        <w:rPr>
          <w:color w:val="auto"/>
          <w:highlight w:val="none"/>
          <w:u w:val="none"/>
        </w:rPr>
      </w:pPr>
    </w:p>
    <w:p w14:paraId="443F0D74">
      <w:pPr>
        <w:pageBreakBefore w:val="0"/>
        <w:wordWrap w:val="0"/>
        <w:overflowPunct/>
        <w:bidi w:val="0"/>
        <w:rPr>
          <w:color w:val="auto"/>
          <w:highlight w:val="none"/>
          <w:u w:val="none"/>
        </w:rPr>
      </w:pPr>
    </w:p>
    <w:p w14:paraId="0E8E2A53">
      <w:pPr>
        <w:pageBreakBefore w:val="0"/>
        <w:wordWrap w:val="0"/>
        <w:overflowPunct/>
        <w:bidi w:val="0"/>
        <w:rPr>
          <w:color w:val="auto"/>
          <w:highlight w:val="none"/>
          <w:u w:val="none"/>
        </w:rPr>
      </w:pPr>
    </w:p>
    <w:p w14:paraId="3C460A83">
      <w:pPr>
        <w:rPr>
          <w:color w:val="auto"/>
          <w:highlight w:val="none"/>
          <w:u w:val="none"/>
        </w:rPr>
      </w:pPr>
      <w:r>
        <w:rPr>
          <w:color w:val="auto"/>
          <w:highlight w:val="none"/>
          <w:u w:val="none"/>
        </w:rPr>
        <w:br w:type="page"/>
      </w:r>
    </w:p>
    <w:p w14:paraId="57B34D1C">
      <w:pPr>
        <w:pStyle w:val="4"/>
        <w:pageBreakBefore w:val="0"/>
        <w:numPr>
          <w:ilvl w:val="0"/>
          <w:numId w:val="13"/>
        </w:numPr>
        <w:wordWrap w:val="0"/>
        <w:overflowPunct/>
        <w:bidi w:val="0"/>
        <w:spacing w:before="0" w:after="0" w:line="360" w:lineRule="auto"/>
        <w:rPr>
          <w:rFonts w:cs="宋体"/>
          <w:color w:val="auto"/>
          <w:sz w:val="24"/>
          <w:szCs w:val="24"/>
          <w:highlight w:val="none"/>
          <w:u w:val="none"/>
        </w:rPr>
      </w:pPr>
      <w:bookmarkStart w:id="627" w:name="_Toc11439"/>
      <w:bookmarkStart w:id="628" w:name="_Toc4879"/>
      <w:bookmarkStart w:id="629" w:name="_Toc8739"/>
      <w:bookmarkStart w:id="630" w:name="_Toc108379365"/>
      <w:bookmarkStart w:id="631" w:name="_Toc4881"/>
      <w:bookmarkStart w:id="632" w:name="_Toc11532"/>
      <w:bookmarkStart w:id="633" w:name="_Toc12121"/>
      <w:r>
        <w:rPr>
          <w:rFonts w:hint="eastAsia" w:cs="宋体"/>
          <w:color w:val="auto"/>
          <w:sz w:val="24"/>
          <w:szCs w:val="24"/>
          <w:highlight w:val="none"/>
          <w:u w:val="none"/>
        </w:rPr>
        <w:t>评审方法</w:t>
      </w:r>
      <w:bookmarkEnd w:id="627"/>
      <w:bookmarkEnd w:id="628"/>
      <w:bookmarkEnd w:id="629"/>
      <w:bookmarkEnd w:id="630"/>
      <w:bookmarkEnd w:id="631"/>
      <w:bookmarkEnd w:id="632"/>
      <w:bookmarkEnd w:id="633"/>
    </w:p>
    <w:p w14:paraId="3B78F49A">
      <w:pPr>
        <w:pageBreakBefore w:val="0"/>
        <w:wordWrap w:val="0"/>
        <w:overflowPunct/>
        <w:autoSpaceDE w:val="0"/>
        <w:autoSpaceDN w:val="0"/>
        <w:bidi w:val="0"/>
        <w:adjustRightInd w:val="0"/>
        <w:spacing w:line="360" w:lineRule="auto"/>
        <w:ind w:firstLine="480" w:firstLineChars="200"/>
        <w:jc w:val="left"/>
        <w:rPr>
          <w:color w:val="auto"/>
          <w:kern w:val="0"/>
          <w:sz w:val="24"/>
          <w:szCs w:val="24"/>
          <w:highlight w:val="none"/>
          <w:u w:val="none"/>
        </w:rPr>
      </w:pPr>
      <w:r>
        <w:rPr>
          <w:rFonts w:hint="eastAsia"/>
          <w:color w:val="auto"/>
          <w:kern w:val="0"/>
          <w:sz w:val="24"/>
          <w:szCs w:val="24"/>
          <w:highlight w:val="none"/>
          <w:u w:val="none"/>
        </w:rPr>
        <w:t>本次采购采用质量优先法评审，对满足采购需求按照质量评分从高到低排序，根据征集文件规定的淘汰率或者入围供应商数量上限，确定入围供应商的评审方法。</w:t>
      </w:r>
    </w:p>
    <w:p w14:paraId="33409125">
      <w:pPr>
        <w:pStyle w:val="4"/>
        <w:pageBreakBefore w:val="0"/>
        <w:numPr>
          <w:ilvl w:val="0"/>
          <w:numId w:val="13"/>
        </w:numPr>
        <w:wordWrap w:val="0"/>
        <w:overflowPunct/>
        <w:bidi w:val="0"/>
        <w:spacing w:before="0" w:after="0" w:line="360" w:lineRule="auto"/>
        <w:rPr>
          <w:rFonts w:cs="宋体"/>
          <w:color w:val="auto"/>
          <w:sz w:val="24"/>
          <w:szCs w:val="24"/>
          <w:highlight w:val="none"/>
          <w:u w:val="none"/>
        </w:rPr>
      </w:pPr>
      <w:bookmarkStart w:id="634" w:name="_Toc8325"/>
      <w:bookmarkStart w:id="635" w:name="_Toc15517"/>
      <w:bookmarkStart w:id="636" w:name="_Toc26303"/>
      <w:bookmarkStart w:id="637" w:name="_Toc9542"/>
      <w:bookmarkStart w:id="638" w:name="_Toc1289"/>
      <w:bookmarkStart w:id="639" w:name="_Toc22438"/>
      <w:bookmarkStart w:id="640" w:name="_Toc904"/>
      <w:bookmarkStart w:id="641" w:name="_Toc26533"/>
      <w:bookmarkStart w:id="642" w:name="_Toc6135"/>
      <w:bookmarkStart w:id="643" w:name="_Toc3406"/>
      <w:bookmarkStart w:id="644" w:name="_Toc5920"/>
      <w:bookmarkStart w:id="645" w:name="_Toc31103"/>
      <w:bookmarkStart w:id="646" w:name="_Toc108379366"/>
      <w:bookmarkStart w:id="647" w:name="_Toc4003"/>
      <w:r>
        <w:rPr>
          <w:rFonts w:hint="eastAsia" w:cs="宋体"/>
          <w:color w:val="auto"/>
          <w:sz w:val="24"/>
          <w:szCs w:val="24"/>
          <w:highlight w:val="none"/>
          <w:u w:val="none"/>
        </w:rPr>
        <w:t>评审标准</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4A2EDABC">
      <w:pPr>
        <w:pStyle w:val="4"/>
        <w:pageBreakBefore w:val="0"/>
        <w:wordWrap w:val="0"/>
        <w:overflowPunct/>
        <w:bidi w:val="0"/>
        <w:spacing w:before="0" w:after="0" w:line="360" w:lineRule="auto"/>
        <w:rPr>
          <w:rFonts w:cs="宋体"/>
          <w:color w:val="auto"/>
          <w:sz w:val="24"/>
          <w:szCs w:val="24"/>
          <w:highlight w:val="none"/>
          <w:u w:val="none"/>
        </w:rPr>
      </w:pPr>
      <w:bookmarkStart w:id="648" w:name="_Toc24699"/>
      <w:bookmarkStart w:id="649" w:name="_Toc6703"/>
      <w:bookmarkStart w:id="650" w:name="_Toc27453"/>
      <w:bookmarkStart w:id="651" w:name="_Toc20791"/>
      <w:bookmarkStart w:id="652" w:name="_Toc12847"/>
      <w:bookmarkStart w:id="653" w:name="_Toc2572"/>
      <w:bookmarkStart w:id="654" w:name="_Toc20996"/>
      <w:bookmarkStart w:id="655" w:name="_Toc28459"/>
      <w:bookmarkStart w:id="656" w:name="_Toc4247"/>
      <w:bookmarkStart w:id="657" w:name="_Toc761"/>
      <w:bookmarkStart w:id="658" w:name="_Toc21567"/>
      <w:bookmarkStart w:id="659" w:name="_Toc20701"/>
      <w:bookmarkStart w:id="660" w:name="_Toc23446"/>
      <w:bookmarkStart w:id="661" w:name="_Toc108379367"/>
      <w:r>
        <w:rPr>
          <w:rFonts w:hint="eastAsia" w:cs="宋体"/>
          <w:color w:val="auto"/>
          <w:sz w:val="24"/>
          <w:szCs w:val="24"/>
          <w:highlight w:val="none"/>
          <w:u w:val="none"/>
        </w:rPr>
        <w:t>2.1 符合性评审</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43622212">
      <w:pPr>
        <w:pageBreakBefore w:val="0"/>
        <w:wordWrap w:val="0"/>
        <w:overflowPunct/>
        <w:autoSpaceDE w:val="0"/>
        <w:autoSpaceDN w:val="0"/>
        <w:bidi w:val="0"/>
        <w:adjustRightInd w:val="0"/>
        <w:spacing w:line="360" w:lineRule="auto"/>
        <w:ind w:firstLine="480" w:firstLineChars="200"/>
        <w:jc w:val="left"/>
        <w:rPr>
          <w:color w:val="auto"/>
          <w:kern w:val="0"/>
          <w:sz w:val="24"/>
          <w:szCs w:val="24"/>
          <w:highlight w:val="none"/>
          <w:u w:val="none"/>
        </w:rPr>
      </w:pPr>
      <w:r>
        <w:rPr>
          <w:rFonts w:hint="eastAsia"/>
          <w:color w:val="auto"/>
          <w:kern w:val="0"/>
          <w:sz w:val="24"/>
          <w:szCs w:val="24"/>
          <w:highlight w:val="none"/>
          <w:u w:val="none"/>
        </w:rPr>
        <w:t>符合性审查标准：见评审方法前附表。</w:t>
      </w:r>
    </w:p>
    <w:p w14:paraId="795455FF">
      <w:pPr>
        <w:pStyle w:val="4"/>
        <w:pageBreakBefore w:val="0"/>
        <w:wordWrap w:val="0"/>
        <w:overflowPunct/>
        <w:bidi w:val="0"/>
        <w:spacing w:before="0" w:after="0" w:line="360" w:lineRule="auto"/>
        <w:rPr>
          <w:rFonts w:cs="宋体"/>
          <w:color w:val="auto"/>
          <w:sz w:val="24"/>
          <w:szCs w:val="24"/>
          <w:highlight w:val="none"/>
          <w:u w:val="none"/>
        </w:rPr>
      </w:pPr>
      <w:bookmarkStart w:id="662" w:name="_Toc31651"/>
      <w:bookmarkStart w:id="663" w:name="_Toc6741"/>
      <w:bookmarkStart w:id="664" w:name="_Toc15635"/>
      <w:bookmarkStart w:id="665" w:name="_Toc6440"/>
      <w:bookmarkStart w:id="666" w:name="_Toc31413"/>
      <w:bookmarkStart w:id="667" w:name="_Toc29139"/>
      <w:bookmarkStart w:id="668" w:name="_Toc15689"/>
      <w:bookmarkStart w:id="669" w:name="_Toc28336"/>
      <w:bookmarkStart w:id="670" w:name="_Toc108379368"/>
      <w:bookmarkStart w:id="671" w:name="_Toc17735"/>
      <w:bookmarkStart w:id="672" w:name="_Toc15345"/>
      <w:bookmarkStart w:id="673" w:name="_Toc11313"/>
      <w:bookmarkStart w:id="674" w:name="_Toc7259"/>
      <w:bookmarkStart w:id="675" w:name="_Toc17599"/>
      <w:r>
        <w:rPr>
          <w:rFonts w:hint="eastAsia" w:cs="宋体"/>
          <w:color w:val="auto"/>
          <w:sz w:val="24"/>
          <w:szCs w:val="24"/>
          <w:highlight w:val="none"/>
          <w:u w:val="none"/>
        </w:rPr>
        <w:t>2.2 分值构成与评分标准</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14:paraId="19E7495C">
      <w:pPr>
        <w:pageBreakBefore w:val="0"/>
        <w:wordWrap w:val="0"/>
        <w:overflowPunct/>
        <w:autoSpaceDE w:val="0"/>
        <w:autoSpaceDN w:val="0"/>
        <w:bidi w:val="0"/>
        <w:adjustRightInd w:val="0"/>
        <w:spacing w:line="360" w:lineRule="auto"/>
        <w:jc w:val="left"/>
        <w:rPr>
          <w:color w:val="auto"/>
          <w:kern w:val="0"/>
          <w:sz w:val="24"/>
          <w:szCs w:val="24"/>
          <w:highlight w:val="none"/>
          <w:u w:val="none"/>
        </w:rPr>
      </w:pPr>
      <w:r>
        <w:rPr>
          <w:rFonts w:hint="eastAsia"/>
          <w:color w:val="auto"/>
          <w:kern w:val="0"/>
          <w:sz w:val="24"/>
          <w:szCs w:val="24"/>
          <w:highlight w:val="none"/>
          <w:u w:val="none"/>
        </w:rPr>
        <w:t>2.2.1 分</w:t>
      </w:r>
      <w:r>
        <w:rPr>
          <w:rFonts w:hint="eastAsia"/>
          <w:color w:val="auto"/>
          <w:spacing w:val="-2"/>
          <w:kern w:val="0"/>
          <w:sz w:val="24"/>
          <w:szCs w:val="24"/>
          <w:highlight w:val="none"/>
          <w:u w:val="none"/>
        </w:rPr>
        <w:t>值</w:t>
      </w:r>
      <w:r>
        <w:rPr>
          <w:rFonts w:hint="eastAsia"/>
          <w:color w:val="auto"/>
          <w:kern w:val="0"/>
          <w:sz w:val="24"/>
          <w:szCs w:val="24"/>
          <w:highlight w:val="none"/>
          <w:u w:val="none"/>
        </w:rPr>
        <w:t>构成</w:t>
      </w:r>
    </w:p>
    <w:p w14:paraId="7B276499">
      <w:pPr>
        <w:pageBreakBefore w:val="0"/>
        <w:numPr>
          <w:ilvl w:val="0"/>
          <w:numId w:val="14"/>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sz w:val="24"/>
          <w:szCs w:val="24"/>
          <w:highlight w:val="none"/>
          <w:u w:val="none"/>
        </w:rPr>
        <w:t>技术部分</w:t>
      </w:r>
      <w:r>
        <w:rPr>
          <w:rFonts w:hint="eastAsia"/>
          <w:color w:val="auto"/>
          <w:kern w:val="0"/>
          <w:sz w:val="24"/>
          <w:szCs w:val="24"/>
          <w:highlight w:val="none"/>
          <w:u w:val="none"/>
        </w:rPr>
        <w:t>：见评审方法前附表；</w:t>
      </w:r>
    </w:p>
    <w:p w14:paraId="00E08F05">
      <w:pPr>
        <w:pageBreakBefore w:val="0"/>
        <w:numPr>
          <w:ilvl w:val="0"/>
          <w:numId w:val="14"/>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sz w:val="24"/>
          <w:szCs w:val="24"/>
          <w:highlight w:val="none"/>
          <w:u w:val="none"/>
        </w:rPr>
        <w:t>商务部分</w:t>
      </w:r>
      <w:r>
        <w:rPr>
          <w:rFonts w:hint="eastAsia"/>
          <w:color w:val="auto"/>
          <w:kern w:val="0"/>
          <w:sz w:val="24"/>
          <w:szCs w:val="24"/>
          <w:highlight w:val="none"/>
          <w:u w:val="none"/>
        </w:rPr>
        <w:t>：见评审方法前附表；</w:t>
      </w:r>
    </w:p>
    <w:p w14:paraId="795FDFA6">
      <w:pPr>
        <w:pageBreakBefore w:val="0"/>
        <w:numPr>
          <w:ilvl w:val="0"/>
          <w:numId w:val="14"/>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报价部分：见评审方法前附表；</w:t>
      </w:r>
    </w:p>
    <w:p w14:paraId="116F53C6">
      <w:pPr>
        <w:pageBreakBefore w:val="0"/>
        <w:wordWrap w:val="0"/>
        <w:overflowPunct/>
        <w:autoSpaceDE w:val="0"/>
        <w:autoSpaceDN w:val="0"/>
        <w:bidi w:val="0"/>
        <w:adjustRightInd w:val="0"/>
        <w:spacing w:line="360" w:lineRule="auto"/>
        <w:jc w:val="left"/>
        <w:rPr>
          <w:color w:val="auto"/>
          <w:kern w:val="0"/>
          <w:sz w:val="24"/>
          <w:szCs w:val="24"/>
          <w:highlight w:val="none"/>
          <w:u w:val="none"/>
        </w:rPr>
      </w:pPr>
      <w:r>
        <w:rPr>
          <w:rFonts w:hint="eastAsia"/>
          <w:color w:val="auto"/>
          <w:kern w:val="0"/>
          <w:sz w:val="24"/>
          <w:szCs w:val="24"/>
          <w:highlight w:val="none"/>
          <w:u w:val="none"/>
        </w:rPr>
        <w:t>2.2.2 评</w:t>
      </w:r>
      <w:r>
        <w:rPr>
          <w:rFonts w:hint="eastAsia"/>
          <w:color w:val="auto"/>
          <w:spacing w:val="-2"/>
          <w:kern w:val="0"/>
          <w:sz w:val="24"/>
          <w:szCs w:val="24"/>
          <w:highlight w:val="none"/>
          <w:u w:val="none"/>
        </w:rPr>
        <w:t>分</w:t>
      </w:r>
      <w:r>
        <w:rPr>
          <w:rFonts w:hint="eastAsia"/>
          <w:color w:val="auto"/>
          <w:kern w:val="0"/>
          <w:sz w:val="24"/>
          <w:szCs w:val="24"/>
          <w:highlight w:val="none"/>
          <w:u w:val="none"/>
        </w:rPr>
        <w:t>标准</w:t>
      </w:r>
    </w:p>
    <w:p w14:paraId="5D90E8FC">
      <w:pPr>
        <w:pageBreakBefore w:val="0"/>
        <w:numPr>
          <w:ilvl w:val="0"/>
          <w:numId w:val="15"/>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bookmarkStart w:id="676" w:name="_Toc7546"/>
      <w:bookmarkStart w:id="677" w:name="_Toc4338"/>
      <w:bookmarkStart w:id="678" w:name="_Toc11872"/>
      <w:bookmarkStart w:id="679" w:name="_Toc16356"/>
      <w:bookmarkStart w:id="680" w:name="_Toc28724"/>
      <w:bookmarkStart w:id="681" w:name="_Toc26726"/>
      <w:bookmarkStart w:id="682" w:name="_Toc21732"/>
      <w:r>
        <w:rPr>
          <w:rFonts w:hint="eastAsia"/>
          <w:color w:val="auto"/>
          <w:sz w:val="24"/>
          <w:szCs w:val="24"/>
          <w:highlight w:val="none"/>
          <w:u w:val="none"/>
        </w:rPr>
        <w:t>技术部分</w:t>
      </w:r>
      <w:r>
        <w:rPr>
          <w:rFonts w:hint="eastAsia"/>
          <w:color w:val="auto"/>
          <w:kern w:val="0"/>
          <w:sz w:val="24"/>
          <w:szCs w:val="24"/>
          <w:highlight w:val="none"/>
          <w:u w:val="none"/>
        </w:rPr>
        <w:t>：见评审方法前附表；</w:t>
      </w:r>
    </w:p>
    <w:p w14:paraId="4A2F3805">
      <w:pPr>
        <w:pageBreakBefore w:val="0"/>
        <w:numPr>
          <w:ilvl w:val="0"/>
          <w:numId w:val="15"/>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sz w:val="24"/>
          <w:szCs w:val="24"/>
          <w:highlight w:val="none"/>
          <w:u w:val="none"/>
        </w:rPr>
        <w:t>商务部分</w:t>
      </w:r>
      <w:r>
        <w:rPr>
          <w:rFonts w:hint="eastAsia"/>
          <w:color w:val="auto"/>
          <w:kern w:val="0"/>
          <w:sz w:val="24"/>
          <w:szCs w:val="24"/>
          <w:highlight w:val="none"/>
          <w:u w:val="none"/>
        </w:rPr>
        <w:t>：见评审方法前附表；</w:t>
      </w:r>
    </w:p>
    <w:p w14:paraId="0675032E">
      <w:pPr>
        <w:pageBreakBefore w:val="0"/>
        <w:numPr>
          <w:ilvl w:val="0"/>
          <w:numId w:val="15"/>
        </w:numPr>
        <w:wordWrap w:val="0"/>
        <w:overflowPunct/>
        <w:autoSpaceDE w:val="0"/>
        <w:autoSpaceDN w:val="0"/>
        <w:bidi w:val="0"/>
        <w:adjustRightInd w:val="0"/>
        <w:spacing w:line="360" w:lineRule="auto"/>
        <w:ind w:left="0" w:firstLine="480" w:firstLineChars="200"/>
        <w:jc w:val="left"/>
        <w:rPr>
          <w:color w:val="auto"/>
          <w:kern w:val="0"/>
          <w:sz w:val="24"/>
          <w:szCs w:val="24"/>
          <w:highlight w:val="none"/>
          <w:u w:val="none"/>
        </w:rPr>
      </w:pPr>
      <w:r>
        <w:rPr>
          <w:rFonts w:hint="eastAsia"/>
          <w:color w:val="auto"/>
          <w:kern w:val="0"/>
          <w:sz w:val="24"/>
          <w:szCs w:val="24"/>
          <w:highlight w:val="none"/>
          <w:u w:val="none"/>
        </w:rPr>
        <w:t>报价部分：见评审方法前附表；</w:t>
      </w:r>
    </w:p>
    <w:p w14:paraId="7418EB65">
      <w:pPr>
        <w:pStyle w:val="4"/>
        <w:pageBreakBefore w:val="0"/>
        <w:numPr>
          <w:ilvl w:val="0"/>
          <w:numId w:val="13"/>
        </w:numPr>
        <w:wordWrap w:val="0"/>
        <w:overflowPunct/>
        <w:bidi w:val="0"/>
        <w:spacing w:before="0" w:after="0" w:line="360" w:lineRule="auto"/>
        <w:rPr>
          <w:rFonts w:cs="宋体"/>
          <w:color w:val="auto"/>
          <w:sz w:val="24"/>
          <w:szCs w:val="24"/>
          <w:highlight w:val="none"/>
          <w:u w:val="none"/>
        </w:rPr>
      </w:pPr>
      <w:bookmarkStart w:id="683" w:name="_Toc14876"/>
      <w:bookmarkStart w:id="684" w:name="_Toc25276"/>
      <w:bookmarkStart w:id="685" w:name="_Toc26602"/>
      <w:bookmarkStart w:id="686" w:name="_Toc23675"/>
      <w:bookmarkStart w:id="687" w:name="_Toc2711"/>
      <w:bookmarkStart w:id="688" w:name="_Toc108379369"/>
      <w:bookmarkStart w:id="689" w:name="_Toc8420"/>
      <w:r>
        <w:rPr>
          <w:rFonts w:hint="eastAsia" w:cs="宋体"/>
          <w:color w:val="auto"/>
          <w:sz w:val="24"/>
          <w:szCs w:val="24"/>
          <w:highlight w:val="none"/>
          <w:u w:val="none"/>
        </w:rPr>
        <w:t>评审程序</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4FC157E3">
      <w:pPr>
        <w:pStyle w:val="4"/>
        <w:pageBreakBefore w:val="0"/>
        <w:wordWrap w:val="0"/>
        <w:overflowPunct/>
        <w:bidi w:val="0"/>
        <w:spacing w:before="0" w:after="0" w:line="360" w:lineRule="auto"/>
        <w:rPr>
          <w:rFonts w:cs="宋体"/>
          <w:color w:val="auto"/>
          <w:sz w:val="24"/>
          <w:szCs w:val="24"/>
          <w:highlight w:val="none"/>
          <w:u w:val="none"/>
        </w:rPr>
      </w:pPr>
      <w:bookmarkStart w:id="690" w:name="_Toc13317"/>
      <w:bookmarkStart w:id="691" w:name="_Toc108379370"/>
      <w:bookmarkStart w:id="692" w:name="_Toc916"/>
      <w:bookmarkStart w:id="693" w:name="_Toc1654"/>
      <w:bookmarkStart w:id="694" w:name="_Toc10682"/>
      <w:bookmarkStart w:id="695" w:name="_Toc4311"/>
      <w:bookmarkStart w:id="696" w:name="_Toc8073"/>
      <w:bookmarkStart w:id="697" w:name="_Toc15855"/>
      <w:bookmarkStart w:id="698" w:name="_Toc5708"/>
      <w:bookmarkStart w:id="699" w:name="_Toc11546"/>
      <w:bookmarkStart w:id="700" w:name="_Toc32083"/>
      <w:bookmarkStart w:id="701" w:name="_Toc3666"/>
      <w:bookmarkStart w:id="702" w:name="_Toc26008"/>
      <w:bookmarkStart w:id="703" w:name="_Toc9443"/>
      <w:r>
        <w:rPr>
          <w:rFonts w:hint="eastAsia" w:cs="宋体"/>
          <w:color w:val="auto"/>
          <w:sz w:val="24"/>
          <w:szCs w:val="24"/>
          <w:highlight w:val="none"/>
          <w:u w:val="none"/>
        </w:rPr>
        <w:t>3.1 符合性审查</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53E97853">
      <w:pPr>
        <w:pageBreakBefore w:val="0"/>
        <w:wordWrap w:val="0"/>
        <w:overflowPunct/>
        <w:autoSpaceDE w:val="0"/>
        <w:autoSpaceDN w:val="0"/>
        <w:bidi w:val="0"/>
        <w:adjustRightInd w:val="0"/>
        <w:spacing w:line="360" w:lineRule="auto"/>
        <w:ind w:firstLine="420"/>
        <w:jc w:val="left"/>
        <w:rPr>
          <w:b/>
          <w:color w:val="auto"/>
          <w:spacing w:val="-2"/>
          <w:kern w:val="0"/>
          <w:sz w:val="24"/>
          <w:szCs w:val="24"/>
          <w:highlight w:val="none"/>
          <w:u w:val="none"/>
        </w:rPr>
      </w:pPr>
      <w:r>
        <w:rPr>
          <w:rFonts w:hint="eastAsia"/>
          <w:color w:val="auto"/>
          <w:kern w:val="0"/>
          <w:sz w:val="24"/>
          <w:szCs w:val="24"/>
          <w:highlight w:val="none"/>
          <w:u w:val="none"/>
        </w:rPr>
        <w:t>评审小组</w:t>
      </w:r>
      <w:r>
        <w:rPr>
          <w:rFonts w:hint="eastAsia"/>
          <w:color w:val="auto"/>
          <w:spacing w:val="-2"/>
          <w:kern w:val="0"/>
          <w:sz w:val="24"/>
          <w:szCs w:val="24"/>
          <w:highlight w:val="none"/>
          <w:u w:val="none"/>
        </w:rPr>
        <w:t>依</w:t>
      </w:r>
      <w:r>
        <w:rPr>
          <w:rFonts w:hint="eastAsia"/>
          <w:color w:val="auto"/>
          <w:kern w:val="0"/>
          <w:sz w:val="24"/>
          <w:szCs w:val="24"/>
          <w:highlight w:val="none"/>
          <w:u w:val="none"/>
        </w:rPr>
        <w:t>据本</w:t>
      </w:r>
      <w:r>
        <w:rPr>
          <w:rFonts w:hint="eastAsia"/>
          <w:color w:val="auto"/>
          <w:spacing w:val="-2"/>
          <w:kern w:val="0"/>
          <w:sz w:val="24"/>
          <w:szCs w:val="24"/>
          <w:highlight w:val="none"/>
          <w:u w:val="none"/>
        </w:rPr>
        <w:t>章</w:t>
      </w:r>
      <w:r>
        <w:rPr>
          <w:rFonts w:hint="eastAsia"/>
          <w:color w:val="auto"/>
          <w:kern w:val="0"/>
          <w:sz w:val="24"/>
          <w:szCs w:val="24"/>
          <w:highlight w:val="none"/>
          <w:u w:val="none"/>
        </w:rPr>
        <w:t>评审方法前附表</w:t>
      </w:r>
      <w:r>
        <w:rPr>
          <w:rFonts w:hint="eastAsia"/>
          <w:color w:val="auto"/>
          <w:spacing w:val="-2"/>
          <w:kern w:val="0"/>
          <w:sz w:val="24"/>
          <w:szCs w:val="24"/>
          <w:highlight w:val="none"/>
          <w:u w:val="none"/>
        </w:rPr>
        <w:t>规</w:t>
      </w:r>
      <w:r>
        <w:rPr>
          <w:rFonts w:hint="eastAsia"/>
          <w:color w:val="auto"/>
          <w:kern w:val="0"/>
          <w:sz w:val="24"/>
          <w:szCs w:val="24"/>
          <w:highlight w:val="none"/>
          <w:u w:val="none"/>
        </w:rPr>
        <w:t>定</w:t>
      </w:r>
      <w:r>
        <w:rPr>
          <w:rFonts w:hint="eastAsia"/>
          <w:color w:val="auto"/>
          <w:spacing w:val="-2"/>
          <w:kern w:val="0"/>
          <w:sz w:val="24"/>
          <w:szCs w:val="24"/>
          <w:highlight w:val="none"/>
          <w:u w:val="none"/>
        </w:rPr>
        <w:t>的标</w:t>
      </w:r>
      <w:r>
        <w:rPr>
          <w:rFonts w:hint="eastAsia"/>
          <w:color w:val="auto"/>
          <w:kern w:val="0"/>
          <w:sz w:val="24"/>
          <w:szCs w:val="24"/>
          <w:highlight w:val="none"/>
          <w:u w:val="none"/>
        </w:rPr>
        <w:t>准，对</w:t>
      </w:r>
      <w:r>
        <w:rPr>
          <w:rFonts w:hint="eastAsia"/>
          <w:color w:val="auto"/>
          <w:spacing w:val="-2"/>
          <w:kern w:val="0"/>
          <w:sz w:val="24"/>
          <w:szCs w:val="24"/>
          <w:highlight w:val="none"/>
          <w:u w:val="none"/>
        </w:rPr>
        <w:t>符合资格的供应商的响应文件进行符合性审查，以确定其是否满足征集文件的实质性要求</w:t>
      </w:r>
      <w:r>
        <w:rPr>
          <w:rFonts w:hint="eastAsia"/>
          <w:color w:val="auto"/>
          <w:kern w:val="0"/>
          <w:sz w:val="24"/>
          <w:szCs w:val="24"/>
          <w:highlight w:val="none"/>
          <w:u w:val="none"/>
        </w:rPr>
        <w:t>，</w:t>
      </w:r>
      <w:r>
        <w:rPr>
          <w:rFonts w:hint="eastAsia"/>
          <w:color w:val="auto"/>
          <w:spacing w:val="-2"/>
          <w:kern w:val="0"/>
          <w:sz w:val="24"/>
          <w:szCs w:val="24"/>
          <w:highlight w:val="none"/>
          <w:u w:val="none"/>
        </w:rPr>
        <w:t>有</w:t>
      </w:r>
      <w:r>
        <w:rPr>
          <w:rFonts w:hint="eastAsia"/>
          <w:color w:val="auto"/>
          <w:kern w:val="0"/>
          <w:sz w:val="24"/>
          <w:szCs w:val="24"/>
          <w:highlight w:val="none"/>
          <w:u w:val="none"/>
        </w:rPr>
        <w:t>一</w:t>
      </w:r>
      <w:r>
        <w:rPr>
          <w:rFonts w:hint="eastAsia"/>
          <w:color w:val="auto"/>
          <w:spacing w:val="-2"/>
          <w:kern w:val="0"/>
          <w:sz w:val="24"/>
          <w:szCs w:val="24"/>
          <w:highlight w:val="none"/>
          <w:u w:val="none"/>
        </w:rPr>
        <w:t>项</w:t>
      </w:r>
      <w:r>
        <w:rPr>
          <w:rFonts w:hint="eastAsia"/>
          <w:color w:val="auto"/>
          <w:kern w:val="0"/>
          <w:sz w:val="24"/>
          <w:szCs w:val="24"/>
          <w:highlight w:val="none"/>
          <w:u w:val="none"/>
        </w:rPr>
        <w:t>不</w:t>
      </w:r>
      <w:r>
        <w:rPr>
          <w:rFonts w:hint="eastAsia"/>
          <w:color w:val="auto"/>
          <w:spacing w:val="-2"/>
          <w:kern w:val="0"/>
          <w:sz w:val="24"/>
          <w:szCs w:val="24"/>
          <w:highlight w:val="none"/>
          <w:u w:val="none"/>
        </w:rPr>
        <w:t>符</w:t>
      </w:r>
      <w:r>
        <w:rPr>
          <w:rFonts w:hint="eastAsia"/>
          <w:color w:val="auto"/>
          <w:kern w:val="0"/>
          <w:sz w:val="24"/>
          <w:szCs w:val="24"/>
          <w:highlight w:val="none"/>
          <w:u w:val="none"/>
        </w:rPr>
        <w:t>合评审</w:t>
      </w:r>
      <w:r>
        <w:rPr>
          <w:rFonts w:hint="eastAsia"/>
          <w:color w:val="auto"/>
          <w:spacing w:val="-2"/>
          <w:kern w:val="0"/>
          <w:sz w:val="24"/>
          <w:szCs w:val="24"/>
          <w:highlight w:val="none"/>
          <w:u w:val="none"/>
        </w:rPr>
        <w:t>标</w:t>
      </w:r>
      <w:r>
        <w:rPr>
          <w:rFonts w:hint="eastAsia"/>
          <w:color w:val="auto"/>
          <w:kern w:val="0"/>
          <w:sz w:val="24"/>
          <w:szCs w:val="24"/>
          <w:highlight w:val="none"/>
          <w:u w:val="none"/>
        </w:rPr>
        <w:t>准</w:t>
      </w:r>
      <w:r>
        <w:rPr>
          <w:rFonts w:hint="eastAsia"/>
          <w:color w:val="auto"/>
          <w:spacing w:val="-2"/>
          <w:kern w:val="0"/>
          <w:sz w:val="24"/>
          <w:szCs w:val="24"/>
          <w:highlight w:val="none"/>
          <w:u w:val="none"/>
        </w:rPr>
        <w:t>的</w:t>
      </w:r>
      <w:r>
        <w:rPr>
          <w:rFonts w:hint="eastAsia"/>
          <w:color w:val="auto"/>
          <w:kern w:val="0"/>
          <w:sz w:val="24"/>
          <w:szCs w:val="24"/>
          <w:highlight w:val="none"/>
          <w:u w:val="none"/>
        </w:rPr>
        <w:t>，</w:t>
      </w:r>
      <w:r>
        <w:rPr>
          <w:rFonts w:hint="eastAsia"/>
          <w:color w:val="auto"/>
          <w:spacing w:val="-2"/>
          <w:kern w:val="0"/>
          <w:sz w:val="24"/>
          <w:szCs w:val="24"/>
          <w:highlight w:val="none"/>
          <w:u w:val="none"/>
        </w:rPr>
        <w:t>评审小组</w:t>
      </w:r>
      <w:r>
        <w:rPr>
          <w:rFonts w:hint="eastAsia"/>
          <w:color w:val="auto"/>
          <w:kern w:val="0"/>
          <w:sz w:val="24"/>
          <w:szCs w:val="24"/>
          <w:highlight w:val="none"/>
          <w:u w:val="none"/>
        </w:rPr>
        <w:t>应当</w:t>
      </w:r>
      <w:r>
        <w:rPr>
          <w:rFonts w:hint="eastAsia"/>
          <w:color w:val="auto"/>
          <w:sz w:val="24"/>
          <w:szCs w:val="24"/>
          <w:highlight w:val="none"/>
          <w:u w:val="none"/>
        </w:rPr>
        <w:t>认定其</w:t>
      </w:r>
      <w:r>
        <w:rPr>
          <w:rFonts w:hint="eastAsia"/>
          <w:b/>
          <w:bCs/>
          <w:color w:val="auto"/>
          <w:sz w:val="24"/>
          <w:szCs w:val="24"/>
          <w:highlight w:val="none"/>
          <w:u w:val="none"/>
        </w:rPr>
        <w:t>响应文件无效</w:t>
      </w:r>
      <w:r>
        <w:rPr>
          <w:rFonts w:hint="eastAsia"/>
          <w:color w:val="auto"/>
          <w:spacing w:val="-2"/>
          <w:kern w:val="0"/>
          <w:sz w:val="24"/>
          <w:szCs w:val="24"/>
          <w:highlight w:val="none"/>
          <w:u w:val="none"/>
        </w:rPr>
        <w:t>。</w:t>
      </w:r>
    </w:p>
    <w:p w14:paraId="45F9D53C">
      <w:pPr>
        <w:pStyle w:val="4"/>
        <w:pageBreakBefore w:val="0"/>
        <w:wordWrap w:val="0"/>
        <w:overflowPunct/>
        <w:bidi w:val="0"/>
        <w:spacing w:before="0" w:after="0" w:line="360" w:lineRule="auto"/>
        <w:rPr>
          <w:rFonts w:cs="宋体"/>
          <w:color w:val="auto"/>
          <w:sz w:val="24"/>
          <w:szCs w:val="24"/>
          <w:highlight w:val="none"/>
          <w:u w:val="none"/>
        </w:rPr>
      </w:pPr>
      <w:bookmarkStart w:id="704" w:name="_Toc18705"/>
      <w:bookmarkStart w:id="705" w:name="_Toc30428"/>
      <w:bookmarkStart w:id="706" w:name="_Toc26654"/>
      <w:bookmarkStart w:id="707" w:name="_Toc108379371"/>
      <w:bookmarkStart w:id="708" w:name="_Toc14717"/>
      <w:bookmarkStart w:id="709" w:name="_Toc10132"/>
      <w:bookmarkStart w:id="710" w:name="_Toc31993"/>
      <w:bookmarkStart w:id="711" w:name="_Toc13336"/>
      <w:bookmarkStart w:id="712" w:name="_Toc4037"/>
      <w:bookmarkStart w:id="713" w:name="_Toc7702"/>
      <w:bookmarkStart w:id="714" w:name="_Toc7731"/>
      <w:bookmarkStart w:id="715" w:name="_Toc24137"/>
      <w:bookmarkStart w:id="716" w:name="_Toc20721"/>
      <w:bookmarkStart w:id="717" w:name="_Toc1221"/>
      <w:r>
        <w:rPr>
          <w:rFonts w:hint="eastAsia" w:cs="宋体"/>
          <w:color w:val="auto"/>
          <w:sz w:val="24"/>
          <w:szCs w:val="24"/>
          <w:highlight w:val="none"/>
          <w:u w:val="none"/>
        </w:rPr>
        <w:t>3.2 详细评审</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02C113ED">
      <w:pPr>
        <w:pageBreakBefore w:val="0"/>
        <w:wordWrap w:val="0"/>
        <w:overflowPunct/>
        <w:autoSpaceDE w:val="0"/>
        <w:autoSpaceDN w:val="0"/>
        <w:bidi w:val="0"/>
        <w:adjustRightInd w:val="0"/>
        <w:spacing w:line="360" w:lineRule="auto"/>
        <w:ind w:firstLine="480" w:firstLineChars="200"/>
        <w:jc w:val="left"/>
        <w:rPr>
          <w:color w:val="auto"/>
          <w:kern w:val="0"/>
          <w:sz w:val="24"/>
          <w:szCs w:val="24"/>
          <w:highlight w:val="none"/>
          <w:u w:val="none"/>
        </w:rPr>
      </w:pPr>
      <w:r>
        <w:rPr>
          <w:rFonts w:hint="eastAsia"/>
          <w:color w:val="auto"/>
          <w:kern w:val="0"/>
          <w:sz w:val="24"/>
          <w:szCs w:val="24"/>
          <w:highlight w:val="none"/>
          <w:u w:val="none"/>
        </w:rPr>
        <w:t>3.2.1 评审小组</w:t>
      </w:r>
      <w:r>
        <w:rPr>
          <w:rFonts w:hint="eastAsia"/>
          <w:color w:val="auto"/>
          <w:spacing w:val="-2"/>
          <w:kern w:val="0"/>
          <w:sz w:val="24"/>
          <w:szCs w:val="24"/>
          <w:highlight w:val="none"/>
          <w:u w:val="none"/>
        </w:rPr>
        <w:t>按</w:t>
      </w:r>
      <w:r>
        <w:rPr>
          <w:rFonts w:hint="eastAsia"/>
          <w:color w:val="auto"/>
          <w:kern w:val="0"/>
          <w:sz w:val="24"/>
          <w:szCs w:val="24"/>
          <w:highlight w:val="none"/>
          <w:u w:val="none"/>
        </w:rPr>
        <w:t>本</w:t>
      </w:r>
      <w:r>
        <w:rPr>
          <w:rFonts w:hint="eastAsia"/>
          <w:color w:val="auto"/>
          <w:spacing w:val="-2"/>
          <w:kern w:val="0"/>
          <w:sz w:val="24"/>
          <w:szCs w:val="24"/>
          <w:highlight w:val="none"/>
          <w:u w:val="none"/>
        </w:rPr>
        <w:t>章</w:t>
      </w:r>
      <w:r>
        <w:rPr>
          <w:rFonts w:hint="eastAsia"/>
          <w:color w:val="auto"/>
          <w:kern w:val="0"/>
          <w:sz w:val="24"/>
          <w:szCs w:val="24"/>
          <w:highlight w:val="none"/>
          <w:u w:val="none"/>
        </w:rPr>
        <w:t>评审方法规</w:t>
      </w:r>
      <w:r>
        <w:rPr>
          <w:rFonts w:hint="eastAsia"/>
          <w:color w:val="auto"/>
          <w:spacing w:val="-2"/>
          <w:kern w:val="0"/>
          <w:sz w:val="24"/>
          <w:szCs w:val="24"/>
          <w:highlight w:val="none"/>
          <w:u w:val="none"/>
        </w:rPr>
        <w:t>定</w:t>
      </w:r>
      <w:r>
        <w:rPr>
          <w:rFonts w:hint="eastAsia"/>
          <w:color w:val="auto"/>
          <w:kern w:val="0"/>
          <w:sz w:val="24"/>
          <w:szCs w:val="24"/>
          <w:highlight w:val="none"/>
          <w:u w:val="none"/>
        </w:rPr>
        <w:t>的</w:t>
      </w:r>
      <w:r>
        <w:rPr>
          <w:rFonts w:hint="eastAsia"/>
          <w:color w:val="auto"/>
          <w:spacing w:val="-2"/>
          <w:kern w:val="0"/>
          <w:sz w:val="24"/>
          <w:szCs w:val="24"/>
          <w:highlight w:val="none"/>
          <w:u w:val="none"/>
        </w:rPr>
        <w:t>量</w:t>
      </w:r>
      <w:r>
        <w:rPr>
          <w:rFonts w:hint="eastAsia"/>
          <w:color w:val="auto"/>
          <w:kern w:val="0"/>
          <w:sz w:val="24"/>
          <w:szCs w:val="24"/>
          <w:highlight w:val="none"/>
          <w:u w:val="none"/>
        </w:rPr>
        <w:t>化</w:t>
      </w:r>
      <w:r>
        <w:rPr>
          <w:rFonts w:hint="eastAsia"/>
          <w:color w:val="auto"/>
          <w:spacing w:val="-2"/>
          <w:kern w:val="0"/>
          <w:sz w:val="24"/>
          <w:szCs w:val="24"/>
          <w:highlight w:val="none"/>
          <w:u w:val="none"/>
        </w:rPr>
        <w:t>因</w:t>
      </w:r>
      <w:r>
        <w:rPr>
          <w:rFonts w:hint="eastAsia"/>
          <w:color w:val="auto"/>
          <w:kern w:val="0"/>
          <w:sz w:val="24"/>
          <w:szCs w:val="24"/>
          <w:highlight w:val="none"/>
          <w:u w:val="none"/>
        </w:rPr>
        <w:t>素</w:t>
      </w:r>
      <w:r>
        <w:rPr>
          <w:rFonts w:hint="eastAsia"/>
          <w:color w:val="auto"/>
          <w:spacing w:val="-2"/>
          <w:kern w:val="0"/>
          <w:sz w:val="24"/>
          <w:szCs w:val="24"/>
          <w:highlight w:val="none"/>
          <w:u w:val="none"/>
        </w:rPr>
        <w:t>和</w:t>
      </w:r>
      <w:r>
        <w:rPr>
          <w:rFonts w:hint="eastAsia"/>
          <w:color w:val="auto"/>
          <w:kern w:val="0"/>
          <w:sz w:val="24"/>
          <w:szCs w:val="24"/>
          <w:highlight w:val="none"/>
          <w:u w:val="none"/>
        </w:rPr>
        <w:t>分值</w:t>
      </w:r>
      <w:r>
        <w:rPr>
          <w:rFonts w:hint="eastAsia"/>
          <w:color w:val="auto"/>
          <w:spacing w:val="-2"/>
          <w:kern w:val="0"/>
          <w:sz w:val="24"/>
          <w:szCs w:val="24"/>
          <w:highlight w:val="none"/>
          <w:u w:val="none"/>
        </w:rPr>
        <w:t>进</w:t>
      </w:r>
      <w:r>
        <w:rPr>
          <w:rFonts w:hint="eastAsia"/>
          <w:color w:val="auto"/>
          <w:kern w:val="0"/>
          <w:sz w:val="24"/>
          <w:szCs w:val="24"/>
          <w:highlight w:val="none"/>
          <w:u w:val="none"/>
        </w:rPr>
        <w:t>行</w:t>
      </w:r>
      <w:r>
        <w:rPr>
          <w:rFonts w:hint="eastAsia"/>
          <w:color w:val="auto"/>
          <w:spacing w:val="-2"/>
          <w:kern w:val="0"/>
          <w:sz w:val="24"/>
          <w:szCs w:val="24"/>
          <w:highlight w:val="none"/>
          <w:u w:val="none"/>
        </w:rPr>
        <w:t>打</w:t>
      </w:r>
      <w:r>
        <w:rPr>
          <w:rFonts w:hint="eastAsia"/>
          <w:color w:val="auto"/>
          <w:kern w:val="0"/>
          <w:sz w:val="24"/>
          <w:szCs w:val="24"/>
          <w:highlight w:val="none"/>
          <w:u w:val="none"/>
        </w:rPr>
        <w:t>分</w:t>
      </w:r>
      <w:r>
        <w:rPr>
          <w:rFonts w:hint="eastAsia"/>
          <w:color w:val="auto"/>
          <w:spacing w:val="-108"/>
          <w:kern w:val="0"/>
          <w:sz w:val="24"/>
          <w:szCs w:val="24"/>
          <w:highlight w:val="none"/>
          <w:u w:val="none"/>
        </w:rPr>
        <w:t>，</w:t>
      </w:r>
      <w:r>
        <w:rPr>
          <w:rFonts w:hint="eastAsia"/>
          <w:color w:val="auto"/>
          <w:kern w:val="0"/>
          <w:sz w:val="24"/>
          <w:szCs w:val="24"/>
          <w:highlight w:val="none"/>
          <w:u w:val="none"/>
        </w:rPr>
        <w:t>并</w:t>
      </w:r>
      <w:r>
        <w:rPr>
          <w:rFonts w:hint="eastAsia"/>
          <w:color w:val="auto"/>
          <w:spacing w:val="-2"/>
          <w:kern w:val="0"/>
          <w:sz w:val="24"/>
          <w:szCs w:val="24"/>
          <w:highlight w:val="none"/>
          <w:u w:val="none"/>
        </w:rPr>
        <w:t>计</w:t>
      </w:r>
      <w:r>
        <w:rPr>
          <w:rFonts w:hint="eastAsia"/>
          <w:color w:val="auto"/>
          <w:kern w:val="0"/>
          <w:sz w:val="24"/>
          <w:szCs w:val="24"/>
          <w:highlight w:val="none"/>
          <w:u w:val="none"/>
        </w:rPr>
        <w:t>算</w:t>
      </w:r>
      <w:r>
        <w:rPr>
          <w:rFonts w:hint="eastAsia"/>
          <w:color w:val="auto"/>
          <w:spacing w:val="-2"/>
          <w:kern w:val="0"/>
          <w:sz w:val="24"/>
          <w:szCs w:val="24"/>
          <w:highlight w:val="none"/>
          <w:u w:val="none"/>
        </w:rPr>
        <w:t>出综</w:t>
      </w:r>
      <w:r>
        <w:rPr>
          <w:rFonts w:hint="eastAsia"/>
          <w:color w:val="auto"/>
          <w:kern w:val="0"/>
          <w:sz w:val="24"/>
          <w:szCs w:val="24"/>
          <w:highlight w:val="none"/>
          <w:u w:val="none"/>
        </w:rPr>
        <w:t>合得</w:t>
      </w:r>
      <w:r>
        <w:rPr>
          <w:rFonts w:hint="eastAsia"/>
          <w:color w:val="auto"/>
          <w:spacing w:val="-2"/>
          <w:kern w:val="0"/>
          <w:sz w:val="24"/>
          <w:szCs w:val="24"/>
          <w:highlight w:val="none"/>
          <w:u w:val="none"/>
        </w:rPr>
        <w:t>分</w:t>
      </w:r>
      <w:r>
        <w:rPr>
          <w:rFonts w:hint="eastAsia"/>
          <w:color w:val="auto"/>
          <w:kern w:val="0"/>
          <w:sz w:val="24"/>
          <w:szCs w:val="24"/>
          <w:highlight w:val="none"/>
          <w:u w:val="none"/>
        </w:rPr>
        <w:t>。</w:t>
      </w:r>
    </w:p>
    <w:p w14:paraId="0C885412">
      <w:pPr>
        <w:pageBreakBefore w:val="0"/>
        <w:wordWrap w:val="0"/>
        <w:overflowPunct/>
        <w:autoSpaceDE w:val="0"/>
        <w:autoSpaceDN w:val="0"/>
        <w:bidi w:val="0"/>
        <w:adjustRightInd w:val="0"/>
        <w:spacing w:line="360" w:lineRule="auto"/>
        <w:ind w:firstLine="480" w:firstLineChars="200"/>
        <w:jc w:val="left"/>
        <w:rPr>
          <w:color w:val="auto"/>
          <w:kern w:val="0"/>
          <w:sz w:val="24"/>
          <w:szCs w:val="24"/>
          <w:highlight w:val="none"/>
          <w:u w:val="none"/>
        </w:rPr>
      </w:pPr>
      <w:r>
        <w:rPr>
          <w:rFonts w:hint="eastAsia"/>
          <w:color w:val="auto"/>
          <w:kern w:val="0"/>
          <w:sz w:val="24"/>
          <w:szCs w:val="24"/>
          <w:highlight w:val="none"/>
          <w:u w:val="none"/>
        </w:rPr>
        <w:t>3.2.2 评分分值计算保留小数点后两位，小数点后第三位“四舍五入”。</w:t>
      </w:r>
    </w:p>
    <w:p w14:paraId="00C8978D">
      <w:pPr>
        <w:pStyle w:val="4"/>
        <w:pageBreakBefore w:val="0"/>
        <w:wordWrap w:val="0"/>
        <w:overflowPunct/>
        <w:bidi w:val="0"/>
        <w:spacing w:before="0" w:after="0" w:line="360" w:lineRule="auto"/>
        <w:rPr>
          <w:rFonts w:cs="宋体"/>
          <w:color w:val="auto"/>
          <w:sz w:val="24"/>
          <w:szCs w:val="24"/>
          <w:highlight w:val="none"/>
          <w:u w:val="none"/>
        </w:rPr>
      </w:pPr>
      <w:bookmarkStart w:id="718" w:name="_Toc22546"/>
      <w:bookmarkStart w:id="719" w:name="_Toc108379372"/>
      <w:bookmarkStart w:id="720" w:name="_Toc32466"/>
      <w:bookmarkStart w:id="721" w:name="_Toc13854"/>
      <w:bookmarkStart w:id="722" w:name="_Toc5864"/>
      <w:bookmarkStart w:id="723" w:name="_Toc3683"/>
      <w:bookmarkStart w:id="724" w:name="_Toc21743"/>
      <w:bookmarkStart w:id="725" w:name="_Toc7845"/>
      <w:bookmarkStart w:id="726" w:name="_Toc11722"/>
      <w:bookmarkStart w:id="727" w:name="_Toc11785"/>
      <w:bookmarkStart w:id="728" w:name="_Toc18083"/>
      <w:bookmarkStart w:id="729" w:name="_Toc5640"/>
      <w:bookmarkStart w:id="730" w:name="_Toc29980"/>
      <w:bookmarkStart w:id="731" w:name="_Toc15098"/>
      <w:r>
        <w:rPr>
          <w:rFonts w:hint="eastAsia" w:cs="宋体"/>
          <w:color w:val="auto"/>
          <w:sz w:val="24"/>
          <w:szCs w:val="24"/>
          <w:highlight w:val="none"/>
          <w:u w:val="none"/>
        </w:rPr>
        <w:t>3.3 响应文件的澄清</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14:paraId="55EF1225">
      <w:pPr>
        <w:pageBreakBefore w:val="0"/>
        <w:wordWrap w:val="0"/>
        <w:overflowPunct/>
        <w:autoSpaceDE w:val="0"/>
        <w:autoSpaceDN w:val="0"/>
        <w:bidi w:val="0"/>
        <w:adjustRightInd w:val="0"/>
        <w:spacing w:line="360" w:lineRule="auto"/>
        <w:ind w:firstLine="420"/>
        <w:rPr>
          <w:color w:val="auto"/>
          <w:kern w:val="0"/>
          <w:sz w:val="24"/>
          <w:szCs w:val="24"/>
          <w:highlight w:val="none"/>
          <w:u w:val="none"/>
        </w:rPr>
      </w:pPr>
      <w:r>
        <w:rPr>
          <w:rFonts w:hint="eastAsia"/>
          <w:color w:val="auto"/>
          <w:kern w:val="0"/>
          <w:sz w:val="24"/>
          <w:szCs w:val="24"/>
          <w:highlight w:val="none"/>
          <w:u w:val="none"/>
        </w:rPr>
        <w:t>3.3.1 在</w:t>
      </w:r>
      <w:r>
        <w:rPr>
          <w:rFonts w:hint="eastAsia"/>
          <w:color w:val="auto"/>
          <w:spacing w:val="-2"/>
          <w:kern w:val="0"/>
          <w:sz w:val="24"/>
          <w:szCs w:val="24"/>
          <w:highlight w:val="none"/>
          <w:u w:val="none"/>
        </w:rPr>
        <w:t>评审过</w:t>
      </w:r>
      <w:r>
        <w:rPr>
          <w:rFonts w:hint="eastAsia"/>
          <w:color w:val="auto"/>
          <w:kern w:val="0"/>
          <w:sz w:val="24"/>
          <w:szCs w:val="24"/>
          <w:highlight w:val="none"/>
          <w:u w:val="none"/>
        </w:rPr>
        <w:t>程中</w:t>
      </w:r>
      <w:r>
        <w:rPr>
          <w:rFonts w:hint="eastAsia"/>
          <w:color w:val="auto"/>
          <w:spacing w:val="-41"/>
          <w:kern w:val="0"/>
          <w:sz w:val="24"/>
          <w:szCs w:val="24"/>
          <w:highlight w:val="none"/>
          <w:u w:val="none"/>
        </w:rPr>
        <w:t>，</w:t>
      </w:r>
      <w:r>
        <w:rPr>
          <w:rFonts w:hint="eastAsia"/>
          <w:color w:val="auto"/>
          <w:kern w:val="0"/>
          <w:sz w:val="24"/>
          <w:szCs w:val="24"/>
          <w:highlight w:val="none"/>
          <w:u w:val="none"/>
        </w:rPr>
        <w:t>评审小组可</w:t>
      </w:r>
      <w:r>
        <w:rPr>
          <w:rFonts w:hint="eastAsia"/>
          <w:color w:val="auto"/>
          <w:spacing w:val="-2"/>
          <w:kern w:val="0"/>
          <w:sz w:val="24"/>
          <w:szCs w:val="24"/>
          <w:highlight w:val="none"/>
          <w:u w:val="none"/>
        </w:rPr>
        <w:t>以</w:t>
      </w:r>
      <w:r>
        <w:rPr>
          <w:rFonts w:hint="eastAsia"/>
          <w:color w:val="auto"/>
          <w:kern w:val="0"/>
          <w:sz w:val="24"/>
          <w:szCs w:val="24"/>
          <w:highlight w:val="none"/>
          <w:u w:val="none"/>
        </w:rPr>
        <w:t>书</w:t>
      </w:r>
      <w:r>
        <w:rPr>
          <w:rFonts w:hint="eastAsia"/>
          <w:color w:val="auto"/>
          <w:spacing w:val="-2"/>
          <w:kern w:val="0"/>
          <w:sz w:val="24"/>
          <w:szCs w:val="24"/>
          <w:highlight w:val="none"/>
          <w:u w:val="none"/>
        </w:rPr>
        <w:t>面</w:t>
      </w:r>
      <w:r>
        <w:rPr>
          <w:rFonts w:hint="eastAsia"/>
          <w:color w:val="auto"/>
          <w:kern w:val="0"/>
          <w:sz w:val="24"/>
          <w:szCs w:val="24"/>
          <w:highlight w:val="none"/>
          <w:u w:val="none"/>
        </w:rPr>
        <w:t>形</w:t>
      </w:r>
      <w:r>
        <w:rPr>
          <w:rFonts w:hint="eastAsia"/>
          <w:color w:val="auto"/>
          <w:spacing w:val="-2"/>
          <w:kern w:val="0"/>
          <w:sz w:val="24"/>
          <w:szCs w:val="24"/>
          <w:highlight w:val="none"/>
          <w:u w:val="none"/>
        </w:rPr>
        <w:t>式</w:t>
      </w:r>
      <w:r>
        <w:rPr>
          <w:rFonts w:hint="eastAsia"/>
          <w:color w:val="auto"/>
          <w:kern w:val="0"/>
          <w:sz w:val="24"/>
          <w:szCs w:val="24"/>
          <w:highlight w:val="none"/>
          <w:u w:val="none"/>
        </w:rPr>
        <w:t>要</w:t>
      </w:r>
      <w:r>
        <w:rPr>
          <w:rFonts w:hint="eastAsia"/>
          <w:color w:val="auto"/>
          <w:spacing w:val="-2"/>
          <w:kern w:val="0"/>
          <w:sz w:val="24"/>
          <w:szCs w:val="24"/>
          <w:highlight w:val="none"/>
          <w:u w:val="none"/>
        </w:rPr>
        <w:t>求</w:t>
      </w:r>
      <w:r>
        <w:rPr>
          <w:rFonts w:hint="eastAsia"/>
          <w:color w:val="auto"/>
          <w:kern w:val="0"/>
          <w:sz w:val="24"/>
          <w:szCs w:val="24"/>
          <w:highlight w:val="none"/>
          <w:u w:val="none"/>
        </w:rPr>
        <w:t>供应商对</w:t>
      </w:r>
      <w:r>
        <w:rPr>
          <w:rFonts w:hint="eastAsia"/>
          <w:color w:val="auto"/>
          <w:spacing w:val="-2"/>
          <w:kern w:val="0"/>
          <w:sz w:val="24"/>
          <w:szCs w:val="24"/>
          <w:highlight w:val="none"/>
          <w:u w:val="none"/>
        </w:rPr>
        <w:t>响应文件中</w:t>
      </w:r>
      <w:r>
        <w:rPr>
          <w:rFonts w:hint="eastAsia"/>
          <w:color w:val="auto"/>
          <w:kern w:val="0"/>
          <w:sz w:val="24"/>
          <w:szCs w:val="24"/>
          <w:highlight w:val="none"/>
          <w:u w:val="none"/>
        </w:rPr>
        <w:t>含</w:t>
      </w:r>
      <w:r>
        <w:rPr>
          <w:rFonts w:hint="eastAsia"/>
          <w:color w:val="auto"/>
          <w:spacing w:val="-2"/>
          <w:kern w:val="0"/>
          <w:sz w:val="24"/>
          <w:szCs w:val="24"/>
          <w:highlight w:val="none"/>
          <w:u w:val="none"/>
        </w:rPr>
        <w:t>义</w:t>
      </w:r>
      <w:r>
        <w:rPr>
          <w:rFonts w:hint="eastAsia"/>
          <w:color w:val="auto"/>
          <w:kern w:val="0"/>
          <w:sz w:val="24"/>
          <w:szCs w:val="24"/>
          <w:highlight w:val="none"/>
          <w:u w:val="none"/>
        </w:rPr>
        <w:t>不明</w:t>
      </w:r>
      <w:r>
        <w:rPr>
          <w:rFonts w:hint="eastAsia"/>
          <w:color w:val="auto"/>
          <w:spacing w:val="-2"/>
          <w:kern w:val="0"/>
          <w:sz w:val="24"/>
          <w:szCs w:val="24"/>
          <w:highlight w:val="none"/>
          <w:u w:val="none"/>
        </w:rPr>
        <w:t>确</w:t>
      </w:r>
      <w:r>
        <w:rPr>
          <w:rFonts w:hint="eastAsia"/>
          <w:color w:val="auto"/>
          <w:spacing w:val="-38"/>
          <w:kern w:val="0"/>
          <w:sz w:val="24"/>
          <w:szCs w:val="24"/>
          <w:highlight w:val="none"/>
          <w:u w:val="none"/>
        </w:rPr>
        <w:t>、</w:t>
      </w:r>
      <w:r>
        <w:rPr>
          <w:rFonts w:hint="eastAsia"/>
          <w:color w:val="auto"/>
          <w:spacing w:val="-2"/>
          <w:kern w:val="0"/>
          <w:sz w:val="24"/>
          <w:szCs w:val="24"/>
          <w:highlight w:val="none"/>
          <w:u w:val="none"/>
        </w:rPr>
        <w:t>对</w:t>
      </w:r>
      <w:r>
        <w:rPr>
          <w:rFonts w:hint="eastAsia"/>
          <w:color w:val="auto"/>
          <w:kern w:val="0"/>
          <w:sz w:val="24"/>
          <w:szCs w:val="24"/>
          <w:highlight w:val="none"/>
          <w:u w:val="none"/>
        </w:rPr>
        <w:t>同类问题表述不一</w:t>
      </w:r>
      <w:r>
        <w:rPr>
          <w:rFonts w:hint="eastAsia"/>
          <w:color w:val="auto"/>
          <w:spacing w:val="-2"/>
          <w:kern w:val="0"/>
          <w:sz w:val="24"/>
          <w:szCs w:val="24"/>
          <w:highlight w:val="none"/>
          <w:u w:val="none"/>
        </w:rPr>
        <w:t>致</w:t>
      </w:r>
      <w:r>
        <w:rPr>
          <w:rFonts w:hint="eastAsia"/>
          <w:color w:val="auto"/>
          <w:kern w:val="0"/>
          <w:sz w:val="24"/>
          <w:szCs w:val="24"/>
          <w:highlight w:val="none"/>
          <w:u w:val="none"/>
        </w:rPr>
        <w:t>或者</w:t>
      </w:r>
      <w:r>
        <w:rPr>
          <w:rFonts w:hint="eastAsia"/>
          <w:color w:val="auto"/>
          <w:spacing w:val="-2"/>
          <w:kern w:val="0"/>
          <w:sz w:val="24"/>
          <w:szCs w:val="24"/>
          <w:highlight w:val="none"/>
          <w:u w:val="none"/>
        </w:rPr>
        <w:t>有</w:t>
      </w:r>
      <w:r>
        <w:rPr>
          <w:rFonts w:hint="eastAsia"/>
          <w:color w:val="auto"/>
          <w:kern w:val="0"/>
          <w:sz w:val="24"/>
          <w:szCs w:val="24"/>
          <w:highlight w:val="none"/>
          <w:u w:val="none"/>
        </w:rPr>
        <w:t>明显文字和计算</w:t>
      </w:r>
      <w:r>
        <w:rPr>
          <w:rFonts w:hint="eastAsia"/>
          <w:color w:val="auto"/>
          <w:spacing w:val="-2"/>
          <w:kern w:val="0"/>
          <w:sz w:val="24"/>
          <w:szCs w:val="24"/>
          <w:highlight w:val="none"/>
          <w:u w:val="none"/>
        </w:rPr>
        <w:t>错</w:t>
      </w:r>
      <w:r>
        <w:rPr>
          <w:rFonts w:hint="eastAsia"/>
          <w:color w:val="auto"/>
          <w:kern w:val="0"/>
          <w:sz w:val="24"/>
          <w:szCs w:val="24"/>
          <w:highlight w:val="none"/>
          <w:u w:val="none"/>
        </w:rPr>
        <w:t>误的</w:t>
      </w:r>
      <w:r>
        <w:rPr>
          <w:rFonts w:hint="eastAsia"/>
          <w:color w:val="auto"/>
          <w:spacing w:val="-2"/>
          <w:kern w:val="0"/>
          <w:sz w:val="24"/>
          <w:szCs w:val="24"/>
          <w:highlight w:val="none"/>
          <w:u w:val="none"/>
        </w:rPr>
        <w:t>内</w:t>
      </w:r>
      <w:r>
        <w:rPr>
          <w:rFonts w:hint="eastAsia"/>
          <w:color w:val="auto"/>
          <w:kern w:val="0"/>
          <w:sz w:val="24"/>
          <w:szCs w:val="24"/>
          <w:highlight w:val="none"/>
          <w:u w:val="none"/>
        </w:rPr>
        <w:t>容作必要的澄</w:t>
      </w:r>
      <w:r>
        <w:rPr>
          <w:rFonts w:hint="eastAsia"/>
          <w:color w:val="auto"/>
          <w:spacing w:val="1"/>
          <w:kern w:val="0"/>
          <w:sz w:val="24"/>
          <w:szCs w:val="24"/>
          <w:highlight w:val="none"/>
          <w:u w:val="none"/>
        </w:rPr>
        <w:t>清</w:t>
      </w:r>
      <w:r>
        <w:rPr>
          <w:rFonts w:hint="eastAsia"/>
          <w:color w:val="auto"/>
          <w:spacing w:val="-2"/>
          <w:kern w:val="0"/>
          <w:sz w:val="24"/>
          <w:szCs w:val="24"/>
          <w:highlight w:val="none"/>
          <w:u w:val="none"/>
        </w:rPr>
        <w:t>、</w:t>
      </w:r>
      <w:r>
        <w:rPr>
          <w:rFonts w:hint="eastAsia"/>
          <w:color w:val="auto"/>
          <w:kern w:val="0"/>
          <w:sz w:val="24"/>
          <w:szCs w:val="24"/>
          <w:highlight w:val="none"/>
          <w:u w:val="none"/>
        </w:rPr>
        <w:t>说明</w:t>
      </w:r>
      <w:r>
        <w:rPr>
          <w:rFonts w:hint="eastAsia"/>
          <w:color w:val="auto"/>
          <w:spacing w:val="-2"/>
          <w:kern w:val="0"/>
          <w:sz w:val="24"/>
          <w:szCs w:val="24"/>
          <w:highlight w:val="none"/>
          <w:u w:val="none"/>
        </w:rPr>
        <w:t>或</w:t>
      </w:r>
      <w:r>
        <w:rPr>
          <w:rFonts w:hint="eastAsia"/>
          <w:color w:val="auto"/>
          <w:kern w:val="0"/>
          <w:sz w:val="24"/>
          <w:szCs w:val="24"/>
          <w:highlight w:val="none"/>
          <w:u w:val="none"/>
        </w:rPr>
        <w:t>补正。澄</w:t>
      </w:r>
      <w:r>
        <w:rPr>
          <w:rFonts w:hint="eastAsia"/>
          <w:color w:val="auto"/>
          <w:spacing w:val="1"/>
          <w:kern w:val="0"/>
          <w:sz w:val="24"/>
          <w:szCs w:val="24"/>
          <w:highlight w:val="none"/>
          <w:u w:val="none"/>
        </w:rPr>
        <w:t>清</w:t>
      </w:r>
      <w:r>
        <w:rPr>
          <w:rFonts w:hint="eastAsia"/>
          <w:color w:val="auto"/>
          <w:kern w:val="0"/>
          <w:sz w:val="24"/>
          <w:szCs w:val="24"/>
          <w:highlight w:val="none"/>
          <w:u w:val="none"/>
        </w:rPr>
        <w:t>、</w:t>
      </w:r>
      <w:r>
        <w:rPr>
          <w:rFonts w:hint="eastAsia"/>
          <w:color w:val="auto"/>
          <w:spacing w:val="-2"/>
          <w:kern w:val="0"/>
          <w:sz w:val="24"/>
          <w:szCs w:val="24"/>
          <w:highlight w:val="none"/>
          <w:u w:val="none"/>
        </w:rPr>
        <w:t>说</w:t>
      </w:r>
      <w:r>
        <w:rPr>
          <w:rFonts w:hint="eastAsia"/>
          <w:color w:val="auto"/>
          <w:kern w:val="0"/>
          <w:sz w:val="24"/>
          <w:szCs w:val="24"/>
          <w:highlight w:val="none"/>
          <w:u w:val="none"/>
        </w:rPr>
        <w:t>明或补</w:t>
      </w:r>
      <w:r>
        <w:rPr>
          <w:rFonts w:hint="eastAsia"/>
          <w:color w:val="auto"/>
          <w:spacing w:val="-2"/>
          <w:kern w:val="0"/>
          <w:sz w:val="24"/>
          <w:szCs w:val="24"/>
          <w:highlight w:val="none"/>
          <w:u w:val="none"/>
        </w:rPr>
        <w:t>正</w:t>
      </w:r>
      <w:r>
        <w:rPr>
          <w:rFonts w:hint="eastAsia"/>
          <w:color w:val="auto"/>
          <w:kern w:val="0"/>
          <w:sz w:val="24"/>
          <w:szCs w:val="24"/>
          <w:highlight w:val="none"/>
          <w:u w:val="none"/>
        </w:rPr>
        <w:t>应</w:t>
      </w:r>
      <w:r>
        <w:rPr>
          <w:rFonts w:hint="eastAsia"/>
          <w:color w:val="auto"/>
          <w:spacing w:val="-2"/>
          <w:kern w:val="0"/>
          <w:sz w:val="24"/>
          <w:szCs w:val="24"/>
          <w:highlight w:val="none"/>
          <w:u w:val="none"/>
        </w:rPr>
        <w:t>以</w:t>
      </w:r>
      <w:r>
        <w:rPr>
          <w:rFonts w:hint="eastAsia"/>
          <w:color w:val="auto"/>
          <w:kern w:val="0"/>
          <w:sz w:val="24"/>
          <w:szCs w:val="24"/>
          <w:highlight w:val="none"/>
          <w:u w:val="none"/>
        </w:rPr>
        <w:t>书</w:t>
      </w:r>
      <w:r>
        <w:rPr>
          <w:rFonts w:hint="eastAsia"/>
          <w:color w:val="auto"/>
          <w:spacing w:val="-2"/>
          <w:kern w:val="0"/>
          <w:sz w:val="24"/>
          <w:szCs w:val="24"/>
          <w:highlight w:val="none"/>
          <w:u w:val="none"/>
        </w:rPr>
        <w:t>面</w:t>
      </w:r>
      <w:r>
        <w:rPr>
          <w:rFonts w:hint="eastAsia"/>
          <w:color w:val="auto"/>
          <w:kern w:val="0"/>
          <w:sz w:val="24"/>
          <w:szCs w:val="24"/>
          <w:highlight w:val="none"/>
          <w:u w:val="none"/>
        </w:rPr>
        <w:t>方</w:t>
      </w:r>
      <w:r>
        <w:rPr>
          <w:rFonts w:hint="eastAsia"/>
          <w:color w:val="auto"/>
          <w:spacing w:val="-2"/>
          <w:kern w:val="0"/>
          <w:sz w:val="24"/>
          <w:szCs w:val="24"/>
          <w:highlight w:val="none"/>
          <w:u w:val="none"/>
        </w:rPr>
        <w:t>式</w:t>
      </w:r>
      <w:r>
        <w:rPr>
          <w:rFonts w:hint="eastAsia"/>
          <w:color w:val="auto"/>
          <w:kern w:val="0"/>
          <w:sz w:val="24"/>
          <w:szCs w:val="24"/>
          <w:highlight w:val="none"/>
          <w:u w:val="none"/>
        </w:rPr>
        <w:t>进</w:t>
      </w:r>
      <w:r>
        <w:rPr>
          <w:rFonts w:hint="eastAsia"/>
          <w:color w:val="auto"/>
          <w:spacing w:val="-2"/>
          <w:kern w:val="0"/>
          <w:sz w:val="24"/>
          <w:szCs w:val="24"/>
          <w:highlight w:val="none"/>
          <w:u w:val="none"/>
        </w:rPr>
        <w:t>行</w:t>
      </w:r>
      <w:r>
        <w:rPr>
          <w:rFonts w:hint="eastAsia"/>
          <w:color w:val="auto"/>
          <w:sz w:val="24"/>
          <w:szCs w:val="24"/>
          <w:highlight w:val="none"/>
          <w:u w:val="none"/>
        </w:rPr>
        <w:t>，并加盖公章，或者由法定代表人或其授权的代表签字</w:t>
      </w:r>
      <w:r>
        <w:rPr>
          <w:rFonts w:hint="eastAsia"/>
          <w:color w:val="auto"/>
          <w:kern w:val="0"/>
          <w:sz w:val="24"/>
          <w:szCs w:val="24"/>
          <w:highlight w:val="none"/>
          <w:u w:val="none"/>
        </w:rPr>
        <w:t>。评审小组</w:t>
      </w:r>
      <w:r>
        <w:rPr>
          <w:rFonts w:hint="eastAsia"/>
          <w:color w:val="auto"/>
          <w:spacing w:val="-2"/>
          <w:kern w:val="0"/>
          <w:sz w:val="24"/>
          <w:szCs w:val="24"/>
          <w:highlight w:val="none"/>
          <w:u w:val="none"/>
        </w:rPr>
        <w:t>不</w:t>
      </w:r>
      <w:r>
        <w:rPr>
          <w:rFonts w:hint="eastAsia"/>
          <w:color w:val="auto"/>
          <w:kern w:val="0"/>
          <w:sz w:val="24"/>
          <w:szCs w:val="24"/>
          <w:highlight w:val="none"/>
          <w:u w:val="none"/>
        </w:rPr>
        <w:t>接</w:t>
      </w:r>
      <w:r>
        <w:rPr>
          <w:rFonts w:hint="eastAsia"/>
          <w:color w:val="auto"/>
          <w:spacing w:val="-2"/>
          <w:kern w:val="0"/>
          <w:sz w:val="24"/>
          <w:szCs w:val="24"/>
          <w:highlight w:val="none"/>
          <w:u w:val="none"/>
        </w:rPr>
        <w:t>受</w:t>
      </w:r>
      <w:r>
        <w:rPr>
          <w:rFonts w:hint="eastAsia"/>
          <w:color w:val="auto"/>
          <w:kern w:val="0"/>
          <w:sz w:val="24"/>
          <w:szCs w:val="24"/>
          <w:highlight w:val="none"/>
          <w:u w:val="none"/>
        </w:rPr>
        <w:t>供应商主</w:t>
      </w:r>
      <w:r>
        <w:rPr>
          <w:rFonts w:hint="eastAsia"/>
          <w:color w:val="auto"/>
          <w:spacing w:val="-2"/>
          <w:kern w:val="0"/>
          <w:sz w:val="24"/>
          <w:szCs w:val="24"/>
          <w:highlight w:val="none"/>
          <w:u w:val="none"/>
        </w:rPr>
        <w:t>动</w:t>
      </w:r>
      <w:r>
        <w:rPr>
          <w:rFonts w:hint="eastAsia"/>
          <w:color w:val="auto"/>
          <w:kern w:val="0"/>
          <w:sz w:val="24"/>
          <w:szCs w:val="24"/>
          <w:highlight w:val="none"/>
          <w:u w:val="none"/>
        </w:rPr>
        <w:t>提</w:t>
      </w:r>
      <w:r>
        <w:rPr>
          <w:rFonts w:hint="eastAsia"/>
          <w:color w:val="auto"/>
          <w:spacing w:val="-2"/>
          <w:kern w:val="0"/>
          <w:sz w:val="24"/>
          <w:szCs w:val="24"/>
          <w:highlight w:val="none"/>
          <w:u w:val="none"/>
        </w:rPr>
        <w:t>出</w:t>
      </w:r>
      <w:r>
        <w:rPr>
          <w:rFonts w:hint="eastAsia"/>
          <w:color w:val="auto"/>
          <w:kern w:val="0"/>
          <w:sz w:val="24"/>
          <w:szCs w:val="24"/>
          <w:highlight w:val="none"/>
          <w:u w:val="none"/>
        </w:rPr>
        <w:t>的</w:t>
      </w:r>
      <w:r>
        <w:rPr>
          <w:rFonts w:hint="eastAsia"/>
          <w:color w:val="auto"/>
          <w:spacing w:val="-2"/>
          <w:kern w:val="0"/>
          <w:sz w:val="24"/>
          <w:szCs w:val="24"/>
          <w:highlight w:val="none"/>
          <w:u w:val="none"/>
        </w:rPr>
        <w:t>澄</w:t>
      </w:r>
      <w:r>
        <w:rPr>
          <w:rFonts w:hint="eastAsia"/>
          <w:color w:val="auto"/>
          <w:kern w:val="0"/>
          <w:sz w:val="24"/>
          <w:szCs w:val="24"/>
          <w:highlight w:val="none"/>
          <w:u w:val="none"/>
        </w:rPr>
        <w:t>清</w:t>
      </w:r>
      <w:r>
        <w:rPr>
          <w:rFonts w:hint="eastAsia"/>
          <w:color w:val="auto"/>
          <w:spacing w:val="-2"/>
          <w:kern w:val="0"/>
          <w:sz w:val="24"/>
          <w:szCs w:val="24"/>
          <w:highlight w:val="none"/>
          <w:u w:val="none"/>
        </w:rPr>
        <w:t>、</w:t>
      </w:r>
      <w:r>
        <w:rPr>
          <w:rFonts w:hint="eastAsia"/>
          <w:color w:val="auto"/>
          <w:kern w:val="0"/>
          <w:sz w:val="24"/>
          <w:szCs w:val="24"/>
          <w:highlight w:val="none"/>
          <w:u w:val="none"/>
        </w:rPr>
        <w:t>说</w:t>
      </w:r>
      <w:r>
        <w:rPr>
          <w:rFonts w:hint="eastAsia"/>
          <w:color w:val="auto"/>
          <w:spacing w:val="-2"/>
          <w:kern w:val="0"/>
          <w:sz w:val="24"/>
          <w:szCs w:val="24"/>
          <w:highlight w:val="none"/>
          <w:u w:val="none"/>
        </w:rPr>
        <w:t>明</w:t>
      </w:r>
      <w:r>
        <w:rPr>
          <w:rFonts w:hint="eastAsia"/>
          <w:color w:val="auto"/>
          <w:kern w:val="0"/>
          <w:sz w:val="24"/>
          <w:szCs w:val="24"/>
          <w:highlight w:val="none"/>
          <w:u w:val="none"/>
        </w:rPr>
        <w:t>或补</w:t>
      </w:r>
      <w:r>
        <w:rPr>
          <w:rFonts w:hint="eastAsia"/>
          <w:color w:val="auto"/>
          <w:spacing w:val="-2"/>
          <w:kern w:val="0"/>
          <w:sz w:val="24"/>
          <w:szCs w:val="24"/>
          <w:highlight w:val="none"/>
          <w:u w:val="none"/>
        </w:rPr>
        <w:t>正</w:t>
      </w:r>
      <w:r>
        <w:rPr>
          <w:rFonts w:hint="eastAsia"/>
          <w:color w:val="auto"/>
          <w:kern w:val="0"/>
          <w:sz w:val="24"/>
          <w:szCs w:val="24"/>
          <w:highlight w:val="none"/>
          <w:u w:val="none"/>
        </w:rPr>
        <w:t>。</w:t>
      </w:r>
    </w:p>
    <w:p w14:paraId="3DA04AAD">
      <w:pPr>
        <w:pageBreakBefore w:val="0"/>
        <w:wordWrap w:val="0"/>
        <w:overflowPunct/>
        <w:autoSpaceDE w:val="0"/>
        <w:autoSpaceDN w:val="0"/>
        <w:bidi w:val="0"/>
        <w:adjustRightInd w:val="0"/>
        <w:spacing w:line="360" w:lineRule="auto"/>
        <w:ind w:firstLine="420"/>
        <w:rPr>
          <w:color w:val="auto"/>
          <w:kern w:val="0"/>
          <w:sz w:val="24"/>
          <w:szCs w:val="24"/>
          <w:highlight w:val="none"/>
          <w:u w:val="none"/>
        </w:rPr>
      </w:pPr>
      <w:r>
        <w:rPr>
          <w:rFonts w:hint="eastAsia"/>
          <w:color w:val="auto"/>
          <w:kern w:val="0"/>
          <w:sz w:val="24"/>
          <w:szCs w:val="24"/>
          <w:highlight w:val="none"/>
          <w:u w:val="none"/>
        </w:rPr>
        <w:t>3.3.2 澄清</w:t>
      </w:r>
      <w:r>
        <w:rPr>
          <w:rFonts w:hint="eastAsia"/>
          <w:color w:val="auto"/>
          <w:spacing w:val="-41"/>
          <w:kern w:val="0"/>
          <w:sz w:val="24"/>
          <w:szCs w:val="24"/>
          <w:highlight w:val="none"/>
          <w:u w:val="none"/>
        </w:rPr>
        <w:t>、</w:t>
      </w:r>
      <w:r>
        <w:rPr>
          <w:rFonts w:hint="eastAsia"/>
          <w:color w:val="auto"/>
          <w:kern w:val="0"/>
          <w:sz w:val="24"/>
          <w:szCs w:val="24"/>
          <w:highlight w:val="none"/>
          <w:u w:val="none"/>
        </w:rPr>
        <w:t>说</w:t>
      </w:r>
      <w:r>
        <w:rPr>
          <w:rFonts w:hint="eastAsia"/>
          <w:color w:val="auto"/>
          <w:spacing w:val="-2"/>
          <w:kern w:val="0"/>
          <w:sz w:val="24"/>
          <w:szCs w:val="24"/>
          <w:highlight w:val="none"/>
          <w:u w:val="none"/>
        </w:rPr>
        <w:t>明</w:t>
      </w:r>
      <w:r>
        <w:rPr>
          <w:rFonts w:hint="eastAsia"/>
          <w:color w:val="auto"/>
          <w:kern w:val="0"/>
          <w:sz w:val="24"/>
          <w:szCs w:val="24"/>
          <w:highlight w:val="none"/>
          <w:u w:val="none"/>
        </w:rPr>
        <w:t>或</w:t>
      </w:r>
      <w:r>
        <w:rPr>
          <w:rFonts w:hint="eastAsia"/>
          <w:color w:val="auto"/>
          <w:spacing w:val="-2"/>
          <w:kern w:val="0"/>
          <w:sz w:val="24"/>
          <w:szCs w:val="24"/>
          <w:highlight w:val="none"/>
          <w:u w:val="none"/>
        </w:rPr>
        <w:t>补</w:t>
      </w:r>
      <w:r>
        <w:rPr>
          <w:rFonts w:hint="eastAsia"/>
          <w:color w:val="auto"/>
          <w:kern w:val="0"/>
          <w:sz w:val="24"/>
          <w:szCs w:val="24"/>
          <w:highlight w:val="none"/>
          <w:u w:val="none"/>
        </w:rPr>
        <w:t>正</w:t>
      </w:r>
      <w:r>
        <w:rPr>
          <w:rFonts w:hint="eastAsia"/>
          <w:color w:val="auto"/>
          <w:spacing w:val="-2"/>
          <w:kern w:val="0"/>
          <w:sz w:val="24"/>
          <w:szCs w:val="24"/>
          <w:highlight w:val="none"/>
          <w:u w:val="none"/>
        </w:rPr>
        <w:t>不</w:t>
      </w:r>
      <w:r>
        <w:rPr>
          <w:rFonts w:hint="eastAsia"/>
          <w:color w:val="auto"/>
          <w:kern w:val="0"/>
          <w:sz w:val="24"/>
          <w:szCs w:val="24"/>
          <w:highlight w:val="none"/>
          <w:u w:val="none"/>
        </w:rPr>
        <w:t>得超</w:t>
      </w:r>
      <w:r>
        <w:rPr>
          <w:rFonts w:hint="eastAsia"/>
          <w:color w:val="auto"/>
          <w:spacing w:val="-2"/>
          <w:kern w:val="0"/>
          <w:sz w:val="24"/>
          <w:szCs w:val="24"/>
          <w:highlight w:val="none"/>
          <w:u w:val="none"/>
        </w:rPr>
        <w:t>出</w:t>
      </w:r>
      <w:r>
        <w:rPr>
          <w:rFonts w:hint="eastAsia"/>
          <w:color w:val="auto"/>
          <w:kern w:val="0"/>
          <w:sz w:val="24"/>
          <w:szCs w:val="24"/>
          <w:highlight w:val="none"/>
          <w:u w:val="none"/>
        </w:rPr>
        <w:t>响应文件的</w:t>
      </w:r>
      <w:r>
        <w:rPr>
          <w:rFonts w:hint="eastAsia"/>
          <w:color w:val="auto"/>
          <w:spacing w:val="-2"/>
          <w:kern w:val="0"/>
          <w:sz w:val="24"/>
          <w:szCs w:val="24"/>
          <w:highlight w:val="none"/>
          <w:u w:val="none"/>
        </w:rPr>
        <w:t>范</w:t>
      </w:r>
      <w:r>
        <w:rPr>
          <w:rFonts w:hint="eastAsia"/>
          <w:color w:val="auto"/>
          <w:kern w:val="0"/>
          <w:sz w:val="24"/>
          <w:szCs w:val="24"/>
          <w:highlight w:val="none"/>
          <w:u w:val="none"/>
        </w:rPr>
        <w:t>围</w:t>
      </w:r>
      <w:r>
        <w:rPr>
          <w:rFonts w:hint="eastAsia"/>
          <w:color w:val="auto"/>
          <w:spacing w:val="-2"/>
          <w:kern w:val="0"/>
          <w:sz w:val="24"/>
          <w:szCs w:val="24"/>
          <w:highlight w:val="none"/>
          <w:u w:val="none"/>
        </w:rPr>
        <w:t>且</w:t>
      </w:r>
      <w:r>
        <w:rPr>
          <w:rFonts w:hint="eastAsia"/>
          <w:color w:val="auto"/>
          <w:kern w:val="0"/>
          <w:sz w:val="24"/>
          <w:szCs w:val="24"/>
          <w:highlight w:val="none"/>
          <w:u w:val="none"/>
        </w:rPr>
        <w:t>不得</w:t>
      </w:r>
      <w:r>
        <w:rPr>
          <w:rFonts w:hint="eastAsia"/>
          <w:color w:val="auto"/>
          <w:spacing w:val="-2"/>
          <w:kern w:val="0"/>
          <w:sz w:val="24"/>
          <w:szCs w:val="24"/>
          <w:highlight w:val="none"/>
          <w:u w:val="none"/>
        </w:rPr>
        <w:t>改</w:t>
      </w:r>
      <w:r>
        <w:rPr>
          <w:rFonts w:hint="eastAsia"/>
          <w:color w:val="auto"/>
          <w:kern w:val="0"/>
          <w:sz w:val="24"/>
          <w:szCs w:val="24"/>
          <w:highlight w:val="none"/>
          <w:u w:val="none"/>
        </w:rPr>
        <w:t>变</w:t>
      </w:r>
      <w:r>
        <w:rPr>
          <w:rFonts w:hint="eastAsia"/>
          <w:color w:val="auto"/>
          <w:spacing w:val="-2"/>
          <w:kern w:val="0"/>
          <w:sz w:val="24"/>
          <w:szCs w:val="24"/>
          <w:highlight w:val="none"/>
          <w:u w:val="none"/>
        </w:rPr>
        <w:t>响应文件的</w:t>
      </w:r>
      <w:r>
        <w:rPr>
          <w:rFonts w:hint="eastAsia"/>
          <w:color w:val="auto"/>
          <w:kern w:val="0"/>
          <w:sz w:val="24"/>
          <w:szCs w:val="24"/>
          <w:highlight w:val="none"/>
          <w:u w:val="none"/>
        </w:rPr>
        <w:t>实</w:t>
      </w:r>
      <w:r>
        <w:rPr>
          <w:rFonts w:hint="eastAsia"/>
          <w:color w:val="auto"/>
          <w:spacing w:val="-2"/>
          <w:kern w:val="0"/>
          <w:sz w:val="24"/>
          <w:szCs w:val="24"/>
          <w:highlight w:val="none"/>
          <w:u w:val="none"/>
        </w:rPr>
        <w:t>质</w:t>
      </w:r>
      <w:r>
        <w:rPr>
          <w:rFonts w:hint="eastAsia"/>
          <w:color w:val="auto"/>
          <w:kern w:val="0"/>
          <w:sz w:val="24"/>
          <w:szCs w:val="24"/>
          <w:highlight w:val="none"/>
          <w:u w:val="none"/>
        </w:rPr>
        <w:t>性内</w:t>
      </w:r>
      <w:r>
        <w:rPr>
          <w:rFonts w:hint="eastAsia"/>
          <w:color w:val="auto"/>
          <w:spacing w:val="-2"/>
          <w:kern w:val="0"/>
          <w:sz w:val="24"/>
          <w:szCs w:val="24"/>
          <w:highlight w:val="none"/>
          <w:u w:val="none"/>
        </w:rPr>
        <w:t>容</w:t>
      </w:r>
      <w:r>
        <w:rPr>
          <w:rFonts w:hint="eastAsia"/>
          <w:color w:val="auto"/>
          <w:spacing w:val="-38"/>
          <w:kern w:val="0"/>
          <w:sz w:val="24"/>
          <w:szCs w:val="24"/>
          <w:highlight w:val="none"/>
          <w:u w:val="none"/>
        </w:rPr>
        <w:t>，</w:t>
      </w:r>
      <w:r>
        <w:rPr>
          <w:rFonts w:hint="eastAsia"/>
          <w:color w:val="auto"/>
          <w:spacing w:val="-2"/>
          <w:kern w:val="0"/>
          <w:sz w:val="24"/>
          <w:szCs w:val="24"/>
          <w:highlight w:val="none"/>
          <w:u w:val="none"/>
        </w:rPr>
        <w:t>并</w:t>
      </w:r>
      <w:r>
        <w:rPr>
          <w:rFonts w:hint="eastAsia"/>
          <w:color w:val="auto"/>
          <w:kern w:val="0"/>
          <w:sz w:val="24"/>
          <w:szCs w:val="24"/>
          <w:highlight w:val="none"/>
          <w:u w:val="none"/>
        </w:rPr>
        <w:t>构成响应文件的</w:t>
      </w:r>
      <w:r>
        <w:rPr>
          <w:rFonts w:hint="eastAsia"/>
          <w:color w:val="auto"/>
          <w:spacing w:val="-2"/>
          <w:kern w:val="0"/>
          <w:sz w:val="24"/>
          <w:szCs w:val="24"/>
          <w:highlight w:val="none"/>
          <w:u w:val="none"/>
        </w:rPr>
        <w:t>组</w:t>
      </w:r>
      <w:r>
        <w:rPr>
          <w:rFonts w:hint="eastAsia"/>
          <w:color w:val="auto"/>
          <w:kern w:val="0"/>
          <w:sz w:val="24"/>
          <w:szCs w:val="24"/>
          <w:highlight w:val="none"/>
          <w:u w:val="none"/>
        </w:rPr>
        <w:t>成</w:t>
      </w:r>
      <w:r>
        <w:rPr>
          <w:rFonts w:hint="eastAsia"/>
          <w:color w:val="auto"/>
          <w:spacing w:val="-2"/>
          <w:kern w:val="0"/>
          <w:sz w:val="24"/>
          <w:szCs w:val="24"/>
          <w:highlight w:val="none"/>
          <w:u w:val="none"/>
        </w:rPr>
        <w:t>部</w:t>
      </w:r>
      <w:r>
        <w:rPr>
          <w:rFonts w:hint="eastAsia"/>
          <w:color w:val="auto"/>
          <w:kern w:val="0"/>
          <w:sz w:val="24"/>
          <w:szCs w:val="24"/>
          <w:highlight w:val="none"/>
          <w:u w:val="none"/>
        </w:rPr>
        <w:t>分。</w:t>
      </w:r>
    </w:p>
    <w:p w14:paraId="669A7B6A">
      <w:pPr>
        <w:pageBreakBefore w:val="0"/>
        <w:wordWrap w:val="0"/>
        <w:overflowPunct/>
        <w:autoSpaceDE w:val="0"/>
        <w:autoSpaceDN w:val="0"/>
        <w:bidi w:val="0"/>
        <w:adjustRightInd w:val="0"/>
        <w:spacing w:line="360" w:lineRule="auto"/>
        <w:ind w:firstLine="420"/>
        <w:jc w:val="left"/>
        <w:rPr>
          <w:color w:val="auto"/>
          <w:kern w:val="0"/>
          <w:sz w:val="24"/>
          <w:szCs w:val="24"/>
          <w:highlight w:val="none"/>
          <w:u w:val="none"/>
        </w:rPr>
      </w:pPr>
      <w:r>
        <w:rPr>
          <w:rFonts w:hint="eastAsia"/>
          <w:color w:val="auto"/>
          <w:kern w:val="0"/>
          <w:sz w:val="24"/>
          <w:szCs w:val="24"/>
          <w:highlight w:val="none"/>
          <w:u w:val="none"/>
        </w:rPr>
        <w:t>3.3.3 评审小组</w:t>
      </w:r>
      <w:r>
        <w:rPr>
          <w:rFonts w:hint="eastAsia"/>
          <w:color w:val="auto"/>
          <w:spacing w:val="-2"/>
          <w:kern w:val="0"/>
          <w:sz w:val="24"/>
          <w:szCs w:val="24"/>
          <w:highlight w:val="none"/>
          <w:u w:val="none"/>
        </w:rPr>
        <w:t>对</w:t>
      </w:r>
      <w:r>
        <w:rPr>
          <w:rFonts w:hint="eastAsia"/>
          <w:color w:val="auto"/>
          <w:kern w:val="0"/>
          <w:sz w:val="24"/>
          <w:szCs w:val="24"/>
          <w:highlight w:val="none"/>
          <w:u w:val="none"/>
        </w:rPr>
        <w:t>供应商提交</w:t>
      </w:r>
      <w:r>
        <w:rPr>
          <w:rFonts w:hint="eastAsia"/>
          <w:color w:val="auto"/>
          <w:spacing w:val="-2"/>
          <w:kern w:val="0"/>
          <w:sz w:val="24"/>
          <w:szCs w:val="24"/>
          <w:highlight w:val="none"/>
          <w:u w:val="none"/>
        </w:rPr>
        <w:t>的</w:t>
      </w:r>
      <w:r>
        <w:rPr>
          <w:rFonts w:hint="eastAsia"/>
          <w:color w:val="auto"/>
          <w:kern w:val="0"/>
          <w:sz w:val="24"/>
          <w:szCs w:val="24"/>
          <w:highlight w:val="none"/>
          <w:u w:val="none"/>
        </w:rPr>
        <w:t>澄清</w:t>
      </w:r>
      <w:r>
        <w:rPr>
          <w:rFonts w:hint="eastAsia"/>
          <w:color w:val="auto"/>
          <w:spacing w:val="-94"/>
          <w:kern w:val="0"/>
          <w:sz w:val="24"/>
          <w:szCs w:val="24"/>
          <w:highlight w:val="none"/>
          <w:u w:val="none"/>
        </w:rPr>
        <w:t>、</w:t>
      </w:r>
      <w:r>
        <w:rPr>
          <w:rFonts w:hint="eastAsia"/>
          <w:color w:val="auto"/>
          <w:kern w:val="0"/>
          <w:sz w:val="24"/>
          <w:szCs w:val="24"/>
          <w:highlight w:val="none"/>
          <w:u w:val="none"/>
        </w:rPr>
        <w:t>说</w:t>
      </w:r>
      <w:r>
        <w:rPr>
          <w:rFonts w:hint="eastAsia"/>
          <w:color w:val="auto"/>
          <w:spacing w:val="-2"/>
          <w:kern w:val="0"/>
          <w:sz w:val="24"/>
          <w:szCs w:val="24"/>
          <w:highlight w:val="none"/>
          <w:u w:val="none"/>
        </w:rPr>
        <w:t>明</w:t>
      </w:r>
      <w:r>
        <w:rPr>
          <w:rFonts w:hint="eastAsia"/>
          <w:color w:val="auto"/>
          <w:kern w:val="0"/>
          <w:sz w:val="24"/>
          <w:szCs w:val="24"/>
          <w:highlight w:val="none"/>
          <w:u w:val="none"/>
        </w:rPr>
        <w:t>或</w:t>
      </w:r>
      <w:r>
        <w:rPr>
          <w:rFonts w:hint="eastAsia"/>
          <w:color w:val="auto"/>
          <w:spacing w:val="-2"/>
          <w:kern w:val="0"/>
          <w:sz w:val="24"/>
          <w:szCs w:val="24"/>
          <w:highlight w:val="none"/>
          <w:u w:val="none"/>
        </w:rPr>
        <w:t>补</w:t>
      </w:r>
      <w:r>
        <w:rPr>
          <w:rFonts w:hint="eastAsia"/>
          <w:color w:val="auto"/>
          <w:kern w:val="0"/>
          <w:sz w:val="24"/>
          <w:szCs w:val="24"/>
          <w:highlight w:val="none"/>
          <w:u w:val="none"/>
        </w:rPr>
        <w:t>正</w:t>
      </w:r>
      <w:r>
        <w:rPr>
          <w:rFonts w:hint="eastAsia"/>
          <w:color w:val="auto"/>
          <w:spacing w:val="-2"/>
          <w:kern w:val="0"/>
          <w:sz w:val="24"/>
          <w:szCs w:val="24"/>
          <w:highlight w:val="none"/>
          <w:u w:val="none"/>
        </w:rPr>
        <w:t>有</w:t>
      </w:r>
      <w:r>
        <w:rPr>
          <w:rFonts w:hint="eastAsia"/>
          <w:color w:val="auto"/>
          <w:kern w:val="0"/>
          <w:sz w:val="24"/>
          <w:szCs w:val="24"/>
          <w:highlight w:val="none"/>
          <w:u w:val="none"/>
        </w:rPr>
        <w:t>疑问的</w:t>
      </w:r>
      <w:r>
        <w:rPr>
          <w:rFonts w:hint="eastAsia"/>
          <w:color w:val="auto"/>
          <w:spacing w:val="-94"/>
          <w:kern w:val="0"/>
          <w:sz w:val="24"/>
          <w:szCs w:val="24"/>
          <w:highlight w:val="none"/>
          <w:u w:val="none"/>
        </w:rPr>
        <w:t>，</w:t>
      </w:r>
      <w:r>
        <w:rPr>
          <w:rFonts w:hint="eastAsia"/>
          <w:color w:val="auto"/>
          <w:kern w:val="0"/>
          <w:sz w:val="24"/>
          <w:szCs w:val="24"/>
          <w:highlight w:val="none"/>
          <w:u w:val="none"/>
        </w:rPr>
        <w:t>可</w:t>
      </w:r>
      <w:r>
        <w:rPr>
          <w:rFonts w:hint="eastAsia"/>
          <w:color w:val="auto"/>
          <w:spacing w:val="-2"/>
          <w:kern w:val="0"/>
          <w:sz w:val="24"/>
          <w:szCs w:val="24"/>
          <w:highlight w:val="none"/>
          <w:u w:val="none"/>
        </w:rPr>
        <w:t>以</w:t>
      </w:r>
      <w:r>
        <w:rPr>
          <w:rFonts w:hint="eastAsia"/>
          <w:color w:val="auto"/>
          <w:kern w:val="0"/>
          <w:sz w:val="24"/>
          <w:szCs w:val="24"/>
          <w:highlight w:val="none"/>
          <w:u w:val="none"/>
        </w:rPr>
        <w:t>要</w:t>
      </w:r>
      <w:r>
        <w:rPr>
          <w:rFonts w:hint="eastAsia"/>
          <w:color w:val="auto"/>
          <w:spacing w:val="-2"/>
          <w:kern w:val="0"/>
          <w:sz w:val="24"/>
          <w:szCs w:val="24"/>
          <w:highlight w:val="none"/>
          <w:u w:val="none"/>
        </w:rPr>
        <w:t>求</w:t>
      </w:r>
      <w:r>
        <w:rPr>
          <w:rFonts w:hint="eastAsia"/>
          <w:color w:val="auto"/>
          <w:kern w:val="0"/>
          <w:sz w:val="24"/>
          <w:szCs w:val="24"/>
          <w:highlight w:val="none"/>
          <w:u w:val="none"/>
        </w:rPr>
        <w:t>供应商</w:t>
      </w:r>
      <w:r>
        <w:rPr>
          <w:rFonts w:hint="eastAsia"/>
          <w:color w:val="auto"/>
          <w:spacing w:val="-2"/>
          <w:kern w:val="0"/>
          <w:sz w:val="24"/>
          <w:szCs w:val="24"/>
          <w:highlight w:val="none"/>
          <w:u w:val="none"/>
        </w:rPr>
        <w:t>进</w:t>
      </w:r>
      <w:r>
        <w:rPr>
          <w:rFonts w:hint="eastAsia"/>
          <w:color w:val="auto"/>
          <w:kern w:val="0"/>
          <w:sz w:val="24"/>
          <w:szCs w:val="24"/>
          <w:highlight w:val="none"/>
          <w:u w:val="none"/>
        </w:rPr>
        <w:t>一步</w:t>
      </w:r>
      <w:r>
        <w:rPr>
          <w:rFonts w:hint="eastAsia"/>
          <w:color w:val="auto"/>
          <w:spacing w:val="-2"/>
          <w:kern w:val="0"/>
          <w:sz w:val="24"/>
          <w:szCs w:val="24"/>
          <w:highlight w:val="none"/>
          <w:u w:val="none"/>
        </w:rPr>
        <w:t>澄</w:t>
      </w:r>
      <w:r>
        <w:rPr>
          <w:rFonts w:hint="eastAsia"/>
          <w:color w:val="auto"/>
          <w:kern w:val="0"/>
          <w:sz w:val="24"/>
          <w:szCs w:val="24"/>
          <w:highlight w:val="none"/>
          <w:u w:val="none"/>
        </w:rPr>
        <w:t>清、说明</w:t>
      </w:r>
      <w:r>
        <w:rPr>
          <w:rFonts w:hint="eastAsia"/>
          <w:color w:val="auto"/>
          <w:spacing w:val="-2"/>
          <w:kern w:val="0"/>
          <w:sz w:val="24"/>
          <w:szCs w:val="24"/>
          <w:highlight w:val="none"/>
          <w:u w:val="none"/>
        </w:rPr>
        <w:t>或</w:t>
      </w:r>
      <w:r>
        <w:rPr>
          <w:rFonts w:hint="eastAsia"/>
          <w:color w:val="auto"/>
          <w:kern w:val="0"/>
          <w:sz w:val="24"/>
          <w:szCs w:val="24"/>
          <w:highlight w:val="none"/>
          <w:u w:val="none"/>
        </w:rPr>
        <w:t>补</w:t>
      </w:r>
      <w:r>
        <w:rPr>
          <w:rFonts w:hint="eastAsia"/>
          <w:color w:val="auto"/>
          <w:spacing w:val="-3"/>
          <w:kern w:val="0"/>
          <w:sz w:val="24"/>
          <w:szCs w:val="24"/>
          <w:highlight w:val="none"/>
          <w:u w:val="none"/>
        </w:rPr>
        <w:t>正</w:t>
      </w:r>
      <w:r>
        <w:rPr>
          <w:rFonts w:hint="eastAsia"/>
          <w:color w:val="auto"/>
          <w:kern w:val="0"/>
          <w:sz w:val="24"/>
          <w:szCs w:val="24"/>
          <w:highlight w:val="none"/>
          <w:u w:val="none"/>
        </w:rPr>
        <w:t>，</w:t>
      </w:r>
      <w:r>
        <w:rPr>
          <w:rFonts w:hint="eastAsia"/>
          <w:color w:val="auto"/>
          <w:spacing w:val="-2"/>
          <w:kern w:val="0"/>
          <w:sz w:val="24"/>
          <w:szCs w:val="24"/>
          <w:highlight w:val="none"/>
          <w:u w:val="none"/>
        </w:rPr>
        <w:t>直</w:t>
      </w:r>
      <w:r>
        <w:rPr>
          <w:rFonts w:hint="eastAsia"/>
          <w:color w:val="auto"/>
          <w:kern w:val="0"/>
          <w:sz w:val="24"/>
          <w:szCs w:val="24"/>
          <w:highlight w:val="none"/>
          <w:u w:val="none"/>
        </w:rPr>
        <w:t>至</w:t>
      </w:r>
      <w:r>
        <w:rPr>
          <w:rFonts w:hint="eastAsia"/>
          <w:color w:val="auto"/>
          <w:spacing w:val="-2"/>
          <w:kern w:val="0"/>
          <w:sz w:val="24"/>
          <w:szCs w:val="24"/>
          <w:highlight w:val="none"/>
          <w:u w:val="none"/>
        </w:rPr>
        <w:t>满</w:t>
      </w:r>
      <w:r>
        <w:rPr>
          <w:rFonts w:hint="eastAsia"/>
          <w:color w:val="auto"/>
          <w:kern w:val="0"/>
          <w:sz w:val="24"/>
          <w:szCs w:val="24"/>
          <w:highlight w:val="none"/>
          <w:u w:val="none"/>
        </w:rPr>
        <w:t>足</w:t>
      </w:r>
      <w:r>
        <w:rPr>
          <w:rFonts w:hint="eastAsia"/>
          <w:color w:val="auto"/>
          <w:spacing w:val="-2"/>
          <w:kern w:val="0"/>
          <w:sz w:val="24"/>
          <w:szCs w:val="24"/>
          <w:highlight w:val="none"/>
          <w:u w:val="none"/>
        </w:rPr>
        <w:t>评审小组的</w:t>
      </w:r>
      <w:r>
        <w:rPr>
          <w:rFonts w:hint="eastAsia"/>
          <w:color w:val="auto"/>
          <w:kern w:val="0"/>
          <w:sz w:val="24"/>
          <w:szCs w:val="24"/>
          <w:highlight w:val="none"/>
          <w:u w:val="none"/>
        </w:rPr>
        <w:t>要</w:t>
      </w:r>
      <w:r>
        <w:rPr>
          <w:rFonts w:hint="eastAsia"/>
          <w:color w:val="auto"/>
          <w:spacing w:val="-2"/>
          <w:kern w:val="0"/>
          <w:sz w:val="24"/>
          <w:szCs w:val="24"/>
          <w:highlight w:val="none"/>
          <w:u w:val="none"/>
        </w:rPr>
        <w:t>求</w:t>
      </w:r>
      <w:r>
        <w:rPr>
          <w:rFonts w:hint="eastAsia"/>
          <w:color w:val="auto"/>
          <w:kern w:val="0"/>
          <w:sz w:val="24"/>
          <w:szCs w:val="24"/>
          <w:highlight w:val="none"/>
          <w:u w:val="none"/>
        </w:rPr>
        <w:t>。</w:t>
      </w:r>
    </w:p>
    <w:p w14:paraId="62663C1B">
      <w:pPr>
        <w:pStyle w:val="4"/>
        <w:pageBreakBefore w:val="0"/>
        <w:wordWrap w:val="0"/>
        <w:overflowPunct/>
        <w:bidi w:val="0"/>
        <w:spacing w:before="0" w:after="0" w:line="360" w:lineRule="auto"/>
        <w:rPr>
          <w:rFonts w:cs="宋体"/>
          <w:color w:val="auto"/>
          <w:sz w:val="24"/>
          <w:szCs w:val="24"/>
          <w:highlight w:val="none"/>
          <w:u w:val="none"/>
        </w:rPr>
      </w:pPr>
      <w:bookmarkStart w:id="732" w:name="_Toc12108"/>
      <w:bookmarkStart w:id="733" w:name="_Toc26739"/>
      <w:bookmarkStart w:id="734" w:name="_Toc108379373"/>
      <w:bookmarkStart w:id="735" w:name="_Toc5101"/>
      <w:bookmarkStart w:id="736" w:name="_Toc8318"/>
      <w:bookmarkStart w:id="737" w:name="_Toc21267"/>
      <w:bookmarkStart w:id="738" w:name="_Toc25857"/>
      <w:bookmarkStart w:id="739" w:name="_Toc9486"/>
      <w:bookmarkStart w:id="740" w:name="_Toc16597"/>
      <w:bookmarkStart w:id="741" w:name="_Toc27845"/>
      <w:bookmarkStart w:id="742" w:name="_Toc19426"/>
      <w:bookmarkStart w:id="743" w:name="_Toc6620"/>
      <w:bookmarkStart w:id="744" w:name="_Toc10336"/>
      <w:bookmarkStart w:id="745" w:name="_Toc23476"/>
      <w:r>
        <w:rPr>
          <w:rFonts w:hint="eastAsia" w:cs="宋体"/>
          <w:color w:val="auto"/>
          <w:sz w:val="24"/>
          <w:szCs w:val="24"/>
          <w:highlight w:val="none"/>
          <w:u w:val="none"/>
        </w:rPr>
        <w:t>3.4 评审结果</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363E8E70">
      <w:pPr>
        <w:pageBreakBefore w:val="0"/>
        <w:wordWrap w:val="0"/>
        <w:overflowPunct/>
        <w:autoSpaceDE w:val="0"/>
        <w:autoSpaceDN w:val="0"/>
        <w:bidi w:val="0"/>
        <w:adjustRightInd w:val="0"/>
        <w:spacing w:line="360" w:lineRule="auto"/>
        <w:ind w:firstLine="420"/>
        <w:rPr>
          <w:color w:val="auto"/>
          <w:kern w:val="0"/>
          <w:sz w:val="24"/>
          <w:szCs w:val="24"/>
          <w:highlight w:val="none"/>
          <w:u w:val="none"/>
        </w:rPr>
      </w:pPr>
      <w:r>
        <w:rPr>
          <w:rFonts w:hint="eastAsia"/>
          <w:color w:val="auto"/>
          <w:kern w:val="0"/>
          <w:sz w:val="24"/>
          <w:szCs w:val="24"/>
          <w:highlight w:val="none"/>
          <w:u w:val="none"/>
        </w:rPr>
        <w:t xml:space="preserve">3.4.1 </w:t>
      </w:r>
      <w:r>
        <w:rPr>
          <w:rFonts w:hint="eastAsia"/>
          <w:color w:val="auto"/>
          <w:sz w:val="24"/>
          <w:szCs w:val="24"/>
          <w:highlight w:val="none"/>
          <w:u w:val="none"/>
        </w:rPr>
        <w:t>评审小组按照各评审专家质量评分的算术平均值得分由高到低的顺序推荐入围供应商，质量评分相同的，由评审小组随机抽取。</w:t>
      </w:r>
    </w:p>
    <w:p w14:paraId="53150EA8">
      <w:pPr>
        <w:pageBreakBefore w:val="0"/>
        <w:wordWrap w:val="0"/>
        <w:overflowPunct/>
        <w:autoSpaceDE w:val="0"/>
        <w:autoSpaceDN w:val="0"/>
        <w:bidi w:val="0"/>
        <w:adjustRightInd w:val="0"/>
        <w:spacing w:line="360" w:lineRule="auto"/>
        <w:ind w:firstLine="420"/>
        <w:rPr>
          <w:color w:val="auto"/>
          <w:kern w:val="0"/>
          <w:sz w:val="24"/>
          <w:szCs w:val="24"/>
          <w:highlight w:val="none"/>
          <w:u w:val="none"/>
        </w:rPr>
        <w:sectPr>
          <w:footerReference r:id="rId9" w:type="default"/>
          <w:pgSz w:w="11906" w:h="16838"/>
          <w:pgMar w:top="1247" w:right="1417" w:bottom="1247" w:left="1417" w:header="777" w:footer="641" w:gutter="0"/>
          <w:pgNumType w:fmt="decimal" w:start="1"/>
          <w:cols w:space="720" w:num="1"/>
        </w:sectPr>
      </w:pPr>
      <w:r>
        <w:rPr>
          <w:rFonts w:hint="eastAsia"/>
          <w:color w:val="auto"/>
          <w:kern w:val="0"/>
          <w:sz w:val="24"/>
          <w:szCs w:val="24"/>
          <w:highlight w:val="none"/>
          <w:u w:val="none"/>
        </w:rPr>
        <w:t>3.4.2</w:t>
      </w:r>
      <w:r>
        <w:rPr>
          <w:rFonts w:hint="eastAsia"/>
          <w:color w:val="auto"/>
          <w:spacing w:val="51"/>
          <w:kern w:val="0"/>
          <w:sz w:val="24"/>
          <w:szCs w:val="24"/>
          <w:highlight w:val="none"/>
          <w:u w:val="none"/>
        </w:rPr>
        <w:t xml:space="preserve"> </w:t>
      </w:r>
      <w:r>
        <w:rPr>
          <w:rFonts w:hint="eastAsia"/>
          <w:color w:val="auto"/>
          <w:kern w:val="0"/>
          <w:sz w:val="24"/>
          <w:szCs w:val="24"/>
          <w:highlight w:val="none"/>
          <w:u w:val="none"/>
        </w:rPr>
        <w:t>评审小组完成评审后，应当根据征集文件规定的淘汰率或者入围供应商数量上限，确定入围供应商并向采购人提交书面评审报告。</w:t>
      </w:r>
    </w:p>
    <w:p w14:paraId="37DC8D0D">
      <w:pPr>
        <w:pStyle w:val="3"/>
        <w:pageBreakBefore w:val="0"/>
        <w:numPr>
          <w:ilvl w:val="0"/>
          <w:numId w:val="0"/>
        </w:numPr>
        <w:tabs>
          <w:tab w:val="clear" w:pos="0"/>
        </w:tabs>
        <w:wordWrap w:val="0"/>
        <w:overflowPunct/>
        <w:bidi w:val="0"/>
        <w:spacing w:line="360" w:lineRule="auto"/>
        <w:ind w:left="0" w:leftChars="0" w:firstLine="0" w:firstLineChars="0"/>
        <w:rPr>
          <w:rStyle w:val="38"/>
          <w:rFonts w:hint="eastAsia" w:ascii="宋体" w:hAnsi="宋体" w:eastAsia="宋体" w:cs="宋体"/>
          <w:b/>
          <w:bCs/>
          <w:color w:val="auto"/>
          <w:szCs w:val="22"/>
          <w:highlight w:val="none"/>
          <w:u w:val="none"/>
          <w:lang w:eastAsia="zh-CN"/>
        </w:rPr>
      </w:pPr>
      <w:bookmarkStart w:id="746" w:name="_Toc108379374"/>
      <w:bookmarkStart w:id="747" w:name="_Toc26441"/>
      <w:bookmarkStart w:id="748" w:name="_Toc22756"/>
      <w:bookmarkStart w:id="749" w:name="_Toc312133549"/>
      <w:r>
        <w:rPr>
          <w:rFonts w:hint="default" w:ascii="Arial" w:hAnsi="Arial" w:eastAsia="黑体" w:cs="宋体"/>
          <w:b/>
          <w:bCs/>
          <w:i w:val="0"/>
          <w:color w:val="auto"/>
          <w:kern w:val="44"/>
          <w:sz w:val="32"/>
          <w:szCs w:val="22"/>
          <w:lang w:val="en-US" w:eastAsia="zh-CN" w:bidi="ar-SA"/>
        </w:rPr>
        <w:t xml:space="preserve"> </w:t>
      </w:r>
      <w:r>
        <w:rPr>
          <w:rStyle w:val="38"/>
          <w:rFonts w:hint="eastAsia" w:ascii="宋体" w:hAnsi="宋体" w:cs="宋体"/>
          <w:b/>
          <w:bCs/>
          <w:color w:val="auto"/>
          <w:szCs w:val="22"/>
          <w:highlight w:val="none"/>
          <w:u w:val="none"/>
        </w:rPr>
        <w:t>第四章  框架协议文本</w:t>
      </w:r>
      <w:bookmarkEnd w:id="746"/>
      <w:bookmarkEnd w:id="747"/>
      <w:bookmarkEnd w:id="748"/>
      <w:r>
        <w:rPr>
          <w:rStyle w:val="38"/>
          <w:rFonts w:hint="eastAsia" w:ascii="宋体" w:hAnsi="宋体" w:cs="宋体"/>
          <w:b/>
          <w:bCs/>
          <w:color w:val="auto"/>
          <w:szCs w:val="22"/>
          <w:highlight w:val="none"/>
          <w:u w:val="none"/>
          <w:lang w:eastAsia="zh-CN"/>
        </w:rPr>
        <w:t>（仅供参考）</w:t>
      </w:r>
    </w:p>
    <w:bookmarkEnd w:id="749"/>
    <w:p w14:paraId="5961F6C5">
      <w:pPr>
        <w:pageBreakBefore w:val="0"/>
        <w:widowControl/>
        <w:wordWrap w:val="0"/>
        <w:overflowPunct/>
        <w:bidi w:val="0"/>
        <w:spacing w:line="360" w:lineRule="auto"/>
        <w:jc w:val="left"/>
        <w:rPr>
          <w:color w:val="auto"/>
          <w:kern w:val="0"/>
          <w:szCs w:val="21"/>
          <w:highlight w:val="none"/>
          <w:u w:val="none"/>
        </w:rPr>
      </w:pPr>
    </w:p>
    <w:p w14:paraId="5B0B2A21">
      <w:pPr>
        <w:pageBreakBefore w:val="0"/>
        <w:widowControl/>
        <w:wordWrap w:val="0"/>
        <w:overflowPunct/>
        <w:bidi w:val="0"/>
        <w:spacing w:line="360" w:lineRule="auto"/>
        <w:ind w:firstLine="480" w:firstLineChars="200"/>
        <w:jc w:val="left"/>
        <w:rPr>
          <w:color w:val="auto"/>
          <w:kern w:val="0"/>
          <w:sz w:val="24"/>
          <w:szCs w:val="24"/>
          <w:highlight w:val="none"/>
          <w:u w:val="none"/>
        </w:rPr>
      </w:pPr>
      <w:r>
        <w:rPr>
          <w:rFonts w:hint="eastAsia"/>
          <w:color w:val="auto"/>
          <w:kern w:val="0"/>
          <w:sz w:val="24"/>
          <w:szCs w:val="24"/>
          <w:highlight w:val="none"/>
          <w:u w:val="none"/>
        </w:rPr>
        <w:t>甲方：                          （采购人）</w:t>
      </w:r>
    </w:p>
    <w:p w14:paraId="44350FBC">
      <w:pPr>
        <w:pageBreakBefore w:val="0"/>
        <w:widowControl/>
        <w:wordWrap w:val="0"/>
        <w:overflowPunct/>
        <w:bidi w:val="0"/>
        <w:spacing w:line="360" w:lineRule="auto"/>
        <w:ind w:firstLine="480" w:firstLineChars="200"/>
        <w:jc w:val="left"/>
        <w:rPr>
          <w:color w:val="auto"/>
          <w:kern w:val="0"/>
          <w:sz w:val="24"/>
          <w:szCs w:val="24"/>
          <w:highlight w:val="none"/>
          <w:u w:val="none"/>
        </w:rPr>
      </w:pPr>
      <w:r>
        <w:rPr>
          <w:rFonts w:hint="eastAsia"/>
          <w:color w:val="auto"/>
          <w:kern w:val="0"/>
          <w:sz w:val="24"/>
          <w:szCs w:val="24"/>
          <w:highlight w:val="none"/>
          <w:u w:val="none"/>
        </w:rPr>
        <w:t xml:space="preserve">地址：                           </w:t>
      </w:r>
    </w:p>
    <w:p w14:paraId="5B600AC5">
      <w:pPr>
        <w:pageBreakBefore w:val="0"/>
        <w:widowControl/>
        <w:wordWrap w:val="0"/>
        <w:overflowPunct/>
        <w:bidi w:val="0"/>
        <w:spacing w:line="360" w:lineRule="auto"/>
        <w:ind w:firstLine="480" w:firstLineChars="200"/>
        <w:jc w:val="left"/>
        <w:rPr>
          <w:color w:val="auto"/>
          <w:kern w:val="0"/>
          <w:sz w:val="24"/>
          <w:szCs w:val="24"/>
          <w:highlight w:val="none"/>
          <w:u w:val="none"/>
        </w:rPr>
      </w:pPr>
      <w:r>
        <w:rPr>
          <w:rFonts w:hint="eastAsia"/>
          <w:color w:val="auto"/>
          <w:kern w:val="0"/>
          <w:sz w:val="24"/>
          <w:szCs w:val="24"/>
          <w:highlight w:val="none"/>
          <w:u w:val="none"/>
        </w:rPr>
        <w:t xml:space="preserve">联系方式：                                           </w:t>
      </w:r>
    </w:p>
    <w:p w14:paraId="20145889">
      <w:pPr>
        <w:pageBreakBefore w:val="0"/>
        <w:wordWrap w:val="0"/>
        <w:overflowPunct/>
        <w:bidi w:val="0"/>
        <w:spacing w:line="360" w:lineRule="auto"/>
        <w:rPr>
          <w:color w:val="auto"/>
          <w:sz w:val="24"/>
          <w:szCs w:val="24"/>
          <w:highlight w:val="none"/>
          <w:u w:val="none"/>
        </w:rPr>
      </w:pPr>
    </w:p>
    <w:p w14:paraId="6EDEDC68">
      <w:pPr>
        <w:pageBreakBefore w:val="0"/>
        <w:widowControl/>
        <w:wordWrap w:val="0"/>
        <w:overflowPunct/>
        <w:bidi w:val="0"/>
        <w:spacing w:line="360" w:lineRule="auto"/>
        <w:ind w:firstLine="480" w:firstLineChars="200"/>
        <w:jc w:val="left"/>
        <w:rPr>
          <w:color w:val="auto"/>
          <w:kern w:val="0"/>
          <w:sz w:val="24"/>
          <w:szCs w:val="24"/>
          <w:highlight w:val="none"/>
          <w:u w:val="none"/>
        </w:rPr>
      </w:pPr>
      <w:r>
        <w:rPr>
          <w:rFonts w:hint="eastAsia"/>
          <w:color w:val="auto"/>
          <w:kern w:val="0"/>
          <w:sz w:val="24"/>
          <w:szCs w:val="24"/>
          <w:highlight w:val="none"/>
          <w:u w:val="none"/>
        </w:rPr>
        <w:t>乙方：                          （入围供应商）</w:t>
      </w:r>
    </w:p>
    <w:p w14:paraId="4B42B64C">
      <w:pPr>
        <w:pageBreakBefore w:val="0"/>
        <w:widowControl/>
        <w:wordWrap w:val="0"/>
        <w:overflowPunct/>
        <w:bidi w:val="0"/>
        <w:spacing w:line="360" w:lineRule="auto"/>
        <w:ind w:firstLine="480" w:firstLineChars="200"/>
        <w:jc w:val="left"/>
        <w:rPr>
          <w:color w:val="auto"/>
          <w:kern w:val="0"/>
          <w:sz w:val="24"/>
          <w:szCs w:val="24"/>
          <w:highlight w:val="none"/>
          <w:u w:val="none"/>
        </w:rPr>
      </w:pPr>
      <w:r>
        <w:rPr>
          <w:rFonts w:hint="eastAsia"/>
          <w:color w:val="auto"/>
          <w:kern w:val="0"/>
          <w:sz w:val="24"/>
          <w:szCs w:val="24"/>
          <w:highlight w:val="none"/>
          <w:u w:val="none"/>
        </w:rPr>
        <w:t xml:space="preserve">地址：                           </w:t>
      </w:r>
    </w:p>
    <w:p w14:paraId="0D439DE2">
      <w:pPr>
        <w:pageBreakBefore w:val="0"/>
        <w:wordWrap w:val="0"/>
        <w:overflowPunct/>
        <w:bidi w:val="0"/>
        <w:spacing w:line="360" w:lineRule="auto"/>
        <w:ind w:firstLine="480" w:firstLineChars="200"/>
        <w:rPr>
          <w:color w:val="auto"/>
          <w:kern w:val="0"/>
          <w:sz w:val="24"/>
          <w:szCs w:val="24"/>
          <w:highlight w:val="none"/>
          <w:u w:val="none"/>
        </w:rPr>
      </w:pPr>
      <w:r>
        <w:rPr>
          <w:rFonts w:hint="eastAsia"/>
          <w:color w:val="auto"/>
          <w:kern w:val="0"/>
          <w:sz w:val="24"/>
          <w:szCs w:val="24"/>
          <w:highlight w:val="none"/>
          <w:u w:val="none"/>
        </w:rPr>
        <w:t xml:space="preserve">联系方式：                      </w:t>
      </w:r>
    </w:p>
    <w:p w14:paraId="40BD960C">
      <w:pPr>
        <w:pageBreakBefore w:val="0"/>
        <w:wordWrap w:val="0"/>
        <w:overflowPunct/>
        <w:bidi w:val="0"/>
        <w:spacing w:line="360" w:lineRule="auto"/>
        <w:ind w:firstLine="480" w:firstLineChars="200"/>
        <w:rPr>
          <w:color w:val="auto"/>
          <w:sz w:val="24"/>
          <w:szCs w:val="24"/>
          <w:highlight w:val="none"/>
          <w:u w:val="none"/>
        </w:rPr>
      </w:pPr>
    </w:p>
    <w:p w14:paraId="2E5AD3A9">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签订时间：                   </w:t>
      </w:r>
    </w:p>
    <w:p w14:paraId="121F55A0">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签订地点：                            </w:t>
      </w:r>
    </w:p>
    <w:p w14:paraId="34F2F8E8">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根据《中华人民共和国民法典》、《中华人民共和国政府采购法》、《中华人民共和国采购法实施条例》、《政府采购框架协议采购方式管理暂行办法》及国家的有关法律、行政法规和本项目征集文件，甲乙双方遵循平等、自愿、公平和诚实信用的原则，就       项目公开征集入围供应商事宜协商一致，订立本框架协议。</w:t>
      </w:r>
    </w:p>
    <w:p w14:paraId="10BFB652">
      <w:pPr>
        <w:pageBreakBefore w:val="0"/>
        <w:wordWrap w:val="0"/>
        <w:overflowPunct/>
        <w:bidi w:val="0"/>
        <w:spacing w:line="360" w:lineRule="auto"/>
        <w:ind w:firstLine="482" w:firstLineChars="200"/>
        <w:rPr>
          <w:color w:val="auto"/>
          <w:sz w:val="24"/>
          <w:szCs w:val="24"/>
          <w:highlight w:val="none"/>
          <w:u w:val="none"/>
        </w:rPr>
      </w:pPr>
      <w:r>
        <w:rPr>
          <w:rFonts w:hint="eastAsia"/>
          <w:b/>
          <w:bCs/>
          <w:color w:val="auto"/>
          <w:sz w:val="24"/>
          <w:szCs w:val="24"/>
          <w:highlight w:val="none"/>
          <w:u w:val="none"/>
        </w:rPr>
        <w:t>一、</w:t>
      </w:r>
      <w:r>
        <w:rPr>
          <w:rFonts w:hint="eastAsia"/>
          <w:color w:val="auto"/>
          <w:sz w:val="24"/>
          <w:szCs w:val="24"/>
          <w:highlight w:val="none"/>
          <w:u w:val="none"/>
        </w:rPr>
        <w:t>甲方通过公开征集确定乙方为甲方委托项目范围的入围供应商，承担具体委托项目的服务（货物供应）工作。</w:t>
      </w:r>
    </w:p>
    <w:p w14:paraId="4EC46B02">
      <w:pPr>
        <w:pageBreakBefore w:val="0"/>
        <w:wordWrap w:val="0"/>
        <w:overflowPunct/>
        <w:bidi w:val="0"/>
        <w:spacing w:line="360" w:lineRule="auto"/>
        <w:ind w:firstLine="482" w:firstLineChars="200"/>
        <w:rPr>
          <w:b/>
          <w:bCs/>
          <w:color w:val="auto"/>
          <w:sz w:val="24"/>
          <w:szCs w:val="24"/>
          <w:highlight w:val="none"/>
          <w:u w:val="none"/>
        </w:rPr>
      </w:pPr>
      <w:r>
        <w:rPr>
          <w:rFonts w:hint="eastAsia"/>
          <w:b/>
          <w:bCs/>
          <w:color w:val="auto"/>
          <w:sz w:val="24"/>
          <w:szCs w:val="24"/>
          <w:highlight w:val="none"/>
          <w:u w:val="none"/>
        </w:rPr>
        <w:t>二、项目基本情况</w:t>
      </w:r>
    </w:p>
    <w:p w14:paraId="0348C272">
      <w:pPr>
        <w:pageBreakBefore w:val="0"/>
        <w:numPr>
          <w:ilvl w:val="0"/>
          <w:numId w:val="16"/>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采购项目名称：</w:t>
      </w:r>
      <w:r>
        <w:rPr>
          <w:rFonts w:hint="eastAsia"/>
          <w:color w:val="auto"/>
          <w:sz w:val="24"/>
          <w:szCs w:val="24"/>
          <w:highlight w:val="none"/>
          <w:u w:val="none"/>
          <w:lang w:eastAsia="zh-CN"/>
        </w:rPr>
        <w:t>卢氏县机关事务中心车辆维修保养及租赁定点服务项目</w:t>
      </w:r>
      <w:r>
        <w:rPr>
          <w:rFonts w:hint="eastAsia"/>
          <w:color w:val="auto"/>
          <w:sz w:val="24"/>
          <w:szCs w:val="24"/>
          <w:highlight w:val="none"/>
          <w:u w:val="none"/>
        </w:rPr>
        <w:t xml:space="preserve"> </w:t>
      </w:r>
    </w:p>
    <w:p w14:paraId="2D9F739D">
      <w:pPr>
        <w:pageBreakBefore w:val="0"/>
        <w:numPr>
          <w:ilvl w:val="0"/>
          <w:numId w:val="16"/>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采购项目编号：           </w:t>
      </w:r>
    </w:p>
    <w:p w14:paraId="740ED97F">
      <w:pPr>
        <w:pageBreakBefore w:val="0"/>
        <w:numPr>
          <w:ilvl w:val="0"/>
          <w:numId w:val="16"/>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采购需求：       </w:t>
      </w:r>
    </w:p>
    <w:p w14:paraId="6857DFD2">
      <w:pPr>
        <w:pageBreakBefore w:val="0"/>
        <w:numPr>
          <w:ilvl w:val="0"/>
          <w:numId w:val="16"/>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费用结算标准：        </w:t>
      </w:r>
    </w:p>
    <w:p w14:paraId="1927007A">
      <w:pPr>
        <w:pageBreakBefore w:val="0"/>
        <w:numPr>
          <w:ilvl w:val="0"/>
          <w:numId w:val="16"/>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框架协议期限：     从框架协议签订之日起</w:t>
      </w:r>
      <w:r>
        <w:rPr>
          <w:rFonts w:hint="eastAsia"/>
          <w:color w:val="auto"/>
          <w:sz w:val="24"/>
          <w:szCs w:val="24"/>
          <w:highlight w:val="none"/>
          <w:u w:val="none"/>
          <w:lang w:val="en-US" w:eastAsia="zh-CN"/>
        </w:rPr>
        <w:t>2</w:t>
      </w:r>
      <w:r>
        <w:rPr>
          <w:rFonts w:hint="eastAsia"/>
          <w:color w:val="auto"/>
          <w:sz w:val="24"/>
          <w:szCs w:val="24"/>
          <w:highlight w:val="none"/>
          <w:u w:val="none"/>
        </w:rPr>
        <w:t xml:space="preserve">年。             </w:t>
      </w:r>
    </w:p>
    <w:p w14:paraId="66BE9A44">
      <w:pPr>
        <w:pageBreakBefore w:val="0"/>
        <w:numPr>
          <w:ilvl w:val="0"/>
          <w:numId w:val="16"/>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适用框架协议的服务对象范围：    </w:t>
      </w:r>
      <w:r>
        <w:rPr>
          <w:rFonts w:hint="eastAsia"/>
          <w:color w:val="auto"/>
          <w:sz w:val="24"/>
          <w:szCs w:val="24"/>
          <w:highlight w:val="none"/>
          <w:u w:val="none"/>
          <w:lang w:eastAsia="zh-CN"/>
        </w:rPr>
        <w:t>卢氏县机关事务中心</w:t>
      </w:r>
      <w:r>
        <w:rPr>
          <w:rFonts w:hint="eastAsia"/>
          <w:color w:val="auto"/>
          <w:sz w:val="24"/>
          <w:szCs w:val="24"/>
          <w:highlight w:val="none"/>
          <w:u w:val="none"/>
        </w:rPr>
        <w:t xml:space="preserve">         </w:t>
      </w:r>
    </w:p>
    <w:p w14:paraId="58800EB3">
      <w:pPr>
        <w:pageBreakBefore w:val="0"/>
        <w:numPr>
          <w:ilvl w:val="0"/>
          <w:numId w:val="16"/>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质量要求：达到国家质量验收规范合格标准。</w:t>
      </w:r>
    </w:p>
    <w:p w14:paraId="2C99F317">
      <w:pPr>
        <w:pageBreakBefore w:val="0"/>
        <w:numPr>
          <w:ilvl w:val="0"/>
          <w:numId w:val="16"/>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履行合同的地域范围：  </w:t>
      </w:r>
      <w:r>
        <w:rPr>
          <w:rFonts w:hint="eastAsia"/>
          <w:color w:val="auto"/>
          <w:sz w:val="24"/>
          <w:szCs w:val="24"/>
          <w:highlight w:val="none"/>
          <w:u w:val="none"/>
          <w:lang w:val="en-US" w:eastAsia="zh-CN"/>
        </w:rPr>
        <w:t>卢氏县</w:t>
      </w:r>
      <w:r>
        <w:rPr>
          <w:rFonts w:hint="eastAsia"/>
          <w:color w:val="auto"/>
          <w:sz w:val="24"/>
          <w:szCs w:val="24"/>
          <w:highlight w:val="none"/>
          <w:u w:val="none"/>
        </w:rPr>
        <w:t xml:space="preserve">  </w:t>
      </w:r>
    </w:p>
    <w:p w14:paraId="3DD2838F">
      <w:pPr>
        <w:pageBreakBefore w:val="0"/>
        <w:numPr>
          <w:ilvl w:val="0"/>
          <w:numId w:val="16"/>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售后服务要求：按国家（行业）标准执行。</w:t>
      </w:r>
    </w:p>
    <w:p w14:paraId="32BDCBE3">
      <w:pPr>
        <w:pageBreakBefore w:val="0"/>
        <w:wordWrap w:val="0"/>
        <w:overflowPunct/>
        <w:bidi w:val="0"/>
        <w:spacing w:line="360" w:lineRule="auto"/>
        <w:ind w:firstLine="482" w:firstLineChars="200"/>
        <w:rPr>
          <w:b/>
          <w:bCs/>
          <w:color w:val="auto"/>
          <w:sz w:val="24"/>
          <w:szCs w:val="24"/>
          <w:highlight w:val="none"/>
          <w:u w:val="none"/>
        </w:rPr>
      </w:pPr>
      <w:r>
        <w:rPr>
          <w:rFonts w:hint="eastAsia"/>
          <w:b/>
          <w:bCs/>
          <w:color w:val="auto"/>
          <w:sz w:val="24"/>
          <w:szCs w:val="24"/>
          <w:highlight w:val="none"/>
          <w:u w:val="none"/>
        </w:rPr>
        <w:t>三、双方的权利义务</w:t>
      </w:r>
    </w:p>
    <w:p w14:paraId="13CD3A2E">
      <w:pPr>
        <w:pageBreakBefore w:val="0"/>
        <w:wordWrap w:val="0"/>
        <w:overflowPunct/>
        <w:bidi w:val="0"/>
        <w:spacing w:line="360" w:lineRule="auto"/>
        <w:ind w:firstLine="482" w:firstLineChars="200"/>
        <w:rPr>
          <w:color w:val="auto"/>
          <w:sz w:val="24"/>
          <w:szCs w:val="24"/>
          <w:highlight w:val="none"/>
          <w:u w:val="none"/>
        </w:rPr>
      </w:pPr>
      <w:r>
        <w:rPr>
          <w:rFonts w:hint="eastAsia"/>
          <w:b/>
          <w:bCs/>
          <w:color w:val="auto"/>
          <w:sz w:val="24"/>
          <w:szCs w:val="24"/>
          <w:highlight w:val="none"/>
          <w:u w:val="none"/>
        </w:rPr>
        <w:t>（一）甲方的权利与义务</w:t>
      </w:r>
    </w:p>
    <w:p w14:paraId="7F15BC33">
      <w:pPr>
        <w:pageBreakBefore w:val="0"/>
        <w:numPr>
          <w:ilvl w:val="0"/>
          <w:numId w:val="17"/>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甲方为第二阶段合同授予提供工作便利。</w:t>
      </w:r>
    </w:p>
    <w:p w14:paraId="62C8511D">
      <w:pPr>
        <w:pageBreakBefore w:val="0"/>
        <w:numPr>
          <w:ilvl w:val="0"/>
          <w:numId w:val="17"/>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甲方对第二阶段最高限价和需求标准执行情况进行管理。</w:t>
      </w:r>
    </w:p>
    <w:p w14:paraId="442E02C6">
      <w:pPr>
        <w:pageBreakBefore w:val="0"/>
        <w:numPr>
          <w:ilvl w:val="0"/>
          <w:numId w:val="17"/>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甲方对第二阶段成交供应商的情况进行管理。</w:t>
      </w:r>
    </w:p>
    <w:p w14:paraId="6DB6860D">
      <w:pPr>
        <w:pageBreakBefore w:val="0"/>
        <w:numPr>
          <w:ilvl w:val="0"/>
          <w:numId w:val="17"/>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甲方根据框架协议约定，在质量不降低、价格不提高的前提下，对入围供应商因产品升级换代、用新产品替代原入围产品的情形进行审核。</w:t>
      </w:r>
    </w:p>
    <w:p w14:paraId="33AB5790">
      <w:pPr>
        <w:pageBreakBefore w:val="0"/>
        <w:numPr>
          <w:ilvl w:val="0"/>
          <w:numId w:val="17"/>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建立用户反馈和评价机制，接受服务对象对入围供应商履行框架协议和采购合同情况的反馈与评价，并将用户反馈和评价情况向服务对象公开，作为第二阶段直接选定成交供应商的参考。 </w:t>
      </w:r>
    </w:p>
    <w:p w14:paraId="3F4FA58A">
      <w:pPr>
        <w:pageBreakBefore w:val="0"/>
        <w:numPr>
          <w:ilvl w:val="0"/>
          <w:numId w:val="17"/>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公开第二阶段成交结果。 </w:t>
      </w:r>
    </w:p>
    <w:p w14:paraId="37236F42">
      <w:pPr>
        <w:pageBreakBefore w:val="0"/>
        <w:numPr>
          <w:ilvl w:val="0"/>
          <w:numId w:val="17"/>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办理入围供应商清退和补充相关事宜。</w:t>
      </w:r>
    </w:p>
    <w:p w14:paraId="3E34C49A">
      <w:pPr>
        <w:pageBreakBefore w:val="0"/>
        <w:wordWrap w:val="0"/>
        <w:overflowPunct/>
        <w:bidi w:val="0"/>
        <w:spacing w:line="360" w:lineRule="auto"/>
        <w:ind w:firstLine="482" w:firstLineChars="200"/>
        <w:rPr>
          <w:b/>
          <w:bCs/>
          <w:color w:val="auto"/>
          <w:sz w:val="24"/>
          <w:szCs w:val="24"/>
          <w:highlight w:val="none"/>
          <w:u w:val="none"/>
        </w:rPr>
      </w:pPr>
      <w:r>
        <w:rPr>
          <w:rFonts w:hint="eastAsia"/>
          <w:b/>
          <w:bCs/>
          <w:color w:val="auto"/>
          <w:sz w:val="24"/>
          <w:szCs w:val="24"/>
          <w:highlight w:val="none"/>
          <w:u w:val="none"/>
        </w:rPr>
        <w:t>（二）乙方的权利与义务</w:t>
      </w:r>
    </w:p>
    <w:p w14:paraId="6772FA25">
      <w:pPr>
        <w:pageBreakBefore w:val="0"/>
        <w:numPr>
          <w:ilvl w:val="0"/>
          <w:numId w:val="18"/>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被服务对象确定为成交供应商后，乙方在入围范围内取得向服务对象提供入围的服务的资格。如果成为第二阶段供应商，有签订《商品房买卖合同书》的义务。</w:t>
      </w:r>
    </w:p>
    <w:p w14:paraId="75D9B1A1">
      <w:pPr>
        <w:pageBreakBefore w:val="0"/>
        <w:numPr>
          <w:ilvl w:val="0"/>
          <w:numId w:val="18"/>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乙方保证，在质量不降低，价格不提高的前提下，对入围产品进行升级换代，用新产品代替原产品。</w:t>
      </w:r>
    </w:p>
    <w:p w14:paraId="4F35835B">
      <w:pPr>
        <w:pageBreakBefore w:val="0"/>
        <w:numPr>
          <w:ilvl w:val="0"/>
          <w:numId w:val="18"/>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乙方同意甲方为实施政府采购工作的需要，可以在相关政府采购网站和相关文件上公布乙方价格等相关信息，且无需事先经过乙方审查同意，任何在官方媒体的信息公布均属于或均被视为符合法律程序的信息公布，均不属于对有关保密义务的违反。</w:t>
      </w:r>
    </w:p>
    <w:p w14:paraId="3686B0E9">
      <w:pPr>
        <w:pageBreakBefore w:val="0"/>
        <w:numPr>
          <w:ilvl w:val="0"/>
          <w:numId w:val="18"/>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乙方承诺在本项目项下的任何行为均将严格遵守法律、法规的规定，包括但不限于应当符合有关依法纳税、环境保护、知识产权、童工禁用、劳动保护、劳动保险与待遇等各方面的规定。尽管乙方已做出上述保证，若一旦发生违反法律、法规、承诺之任何情形，均属乙方单方面之因素、原因、责任，任何情况下乙方均应当承担相应的法律责任。</w:t>
      </w:r>
    </w:p>
    <w:p w14:paraId="1735A729">
      <w:pPr>
        <w:pageBreakBefore w:val="0"/>
        <w:numPr>
          <w:ilvl w:val="0"/>
          <w:numId w:val="18"/>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乙方有下列情形之一的，尚未签订框架协议的，取消其入围资格；已经签订框架协议的，解除与其签订的框架协议：恶意串通谋取入围或者合同成交的；提供虚假材料谋取入围或者合同成交的；无正当理由拒不接受合同授予的；不履行合同义务或者履行合同义务不符合约定，经采购人请求履行后仍不履行或者仍未按约定履行的；框架协议有效期内，因违法行为被禁止或限制参加政府采购活动的。</w:t>
      </w:r>
    </w:p>
    <w:p w14:paraId="13DB7CBB">
      <w:pPr>
        <w:pageBreakBefore w:val="0"/>
        <w:numPr>
          <w:ilvl w:val="0"/>
          <w:numId w:val="19"/>
        </w:numPr>
        <w:wordWrap w:val="0"/>
        <w:overflowPunct/>
        <w:bidi w:val="0"/>
        <w:spacing w:line="360" w:lineRule="auto"/>
        <w:ind w:left="418"/>
        <w:rPr>
          <w:b/>
          <w:bCs/>
          <w:color w:val="auto"/>
          <w:sz w:val="24"/>
          <w:szCs w:val="24"/>
          <w:highlight w:val="none"/>
          <w:u w:val="none"/>
        </w:rPr>
      </w:pPr>
      <w:r>
        <w:rPr>
          <w:rFonts w:hint="eastAsia"/>
          <w:b/>
          <w:bCs/>
          <w:color w:val="auto"/>
          <w:sz w:val="24"/>
          <w:szCs w:val="24"/>
          <w:highlight w:val="none"/>
          <w:u w:val="none"/>
          <w:shd w:val="clear" w:color="auto" w:fill="FFFFFF"/>
        </w:rPr>
        <w:t>第一阶段的入围服务内容、服务标准及协议价格</w:t>
      </w:r>
    </w:p>
    <w:p w14:paraId="3B649087">
      <w:pPr>
        <w:pageBreakBefore w:val="0"/>
        <w:wordWrap w:val="0"/>
        <w:overflowPunct/>
        <w:bidi w:val="0"/>
        <w:spacing w:line="360" w:lineRule="auto"/>
        <w:ind w:firstLine="480" w:firstLineChars="200"/>
        <w:rPr>
          <w:color w:val="auto"/>
          <w:sz w:val="24"/>
          <w:szCs w:val="24"/>
          <w:highlight w:val="none"/>
          <w:u w:val="none"/>
          <w:shd w:val="clear" w:color="auto" w:fill="FFFFFF"/>
        </w:rPr>
      </w:pPr>
      <w:r>
        <w:rPr>
          <w:rFonts w:hint="eastAsia"/>
          <w:color w:val="auto"/>
          <w:sz w:val="24"/>
          <w:szCs w:val="24"/>
          <w:highlight w:val="none"/>
          <w:u w:val="none"/>
          <w:shd w:val="clear" w:color="auto" w:fill="FFFFFF"/>
        </w:rPr>
        <w:t xml:space="preserve">采购内容：             </w:t>
      </w:r>
    </w:p>
    <w:p w14:paraId="1AE51216">
      <w:pPr>
        <w:pageBreakBefore w:val="0"/>
        <w:wordWrap w:val="0"/>
        <w:overflowPunct/>
        <w:bidi w:val="0"/>
        <w:spacing w:line="360" w:lineRule="auto"/>
        <w:ind w:firstLine="480" w:firstLineChars="200"/>
        <w:rPr>
          <w:color w:val="auto"/>
          <w:sz w:val="24"/>
          <w:szCs w:val="24"/>
          <w:highlight w:val="none"/>
          <w:u w:val="none"/>
          <w:shd w:val="clear" w:color="auto" w:fill="FFFFFF"/>
        </w:rPr>
      </w:pPr>
      <w:r>
        <w:rPr>
          <w:rFonts w:hint="eastAsia"/>
          <w:color w:val="auto"/>
          <w:sz w:val="24"/>
          <w:szCs w:val="24"/>
          <w:highlight w:val="none"/>
          <w:u w:val="none"/>
          <w:shd w:val="clear" w:color="auto" w:fill="FFFFFF"/>
        </w:rPr>
        <w:t xml:space="preserve">质量要求：  </w:t>
      </w:r>
      <w:r>
        <w:rPr>
          <w:rFonts w:hint="eastAsia"/>
          <w:color w:val="auto"/>
          <w:sz w:val="24"/>
          <w:szCs w:val="24"/>
          <w:highlight w:val="none"/>
          <w:u w:val="none"/>
        </w:rPr>
        <w:t xml:space="preserve">  </w:t>
      </w:r>
      <w:r>
        <w:rPr>
          <w:rFonts w:hint="eastAsia"/>
          <w:color w:val="auto"/>
          <w:sz w:val="24"/>
          <w:szCs w:val="24"/>
          <w:highlight w:val="none"/>
          <w:u w:val="none"/>
          <w:shd w:val="clear" w:color="auto" w:fill="FFFFFF"/>
        </w:rPr>
        <w:t xml:space="preserve">       </w:t>
      </w:r>
    </w:p>
    <w:p w14:paraId="6C36D768">
      <w:pPr>
        <w:pageBreakBefore w:val="0"/>
        <w:wordWrap w:val="0"/>
        <w:overflowPunct/>
        <w:bidi w:val="0"/>
        <w:spacing w:line="360" w:lineRule="auto"/>
        <w:ind w:firstLine="480" w:firstLineChars="200"/>
        <w:rPr>
          <w:color w:val="auto"/>
          <w:sz w:val="24"/>
          <w:szCs w:val="24"/>
          <w:highlight w:val="none"/>
          <w:u w:val="none"/>
          <w:shd w:val="clear" w:color="auto" w:fill="FFFFFF"/>
        </w:rPr>
      </w:pPr>
      <w:r>
        <w:rPr>
          <w:rFonts w:hint="eastAsia"/>
          <w:color w:val="auto"/>
          <w:sz w:val="24"/>
          <w:szCs w:val="24"/>
          <w:highlight w:val="none"/>
          <w:u w:val="none"/>
          <w:shd w:val="clear" w:color="auto" w:fill="FFFFFF"/>
        </w:rPr>
        <w:t xml:space="preserve">售后服务要求：       </w:t>
      </w:r>
    </w:p>
    <w:p w14:paraId="47B7905F">
      <w:pPr>
        <w:pageBreakBefore w:val="0"/>
        <w:wordWrap w:val="0"/>
        <w:overflowPunct/>
        <w:bidi w:val="0"/>
        <w:spacing w:line="360" w:lineRule="auto"/>
        <w:ind w:firstLine="480" w:firstLineChars="200"/>
        <w:rPr>
          <w:b/>
          <w:bCs/>
          <w:color w:val="auto"/>
          <w:sz w:val="24"/>
          <w:szCs w:val="24"/>
          <w:highlight w:val="none"/>
          <w:u w:val="none"/>
        </w:rPr>
      </w:pPr>
      <w:r>
        <w:rPr>
          <w:rFonts w:hint="eastAsia"/>
          <w:color w:val="auto"/>
          <w:sz w:val="24"/>
          <w:szCs w:val="24"/>
          <w:highlight w:val="none"/>
          <w:u w:val="none"/>
          <w:shd w:val="clear" w:color="auto" w:fill="FFFFFF"/>
        </w:rPr>
        <w:t xml:space="preserve">协议价格： </w:t>
      </w:r>
      <w:r>
        <w:rPr>
          <w:rFonts w:hint="eastAsia"/>
          <w:color w:val="auto"/>
          <w:sz w:val="24"/>
          <w:szCs w:val="24"/>
          <w:highlight w:val="none"/>
          <w:u w:val="none"/>
        </w:rPr>
        <w:t xml:space="preserve">        </w:t>
      </w:r>
    </w:p>
    <w:p w14:paraId="0DB99B2E">
      <w:pPr>
        <w:pageBreakBefore w:val="0"/>
        <w:numPr>
          <w:ilvl w:val="0"/>
          <w:numId w:val="19"/>
        </w:numPr>
        <w:wordWrap w:val="0"/>
        <w:overflowPunct/>
        <w:bidi w:val="0"/>
        <w:spacing w:line="360" w:lineRule="auto"/>
        <w:ind w:left="418"/>
        <w:rPr>
          <w:b/>
          <w:bCs/>
          <w:color w:val="auto"/>
          <w:sz w:val="24"/>
          <w:szCs w:val="24"/>
          <w:highlight w:val="none"/>
          <w:u w:val="none"/>
        </w:rPr>
      </w:pPr>
      <w:r>
        <w:rPr>
          <w:rFonts w:hint="eastAsia"/>
          <w:b/>
          <w:bCs/>
          <w:color w:val="auto"/>
          <w:sz w:val="24"/>
          <w:szCs w:val="24"/>
          <w:highlight w:val="none"/>
          <w:u w:val="none"/>
        </w:rPr>
        <w:t>确定第二阶段成交供应商的方式</w:t>
      </w:r>
    </w:p>
    <w:p w14:paraId="3A72A3B6">
      <w:pPr>
        <w:pageBreakBefore w:val="0"/>
        <w:wordWrap w:val="0"/>
        <w:overflowPunct/>
        <w:autoSpaceDE w:val="0"/>
        <w:autoSpaceDN w:val="0"/>
        <w:bidi w:val="0"/>
        <w:adjustRightInd w:val="0"/>
        <w:spacing w:line="360" w:lineRule="auto"/>
        <w:ind w:left="420"/>
        <w:rPr>
          <w:color w:val="auto"/>
          <w:sz w:val="24"/>
          <w:szCs w:val="24"/>
          <w:highlight w:val="none"/>
          <w:u w:val="none"/>
        </w:rPr>
      </w:pPr>
      <w:r>
        <w:rPr>
          <w:rFonts w:hint="eastAsia"/>
          <w:color w:val="auto"/>
          <w:sz w:val="24"/>
          <w:szCs w:val="24"/>
          <w:highlight w:val="none"/>
          <w:u w:val="none"/>
        </w:rPr>
        <w:t xml:space="preserve">  采用直接选定的方式               </w:t>
      </w:r>
    </w:p>
    <w:p w14:paraId="4CEECBD2">
      <w:pPr>
        <w:pageBreakBefore w:val="0"/>
        <w:numPr>
          <w:ilvl w:val="0"/>
          <w:numId w:val="19"/>
        </w:numPr>
        <w:wordWrap w:val="0"/>
        <w:overflowPunct/>
        <w:bidi w:val="0"/>
        <w:spacing w:line="360" w:lineRule="auto"/>
        <w:ind w:firstLine="422"/>
        <w:rPr>
          <w:b/>
          <w:bCs/>
          <w:color w:val="auto"/>
          <w:sz w:val="24"/>
          <w:szCs w:val="24"/>
          <w:highlight w:val="none"/>
          <w:u w:val="none"/>
        </w:rPr>
      </w:pPr>
      <w:r>
        <w:rPr>
          <w:rFonts w:hint="eastAsia"/>
          <w:b/>
          <w:bCs/>
          <w:color w:val="auto"/>
          <w:sz w:val="24"/>
          <w:szCs w:val="24"/>
          <w:highlight w:val="none"/>
          <w:u w:val="none"/>
        </w:rPr>
        <w:t>资金支付方式、时间和条件</w:t>
      </w:r>
    </w:p>
    <w:p w14:paraId="1F9444F0">
      <w:pPr>
        <w:pageBreakBefore w:val="0"/>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                            </w:t>
      </w:r>
    </w:p>
    <w:p w14:paraId="5ABCA27A">
      <w:pPr>
        <w:pageBreakBefore w:val="0"/>
        <w:numPr>
          <w:ilvl w:val="0"/>
          <w:numId w:val="19"/>
        </w:numPr>
        <w:wordWrap w:val="0"/>
        <w:overflowPunct/>
        <w:bidi w:val="0"/>
        <w:spacing w:line="360" w:lineRule="auto"/>
        <w:ind w:firstLine="422"/>
        <w:rPr>
          <w:b/>
          <w:bCs/>
          <w:color w:val="auto"/>
          <w:sz w:val="24"/>
          <w:szCs w:val="24"/>
          <w:highlight w:val="none"/>
          <w:u w:val="none"/>
        </w:rPr>
      </w:pPr>
      <w:r>
        <w:rPr>
          <w:rFonts w:hint="eastAsia"/>
          <w:b/>
          <w:bCs/>
          <w:color w:val="auto"/>
          <w:sz w:val="24"/>
          <w:szCs w:val="24"/>
          <w:highlight w:val="none"/>
          <w:u w:val="none"/>
        </w:rPr>
        <w:t>入围供应商清退和补充规则</w:t>
      </w:r>
    </w:p>
    <w:p w14:paraId="0CAAADC8">
      <w:pPr>
        <w:pageBreakBefore w:val="0"/>
        <w:numPr>
          <w:ilvl w:val="0"/>
          <w:numId w:val="20"/>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入围供应商无正当理由，不得主动放弃入围资格或者退出框架协议。</w:t>
      </w:r>
    </w:p>
    <w:p w14:paraId="3976FD1F">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如发现乙方以下情况，甲方有权要求乙方退出框架协议：</w:t>
      </w:r>
    </w:p>
    <w:p w14:paraId="1799CB88">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（1）所供商品房有重大质量问题</w:t>
      </w:r>
    </w:p>
    <w:p w14:paraId="788E92B8">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（2）所供商品房有冻结、查封、预查封、权属纠纷等情况，已抵押的无法取消抵押。</w:t>
      </w:r>
    </w:p>
    <w:p w14:paraId="2B1B7F60">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（3）所供的商品房及小区建设不满足基本居住需求，基础设施不完备，周边配套不齐全的。 </w:t>
      </w:r>
    </w:p>
    <w:p w14:paraId="4B638DC5">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（4）有社会投诉并经查证属实等违法违规行为的；                          </w:t>
      </w:r>
    </w:p>
    <w:p w14:paraId="4C907359">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（5）存在泄密等问题，导致重大项目受到影响的。                          </w:t>
      </w:r>
    </w:p>
    <w:p w14:paraId="20ED3BF4">
      <w:pPr>
        <w:pageBreakBefore w:val="0"/>
        <w:numPr>
          <w:ilvl w:val="0"/>
          <w:numId w:val="20"/>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除剩余入围供应商不足入围供应商总数70%且影响框架协议执行的情形外，框架协议有效期内，采购人不得补充征集供应商。</w:t>
      </w:r>
    </w:p>
    <w:p w14:paraId="04A0A1FB">
      <w:pPr>
        <w:pageBreakBefore w:val="0"/>
        <w:wordWrap w:val="0"/>
        <w:overflowPunct/>
        <w:bidi w:val="0"/>
        <w:spacing w:line="360" w:lineRule="auto"/>
        <w:ind w:firstLine="482" w:firstLineChars="200"/>
        <w:rPr>
          <w:b/>
          <w:bCs/>
          <w:color w:val="auto"/>
          <w:sz w:val="24"/>
          <w:szCs w:val="24"/>
          <w:highlight w:val="none"/>
          <w:u w:val="none"/>
        </w:rPr>
      </w:pPr>
      <w:r>
        <w:rPr>
          <w:rFonts w:hint="eastAsia"/>
          <w:b/>
          <w:bCs/>
          <w:color w:val="auto"/>
          <w:sz w:val="24"/>
          <w:szCs w:val="24"/>
          <w:highlight w:val="none"/>
          <w:u w:val="none"/>
        </w:rPr>
        <w:t>八、违约责任</w:t>
      </w:r>
    </w:p>
    <w:p w14:paraId="7768F2BF">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入围供应商无正当理由放弃入围资格或者退出封闭式框架协议的，依照政府采购法等有关法律、行政法规追究法律责任。</w:t>
      </w:r>
    </w:p>
    <w:p w14:paraId="726B1872">
      <w:pPr>
        <w:pageBreakBefore w:val="0"/>
        <w:wordWrap w:val="0"/>
        <w:overflowPunct/>
        <w:bidi w:val="0"/>
        <w:spacing w:line="360" w:lineRule="auto"/>
        <w:ind w:firstLine="480" w:firstLineChars="200"/>
        <w:rPr>
          <w:color w:val="auto"/>
          <w:sz w:val="24"/>
          <w:szCs w:val="24"/>
          <w:highlight w:val="none"/>
          <w:u w:val="none"/>
        </w:rPr>
      </w:pPr>
      <w:r>
        <w:rPr>
          <w:rFonts w:hint="eastAsia"/>
          <w:color w:val="auto"/>
          <w:sz w:val="24"/>
          <w:szCs w:val="24"/>
          <w:highlight w:val="none"/>
          <w:u w:val="none"/>
        </w:rPr>
        <w:t>甲乙双方应遵守法律法规和本合同规定，否则，将承担相应的法律责任。因违约造成经济损失的，由违约方承担。</w:t>
      </w:r>
    </w:p>
    <w:p w14:paraId="67D067A8">
      <w:pPr>
        <w:pageBreakBefore w:val="0"/>
        <w:wordWrap w:val="0"/>
        <w:overflowPunct/>
        <w:bidi w:val="0"/>
        <w:spacing w:line="360" w:lineRule="auto"/>
        <w:ind w:firstLine="482" w:firstLineChars="200"/>
        <w:rPr>
          <w:b/>
          <w:bCs/>
          <w:color w:val="auto"/>
          <w:sz w:val="24"/>
          <w:szCs w:val="24"/>
          <w:highlight w:val="none"/>
          <w:u w:val="none"/>
        </w:rPr>
      </w:pPr>
      <w:r>
        <w:rPr>
          <w:rFonts w:hint="eastAsia"/>
          <w:b/>
          <w:bCs/>
          <w:color w:val="auto"/>
          <w:sz w:val="24"/>
          <w:szCs w:val="24"/>
          <w:highlight w:val="none"/>
          <w:u w:val="none"/>
        </w:rPr>
        <w:t>九、其他</w:t>
      </w:r>
    </w:p>
    <w:p w14:paraId="2DA2330B">
      <w:pPr>
        <w:pageBreakBefore w:val="0"/>
        <w:numPr>
          <w:ilvl w:val="0"/>
          <w:numId w:val="21"/>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 xml:space="preserve">本框架协议一式  </w:t>
      </w:r>
      <w:r>
        <w:rPr>
          <w:rFonts w:hint="eastAsia"/>
          <w:color w:val="auto"/>
          <w:sz w:val="24"/>
          <w:szCs w:val="24"/>
          <w:highlight w:val="none"/>
          <w:u w:val="none"/>
          <w:lang w:val="en-US" w:eastAsia="zh-CN"/>
        </w:rPr>
        <w:t>肆</w:t>
      </w:r>
      <w:r>
        <w:rPr>
          <w:rFonts w:hint="eastAsia"/>
          <w:color w:val="auto"/>
          <w:sz w:val="24"/>
          <w:szCs w:val="24"/>
          <w:highlight w:val="none"/>
          <w:u w:val="none"/>
        </w:rPr>
        <w:t xml:space="preserve">  份，其中，甲方  </w:t>
      </w:r>
      <w:r>
        <w:rPr>
          <w:rFonts w:hint="eastAsia"/>
          <w:color w:val="auto"/>
          <w:sz w:val="24"/>
          <w:szCs w:val="24"/>
          <w:highlight w:val="none"/>
          <w:u w:val="none"/>
          <w:lang w:val="en-US" w:eastAsia="zh-CN"/>
        </w:rPr>
        <w:t>贰</w:t>
      </w:r>
      <w:r>
        <w:rPr>
          <w:rFonts w:hint="eastAsia"/>
          <w:color w:val="auto"/>
          <w:sz w:val="24"/>
          <w:szCs w:val="24"/>
          <w:highlight w:val="none"/>
          <w:u w:val="none"/>
        </w:rPr>
        <w:t xml:space="preserve">  份，乙方  </w:t>
      </w:r>
      <w:r>
        <w:rPr>
          <w:rFonts w:hint="eastAsia"/>
          <w:color w:val="auto"/>
          <w:sz w:val="24"/>
          <w:szCs w:val="24"/>
          <w:highlight w:val="none"/>
          <w:u w:val="none"/>
          <w:lang w:val="en-US" w:eastAsia="zh-CN"/>
        </w:rPr>
        <w:t>贰</w:t>
      </w:r>
      <w:r>
        <w:rPr>
          <w:rFonts w:hint="eastAsia"/>
          <w:color w:val="auto"/>
          <w:sz w:val="24"/>
          <w:szCs w:val="24"/>
          <w:highlight w:val="none"/>
          <w:u w:val="none"/>
        </w:rPr>
        <w:t xml:space="preserve">  份。</w:t>
      </w:r>
    </w:p>
    <w:p w14:paraId="35278F58">
      <w:pPr>
        <w:pageBreakBefore w:val="0"/>
        <w:numPr>
          <w:ilvl w:val="0"/>
          <w:numId w:val="21"/>
        </w:numPr>
        <w:wordWrap w:val="0"/>
        <w:overflowPunct/>
        <w:autoSpaceDE w:val="0"/>
        <w:autoSpaceDN w:val="0"/>
        <w:bidi w:val="0"/>
        <w:adjustRightInd w:val="0"/>
        <w:spacing w:line="360" w:lineRule="auto"/>
        <w:ind w:firstLine="480" w:firstLineChars="200"/>
        <w:rPr>
          <w:color w:val="auto"/>
          <w:sz w:val="24"/>
          <w:szCs w:val="24"/>
          <w:highlight w:val="none"/>
          <w:u w:val="none"/>
        </w:rPr>
      </w:pPr>
      <w:r>
        <w:rPr>
          <w:rFonts w:hint="eastAsia"/>
          <w:color w:val="auto"/>
          <w:sz w:val="24"/>
          <w:szCs w:val="24"/>
          <w:highlight w:val="none"/>
          <w:u w:val="none"/>
        </w:rPr>
        <w:t>本框架协议有效期为    年  月  日至    年  月  日，双方签字盖章后生效。</w:t>
      </w:r>
    </w:p>
    <w:p w14:paraId="4AAF66EC">
      <w:pPr>
        <w:pageBreakBefore w:val="0"/>
        <w:wordWrap w:val="0"/>
        <w:overflowPunct/>
        <w:bidi w:val="0"/>
        <w:spacing w:line="360" w:lineRule="auto"/>
        <w:ind w:firstLine="480" w:firstLineChars="200"/>
        <w:rPr>
          <w:color w:val="auto"/>
          <w:sz w:val="24"/>
          <w:szCs w:val="24"/>
          <w:highlight w:val="none"/>
          <w:u w:val="none"/>
        </w:rPr>
      </w:pPr>
    </w:p>
    <w:tbl>
      <w:tblPr>
        <w:tblStyle w:val="22"/>
        <w:tblW w:w="0" w:type="auto"/>
        <w:tblInd w:w="69" w:type="dxa"/>
        <w:tblLayout w:type="fixed"/>
        <w:tblCellMar>
          <w:top w:w="0" w:type="dxa"/>
          <w:left w:w="108" w:type="dxa"/>
          <w:bottom w:w="0" w:type="dxa"/>
          <w:right w:w="108" w:type="dxa"/>
        </w:tblCellMar>
      </w:tblPr>
      <w:tblGrid>
        <w:gridCol w:w="4450"/>
        <w:gridCol w:w="4734"/>
      </w:tblGrid>
      <w:tr w14:paraId="5DCE14C4">
        <w:trPr>
          <w:trHeight w:val="841" w:hRule="atLeast"/>
        </w:trPr>
        <w:tc>
          <w:tcPr>
            <w:tcW w:w="4450" w:type="dxa"/>
          </w:tcPr>
          <w:p w14:paraId="63118472">
            <w:pPr>
              <w:pageBreakBefore w:val="0"/>
              <w:wordWrap w:val="0"/>
              <w:overflowPunct/>
              <w:bidi w:val="0"/>
              <w:spacing w:line="360" w:lineRule="auto"/>
              <w:rPr>
                <w:color w:val="auto"/>
                <w:sz w:val="24"/>
                <w:szCs w:val="24"/>
                <w:highlight w:val="none"/>
                <w:u w:val="none"/>
              </w:rPr>
            </w:pPr>
            <w:r>
              <w:rPr>
                <w:rFonts w:hint="eastAsia"/>
                <w:color w:val="auto"/>
                <w:sz w:val="24"/>
                <w:szCs w:val="24"/>
                <w:highlight w:val="none"/>
                <w:u w:val="none"/>
              </w:rPr>
              <w:t xml:space="preserve">甲方（盖章）： </w:t>
            </w:r>
          </w:p>
        </w:tc>
        <w:tc>
          <w:tcPr>
            <w:tcW w:w="4734" w:type="dxa"/>
          </w:tcPr>
          <w:p w14:paraId="51DC88B6">
            <w:pPr>
              <w:pageBreakBefore w:val="0"/>
              <w:wordWrap w:val="0"/>
              <w:overflowPunct/>
              <w:bidi w:val="0"/>
              <w:spacing w:line="360" w:lineRule="auto"/>
              <w:rPr>
                <w:color w:val="auto"/>
                <w:sz w:val="24"/>
                <w:szCs w:val="24"/>
                <w:highlight w:val="none"/>
                <w:u w:val="none"/>
              </w:rPr>
            </w:pPr>
            <w:r>
              <w:rPr>
                <w:rFonts w:hint="eastAsia"/>
                <w:color w:val="auto"/>
                <w:sz w:val="24"/>
                <w:szCs w:val="24"/>
                <w:highlight w:val="none"/>
                <w:u w:val="none"/>
              </w:rPr>
              <w:t xml:space="preserve">乙方（盖章）： </w:t>
            </w:r>
          </w:p>
        </w:tc>
      </w:tr>
      <w:tr w14:paraId="00905F2F">
        <w:tblPrEx>
          <w:tblCellMar>
            <w:top w:w="0" w:type="dxa"/>
            <w:left w:w="108" w:type="dxa"/>
            <w:bottom w:w="0" w:type="dxa"/>
            <w:right w:w="108" w:type="dxa"/>
          </w:tblCellMar>
        </w:tblPrEx>
        <w:trPr>
          <w:trHeight w:val="1668" w:hRule="atLeast"/>
        </w:trPr>
        <w:tc>
          <w:tcPr>
            <w:tcW w:w="4450" w:type="dxa"/>
          </w:tcPr>
          <w:p w14:paraId="7D8BDDE1">
            <w:pPr>
              <w:pageBreakBefore w:val="0"/>
              <w:wordWrap w:val="0"/>
              <w:overflowPunct/>
              <w:bidi w:val="0"/>
              <w:spacing w:line="360" w:lineRule="auto"/>
              <w:rPr>
                <w:color w:val="auto"/>
                <w:sz w:val="24"/>
                <w:szCs w:val="24"/>
                <w:highlight w:val="none"/>
                <w:u w:val="none"/>
              </w:rPr>
            </w:pPr>
            <w:r>
              <w:rPr>
                <w:rFonts w:hint="eastAsia"/>
                <w:color w:val="auto"/>
                <w:sz w:val="24"/>
                <w:szCs w:val="24"/>
                <w:highlight w:val="none"/>
                <w:u w:val="none"/>
              </w:rPr>
              <w:t>法定代表人或授权代理人（签字或盖章）：</w:t>
            </w:r>
          </w:p>
        </w:tc>
        <w:tc>
          <w:tcPr>
            <w:tcW w:w="4734" w:type="dxa"/>
          </w:tcPr>
          <w:p w14:paraId="0979B0D1">
            <w:pPr>
              <w:pageBreakBefore w:val="0"/>
              <w:wordWrap w:val="0"/>
              <w:overflowPunct/>
              <w:bidi w:val="0"/>
              <w:spacing w:line="360" w:lineRule="auto"/>
              <w:rPr>
                <w:color w:val="auto"/>
                <w:sz w:val="24"/>
                <w:szCs w:val="24"/>
                <w:highlight w:val="none"/>
                <w:u w:val="none"/>
              </w:rPr>
            </w:pPr>
            <w:r>
              <w:rPr>
                <w:rFonts w:hint="eastAsia"/>
                <w:color w:val="auto"/>
                <w:sz w:val="24"/>
                <w:szCs w:val="24"/>
                <w:highlight w:val="none"/>
                <w:u w:val="none"/>
              </w:rPr>
              <w:t>法定代表人或授权代理人（签字或盖章）：</w:t>
            </w:r>
          </w:p>
        </w:tc>
      </w:tr>
    </w:tbl>
    <w:p w14:paraId="5E2D9B6E">
      <w:pPr>
        <w:pageBreakBefore w:val="0"/>
        <w:wordWrap w:val="0"/>
        <w:overflowPunct/>
        <w:bidi w:val="0"/>
        <w:rPr>
          <w:color w:val="auto"/>
          <w:highlight w:val="none"/>
          <w:u w:val="none"/>
        </w:rPr>
      </w:pPr>
    </w:p>
    <w:p w14:paraId="181DEE33">
      <w:pPr>
        <w:pageBreakBefore w:val="0"/>
        <w:wordWrap w:val="0"/>
        <w:overflowPunct/>
        <w:bidi w:val="0"/>
        <w:spacing w:line="360" w:lineRule="auto"/>
        <w:ind w:firstLine="420" w:firstLineChars="200"/>
        <w:rPr>
          <w:color w:val="auto"/>
          <w:szCs w:val="21"/>
          <w:highlight w:val="none"/>
          <w:u w:val="none"/>
        </w:rPr>
      </w:pPr>
      <w:r>
        <w:rPr>
          <w:rFonts w:hint="eastAsia"/>
          <w:color w:val="auto"/>
          <w:szCs w:val="21"/>
          <w:highlight w:val="none"/>
          <w:u w:val="none"/>
        </w:rPr>
        <w:t xml:space="preserve">          </w:t>
      </w:r>
    </w:p>
    <w:p w14:paraId="5A92D8EC">
      <w:pPr>
        <w:pageBreakBefore w:val="0"/>
        <w:wordWrap w:val="0"/>
        <w:overflowPunct/>
        <w:bidi w:val="0"/>
        <w:spacing w:line="360" w:lineRule="auto"/>
        <w:ind w:firstLine="420" w:firstLineChars="200"/>
        <w:rPr>
          <w:color w:val="auto"/>
          <w:szCs w:val="21"/>
          <w:highlight w:val="none"/>
          <w:u w:val="none"/>
        </w:rPr>
      </w:pPr>
      <w:r>
        <w:rPr>
          <w:rFonts w:hint="eastAsia"/>
          <w:color w:val="auto"/>
          <w:szCs w:val="21"/>
          <w:highlight w:val="none"/>
          <w:u w:val="none"/>
        </w:rPr>
        <w:t xml:space="preserve">          </w:t>
      </w:r>
    </w:p>
    <w:p w14:paraId="598EADA5">
      <w:pPr>
        <w:keepNext/>
        <w:keepLines/>
        <w:pageBreakBefore w:val="0"/>
        <w:wordWrap w:val="0"/>
        <w:overflowPunct/>
        <w:bidi w:val="0"/>
        <w:spacing w:line="360" w:lineRule="auto"/>
        <w:jc w:val="center"/>
        <w:outlineLvl w:val="0"/>
        <w:rPr>
          <w:rStyle w:val="38"/>
          <w:rFonts w:hint="eastAsia" w:ascii="宋体" w:hAnsi="宋体" w:eastAsia="宋体" w:cs="宋体"/>
          <w:color w:val="auto"/>
          <w:szCs w:val="22"/>
          <w:highlight w:val="none"/>
          <w:u w:val="none"/>
          <w:lang w:eastAsia="zh-CN"/>
        </w:rPr>
      </w:pPr>
      <w:r>
        <w:rPr>
          <w:rFonts w:hint="eastAsia"/>
          <w:color w:val="auto"/>
          <w:szCs w:val="21"/>
          <w:highlight w:val="none"/>
          <w:u w:val="none"/>
        </w:rPr>
        <w:br w:type="page"/>
      </w:r>
      <w:bookmarkStart w:id="750" w:name="_Toc108379375"/>
      <w:bookmarkStart w:id="751" w:name="_Toc22227"/>
      <w:bookmarkStart w:id="752" w:name="_Toc4278"/>
      <w:r>
        <w:rPr>
          <w:rStyle w:val="38"/>
          <w:rFonts w:hint="eastAsia" w:ascii="宋体" w:hAnsi="宋体" w:cs="宋体"/>
          <w:color w:val="auto"/>
          <w:szCs w:val="22"/>
          <w:highlight w:val="none"/>
          <w:u w:val="none"/>
        </w:rPr>
        <w:t xml:space="preserve">第五章  </w:t>
      </w:r>
      <w:bookmarkEnd w:id="750"/>
      <w:bookmarkEnd w:id="751"/>
      <w:bookmarkEnd w:id="752"/>
      <w:r>
        <w:rPr>
          <w:rStyle w:val="38"/>
          <w:rFonts w:hint="eastAsia" w:cs="宋体"/>
          <w:color w:val="auto"/>
          <w:szCs w:val="22"/>
          <w:highlight w:val="none"/>
          <w:u w:val="none"/>
          <w:lang w:eastAsia="zh-CN"/>
        </w:rPr>
        <w:t>服务要求</w:t>
      </w:r>
    </w:p>
    <w:tbl>
      <w:tblPr>
        <w:tblStyle w:val="22"/>
        <w:tblpPr w:leftFromText="180" w:rightFromText="180" w:vertAnchor="text" w:horzAnchor="page" w:tblpX="1508" w:tblpY="243"/>
        <w:tblOverlap w:val="never"/>
        <w:tblW w:w="87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8"/>
        <w:gridCol w:w="2391"/>
        <w:gridCol w:w="5050"/>
      </w:tblGrid>
      <w:tr w14:paraId="772C0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E8F6">
            <w:pPr>
              <w:keepNext w:val="0"/>
              <w:keepLines w:val="0"/>
              <w:widowControl/>
              <w:suppressLineNumbers w:val="0"/>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序号</w:t>
            </w:r>
          </w:p>
        </w:tc>
        <w:tc>
          <w:tcPr>
            <w:tcW w:w="2391" w:type="dxa"/>
            <w:tcBorders>
              <w:top w:val="single" w:color="000000" w:sz="4" w:space="0"/>
              <w:left w:val="nil"/>
              <w:bottom w:val="single" w:color="000000" w:sz="4" w:space="0"/>
              <w:right w:val="single" w:color="000000" w:sz="4" w:space="0"/>
            </w:tcBorders>
            <w:shd w:val="clear" w:color="auto" w:fill="auto"/>
            <w:noWrap/>
            <w:vAlign w:val="center"/>
          </w:tcPr>
          <w:p w14:paraId="0E5FD4A9">
            <w:pPr>
              <w:keepNext w:val="0"/>
              <w:keepLines w:val="0"/>
              <w:widowControl/>
              <w:suppressLineNumbers w:val="0"/>
              <w:jc w:val="center"/>
              <w:textAlignment w:val="center"/>
              <w:rPr>
                <w:rFonts w:hint="eastAsia" w:ascii="宋体" w:hAnsi="宋体" w:eastAsia="宋体" w:cs="宋体"/>
                <w:i w:val="0"/>
                <w:iCs w:val="0"/>
                <w:color w:val="auto"/>
                <w:sz w:val="28"/>
                <w:szCs w:val="28"/>
                <w:highlight w:val="none"/>
                <w:u w:val="none"/>
              </w:rPr>
            </w:pPr>
            <w:r>
              <w:rPr>
                <w:rFonts w:hint="eastAsia" w:cs="宋体"/>
                <w:i w:val="0"/>
                <w:iCs w:val="0"/>
                <w:color w:val="auto"/>
                <w:kern w:val="0"/>
                <w:sz w:val="28"/>
                <w:szCs w:val="28"/>
                <w:highlight w:val="none"/>
                <w:u w:val="none"/>
                <w:lang w:val="en-US" w:eastAsia="zh-CN" w:bidi="ar"/>
              </w:rPr>
              <w:t>内容</w:t>
            </w:r>
          </w:p>
        </w:tc>
        <w:tc>
          <w:tcPr>
            <w:tcW w:w="5050" w:type="dxa"/>
            <w:tcBorders>
              <w:top w:val="single" w:color="000000" w:sz="4" w:space="0"/>
              <w:left w:val="nil"/>
              <w:bottom w:val="nil"/>
              <w:right w:val="single" w:color="000000" w:sz="4" w:space="0"/>
            </w:tcBorders>
            <w:shd w:val="clear" w:color="auto" w:fill="auto"/>
            <w:noWrap/>
            <w:vAlign w:val="center"/>
          </w:tcPr>
          <w:p w14:paraId="0C0682D4">
            <w:pPr>
              <w:keepNext w:val="0"/>
              <w:keepLines w:val="0"/>
              <w:widowControl/>
              <w:suppressLineNumbers w:val="0"/>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要求</w:t>
            </w:r>
          </w:p>
        </w:tc>
      </w:tr>
      <w:tr w14:paraId="645EA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6" w:hRule="atLeast"/>
        </w:trPr>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18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391" w:type="dxa"/>
            <w:tcBorders>
              <w:top w:val="single" w:color="000000" w:sz="4" w:space="0"/>
              <w:left w:val="nil"/>
              <w:bottom w:val="single" w:color="000000" w:sz="4" w:space="0"/>
              <w:right w:val="single" w:color="000000" w:sz="4" w:space="0"/>
            </w:tcBorders>
            <w:shd w:val="clear" w:color="auto" w:fill="auto"/>
            <w:noWrap/>
            <w:vAlign w:val="center"/>
          </w:tcPr>
          <w:p w14:paraId="0088BB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一标</w:t>
            </w:r>
            <w:r>
              <w:rPr>
                <w:rFonts w:hint="eastAsia" w:cs="宋体"/>
                <w:i w:val="0"/>
                <w:iCs w:val="0"/>
                <w:color w:val="auto"/>
                <w:kern w:val="0"/>
                <w:sz w:val="24"/>
                <w:szCs w:val="24"/>
                <w:highlight w:val="none"/>
                <w:u w:val="none"/>
                <w:lang w:val="en-US" w:eastAsia="zh-CN" w:bidi="ar"/>
              </w:rPr>
              <w:t>段</w:t>
            </w:r>
            <w:r>
              <w:rPr>
                <w:rFonts w:hint="eastAsia" w:ascii="宋体" w:hAnsi="宋体" w:eastAsia="宋体" w:cs="宋体"/>
                <w:i w:val="0"/>
                <w:iCs w:val="0"/>
                <w:color w:val="auto"/>
                <w:kern w:val="0"/>
                <w:sz w:val="24"/>
                <w:szCs w:val="24"/>
                <w:highlight w:val="none"/>
                <w:u w:val="none"/>
                <w:lang w:val="en-US" w:eastAsia="zh-CN" w:bidi="ar"/>
              </w:rPr>
              <w:t>-车辆维修</w:t>
            </w:r>
            <w:r>
              <w:rPr>
                <w:rFonts w:hint="eastAsia" w:cs="宋体"/>
                <w:i w:val="0"/>
                <w:iCs w:val="0"/>
                <w:color w:val="auto"/>
                <w:kern w:val="0"/>
                <w:sz w:val="24"/>
                <w:szCs w:val="24"/>
                <w:highlight w:val="none"/>
                <w:u w:val="none"/>
                <w:lang w:val="en-US" w:eastAsia="zh-CN" w:bidi="ar"/>
              </w:rPr>
              <w:t>保养</w:t>
            </w:r>
          </w:p>
        </w:tc>
        <w:tc>
          <w:tcPr>
            <w:tcW w:w="5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DF6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正厂产品，质量质保保证，市场同比优惠，优先服务</w:t>
            </w:r>
          </w:p>
        </w:tc>
      </w:tr>
      <w:tr w14:paraId="2A38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2" w:hRule="atLeast"/>
        </w:trPr>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FD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cs="宋体"/>
                <w:i w:val="0"/>
                <w:iCs w:val="0"/>
                <w:color w:val="auto"/>
                <w:kern w:val="0"/>
                <w:sz w:val="21"/>
                <w:szCs w:val="21"/>
                <w:highlight w:val="none"/>
                <w:u w:val="none"/>
                <w:lang w:val="en-US" w:eastAsia="zh-CN" w:bidi="ar"/>
              </w:rPr>
              <w:t>2</w:t>
            </w:r>
          </w:p>
        </w:tc>
        <w:tc>
          <w:tcPr>
            <w:tcW w:w="2391" w:type="dxa"/>
            <w:tcBorders>
              <w:top w:val="single" w:color="000000" w:sz="4" w:space="0"/>
              <w:left w:val="nil"/>
              <w:bottom w:val="single" w:color="000000" w:sz="4" w:space="0"/>
              <w:right w:val="single" w:color="000000" w:sz="4" w:space="0"/>
            </w:tcBorders>
            <w:shd w:val="clear" w:color="auto" w:fill="auto"/>
            <w:noWrap/>
            <w:vAlign w:val="center"/>
          </w:tcPr>
          <w:p w14:paraId="4F3B42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cs="宋体"/>
                <w:i w:val="0"/>
                <w:iCs w:val="0"/>
                <w:color w:val="auto"/>
                <w:kern w:val="0"/>
                <w:sz w:val="24"/>
                <w:szCs w:val="24"/>
                <w:highlight w:val="none"/>
                <w:u w:val="none"/>
                <w:lang w:val="en-US" w:eastAsia="zh-CN" w:bidi="ar"/>
              </w:rPr>
              <w:t>二</w:t>
            </w:r>
            <w:r>
              <w:rPr>
                <w:rFonts w:hint="eastAsia" w:ascii="宋体" w:hAnsi="宋体" w:eastAsia="宋体" w:cs="宋体"/>
                <w:i w:val="0"/>
                <w:iCs w:val="0"/>
                <w:color w:val="auto"/>
                <w:kern w:val="0"/>
                <w:sz w:val="24"/>
                <w:szCs w:val="24"/>
                <w:highlight w:val="none"/>
                <w:u w:val="none"/>
                <w:lang w:val="en-US" w:eastAsia="zh-CN" w:bidi="ar"/>
              </w:rPr>
              <w:t>标</w:t>
            </w:r>
            <w:r>
              <w:rPr>
                <w:rFonts w:hint="eastAsia" w:cs="宋体"/>
                <w:i w:val="0"/>
                <w:iCs w:val="0"/>
                <w:color w:val="auto"/>
                <w:kern w:val="0"/>
                <w:sz w:val="24"/>
                <w:szCs w:val="24"/>
                <w:highlight w:val="none"/>
                <w:u w:val="none"/>
                <w:lang w:val="en-US" w:eastAsia="zh-CN" w:bidi="ar"/>
              </w:rPr>
              <w:t>段</w:t>
            </w:r>
            <w:r>
              <w:rPr>
                <w:rFonts w:hint="eastAsia" w:ascii="宋体" w:hAnsi="宋体" w:eastAsia="宋体" w:cs="宋体"/>
                <w:i w:val="0"/>
                <w:iCs w:val="0"/>
                <w:color w:val="auto"/>
                <w:kern w:val="0"/>
                <w:sz w:val="24"/>
                <w:szCs w:val="24"/>
                <w:highlight w:val="none"/>
                <w:u w:val="none"/>
                <w:lang w:val="en-US" w:eastAsia="zh-CN" w:bidi="ar"/>
              </w:rPr>
              <w:t>-车辆租赁服务</w:t>
            </w:r>
          </w:p>
        </w:tc>
        <w:tc>
          <w:tcPr>
            <w:tcW w:w="5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B3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以商务、中大型车为主，运营资质，合法合规，安全保障，服从管理及质量</w:t>
            </w:r>
          </w:p>
        </w:tc>
      </w:tr>
    </w:tbl>
    <w:p w14:paraId="5823DEDB">
      <w:pPr>
        <w:pStyle w:val="20"/>
        <w:pageBreakBefore w:val="0"/>
        <w:wordWrap w:val="0"/>
        <w:overflowPunct/>
        <w:bidi w:val="0"/>
        <w:ind w:firstLine="210"/>
        <w:rPr>
          <w:color w:val="auto"/>
          <w:highlight w:val="none"/>
          <w:u w:val="none"/>
        </w:rPr>
      </w:pPr>
    </w:p>
    <w:p w14:paraId="4EE11D2E">
      <w:pPr>
        <w:pStyle w:val="20"/>
        <w:pageBreakBefore w:val="0"/>
        <w:wordWrap w:val="0"/>
        <w:overflowPunct/>
        <w:bidi w:val="0"/>
        <w:ind w:firstLine="210"/>
        <w:rPr>
          <w:color w:val="auto"/>
          <w:highlight w:val="none"/>
          <w:u w:val="none"/>
        </w:rPr>
      </w:pPr>
    </w:p>
    <w:p w14:paraId="7B0ABBB5">
      <w:pPr>
        <w:pageBreakBefore w:val="0"/>
        <w:wordWrap w:val="0"/>
        <w:overflowPunct/>
        <w:bidi w:val="0"/>
        <w:rPr>
          <w:b/>
          <w:color w:val="auto"/>
          <w:szCs w:val="21"/>
          <w:highlight w:val="none"/>
          <w:u w:val="none"/>
        </w:rPr>
      </w:pPr>
    </w:p>
    <w:p w14:paraId="21A09F28">
      <w:pPr>
        <w:pStyle w:val="20"/>
        <w:pageBreakBefore w:val="0"/>
        <w:wordWrap w:val="0"/>
        <w:overflowPunct/>
        <w:bidi w:val="0"/>
        <w:rPr>
          <w:rFonts w:hint="eastAsia"/>
          <w:b/>
          <w:color w:val="auto"/>
          <w:sz w:val="24"/>
          <w:szCs w:val="24"/>
          <w:highlight w:val="none"/>
          <w:u w:val="none"/>
          <w:lang w:val="en-US" w:eastAsia="zh-CN"/>
        </w:rPr>
      </w:pPr>
      <w:r>
        <w:rPr>
          <w:rFonts w:hint="eastAsia" w:eastAsia="宋体"/>
          <w:b/>
          <w:color w:val="auto"/>
          <w:sz w:val="24"/>
          <w:szCs w:val="24"/>
          <w:highlight w:val="none"/>
          <w:u w:val="none"/>
          <w:lang w:val="en-US" w:eastAsia="zh-CN"/>
        </w:rPr>
        <w:t>一标段-车辆维修保养</w:t>
      </w:r>
      <w:r>
        <w:rPr>
          <w:rFonts w:hint="eastAsia"/>
          <w:b/>
          <w:color w:val="auto"/>
          <w:sz w:val="24"/>
          <w:szCs w:val="24"/>
          <w:highlight w:val="none"/>
          <w:u w:val="none"/>
          <w:lang w:val="en-US" w:eastAsia="zh-CN"/>
        </w:rPr>
        <w:t>服务要求：</w:t>
      </w:r>
    </w:p>
    <w:p w14:paraId="22FBC7C1">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1、乙方须为本项目配备稳定专业维修技术团队，维修人员所持证书工种须与承接维修项目相匹配，实行持证上岗： 机电维修技工不少于1名；电器维修技工不少于 1 名，开展车辆电气系统、新能源汽车高压系统维修作业人员，须持有有效期内低压电工特种作业操作证，或汽车维修电工 / 新能源汽车维修中级及以上职业技能等级证书；（需提供证明材料）</w:t>
      </w:r>
    </w:p>
    <w:p w14:paraId="43242102">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2、乙方不得随意接纳甲方驾驶员检修，必须凭借由甲方领导审批后的车辆维修单方可进行维修。否则发生的维修费用自行负责。</w:t>
      </w:r>
    </w:p>
    <w:p w14:paraId="43A9AE92">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3、</w:t>
      </w:r>
      <w:r>
        <w:rPr>
          <w:rFonts w:hint="eastAsia"/>
          <w:color w:val="auto"/>
          <w:sz w:val="24"/>
          <w:szCs w:val="24"/>
          <w:highlight w:val="none"/>
          <w:lang w:eastAsia="zh-CN"/>
        </w:rPr>
        <w:t>乙方应提供</w:t>
      </w:r>
      <w:r>
        <w:rPr>
          <w:rFonts w:hint="eastAsia"/>
          <w:color w:val="auto"/>
          <w:sz w:val="24"/>
          <w:szCs w:val="24"/>
          <w:highlight w:val="none"/>
          <w:lang w:val="en-US" w:eastAsia="zh-CN"/>
        </w:rPr>
        <w:t>24小时及时</w:t>
      </w:r>
      <w:r>
        <w:rPr>
          <w:rFonts w:hint="eastAsia"/>
          <w:color w:val="auto"/>
          <w:sz w:val="24"/>
          <w:szCs w:val="24"/>
          <w:highlight w:val="none"/>
          <w:lang w:eastAsia="zh-CN"/>
        </w:rPr>
        <w:t>维修、抢修服务（城区免费救援），其服务质量应按照</w:t>
      </w:r>
      <w:r>
        <w:rPr>
          <w:rFonts w:ascii="宋体" w:hAnsi="宋体" w:eastAsia="宋体" w:cs="宋体"/>
          <w:sz w:val="24"/>
          <w:szCs w:val="24"/>
        </w:rPr>
        <w:t>《机动车维修管理规定》</w:t>
      </w:r>
      <w:r>
        <w:rPr>
          <w:rFonts w:hint="eastAsia"/>
          <w:color w:val="auto"/>
          <w:sz w:val="24"/>
          <w:szCs w:val="24"/>
          <w:highlight w:val="none"/>
          <w:lang w:eastAsia="zh-CN"/>
        </w:rPr>
        <w:t>中有关规定和标准执行。</w:t>
      </w:r>
    </w:p>
    <w:p w14:paraId="260069E4">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4、</w:t>
      </w:r>
      <w:r>
        <w:rPr>
          <w:rFonts w:hint="eastAsia"/>
          <w:color w:val="auto"/>
          <w:sz w:val="24"/>
          <w:szCs w:val="24"/>
          <w:highlight w:val="none"/>
          <w:lang w:eastAsia="zh-CN"/>
        </w:rPr>
        <w:t>如甲方车辆在行驶过程中出现故障，经甲方电话通知，乙方必须在第一时间赶到现场进行救援或抢修。</w:t>
      </w:r>
    </w:p>
    <w:p w14:paraId="5616CEEF">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5、</w:t>
      </w:r>
      <w:r>
        <w:rPr>
          <w:rFonts w:hint="eastAsia"/>
          <w:color w:val="auto"/>
          <w:sz w:val="24"/>
          <w:szCs w:val="24"/>
          <w:highlight w:val="none"/>
          <w:lang w:eastAsia="zh-CN"/>
        </w:rPr>
        <w:t>乙方应保证维修所用材料是未使用过的原厂生产的合格正品（如确需使用副厂产品或旧拆车件的，须经甲方同意后方可使用），并完全符合合同规定的质量和性能的要求。</w:t>
      </w:r>
    </w:p>
    <w:p w14:paraId="15B7AA58">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6、</w:t>
      </w:r>
      <w:r>
        <w:rPr>
          <w:rFonts w:hint="eastAsia"/>
          <w:color w:val="auto"/>
          <w:sz w:val="24"/>
          <w:szCs w:val="24"/>
          <w:highlight w:val="none"/>
          <w:lang w:eastAsia="zh-CN"/>
        </w:rPr>
        <w:t>乙方应保证使用的配件材料在正确安装、正常使用和保养条件下，</w:t>
      </w:r>
      <w:r>
        <w:rPr>
          <w:rFonts w:hint="eastAsia"/>
          <w:color w:val="auto"/>
          <w:sz w:val="24"/>
          <w:szCs w:val="24"/>
          <w:highlight w:val="none"/>
          <w:lang w:val="en-US" w:eastAsia="zh-CN"/>
        </w:rPr>
        <w:t>并保证</w:t>
      </w:r>
      <w:r>
        <w:rPr>
          <w:rFonts w:hint="eastAsia"/>
          <w:color w:val="auto"/>
          <w:sz w:val="24"/>
          <w:szCs w:val="24"/>
          <w:highlight w:val="none"/>
          <w:lang w:eastAsia="zh-CN"/>
        </w:rPr>
        <w:t>在其使用寿命期内具有满意的性能，配件大件（如减振、下肢臂、轴承、起动机、发动机、电瓶、压缩机等）质量保证期为</w:t>
      </w:r>
      <w:r>
        <w:rPr>
          <w:rFonts w:hint="eastAsia"/>
          <w:color w:val="auto"/>
          <w:sz w:val="24"/>
          <w:szCs w:val="24"/>
          <w:highlight w:val="none"/>
          <w:lang w:val="en-US" w:eastAsia="zh-CN"/>
        </w:rPr>
        <w:t>6个月，若在保质期内自然情况下存在质量问题，乙方应提供无偿换修</w:t>
      </w:r>
      <w:r>
        <w:rPr>
          <w:rFonts w:hint="eastAsia"/>
          <w:color w:val="auto"/>
          <w:sz w:val="24"/>
          <w:szCs w:val="24"/>
          <w:highlight w:val="none"/>
          <w:lang w:eastAsia="zh-CN"/>
        </w:rPr>
        <w:t>。</w:t>
      </w:r>
    </w:p>
    <w:p w14:paraId="67939FDB">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7、</w:t>
      </w:r>
      <w:r>
        <w:rPr>
          <w:rFonts w:hint="eastAsia"/>
          <w:color w:val="auto"/>
          <w:sz w:val="24"/>
          <w:szCs w:val="24"/>
          <w:highlight w:val="none"/>
          <w:lang w:eastAsia="zh-CN"/>
        </w:rPr>
        <w:t>维修车辆移交甲方后，在质量保证期内，乙方应对由于维修技术、工艺或配件材料的缺陷以及其他由于乙方的原因而发生的任何不足或故障负责，费用由乙方负担。</w:t>
      </w:r>
    </w:p>
    <w:p w14:paraId="41AA1261">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8、</w:t>
      </w:r>
      <w:r>
        <w:rPr>
          <w:rFonts w:hint="eastAsia"/>
          <w:color w:val="auto"/>
          <w:sz w:val="24"/>
          <w:szCs w:val="24"/>
          <w:highlight w:val="none"/>
          <w:lang w:eastAsia="zh-CN"/>
        </w:rPr>
        <w:t>乙方在维修过程中发现其他（维修计划以外）的故障，必须及时将情况反映给甲方，在取得甲方同意后方可继续修理。车辆大修需出具维修情况说明书。</w:t>
      </w:r>
    </w:p>
    <w:p w14:paraId="46AFB55C">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eastAsia="zh-CN"/>
        </w:rPr>
      </w:pPr>
      <w:r>
        <w:rPr>
          <w:rFonts w:hint="eastAsia"/>
          <w:color w:val="auto"/>
          <w:sz w:val="24"/>
          <w:szCs w:val="24"/>
          <w:highlight w:val="none"/>
          <w:lang w:val="en-US" w:eastAsia="zh-CN"/>
        </w:rPr>
        <w:t>9、</w:t>
      </w:r>
      <w:r>
        <w:rPr>
          <w:rFonts w:hint="eastAsia"/>
          <w:color w:val="auto"/>
          <w:sz w:val="24"/>
          <w:szCs w:val="24"/>
          <w:highlight w:val="none"/>
          <w:lang w:eastAsia="zh-CN"/>
        </w:rPr>
        <w:t>对甲方车辆乙方应以修复为主，能不更换的零部件尽量不予更换，确实不能修复或修复不经济的零部件，在征得甲方同意后方可更换。</w:t>
      </w:r>
    </w:p>
    <w:p w14:paraId="1ECD26A5">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10、甲方车辆在乙方维修期间，由于乙方行为造成违法、事故等一切责任由乙方负责。</w:t>
      </w:r>
    </w:p>
    <w:p w14:paraId="2A38C896">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11、甲方车辆在乙方维修,小修不计工时费，大修优惠。</w:t>
      </w:r>
    </w:p>
    <w:p w14:paraId="6239ED12">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二标段-车辆租赁服务要求：</w:t>
      </w:r>
    </w:p>
    <w:p w14:paraId="0286736C">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1、车辆权属要求：乙方提供租赁给甲方使用的车辆须为甲方自有车辆，机动车行驶证、机动车登记证书载明车辆所有人名称与投标人名称完全一致；</w:t>
      </w:r>
      <w:r>
        <w:rPr>
          <w:rFonts w:ascii="宋体" w:hAnsi="宋体" w:eastAsia="宋体" w:cs="宋体"/>
          <w:sz w:val="24"/>
          <w:szCs w:val="24"/>
        </w:rPr>
        <w:t>或投标人持有覆盖全服务周期的完整车辆租赁合同；禁止自然人私人车辆、短期临时转租、权属抵押查封车辆。</w:t>
      </w:r>
      <w:r>
        <w:rPr>
          <w:rFonts w:hint="eastAsia" w:ascii="Times New Roman" w:hAnsi="Times New Roman" w:eastAsia="宋体" w:cs="Times New Roman"/>
          <w:color w:val="auto"/>
          <w:sz w:val="24"/>
          <w:szCs w:val="24"/>
          <w:highlight w:val="none"/>
          <w:lang w:val="en-US" w:eastAsia="zh-CN"/>
        </w:rPr>
        <w:t>投标文件须附拟投入租赁车辆行驶证、机动车登记证书复印件。</w:t>
      </w:r>
    </w:p>
    <w:p w14:paraId="0D857B2A">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w:t>
      </w:r>
      <w:r>
        <w:rPr>
          <w:rFonts w:ascii="宋体" w:hAnsi="宋体" w:eastAsia="宋体" w:cs="宋体"/>
          <w:sz w:val="24"/>
          <w:szCs w:val="24"/>
        </w:rPr>
        <w:t>GPS 定位要求：</w:t>
      </w:r>
      <w:r>
        <w:rPr>
          <w:rFonts w:hint="eastAsia" w:ascii="Times New Roman" w:hAnsi="Times New Roman" w:eastAsia="宋体" w:cs="Times New Roman"/>
          <w:color w:val="auto"/>
          <w:sz w:val="24"/>
          <w:szCs w:val="24"/>
          <w:highlight w:val="none"/>
          <w:lang w:val="en-US" w:eastAsia="zh-CN"/>
        </w:rPr>
        <w:t>全部租赁车辆须安装实时在线 GPS 定位终端，甲方有权查看、调取车辆实时位置及行驶轨迹，实施运行监督。</w:t>
      </w:r>
    </w:p>
    <w:p w14:paraId="6281AEE4">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3、车身标识要求：所有租赁车辆车身按采购人统一规范喷涂公务用车标识，标识制作、喷涂、日常维护费用包含在投标优惠率对应的服务成本内；标识出现破损、褪色，供应商须及时补喷修复。</w:t>
      </w:r>
    </w:p>
    <w:p w14:paraId="77DA468C">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5、甲方拥有补充平台所需车辆的优先调配权；</w:t>
      </w:r>
    </w:p>
    <w:p w14:paraId="34A9B778">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6、乙方负担租赁车辆的保险费（包含强险、商业险）、车船使用税；年度检验、定期保养检修费用；定位安装及使用费；</w:t>
      </w:r>
    </w:p>
    <w:p w14:paraId="67EF1ED1">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 xml:space="preserve">7、甲方有权对乙方车辆的行驶轨迹进行查看、监督 ； </w:t>
      </w:r>
    </w:p>
    <w:p w14:paraId="2C2ED81D">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8、乙方保证提供车辆设施完好，乙方有权监督约束系好安全带等行驶中的安全事项。</w:t>
      </w:r>
    </w:p>
    <w:p w14:paraId="5C4A23D5">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9、乙方在搞好服务期同时，保证车辆各项营运手续齐全有效，乘运人保险客座不低于50万，驾驶员遵守交通规则，规范操作，行车中不超速、不疲劳、不喝酒，安全驾驶。</w:t>
      </w:r>
    </w:p>
    <w:p w14:paraId="184F7C83">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10、因乙方手续不全，违规操作造成的罚款，由乙方承担责任。</w:t>
      </w:r>
    </w:p>
    <w:p w14:paraId="10E08561">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11、根据有关交通规则和公司的管理制度，对用车单程连续行驶在400KM以上,配备双班驾驶员，乙方应无异议。乙方负责乙方乘客安全往返或安全抵达目的地。</w:t>
      </w:r>
    </w:p>
    <w:p w14:paraId="312FF8E6">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 xml:space="preserve">12、乙方向第三方提供救援服务，具体办法执行乙方《救援制度》的规定； </w:t>
      </w:r>
    </w:p>
    <w:p w14:paraId="302CED85">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13、在车辆行驶过程中发生的安全意外，</w:t>
      </w:r>
      <w:r>
        <w:rPr>
          <w:rFonts w:ascii="宋体" w:hAnsi="宋体" w:eastAsia="宋体" w:cs="宋体"/>
          <w:sz w:val="24"/>
          <w:szCs w:val="24"/>
        </w:rPr>
        <w:t>因乙方车辆故障、保险缺失、驾驶员违规、手续不全</w:t>
      </w:r>
      <w:r>
        <w:rPr>
          <w:rFonts w:hint="eastAsia" w:ascii="宋体" w:hAnsi="宋体" w:eastAsia="宋体" w:cs="宋体"/>
          <w:sz w:val="24"/>
          <w:szCs w:val="24"/>
          <w:lang w:val="en-US" w:eastAsia="zh-CN"/>
        </w:rPr>
        <w:t>等</w:t>
      </w:r>
      <w:r>
        <w:rPr>
          <w:rFonts w:ascii="宋体" w:hAnsi="宋体" w:eastAsia="宋体" w:cs="宋体"/>
          <w:sz w:val="24"/>
          <w:szCs w:val="24"/>
        </w:rPr>
        <w:t>引发事故</w:t>
      </w:r>
      <w:r>
        <w:rPr>
          <w:rFonts w:hint="eastAsia" w:ascii="宋体" w:hAnsi="宋体" w:eastAsia="宋体" w:cs="宋体"/>
          <w:sz w:val="24"/>
          <w:szCs w:val="24"/>
          <w:lang w:eastAsia="zh-CN"/>
        </w:rPr>
        <w:t>，</w:t>
      </w:r>
      <w:r>
        <w:rPr>
          <w:rFonts w:hint="eastAsia"/>
          <w:color w:val="auto"/>
          <w:sz w:val="24"/>
          <w:szCs w:val="24"/>
          <w:highlight w:val="none"/>
          <w:lang w:val="en-US" w:eastAsia="zh-CN"/>
        </w:rPr>
        <w:t>由乙方承担责任；在考察点因其它情况发生的意外，乙方不负责任。</w:t>
      </w:r>
    </w:p>
    <w:p w14:paraId="5F61DB6A">
      <w:pPr>
        <w:pStyle w:val="21"/>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color w:val="auto"/>
          <w:sz w:val="24"/>
          <w:szCs w:val="24"/>
          <w:highlight w:val="none"/>
          <w:lang w:val="en-US" w:eastAsia="zh-CN"/>
        </w:rPr>
      </w:pPr>
    </w:p>
    <w:p w14:paraId="0F5E5849">
      <w:pPr>
        <w:pStyle w:val="21"/>
        <w:ind w:left="0" w:leftChars="0" w:firstLine="0" w:firstLineChars="0"/>
        <w:rPr>
          <w:rFonts w:hint="eastAsia"/>
          <w:color w:val="auto"/>
          <w:highlight w:val="none"/>
          <w:lang w:eastAsia="zh-CN"/>
        </w:rPr>
      </w:pPr>
    </w:p>
    <w:p w14:paraId="6F68085B">
      <w:pPr>
        <w:pageBreakBefore w:val="0"/>
        <w:wordWrap w:val="0"/>
        <w:overflowPunct/>
        <w:bidi w:val="0"/>
        <w:rPr>
          <w:b/>
          <w:color w:val="auto"/>
          <w:szCs w:val="21"/>
          <w:highlight w:val="none"/>
          <w:u w:val="none"/>
        </w:rPr>
      </w:pPr>
    </w:p>
    <w:p w14:paraId="6209FFC7">
      <w:pPr>
        <w:rPr>
          <w:rFonts w:hint="default" w:ascii="Arial" w:hAnsi="Arial" w:eastAsia="黑体" w:cs="宋体"/>
          <w:b/>
          <w:bCs/>
          <w:i w:val="0"/>
          <w:color w:val="auto"/>
          <w:kern w:val="44"/>
          <w:sz w:val="32"/>
          <w:szCs w:val="32"/>
          <w:lang w:val="en-US" w:eastAsia="zh-CN" w:bidi="ar-SA"/>
        </w:rPr>
      </w:pPr>
      <w:bookmarkStart w:id="753" w:name="_Toc108379376"/>
      <w:bookmarkStart w:id="754" w:name="_Toc20769"/>
      <w:bookmarkStart w:id="755" w:name="_Toc16039"/>
      <w:r>
        <w:rPr>
          <w:rFonts w:hint="default" w:ascii="Arial" w:hAnsi="Arial" w:eastAsia="黑体" w:cs="宋体"/>
          <w:b/>
          <w:bCs/>
          <w:i w:val="0"/>
          <w:color w:val="auto"/>
          <w:kern w:val="44"/>
          <w:sz w:val="32"/>
          <w:szCs w:val="32"/>
          <w:lang w:val="en-US" w:eastAsia="zh-CN" w:bidi="ar-SA"/>
        </w:rPr>
        <w:br w:type="page"/>
      </w:r>
    </w:p>
    <w:p w14:paraId="4CED44A3">
      <w:pPr>
        <w:pStyle w:val="3"/>
        <w:pageBreakBefore w:val="0"/>
        <w:numPr>
          <w:ilvl w:val="0"/>
          <w:numId w:val="0"/>
        </w:numPr>
        <w:tabs>
          <w:tab w:val="clear" w:pos="0"/>
        </w:tabs>
        <w:wordWrap w:val="0"/>
        <w:overflowPunct/>
        <w:bidi w:val="0"/>
        <w:spacing w:line="360" w:lineRule="auto"/>
        <w:ind w:left="0" w:leftChars="0" w:firstLine="0" w:firstLineChars="0"/>
        <w:jc w:val="center"/>
        <w:rPr>
          <w:rFonts w:ascii="宋体" w:hAnsi="宋体" w:cs="宋体"/>
          <w:color w:val="auto"/>
          <w:szCs w:val="32"/>
          <w:highlight w:val="none"/>
          <w:u w:val="none"/>
        </w:rPr>
      </w:pPr>
      <w:r>
        <w:rPr>
          <w:rFonts w:hint="default" w:ascii="Arial" w:hAnsi="Arial" w:eastAsia="黑体" w:cs="宋体"/>
          <w:b/>
          <w:bCs/>
          <w:i w:val="0"/>
          <w:color w:val="auto"/>
          <w:kern w:val="44"/>
          <w:sz w:val="32"/>
          <w:szCs w:val="32"/>
          <w:lang w:val="en-US" w:eastAsia="zh-CN" w:bidi="ar-SA"/>
        </w:rPr>
        <w:t xml:space="preserve"> </w:t>
      </w:r>
      <w:r>
        <w:rPr>
          <w:rFonts w:hint="eastAsia" w:ascii="宋体" w:hAnsi="宋体" w:cs="宋体"/>
          <w:color w:val="auto"/>
          <w:szCs w:val="32"/>
          <w:highlight w:val="none"/>
          <w:u w:val="none"/>
        </w:rPr>
        <w:t>第六章  响应文件格式</w:t>
      </w:r>
      <w:bookmarkEnd w:id="753"/>
      <w:bookmarkEnd w:id="754"/>
      <w:bookmarkEnd w:id="755"/>
    </w:p>
    <w:p w14:paraId="7BE97291">
      <w:pPr>
        <w:pageBreakBefore w:val="0"/>
        <w:wordWrap w:val="0"/>
        <w:overflowPunct/>
        <w:bidi w:val="0"/>
        <w:rPr>
          <w:color w:val="auto"/>
          <w:highlight w:val="none"/>
          <w:u w:val="none"/>
        </w:rPr>
      </w:pPr>
    </w:p>
    <w:p w14:paraId="7A7F0409">
      <w:pPr>
        <w:pStyle w:val="11"/>
        <w:pageBreakBefore w:val="0"/>
        <w:wordWrap w:val="0"/>
        <w:overflowPunct/>
        <w:bidi w:val="0"/>
        <w:spacing w:line="360" w:lineRule="auto"/>
        <w:jc w:val="center"/>
        <w:rPr>
          <w:rFonts w:hAnsi="宋体" w:cs="宋体"/>
          <w:b/>
          <w:color w:val="auto"/>
          <w:sz w:val="52"/>
          <w:szCs w:val="52"/>
          <w:highlight w:val="none"/>
          <w:u w:val="none"/>
        </w:rPr>
      </w:pPr>
    </w:p>
    <w:p w14:paraId="009F40FE">
      <w:pPr>
        <w:pStyle w:val="11"/>
        <w:pageBreakBefore w:val="0"/>
        <w:wordWrap w:val="0"/>
        <w:overflowPunct/>
        <w:bidi w:val="0"/>
        <w:spacing w:line="360" w:lineRule="auto"/>
        <w:jc w:val="center"/>
        <w:rPr>
          <w:rFonts w:hint="eastAsia" w:hAnsi="宋体" w:cs="宋体"/>
          <w:b/>
          <w:color w:val="auto"/>
          <w:sz w:val="44"/>
          <w:szCs w:val="44"/>
          <w:highlight w:val="none"/>
          <w:u w:val="none"/>
          <w:lang w:eastAsia="zh-CN"/>
        </w:rPr>
      </w:pPr>
      <w:r>
        <w:rPr>
          <w:rFonts w:hint="eastAsia" w:hAnsi="宋体" w:cs="宋体"/>
          <w:b/>
          <w:color w:val="auto"/>
          <w:sz w:val="44"/>
          <w:szCs w:val="44"/>
          <w:highlight w:val="none"/>
          <w:u w:val="none"/>
        </w:rPr>
        <w:t xml:space="preserve">        </w:t>
      </w:r>
      <w:r>
        <w:rPr>
          <w:rFonts w:hint="eastAsia" w:hAnsi="宋体" w:cs="宋体"/>
          <w:b/>
          <w:color w:val="auto"/>
          <w:sz w:val="44"/>
          <w:szCs w:val="44"/>
          <w:highlight w:val="none"/>
          <w:u w:val="single"/>
        </w:rPr>
        <w:t xml:space="preserve">            </w:t>
      </w:r>
      <w:r>
        <w:rPr>
          <w:rFonts w:hint="eastAsia" w:hAnsi="宋体" w:cs="宋体"/>
          <w:b/>
          <w:color w:val="auto"/>
          <w:sz w:val="44"/>
          <w:szCs w:val="44"/>
          <w:highlight w:val="none"/>
          <w:u w:val="single"/>
          <w:lang w:eastAsia="zh-CN"/>
        </w:rPr>
        <w:t>（</w:t>
      </w:r>
      <w:r>
        <w:rPr>
          <w:rFonts w:hint="eastAsia" w:hAnsi="宋体" w:cs="宋体"/>
          <w:b/>
          <w:color w:val="auto"/>
          <w:sz w:val="44"/>
          <w:szCs w:val="44"/>
          <w:highlight w:val="none"/>
          <w:u w:val="none"/>
        </w:rPr>
        <w:t>项目</w:t>
      </w:r>
      <w:r>
        <w:rPr>
          <w:rFonts w:hint="eastAsia" w:hAnsi="宋体" w:cs="宋体"/>
          <w:b/>
          <w:color w:val="auto"/>
          <w:sz w:val="44"/>
          <w:szCs w:val="44"/>
          <w:highlight w:val="none"/>
          <w:u w:val="none"/>
          <w:lang w:eastAsia="zh-CN"/>
        </w:rPr>
        <w:t>名称）</w:t>
      </w:r>
    </w:p>
    <w:p w14:paraId="2C8BB6AA">
      <w:pPr>
        <w:pStyle w:val="12"/>
        <w:rPr>
          <w:rFonts w:hint="eastAsia"/>
          <w:color w:val="auto"/>
          <w:highlight w:val="none"/>
          <w:lang w:eastAsia="zh-CN"/>
        </w:rPr>
      </w:pPr>
      <w:r>
        <w:rPr>
          <w:rFonts w:hint="eastAsia" w:cs="宋体"/>
          <w:b/>
          <w:color w:val="auto"/>
          <w:sz w:val="44"/>
          <w:szCs w:val="44"/>
          <w:highlight w:val="none"/>
          <w:u w:val="none"/>
          <w:lang w:eastAsia="zh-CN"/>
        </w:rPr>
        <w:t>（</w:t>
      </w:r>
      <w:r>
        <w:rPr>
          <w:rFonts w:hint="eastAsia" w:cs="宋体"/>
          <w:b/>
          <w:color w:val="auto"/>
          <w:sz w:val="44"/>
          <w:szCs w:val="44"/>
          <w:highlight w:val="none"/>
          <w:u w:val="none"/>
          <w:lang w:val="en-US" w:eastAsia="zh-CN"/>
        </w:rPr>
        <w:t xml:space="preserve">            </w:t>
      </w:r>
      <w:r>
        <w:rPr>
          <w:rFonts w:hint="eastAsia" w:cs="宋体"/>
          <w:b/>
          <w:color w:val="auto"/>
          <w:sz w:val="44"/>
          <w:szCs w:val="44"/>
          <w:highlight w:val="none"/>
          <w:u w:val="none"/>
          <w:lang w:eastAsia="zh-CN"/>
        </w:rPr>
        <w:t>）标段</w:t>
      </w:r>
    </w:p>
    <w:p w14:paraId="0D694E34">
      <w:pPr>
        <w:pStyle w:val="11"/>
        <w:pageBreakBefore w:val="0"/>
        <w:wordWrap w:val="0"/>
        <w:overflowPunct/>
        <w:bidi w:val="0"/>
        <w:spacing w:line="360" w:lineRule="auto"/>
        <w:jc w:val="center"/>
        <w:rPr>
          <w:rFonts w:hAnsi="宋体" w:cs="宋体"/>
          <w:b/>
          <w:bCs/>
          <w:color w:val="auto"/>
          <w:sz w:val="84"/>
          <w:szCs w:val="84"/>
          <w:highlight w:val="none"/>
          <w:u w:val="none"/>
        </w:rPr>
      </w:pPr>
      <w:r>
        <w:rPr>
          <w:rFonts w:hint="eastAsia" w:hAnsi="宋体" w:cs="宋体"/>
          <w:b/>
          <w:bCs/>
          <w:color w:val="auto"/>
          <w:sz w:val="84"/>
          <w:szCs w:val="84"/>
          <w:highlight w:val="none"/>
          <w:u w:val="none"/>
        </w:rPr>
        <w:t>响应文件</w:t>
      </w:r>
    </w:p>
    <w:p w14:paraId="535454BB">
      <w:pPr>
        <w:pStyle w:val="11"/>
        <w:pageBreakBefore w:val="0"/>
        <w:wordWrap w:val="0"/>
        <w:overflowPunct/>
        <w:bidi w:val="0"/>
        <w:spacing w:line="360" w:lineRule="auto"/>
        <w:jc w:val="center"/>
        <w:rPr>
          <w:rFonts w:hAnsi="宋体" w:cs="宋体"/>
          <w:bCs/>
          <w:color w:val="auto"/>
          <w:sz w:val="28"/>
          <w:szCs w:val="28"/>
          <w:highlight w:val="none"/>
          <w:u w:val="none"/>
        </w:rPr>
      </w:pPr>
      <w:r>
        <w:rPr>
          <w:rFonts w:hint="eastAsia" w:hAnsi="宋体" w:cs="宋体"/>
          <w:color w:val="auto"/>
          <w:sz w:val="28"/>
          <w:szCs w:val="28"/>
          <w:highlight w:val="none"/>
          <w:u w:val="none"/>
        </w:rPr>
        <w:t>项目编号：</w:t>
      </w:r>
    </w:p>
    <w:p w14:paraId="1F8FB6FD">
      <w:pPr>
        <w:pStyle w:val="11"/>
        <w:pageBreakBefore w:val="0"/>
        <w:wordWrap w:val="0"/>
        <w:overflowPunct/>
        <w:bidi w:val="0"/>
        <w:spacing w:line="360" w:lineRule="auto"/>
        <w:jc w:val="center"/>
        <w:rPr>
          <w:rFonts w:hAnsi="宋体" w:cs="宋体"/>
          <w:bCs/>
          <w:color w:val="auto"/>
          <w:sz w:val="32"/>
          <w:highlight w:val="none"/>
          <w:u w:val="none"/>
        </w:rPr>
      </w:pPr>
    </w:p>
    <w:p w14:paraId="4F7AA41A">
      <w:pPr>
        <w:pStyle w:val="11"/>
        <w:pageBreakBefore w:val="0"/>
        <w:wordWrap w:val="0"/>
        <w:overflowPunct/>
        <w:bidi w:val="0"/>
        <w:spacing w:line="360" w:lineRule="auto"/>
        <w:jc w:val="center"/>
        <w:rPr>
          <w:rFonts w:hAnsi="宋体" w:cs="宋体"/>
          <w:b/>
          <w:bCs/>
          <w:color w:val="auto"/>
          <w:sz w:val="32"/>
          <w:highlight w:val="none"/>
          <w:u w:val="none"/>
        </w:rPr>
      </w:pPr>
    </w:p>
    <w:p w14:paraId="39AB55AF">
      <w:pPr>
        <w:pStyle w:val="11"/>
        <w:pageBreakBefore w:val="0"/>
        <w:wordWrap w:val="0"/>
        <w:overflowPunct/>
        <w:bidi w:val="0"/>
        <w:spacing w:line="360" w:lineRule="auto"/>
        <w:rPr>
          <w:rFonts w:hAnsi="宋体" w:cs="宋体"/>
          <w:b/>
          <w:bCs/>
          <w:color w:val="auto"/>
          <w:sz w:val="32"/>
          <w:highlight w:val="none"/>
          <w:u w:val="none"/>
        </w:rPr>
      </w:pPr>
    </w:p>
    <w:p w14:paraId="37AA72C6">
      <w:pPr>
        <w:pStyle w:val="11"/>
        <w:pageBreakBefore w:val="0"/>
        <w:wordWrap w:val="0"/>
        <w:overflowPunct/>
        <w:bidi w:val="0"/>
        <w:spacing w:line="360" w:lineRule="auto"/>
        <w:rPr>
          <w:rFonts w:hAnsi="宋体" w:cs="宋体"/>
          <w:b/>
          <w:bCs/>
          <w:color w:val="auto"/>
          <w:sz w:val="32"/>
          <w:highlight w:val="none"/>
          <w:u w:val="none"/>
        </w:rPr>
      </w:pPr>
    </w:p>
    <w:p w14:paraId="3E387BED">
      <w:pPr>
        <w:pStyle w:val="11"/>
        <w:pageBreakBefore w:val="0"/>
        <w:wordWrap w:val="0"/>
        <w:overflowPunct/>
        <w:bidi w:val="0"/>
        <w:spacing w:line="360" w:lineRule="auto"/>
        <w:rPr>
          <w:rFonts w:hAnsi="宋体" w:cs="宋体"/>
          <w:b/>
          <w:bCs/>
          <w:color w:val="auto"/>
          <w:sz w:val="32"/>
          <w:highlight w:val="none"/>
          <w:u w:val="none"/>
        </w:rPr>
      </w:pPr>
    </w:p>
    <w:p w14:paraId="616755B7">
      <w:pPr>
        <w:pStyle w:val="11"/>
        <w:pageBreakBefore w:val="0"/>
        <w:wordWrap w:val="0"/>
        <w:overflowPunct/>
        <w:bidi w:val="0"/>
        <w:spacing w:line="360" w:lineRule="auto"/>
        <w:jc w:val="center"/>
        <w:rPr>
          <w:rFonts w:hAnsi="宋体" w:cs="宋体"/>
          <w:b/>
          <w:bCs/>
          <w:color w:val="auto"/>
          <w:sz w:val="30"/>
          <w:szCs w:val="30"/>
          <w:highlight w:val="none"/>
          <w:u w:val="none"/>
        </w:rPr>
      </w:pPr>
    </w:p>
    <w:p w14:paraId="0F6DD9EB">
      <w:pPr>
        <w:pStyle w:val="11"/>
        <w:pageBreakBefore w:val="0"/>
        <w:wordWrap w:val="0"/>
        <w:overflowPunct/>
        <w:bidi w:val="0"/>
        <w:spacing w:line="360" w:lineRule="auto"/>
        <w:jc w:val="center"/>
        <w:rPr>
          <w:rFonts w:hAnsi="宋体" w:cs="宋体"/>
          <w:b/>
          <w:bCs/>
          <w:color w:val="auto"/>
          <w:sz w:val="30"/>
          <w:szCs w:val="30"/>
          <w:highlight w:val="none"/>
          <w:u w:val="none"/>
        </w:rPr>
      </w:pPr>
      <w:r>
        <w:rPr>
          <w:rFonts w:hint="eastAsia" w:hAnsi="宋体" w:cs="宋体"/>
          <w:b/>
          <w:bCs/>
          <w:color w:val="auto"/>
          <w:sz w:val="30"/>
          <w:szCs w:val="30"/>
          <w:highlight w:val="none"/>
          <w:u w:val="none"/>
        </w:rPr>
        <w:t xml:space="preserve"> 供应商名称：                          （签章）</w:t>
      </w:r>
    </w:p>
    <w:p w14:paraId="3B64E059">
      <w:pPr>
        <w:pStyle w:val="11"/>
        <w:pageBreakBefore w:val="0"/>
        <w:wordWrap w:val="0"/>
        <w:overflowPunct/>
        <w:bidi w:val="0"/>
        <w:spacing w:line="360" w:lineRule="auto"/>
        <w:ind w:firstLine="1205" w:firstLineChars="400"/>
        <w:rPr>
          <w:rFonts w:hAnsi="宋体" w:cs="宋体"/>
          <w:b/>
          <w:bCs/>
          <w:color w:val="auto"/>
          <w:sz w:val="30"/>
          <w:szCs w:val="30"/>
          <w:highlight w:val="none"/>
          <w:u w:val="none"/>
        </w:rPr>
      </w:pPr>
      <w:r>
        <w:rPr>
          <w:rFonts w:hint="eastAsia" w:hAnsi="宋体" w:cs="宋体"/>
          <w:b/>
          <w:bCs/>
          <w:color w:val="auto"/>
          <w:sz w:val="30"/>
          <w:szCs w:val="30"/>
          <w:highlight w:val="none"/>
          <w:u w:val="none"/>
        </w:rPr>
        <w:t>法定代表人：              （签章）</w:t>
      </w:r>
    </w:p>
    <w:p w14:paraId="379D013D">
      <w:pPr>
        <w:pStyle w:val="10"/>
        <w:pageBreakBefore w:val="0"/>
        <w:wordWrap w:val="0"/>
        <w:overflowPunct/>
        <w:bidi w:val="0"/>
        <w:spacing w:line="360" w:lineRule="auto"/>
        <w:ind w:left="1016" w:leftChars="484" w:firstLine="301" w:firstLineChars="100"/>
        <w:rPr>
          <w:b/>
          <w:bCs/>
          <w:color w:val="auto"/>
          <w:sz w:val="30"/>
          <w:szCs w:val="30"/>
          <w:highlight w:val="none"/>
          <w:u w:val="none"/>
        </w:rPr>
      </w:pPr>
      <w:r>
        <w:rPr>
          <w:rFonts w:hint="eastAsia"/>
          <w:b/>
          <w:bCs/>
          <w:color w:val="auto"/>
          <w:sz w:val="30"/>
          <w:szCs w:val="30"/>
          <w:highlight w:val="none"/>
          <w:u w:val="none"/>
        </w:rPr>
        <w:t>日      期：       年    月    日</w:t>
      </w:r>
    </w:p>
    <w:p w14:paraId="7BD3D8B3">
      <w:pPr>
        <w:pStyle w:val="10"/>
        <w:pageBreakBefore w:val="0"/>
        <w:wordWrap w:val="0"/>
        <w:overflowPunct/>
        <w:bidi w:val="0"/>
        <w:spacing w:line="360" w:lineRule="auto"/>
        <w:ind w:left="0" w:leftChars="0" w:firstLine="2129" w:firstLineChars="707"/>
        <w:rPr>
          <w:b/>
          <w:bCs/>
          <w:color w:val="auto"/>
          <w:sz w:val="30"/>
          <w:szCs w:val="30"/>
          <w:highlight w:val="none"/>
          <w:u w:val="none"/>
        </w:rPr>
      </w:pPr>
    </w:p>
    <w:p w14:paraId="3CFC2EBB">
      <w:pPr>
        <w:pageBreakBefore w:val="0"/>
        <w:wordWrap w:val="0"/>
        <w:overflowPunct/>
        <w:bidi w:val="0"/>
        <w:rPr>
          <w:b/>
          <w:color w:val="auto"/>
          <w:sz w:val="28"/>
          <w:szCs w:val="28"/>
          <w:highlight w:val="none"/>
          <w:u w:val="none"/>
        </w:rPr>
      </w:pPr>
      <w:r>
        <w:rPr>
          <w:rFonts w:hint="eastAsia"/>
          <w:b/>
          <w:color w:val="auto"/>
          <w:sz w:val="28"/>
          <w:szCs w:val="28"/>
          <w:highlight w:val="none"/>
          <w:u w:val="none"/>
        </w:rPr>
        <w:br w:type="page"/>
      </w:r>
    </w:p>
    <w:p w14:paraId="5529D260">
      <w:pPr>
        <w:pageBreakBefore w:val="0"/>
        <w:wordWrap w:val="0"/>
        <w:overflowPunct/>
        <w:bidi w:val="0"/>
        <w:spacing w:line="360" w:lineRule="auto"/>
        <w:jc w:val="center"/>
        <w:rPr>
          <w:b/>
          <w:color w:val="auto"/>
          <w:sz w:val="28"/>
          <w:szCs w:val="28"/>
          <w:highlight w:val="none"/>
          <w:u w:val="none"/>
        </w:rPr>
      </w:pPr>
      <w:r>
        <w:rPr>
          <w:rFonts w:hint="eastAsia"/>
          <w:b/>
          <w:color w:val="auto"/>
          <w:sz w:val="28"/>
          <w:szCs w:val="28"/>
          <w:highlight w:val="none"/>
          <w:u w:val="none"/>
        </w:rPr>
        <w:t>目录</w:t>
      </w:r>
    </w:p>
    <w:p w14:paraId="30AE1690">
      <w:pPr>
        <w:pageBreakBefore w:val="0"/>
        <w:wordWrap w:val="0"/>
        <w:overflowPunct/>
        <w:bidi w:val="0"/>
        <w:spacing w:line="360" w:lineRule="auto"/>
        <w:jc w:val="center"/>
        <w:rPr>
          <w:b/>
          <w:color w:val="auto"/>
          <w:sz w:val="24"/>
          <w:highlight w:val="none"/>
          <w:u w:val="none"/>
        </w:rPr>
      </w:pPr>
    </w:p>
    <w:p w14:paraId="47AD7D60">
      <w:pPr>
        <w:pageBreakBefore w:val="0"/>
        <w:wordWrap w:val="0"/>
        <w:overflowPunct/>
        <w:bidi w:val="0"/>
        <w:spacing w:line="360" w:lineRule="auto"/>
        <w:ind w:firstLine="422" w:firstLineChars="200"/>
        <w:rPr>
          <w:b/>
          <w:color w:val="auto"/>
          <w:szCs w:val="21"/>
          <w:highlight w:val="none"/>
          <w:u w:val="none"/>
        </w:rPr>
      </w:pPr>
      <w:r>
        <w:rPr>
          <w:rFonts w:hint="eastAsia"/>
          <w:b/>
          <w:color w:val="auto"/>
          <w:szCs w:val="21"/>
          <w:highlight w:val="none"/>
          <w:u w:val="none"/>
        </w:rPr>
        <w:t>一、法定代表人身份证明</w:t>
      </w:r>
      <w:r>
        <w:rPr>
          <w:rFonts w:hint="eastAsia"/>
          <w:b/>
          <w:color w:val="auto"/>
          <w:szCs w:val="21"/>
          <w:highlight w:val="none"/>
          <w:u w:val="none"/>
          <w:lang w:eastAsia="zh-CN"/>
        </w:rPr>
        <w:t>及</w:t>
      </w:r>
      <w:r>
        <w:rPr>
          <w:rFonts w:hint="eastAsia"/>
          <w:b/>
          <w:color w:val="auto"/>
          <w:szCs w:val="21"/>
          <w:highlight w:val="none"/>
          <w:u w:val="none"/>
        </w:rPr>
        <w:t>法定代表人授权书</w:t>
      </w:r>
    </w:p>
    <w:p w14:paraId="173A0BCD">
      <w:pPr>
        <w:pageBreakBefore w:val="0"/>
        <w:wordWrap w:val="0"/>
        <w:overflowPunct/>
        <w:bidi w:val="0"/>
        <w:spacing w:line="360" w:lineRule="auto"/>
        <w:ind w:firstLine="422" w:firstLineChars="200"/>
        <w:rPr>
          <w:b/>
          <w:color w:val="auto"/>
          <w:szCs w:val="21"/>
          <w:highlight w:val="none"/>
          <w:u w:val="none"/>
        </w:rPr>
      </w:pPr>
      <w:r>
        <w:rPr>
          <w:rFonts w:hint="eastAsia"/>
          <w:b/>
          <w:color w:val="auto"/>
          <w:szCs w:val="21"/>
          <w:highlight w:val="none"/>
          <w:u w:val="none"/>
        </w:rPr>
        <w:t>二、投标函</w:t>
      </w:r>
    </w:p>
    <w:p w14:paraId="665E0576">
      <w:pPr>
        <w:pageBreakBefore w:val="0"/>
        <w:wordWrap w:val="0"/>
        <w:overflowPunct/>
        <w:bidi w:val="0"/>
        <w:spacing w:line="360" w:lineRule="auto"/>
        <w:ind w:firstLine="422" w:firstLineChars="200"/>
        <w:rPr>
          <w:b/>
          <w:color w:val="auto"/>
          <w:szCs w:val="21"/>
          <w:highlight w:val="none"/>
          <w:u w:val="none"/>
        </w:rPr>
      </w:pPr>
      <w:r>
        <w:rPr>
          <w:rFonts w:hint="eastAsia"/>
          <w:b/>
          <w:color w:val="auto"/>
          <w:szCs w:val="21"/>
          <w:highlight w:val="none"/>
          <w:u w:val="none"/>
        </w:rPr>
        <w:t>三、投标函附表</w:t>
      </w:r>
    </w:p>
    <w:p w14:paraId="6052C766">
      <w:pPr>
        <w:pageBreakBefore w:val="0"/>
        <w:wordWrap w:val="0"/>
        <w:overflowPunct/>
        <w:bidi w:val="0"/>
        <w:spacing w:line="360" w:lineRule="auto"/>
        <w:ind w:firstLine="422" w:firstLineChars="200"/>
        <w:rPr>
          <w:b/>
          <w:color w:val="auto"/>
          <w:szCs w:val="21"/>
          <w:highlight w:val="none"/>
          <w:u w:val="none"/>
        </w:rPr>
      </w:pPr>
      <w:r>
        <w:rPr>
          <w:rFonts w:hint="eastAsia"/>
          <w:b/>
          <w:color w:val="auto"/>
          <w:szCs w:val="21"/>
          <w:highlight w:val="none"/>
          <w:u w:val="none"/>
        </w:rPr>
        <w:t>四、投标承诺函</w:t>
      </w:r>
    </w:p>
    <w:p w14:paraId="7710CD06">
      <w:pPr>
        <w:pageBreakBefore w:val="0"/>
        <w:wordWrap w:val="0"/>
        <w:overflowPunct/>
        <w:bidi w:val="0"/>
        <w:spacing w:line="360" w:lineRule="auto"/>
        <w:ind w:firstLine="422" w:firstLineChars="200"/>
        <w:rPr>
          <w:b/>
          <w:color w:val="auto"/>
          <w:szCs w:val="21"/>
          <w:highlight w:val="none"/>
          <w:u w:val="none"/>
        </w:rPr>
      </w:pPr>
      <w:r>
        <w:rPr>
          <w:rFonts w:hint="eastAsia"/>
          <w:b/>
          <w:color w:val="auto"/>
          <w:szCs w:val="21"/>
          <w:highlight w:val="none"/>
          <w:u w:val="none"/>
        </w:rPr>
        <w:t>五、供应商资格审查证明文件</w:t>
      </w:r>
    </w:p>
    <w:p w14:paraId="7FCB8E4C">
      <w:pPr>
        <w:pageBreakBefore w:val="0"/>
        <w:wordWrap w:val="0"/>
        <w:overflowPunct/>
        <w:bidi w:val="0"/>
        <w:spacing w:line="360" w:lineRule="auto"/>
        <w:ind w:firstLine="422" w:firstLineChars="200"/>
        <w:rPr>
          <w:b/>
          <w:color w:val="auto"/>
          <w:szCs w:val="21"/>
          <w:highlight w:val="none"/>
          <w:u w:val="none"/>
        </w:rPr>
      </w:pPr>
      <w:r>
        <w:rPr>
          <w:rFonts w:hint="eastAsia"/>
          <w:b/>
          <w:color w:val="auto"/>
          <w:szCs w:val="21"/>
          <w:highlight w:val="none"/>
          <w:u w:val="none"/>
        </w:rPr>
        <w:t>六、技术部分</w:t>
      </w:r>
    </w:p>
    <w:p w14:paraId="7729E0B4">
      <w:pPr>
        <w:pageBreakBefore w:val="0"/>
        <w:wordWrap w:val="0"/>
        <w:overflowPunct/>
        <w:bidi w:val="0"/>
        <w:spacing w:line="360" w:lineRule="auto"/>
        <w:ind w:firstLine="422" w:firstLineChars="200"/>
        <w:rPr>
          <w:b/>
          <w:color w:val="auto"/>
          <w:szCs w:val="21"/>
          <w:highlight w:val="none"/>
          <w:u w:val="none"/>
        </w:rPr>
      </w:pPr>
      <w:r>
        <w:rPr>
          <w:rFonts w:hint="eastAsia"/>
          <w:b/>
          <w:color w:val="auto"/>
          <w:szCs w:val="21"/>
          <w:highlight w:val="none"/>
          <w:u w:val="none"/>
        </w:rPr>
        <w:t>七、商务部分</w:t>
      </w:r>
    </w:p>
    <w:p w14:paraId="56734DEA">
      <w:pPr>
        <w:pageBreakBefore w:val="0"/>
        <w:wordWrap w:val="0"/>
        <w:overflowPunct/>
        <w:bidi w:val="0"/>
        <w:spacing w:line="360" w:lineRule="auto"/>
        <w:ind w:firstLine="422" w:firstLineChars="200"/>
        <w:rPr>
          <w:b/>
          <w:color w:val="auto"/>
          <w:szCs w:val="21"/>
          <w:highlight w:val="none"/>
          <w:u w:val="none"/>
        </w:rPr>
      </w:pPr>
      <w:r>
        <w:rPr>
          <w:rFonts w:hint="eastAsia"/>
          <w:b/>
          <w:color w:val="auto"/>
          <w:szCs w:val="21"/>
          <w:highlight w:val="none"/>
          <w:u w:val="none"/>
        </w:rPr>
        <w:t>八、投标供应商基本情况表</w:t>
      </w:r>
    </w:p>
    <w:p w14:paraId="0E8B6414">
      <w:pPr>
        <w:pageBreakBefore w:val="0"/>
        <w:wordWrap w:val="0"/>
        <w:overflowPunct/>
        <w:bidi w:val="0"/>
        <w:spacing w:line="360" w:lineRule="auto"/>
        <w:ind w:firstLine="422" w:firstLineChars="200"/>
        <w:rPr>
          <w:b/>
          <w:color w:val="auto"/>
          <w:szCs w:val="21"/>
          <w:highlight w:val="none"/>
          <w:u w:val="none"/>
        </w:rPr>
      </w:pPr>
      <w:r>
        <w:rPr>
          <w:rFonts w:hint="eastAsia"/>
          <w:b/>
          <w:color w:val="auto"/>
          <w:szCs w:val="21"/>
          <w:highlight w:val="none"/>
          <w:u w:val="none"/>
        </w:rPr>
        <w:t>九、投标供应商可提交的其他资料</w:t>
      </w:r>
    </w:p>
    <w:p w14:paraId="2DF48B75">
      <w:pPr>
        <w:pageBreakBefore w:val="0"/>
        <w:wordWrap w:val="0"/>
        <w:overflowPunct/>
        <w:bidi w:val="0"/>
        <w:rPr>
          <w:color w:val="auto"/>
          <w:sz w:val="24"/>
          <w:highlight w:val="none"/>
          <w:u w:val="none"/>
        </w:rPr>
      </w:pPr>
      <w:bookmarkStart w:id="756" w:name="_Toc17342"/>
      <w:bookmarkStart w:id="757" w:name="_Toc108379377"/>
      <w:bookmarkStart w:id="758" w:name="_Toc26039"/>
      <w:bookmarkStart w:id="759" w:name="_Toc312133589"/>
      <w:r>
        <w:rPr>
          <w:rFonts w:hint="eastAsia"/>
          <w:color w:val="auto"/>
          <w:sz w:val="24"/>
          <w:highlight w:val="none"/>
          <w:u w:val="none"/>
        </w:rPr>
        <w:br w:type="page"/>
      </w:r>
    </w:p>
    <w:p w14:paraId="7F3F9E87">
      <w:pPr>
        <w:pStyle w:val="2"/>
        <w:pageBreakBefore w:val="0"/>
        <w:numPr>
          <w:ilvl w:val="0"/>
          <w:numId w:val="22"/>
        </w:numPr>
        <w:wordWrap w:val="0"/>
        <w:overflowPunct/>
        <w:bidi w:val="0"/>
        <w:spacing w:before="0" w:after="0" w:line="360" w:lineRule="auto"/>
        <w:rPr>
          <w:rFonts w:hint="eastAsia" w:ascii="宋体" w:hAnsi="宋体" w:eastAsia="宋体" w:cs="宋体"/>
          <w:color w:val="auto"/>
          <w:sz w:val="24"/>
          <w:szCs w:val="24"/>
          <w:highlight w:val="none"/>
          <w:u w:val="none"/>
        </w:rPr>
      </w:pPr>
      <w:bookmarkStart w:id="760" w:name="_Toc9280"/>
      <w:bookmarkStart w:id="761" w:name="_Toc27191"/>
      <w:r>
        <w:rPr>
          <w:rFonts w:hint="eastAsia" w:ascii="宋体" w:hAnsi="宋体" w:eastAsia="宋体" w:cs="宋体"/>
          <w:color w:val="auto"/>
          <w:sz w:val="24"/>
          <w:szCs w:val="24"/>
          <w:highlight w:val="none"/>
          <w:u w:val="none"/>
        </w:rPr>
        <w:t>法定代表人身份证明</w:t>
      </w:r>
      <w:r>
        <w:rPr>
          <w:rFonts w:hint="eastAsia" w:ascii="宋体" w:hAnsi="宋体" w:eastAsia="宋体" w:cs="宋体"/>
          <w:color w:val="auto"/>
          <w:sz w:val="24"/>
          <w:szCs w:val="24"/>
          <w:highlight w:val="none"/>
          <w:u w:val="none"/>
          <w:lang w:eastAsia="zh-CN"/>
        </w:rPr>
        <w:t>及</w:t>
      </w:r>
      <w:r>
        <w:rPr>
          <w:rFonts w:hint="eastAsia" w:ascii="宋体" w:hAnsi="宋体" w:eastAsia="宋体" w:cs="宋体"/>
          <w:color w:val="auto"/>
          <w:sz w:val="24"/>
          <w:szCs w:val="24"/>
          <w:highlight w:val="none"/>
          <w:u w:val="none"/>
        </w:rPr>
        <w:t>法定代表人授权书</w:t>
      </w:r>
    </w:p>
    <w:p w14:paraId="785D6EC9">
      <w:pPr>
        <w:pStyle w:val="2"/>
        <w:pageBreakBefore w:val="0"/>
        <w:numPr>
          <w:ilvl w:val="1"/>
          <w:numId w:val="0"/>
        </w:numPr>
        <w:wordWrap w:val="0"/>
        <w:overflowPunct/>
        <w:bidi w:val="0"/>
        <w:spacing w:before="0" w:after="0" w:line="360" w:lineRule="auto"/>
        <w:ind w:left="419" w:leftChars="0"/>
        <w:jc w:val="center"/>
        <w:rPr>
          <w:rFonts w:hint="eastAsia" w:ascii="宋体" w:hAnsi="宋体" w:eastAsia="宋体" w:cs="宋体"/>
          <w:color w:val="auto"/>
          <w:sz w:val="24"/>
          <w:szCs w:val="24"/>
          <w:highlight w:val="none"/>
          <w:u w:val="none"/>
          <w:lang w:eastAsia="zh-CN"/>
        </w:rPr>
      </w:pPr>
    </w:p>
    <w:p w14:paraId="61CEE6B5">
      <w:pPr>
        <w:pStyle w:val="2"/>
        <w:pageBreakBefore w:val="0"/>
        <w:numPr>
          <w:ilvl w:val="1"/>
          <w:numId w:val="0"/>
        </w:numPr>
        <w:wordWrap w:val="0"/>
        <w:overflowPunct/>
        <w:bidi w:val="0"/>
        <w:spacing w:before="0" w:after="0" w:line="360" w:lineRule="auto"/>
        <w:ind w:left="419" w:leftChars="0"/>
        <w:jc w:val="center"/>
        <w:rPr>
          <w:rFonts w:ascii="宋体" w:hAnsi="宋体" w:eastAsia="宋体" w:cs="宋体"/>
          <w:color w:val="auto"/>
          <w:highlight w:val="none"/>
          <w:u w:val="none"/>
        </w:rPr>
      </w:pP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法定代表人身份证明</w:t>
      </w:r>
      <w:bookmarkEnd w:id="756"/>
      <w:bookmarkEnd w:id="757"/>
      <w:bookmarkEnd w:id="758"/>
      <w:bookmarkEnd w:id="760"/>
      <w:bookmarkEnd w:id="761"/>
    </w:p>
    <w:p w14:paraId="55D4BEC9">
      <w:pPr>
        <w:pageBreakBefore w:val="0"/>
        <w:wordWrap w:val="0"/>
        <w:overflowPunct/>
        <w:bidi w:val="0"/>
        <w:spacing w:line="480" w:lineRule="auto"/>
        <w:ind w:firstLine="612"/>
        <w:rPr>
          <w:color w:val="auto"/>
          <w:sz w:val="24"/>
          <w:highlight w:val="none"/>
          <w:u w:val="none"/>
        </w:rPr>
      </w:pPr>
      <w:r>
        <w:rPr>
          <w:rFonts w:hint="eastAsia"/>
          <w:color w:val="auto"/>
          <w:sz w:val="24"/>
          <w:highlight w:val="none"/>
          <w:u w:val="none"/>
        </w:rPr>
        <w:t>单位名称：</w:t>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p>
    <w:p w14:paraId="3CCA319B">
      <w:pPr>
        <w:pageBreakBefore w:val="0"/>
        <w:wordWrap w:val="0"/>
        <w:overflowPunct/>
        <w:bidi w:val="0"/>
        <w:spacing w:line="480" w:lineRule="auto"/>
        <w:ind w:firstLine="610"/>
        <w:rPr>
          <w:color w:val="auto"/>
          <w:sz w:val="24"/>
          <w:highlight w:val="none"/>
          <w:u w:val="none"/>
        </w:rPr>
      </w:pPr>
      <w:r>
        <w:rPr>
          <w:rFonts w:hint="eastAsia"/>
          <w:color w:val="auto"/>
          <w:sz w:val="24"/>
          <w:highlight w:val="none"/>
          <w:u w:val="none"/>
        </w:rPr>
        <w:t>单位性质：</w:t>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p>
    <w:p w14:paraId="2DE55E8D">
      <w:pPr>
        <w:pageBreakBefore w:val="0"/>
        <w:wordWrap w:val="0"/>
        <w:overflowPunct/>
        <w:bidi w:val="0"/>
        <w:spacing w:line="480" w:lineRule="auto"/>
        <w:ind w:firstLine="610"/>
        <w:rPr>
          <w:color w:val="auto"/>
          <w:sz w:val="24"/>
          <w:highlight w:val="none"/>
          <w:u w:val="none"/>
        </w:rPr>
      </w:pPr>
      <w:r>
        <w:rPr>
          <w:rFonts w:hint="eastAsia"/>
          <w:color w:val="auto"/>
          <w:sz w:val="24"/>
          <w:highlight w:val="none"/>
          <w:u w:val="none"/>
        </w:rPr>
        <w:t>地址：</w:t>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ab/>
      </w:r>
    </w:p>
    <w:p w14:paraId="54BF175D">
      <w:pPr>
        <w:pageBreakBefore w:val="0"/>
        <w:wordWrap w:val="0"/>
        <w:overflowPunct/>
        <w:bidi w:val="0"/>
        <w:spacing w:line="480" w:lineRule="auto"/>
        <w:ind w:firstLine="610"/>
        <w:rPr>
          <w:color w:val="auto"/>
          <w:sz w:val="24"/>
          <w:highlight w:val="none"/>
          <w:u w:val="none"/>
        </w:rPr>
      </w:pPr>
      <w:r>
        <w:rPr>
          <w:rFonts w:hint="eastAsia"/>
          <w:color w:val="auto"/>
          <w:sz w:val="24"/>
          <w:highlight w:val="none"/>
          <w:u w:val="none"/>
        </w:rPr>
        <w:t>成立时间：    年    月    日</w:t>
      </w:r>
    </w:p>
    <w:p w14:paraId="0D252B34">
      <w:pPr>
        <w:pageBreakBefore w:val="0"/>
        <w:wordWrap w:val="0"/>
        <w:overflowPunct/>
        <w:bidi w:val="0"/>
        <w:spacing w:line="480" w:lineRule="auto"/>
        <w:ind w:firstLine="610"/>
        <w:rPr>
          <w:color w:val="auto"/>
          <w:sz w:val="24"/>
          <w:highlight w:val="none"/>
          <w:u w:val="none"/>
        </w:rPr>
      </w:pPr>
      <w:r>
        <w:rPr>
          <w:rFonts w:hint="eastAsia"/>
          <w:color w:val="auto"/>
          <w:sz w:val="24"/>
          <w:highlight w:val="none"/>
          <w:u w:val="none"/>
        </w:rPr>
        <w:t>经营期限：</w:t>
      </w:r>
      <w:r>
        <w:rPr>
          <w:rFonts w:hint="eastAsia"/>
          <w:color w:val="auto"/>
          <w:sz w:val="24"/>
          <w:highlight w:val="none"/>
          <w:u w:val="none"/>
        </w:rPr>
        <w:tab/>
      </w:r>
      <w:r>
        <w:rPr>
          <w:rFonts w:hint="eastAsia"/>
          <w:color w:val="auto"/>
          <w:sz w:val="24"/>
          <w:highlight w:val="none"/>
          <w:u w:val="none"/>
        </w:rPr>
        <w:tab/>
      </w:r>
    </w:p>
    <w:p w14:paraId="6F9172AA">
      <w:pPr>
        <w:pageBreakBefore w:val="0"/>
        <w:wordWrap w:val="0"/>
        <w:overflowPunct/>
        <w:bidi w:val="0"/>
        <w:spacing w:line="480" w:lineRule="auto"/>
        <w:ind w:firstLine="610"/>
        <w:rPr>
          <w:color w:val="auto"/>
          <w:sz w:val="24"/>
          <w:highlight w:val="none"/>
          <w:u w:val="none"/>
        </w:rPr>
      </w:pPr>
      <w:r>
        <w:rPr>
          <w:rFonts w:hint="eastAsia"/>
          <w:color w:val="auto"/>
          <w:sz w:val="24"/>
          <w:highlight w:val="none"/>
          <w:u w:val="none"/>
        </w:rPr>
        <w:t>姓名：</w:t>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性别：</w:t>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年龄：</w:t>
      </w:r>
      <w:r>
        <w:rPr>
          <w:rFonts w:hint="eastAsia"/>
          <w:color w:val="auto"/>
          <w:sz w:val="24"/>
          <w:highlight w:val="none"/>
          <w:u w:val="none"/>
        </w:rPr>
        <w:tab/>
      </w:r>
      <w:r>
        <w:rPr>
          <w:rFonts w:hint="eastAsia"/>
          <w:color w:val="auto"/>
          <w:sz w:val="24"/>
          <w:highlight w:val="none"/>
          <w:u w:val="none"/>
        </w:rPr>
        <w:tab/>
      </w:r>
      <w:r>
        <w:rPr>
          <w:rFonts w:hint="eastAsia"/>
          <w:color w:val="auto"/>
          <w:sz w:val="24"/>
          <w:highlight w:val="none"/>
          <w:u w:val="none"/>
        </w:rPr>
        <w:t>职务：</w:t>
      </w:r>
      <w:r>
        <w:rPr>
          <w:rFonts w:hint="eastAsia"/>
          <w:color w:val="auto"/>
          <w:sz w:val="24"/>
          <w:highlight w:val="none"/>
          <w:u w:val="none"/>
        </w:rPr>
        <w:tab/>
      </w:r>
      <w:r>
        <w:rPr>
          <w:rFonts w:hint="eastAsia"/>
          <w:color w:val="auto"/>
          <w:sz w:val="24"/>
          <w:highlight w:val="none"/>
          <w:u w:val="none"/>
        </w:rPr>
        <w:tab/>
      </w:r>
    </w:p>
    <w:p w14:paraId="7ACB056B">
      <w:pPr>
        <w:pageBreakBefore w:val="0"/>
        <w:wordWrap w:val="0"/>
        <w:overflowPunct/>
        <w:bidi w:val="0"/>
        <w:spacing w:line="480" w:lineRule="auto"/>
        <w:ind w:firstLine="610"/>
        <w:rPr>
          <w:color w:val="auto"/>
          <w:sz w:val="24"/>
          <w:highlight w:val="none"/>
          <w:u w:val="none"/>
        </w:rPr>
      </w:pPr>
      <w:r>
        <w:rPr>
          <w:rFonts w:hint="eastAsia"/>
          <w:color w:val="auto"/>
          <w:sz w:val="24"/>
          <w:highlight w:val="none"/>
          <w:u w:val="none"/>
        </w:rPr>
        <w:t>系（供应商单位名称）的法定代表人。</w:t>
      </w:r>
    </w:p>
    <w:p w14:paraId="04A59D3A">
      <w:pPr>
        <w:pageBreakBefore w:val="0"/>
        <w:wordWrap w:val="0"/>
        <w:overflowPunct/>
        <w:bidi w:val="0"/>
        <w:spacing w:line="480" w:lineRule="auto"/>
        <w:ind w:firstLine="610"/>
        <w:rPr>
          <w:color w:val="auto"/>
          <w:sz w:val="24"/>
          <w:highlight w:val="none"/>
          <w:u w:val="none"/>
        </w:rPr>
      </w:pPr>
    </w:p>
    <w:p w14:paraId="477B92C8">
      <w:pPr>
        <w:pageBreakBefore w:val="0"/>
        <w:wordWrap w:val="0"/>
        <w:overflowPunct/>
        <w:bidi w:val="0"/>
        <w:spacing w:line="480" w:lineRule="auto"/>
        <w:ind w:firstLine="1089" w:firstLineChars="454"/>
        <w:rPr>
          <w:color w:val="auto"/>
          <w:sz w:val="24"/>
          <w:highlight w:val="none"/>
          <w:u w:val="none"/>
        </w:rPr>
      </w:pPr>
      <w:r>
        <w:rPr>
          <w:rFonts w:hint="eastAsia"/>
          <w:color w:val="auto"/>
          <w:sz w:val="24"/>
          <w:highlight w:val="none"/>
          <w:u w:val="none"/>
        </w:rPr>
        <w:t>特此证明。</w:t>
      </w:r>
    </w:p>
    <w:p w14:paraId="41E2013D">
      <w:pPr>
        <w:pageBreakBefore w:val="0"/>
        <w:wordWrap w:val="0"/>
        <w:overflowPunct/>
        <w:bidi w:val="0"/>
        <w:spacing w:line="480" w:lineRule="auto"/>
        <w:ind w:firstLine="5040" w:firstLineChars="2100"/>
        <w:rPr>
          <w:color w:val="auto"/>
          <w:sz w:val="24"/>
          <w:highlight w:val="none"/>
          <w:u w:val="none"/>
        </w:rPr>
      </w:pPr>
    </w:p>
    <w:p w14:paraId="2B383485">
      <w:pPr>
        <w:pageBreakBefore w:val="0"/>
        <w:wordWrap w:val="0"/>
        <w:overflowPunct/>
        <w:bidi w:val="0"/>
        <w:spacing w:line="480" w:lineRule="auto"/>
        <w:ind w:firstLine="5040" w:firstLineChars="2100"/>
        <w:rPr>
          <w:color w:val="auto"/>
          <w:sz w:val="24"/>
          <w:highlight w:val="none"/>
          <w:u w:val="none"/>
        </w:rPr>
      </w:pPr>
    </w:p>
    <w:p w14:paraId="64EF154D">
      <w:pPr>
        <w:pageBreakBefore w:val="0"/>
        <w:wordWrap w:val="0"/>
        <w:overflowPunct/>
        <w:bidi w:val="0"/>
        <w:spacing w:line="480" w:lineRule="auto"/>
        <w:ind w:firstLine="5040" w:firstLineChars="2100"/>
        <w:rPr>
          <w:color w:val="auto"/>
          <w:sz w:val="24"/>
          <w:highlight w:val="none"/>
          <w:u w:val="none"/>
        </w:rPr>
      </w:pPr>
    </w:p>
    <w:p w14:paraId="1256BF86">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供应商(签章)：</w:t>
      </w:r>
    </w:p>
    <w:p w14:paraId="59E4C105">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 xml:space="preserve">     日期：  年  月   日</w:t>
      </w:r>
    </w:p>
    <w:p w14:paraId="051790D5">
      <w:pPr>
        <w:pageBreakBefore w:val="0"/>
        <w:wordWrap w:val="0"/>
        <w:overflowPunct/>
        <w:bidi w:val="0"/>
        <w:spacing w:line="480" w:lineRule="auto"/>
        <w:ind w:firstLine="4551" w:firstLineChars="1889"/>
        <w:rPr>
          <w:b/>
          <w:bCs/>
          <w:color w:val="auto"/>
          <w:sz w:val="24"/>
          <w:highlight w:val="none"/>
          <w:u w:val="none"/>
        </w:rPr>
      </w:pPr>
    </w:p>
    <w:p w14:paraId="5A73A808">
      <w:pPr>
        <w:pageBreakBefore w:val="0"/>
        <w:wordWrap w:val="0"/>
        <w:overflowPunct/>
        <w:bidi w:val="0"/>
        <w:spacing w:line="480" w:lineRule="auto"/>
        <w:ind w:right="480"/>
        <w:jc w:val="center"/>
        <w:rPr>
          <w:b/>
          <w:bCs/>
          <w:color w:val="auto"/>
          <w:sz w:val="24"/>
          <w:highlight w:val="none"/>
          <w:u w:val="none"/>
        </w:rPr>
      </w:pPr>
      <w:r>
        <w:rPr>
          <w:rFonts w:hint="eastAsia"/>
          <w:b/>
          <w:bCs/>
          <w:color w:val="auto"/>
          <w:sz w:val="24"/>
          <w:highlight w:val="none"/>
          <w:u w:val="none"/>
        </w:rPr>
        <w:t>（后附法定代表人身份证正反面扫描件）</w:t>
      </w:r>
    </w:p>
    <w:p w14:paraId="726B995D">
      <w:pPr>
        <w:pageBreakBefore w:val="0"/>
        <w:tabs>
          <w:tab w:val="left" w:pos="5380"/>
          <w:tab w:val="left" w:pos="6520"/>
          <w:tab w:val="left" w:pos="7680"/>
        </w:tabs>
        <w:wordWrap w:val="0"/>
        <w:overflowPunct/>
        <w:autoSpaceDE w:val="0"/>
        <w:autoSpaceDN w:val="0"/>
        <w:bidi w:val="0"/>
        <w:adjustRightInd w:val="0"/>
        <w:spacing w:line="360" w:lineRule="auto"/>
        <w:ind w:firstLine="4410" w:firstLineChars="2100"/>
        <w:jc w:val="left"/>
        <w:rPr>
          <w:color w:val="auto"/>
          <w:kern w:val="0"/>
          <w:szCs w:val="21"/>
          <w:highlight w:val="none"/>
          <w:u w:val="none"/>
        </w:rPr>
      </w:pPr>
    </w:p>
    <w:p w14:paraId="5CD22290">
      <w:pPr>
        <w:pageBreakBefore w:val="0"/>
        <w:tabs>
          <w:tab w:val="left" w:pos="5340"/>
          <w:tab w:val="left" w:pos="6180"/>
          <w:tab w:val="left" w:pos="7020"/>
        </w:tabs>
        <w:wordWrap w:val="0"/>
        <w:overflowPunct/>
        <w:autoSpaceDE w:val="0"/>
        <w:autoSpaceDN w:val="0"/>
        <w:bidi w:val="0"/>
        <w:adjustRightInd w:val="0"/>
        <w:spacing w:line="360" w:lineRule="auto"/>
        <w:rPr>
          <w:color w:val="auto"/>
          <w:kern w:val="0"/>
          <w:szCs w:val="21"/>
          <w:highlight w:val="none"/>
          <w:u w:val="none"/>
        </w:rPr>
      </w:pPr>
    </w:p>
    <w:p w14:paraId="17B9F2F0">
      <w:pPr>
        <w:pageBreakBefore w:val="0"/>
        <w:wordWrap w:val="0"/>
        <w:overflowPunct/>
        <w:bidi w:val="0"/>
        <w:spacing w:line="360" w:lineRule="auto"/>
        <w:rPr>
          <w:color w:val="auto"/>
          <w:highlight w:val="none"/>
          <w:u w:val="none"/>
        </w:rPr>
      </w:pPr>
      <w:r>
        <w:rPr>
          <w:rFonts w:hint="eastAsia"/>
          <w:color w:val="auto"/>
          <w:highlight w:val="none"/>
          <w:u w:val="none"/>
        </w:rPr>
        <w:br w:type="page"/>
      </w:r>
    </w:p>
    <w:bookmarkEnd w:id="759"/>
    <w:p w14:paraId="1F97349C">
      <w:pPr>
        <w:pStyle w:val="2"/>
        <w:pageBreakBefore w:val="0"/>
        <w:numPr>
          <w:ilvl w:val="0"/>
          <w:numId w:val="0"/>
        </w:numPr>
        <w:wordWrap w:val="0"/>
        <w:overflowPunct/>
        <w:bidi w:val="0"/>
        <w:spacing w:before="0" w:after="0" w:line="360" w:lineRule="auto"/>
        <w:rPr>
          <w:rFonts w:hint="eastAsia" w:ascii="宋体" w:hAnsi="宋体" w:eastAsia="宋体" w:cs="宋体"/>
          <w:color w:val="auto"/>
          <w:sz w:val="24"/>
          <w:szCs w:val="24"/>
          <w:highlight w:val="none"/>
          <w:u w:val="none"/>
        </w:rPr>
      </w:pPr>
      <w:bookmarkStart w:id="762" w:name="_Toc108379379"/>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法定代表人授权书</w:t>
      </w:r>
    </w:p>
    <w:p w14:paraId="77A9B72B">
      <w:pPr>
        <w:rPr>
          <w:rFonts w:ascii="宋体" w:hAnsi="宋体"/>
          <w:color w:val="auto"/>
          <w:szCs w:val="22"/>
          <w:highlight w:val="none"/>
        </w:rPr>
      </w:pPr>
    </w:p>
    <w:p w14:paraId="088F2F63">
      <w:pPr>
        <w:spacing w:line="360" w:lineRule="auto"/>
        <w:ind w:firstLine="480" w:firstLineChars="200"/>
        <w:jc w:val="left"/>
        <w:rPr>
          <w:rFonts w:ascii="宋体" w:hAnsi="宋体"/>
          <w:color w:val="auto"/>
          <w:sz w:val="24"/>
          <w:highlight w:val="none"/>
        </w:rPr>
      </w:pPr>
      <w:r>
        <w:rPr>
          <w:rFonts w:ascii="宋体" w:hAnsi="宋体"/>
          <w:color w:val="auto"/>
          <w:sz w:val="24"/>
          <w:highlight w:val="none"/>
        </w:rPr>
        <w:t>本人</w:t>
      </w:r>
      <w:r>
        <w:rPr>
          <w:rFonts w:hint="eastAsia" w:ascii="宋体" w:hAnsi="宋体"/>
          <w:color w:val="auto"/>
          <w:sz w:val="24"/>
          <w:highlight w:val="none"/>
          <w:u w:val="single"/>
          <w:lang w:val="en-US" w:eastAsia="zh-CN"/>
        </w:rPr>
        <w:t xml:space="preserve">   </w:t>
      </w:r>
      <w:r>
        <w:rPr>
          <w:rFonts w:ascii="宋体" w:hAnsi="宋体"/>
          <w:color w:val="auto"/>
          <w:sz w:val="24"/>
          <w:highlight w:val="none"/>
          <w:u w:val="single"/>
        </w:rPr>
        <w:t>(姓名)</w:t>
      </w:r>
      <w:r>
        <w:rPr>
          <w:rFonts w:ascii="宋体" w:hAnsi="宋体"/>
          <w:color w:val="auto"/>
          <w:sz w:val="24"/>
          <w:highlight w:val="none"/>
        </w:rPr>
        <w:t>系</w:t>
      </w:r>
      <w:r>
        <w:rPr>
          <w:rFonts w:hint="eastAsia" w:ascii="宋体" w:hAnsi="宋体"/>
          <w:color w:val="auto"/>
          <w:sz w:val="24"/>
          <w:highlight w:val="none"/>
          <w:u w:val="single"/>
        </w:rPr>
        <w:t>　</w:t>
      </w:r>
      <w:r>
        <w:rPr>
          <w:rFonts w:ascii="宋体" w:hAnsi="宋体"/>
          <w:color w:val="auto"/>
          <w:sz w:val="24"/>
          <w:highlight w:val="none"/>
          <w:u w:val="single"/>
        </w:rPr>
        <w:t xml:space="preserve"> (投标人名称)</w:t>
      </w:r>
      <w:r>
        <w:rPr>
          <w:rFonts w:ascii="宋体" w:hAnsi="宋体"/>
          <w:color w:val="auto"/>
          <w:sz w:val="24"/>
          <w:highlight w:val="none"/>
        </w:rPr>
        <w:t>的法定代表人，现委托</w:t>
      </w:r>
      <w:r>
        <w:rPr>
          <w:rFonts w:ascii="宋体" w:hAnsi="宋体"/>
          <w:color w:val="auto"/>
          <w:sz w:val="24"/>
          <w:highlight w:val="none"/>
          <w:u w:val="single"/>
        </w:rPr>
        <w:t>（姓名</w:t>
      </w:r>
      <w:r>
        <w:rPr>
          <w:rFonts w:hint="eastAsia" w:ascii="宋体" w:hAnsi="宋体"/>
          <w:color w:val="auto"/>
          <w:sz w:val="24"/>
          <w:highlight w:val="none"/>
          <w:u w:val="single"/>
        </w:rPr>
        <w:t>、职务</w:t>
      </w:r>
      <w:r>
        <w:rPr>
          <w:rFonts w:ascii="宋体" w:hAnsi="宋体"/>
          <w:color w:val="auto"/>
          <w:sz w:val="24"/>
          <w:highlight w:val="none"/>
          <w:u w:val="single"/>
        </w:rPr>
        <w:t>)</w:t>
      </w:r>
      <w:r>
        <w:rPr>
          <w:rFonts w:ascii="宋体" w:hAnsi="宋体"/>
          <w:color w:val="auto"/>
          <w:sz w:val="24"/>
          <w:highlight w:val="none"/>
        </w:rPr>
        <w:t>为我方代理人。代理人根据授权，以我方名义签署、澄清、说明、补正、递交、撤回、修改</w:t>
      </w:r>
      <w:r>
        <w:rPr>
          <w:rFonts w:hint="eastAsia" w:ascii="宋体" w:hAnsi="宋体"/>
          <w:color w:val="auto"/>
          <w:sz w:val="24"/>
          <w:highlight w:val="none"/>
          <w:u w:val="single"/>
        </w:rPr>
        <w:t>（项目名称）</w:t>
      </w:r>
      <w:r>
        <w:rPr>
          <w:rFonts w:hint="eastAsia" w:ascii="宋体" w:hAnsi="宋体"/>
          <w:color w:val="auto"/>
          <w:sz w:val="24"/>
          <w:highlight w:val="none"/>
          <w:u w:val="single"/>
          <w:lang w:eastAsia="zh-CN"/>
        </w:rPr>
        <w:t>（标段）</w:t>
      </w:r>
      <w:r>
        <w:rPr>
          <w:rFonts w:hint="eastAsia" w:ascii="宋体" w:hAnsi="宋体"/>
          <w:color w:val="auto"/>
          <w:sz w:val="24"/>
          <w:highlight w:val="none"/>
        </w:rPr>
        <w:t>响应</w:t>
      </w:r>
      <w:r>
        <w:rPr>
          <w:rFonts w:ascii="宋体" w:hAnsi="宋体"/>
          <w:color w:val="auto"/>
          <w:sz w:val="24"/>
          <w:highlight w:val="none"/>
        </w:rPr>
        <w:t>文件</w:t>
      </w:r>
      <w:r>
        <w:rPr>
          <w:rFonts w:ascii="宋体" w:hAnsi="宋体"/>
          <w:color w:val="auto"/>
          <w:sz w:val="24"/>
          <w:highlight w:val="none"/>
          <w:u w:val="single"/>
        </w:rPr>
        <w:t>（</w:t>
      </w:r>
      <w:r>
        <w:rPr>
          <w:rFonts w:hint="eastAsia" w:ascii="宋体" w:hAnsi="宋体"/>
          <w:color w:val="auto"/>
          <w:sz w:val="24"/>
          <w:highlight w:val="none"/>
          <w:u w:val="single"/>
        </w:rPr>
        <w:t>项目</w:t>
      </w:r>
      <w:r>
        <w:rPr>
          <w:rFonts w:ascii="宋体" w:hAnsi="宋体"/>
          <w:color w:val="auto"/>
          <w:sz w:val="24"/>
          <w:highlight w:val="none"/>
          <w:u w:val="single"/>
        </w:rPr>
        <w:t>编号</w:t>
      </w:r>
      <w:r>
        <w:rPr>
          <w:rFonts w:hint="eastAsia" w:ascii="宋体" w:hAnsi="宋体"/>
          <w:color w:val="auto"/>
          <w:sz w:val="24"/>
          <w:highlight w:val="none"/>
          <w:u w:val="single"/>
        </w:rPr>
        <w:t>：</w:t>
      </w:r>
      <w:r>
        <w:rPr>
          <w:rFonts w:ascii="宋体" w:hAnsi="宋体"/>
          <w:color w:val="auto"/>
          <w:sz w:val="24"/>
          <w:highlight w:val="none"/>
          <w:u w:val="single"/>
        </w:rPr>
        <w:t>）</w:t>
      </w:r>
      <w:r>
        <w:rPr>
          <w:rFonts w:ascii="宋体" w:hAnsi="宋体"/>
          <w:color w:val="auto"/>
          <w:sz w:val="24"/>
          <w:highlight w:val="none"/>
        </w:rPr>
        <w:t>签订合同和处理有关事宜，其法律后果由我方承担。</w:t>
      </w:r>
    </w:p>
    <w:p w14:paraId="1B6EE7EC">
      <w:pPr>
        <w:spacing w:line="360" w:lineRule="auto"/>
        <w:ind w:firstLine="480" w:firstLineChars="200"/>
        <w:jc w:val="left"/>
        <w:rPr>
          <w:rFonts w:ascii="宋体" w:hAnsi="宋体"/>
          <w:color w:val="auto"/>
          <w:sz w:val="24"/>
          <w:highlight w:val="none"/>
        </w:rPr>
      </w:pPr>
      <w:r>
        <w:rPr>
          <w:rFonts w:ascii="宋体" w:hAnsi="宋体"/>
          <w:color w:val="auto"/>
          <w:sz w:val="24"/>
          <w:highlight w:val="none"/>
        </w:rPr>
        <w:t>委托期限：</w:t>
      </w:r>
    </w:p>
    <w:p w14:paraId="5C3FFD83">
      <w:pPr>
        <w:spacing w:line="360" w:lineRule="auto"/>
        <w:ind w:firstLine="480" w:firstLineChars="200"/>
        <w:jc w:val="left"/>
        <w:rPr>
          <w:rFonts w:ascii="宋体" w:hAnsi="宋体"/>
          <w:color w:val="auto"/>
          <w:sz w:val="24"/>
          <w:highlight w:val="none"/>
        </w:rPr>
      </w:pPr>
      <w:r>
        <w:rPr>
          <w:rFonts w:ascii="宋体" w:hAnsi="宋体"/>
          <w:color w:val="auto"/>
          <w:sz w:val="24"/>
          <w:highlight w:val="none"/>
        </w:rPr>
        <w:t>代理人无转委托权。</w:t>
      </w:r>
    </w:p>
    <w:p w14:paraId="37904191">
      <w:pPr>
        <w:spacing w:line="360" w:lineRule="auto"/>
        <w:ind w:firstLine="482" w:firstLineChars="200"/>
        <w:jc w:val="left"/>
        <w:rPr>
          <w:rFonts w:ascii="宋体" w:hAnsi="宋体"/>
          <w:b/>
          <w:bCs/>
          <w:color w:val="auto"/>
          <w:sz w:val="24"/>
          <w:highlight w:val="none"/>
        </w:rPr>
      </w:pPr>
      <w:r>
        <w:rPr>
          <w:rFonts w:hint="eastAsia" w:ascii="宋体" w:hAnsi="宋体"/>
          <w:b/>
          <w:bCs/>
          <w:color w:val="auto"/>
          <w:sz w:val="24"/>
          <w:highlight w:val="none"/>
        </w:rPr>
        <w:t>附法定代表人身份证和委托代理人身份证</w:t>
      </w:r>
    </w:p>
    <w:p w14:paraId="704815B6">
      <w:pPr>
        <w:rPr>
          <w:rFonts w:ascii="宋体" w:hAnsi="宋体"/>
          <w:color w:val="auto"/>
          <w:szCs w:val="20"/>
          <w:highlight w:val="none"/>
        </w:rPr>
      </w:pPr>
    </w:p>
    <w:p w14:paraId="203801CB">
      <w:pPr>
        <w:rPr>
          <w:rFonts w:ascii="宋体" w:hAnsi="宋体"/>
          <w:color w:val="auto"/>
          <w:szCs w:val="20"/>
          <w:highlight w:val="none"/>
        </w:rPr>
      </w:pPr>
    </w:p>
    <w:p w14:paraId="47BCE08D">
      <w:pPr>
        <w:rPr>
          <w:rFonts w:ascii="宋体" w:hAnsi="宋体"/>
          <w:color w:val="auto"/>
          <w:szCs w:val="22"/>
          <w:highlight w:val="none"/>
        </w:rPr>
      </w:pPr>
    </w:p>
    <w:p w14:paraId="5C1D967F">
      <w:pPr>
        <w:pStyle w:val="6"/>
        <w:rPr>
          <w:rFonts w:ascii="宋体" w:hAnsi="宋体"/>
          <w:color w:val="auto"/>
          <w:highlight w:val="none"/>
        </w:rPr>
      </w:pPr>
    </w:p>
    <w:p w14:paraId="37AB0509">
      <w:pPr>
        <w:rPr>
          <w:rFonts w:ascii="宋体" w:hAnsi="宋体"/>
          <w:color w:val="auto"/>
          <w:highlight w:val="none"/>
        </w:rPr>
      </w:pPr>
    </w:p>
    <w:p w14:paraId="1FDBAD13">
      <w:pPr>
        <w:pStyle w:val="6"/>
        <w:rPr>
          <w:rFonts w:ascii="宋体" w:hAnsi="宋体"/>
          <w:color w:val="auto"/>
          <w:highlight w:val="none"/>
        </w:rPr>
      </w:pPr>
    </w:p>
    <w:p w14:paraId="08B3B330">
      <w:pPr>
        <w:rPr>
          <w:rFonts w:ascii="宋体" w:hAnsi="宋体"/>
          <w:color w:val="auto"/>
          <w:highlight w:val="none"/>
        </w:rPr>
      </w:pPr>
    </w:p>
    <w:p w14:paraId="7E3A47D0">
      <w:pPr>
        <w:rPr>
          <w:rFonts w:ascii="宋体" w:hAnsi="宋体"/>
          <w:color w:val="auto"/>
          <w:highlight w:val="none"/>
        </w:rPr>
      </w:pPr>
    </w:p>
    <w:p w14:paraId="192A59F2">
      <w:pPr>
        <w:spacing w:line="360" w:lineRule="auto"/>
        <w:jc w:val="center"/>
        <w:rPr>
          <w:rFonts w:ascii="宋体" w:hAnsi="宋体"/>
          <w:color w:val="auto"/>
          <w:sz w:val="24"/>
          <w:highlight w:val="none"/>
        </w:rPr>
      </w:pPr>
      <w:r>
        <w:rPr>
          <w:rFonts w:hint="eastAsia" w:ascii="宋体" w:hAnsi="宋体"/>
          <w:color w:val="auto"/>
          <w:sz w:val="24"/>
          <w:highlight w:val="none"/>
          <w:lang w:val="en-US" w:eastAsia="zh-CN"/>
        </w:rPr>
        <w:t xml:space="preserve">          供应商：(签章)</w:t>
      </w:r>
    </w:p>
    <w:p w14:paraId="2FFF36FB">
      <w:pPr>
        <w:spacing w:line="360" w:lineRule="auto"/>
        <w:ind w:firstLine="4320" w:firstLineChars="1800"/>
        <w:jc w:val="left"/>
        <w:rPr>
          <w:rFonts w:ascii="宋体" w:hAnsi="宋体"/>
          <w:color w:val="auto"/>
          <w:sz w:val="24"/>
          <w:highlight w:val="none"/>
        </w:rPr>
      </w:pPr>
      <w:r>
        <w:rPr>
          <w:rFonts w:hint="eastAsia" w:ascii="宋体" w:hAnsi="宋体"/>
          <w:color w:val="auto"/>
          <w:sz w:val="24"/>
          <w:highlight w:val="none"/>
        </w:rPr>
        <w:t>法定代表人：</w:t>
      </w:r>
      <w:r>
        <w:rPr>
          <w:rFonts w:ascii="宋体" w:hAnsi="宋体"/>
          <w:color w:val="auto"/>
          <w:sz w:val="24"/>
          <w:highlight w:val="none"/>
        </w:rPr>
        <w:t>（签章）</w:t>
      </w:r>
    </w:p>
    <w:p w14:paraId="32D861C5">
      <w:pPr>
        <w:spacing w:line="360" w:lineRule="auto"/>
        <w:ind w:firstLine="4320" w:firstLineChars="1800"/>
        <w:jc w:val="left"/>
        <w:rPr>
          <w:rFonts w:ascii="宋体" w:hAnsi="宋体"/>
          <w:color w:val="auto"/>
          <w:sz w:val="24"/>
          <w:highlight w:val="none"/>
        </w:rPr>
      </w:pPr>
      <w:r>
        <w:rPr>
          <w:rFonts w:hint="eastAsia" w:ascii="宋体" w:hAnsi="宋体"/>
          <w:color w:val="auto"/>
          <w:sz w:val="24"/>
          <w:highlight w:val="none"/>
        </w:rPr>
        <w:t>身份证号码：</w:t>
      </w:r>
    </w:p>
    <w:p w14:paraId="09E22E96">
      <w:pPr>
        <w:spacing w:line="360" w:lineRule="auto"/>
        <w:ind w:firstLine="4320" w:firstLineChars="1800"/>
        <w:jc w:val="left"/>
        <w:rPr>
          <w:rFonts w:ascii="宋体" w:hAnsi="宋体"/>
          <w:color w:val="auto"/>
          <w:sz w:val="24"/>
          <w:highlight w:val="none"/>
        </w:rPr>
      </w:pPr>
      <w:r>
        <w:rPr>
          <w:rFonts w:hint="eastAsia" w:ascii="宋体" w:hAnsi="宋体"/>
          <w:color w:val="auto"/>
          <w:sz w:val="24"/>
          <w:highlight w:val="none"/>
        </w:rPr>
        <w:t>委托代理人：</w:t>
      </w:r>
    </w:p>
    <w:p w14:paraId="199DD415">
      <w:pPr>
        <w:spacing w:line="360" w:lineRule="auto"/>
        <w:ind w:firstLine="4320" w:firstLineChars="1800"/>
        <w:jc w:val="left"/>
        <w:rPr>
          <w:rFonts w:ascii="宋体" w:hAnsi="宋体"/>
          <w:color w:val="auto"/>
          <w:sz w:val="24"/>
          <w:highlight w:val="none"/>
        </w:rPr>
      </w:pPr>
      <w:r>
        <w:rPr>
          <w:rFonts w:hint="eastAsia" w:ascii="宋体" w:hAnsi="宋体"/>
          <w:color w:val="auto"/>
          <w:sz w:val="24"/>
          <w:highlight w:val="none"/>
        </w:rPr>
        <w:t>身份证号码：</w:t>
      </w:r>
    </w:p>
    <w:p w14:paraId="2D8451A8">
      <w:pPr>
        <w:spacing w:line="360" w:lineRule="auto"/>
        <w:ind w:firstLine="4320" w:firstLineChars="1800"/>
        <w:jc w:val="left"/>
        <w:rPr>
          <w:rFonts w:ascii="宋体" w:hAnsi="宋体"/>
          <w:color w:val="auto"/>
          <w:sz w:val="24"/>
          <w:szCs w:val="22"/>
          <w:highlight w:val="none"/>
        </w:rPr>
      </w:pPr>
      <w:r>
        <w:rPr>
          <w:rFonts w:hint="eastAsia" w:ascii="宋体" w:hAnsi="宋体"/>
          <w:color w:val="auto"/>
          <w:sz w:val="24"/>
          <w:szCs w:val="22"/>
          <w:highlight w:val="none"/>
        </w:rPr>
        <w:t>日 期：</w:t>
      </w:r>
      <w:bookmarkStart w:id="763" w:name="_Hlk36649224"/>
      <w:r>
        <w:rPr>
          <w:rFonts w:hint="eastAsia" w:ascii="宋体" w:hAnsi="宋体"/>
          <w:color w:val="auto"/>
          <w:sz w:val="24"/>
          <w:szCs w:val="22"/>
          <w:highlight w:val="none"/>
        </w:rPr>
        <w:t>年</w:t>
      </w:r>
      <w:r>
        <w:rPr>
          <w:rFonts w:hint="eastAsia" w:ascii="宋体" w:hAnsi="宋体"/>
          <w:color w:val="auto"/>
          <w:sz w:val="24"/>
          <w:szCs w:val="22"/>
          <w:highlight w:val="none"/>
          <w:lang w:val="en-US" w:eastAsia="zh-CN"/>
        </w:rPr>
        <w:t xml:space="preserve"> </w:t>
      </w:r>
      <w:r>
        <w:rPr>
          <w:rFonts w:hint="eastAsia" w:ascii="宋体" w:hAnsi="宋体"/>
          <w:color w:val="auto"/>
          <w:sz w:val="24"/>
          <w:szCs w:val="22"/>
          <w:highlight w:val="none"/>
        </w:rPr>
        <w:t>月</w:t>
      </w:r>
      <w:r>
        <w:rPr>
          <w:rFonts w:hint="eastAsia" w:ascii="宋体" w:hAnsi="宋体"/>
          <w:color w:val="auto"/>
          <w:sz w:val="24"/>
          <w:szCs w:val="22"/>
          <w:highlight w:val="none"/>
          <w:lang w:val="en-US" w:eastAsia="zh-CN"/>
        </w:rPr>
        <w:t xml:space="preserve"> </w:t>
      </w:r>
      <w:r>
        <w:rPr>
          <w:rFonts w:hint="eastAsia" w:ascii="宋体" w:hAnsi="宋体"/>
          <w:color w:val="auto"/>
          <w:sz w:val="24"/>
          <w:szCs w:val="22"/>
          <w:highlight w:val="none"/>
        </w:rPr>
        <w:t>日</w:t>
      </w:r>
      <w:bookmarkEnd w:id="763"/>
    </w:p>
    <w:p w14:paraId="4F83B746">
      <w:pPr>
        <w:rPr>
          <w:rFonts w:hint="eastAsia"/>
          <w:color w:val="auto"/>
          <w:sz w:val="36"/>
          <w:szCs w:val="36"/>
          <w:highlight w:val="none"/>
          <w:u w:val="none"/>
        </w:rPr>
      </w:pPr>
    </w:p>
    <w:p w14:paraId="6F5377F6">
      <w:pPr>
        <w:rPr>
          <w:rFonts w:hint="eastAsia"/>
          <w:color w:val="auto"/>
          <w:sz w:val="36"/>
          <w:szCs w:val="36"/>
          <w:highlight w:val="none"/>
          <w:u w:val="none"/>
        </w:rPr>
      </w:pPr>
      <w:r>
        <w:rPr>
          <w:rFonts w:hint="eastAsia"/>
          <w:color w:val="auto"/>
          <w:sz w:val="36"/>
          <w:szCs w:val="36"/>
          <w:highlight w:val="none"/>
          <w:u w:val="none"/>
        </w:rPr>
        <w:br w:type="page"/>
      </w:r>
    </w:p>
    <w:p w14:paraId="1CC1824B">
      <w:pPr>
        <w:pageBreakBefore w:val="0"/>
        <w:wordWrap w:val="0"/>
        <w:overflowPunct/>
        <w:bidi w:val="0"/>
        <w:jc w:val="center"/>
        <w:rPr>
          <w:b/>
          <w:bCs/>
          <w:color w:val="auto"/>
          <w:sz w:val="32"/>
          <w:szCs w:val="32"/>
          <w:highlight w:val="none"/>
          <w:u w:val="none"/>
        </w:rPr>
      </w:pPr>
      <w:r>
        <w:rPr>
          <w:rFonts w:hint="eastAsia"/>
          <w:color w:val="auto"/>
          <w:sz w:val="36"/>
          <w:szCs w:val="36"/>
          <w:highlight w:val="none"/>
          <w:u w:val="none"/>
        </w:rPr>
        <w:t>二、</w:t>
      </w:r>
      <w:bookmarkEnd w:id="762"/>
      <w:r>
        <w:rPr>
          <w:rFonts w:hint="eastAsia"/>
          <w:b/>
          <w:bCs/>
          <w:color w:val="auto"/>
          <w:sz w:val="32"/>
          <w:szCs w:val="32"/>
          <w:highlight w:val="none"/>
          <w:u w:val="none"/>
        </w:rPr>
        <w:t>投标函</w:t>
      </w:r>
    </w:p>
    <w:p w14:paraId="5B99A2DB">
      <w:pPr>
        <w:pageBreakBefore w:val="0"/>
        <w:wordWrap w:val="0"/>
        <w:overflowPunct/>
        <w:bidi w:val="0"/>
        <w:spacing w:line="360" w:lineRule="auto"/>
        <w:jc w:val="left"/>
        <w:rPr>
          <w:color w:val="auto"/>
          <w:spacing w:val="24"/>
          <w:sz w:val="24"/>
          <w:highlight w:val="none"/>
          <w:u w:val="none"/>
        </w:rPr>
      </w:pPr>
      <w:r>
        <w:rPr>
          <w:rFonts w:hint="eastAsia"/>
          <w:color w:val="auto"/>
          <w:spacing w:val="24"/>
          <w:sz w:val="24"/>
          <w:highlight w:val="none"/>
          <w:u w:val="none"/>
        </w:rPr>
        <w:t>致（采购人）：</w:t>
      </w:r>
    </w:p>
    <w:p w14:paraId="1DE11E3D">
      <w:pPr>
        <w:pageBreakBefore w:val="0"/>
        <w:wordWrap w:val="0"/>
        <w:overflowPunct/>
        <w:bidi w:val="0"/>
        <w:spacing w:line="360" w:lineRule="auto"/>
        <w:ind w:firstLine="480" w:firstLineChars="200"/>
        <w:jc w:val="left"/>
        <w:rPr>
          <w:color w:val="auto"/>
          <w:sz w:val="24"/>
          <w:highlight w:val="none"/>
          <w:u w:val="none"/>
        </w:rPr>
      </w:pPr>
      <w:r>
        <w:rPr>
          <w:rFonts w:hint="eastAsia"/>
          <w:color w:val="auto"/>
          <w:sz w:val="24"/>
          <w:highlight w:val="none"/>
          <w:u w:val="none"/>
        </w:rPr>
        <w:t>根据已收到贵方的（项目名称）</w:t>
      </w:r>
      <w:r>
        <w:rPr>
          <w:rFonts w:hint="eastAsia"/>
          <w:color w:val="auto"/>
          <w:sz w:val="24"/>
          <w:highlight w:val="none"/>
          <w:u w:val="none"/>
          <w:lang w:eastAsia="zh-CN"/>
        </w:rPr>
        <w:t>（标段）</w:t>
      </w:r>
      <w:r>
        <w:rPr>
          <w:rFonts w:hint="eastAsia"/>
          <w:color w:val="auto"/>
          <w:sz w:val="24"/>
          <w:highlight w:val="none"/>
          <w:u w:val="none"/>
        </w:rPr>
        <w:t>（项目编号）的征集文件，遵照《中华人民共和国政府采购法》等有关规定，我单位经研究上述征集文件的投标须知、合同条款、采购需求及其它有关文件后，我方愿以大写：</w:t>
      </w:r>
      <w:r>
        <w:rPr>
          <w:rFonts w:hint="eastAsia"/>
          <w:color w:val="auto"/>
          <w:sz w:val="24"/>
          <w:highlight w:val="none"/>
          <w:u w:val="none"/>
          <w:lang w:val="en-US" w:eastAsia="zh-CN"/>
        </w:rPr>
        <w:t xml:space="preserve"> </w:t>
      </w:r>
      <w:r>
        <w:rPr>
          <w:rFonts w:hint="eastAsia"/>
          <w:color w:val="auto"/>
          <w:sz w:val="24"/>
          <w:highlight w:val="none"/>
          <w:u w:val="none"/>
        </w:rPr>
        <w:t xml:space="preserve">（小写：   </w:t>
      </w:r>
      <w:r>
        <w:rPr>
          <w:rFonts w:hint="eastAsia"/>
          <w:color w:val="auto"/>
          <w:sz w:val="24"/>
          <w:highlight w:val="none"/>
          <w:u w:val="none"/>
          <w:lang w:val="en-US" w:eastAsia="zh-CN"/>
        </w:rPr>
        <w:t xml:space="preserve"> </w:t>
      </w:r>
      <w:r>
        <w:rPr>
          <w:rFonts w:hint="eastAsia"/>
          <w:color w:val="auto"/>
          <w:sz w:val="24"/>
          <w:highlight w:val="none"/>
          <w:u w:val="none"/>
        </w:rPr>
        <w:t>）的投标报价；</w:t>
      </w:r>
      <w:r>
        <w:rPr>
          <w:rFonts w:hint="eastAsia"/>
          <w:color w:val="auto"/>
          <w:sz w:val="24"/>
          <w:highlight w:val="none"/>
          <w:u w:val="none"/>
          <w:lang w:val="en-US" w:eastAsia="zh-CN"/>
        </w:rPr>
        <w:t>服务期（框架协议期限）</w:t>
      </w:r>
      <w:r>
        <w:rPr>
          <w:rFonts w:hint="eastAsia"/>
          <w:color w:val="auto"/>
          <w:sz w:val="24"/>
          <w:highlight w:val="none"/>
          <w:u w:val="none"/>
        </w:rPr>
        <w:t>：      ,质量要求：      ,承包上述项目</w:t>
      </w:r>
      <w:r>
        <w:rPr>
          <w:rFonts w:hint="eastAsia"/>
          <w:color w:val="auto"/>
          <w:sz w:val="24"/>
          <w:highlight w:val="none"/>
          <w:u w:val="none"/>
          <w:shd w:val="clear" w:color="auto" w:fill="FFFFFF"/>
        </w:rPr>
        <w:t>。</w:t>
      </w:r>
    </w:p>
    <w:p w14:paraId="7457FFB2">
      <w:pPr>
        <w:pageBreakBefore w:val="0"/>
        <w:wordWrap w:val="0"/>
        <w:overflowPunct/>
        <w:bidi w:val="0"/>
        <w:spacing w:line="360" w:lineRule="auto"/>
        <w:ind w:firstLine="480" w:firstLineChars="200"/>
        <w:jc w:val="left"/>
        <w:rPr>
          <w:color w:val="auto"/>
          <w:sz w:val="24"/>
          <w:highlight w:val="none"/>
          <w:u w:val="none"/>
        </w:rPr>
      </w:pPr>
      <w:r>
        <w:rPr>
          <w:rFonts w:hint="eastAsia"/>
          <w:color w:val="auto"/>
          <w:sz w:val="24"/>
          <w:highlight w:val="none"/>
          <w:u w:val="none"/>
        </w:rPr>
        <w:t>1.我方已详细审核全部征集文件，包括修改文件（如有）及有关附件，已充分理解并掌握了本招标项目的全部有关情况，认为征集文件符合法律、法规的要求，充分体现了公开、公平、公正和诚实信用原则，我方对征集文件没有任何异议。同意接受征集文件的全部内容和条件。</w:t>
      </w:r>
    </w:p>
    <w:p w14:paraId="1B3622D7">
      <w:pPr>
        <w:pageBreakBefore w:val="0"/>
        <w:wordWrap w:val="0"/>
        <w:overflowPunct/>
        <w:bidi w:val="0"/>
        <w:spacing w:line="360" w:lineRule="auto"/>
        <w:ind w:firstLine="480" w:firstLineChars="200"/>
        <w:jc w:val="left"/>
        <w:rPr>
          <w:color w:val="auto"/>
          <w:sz w:val="24"/>
          <w:highlight w:val="none"/>
          <w:u w:val="none"/>
        </w:rPr>
      </w:pPr>
      <w:r>
        <w:rPr>
          <w:rFonts w:hint="eastAsia"/>
          <w:color w:val="auto"/>
          <w:sz w:val="24"/>
          <w:highlight w:val="none"/>
          <w:u w:val="none"/>
        </w:rPr>
        <w:t>2.我方承认投标函附表是我方投标函的组成部分。</w:t>
      </w:r>
    </w:p>
    <w:p w14:paraId="4BB74162">
      <w:pPr>
        <w:pageBreakBefore w:val="0"/>
        <w:wordWrap w:val="0"/>
        <w:overflowPunct/>
        <w:bidi w:val="0"/>
        <w:spacing w:line="360" w:lineRule="auto"/>
        <w:ind w:firstLine="480" w:firstLineChars="200"/>
        <w:rPr>
          <w:color w:val="auto"/>
          <w:sz w:val="24"/>
          <w:highlight w:val="none"/>
          <w:u w:val="none"/>
        </w:rPr>
      </w:pPr>
      <w:r>
        <w:rPr>
          <w:rFonts w:hint="eastAsia"/>
          <w:color w:val="auto"/>
          <w:sz w:val="24"/>
          <w:highlight w:val="none"/>
          <w:u w:val="none"/>
        </w:rPr>
        <w:t>3.如我方中标，我方承诺在收到中标通知书后，在中标通知书规定的期限内，根据征集文件、我方的响应文件及有关澄清承诺书的要求，与采购人订立书面合同，并按照合同约定承担完成合同的责任和义务。</w:t>
      </w:r>
    </w:p>
    <w:p w14:paraId="30F6A9C8">
      <w:pPr>
        <w:pageBreakBefore w:val="0"/>
        <w:wordWrap w:val="0"/>
        <w:overflowPunct/>
        <w:bidi w:val="0"/>
        <w:spacing w:line="360" w:lineRule="auto"/>
        <w:ind w:firstLine="480" w:firstLineChars="200"/>
        <w:rPr>
          <w:color w:val="auto"/>
          <w:kern w:val="0"/>
          <w:sz w:val="24"/>
          <w:highlight w:val="none"/>
          <w:u w:val="none"/>
        </w:rPr>
      </w:pPr>
      <w:r>
        <w:rPr>
          <w:rFonts w:hint="eastAsia"/>
          <w:color w:val="auto"/>
          <w:sz w:val="24"/>
          <w:highlight w:val="none"/>
          <w:u w:val="none"/>
        </w:rPr>
        <w:t>4.</w:t>
      </w:r>
      <w:r>
        <w:rPr>
          <w:rFonts w:hint="eastAsia"/>
          <w:color w:val="auto"/>
          <w:kern w:val="0"/>
          <w:sz w:val="24"/>
          <w:highlight w:val="none"/>
          <w:u w:val="none"/>
        </w:rPr>
        <w:t>我方同意自本项目征集文件中规定的响应文件有效期内有效，并承诺在响应文件有效期内不修改、撤销响应文件。</w:t>
      </w:r>
    </w:p>
    <w:p w14:paraId="6CF20244">
      <w:pPr>
        <w:pageBreakBefore w:val="0"/>
        <w:wordWrap w:val="0"/>
        <w:overflowPunct/>
        <w:bidi w:val="0"/>
        <w:spacing w:line="360" w:lineRule="auto"/>
        <w:ind w:firstLine="480" w:firstLineChars="200"/>
        <w:rPr>
          <w:color w:val="auto"/>
          <w:kern w:val="0"/>
          <w:sz w:val="24"/>
          <w:highlight w:val="none"/>
          <w:u w:val="none"/>
        </w:rPr>
      </w:pPr>
      <w:r>
        <w:rPr>
          <w:rFonts w:hint="eastAsia"/>
          <w:color w:val="auto"/>
          <w:sz w:val="24"/>
          <w:highlight w:val="none"/>
          <w:u w:val="none"/>
        </w:rPr>
        <w:t>5.</w:t>
      </w:r>
      <w:r>
        <w:rPr>
          <w:rFonts w:hint="eastAsia"/>
          <w:color w:val="auto"/>
          <w:kern w:val="0"/>
          <w:sz w:val="24"/>
          <w:highlight w:val="none"/>
          <w:u w:val="none"/>
        </w:rPr>
        <w:t>我方完全理解贵方不一定接受投标报价最低的供应商为入围供应商的行为。</w:t>
      </w:r>
    </w:p>
    <w:p w14:paraId="605B5093">
      <w:pPr>
        <w:pageBreakBefore w:val="0"/>
        <w:wordWrap w:val="0"/>
        <w:overflowPunct/>
        <w:bidi w:val="0"/>
        <w:spacing w:line="360" w:lineRule="auto"/>
        <w:ind w:firstLine="480" w:firstLineChars="200"/>
        <w:rPr>
          <w:color w:val="auto"/>
          <w:kern w:val="0"/>
          <w:sz w:val="24"/>
          <w:highlight w:val="none"/>
          <w:u w:val="none"/>
        </w:rPr>
      </w:pPr>
      <w:r>
        <w:rPr>
          <w:rFonts w:hint="eastAsia"/>
          <w:color w:val="auto"/>
          <w:sz w:val="24"/>
          <w:highlight w:val="none"/>
          <w:u w:val="none"/>
        </w:rPr>
        <w:t>6.</w:t>
      </w:r>
      <w:r>
        <w:rPr>
          <w:rFonts w:hint="eastAsia"/>
          <w:color w:val="auto"/>
          <w:kern w:val="0"/>
          <w:sz w:val="24"/>
          <w:highlight w:val="none"/>
          <w:u w:val="none"/>
        </w:rPr>
        <w:t>我方在此声明，所递交的响应文件及有关资料内容完整、真实和准确。</w:t>
      </w:r>
    </w:p>
    <w:p w14:paraId="61675402">
      <w:pPr>
        <w:pageBreakBefore w:val="0"/>
        <w:wordWrap w:val="0"/>
        <w:overflowPunct/>
        <w:bidi w:val="0"/>
        <w:spacing w:line="360" w:lineRule="auto"/>
        <w:ind w:firstLine="240" w:firstLineChars="100"/>
        <w:jc w:val="left"/>
        <w:rPr>
          <w:color w:val="auto"/>
          <w:sz w:val="24"/>
          <w:highlight w:val="none"/>
          <w:u w:val="none"/>
        </w:rPr>
      </w:pPr>
    </w:p>
    <w:p w14:paraId="01C2C2D0">
      <w:pPr>
        <w:pageBreakBefore w:val="0"/>
        <w:wordWrap w:val="0"/>
        <w:overflowPunct/>
        <w:bidi w:val="0"/>
        <w:spacing w:line="360" w:lineRule="auto"/>
        <w:ind w:firstLine="1152" w:firstLineChars="400"/>
        <w:jc w:val="left"/>
        <w:rPr>
          <w:color w:val="auto"/>
          <w:spacing w:val="24"/>
          <w:sz w:val="24"/>
          <w:highlight w:val="none"/>
          <w:u w:val="none"/>
        </w:rPr>
      </w:pPr>
    </w:p>
    <w:p w14:paraId="39DC226B">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供应商(签章)：</w:t>
      </w:r>
    </w:p>
    <w:p w14:paraId="3C57CBAB">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法定代表人(签章)：</w:t>
      </w:r>
    </w:p>
    <w:p w14:paraId="4F7CFB42">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日期：  年  月  日</w:t>
      </w:r>
    </w:p>
    <w:p w14:paraId="73326D5A">
      <w:pPr>
        <w:pageBreakBefore w:val="0"/>
        <w:wordWrap w:val="0"/>
        <w:overflowPunct/>
        <w:bidi w:val="0"/>
        <w:rPr>
          <w:color w:val="auto"/>
          <w:sz w:val="24"/>
          <w:highlight w:val="none"/>
          <w:u w:val="none"/>
        </w:rPr>
      </w:pPr>
      <w:r>
        <w:rPr>
          <w:rFonts w:hint="eastAsia"/>
          <w:color w:val="auto"/>
          <w:sz w:val="24"/>
          <w:highlight w:val="none"/>
          <w:u w:val="none"/>
        </w:rPr>
        <w:br w:type="page"/>
      </w:r>
    </w:p>
    <w:p w14:paraId="317A4E58">
      <w:pPr>
        <w:pageBreakBefore w:val="0"/>
        <w:wordWrap w:val="0"/>
        <w:overflowPunct/>
        <w:bidi w:val="0"/>
        <w:spacing w:line="480" w:lineRule="auto"/>
        <w:jc w:val="center"/>
        <w:rPr>
          <w:color w:val="auto"/>
          <w:highlight w:val="none"/>
          <w:u w:val="none"/>
        </w:rPr>
      </w:pPr>
      <w:r>
        <w:rPr>
          <w:rFonts w:hint="eastAsia"/>
          <w:b/>
          <w:bCs/>
          <w:color w:val="auto"/>
          <w:sz w:val="32"/>
          <w:szCs w:val="32"/>
          <w:highlight w:val="none"/>
          <w:u w:val="none"/>
        </w:rPr>
        <w:t>三、投标函附表</w:t>
      </w:r>
    </w:p>
    <w:tbl>
      <w:tblPr>
        <w:tblStyle w:val="22"/>
        <w:tblW w:w="0" w:type="auto"/>
        <w:jc w:val="center"/>
        <w:tblLayout w:type="fixed"/>
        <w:tblCellMar>
          <w:top w:w="0" w:type="dxa"/>
          <w:left w:w="0" w:type="dxa"/>
          <w:bottom w:w="0" w:type="dxa"/>
          <w:right w:w="0" w:type="dxa"/>
        </w:tblCellMar>
      </w:tblPr>
      <w:tblGrid>
        <w:gridCol w:w="2265"/>
        <w:gridCol w:w="2200"/>
        <w:gridCol w:w="2200"/>
        <w:gridCol w:w="2200"/>
      </w:tblGrid>
      <w:tr w14:paraId="54A22777">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vAlign w:val="center"/>
          </w:tcPr>
          <w:p w14:paraId="393B79D1">
            <w:pPr>
              <w:pageBreakBefore w:val="0"/>
              <w:wordWrap w:val="0"/>
              <w:overflowPunct/>
              <w:autoSpaceDE w:val="0"/>
              <w:autoSpaceDN w:val="0"/>
              <w:bidi w:val="0"/>
              <w:spacing w:line="500" w:lineRule="exact"/>
              <w:jc w:val="center"/>
              <w:rPr>
                <w:color w:val="auto"/>
                <w:kern w:val="0"/>
                <w:sz w:val="24"/>
                <w:highlight w:val="none"/>
                <w:u w:val="none"/>
              </w:rPr>
            </w:pPr>
            <w:r>
              <w:rPr>
                <w:rFonts w:hint="eastAsia"/>
                <w:color w:val="auto"/>
                <w:sz w:val="24"/>
                <w:highlight w:val="none"/>
                <w:u w:val="none"/>
              </w:rPr>
              <w:t>项目名称</w:t>
            </w:r>
          </w:p>
        </w:tc>
        <w:tc>
          <w:tcPr>
            <w:tcW w:w="6600" w:type="dxa"/>
            <w:gridSpan w:val="3"/>
            <w:tcBorders>
              <w:top w:val="single" w:color="auto" w:sz="4" w:space="0"/>
              <w:left w:val="nil"/>
              <w:bottom w:val="single" w:color="auto" w:sz="4" w:space="0"/>
              <w:right w:val="single" w:color="auto" w:sz="4" w:space="0"/>
            </w:tcBorders>
            <w:vAlign w:val="center"/>
          </w:tcPr>
          <w:p w14:paraId="15CA74C4">
            <w:pPr>
              <w:pageBreakBefore w:val="0"/>
              <w:wordWrap w:val="0"/>
              <w:overflowPunct/>
              <w:autoSpaceDE w:val="0"/>
              <w:autoSpaceDN w:val="0"/>
              <w:bidi w:val="0"/>
              <w:spacing w:line="500" w:lineRule="exact"/>
              <w:jc w:val="center"/>
              <w:rPr>
                <w:color w:val="auto"/>
                <w:kern w:val="0"/>
                <w:sz w:val="24"/>
                <w:highlight w:val="none"/>
                <w:u w:val="none"/>
              </w:rPr>
            </w:pPr>
          </w:p>
        </w:tc>
      </w:tr>
      <w:tr w14:paraId="601C7D71">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vAlign w:val="center"/>
          </w:tcPr>
          <w:p w14:paraId="2FD714C0">
            <w:pPr>
              <w:pageBreakBefore w:val="0"/>
              <w:wordWrap w:val="0"/>
              <w:overflowPunct/>
              <w:autoSpaceDE w:val="0"/>
              <w:autoSpaceDN w:val="0"/>
              <w:bidi w:val="0"/>
              <w:spacing w:line="500" w:lineRule="exact"/>
              <w:jc w:val="center"/>
              <w:rPr>
                <w:rFonts w:hint="eastAsia" w:eastAsia="宋体"/>
                <w:color w:val="auto"/>
                <w:kern w:val="0"/>
                <w:sz w:val="24"/>
                <w:highlight w:val="none"/>
                <w:u w:val="none"/>
                <w:lang w:eastAsia="zh-CN"/>
              </w:rPr>
            </w:pPr>
            <w:r>
              <w:rPr>
                <w:rFonts w:hint="eastAsia"/>
                <w:color w:val="auto"/>
                <w:kern w:val="0"/>
                <w:sz w:val="24"/>
                <w:highlight w:val="none"/>
                <w:u w:val="none"/>
                <w:lang w:eastAsia="zh-CN"/>
              </w:rPr>
              <w:t>所投标段</w:t>
            </w:r>
          </w:p>
        </w:tc>
        <w:tc>
          <w:tcPr>
            <w:tcW w:w="6600" w:type="dxa"/>
            <w:gridSpan w:val="3"/>
            <w:tcBorders>
              <w:top w:val="single" w:color="auto" w:sz="4" w:space="0"/>
              <w:left w:val="nil"/>
              <w:bottom w:val="single" w:color="auto" w:sz="4" w:space="0"/>
              <w:right w:val="single" w:color="auto" w:sz="4" w:space="0"/>
            </w:tcBorders>
            <w:vAlign w:val="center"/>
          </w:tcPr>
          <w:p w14:paraId="7A1D32F7">
            <w:pPr>
              <w:pageBreakBefore w:val="0"/>
              <w:wordWrap w:val="0"/>
              <w:overflowPunct/>
              <w:autoSpaceDE w:val="0"/>
              <w:autoSpaceDN w:val="0"/>
              <w:bidi w:val="0"/>
              <w:spacing w:line="500" w:lineRule="exact"/>
              <w:jc w:val="center"/>
              <w:rPr>
                <w:color w:val="auto"/>
                <w:kern w:val="0"/>
                <w:sz w:val="24"/>
                <w:highlight w:val="none"/>
                <w:u w:val="none"/>
              </w:rPr>
            </w:pPr>
          </w:p>
        </w:tc>
      </w:tr>
      <w:tr w14:paraId="30581029">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vAlign w:val="center"/>
          </w:tcPr>
          <w:p w14:paraId="45106AF6">
            <w:pPr>
              <w:pageBreakBefore w:val="0"/>
              <w:wordWrap w:val="0"/>
              <w:overflowPunct/>
              <w:autoSpaceDE w:val="0"/>
              <w:autoSpaceDN w:val="0"/>
              <w:bidi w:val="0"/>
              <w:spacing w:line="500" w:lineRule="exact"/>
              <w:jc w:val="center"/>
              <w:rPr>
                <w:color w:val="auto"/>
                <w:kern w:val="0"/>
                <w:sz w:val="24"/>
                <w:highlight w:val="none"/>
                <w:u w:val="none"/>
              </w:rPr>
            </w:pPr>
            <w:r>
              <w:rPr>
                <w:rFonts w:hint="eastAsia"/>
                <w:color w:val="auto"/>
                <w:kern w:val="0"/>
                <w:sz w:val="24"/>
                <w:highlight w:val="none"/>
                <w:u w:val="none"/>
              </w:rPr>
              <w:t>供应商名称</w:t>
            </w:r>
          </w:p>
        </w:tc>
        <w:tc>
          <w:tcPr>
            <w:tcW w:w="6600" w:type="dxa"/>
            <w:gridSpan w:val="3"/>
            <w:tcBorders>
              <w:top w:val="single" w:color="auto" w:sz="4" w:space="0"/>
              <w:left w:val="nil"/>
              <w:bottom w:val="single" w:color="auto" w:sz="4" w:space="0"/>
              <w:right w:val="single" w:color="auto" w:sz="4" w:space="0"/>
            </w:tcBorders>
            <w:vAlign w:val="center"/>
          </w:tcPr>
          <w:p w14:paraId="1484D328">
            <w:pPr>
              <w:pageBreakBefore w:val="0"/>
              <w:wordWrap w:val="0"/>
              <w:overflowPunct/>
              <w:autoSpaceDE w:val="0"/>
              <w:autoSpaceDN w:val="0"/>
              <w:bidi w:val="0"/>
              <w:spacing w:line="500" w:lineRule="exact"/>
              <w:jc w:val="center"/>
              <w:rPr>
                <w:color w:val="auto"/>
                <w:kern w:val="0"/>
                <w:sz w:val="24"/>
                <w:highlight w:val="none"/>
                <w:u w:val="none"/>
              </w:rPr>
            </w:pPr>
          </w:p>
        </w:tc>
      </w:tr>
      <w:tr w14:paraId="5123A95B">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vAlign w:val="center"/>
          </w:tcPr>
          <w:p w14:paraId="250A55A4">
            <w:pPr>
              <w:pageBreakBefore w:val="0"/>
              <w:wordWrap w:val="0"/>
              <w:overflowPunct/>
              <w:autoSpaceDE w:val="0"/>
              <w:autoSpaceDN w:val="0"/>
              <w:bidi w:val="0"/>
              <w:spacing w:line="500" w:lineRule="exact"/>
              <w:jc w:val="center"/>
              <w:rPr>
                <w:color w:val="auto"/>
                <w:kern w:val="0"/>
                <w:sz w:val="24"/>
                <w:highlight w:val="none"/>
                <w:u w:val="none"/>
              </w:rPr>
            </w:pPr>
            <w:r>
              <w:rPr>
                <w:rFonts w:hint="eastAsia"/>
                <w:color w:val="auto"/>
                <w:kern w:val="0"/>
                <w:sz w:val="24"/>
                <w:highlight w:val="none"/>
                <w:u w:val="none"/>
              </w:rPr>
              <w:t>投标报价</w:t>
            </w:r>
          </w:p>
        </w:tc>
        <w:tc>
          <w:tcPr>
            <w:tcW w:w="6600" w:type="dxa"/>
            <w:gridSpan w:val="3"/>
            <w:tcBorders>
              <w:top w:val="single" w:color="auto" w:sz="4" w:space="0"/>
              <w:left w:val="nil"/>
              <w:bottom w:val="single" w:color="auto" w:sz="4" w:space="0"/>
              <w:right w:val="single" w:color="auto" w:sz="4" w:space="0"/>
            </w:tcBorders>
            <w:vAlign w:val="center"/>
          </w:tcPr>
          <w:p w14:paraId="79796D30">
            <w:pPr>
              <w:pageBreakBefore w:val="0"/>
              <w:wordWrap w:val="0"/>
              <w:overflowPunct/>
              <w:autoSpaceDE w:val="0"/>
              <w:autoSpaceDN w:val="0"/>
              <w:bidi w:val="0"/>
              <w:spacing w:line="500" w:lineRule="exact"/>
              <w:rPr>
                <w:color w:val="auto"/>
                <w:kern w:val="0"/>
                <w:sz w:val="24"/>
                <w:highlight w:val="none"/>
                <w:u w:val="none"/>
              </w:rPr>
            </w:pPr>
            <w:r>
              <w:rPr>
                <w:rFonts w:hint="eastAsia"/>
                <w:color w:val="auto"/>
                <w:kern w:val="0"/>
                <w:sz w:val="24"/>
                <w:highlight w:val="none"/>
                <w:u w:val="none"/>
              </w:rPr>
              <w:t xml:space="preserve">大写：        </w:t>
            </w:r>
          </w:p>
          <w:p w14:paraId="3A221A1C">
            <w:pPr>
              <w:pageBreakBefore w:val="0"/>
              <w:wordWrap w:val="0"/>
              <w:overflowPunct/>
              <w:autoSpaceDE w:val="0"/>
              <w:autoSpaceDN w:val="0"/>
              <w:bidi w:val="0"/>
              <w:spacing w:line="500" w:lineRule="exact"/>
              <w:rPr>
                <w:color w:val="auto"/>
                <w:kern w:val="0"/>
                <w:sz w:val="24"/>
                <w:highlight w:val="none"/>
                <w:u w:val="none"/>
              </w:rPr>
            </w:pPr>
            <w:r>
              <w:rPr>
                <w:rFonts w:hint="eastAsia"/>
                <w:color w:val="auto"/>
                <w:kern w:val="0"/>
                <w:sz w:val="24"/>
                <w:highlight w:val="none"/>
                <w:u w:val="none"/>
              </w:rPr>
              <w:t xml:space="preserve">小写：        </w:t>
            </w:r>
          </w:p>
        </w:tc>
      </w:tr>
      <w:tr w14:paraId="16BC53B7">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vAlign w:val="center"/>
          </w:tcPr>
          <w:p w14:paraId="4C4B6E34">
            <w:pPr>
              <w:pageBreakBefore w:val="0"/>
              <w:wordWrap w:val="0"/>
              <w:overflowPunct/>
              <w:autoSpaceDE w:val="0"/>
              <w:autoSpaceDN w:val="0"/>
              <w:bidi w:val="0"/>
              <w:spacing w:line="500" w:lineRule="exact"/>
              <w:jc w:val="center"/>
              <w:rPr>
                <w:color w:val="auto"/>
                <w:kern w:val="0"/>
                <w:sz w:val="24"/>
                <w:highlight w:val="none"/>
                <w:u w:val="none"/>
              </w:rPr>
            </w:pPr>
            <w:r>
              <w:rPr>
                <w:rFonts w:hint="eastAsia"/>
                <w:color w:val="auto"/>
                <w:kern w:val="0"/>
                <w:sz w:val="24"/>
                <w:highlight w:val="none"/>
                <w:u w:val="none"/>
              </w:rPr>
              <w:t>质量要求</w:t>
            </w:r>
          </w:p>
        </w:tc>
        <w:tc>
          <w:tcPr>
            <w:tcW w:w="6600" w:type="dxa"/>
            <w:gridSpan w:val="3"/>
            <w:tcBorders>
              <w:top w:val="single" w:color="auto" w:sz="4" w:space="0"/>
              <w:left w:val="nil"/>
              <w:bottom w:val="single" w:color="auto" w:sz="4" w:space="0"/>
              <w:right w:val="single" w:color="auto" w:sz="4" w:space="0"/>
            </w:tcBorders>
            <w:vAlign w:val="center"/>
          </w:tcPr>
          <w:p w14:paraId="7D9A2775">
            <w:pPr>
              <w:pageBreakBefore w:val="0"/>
              <w:wordWrap w:val="0"/>
              <w:overflowPunct/>
              <w:autoSpaceDE w:val="0"/>
              <w:autoSpaceDN w:val="0"/>
              <w:bidi w:val="0"/>
              <w:spacing w:line="500" w:lineRule="exact"/>
              <w:jc w:val="center"/>
              <w:rPr>
                <w:color w:val="auto"/>
                <w:kern w:val="0"/>
                <w:sz w:val="24"/>
                <w:highlight w:val="none"/>
                <w:u w:val="none"/>
              </w:rPr>
            </w:pPr>
          </w:p>
        </w:tc>
      </w:tr>
      <w:tr w14:paraId="636E336B">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vAlign w:val="center"/>
          </w:tcPr>
          <w:p w14:paraId="7E18E8DF">
            <w:pPr>
              <w:pageBreakBefore w:val="0"/>
              <w:wordWrap w:val="0"/>
              <w:overflowPunct/>
              <w:autoSpaceDE w:val="0"/>
              <w:autoSpaceDN w:val="0"/>
              <w:bidi w:val="0"/>
              <w:spacing w:line="500" w:lineRule="exact"/>
              <w:jc w:val="center"/>
              <w:rPr>
                <w:color w:val="auto"/>
                <w:kern w:val="0"/>
                <w:sz w:val="24"/>
                <w:highlight w:val="none"/>
                <w:u w:val="none"/>
              </w:rPr>
            </w:pPr>
            <w:r>
              <w:rPr>
                <w:rFonts w:hint="eastAsia"/>
                <w:color w:val="auto"/>
                <w:kern w:val="0"/>
                <w:sz w:val="24"/>
                <w:highlight w:val="none"/>
                <w:u w:val="none"/>
                <w:lang w:val="en-US" w:eastAsia="zh-CN"/>
              </w:rPr>
              <w:t>服务期（框架协议期限）</w:t>
            </w:r>
          </w:p>
        </w:tc>
        <w:tc>
          <w:tcPr>
            <w:tcW w:w="6600" w:type="dxa"/>
            <w:gridSpan w:val="3"/>
            <w:tcBorders>
              <w:top w:val="single" w:color="auto" w:sz="4" w:space="0"/>
              <w:left w:val="nil"/>
              <w:bottom w:val="single" w:color="auto" w:sz="4" w:space="0"/>
              <w:right w:val="single" w:color="auto" w:sz="4" w:space="0"/>
            </w:tcBorders>
            <w:vAlign w:val="center"/>
          </w:tcPr>
          <w:p w14:paraId="17F9806D">
            <w:pPr>
              <w:pageBreakBefore w:val="0"/>
              <w:wordWrap w:val="0"/>
              <w:overflowPunct/>
              <w:autoSpaceDE w:val="0"/>
              <w:autoSpaceDN w:val="0"/>
              <w:bidi w:val="0"/>
              <w:spacing w:line="500" w:lineRule="exact"/>
              <w:jc w:val="center"/>
              <w:rPr>
                <w:color w:val="auto"/>
                <w:kern w:val="0"/>
                <w:sz w:val="24"/>
                <w:highlight w:val="none"/>
                <w:u w:val="none"/>
              </w:rPr>
            </w:pPr>
          </w:p>
        </w:tc>
      </w:tr>
      <w:tr w14:paraId="039A2185">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vAlign w:val="center"/>
          </w:tcPr>
          <w:p w14:paraId="65F277B8">
            <w:pPr>
              <w:wordWrap w:val="0"/>
              <w:spacing w:line="440" w:lineRule="exact"/>
              <w:jc w:val="center"/>
              <w:rPr>
                <w:rFonts w:hint="eastAsia"/>
                <w:color w:val="auto"/>
                <w:kern w:val="0"/>
                <w:sz w:val="24"/>
                <w:highlight w:val="none"/>
                <w:u w:val="none"/>
              </w:rPr>
            </w:pPr>
            <w:r>
              <w:rPr>
                <w:rFonts w:hint="eastAsia" w:ascii="宋体" w:hAnsi="宋体"/>
                <w:color w:val="auto"/>
                <w:sz w:val="24"/>
                <w:highlight w:val="none"/>
              </w:rPr>
              <w:t>项目负责人</w:t>
            </w:r>
          </w:p>
        </w:tc>
        <w:tc>
          <w:tcPr>
            <w:tcW w:w="2200" w:type="dxa"/>
            <w:tcBorders>
              <w:top w:val="single" w:color="auto" w:sz="4" w:space="0"/>
              <w:left w:val="nil"/>
              <w:bottom w:val="single" w:color="auto" w:sz="4" w:space="0"/>
              <w:right w:val="single" w:color="auto" w:sz="4" w:space="0"/>
            </w:tcBorders>
            <w:vAlign w:val="center"/>
          </w:tcPr>
          <w:p w14:paraId="385E9ED6">
            <w:pPr>
              <w:wordWrap w:val="0"/>
              <w:spacing w:line="440" w:lineRule="exact"/>
              <w:rPr>
                <w:rFonts w:hint="eastAsia"/>
                <w:color w:val="auto"/>
                <w:kern w:val="0"/>
                <w:sz w:val="24"/>
                <w:highlight w:val="none"/>
                <w:u w:val="none"/>
              </w:rPr>
            </w:pPr>
          </w:p>
        </w:tc>
        <w:tc>
          <w:tcPr>
            <w:tcW w:w="2200" w:type="dxa"/>
            <w:tcBorders>
              <w:top w:val="single" w:color="auto" w:sz="4" w:space="0"/>
              <w:left w:val="nil"/>
              <w:bottom w:val="single" w:color="auto" w:sz="4" w:space="0"/>
              <w:right w:val="single" w:color="auto" w:sz="4" w:space="0"/>
            </w:tcBorders>
            <w:vAlign w:val="center"/>
          </w:tcPr>
          <w:p w14:paraId="77FB2967">
            <w:pPr>
              <w:wordWrap w:val="0"/>
              <w:spacing w:line="440" w:lineRule="exact"/>
              <w:jc w:val="center"/>
              <w:rPr>
                <w:rFonts w:hint="eastAsia"/>
                <w:color w:val="auto"/>
                <w:kern w:val="0"/>
                <w:sz w:val="24"/>
                <w:highlight w:val="none"/>
                <w:u w:val="none"/>
              </w:rPr>
            </w:pPr>
            <w:r>
              <w:rPr>
                <w:rFonts w:hint="eastAsia" w:ascii="宋体" w:hAnsi="宋体"/>
                <w:color w:val="auto"/>
                <w:sz w:val="24"/>
                <w:highlight w:val="none"/>
              </w:rPr>
              <w:t>联系电话</w:t>
            </w:r>
          </w:p>
        </w:tc>
        <w:tc>
          <w:tcPr>
            <w:tcW w:w="2200" w:type="dxa"/>
            <w:tcBorders>
              <w:top w:val="single" w:color="auto" w:sz="4" w:space="0"/>
              <w:left w:val="nil"/>
              <w:bottom w:val="single" w:color="auto" w:sz="4" w:space="0"/>
              <w:right w:val="single" w:color="auto" w:sz="4" w:space="0"/>
            </w:tcBorders>
            <w:vAlign w:val="center"/>
          </w:tcPr>
          <w:p w14:paraId="4C9C68F0">
            <w:pPr>
              <w:pageBreakBefore w:val="0"/>
              <w:wordWrap w:val="0"/>
              <w:overflowPunct/>
              <w:autoSpaceDE w:val="0"/>
              <w:autoSpaceDN w:val="0"/>
              <w:bidi w:val="0"/>
              <w:spacing w:line="500" w:lineRule="exact"/>
              <w:jc w:val="center"/>
              <w:rPr>
                <w:rFonts w:hint="eastAsia"/>
                <w:color w:val="auto"/>
                <w:kern w:val="0"/>
                <w:sz w:val="24"/>
                <w:highlight w:val="none"/>
                <w:u w:val="none"/>
              </w:rPr>
            </w:pPr>
          </w:p>
        </w:tc>
      </w:tr>
      <w:tr w14:paraId="0CB5807E">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vAlign w:val="center"/>
          </w:tcPr>
          <w:p w14:paraId="4A8C1D1F">
            <w:pPr>
              <w:pageBreakBefore w:val="0"/>
              <w:wordWrap w:val="0"/>
              <w:overflowPunct/>
              <w:autoSpaceDE w:val="0"/>
              <w:autoSpaceDN w:val="0"/>
              <w:bidi w:val="0"/>
              <w:spacing w:line="500" w:lineRule="exact"/>
              <w:jc w:val="center"/>
              <w:rPr>
                <w:color w:val="auto"/>
                <w:kern w:val="0"/>
                <w:sz w:val="24"/>
                <w:highlight w:val="none"/>
                <w:u w:val="none"/>
              </w:rPr>
            </w:pPr>
            <w:r>
              <w:rPr>
                <w:rFonts w:hint="eastAsia"/>
                <w:color w:val="auto"/>
                <w:kern w:val="0"/>
                <w:sz w:val="24"/>
                <w:highlight w:val="none"/>
                <w:u w:val="none"/>
              </w:rPr>
              <w:t>响应文件有效期</w:t>
            </w:r>
          </w:p>
        </w:tc>
        <w:tc>
          <w:tcPr>
            <w:tcW w:w="6600" w:type="dxa"/>
            <w:gridSpan w:val="3"/>
            <w:tcBorders>
              <w:top w:val="single" w:color="auto" w:sz="4" w:space="0"/>
              <w:left w:val="nil"/>
              <w:bottom w:val="single" w:color="auto" w:sz="4" w:space="0"/>
              <w:right w:val="single" w:color="auto" w:sz="4" w:space="0"/>
            </w:tcBorders>
            <w:vAlign w:val="center"/>
          </w:tcPr>
          <w:p w14:paraId="49FE8929">
            <w:pPr>
              <w:pageBreakBefore w:val="0"/>
              <w:wordWrap w:val="0"/>
              <w:overflowPunct/>
              <w:autoSpaceDE w:val="0"/>
              <w:autoSpaceDN w:val="0"/>
              <w:bidi w:val="0"/>
              <w:spacing w:line="500" w:lineRule="exact"/>
              <w:jc w:val="center"/>
              <w:rPr>
                <w:color w:val="auto"/>
                <w:kern w:val="0"/>
                <w:sz w:val="24"/>
                <w:highlight w:val="none"/>
                <w:u w:val="none"/>
              </w:rPr>
            </w:pPr>
            <w:r>
              <w:rPr>
                <w:rFonts w:hint="eastAsia"/>
                <w:color w:val="auto"/>
                <w:kern w:val="0"/>
                <w:sz w:val="24"/>
                <w:highlight w:val="none"/>
                <w:u w:val="none"/>
              </w:rPr>
              <w:t>自投标截止之日起</w:t>
            </w:r>
            <w:r>
              <w:rPr>
                <w:color w:val="auto"/>
                <w:kern w:val="0"/>
                <w:sz w:val="24"/>
                <w:highlight w:val="none"/>
                <w:u w:val="none"/>
              </w:rPr>
              <w:t>60日历天</w:t>
            </w:r>
          </w:p>
        </w:tc>
      </w:tr>
      <w:tr w14:paraId="141D2A97">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vAlign w:val="center"/>
          </w:tcPr>
          <w:p w14:paraId="1C49BB70">
            <w:pPr>
              <w:pageBreakBefore w:val="0"/>
              <w:wordWrap w:val="0"/>
              <w:overflowPunct/>
              <w:autoSpaceDE w:val="0"/>
              <w:autoSpaceDN w:val="0"/>
              <w:bidi w:val="0"/>
              <w:spacing w:line="500" w:lineRule="exact"/>
              <w:jc w:val="center"/>
              <w:rPr>
                <w:color w:val="auto"/>
                <w:kern w:val="0"/>
                <w:sz w:val="24"/>
                <w:highlight w:val="none"/>
                <w:u w:val="none"/>
              </w:rPr>
            </w:pPr>
            <w:r>
              <w:rPr>
                <w:rFonts w:hint="eastAsia"/>
                <w:color w:val="auto"/>
                <w:kern w:val="0"/>
                <w:sz w:val="24"/>
                <w:highlight w:val="none"/>
                <w:u w:val="none"/>
              </w:rPr>
              <w:t>备注</w:t>
            </w:r>
          </w:p>
        </w:tc>
        <w:tc>
          <w:tcPr>
            <w:tcW w:w="6600" w:type="dxa"/>
            <w:gridSpan w:val="3"/>
            <w:tcBorders>
              <w:top w:val="single" w:color="auto" w:sz="4" w:space="0"/>
              <w:left w:val="nil"/>
              <w:bottom w:val="single" w:color="auto" w:sz="4" w:space="0"/>
              <w:right w:val="single" w:color="auto" w:sz="4" w:space="0"/>
            </w:tcBorders>
            <w:vAlign w:val="center"/>
          </w:tcPr>
          <w:p w14:paraId="268B472C">
            <w:pPr>
              <w:pageBreakBefore w:val="0"/>
              <w:wordWrap w:val="0"/>
              <w:overflowPunct/>
              <w:autoSpaceDE w:val="0"/>
              <w:autoSpaceDN w:val="0"/>
              <w:bidi w:val="0"/>
              <w:spacing w:line="500" w:lineRule="exact"/>
              <w:jc w:val="center"/>
              <w:rPr>
                <w:color w:val="auto"/>
                <w:kern w:val="0"/>
                <w:sz w:val="24"/>
                <w:highlight w:val="none"/>
                <w:u w:val="none"/>
              </w:rPr>
            </w:pPr>
          </w:p>
        </w:tc>
      </w:tr>
    </w:tbl>
    <w:p w14:paraId="7D664F45">
      <w:pPr>
        <w:pageBreakBefore w:val="0"/>
        <w:wordWrap w:val="0"/>
        <w:overflowPunct/>
        <w:bidi w:val="0"/>
        <w:spacing w:line="480" w:lineRule="auto"/>
        <w:jc w:val="center"/>
        <w:rPr>
          <w:b/>
          <w:bCs/>
          <w:color w:val="auto"/>
          <w:sz w:val="24"/>
          <w:highlight w:val="none"/>
          <w:u w:val="none"/>
        </w:rPr>
      </w:pPr>
    </w:p>
    <w:p w14:paraId="1ABD092E">
      <w:pPr>
        <w:pageBreakBefore w:val="0"/>
        <w:wordWrap w:val="0"/>
        <w:overflowPunct/>
        <w:bidi w:val="0"/>
        <w:spacing w:line="360" w:lineRule="auto"/>
        <w:jc w:val="center"/>
        <w:rPr>
          <w:b/>
          <w:bCs/>
          <w:color w:val="auto"/>
          <w:sz w:val="32"/>
          <w:szCs w:val="32"/>
          <w:highlight w:val="none"/>
          <w:u w:val="none"/>
        </w:rPr>
      </w:pPr>
    </w:p>
    <w:p w14:paraId="3AFBEC61">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供应商(签章)：</w:t>
      </w:r>
    </w:p>
    <w:p w14:paraId="7FFB0323">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法定代表人(签章)：</w:t>
      </w:r>
    </w:p>
    <w:p w14:paraId="781FA903">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日期：  年  月  日</w:t>
      </w:r>
    </w:p>
    <w:p w14:paraId="1459D7A3">
      <w:pPr>
        <w:pageBreakBefore w:val="0"/>
        <w:wordWrap w:val="0"/>
        <w:overflowPunct/>
        <w:bidi w:val="0"/>
        <w:spacing w:line="360" w:lineRule="auto"/>
        <w:jc w:val="center"/>
        <w:rPr>
          <w:b/>
          <w:bCs/>
          <w:color w:val="auto"/>
          <w:sz w:val="32"/>
          <w:szCs w:val="32"/>
          <w:highlight w:val="none"/>
          <w:u w:val="none"/>
        </w:rPr>
      </w:pPr>
      <w:bookmarkStart w:id="764" w:name="_Toc312133598"/>
      <w:r>
        <w:rPr>
          <w:rFonts w:hint="eastAsia"/>
          <w:b/>
          <w:bCs/>
          <w:color w:val="auto"/>
          <w:sz w:val="32"/>
          <w:szCs w:val="32"/>
          <w:highlight w:val="none"/>
          <w:u w:val="none"/>
        </w:rPr>
        <w:t>四、投标承诺函</w:t>
      </w:r>
    </w:p>
    <w:p w14:paraId="7F9299F1">
      <w:pPr>
        <w:pStyle w:val="6"/>
        <w:spacing w:line="360" w:lineRule="auto"/>
        <w:jc w:val="center"/>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1、投标单位基本账户开户许可证</w:t>
      </w:r>
    </w:p>
    <w:p w14:paraId="1B427BBB">
      <w:pPr>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br w:type="page"/>
      </w:r>
    </w:p>
    <w:p w14:paraId="7C2A5BFE">
      <w:pPr>
        <w:jc w:val="center"/>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2、投标承诺书</w:t>
      </w:r>
    </w:p>
    <w:p w14:paraId="3F8B7E5F">
      <w:pPr>
        <w:rPr>
          <w:rFonts w:hint="eastAsia" w:eastAsia="宋体"/>
          <w:color w:val="auto"/>
          <w:sz w:val="24"/>
          <w:highlight w:val="none"/>
          <w:u w:val="none"/>
          <w:lang w:val="en-US" w:eastAsia="zh-CN"/>
        </w:rPr>
      </w:pPr>
    </w:p>
    <w:p w14:paraId="278FD3C2">
      <w:pPr>
        <w:pageBreakBefore w:val="0"/>
        <w:wordWrap w:val="0"/>
        <w:overflowPunct/>
        <w:bidi w:val="0"/>
        <w:spacing w:line="360" w:lineRule="auto"/>
        <w:rPr>
          <w:b/>
          <w:color w:val="auto"/>
          <w:sz w:val="28"/>
          <w:szCs w:val="28"/>
          <w:highlight w:val="none"/>
          <w:u w:val="none"/>
        </w:rPr>
      </w:pPr>
      <w:r>
        <w:rPr>
          <w:rFonts w:hint="eastAsia"/>
          <w:color w:val="auto"/>
          <w:sz w:val="24"/>
          <w:highlight w:val="none"/>
          <w:u w:val="none"/>
        </w:rPr>
        <w:t>致：（采购人名称/代理机构名称）</w:t>
      </w:r>
    </w:p>
    <w:p w14:paraId="6825D01F">
      <w:pPr>
        <w:pageBreakBefore w:val="0"/>
        <w:wordWrap w:val="0"/>
        <w:overflowPunct/>
        <w:bidi w:val="0"/>
        <w:spacing w:line="460" w:lineRule="exact"/>
        <w:ind w:firstLine="480" w:firstLineChars="200"/>
        <w:rPr>
          <w:color w:val="auto"/>
          <w:sz w:val="24"/>
          <w:highlight w:val="none"/>
          <w:u w:val="none"/>
        </w:rPr>
      </w:pPr>
      <w:r>
        <w:rPr>
          <w:rFonts w:hint="eastAsia"/>
          <w:color w:val="auto"/>
          <w:sz w:val="24"/>
          <w:highlight w:val="none"/>
          <w:u w:val="none"/>
        </w:rPr>
        <w:t>我公司作为本次采购项目的投标供应商，根据征集文件要求，现郑重承诺如下：</w:t>
      </w:r>
    </w:p>
    <w:p w14:paraId="68E873F7">
      <w:pPr>
        <w:pageBreakBefore w:val="0"/>
        <w:wordWrap w:val="0"/>
        <w:overflowPunct/>
        <w:bidi w:val="0"/>
        <w:spacing w:line="460" w:lineRule="exact"/>
        <w:ind w:firstLine="480"/>
        <w:rPr>
          <w:color w:val="auto"/>
          <w:sz w:val="24"/>
          <w:highlight w:val="none"/>
          <w:u w:val="none"/>
        </w:rPr>
      </w:pPr>
      <w:r>
        <w:rPr>
          <w:rFonts w:hint="eastAsia"/>
          <w:color w:val="auto"/>
          <w:sz w:val="24"/>
          <w:highlight w:val="none"/>
          <w:u w:val="none"/>
        </w:rPr>
        <w:t>1.我方完全接受和满足本项目征集文件中规定的实质性要求，不存在对征集文件有异议的同时参加本次采购活动。</w:t>
      </w:r>
    </w:p>
    <w:p w14:paraId="1830D50A">
      <w:pPr>
        <w:pageBreakBefore w:val="0"/>
        <w:wordWrap w:val="0"/>
        <w:overflowPunct/>
        <w:bidi w:val="0"/>
        <w:spacing w:line="460" w:lineRule="exact"/>
        <w:ind w:firstLine="480"/>
        <w:rPr>
          <w:color w:val="auto"/>
          <w:sz w:val="24"/>
          <w:highlight w:val="none"/>
          <w:u w:val="none"/>
        </w:rPr>
      </w:pPr>
      <w:r>
        <w:rPr>
          <w:rFonts w:hint="eastAsia"/>
          <w:color w:val="auto"/>
          <w:sz w:val="24"/>
          <w:highlight w:val="none"/>
          <w:u w:val="none"/>
        </w:rPr>
        <w:t>2.参加本次采购活动，不存在与单位负责人为同一人或者存在直接控股、管理关系的其他供应商参与同一合同项下的政府采购活动的行为。</w:t>
      </w:r>
    </w:p>
    <w:p w14:paraId="231B78DD">
      <w:pPr>
        <w:pageBreakBefore w:val="0"/>
        <w:wordWrap w:val="0"/>
        <w:overflowPunct/>
        <w:bidi w:val="0"/>
        <w:spacing w:line="460" w:lineRule="exact"/>
        <w:ind w:firstLine="480"/>
        <w:rPr>
          <w:color w:val="auto"/>
          <w:sz w:val="24"/>
          <w:highlight w:val="none"/>
          <w:u w:val="none"/>
        </w:rPr>
      </w:pPr>
      <w:r>
        <w:rPr>
          <w:rFonts w:hint="eastAsia"/>
          <w:color w:val="auto"/>
          <w:sz w:val="24"/>
          <w:highlight w:val="none"/>
          <w:u w:val="none"/>
        </w:rPr>
        <w:t>3.我方参加政府采购活动无商业贿赂和不正当竞争行为。</w:t>
      </w:r>
    </w:p>
    <w:p w14:paraId="2E8C36F3">
      <w:pPr>
        <w:pageBreakBefore w:val="0"/>
        <w:wordWrap w:val="0"/>
        <w:overflowPunct/>
        <w:bidi w:val="0"/>
        <w:spacing w:line="460" w:lineRule="exact"/>
        <w:ind w:firstLine="480" w:firstLineChars="200"/>
        <w:rPr>
          <w:color w:val="auto"/>
          <w:sz w:val="24"/>
          <w:highlight w:val="none"/>
          <w:u w:val="none"/>
        </w:rPr>
      </w:pPr>
      <w:r>
        <w:rPr>
          <w:rFonts w:hint="eastAsia"/>
          <w:color w:val="auto"/>
          <w:sz w:val="24"/>
          <w:highlight w:val="none"/>
          <w:u w:val="none"/>
        </w:rPr>
        <w:t>4.存在以下行为之一的愿意接受相关部门的处理：</w:t>
      </w:r>
    </w:p>
    <w:p w14:paraId="4768EBC1">
      <w:pPr>
        <w:pageBreakBefore w:val="0"/>
        <w:wordWrap w:val="0"/>
        <w:overflowPunct/>
        <w:bidi w:val="0"/>
        <w:spacing w:line="460" w:lineRule="exact"/>
        <w:ind w:firstLine="480"/>
        <w:rPr>
          <w:color w:val="auto"/>
          <w:sz w:val="24"/>
          <w:highlight w:val="none"/>
          <w:u w:val="none"/>
        </w:rPr>
      </w:pPr>
      <w:r>
        <w:rPr>
          <w:rFonts w:hint="eastAsia"/>
          <w:color w:val="auto"/>
          <w:sz w:val="24"/>
          <w:highlight w:val="none"/>
          <w:u w:val="none"/>
        </w:rPr>
        <w:t>（1）响应文件有效期内撤回响应文件的；</w:t>
      </w:r>
    </w:p>
    <w:p w14:paraId="05D27C2F">
      <w:pPr>
        <w:pageBreakBefore w:val="0"/>
        <w:wordWrap w:val="0"/>
        <w:overflowPunct/>
        <w:bidi w:val="0"/>
        <w:spacing w:line="460" w:lineRule="exact"/>
        <w:ind w:firstLine="480"/>
        <w:rPr>
          <w:color w:val="auto"/>
          <w:sz w:val="24"/>
          <w:highlight w:val="none"/>
          <w:u w:val="none"/>
        </w:rPr>
      </w:pPr>
      <w:r>
        <w:rPr>
          <w:rFonts w:hint="eastAsia"/>
          <w:color w:val="auto"/>
          <w:sz w:val="24"/>
          <w:highlight w:val="none"/>
          <w:u w:val="none"/>
        </w:rPr>
        <w:t>（2）在采购人确定入围供应商以前放弃入围候选资格的；</w:t>
      </w:r>
    </w:p>
    <w:p w14:paraId="3BAE4165">
      <w:pPr>
        <w:pageBreakBefore w:val="0"/>
        <w:wordWrap w:val="0"/>
        <w:overflowPunct/>
        <w:bidi w:val="0"/>
        <w:spacing w:line="460" w:lineRule="exact"/>
        <w:ind w:firstLine="480"/>
        <w:rPr>
          <w:color w:val="auto"/>
          <w:sz w:val="24"/>
          <w:highlight w:val="none"/>
          <w:u w:val="none"/>
        </w:rPr>
      </w:pPr>
      <w:r>
        <w:rPr>
          <w:rFonts w:hint="eastAsia"/>
          <w:color w:val="auto"/>
          <w:sz w:val="24"/>
          <w:highlight w:val="none"/>
          <w:u w:val="none"/>
        </w:rPr>
        <w:t>（3）除不可抗力的因素外，由于入围供应商的原因未能按照征集文件的规定与采购人签订合同；</w:t>
      </w:r>
    </w:p>
    <w:p w14:paraId="7B872E8C">
      <w:pPr>
        <w:pageBreakBefore w:val="0"/>
        <w:wordWrap w:val="0"/>
        <w:overflowPunct/>
        <w:bidi w:val="0"/>
        <w:spacing w:line="460" w:lineRule="exact"/>
        <w:ind w:firstLine="480"/>
        <w:rPr>
          <w:color w:val="auto"/>
          <w:sz w:val="24"/>
          <w:highlight w:val="none"/>
          <w:u w:val="none"/>
        </w:rPr>
      </w:pPr>
      <w:r>
        <w:rPr>
          <w:rFonts w:hint="eastAsia"/>
          <w:color w:val="auto"/>
          <w:sz w:val="24"/>
          <w:highlight w:val="none"/>
          <w:u w:val="none"/>
        </w:rPr>
        <w:t>（4）在征集文件中提供虚假材料谋取中标；</w:t>
      </w:r>
    </w:p>
    <w:p w14:paraId="4969DF8A">
      <w:pPr>
        <w:pageBreakBefore w:val="0"/>
        <w:wordWrap w:val="0"/>
        <w:overflowPunct/>
        <w:bidi w:val="0"/>
        <w:spacing w:line="460" w:lineRule="exact"/>
        <w:ind w:firstLine="480"/>
        <w:rPr>
          <w:color w:val="auto"/>
          <w:sz w:val="24"/>
          <w:highlight w:val="none"/>
          <w:u w:val="none"/>
        </w:rPr>
      </w:pPr>
      <w:r>
        <w:rPr>
          <w:rFonts w:hint="eastAsia"/>
          <w:color w:val="auto"/>
          <w:sz w:val="24"/>
          <w:highlight w:val="none"/>
          <w:u w:val="none"/>
        </w:rPr>
        <w:t>（5）与采购人、其他供应商或者采购代理机构恶意串通的；</w:t>
      </w:r>
    </w:p>
    <w:p w14:paraId="3EE1CE7F">
      <w:pPr>
        <w:pageBreakBefore w:val="0"/>
        <w:wordWrap w:val="0"/>
        <w:overflowPunct/>
        <w:bidi w:val="0"/>
        <w:spacing w:line="460" w:lineRule="exact"/>
        <w:ind w:firstLine="480"/>
        <w:rPr>
          <w:color w:val="auto"/>
          <w:sz w:val="24"/>
          <w:highlight w:val="none"/>
          <w:u w:val="none"/>
        </w:rPr>
      </w:pPr>
      <w:r>
        <w:rPr>
          <w:rFonts w:hint="eastAsia"/>
          <w:color w:val="auto"/>
          <w:sz w:val="24"/>
          <w:highlight w:val="none"/>
          <w:u w:val="none"/>
        </w:rPr>
        <w:t>（6）响应文件有效期内，投标供应商在政府采购活动中有违法、违规、违纪行为。</w:t>
      </w:r>
    </w:p>
    <w:p w14:paraId="4EB39138">
      <w:pPr>
        <w:pageBreakBefore w:val="0"/>
        <w:wordWrap w:val="0"/>
        <w:overflowPunct/>
        <w:bidi w:val="0"/>
        <w:spacing w:line="460" w:lineRule="exact"/>
        <w:ind w:firstLine="480"/>
        <w:rPr>
          <w:color w:val="auto"/>
          <w:sz w:val="24"/>
          <w:highlight w:val="none"/>
          <w:u w:val="none"/>
        </w:rPr>
      </w:pPr>
      <w:r>
        <w:rPr>
          <w:rFonts w:hint="eastAsia"/>
          <w:color w:val="auto"/>
          <w:sz w:val="24"/>
          <w:highlight w:val="none"/>
          <w:u w:val="none"/>
        </w:rPr>
        <w:t>由此产生的一切法律后果和责任由我公司承担。我公司声明放弃对此提出任何异议和追索的权利。</w:t>
      </w:r>
    </w:p>
    <w:p w14:paraId="32E8EBF2">
      <w:pPr>
        <w:pageBreakBefore w:val="0"/>
        <w:wordWrap w:val="0"/>
        <w:overflowPunct/>
        <w:bidi w:val="0"/>
        <w:spacing w:line="460" w:lineRule="exact"/>
        <w:ind w:firstLine="480"/>
        <w:rPr>
          <w:b/>
          <w:bCs/>
          <w:color w:val="auto"/>
          <w:kern w:val="0"/>
          <w:sz w:val="30"/>
          <w:highlight w:val="none"/>
          <w:u w:val="none"/>
          <w:shd w:val="clear" w:color="auto" w:fill="FFFFFF"/>
        </w:rPr>
      </w:pPr>
      <w:r>
        <w:rPr>
          <w:rFonts w:hint="eastAsia"/>
          <w:color w:val="auto"/>
          <w:sz w:val="24"/>
          <w:highlight w:val="none"/>
          <w:u w:val="none"/>
        </w:rPr>
        <w:t>本公司对上述承诺的内容事项真实性负责。如经查实上述承诺的内容事项存在虚假，我公司愿意接受以提供虚假材料谋取中标追究法律责任。</w:t>
      </w:r>
    </w:p>
    <w:p w14:paraId="6574D0A2">
      <w:pPr>
        <w:pageBreakBefore w:val="0"/>
        <w:wordWrap w:val="0"/>
        <w:overflowPunct/>
        <w:bidi w:val="0"/>
        <w:spacing w:line="360" w:lineRule="auto"/>
        <w:jc w:val="center"/>
        <w:rPr>
          <w:b/>
          <w:bCs/>
          <w:color w:val="auto"/>
          <w:sz w:val="24"/>
          <w:highlight w:val="none"/>
          <w:u w:val="none"/>
        </w:rPr>
      </w:pPr>
    </w:p>
    <w:p w14:paraId="67924E79">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供应商(签章)：</w:t>
      </w:r>
    </w:p>
    <w:p w14:paraId="4A2A1BEF">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法定代表人(签章)：</w:t>
      </w:r>
    </w:p>
    <w:p w14:paraId="38558DF2">
      <w:pPr>
        <w:pageBreakBefore w:val="0"/>
        <w:tabs>
          <w:tab w:val="left" w:pos="5380"/>
          <w:tab w:val="left" w:pos="6520"/>
          <w:tab w:val="left" w:pos="7680"/>
        </w:tabs>
        <w:wordWrap w:val="0"/>
        <w:overflowPunct/>
        <w:autoSpaceDE w:val="0"/>
        <w:autoSpaceDN w:val="0"/>
        <w:bidi w:val="0"/>
        <w:adjustRightInd w:val="0"/>
        <w:spacing w:line="360" w:lineRule="auto"/>
        <w:ind w:firstLine="6240" w:firstLineChars="2600"/>
        <w:jc w:val="left"/>
        <w:rPr>
          <w:bCs/>
          <w:color w:val="auto"/>
          <w:kern w:val="0"/>
          <w:szCs w:val="21"/>
          <w:highlight w:val="none"/>
          <w:u w:val="none"/>
        </w:rPr>
      </w:pPr>
      <w:r>
        <w:rPr>
          <w:rFonts w:hint="eastAsia"/>
          <w:color w:val="auto"/>
          <w:sz w:val="24"/>
          <w:highlight w:val="none"/>
          <w:u w:val="none"/>
        </w:rPr>
        <w:t xml:space="preserve">    日期：  年  月  日</w:t>
      </w:r>
    </w:p>
    <w:p w14:paraId="087FC3BD">
      <w:pPr>
        <w:pStyle w:val="9"/>
        <w:pageBreakBefore w:val="0"/>
        <w:wordWrap w:val="0"/>
        <w:overflowPunct/>
        <w:bidi w:val="0"/>
        <w:spacing w:line="360" w:lineRule="auto"/>
        <w:rPr>
          <w:rFonts w:hAnsi="宋体"/>
          <w:color w:val="auto"/>
          <w:highlight w:val="none"/>
          <w:u w:val="none"/>
        </w:rPr>
      </w:pPr>
    </w:p>
    <w:p w14:paraId="35316821">
      <w:pPr>
        <w:pageBreakBefore w:val="0"/>
        <w:wordWrap w:val="0"/>
        <w:overflowPunct/>
        <w:bidi w:val="0"/>
        <w:spacing w:line="360" w:lineRule="auto"/>
        <w:rPr>
          <w:color w:val="auto"/>
          <w:highlight w:val="none"/>
          <w:u w:val="none"/>
        </w:rPr>
      </w:pPr>
    </w:p>
    <w:p w14:paraId="6B170AB5">
      <w:pPr>
        <w:pageBreakBefore w:val="0"/>
        <w:wordWrap w:val="0"/>
        <w:overflowPunct/>
        <w:bidi w:val="0"/>
        <w:jc w:val="center"/>
        <w:rPr>
          <w:b/>
          <w:bCs/>
          <w:color w:val="auto"/>
          <w:sz w:val="32"/>
          <w:szCs w:val="32"/>
          <w:highlight w:val="none"/>
          <w:u w:val="none"/>
        </w:rPr>
      </w:pPr>
      <w:r>
        <w:rPr>
          <w:rFonts w:hint="eastAsia"/>
          <w:color w:val="auto"/>
          <w:sz w:val="24"/>
          <w:highlight w:val="none"/>
          <w:u w:val="none"/>
        </w:rPr>
        <w:br w:type="page"/>
      </w:r>
      <w:bookmarkEnd w:id="764"/>
      <w:r>
        <w:rPr>
          <w:rFonts w:hint="eastAsia"/>
          <w:b/>
          <w:bCs/>
          <w:color w:val="auto"/>
          <w:sz w:val="32"/>
          <w:szCs w:val="32"/>
          <w:highlight w:val="none"/>
          <w:u w:val="none"/>
        </w:rPr>
        <w:t>五、供应商资格审查证明文件</w:t>
      </w:r>
    </w:p>
    <w:p w14:paraId="63228ED5">
      <w:pPr>
        <w:pageBreakBefore w:val="0"/>
        <w:wordWrap w:val="0"/>
        <w:overflowPunct/>
        <w:bidi w:val="0"/>
        <w:rPr>
          <w:color w:val="auto"/>
          <w:sz w:val="24"/>
          <w:highlight w:val="none"/>
          <w:u w:val="none"/>
        </w:rPr>
      </w:pPr>
      <w:r>
        <w:rPr>
          <w:rFonts w:hint="eastAsia"/>
          <w:color w:val="auto"/>
          <w:sz w:val="24"/>
          <w:highlight w:val="none"/>
          <w:u w:val="none"/>
        </w:rPr>
        <w:br w:type="page"/>
      </w:r>
    </w:p>
    <w:p w14:paraId="7B6C40E3">
      <w:pPr>
        <w:pageBreakBefore w:val="0"/>
        <w:wordWrap w:val="0"/>
        <w:overflowPunct/>
        <w:bidi w:val="0"/>
        <w:jc w:val="center"/>
        <w:rPr>
          <w:b/>
          <w:bCs/>
          <w:color w:val="auto"/>
          <w:sz w:val="32"/>
          <w:szCs w:val="32"/>
          <w:highlight w:val="none"/>
          <w:u w:val="none"/>
        </w:rPr>
      </w:pPr>
      <w:r>
        <w:rPr>
          <w:rFonts w:hint="eastAsia"/>
          <w:b/>
          <w:bCs/>
          <w:color w:val="auto"/>
          <w:sz w:val="32"/>
          <w:szCs w:val="32"/>
          <w:highlight w:val="none"/>
          <w:u w:val="none"/>
        </w:rPr>
        <w:t>六、技术部分</w:t>
      </w:r>
    </w:p>
    <w:p w14:paraId="6972CE5A">
      <w:pPr>
        <w:pageBreakBefore w:val="0"/>
        <w:wordWrap w:val="0"/>
        <w:overflowPunct/>
        <w:bidi w:val="0"/>
        <w:rPr>
          <w:color w:val="auto"/>
          <w:highlight w:val="none"/>
          <w:u w:val="none"/>
        </w:rPr>
      </w:pPr>
      <w:r>
        <w:rPr>
          <w:rFonts w:hint="eastAsia"/>
          <w:color w:val="auto"/>
          <w:highlight w:val="none"/>
          <w:u w:val="none"/>
        </w:rPr>
        <w:br w:type="page"/>
      </w:r>
    </w:p>
    <w:p w14:paraId="667F27B8">
      <w:pPr>
        <w:pStyle w:val="9"/>
        <w:pageBreakBefore w:val="0"/>
        <w:wordWrap w:val="0"/>
        <w:overflowPunct/>
        <w:bidi w:val="0"/>
        <w:jc w:val="center"/>
        <w:rPr>
          <w:rFonts w:hAnsi="宋体"/>
          <w:b/>
          <w:bCs/>
          <w:color w:val="auto"/>
          <w:kern w:val="2"/>
          <w:sz w:val="32"/>
          <w:szCs w:val="32"/>
          <w:highlight w:val="none"/>
          <w:u w:val="none"/>
        </w:rPr>
      </w:pPr>
      <w:r>
        <w:rPr>
          <w:rFonts w:hint="eastAsia" w:hAnsi="宋体"/>
          <w:b/>
          <w:bCs/>
          <w:color w:val="auto"/>
          <w:kern w:val="2"/>
          <w:sz w:val="32"/>
          <w:szCs w:val="32"/>
          <w:highlight w:val="none"/>
          <w:u w:val="none"/>
        </w:rPr>
        <w:t>七、商务部分</w:t>
      </w:r>
    </w:p>
    <w:p w14:paraId="69A48025">
      <w:pPr>
        <w:pageBreakBefore w:val="0"/>
        <w:wordWrap w:val="0"/>
        <w:overflowPunct/>
        <w:bidi w:val="0"/>
        <w:rPr>
          <w:color w:val="auto"/>
          <w:highlight w:val="none"/>
          <w:u w:val="none"/>
        </w:rPr>
      </w:pPr>
      <w:r>
        <w:rPr>
          <w:rFonts w:hint="eastAsia"/>
          <w:color w:val="auto"/>
          <w:highlight w:val="none"/>
          <w:u w:val="none"/>
        </w:rPr>
        <w:br w:type="page"/>
      </w:r>
    </w:p>
    <w:p w14:paraId="20685F43">
      <w:pPr>
        <w:pageBreakBefore w:val="0"/>
        <w:wordWrap w:val="0"/>
        <w:overflowPunct/>
        <w:bidi w:val="0"/>
        <w:snapToGrid w:val="0"/>
        <w:spacing w:line="500" w:lineRule="exact"/>
        <w:ind w:left="73" w:leftChars="-72" w:right="-817" w:rightChars="-389" w:hanging="224" w:hangingChars="62"/>
        <w:jc w:val="center"/>
        <w:rPr>
          <w:b/>
          <w:bCs/>
          <w:color w:val="auto"/>
          <w:sz w:val="32"/>
          <w:szCs w:val="32"/>
          <w:highlight w:val="none"/>
          <w:u w:val="none"/>
        </w:rPr>
      </w:pPr>
      <w:r>
        <w:rPr>
          <w:rFonts w:hint="eastAsia"/>
          <w:b/>
          <w:bCs/>
          <w:color w:val="auto"/>
          <w:sz w:val="36"/>
          <w:szCs w:val="36"/>
          <w:highlight w:val="none"/>
          <w:u w:val="none"/>
        </w:rPr>
        <w:t>八、</w:t>
      </w:r>
      <w:r>
        <w:rPr>
          <w:rFonts w:hint="eastAsia"/>
          <w:b/>
          <w:bCs/>
          <w:color w:val="auto"/>
          <w:sz w:val="32"/>
          <w:szCs w:val="32"/>
          <w:highlight w:val="none"/>
          <w:u w:val="none"/>
        </w:rPr>
        <w:t>投标供应商基本情况表</w:t>
      </w:r>
    </w:p>
    <w:p w14:paraId="3D2B408E">
      <w:pPr>
        <w:keepNext/>
        <w:keepLines/>
        <w:pageBreakBefore w:val="0"/>
        <w:wordWrap w:val="0"/>
        <w:overflowPunct/>
        <w:bidi w:val="0"/>
        <w:spacing w:before="160" w:after="160" w:line="500" w:lineRule="exact"/>
        <w:ind w:left="-106" w:hanging="284"/>
        <w:jc w:val="center"/>
        <w:textAlignment w:val="baseline"/>
        <w:rPr>
          <w:b/>
          <w:bCs/>
          <w:color w:val="auto"/>
          <w:sz w:val="24"/>
          <w:highlight w:val="none"/>
          <w:u w:val="none"/>
        </w:rPr>
      </w:pPr>
      <w:r>
        <w:rPr>
          <w:rFonts w:hint="eastAsia"/>
          <w:b/>
          <w:bCs/>
          <w:color w:val="auto"/>
          <w:sz w:val="24"/>
          <w:highlight w:val="none"/>
          <w:u w:val="none"/>
        </w:rPr>
        <w:t>（</w:t>
      </w:r>
      <w:r>
        <w:rPr>
          <w:rFonts w:hint="eastAsia"/>
          <w:b/>
          <w:bCs/>
          <w:color w:val="auto"/>
          <w:sz w:val="24"/>
          <w:highlight w:val="none"/>
          <w:u w:val="none"/>
          <w:lang w:val="en-US" w:eastAsia="zh-CN"/>
        </w:rPr>
        <w:t>1</w:t>
      </w:r>
      <w:r>
        <w:rPr>
          <w:rFonts w:hint="eastAsia"/>
          <w:b/>
          <w:bCs/>
          <w:color w:val="auto"/>
          <w:sz w:val="24"/>
          <w:highlight w:val="none"/>
          <w:u w:val="none"/>
        </w:rPr>
        <w:t>）投标供应商基本信息表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894"/>
        <w:gridCol w:w="3039"/>
        <w:gridCol w:w="1268"/>
        <w:gridCol w:w="2794"/>
      </w:tblGrid>
      <w:tr w14:paraId="0C19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1912" w:type="dxa"/>
            <w:vAlign w:val="center"/>
          </w:tcPr>
          <w:p w14:paraId="234986AB">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投标供应商名称</w:t>
            </w:r>
          </w:p>
        </w:tc>
        <w:tc>
          <w:tcPr>
            <w:tcW w:w="7995" w:type="dxa"/>
            <w:gridSpan w:val="4"/>
            <w:vAlign w:val="center"/>
          </w:tcPr>
          <w:p w14:paraId="74CC7C90">
            <w:pPr>
              <w:wordWrap w:val="0"/>
              <w:spacing w:line="360" w:lineRule="auto"/>
              <w:jc w:val="center"/>
              <w:rPr>
                <w:rFonts w:ascii="宋体" w:hAnsi="宋体"/>
                <w:bCs/>
                <w:color w:val="auto"/>
                <w:kern w:val="0"/>
                <w:sz w:val="24"/>
                <w:highlight w:val="none"/>
              </w:rPr>
            </w:pPr>
          </w:p>
        </w:tc>
      </w:tr>
      <w:tr w14:paraId="4052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912" w:type="dxa"/>
            <w:vAlign w:val="center"/>
          </w:tcPr>
          <w:p w14:paraId="2B8AA530">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注册地址</w:t>
            </w:r>
          </w:p>
        </w:tc>
        <w:tc>
          <w:tcPr>
            <w:tcW w:w="3933" w:type="dxa"/>
            <w:gridSpan w:val="2"/>
            <w:vAlign w:val="center"/>
          </w:tcPr>
          <w:p w14:paraId="68E1D923">
            <w:pPr>
              <w:wordWrap w:val="0"/>
              <w:spacing w:line="360" w:lineRule="auto"/>
              <w:jc w:val="center"/>
              <w:rPr>
                <w:rFonts w:ascii="宋体" w:hAnsi="宋体"/>
                <w:bCs/>
                <w:color w:val="auto"/>
                <w:kern w:val="0"/>
                <w:sz w:val="24"/>
                <w:highlight w:val="none"/>
              </w:rPr>
            </w:pPr>
          </w:p>
        </w:tc>
        <w:tc>
          <w:tcPr>
            <w:tcW w:w="1268" w:type="dxa"/>
            <w:vAlign w:val="center"/>
          </w:tcPr>
          <w:p w14:paraId="499ABE1E">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注册时间</w:t>
            </w:r>
          </w:p>
        </w:tc>
        <w:tc>
          <w:tcPr>
            <w:tcW w:w="2794" w:type="dxa"/>
            <w:vAlign w:val="center"/>
          </w:tcPr>
          <w:p w14:paraId="45A10214">
            <w:pPr>
              <w:wordWrap w:val="0"/>
              <w:spacing w:line="360" w:lineRule="auto"/>
              <w:jc w:val="center"/>
              <w:rPr>
                <w:rFonts w:ascii="宋体" w:hAnsi="宋体"/>
                <w:bCs/>
                <w:color w:val="auto"/>
                <w:kern w:val="0"/>
                <w:sz w:val="24"/>
                <w:highlight w:val="none"/>
              </w:rPr>
            </w:pPr>
          </w:p>
        </w:tc>
      </w:tr>
      <w:tr w14:paraId="10E9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1912" w:type="dxa"/>
            <w:vAlign w:val="center"/>
          </w:tcPr>
          <w:p w14:paraId="192E35BA">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法定代表人</w:t>
            </w:r>
          </w:p>
        </w:tc>
        <w:tc>
          <w:tcPr>
            <w:tcW w:w="894" w:type="dxa"/>
            <w:vAlign w:val="center"/>
          </w:tcPr>
          <w:p w14:paraId="1A2347C4">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姓名</w:t>
            </w:r>
          </w:p>
        </w:tc>
        <w:tc>
          <w:tcPr>
            <w:tcW w:w="3039" w:type="dxa"/>
            <w:vAlign w:val="center"/>
          </w:tcPr>
          <w:p w14:paraId="50013BAF">
            <w:pPr>
              <w:wordWrap w:val="0"/>
              <w:spacing w:line="360" w:lineRule="auto"/>
              <w:jc w:val="center"/>
              <w:rPr>
                <w:rFonts w:ascii="宋体" w:hAnsi="宋体"/>
                <w:bCs/>
                <w:color w:val="auto"/>
                <w:kern w:val="0"/>
                <w:sz w:val="24"/>
                <w:highlight w:val="none"/>
              </w:rPr>
            </w:pPr>
          </w:p>
        </w:tc>
        <w:tc>
          <w:tcPr>
            <w:tcW w:w="1268" w:type="dxa"/>
            <w:vAlign w:val="center"/>
          </w:tcPr>
          <w:p w14:paraId="56BC4BF3">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电话</w:t>
            </w:r>
          </w:p>
        </w:tc>
        <w:tc>
          <w:tcPr>
            <w:tcW w:w="2794" w:type="dxa"/>
            <w:vAlign w:val="center"/>
          </w:tcPr>
          <w:p w14:paraId="6B95E5C7">
            <w:pPr>
              <w:wordWrap w:val="0"/>
              <w:spacing w:line="360" w:lineRule="auto"/>
              <w:jc w:val="center"/>
              <w:rPr>
                <w:rFonts w:ascii="宋体" w:hAnsi="宋体"/>
                <w:bCs/>
                <w:color w:val="auto"/>
                <w:kern w:val="0"/>
                <w:sz w:val="24"/>
                <w:highlight w:val="none"/>
              </w:rPr>
            </w:pPr>
          </w:p>
        </w:tc>
      </w:tr>
      <w:tr w14:paraId="0551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912" w:type="dxa"/>
            <w:vAlign w:val="center"/>
          </w:tcPr>
          <w:p w14:paraId="5147770A">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注册资金</w:t>
            </w:r>
          </w:p>
        </w:tc>
        <w:tc>
          <w:tcPr>
            <w:tcW w:w="7995" w:type="dxa"/>
            <w:gridSpan w:val="4"/>
            <w:vAlign w:val="center"/>
          </w:tcPr>
          <w:p w14:paraId="7490E667">
            <w:pPr>
              <w:wordWrap w:val="0"/>
              <w:spacing w:line="360" w:lineRule="auto"/>
              <w:jc w:val="center"/>
              <w:rPr>
                <w:rFonts w:ascii="宋体" w:hAnsi="宋体"/>
                <w:bCs/>
                <w:color w:val="auto"/>
                <w:kern w:val="0"/>
                <w:sz w:val="24"/>
                <w:highlight w:val="none"/>
              </w:rPr>
            </w:pPr>
          </w:p>
        </w:tc>
      </w:tr>
      <w:tr w14:paraId="6263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912" w:type="dxa"/>
            <w:vAlign w:val="center"/>
          </w:tcPr>
          <w:p w14:paraId="6FA48DEA">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营业执照号</w:t>
            </w:r>
          </w:p>
        </w:tc>
        <w:tc>
          <w:tcPr>
            <w:tcW w:w="3933" w:type="dxa"/>
            <w:gridSpan w:val="2"/>
            <w:vAlign w:val="center"/>
          </w:tcPr>
          <w:p w14:paraId="75F42AD6">
            <w:pPr>
              <w:wordWrap w:val="0"/>
              <w:spacing w:line="360" w:lineRule="auto"/>
              <w:jc w:val="center"/>
              <w:rPr>
                <w:rFonts w:ascii="宋体" w:hAnsi="宋体"/>
                <w:bCs/>
                <w:color w:val="auto"/>
                <w:kern w:val="0"/>
                <w:sz w:val="24"/>
                <w:highlight w:val="none"/>
              </w:rPr>
            </w:pPr>
          </w:p>
        </w:tc>
        <w:tc>
          <w:tcPr>
            <w:tcW w:w="1268" w:type="dxa"/>
            <w:vAlign w:val="center"/>
          </w:tcPr>
          <w:p w14:paraId="7B46C568">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有效期</w:t>
            </w:r>
          </w:p>
        </w:tc>
        <w:tc>
          <w:tcPr>
            <w:tcW w:w="2794" w:type="dxa"/>
            <w:vAlign w:val="center"/>
          </w:tcPr>
          <w:p w14:paraId="24451881">
            <w:pPr>
              <w:wordWrap w:val="0"/>
              <w:spacing w:line="360" w:lineRule="auto"/>
              <w:jc w:val="center"/>
              <w:rPr>
                <w:rFonts w:ascii="宋体" w:hAnsi="宋体"/>
                <w:bCs/>
                <w:color w:val="auto"/>
                <w:kern w:val="0"/>
                <w:sz w:val="24"/>
                <w:highlight w:val="none"/>
              </w:rPr>
            </w:pPr>
          </w:p>
        </w:tc>
      </w:tr>
      <w:tr w14:paraId="06F5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9" w:hRule="atLeast"/>
          <w:jc w:val="center"/>
        </w:trPr>
        <w:tc>
          <w:tcPr>
            <w:tcW w:w="1912" w:type="dxa"/>
            <w:vAlign w:val="center"/>
          </w:tcPr>
          <w:p w14:paraId="0C104F29">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经营范围</w:t>
            </w:r>
          </w:p>
        </w:tc>
        <w:tc>
          <w:tcPr>
            <w:tcW w:w="7995" w:type="dxa"/>
            <w:gridSpan w:val="4"/>
            <w:vAlign w:val="center"/>
          </w:tcPr>
          <w:p w14:paraId="3664964F">
            <w:pPr>
              <w:wordWrap w:val="0"/>
              <w:spacing w:line="360" w:lineRule="auto"/>
              <w:jc w:val="center"/>
              <w:rPr>
                <w:rFonts w:ascii="宋体" w:hAnsi="宋体"/>
                <w:bCs/>
                <w:color w:val="auto"/>
                <w:kern w:val="0"/>
                <w:sz w:val="24"/>
                <w:highlight w:val="none"/>
              </w:rPr>
            </w:pPr>
          </w:p>
        </w:tc>
      </w:tr>
      <w:tr w14:paraId="28DB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1912" w:type="dxa"/>
            <w:vAlign w:val="center"/>
          </w:tcPr>
          <w:p w14:paraId="2D24D704">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备注</w:t>
            </w:r>
          </w:p>
        </w:tc>
        <w:tc>
          <w:tcPr>
            <w:tcW w:w="7995" w:type="dxa"/>
            <w:gridSpan w:val="4"/>
            <w:vAlign w:val="center"/>
          </w:tcPr>
          <w:p w14:paraId="31C86E84">
            <w:pPr>
              <w:wordWrap w:val="0"/>
              <w:spacing w:line="360" w:lineRule="auto"/>
              <w:jc w:val="center"/>
              <w:rPr>
                <w:rFonts w:ascii="宋体" w:hAnsi="宋体"/>
                <w:bCs/>
                <w:color w:val="auto"/>
                <w:kern w:val="0"/>
                <w:sz w:val="24"/>
                <w:highlight w:val="none"/>
              </w:rPr>
            </w:pPr>
          </w:p>
        </w:tc>
      </w:tr>
    </w:tbl>
    <w:p w14:paraId="7C4D8685">
      <w:pPr>
        <w:pageBreakBefore w:val="0"/>
        <w:wordWrap w:val="0"/>
        <w:overflowPunct/>
        <w:bidi w:val="0"/>
        <w:spacing w:line="500" w:lineRule="exact"/>
        <w:ind w:firstLine="3120" w:firstLineChars="1300"/>
        <w:rPr>
          <w:color w:val="auto"/>
          <w:sz w:val="24"/>
          <w:highlight w:val="none"/>
          <w:u w:val="none"/>
        </w:rPr>
      </w:pPr>
    </w:p>
    <w:p w14:paraId="03570066">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供应商(签章)：</w:t>
      </w:r>
    </w:p>
    <w:p w14:paraId="09C58A63">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 xml:space="preserve">   法定代表人(签章)：</w:t>
      </w:r>
    </w:p>
    <w:p w14:paraId="78808EC1">
      <w:pPr>
        <w:pageBreakBefore w:val="0"/>
        <w:wordWrap w:val="0"/>
        <w:overflowPunct/>
        <w:bidi w:val="0"/>
        <w:spacing w:line="480" w:lineRule="auto"/>
        <w:jc w:val="center"/>
        <w:rPr>
          <w:color w:val="auto"/>
          <w:sz w:val="24"/>
          <w:highlight w:val="none"/>
          <w:u w:val="none"/>
        </w:rPr>
      </w:pPr>
      <w:r>
        <w:rPr>
          <w:rFonts w:hint="eastAsia"/>
          <w:color w:val="auto"/>
          <w:sz w:val="24"/>
          <w:highlight w:val="none"/>
          <w:u w:val="none"/>
        </w:rPr>
        <w:t xml:space="preserve">    日期：  年  月  日</w:t>
      </w:r>
    </w:p>
    <w:p w14:paraId="0188D638">
      <w:pPr>
        <w:pageBreakBefore w:val="0"/>
        <w:wordWrap w:val="0"/>
        <w:overflowPunct/>
        <w:bidi w:val="0"/>
        <w:rPr>
          <w:color w:val="auto"/>
          <w:sz w:val="24"/>
          <w:highlight w:val="none"/>
          <w:u w:val="none"/>
        </w:rPr>
      </w:pPr>
      <w:r>
        <w:rPr>
          <w:rFonts w:hint="eastAsia"/>
          <w:color w:val="auto"/>
          <w:sz w:val="24"/>
          <w:highlight w:val="none"/>
          <w:u w:val="none"/>
        </w:rPr>
        <w:br w:type="page"/>
      </w:r>
    </w:p>
    <w:p w14:paraId="70218A04">
      <w:pPr>
        <w:keepNext/>
        <w:keepLines/>
        <w:pageBreakBefore w:val="0"/>
        <w:wordWrap w:val="0"/>
        <w:overflowPunct/>
        <w:bidi w:val="0"/>
        <w:spacing w:before="160" w:after="160" w:line="500" w:lineRule="exact"/>
        <w:ind w:left="-106" w:hanging="284"/>
        <w:jc w:val="center"/>
        <w:textAlignment w:val="baseline"/>
        <w:rPr>
          <w:rFonts w:hint="eastAsia" w:ascii="宋体" w:hAnsi="宋体" w:eastAsia="宋体" w:cs="宋体"/>
          <w:b/>
          <w:bCs/>
          <w:color w:val="auto"/>
          <w:sz w:val="24"/>
          <w:highlight w:val="none"/>
          <w:u w:val="none"/>
        </w:rPr>
      </w:pPr>
      <w:r>
        <w:rPr>
          <w:rFonts w:hint="eastAsia" w:ascii="宋体" w:hAnsi="宋体" w:eastAsia="宋体" w:cs="宋体"/>
          <w:b/>
          <w:bCs/>
          <w:color w:val="auto"/>
          <w:sz w:val="24"/>
          <w:highlight w:val="none"/>
          <w:u w:val="none"/>
        </w:rPr>
        <w:t>2、拟派项目负责人情况</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678"/>
        <w:gridCol w:w="2187"/>
        <w:gridCol w:w="365"/>
        <w:gridCol w:w="1199"/>
        <w:gridCol w:w="502"/>
        <w:gridCol w:w="1701"/>
        <w:gridCol w:w="1285"/>
      </w:tblGrid>
      <w:tr w14:paraId="7A24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809" w:type="dxa"/>
            <w:gridSpan w:val="2"/>
            <w:vAlign w:val="center"/>
          </w:tcPr>
          <w:p w14:paraId="523E57BB">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姓名</w:t>
            </w:r>
          </w:p>
        </w:tc>
        <w:tc>
          <w:tcPr>
            <w:tcW w:w="2187" w:type="dxa"/>
            <w:vAlign w:val="center"/>
          </w:tcPr>
          <w:p w14:paraId="50C5B265">
            <w:pPr>
              <w:wordWrap w:val="0"/>
              <w:spacing w:line="360" w:lineRule="auto"/>
              <w:jc w:val="center"/>
              <w:rPr>
                <w:rFonts w:ascii="宋体" w:hAnsi="宋体"/>
                <w:bCs/>
                <w:color w:val="auto"/>
                <w:kern w:val="0"/>
                <w:sz w:val="24"/>
                <w:highlight w:val="none"/>
              </w:rPr>
            </w:pPr>
          </w:p>
        </w:tc>
        <w:tc>
          <w:tcPr>
            <w:tcW w:w="1564" w:type="dxa"/>
            <w:gridSpan w:val="2"/>
            <w:vAlign w:val="center"/>
          </w:tcPr>
          <w:p w14:paraId="301FFA60">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年龄</w:t>
            </w:r>
          </w:p>
        </w:tc>
        <w:tc>
          <w:tcPr>
            <w:tcW w:w="3488" w:type="dxa"/>
            <w:gridSpan w:val="3"/>
            <w:vAlign w:val="center"/>
          </w:tcPr>
          <w:p w14:paraId="29E2946D">
            <w:pPr>
              <w:wordWrap w:val="0"/>
              <w:spacing w:line="360" w:lineRule="auto"/>
              <w:jc w:val="center"/>
              <w:rPr>
                <w:rFonts w:ascii="宋体" w:hAnsi="宋体"/>
                <w:bCs/>
                <w:color w:val="auto"/>
                <w:kern w:val="0"/>
                <w:sz w:val="24"/>
                <w:highlight w:val="none"/>
              </w:rPr>
            </w:pPr>
          </w:p>
        </w:tc>
      </w:tr>
      <w:tr w14:paraId="08C6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809" w:type="dxa"/>
            <w:gridSpan w:val="2"/>
            <w:vAlign w:val="center"/>
          </w:tcPr>
          <w:p w14:paraId="6AFDB898">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职务</w:t>
            </w:r>
          </w:p>
        </w:tc>
        <w:tc>
          <w:tcPr>
            <w:tcW w:w="2187" w:type="dxa"/>
            <w:vAlign w:val="center"/>
          </w:tcPr>
          <w:p w14:paraId="232A8100">
            <w:pPr>
              <w:wordWrap w:val="0"/>
              <w:spacing w:line="360" w:lineRule="auto"/>
              <w:jc w:val="center"/>
              <w:rPr>
                <w:rFonts w:ascii="宋体" w:hAnsi="宋体"/>
                <w:bCs/>
                <w:color w:val="auto"/>
                <w:kern w:val="0"/>
                <w:sz w:val="24"/>
                <w:highlight w:val="none"/>
              </w:rPr>
            </w:pPr>
          </w:p>
        </w:tc>
        <w:tc>
          <w:tcPr>
            <w:tcW w:w="1564" w:type="dxa"/>
            <w:gridSpan w:val="2"/>
            <w:vAlign w:val="center"/>
          </w:tcPr>
          <w:p w14:paraId="454C7D54">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电话</w:t>
            </w:r>
          </w:p>
        </w:tc>
        <w:tc>
          <w:tcPr>
            <w:tcW w:w="3488" w:type="dxa"/>
            <w:gridSpan w:val="3"/>
            <w:vAlign w:val="center"/>
          </w:tcPr>
          <w:p w14:paraId="2AB81B4C">
            <w:pPr>
              <w:wordWrap w:val="0"/>
              <w:spacing w:line="360" w:lineRule="auto"/>
              <w:jc w:val="center"/>
              <w:rPr>
                <w:rFonts w:ascii="宋体" w:hAnsi="宋体"/>
                <w:bCs/>
                <w:color w:val="auto"/>
                <w:kern w:val="0"/>
                <w:sz w:val="24"/>
                <w:highlight w:val="none"/>
              </w:rPr>
            </w:pPr>
          </w:p>
        </w:tc>
      </w:tr>
      <w:tr w14:paraId="01D1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809" w:type="dxa"/>
            <w:gridSpan w:val="2"/>
            <w:vAlign w:val="center"/>
          </w:tcPr>
          <w:p w14:paraId="722CC33D">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从事工作年限</w:t>
            </w:r>
          </w:p>
        </w:tc>
        <w:tc>
          <w:tcPr>
            <w:tcW w:w="7239" w:type="dxa"/>
            <w:gridSpan w:val="6"/>
            <w:vAlign w:val="center"/>
          </w:tcPr>
          <w:p w14:paraId="6B200E54">
            <w:pPr>
              <w:wordWrap w:val="0"/>
              <w:spacing w:line="360" w:lineRule="auto"/>
              <w:jc w:val="center"/>
              <w:rPr>
                <w:rFonts w:ascii="宋体" w:hAnsi="宋体"/>
                <w:bCs/>
                <w:color w:val="auto"/>
                <w:kern w:val="0"/>
                <w:sz w:val="24"/>
                <w:highlight w:val="none"/>
              </w:rPr>
            </w:pPr>
          </w:p>
        </w:tc>
      </w:tr>
      <w:tr w14:paraId="221D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809" w:type="dxa"/>
            <w:gridSpan w:val="2"/>
            <w:vAlign w:val="center"/>
          </w:tcPr>
          <w:p w14:paraId="0D0DA9D0">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近3年获得的荣誉或奖项</w:t>
            </w:r>
          </w:p>
        </w:tc>
        <w:tc>
          <w:tcPr>
            <w:tcW w:w="7239" w:type="dxa"/>
            <w:gridSpan w:val="6"/>
            <w:vAlign w:val="center"/>
          </w:tcPr>
          <w:p w14:paraId="310DE88E">
            <w:pPr>
              <w:wordWrap w:val="0"/>
              <w:spacing w:line="360" w:lineRule="auto"/>
              <w:jc w:val="center"/>
              <w:rPr>
                <w:rFonts w:ascii="宋体" w:hAnsi="宋体"/>
                <w:bCs/>
                <w:color w:val="auto"/>
                <w:kern w:val="0"/>
                <w:sz w:val="24"/>
                <w:highlight w:val="none"/>
              </w:rPr>
            </w:pPr>
          </w:p>
        </w:tc>
      </w:tr>
      <w:tr w14:paraId="46B0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9048" w:type="dxa"/>
            <w:gridSpan w:val="8"/>
            <w:vAlign w:val="center"/>
          </w:tcPr>
          <w:p w14:paraId="4A80AFC7">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近3年以来完成的项目业绩</w:t>
            </w:r>
          </w:p>
        </w:tc>
      </w:tr>
      <w:tr w14:paraId="46F8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131" w:type="dxa"/>
            <w:vAlign w:val="center"/>
          </w:tcPr>
          <w:p w14:paraId="4963F9A5">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序号</w:t>
            </w:r>
          </w:p>
        </w:tc>
        <w:tc>
          <w:tcPr>
            <w:tcW w:w="3230" w:type="dxa"/>
            <w:gridSpan w:val="3"/>
            <w:vAlign w:val="center"/>
          </w:tcPr>
          <w:p w14:paraId="7FDE47BF">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项目名称</w:t>
            </w:r>
          </w:p>
        </w:tc>
        <w:tc>
          <w:tcPr>
            <w:tcW w:w="1701" w:type="dxa"/>
            <w:gridSpan w:val="2"/>
            <w:vAlign w:val="center"/>
          </w:tcPr>
          <w:p w14:paraId="6991493C">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项目实施地点</w:t>
            </w:r>
          </w:p>
        </w:tc>
        <w:tc>
          <w:tcPr>
            <w:tcW w:w="1701" w:type="dxa"/>
            <w:vAlign w:val="center"/>
          </w:tcPr>
          <w:p w14:paraId="6F4017B7">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时间</w:t>
            </w:r>
          </w:p>
        </w:tc>
        <w:tc>
          <w:tcPr>
            <w:tcW w:w="1285" w:type="dxa"/>
            <w:vAlign w:val="center"/>
          </w:tcPr>
          <w:p w14:paraId="67992749">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备注</w:t>
            </w:r>
          </w:p>
        </w:tc>
      </w:tr>
      <w:tr w14:paraId="19CE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131" w:type="dxa"/>
            <w:vAlign w:val="center"/>
          </w:tcPr>
          <w:p w14:paraId="025DCC36">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1</w:t>
            </w:r>
          </w:p>
        </w:tc>
        <w:tc>
          <w:tcPr>
            <w:tcW w:w="3230" w:type="dxa"/>
            <w:gridSpan w:val="3"/>
            <w:vAlign w:val="center"/>
          </w:tcPr>
          <w:p w14:paraId="3D348B46">
            <w:pPr>
              <w:wordWrap w:val="0"/>
              <w:spacing w:line="360" w:lineRule="auto"/>
              <w:jc w:val="center"/>
              <w:rPr>
                <w:rFonts w:ascii="宋体" w:hAnsi="宋体"/>
                <w:bCs/>
                <w:color w:val="auto"/>
                <w:kern w:val="0"/>
                <w:sz w:val="24"/>
                <w:highlight w:val="none"/>
              </w:rPr>
            </w:pPr>
          </w:p>
        </w:tc>
        <w:tc>
          <w:tcPr>
            <w:tcW w:w="1701" w:type="dxa"/>
            <w:gridSpan w:val="2"/>
            <w:vAlign w:val="center"/>
          </w:tcPr>
          <w:p w14:paraId="38265140">
            <w:pPr>
              <w:wordWrap w:val="0"/>
              <w:spacing w:line="360" w:lineRule="auto"/>
              <w:jc w:val="center"/>
              <w:rPr>
                <w:rFonts w:ascii="宋体" w:hAnsi="宋体"/>
                <w:bCs/>
                <w:color w:val="auto"/>
                <w:sz w:val="32"/>
                <w:szCs w:val="32"/>
                <w:highlight w:val="none"/>
              </w:rPr>
            </w:pPr>
          </w:p>
        </w:tc>
        <w:tc>
          <w:tcPr>
            <w:tcW w:w="1701" w:type="dxa"/>
            <w:vAlign w:val="center"/>
          </w:tcPr>
          <w:p w14:paraId="07E2EC9D">
            <w:pPr>
              <w:wordWrap w:val="0"/>
              <w:spacing w:line="360" w:lineRule="auto"/>
              <w:jc w:val="center"/>
              <w:rPr>
                <w:rFonts w:ascii="宋体" w:hAnsi="宋体"/>
                <w:bCs/>
                <w:color w:val="auto"/>
                <w:sz w:val="32"/>
                <w:szCs w:val="32"/>
                <w:highlight w:val="none"/>
              </w:rPr>
            </w:pPr>
          </w:p>
        </w:tc>
        <w:tc>
          <w:tcPr>
            <w:tcW w:w="1285" w:type="dxa"/>
            <w:vAlign w:val="center"/>
          </w:tcPr>
          <w:p w14:paraId="7932FCA7">
            <w:pPr>
              <w:wordWrap w:val="0"/>
              <w:spacing w:line="360" w:lineRule="auto"/>
              <w:jc w:val="center"/>
              <w:rPr>
                <w:rFonts w:ascii="宋体" w:hAnsi="宋体"/>
                <w:bCs/>
                <w:color w:val="auto"/>
                <w:sz w:val="32"/>
                <w:szCs w:val="32"/>
                <w:highlight w:val="none"/>
              </w:rPr>
            </w:pPr>
          </w:p>
        </w:tc>
      </w:tr>
      <w:tr w14:paraId="4E49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131" w:type="dxa"/>
            <w:vAlign w:val="center"/>
          </w:tcPr>
          <w:p w14:paraId="280C0A03">
            <w:pPr>
              <w:wordWrap w:val="0"/>
              <w:spacing w:line="360" w:lineRule="auto"/>
              <w:jc w:val="center"/>
              <w:rPr>
                <w:rFonts w:ascii="宋体" w:hAnsi="宋体"/>
                <w:bCs/>
                <w:color w:val="auto"/>
                <w:kern w:val="0"/>
                <w:sz w:val="24"/>
                <w:highlight w:val="none"/>
              </w:rPr>
            </w:pPr>
            <w:r>
              <w:rPr>
                <w:rFonts w:hint="eastAsia" w:ascii="宋体" w:hAnsi="宋体"/>
                <w:bCs/>
                <w:color w:val="auto"/>
                <w:kern w:val="0"/>
                <w:sz w:val="24"/>
                <w:highlight w:val="none"/>
              </w:rPr>
              <w:t>···</w:t>
            </w:r>
          </w:p>
        </w:tc>
        <w:tc>
          <w:tcPr>
            <w:tcW w:w="3230" w:type="dxa"/>
            <w:gridSpan w:val="3"/>
            <w:vAlign w:val="center"/>
          </w:tcPr>
          <w:p w14:paraId="239F5665">
            <w:pPr>
              <w:wordWrap w:val="0"/>
              <w:spacing w:line="360" w:lineRule="auto"/>
              <w:jc w:val="center"/>
              <w:rPr>
                <w:rFonts w:ascii="宋体" w:hAnsi="宋体"/>
                <w:bCs/>
                <w:color w:val="auto"/>
                <w:kern w:val="0"/>
                <w:sz w:val="24"/>
                <w:highlight w:val="none"/>
              </w:rPr>
            </w:pPr>
          </w:p>
        </w:tc>
        <w:tc>
          <w:tcPr>
            <w:tcW w:w="1701" w:type="dxa"/>
            <w:gridSpan w:val="2"/>
            <w:vAlign w:val="center"/>
          </w:tcPr>
          <w:p w14:paraId="0F9A5A8D">
            <w:pPr>
              <w:wordWrap w:val="0"/>
              <w:spacing w:line="360" w:lineRule="auto"/>
              <w:jc w:val="center"/>
              <w:rPr>
                <w:rFonts w:ascii="宋体" w:hAnsi="宋体"/>
                <w:b/>
                <w:bCs/>
                <w:color w:val="auto"/>
                <w:sz w:val="32"/>
                <w:szCs w:val="32"/>
                <w:highlight w:val="none"/>
              </w:rPr>
            </w:pPr>
          </w:p>
        </w:tc>
        <w:tc>
          <w:tcPr>
            <w:tcW w:w="1701" w:type="dxa"/>
            <w:vAlign w:val="center"/>
          </w:tcPr>
          <w:p w14:paraId="46433240">
            <w:pPr>
              <w:wordWrap w:val="0"/>
              <w:spacing w:line="360" w:lineRule="auto"/>
              <w:jc w:val="center"/>
              <w:rPr>
                <w:rFonts w:ascii="宋体" w:hAnsi="宋体"/>
                <w:b/>
                <w:bCs/>
                <w:color w:val="auto"/>
                <w:sz w:val="32"/>
                <w:szCs w:val="32"/>
                <w:highlight w:val="none"/>
              </w:rPr>
            </w:pPr>
          </w:p>
        </w:tc>
        <w:tc>
          <w:tcPr>
            <w:tcW w:w="1285" w:type="dxa"/>
            <w:vAlign w:val="center"/>
          </w:tcPr>
          <w:p w14:paraId="3D944768">
            <w:pPr>
              <w:wordWrap w:val="0"/>
              <w:spacing w:line="360" w:lineRule="auto"/>
              <w:jc w:val="center"/>
              <w:rPr>
                <w:rFonts w:ascii="宋体" w:hAnsi="宋体"/>
                <w:b/>
                <w:bCs/>
                <w:color w:val="auto"/>
                <w:sz w:val="32"/>
                <w:szCs w:val="32"/>
                <w:highlight w:val="none"/>
              </w:rPr>
            </w:pPr>
          </w:p>
        </w:tc>
      </w:tr>
    </w:tbl>
    <w:p w14:paraId="36202378">
      <w:pPr>
        <w:rPr>
          <w:rFonts w:hint="eastAsia"/>
          <w:b/>
          <w:bCs/>
          <w:color w:val="auto"/>
          <w:sz w:val="36"/>
          <w:szCs w:val="36"/>
          <w:highlight w:val="none"/>
          <w:u w:val="none"/>
        </w:rPr>
      </w:pPr>
      <w:r>
        <w:rPr>
          <w:rFonts w:hint="eastAsia"/>
          <w:b/>
          <w:bCs/>
          <w:color w:val="auto"/>
          <w:sz w:val="36"/>
          <w:szCs w:val="36"/>
          <w:highlight w:val="none"/>
          <w:u w:val="none"/>
        </w:rPr>
        <w:br w:type="page"/>
      </w:r>
    </w:p>
    <w:p w14:paraId="3173CBE0">
      <w:pPr>
        <w:pageBreakBefore w:val="0"/>
        <w:wordWrap w:val="0"/>
        <w:overflowPunct/>
        <w:bidi w:val="0"/>
        <w:jc w:val="center"/>
        <w:rPr>
          <w:b/>
          <w:bCs/>
          <w:color w:val="auto"/>
          <w:sz w:val="36"/>
          <w:szCs w:val="36"/>
          <w:highlight w:val="none"/>
          <w:u w:val="none"/>
        </w:rPr>
      </w:pPr>
      <w:r>
        <w:rPr>
          <w:rFonts w:hint="eastAsia"/>
          <w:b/>
          <w:bCs/>
          <w:color w:val="auto"/>
          <w:sz w:val="36"/>
          <w:szCs w:val="36"/>
          <w:highlight w:val="none"/>
          <w:u w:val="none"/>
        </w:rPr>
        <w:t>九、投标供应商可提交的其他资料</w:t>
      </w:r>
    </w:p>
    <w:p w14:paraId="7F03B8E4">
      <w:pPr>
        <w:pageBreakBefore w:val="0"/>
        <w:wordWrap w:val="0"/>
        <w:overflowPunct/>
        <w:bidi w:val="0"/>
        <w:spacing w:line="520" w:lineRule="exact"/>
        <w:ind w:firstLine="480" w:firstLineChars="200"/>
        <w:rPr>
          <w:color w:val="auto"/>
          <w:sz w:val="24"/>
          <w:highlight w:val="none"/>
          <w:u w:val="none"/>
        </w:rPr>
      </w:pPr>
    </w:p>
    <w:p w14:paraId="695E9A90">
      <w:pPr>
        <w:rPr>
          <w:rFonts w:hint="eastAsia" w:ascii="宋体" w:hAnsi="宋体"/>
          <w:color w:val="auto"/>
          <w:highlight w:val="none"/>
          <w:lang w:val="en-US" w:eastAsia="zh-CN"/>
        </w:rPr>
      </w:pPr>
      <w:r>
        <w:rPr>
          <w:rFonts w:hint="eastAsia" w:ascii="宋体" w:hAnsi="宋体"/>
          <w:color w:val="auto"/>
          <w:highlight w:val="none"/>
          <w:lang w:val="en-US" w:eastAsia="zh-CN"/>
        </w:rPr>
        <w:br w:type="page"/>
      </w:r>
    </w:p>
    <w:p w14:paraId="36C044DB">
      <w:pPr>
        <w:pStyle w:val="40"/>
        <w:numPr>
          <w:ilvl w:val="1"/>
          <w:numId w:val="0"/>
        </w:numPr>
        <w:ind w:left="-420" w:leftChars="0" w:right="0" w:rightChars="0"/>
        <w:jc w:val="both"/>
        <w:outlineLvl w:val="0"/>
        <w:rPr>
          <w:rFonts w:hint="eastAsia" w:ascii="宋体" w:hAnsi="宋体" w:eastAsia="宋体"/>
          <w:color w:val="auto"/>
          <w:sz w:val="28"/>
          <w:szCs w:val="18"/>
          <w:highlight w:val="none"/>
          <w:lang w:val="en-US" w:eastAsia="zh-CN"/>
        </w:rPr>
      </w:pPr>
      <w:r>
        <w:rPr>
          <w:rFonts w:hint="eastAsia" w:ascii="宋体" w:hAnsi="宋体"/>
          <w:color w:val="auto"/>
          <w:sz w:val="28"/>
          <w:szCs w:val="18"/>
          <w:highlight w:val="none"/>
          <w:lang w:val="en-US" w:eastAsia="zh-CN"/>
        </w:rPr>
        <w:t>附件：</w:t>
      </w:r>
    </w:p>
    <w:p w14:paraId="7B09ADDE">
      <w:pPr>
        <w:rPr>
          <w:color w:val="auto"/>
          <w:highlight w:val="none"/>
        </w:rPr>
      </w:pPr>
    </w:p>
    <w:p w14:paraId="1FB67D2A">
      <w:pPr>
        <w:autoSpaceDE w:val="0"/>
        <w:autoSpaceDN w:val="0"/>
        <w:adjustRightInd w:val="0"/>
        <w:spacing w:line="440" w:lineRule="exact"/>
        <w:jc w:val="center"/>
        <w:rPr>
          <w:rFonts w:ascii="宋体" w:cs="宋体"/>
          <w:color w:val="auto"/>
          <w:sz w:val="24"/>
          <w:szCs w:val="24"/>
          <w:highlight w:val="none"/>
        </w:rPr>
      </w:pPr>
      <w:r>
        <w:rPr>
          <w:rFonts w:hint="eastAsia" w:ascii="宋体" w:cs="宋体"/>
          <w:color w:val="auto"/>
          <w:sz w:val="24"/>
          <w:szCs w:val="24"/>
          <w:highlight w:val="none"/>
        </w:rPr>
        <w:t>中小企业声明函</w:t>
      </w:r>
    </w:p>
    <w:p w14:paraId="6F3BF0CC">
      <w:pPr>
        <w:autoSpaceDE w:val="0"/>
        <w:autoSpaceDN w:val="0"/>
        <w:adjustRightInd w:val="0"/>
        <w:spacing w:line="440" w:lineRule="exact"/>
        <w:ind w:firstLine="480" w:firstLineChars="200"/>
        <w:rPr>
          <w:rFonts w:ascii="宋体" w:hAnsi="宋体" w:cs="仿宋"/>
          <w:color w:val="auto"/>
          <w:sz w:val="24"/>
          <w:szCs w:val="24"/>
          <w:highlight w:val="none"/>
        </w:rPr>
      </w:pPr>
      <w:r>
        <w:rPr>
          <w:rFonts w:hint="eastAsia" w:ascii="宋体" w:hAnsi="宋体" w:cs="仿宋"/>
          <w:color w:val="auto"/>
          <w:sz w:val="24"/>
          <w:szCs w:val="24"/>
          <w:highlight w:val="none"/>
        </w:rPr>
        <w:t>本公司（联合体）郑重声明，根据《政府采购促进中小企业发展管理办法》（财库</w:t>
      </w:r>
      <w:r>
        <w:rPr>
          <w:rFonts w:hint="eastAsia" w:ascii="宋体" w:hAnsi="宋体" w:cs="宋体"/>
          <w:color w:val="auto"/>
          <w:sz w:val="24"/>
          <w:szCs w:val="24"/>
          <w:highlight w:val="none"/>
        </w:rPr>
        <w:t>﹝</w:t>
      </w:r>
      <w:r>
        <w:rPr>
          <w:rFonts w:ascii="宋体" w:hAnsi="宋体" w:cs="仿宋"/>
          <w:color w:val="auto"/>
          <w:sz w:val="24"/>
          <w:szCs w:val="24"/>
          <w:highlight w:val="none"/>
        </w:rPr>
        <w:t>2020</w:t>
      </w:r>
      <w:r>
        <w:rPr>
          <w:rFonts w:hint="eastAsia" w:ascii="宋体" w:hAnsi="宋体" w:cs="宋体"/>
          <w:color w:val="auto"/>
          <w:sz w:val="24"/>
          <w:szCs w:val="24"/>
          <w:highlight w:val="none"/>
        </w:rPr>
        <w:t>﹞</w:t>
      </w:r>
      <w:r>
        <w:rPr>
          <w:rFonts w:ascii="宋体" w:hAnsi="宋体" w:cs="仿宋"/>
          <w:color w:val="auto"/>
          <w:sz w:val="24"/>
          <w:szCs w:val="24"/>
          <w:highlight w:val="none"/>
        </w:rPr>
        <w:t xml:space="preserve">46 </w:t>
      </w:r>
      <w:r>
        <w:rPr>
          <w:rFonts w:hint="eastAsia" w:ascii="宋体" w:hAnsi="宋体" w:cs="仿宋"/>
          <w:color w:val="auto"/>
          <w:sz w:val="24"/>
          <w:szCs w:val="24"/>
          <w:highlight w:val="none"/>
        </w:rPr>
        <w:t>号）的规定，本公司（联合体）参加</w:t>
      </w:r>
      <w:r>
        <w:rPr>
          <w:rFonts w:hint="eastAsia" w:ascii="宋体" w:hAnsi="宋体" w:cs="仿宋"/>
          <w:color w:val="auto"/>
          <w:sz w:val="24"/>
          <w:szCs w:val="24"/>
          <w:highlight w:val="none"/>
          <w:u w:val="single"/>
        </w:rPr>
        <w:t>（单位名称）</w:t>
      </w:r>
      <w:r>
        <w:rPr>
          <w:rFonts w:hint="eastAsia" w:ascii="宋体" w:hAnsi="宋体" w:cs="仿宋"/>
          <w:color w:val="auto"/>
          <w:sz w:val="24"/>
          <w:szCs w:val="24"/>
          <w:highlight w:val="none"/>
        </w:rPr>
        <w:t>的</w:t>
      </w:r>
      <w:r>
        <w:rPr>
          <w:rFonts w:hint="eastAsia" w:ascii="宋体" w:hAnsi="宋体" w:cs="仿宋"/>
          <w:color w:val="auto"/>
          <w:sz w:val="24"/>
          <w:szCs w:val="24"/>
          <w:highlight w:val="none"/>
          <w:u w:val="single"/>
        </w:rPr>
        <w:t>（项目名称）</w:t>
      </w:r>
      <w:r>
        <w:rPr>
          <w:rFonts w:hint="eastAsia" w:ascii="宋体" w:hAnsi="宋体" w:cs="仿宋"/>
          <w:color w:val="auto"/>
          <w:sz w:val="24"/>
          <w:szCs w:val="24"/>
          <w:highlight w:val="none"/>
        </w:rPr>
        <w:t>采购活动，工程的施工单位全部为符合政策要求的中小企业（或者：货物全部由符合政策要求的中小企业承接）。相关企业（含联合体中的中小企业、签订分包意向协议的中小企业）的具体情况如下：</w:t>
      </w:r>
    </w:p>
    <w:p w14:paraId="7BCBBCD8">
      <w:pPr>
        <w:autoSpaceDE w:val="0"/>
        <w:autoSpaceDN w:val="0"/>
        <w:adjustRightInd w:val="0"/>
        <w:spacing w:line="440" w:lineRule="exact"/>
        <w:ind w:firstLine="480" w:firstLineChars="200"/>
        <w:rPr>
          <w:rFonts w:ascii="宋体" w:hAnsi="宋体" w:cs="仿宋"/>
          <w:color w:val="auto"/>
          <w:sz w:val="24"/>
          <w:szCs w:val="24"/>
          <w:highlight w:val="none"/>
        </w:rPr>
      </w:pPr>
      <w:r>
        <w:rPr>
          <w:rFonts w:ascii="宋体" w:hAnsi="宋体" w:cs="仿宋"/>
          <w:color w:val="auto"/>
          <w:sz w:val="24"/>
          <w:szCs w:val="24"/>
          <w:highlight w:val="none"/>
        </w:rPr>
        <w:t xml:space="preserve">1. </w:t>
      </w:r>
      <w:r>
        <w:rPr>
          <w:rFonts w:hint="eastAsia" w:ascii="宋体" w:hAnsi="宋体" w:cs="仿宋"/>
          <w:color w:val="auto"/>
          <w:sz w:val="24"/>
          <w:szCs w:val="24"/>
          <w:highlight w:val="none"/>
          <w:u w:val="single"/>
        </w:rPr>
        <w:t>（标的名称）</w:t>
      </w:r>
      <w:r>
        <w:rPr>
          <w:rFonts w:ascii="宋体" w:hAnsi="宋体" w:cs="仿宋"/>
          <w:color w:val="auto"/>
          <w:sz w:val="24"/>
          <w:szCs w:val="24"/>
          <w:highlight w:val="none"/>
        </w:rPr>
        <w:t xml:space="preserve"> </w:t>
      </w:r>
      <w:r>
        <w:rPr>
          <w:rFonts w:hint="eastAsia" w:ascii="宋体" w:hAnsi="宋体" w:cs="仿宋"/>
          <w:color w:val="auto"/>
          <w:sz w:val="24"/>
          <w:szCs w:val="24"/>
          <w:highlight w:val="none"/>
        </w:rPr>
        <w:t>，属于</w:t>
      </w:r>
      <w:r>
        <w:rPr>
          <w:rFonts w:hint="eastAsia" w:ascii="宋体" w:hAnsi="宋体" w:cs="仿宋"/>
          <w:color w:val="auto"/>
          <w:sz w:val="24"/>
          <w:szCs w:val="24"/>
          <w:highlight w:val="none"/>
          <w:u w:val="single"/>
          <w:lang w:val="en-US" w:eastAsia="zh-CN"/>
        </w:rPr>
        <w:t xml:space="preserve">   </w:t>
      </w:r>
      <w:r>
        <w:rPr>
          <w:rFonts w:hint="eastAsia" w:ascii="宋体" w:hAnsi="宋体" w:cs="仿宋"/>
          <w:color w:val="auto"/>
          <w:sz w:val="24"/>
          <w:szCs w:val="24"/>
          <w:highlight w:val="none"/>
          <w:u w:val="single"/>
        </w:rPr>
        <w:t>（采购文件中明确的所属行业）</w:t>
      </w:r>
      <w:r>
        <w:rPr>
          <w:rFonts w:hint="eastAsia" w:ascii="宋体" w:hAnsi="宋体" w:cs="仿宋"/>
          <w:color w:val="auto"/>
          <w:sz w:val="24"/>
          <w:szCs w:val="24"/>
          <w:highlight w:val="none"/>
        </w:rPr>
        <w:t>；承建（承接）企业为</w:t>
      </w:r>
      <w:r>
        <w:rPr>
          <w:rFonts w:hint="eastAsia" w:ascii="宋体" w:hAnsi="宋体" w:cs="仿宋"/>
          <w:color w:val="auto"/>
          <w:sz w:val="24"/>
          <w:szCs w:val="24"/>
          <w:highlight w:val="none"/>
          <w:u w:val="single"/>
        </w:rPr>
        <w:t>（企业名称）</w:t>
      </w:r>
      <w:r>
        <w:rPr>
          <w:rFonts w:hint="eastAsia" w:ascii="宋体" w:hAnsi="宋体" w:cs="仿宋"/>
          <w:color w:val="auto"/>
          <w:sz w:val="24"/>
          <w:szCs w:val="24"/>
          <w:highlight w:val="none"/>
        </w:rPr>
        <w:t>，从业人员</w:t>
      </w:r>
      <w:r>
        <w:rPr>
          <w:rFonts w:hint="eastAsia" w:ascii="宋体" w:hAnsi="宋体" w:cs="仿宋"/>
          <w:color w:val="auto"/>
          <w:sz w:val="24"/>
          <w:szCs w:val="24"/>
          <w:highlight w:val="none"/>
          <w:u w:val="single"/>
        </w:rPr>
        <w:t xml:space="preserve">    </w:t>
      </w:r>
      <w:r>
        <w:rPr>
          <w:rFonts w:hint="eastAsia" w:ascii="宋体" w:hAnsi="宋体" w:cs="仿宋"/>
          <w:color w:val="auto"/>
          <w:sz w:val="24"/>
          <w:szCs w:val="24"/>
          <w:highlight w:val="none"/>
        </w:rPr>
        <w:t xml:space="preserve"> 人，营业收入为</w:t>
      </w:r>
      <w:r>
        <w:rPr>
          <w:rFonts w:hint="eastAsia" w:ascii="宋体" w:hAnsi="宋体" w:cs="仿宋"/>
          <w:color w:val="auto"/>
          <w:sz w:val="24"/>
          <w:szCs w:val="24"/>
          <w:highlight w:val="none"/>
          <w:u w:val="single"/>
        </w:rPr>
        <w:t xml:space="preserve">     </w:t>
      </w:r>
      <w:r>
        <w:rPr>
          <w:rFonts w:hint="eastAsia" w:ascii="宋体" w:hAnsi="宋体" w:cs="仿宋"/>
          <w:color w:val="auto"/>
          <w:sz w:val="24"/>
          <w:szCs w:val="24"/>
          <w:highlight w:val="none"/>
        </w:rPr>
        <w:t>万元，资产总额为</w:t>
      </w:r>
      <w:r>
        <w:rPr>
          <w:rFonts w:hint="eastAsia" w:ascii="宋体" w:hAnsi="宋体" w:cs="仿宋"/>
          <w:color w:val="auto"/>
          <w:sz w:val="24"/>
          <w:szCs w:val="24"/>
          <w:highlight w:val="none"/>
          <w:u w:val="single"/>
        </w:rPr>
        <w:t xml:space="preserve">   </w:t>
      </w:r>
      <w:r>
        <w:rPr>
          <w:rFonts w:hint="eastAsia" w:ascii="宋体" w:hAnsi="宋体" w:cs="仿宋"/>
          <w:color w:val="auto"/>
          <w:sz w:val="24"/>
          <w:szCs w:val="24"/>
          <w:highlight w:val="none"/>
        </w:rPr>
        <w:t>万元，属于</w:t>
      </w:r>
      <w:r>
        <w:rPr>
          <w:rFonts w:hint="eastAsia" w:ascii="宋体" w:hAnsi="宋体" w:cs="仿宋"/>
          <w:color w:val="auto"/>
          <w:sz w:val="24"/>
          <w:szCs w:val="24"/>
          <w:highlight w:val="none"/>
          <w:u w:val="single"/>
        </w:rPr>
        <w:t>（中型企业、小型企业、微型企业）</w:t>
      </w:r>
      <w:r>
        <w:rPr>
          <w:rFonts w:hint="eastAsia" w:ascii="宋体" w:hAnsi="宋体" w:cs="仿宋"/>
          <w:color w:val="auto"/>
          <w:sz w:val="24"/>
          <w:szCs w:val="24"/>
          <w:highlight w:val="none"/>
        </w:rPr>
        <w:t>；</w:t>
      </w:r>
    </w:p>
    <w:p w14:paraId="376BC92C">
      <w:pPr>
        <w:autoSpaceDE w:val="0"/>
        <w:autoSpaceDN w:val="0"/>
        <w:adjustRightInd w:val="0"/>
        <w:spacing w:line="440" w:lineRule="exact"/>
        <w:ind w:firstLine="480" w:firstLineChars="200"/>
        <w:rPr>
          <w:rFonts w:ascii="宋体" w:hAnsi="宋体" w:cs="仿宋"/>
          <w:color w:val="auto"/>
          <w:sz w:val="24"/>
          <w:szCs w:val="24"/>
          <w:highlight w:val="none"/>
        </w:rPr>
      </w:pPr>
      <w:r>
        <w:rPr>
          <w:rFonts w:ascii="宋体" w:hAnsi="宋体" w:cs="仿宋"/>
          <w:color w:val="auto"/>
          <w:sz w:val="24"/>
          <w:szCs w:val="24"/>
          <w:highlight w:val="none"/>
        </w:rPr>
        <w:t xml:space="preserve">2. </w:t>
      </w:r>
      <w:r>
        <w:rPr>
          <w:rFonts w:hint="eastAsia" w:ascii="宋体" w:hAnsi="宋体" w:cs="仿宋"/>
          <w:color w:val="auto"/>
          <w:sz w:val="24"/>
          <w:szCs w:val="24"/>
          <w:highlight w:val="none"/>
          <w:u w:val="single"/>
        </w:rPr>
        <w:t>（标的名称</w:t>
      </w:r>
      <w:r>
        <w:rPr>
          <w:rFonts w:hint="eastAsia" w:ascii="宋体" w:hAnsi="宋体" w:cs="仿宋"/>
          <w:color w:val="auto"/>
          <w:sz w:val="24"/>
          <w:szCs w:val="24"/>
          <w:highlight w:val="none"/>
        </w:rPr>
        <w:t>）</w:t>
      </w:r>
      <w:r>
        <w:rPr>
          <w:rFonts w:ascii="宋体" w:hAnsi="宋体" w:cs="仿宋"/>
          <w:color w:val="auto"/>
          <w:sz w:val="24"/>
          <w:szCs w:val="24"/>
          <w:highlight w:val="none"/>
        </w:rPr>
        <w:t xml:space="preserve"> </w:t>
      </w:r>
      <w:r>
        <w:rPr>
          <w:rFonts w:hint="eastAsia" w:ascii="宋体" w:hAnsi="宋体" w:cs="仿宋"/>
          <w:color w:val="auto"/>
          <w:sz w:val="24"/>
          <w:szCs w:val="24"/>
          <w:highlight w:val="none"/>
        </w:rPr>
        <w:t>，属于</w:t>
      </w:r>
      <w:r>
        <w:rPr>
          <w:rFonts w:hint="eastAsia" w:ascii="宋体" w:hAnsi="宋体" w:cs="仿宋"/>
          <w:color w:val="auto"/>
          <w:sz w:val="24"/>
          <w:szCs w:val="24"/>
          <w:highlight w:val="none"/>
          <w:u w:val="single"/>
        </w:rPr>
        <w:t>（采购文件中明确的所属行业）</w:t>
      </w:r>
      <w:r>
        <w:rPr>
          <w:rFonts w:hint="eastAsia" w:ascii="宋体" w:hAnsi="宋体" w:cs="仿宋"/>
          <w:color w:val="auto"/>
          <w:sz w:val="24"/>
          <w:szCs w:val="24"/>
          <w:highlight w:val="none"/>
        </w:rPr>
        <w:t>；承建（承接）企业为（</w:t>
      </w:r>
      <w:r>
        <w:rPr>
          <w:rFonts w:hint="eastAsia" w:ascii="宋体" w:hAnsi="宋体" w:cs="仿宋"/>
          <w:color w:val="auto"/>
          <w:sz w:val="24"/>
          <w:szCs w:val="24"/>
          <w:highlight w:val="none"/>
          <w:u w:val="single"/>
        </w:rPr>
        <w:t>企业名称</w:t>
      </w:r>
      <w:r>
        <w:rPr>
          <w:rFonts w:hint="eastAsia" w:ascii="宋体" w:hAnsi="宋体" w:cs="仿宋"/>
          <w:color w:val="auto"/>
          <w:sz w:val="24"/>
          <w:szCs w:val="24"/>
          <w:highlight w:val="none"/>
        </w:rPr>
        <w:t>），从业人员</w:t>
      </w:r>
      <w:r>
        <w:rPr>
          <w:rFonts w:hint="eastAsia" w:ascii="宋体" w:hAnsi="宋体" w:cs="仿宋"/>
          <w:color w:val="auto"/>
          <w:sz w:val="24"/>
          <w:szCs w:val="24"/>
          <w:highlight w:val="none"/>
          <w:u w:val="single"/>
        </w:rPr>
        <w:t xml:space="preserve">    </w:t>
      </w:r>
      <w:r>
        <w:rPr>
          <w:rFonts w:hint="eastAsia" w:ascii="宋体" w:hAnsi="宋体" w:cs="仿宋"/>
          <w:color w:val="auto"/>
          <w:sz w:val="24"/>
          <w:szCs w:val="24"/>
          <w:highlight w:val="none"/>
        </w:rPr>
        <w:t xml:space="preserve"> 人，营业收入为</w:t>
      </w:r>
      <w:r>
        <w:rPr>
          <w:rFonts w:hint="eastAsia" w:ascii="宋体" w:hAnsi="宋体" w:cs="仿宋"/>
          <w:color w:val="auto"/>
          <w:sz w:val="24"/>
          <w:szCs w:val="24"/>
          <w:highlight w:val="none"/>
          <w:u w:val="single"/>
        </w:rPr>
        <w:t xml:space="preserve">     </w:t>
      </w:r>
      <w:r>
        <w:rPr>
          <w:rFonts w:hint="eastAsia" w:ascii="宋体" w:hAnsi="宋体" w:cs="仿宋"/>
          <w:color w:val="auto"/>
          <w:sz w:val="24"/>
          <w:szCs w:val="24"/>
          <w:highlight w:val="none"/>
        </w:rPr>
        <w:t>万元，资产总额为</w:t>
      </w:r>
      <w:r>
        <w:rPr>
          <w:rFonts w:hint="eastAsia" w:ascii="宋体" w:hAnsi="宋体" w:cs="仿宋"/>
          <w:color w:val="auto"/>
          <w:sz w:val="24"/>
          <w:szCs w:val="24"/>
          <w:highlight w:val="none"/>
          <w:u w:val="single"/>
        </w:rPr>
        <w:t xml:space="preserve">   </w:t>
      </w:r>
      <w:r>
        <w:rPr>
          <w:rFonts w:hint="eastAsia" w:ascii="宋体" w:hAnsi="宋体" w:cs="仿宋"/>
          <w:color w:val="auto"/>
          <w:sz w:val="24"/>
          <w:szCs w:val="24"/>
          <w:highlight w:val="none"/>
        </w:rPr>
        <w:t>万元，属于</w:t>
      </w:r>
      <w:r>
        <w:rPr>
          <w:rFonts w:hint="eastAsia" w:ascii="宋体" w:hAnsi="宋体" w:cs="仿宋"/>
          <w:color w:val="auto"/>
          <w:sz w:val="24"/>
          <w:szCs w:val="24"/>
          <w:highlight w:val="none"/>
          <w:u w:val="single"/>
        </w:rPr>
        <w:t>（中型企业、小型企业、微型企业）</w:t>
      </w:r>
      <w:r>
        <w:rPr>
          <w:rFonts w:hint="eastAsia" w:ascii="宋体" w:hAnsi="宋体" w:cs="仿宋"/>
          <w:color w:val="auto"/>
          <w:sz w:val="24"/>
          <w:szCs w:val="24"/>
          <w:highlight w:val="none"/>
        </w:rPr>
        <w:t>；</w:t>
      </w:r>
    </w:p>
    <w:p w14:paraId="6E9B1B89">
      <w:pPr>
        <w:autoSpaceDE w:val="0"/>
        <w:autoSpaceDN w:val="0"/>
        <w:adjustRightInd w:val="0"/>
        <w:spacing w:line="440" w:lineRule="exact"/>
        <w:ind w:firstLine="480" w:firstLineChars="200"/>
        <w:rPr>
          <w:rFonts w:ascii="宋体" w:hAnsi="宋体" w:cs="仿宋"/>
          <w:color w:val="auto"/>
          <w:sz w:val="24"/>
          <w:szCs w:val="24"/>
          <w:highlight w:val="none"/>
        </w:rPr>
      </w:pPr>
      <w:r>
        <w:rPr>
          <w:rFonts w:hint="eastAsia" w:ascii="宋体" w:hAnsi="宋体" w:cs="仿宋"/>
          <w:color w:val="auto"/>
          <w:sz w:val="24"/>
          <w:szCs w:val="24"/>
          <w:highlight w:val="none"/>
        </w:rPr>
        <w:t>……</w:t>
      </w:r>
    </w:p>
    <w:p w14:paraId="5ECF602D">
      <w:pPr>
        <w:autoSpaceDE w:val="0"/>
        <w:autoSpaceDN w:val="0"/>
        <w:adjustRightInd w:val="0"/>
        <w:spacing w:line="440" w:lineRule="exact"/>
        <w:ind w:firstLine="480" w:firstLineChars="200"/>
        <w:rPr>
          <w:rFonts w:ascii="宋体" w:hAnsi="宋体" w:cs="仿宋"/>
          <w:color w:val="auto"/>
          <w:sz w:val="24"/>
          <w:szCs w:val="24"/>
          <w:highlight w:val="none"/>
        </w:rPr>
      </w:pPr>
      <w:r>
        <w:rPr>
          <w:rFonts w:hint="eastAsia" w:ascii="宋体" w:hAnsi="宋体" w:cs="仿宋"/>
          <w:color w:val="auto"/>
          <w:sz w:val="24"/>
          <w:szCs w:val="24"/>
          <w:highlight w:val="none"/>
        </w:rPr>
        <w:t>以上企业，不属于大企业的分支机构，不存在控股股东为大企业的情形，也不存在与大企业的负责人为同一人的情形。</w:t>
      </w:r>
    </w:p>
    <w:p w14:paraId="4F9334B8">
      <w:pPr>
        <w:autoSpaceDE w:val="0"/>
        <w:autoSpaceDN w:val="0"/>
        <w:adjustRightInd w:val="0"/>
        <w:spacing w:line="440" w:lineRule="exact"/>
        <w:ind w:firstLine="480" w:firstLineChars="200"/>
        <w:rPr>
          <w:rFonts w:ascii="宋体" w:hAnsi="宋体" w:cs="仿宋"/>
          <w:color w:val="auto"/>
          <w:sz w:val="24"/>
          <w:szCs w:val="24"/>
          <w:highlight w:val="none"/>
        </w:rPr>
      </w:pPr>
      <w:r>
        <w:rPr>
          <w:rFonts w:hint="eastAsia" w:ascii="宋体" w:hAnsi="宋体" w:cs="仿宋"/>
          <w:color w:val="auto"/>
          <w:sz w:val="24"/>
          <w:szCs w:val="24"/>
          <w:highlight w:val="none"/>
        </w:rPr>
        <w:t>本企业对上述声明内容的真实性负责。如有虚假，将依法承担相应责任。</w:t>
      </w:r>
    </w:p>
    <w:p w14:paraId="12BA4BA5">
      <w:pPr>
        <w:autoSpaceDE w:val="0"/>
        <w:autoSpaceDN w:val="0"/>
        <w:adjustRightInd w:val="0"/>
        <w:spacing w:line="440" w:lineRule="exact"/>
        <w:jc w:val="right"/>
        <w:rPr>
          <w:rFonts w:ascii="宋体" w:hAnsi="宋体" w:cs="仿宋"/>
          <w:color w:val="auto"/>
          <w:sz w:val="24"/>
          <w:szCs w:val="24"/>
          <w:highlight w:val="none"/>
        </w:rPr>
      </w:pPr>
    </w:p>
    <w:p w14:paraId="19740923">
      <w:pPr>
        <w:spacing w:line="400" w:lineRule="exact"/>
        <w:ind w:firstLine="504" w:firstLineChars="200"/>
        <w:rPr>
          <w:rFonts w:ascii="宋体" w:hAnsi="宋体" w:cs="宋体"/>
          <w:color w:val="auto"/>
          <w:spacing w:val="6"/>
          <w:sz w:val="24"/>
          <w:szCs w:val="24"/>
          <w:highlight w:val="none"/>
        </w:rPr>
      </w:pPr>
    </w:p>
    <w:p w14:paraId="0F8FF8BE">
      <w:pPr>
        <w:snapToGrid w:val="0"/>
        <w:spacing w:line="480" w:lineRule="exact"/>
        <w:ind w:right="-817" w:rightChars="-389" w:firstLine="3600" w:firstLineChars="1500"/>
        <w:rPr>
          <w:rFonts w:ascii="宋体" w:hAnsi="宋体" w:cs="宋体"/>
          <w:color w:val="auto"/>
          <w:sz w:val="24"/>
          <w:szCs w:val="24"/>
          <w:highlight w:val="none"/>
        </w:rPr>
      </w:pPr>
      <w:r>
        <w:rPr>
          <w:rFonts w:hint="eastAsia" w:ascii="宋体" w:hAnsi="宋体" w:cs="宋体"/>
          <w:color w:val="auto"/>
          <w:sz w:val="24"/>
          <w:szCs w:val="24"/>
          <w:highlight w:val="none"/>
        </w:rPr>
        <w:t>供应商：</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（电子签章） </w:t>
      </w:r>
    </w:p>
    <w:p w14:paraId="6F4F4184">
      <w:pPr>
        <w:spacing w:line="400" w:lineRule="exact"/>
        <w:ind w:firstLine="2640" w:firstLineChars="1100"/>
        <w:rPr>
          <w:rFonts w:ascii="宋体" w:hAnsi="宋体" w:cs="宋体"/>
          <w:color w:val="auto"/>
          <w:sz w:val="24"/>
          <w:szCs w:val="24"/>
          <w:highlight w:val="none"/>
        </w:rPr>
      </w:pPr>
      <w:r>
        <w:rPr>
          <w:rFonts w:hint="eastAsia" w:ascii="宋体" w:hAnsi="宋体" w:cs="宋体"/>
          <w:color w:val="auto"/>
          <w:sz w:val="24"/>
          <w:szCs w:val="24"/>
          <w:highlight w:val="none"/>
        </w:rPr>
        <w:t>法定代表人或委托代理人：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（签章） </w:t>
      </w:r>
    </w:p>
    <w:p w14:paraId="3488198A">
      <w:pPr>
        <w:ind w:firstLine="3600" w:firstLineChars="1500"/>
        <w:rPr>
          <w:rFonts w:ascii="宋体" w:hAnsi="宋体" w:cs="宋体"/>
          <w:color w:val="auto"/>
          <w:sz w:val="24"/>
          <w:szCs w:val="24"/>
          <w:highlight w:val="none"/>
        </w:rPr>
      </w:pPr>
      <w:r>
        <w:rPr>
          <w:rFonts w:hint="eastAsia" w:ascii="宋体" w:hAnsi="宋体" w:cs="宋体"/>
          <w:color w:val="auto"/>
          <w:sz w:val="24"/>
          <w:szCs w:val="24"/>
          <w:highlight w:val="none"/>
        </w:rPr>
        <w:t>日期：   年    月    日</w:t>
      </w:r>
    </w:p>
    <w:p w14:paraId="1154A3D8">
      <w:pPr>
        <w:spacing w:line="400" w:lineRule="exact"/>
        <w:ind w:firstLine="506" w:firstLineChars="200"/>
        <w:rPr>
          <w:rFonts w:ascii="宋体" w:hAnsi="宋体" w:cs="宋体"/>
          <w:b/>
          <w:color w:val="auto"/>
          <w:spacing w:val="6"/>
          <w:sz w:val="24"/>
          <w:szCs w:val="24"/>
          <w:highlight w:val="none"/>
        </w:rPr>
      </w:pPr>
      <w:r>
        <w:rPr>
          <w:rFonts w:hint="eastAsia" w:ascii="宋体" w:hAnsi="宋体" w:cs="宋体"/>
          <w:b/>
          <w:color w:val="auto"/>
          <w:spacing w:val="6"/>
          <w:sz w:val="24"/>
          <w:szCs w:val="24"/>
          <w:highlight w:val="none"/>
        </w:rPr>
        <w:t>从业人员、营业收入、资产总额填报上一年度数据，无上一年度数据的新成立企业可不填报</w:t>
      </w:r>
    </w:p>
    <w:p w14:paraId="1F2F8A82">
      <w:pPr>
        <w:pageBreakBefore w:val="0"/>
        <w:wordWrap w:val="0"/>
        <w:overflowPunct/>
        <w:bidi w:val="0"/>
        <w:rPr>
          <w:color w:val="auto"/>
          <w:highlight w:val="none"/>
          <w:u w:val="none"/>
        </w:rPr>
      </w:pPr>
    </w:p>
    <w:p w14:paraId="030E0FEB">
      <w:pPr>
        <w:rPr>
          <w:rFonts w:ascii="宋体" w:hAnsi="宋体" w:cs="宋体"/>
          <w:b/>
          <w:bCs/>
          <w:sz w:val="28"/>
          <w:szCs w:val="32"/>
          <w:highlight w:val="none"/>
        </w:rPr>
      </w:pPr>
      <w:r>
        <w:rPr>
          <w:rFonts w:ascii="宋体" w:hAnsi="宋体" w:cs="宋体"/>
          <w:b/>
          <w:bCs/>
          <w:sz w:val="28"/>
          <w:szCs w:val="32"/>
          <w:highlight w:val="none"/>
        </w:rPr>
        <w:br w:type="page"/>
      </w:r>
    </w:p>
    <w:p w14:paraId="2F74AFAA">
      <w:pPr>
        <w:spacing w:line="360" w:lineRule="auto"/>
        <w:jc w:val="center"/>
        <w:rPr>
          <w:rFonts w:ascii="宋体" w:hAnsi="宋体" w:cs="宋体"/>
          <w:b/>
          <w:bCs/>
          <w:sz w:val="32"/>
          <w:szCs w:val="32"/>
          <w:highlight w:val="none"/>
        </w:rPr>
      </w:pPr>
      <w:r>
        <w:rPr>
          <w:rFonts w:ascii="宋体" w:hAnsi="宋体" w:cs="宋体"/>
          <w:b/>
          <w:bCs/>
          <w:sz w:val="28"/>
          <w:szCs w:val="32"/>
          <w:highlight w:val="none"/>
        </w:rPr>
        <w:t>残疾人福利性单位声明函</w:t>
      </w:r>
    </w:p>
    <w:p w14:paraId="2689A982">
      <w:pPr>
        <w:jc w:val="center"/>
        <w:rPr>
          <w:rFonts w:ascii="宋体" w:hAnsi="宋体" w:cs="宋体"/>
          <w:b/>
          <w:bCs/>
          <w:iCs/>
          <w:sz w:val="24"/>
          <w:szCs w:val="24"/>
          <w:highlight w:val="none"/>
        </w:rPr>
      </w:pPr>
      <w:r>
        <w:rPr>
          <w:rFonts w:hint="eastAsia" w:ascii="宋体" w:hAnsi="宋体" w:cs="宋体"/>
          <w:b/>
          <w:bCs/>
          <w:iCs/>
          <w:sz w:val="24"/>
          <w:szCs w:val="24"/>
          <w:highlight w:val="none"/>
        </w:rPr>
        <w:t>（属于残疾人福利性单位的填写，不属于的无需填写此项内容）</w:t>
      </w:r>
    </w:p>
    <w:p w14:paraId="3D63A9F8">
      <w:pPr>
        <w:spacing w:line="360" w:lineRule="auto"/>
        <w:jc w:val="center"/>
        <w:rPr>
          <w:rFonts w:ascii="宋体" w:hAnsi="宋体" w:cs="宋体"/>
          <w:b/>
          <w:bCs/>
          <w:sz w:val="32"/>
          <w:szCs w:val="32"/>
          <w:highlight w:val="none"/>
        </w:rPr>
      </w:pPr>
    </w:p>
    <w:p w14:paraId="0D0E84F4">
      <w:pPr>
        <w:snapToGrid w:val="0"/>
        <w:spacing w:line="520" w:lineRule="exact"/>
        <w:ind w:left="1177" w:leftChars="-72" w:right="84" w:rightChars="40" w:hanging="1328" w:hangingChars="415"/>
        <w:jc w:val="center"/>
        <w:rPr>
          <w:rFonts w:ascii="宋体" w:hAnsi="宋体" w:cs="宋体"/>
          <w:sz w:val="32"/>
          <w:szCs w:val="32"/>
          <w:highlight w:val="none"/>
        </w:rPr>
      </w:pPr>
    </w:p>
    <w:p w14:paraId="19E6A398">
      <w:pPr>
        <w:spacing w:line="360" w:lineRule="auto"/>
        <w:ind w:firstLine="480" w:firstLineChars="200"/>
        <w:rPr>
          <w:rFonts w:ascii="Calibri" w:hAnsi="Calibri" w:cs="宋体"/>
          <w:sz w:val="24"/>
          <w:szCs w:val="24"/>
          <w:highlight w:val="none"/>
        </w:rPr>
      </w:pPr>
      <w:r>
        <w:rPr>
          <w:rFonts w:ascii="Calibri" w:hAnsi="Calibri" w:cs="宋体"/>
          <w:sz w:val="24"/>
          <w:szCs w:val="24"/>
          <w:highlight w:val="none"/>
        </w:rPr>
        <w:t>本单位郑重声明，根据《财政部 民政部 中国残疾人联合会关于促进残疾人就业政府采购政策的通知》（财库</w:t>
      </w:r>
      <w:r>
        <w:rPr>
          <w:rFonts w:ascii="宋体" w:hAnsi="宋体" w:cs="宋体"/>
          <w:sz w:val="24"/>
          <w:szCs w:val="24"/>
          <w:highlight w:val="none"/>
        </w:rPr>
        <w:t>〔2017〕 141</w:t>
      </w:r>
      <w:r>
        <w:rPr>
          <w:rFonts w:ascii="Calibri" w:hAnsi="Calibri" w:cs="宋体"/>
          <w:sz w:val="24"/>
          <w:szCs w:val="24"/>
          <w:highlight w:val="none"/>
        </w:rPr>
        <w:t>号）的规定，本单位为符合条件的残疾人福利性单位，且本单位参加______单位的______项目采购活动，</w:t>
      </w:r>
      <w:r>
        <w:rPr>
          <w:rFonts w:hint="eastAsia" w:ascii="Calibri" w:hAnsi="Calibri" w:cs="宋体"/>
          <w:sz w:val="24"/>
          <w:szCs w:val="24"/>
          <w:highlight w:val="none"/>
        </w:rPr>
        <w:t>提供本</w:t>
      </w:r>
      <w:r>
        <w:rPr>
          <w:rFonts w:ascii="Calibri" w:hAnsi="Calibri" w:cs="宋体"/>
          <w:sz w:val="24"/>
          <w:szCs w:val="24"/>
          <w:highlight w:val="none"/>
        </w:rPr>
        <w:t>单位制造的货物</w:t>
      </w:r>
      <w:r>
        <w:rPr>
          <w:rFonts w:hint="eastAsia" w:ascii="Calibri" w:hAnsi="Calibri" w:cs="宋体"/>
          <w:sz w:val="24"/>
          <w:szCs w:val="24"/>
          <w:highlight w:val="none"/>
        </w:rPr>
        <w:t>，</w:t>
      </w:r>
      <w:r>
        <w:rPr>
          <w:rFonts w:ascii="Calibri" w:hAnsi="Calibri" w:cs="宋体"/>
          <w:sz w:val="24"/>
          <w:szCs w:val="24"/>
          <w:highlight w:val="none"/>
        </w:rPr>
        <w:t>或者提供其他残疾人福利性单位制造的货物（</w:t>
      </w:r>
      <w:r>
        <w:rPr>
          <w:rFonts w:hint="eastAsia" w:ascii="Calibri" w:hAnsi="Calibri" w:cs="宋体"/>
          <w:sz w:val="24"/>
          <w:szCs w:val="24"/>
          <w:highlight w:val="none"/>
        </w:rPr>
        <w:t>不</w:t>
      </w:r>
      <w:r>
        <w:rPr>
          <w:rFonts w:ascii="Calibri" w:hAnsi="Calibri" w:cs="宋体"/>
          <w:sz w:val="24"/>
          <w:szCs w:val="24"/>
          <w:highlight w:val="none"/>
        </w:rPr>
        <w:t>包括使用非残疾人福利性单位注册商标的货物）。</w:t>
      </w:r>
    </w:p>
    <w:p w14:paraId="643A39F7">
      <w:pPr>
        <w:spacing w:line="360" w:lineRule="auto"/>
        <w:ind w:firstLine="480" w:firstLineChars="200"/>
        <w:rPr>
          <w:rFonts w:ascii="宋体" w:hAnsi="宋体" w:cs="宋体"/>
          <w:b/>
          <w:bCs/>
          <w:sz w:val="32"/>
          <w:szCs w:val="32"/>
          <w:highlight w:val="none"/>
        </w:rPr>
      </w:pPr>
      <w:r>
        <w:rPr>
          <w:rFonts w:ascii="Calibri" w:hAnsi="Calibri" w:cs="宋体"/>
          <w:sz w:val="24"/>
          <w:szCs w:val="24"/>
          <w:highlight w:val="none"/>
        </w:rPr>
        <w:t>本单位对上述声明的真实性负责。如有虚假，将依法承担相应责任。</w:t>
      </w:r>
    </w:p>
    <w:p w14:paraId="03C19C76">
      <w:pPr>
        <w:spacing w:line="360" w:lineRule="auto"/>
        <w:jc w:val="center"/>
        <w:rPr>
          <w:rFonts w:ascii="宋体" w:hAnsi="宋体" w:cs="宋体"/>
          <w:b/>
          <w:bCs/>
          <w:sz w:val="32"/>
          <w:szCs w:val="32"/>
          <w:highlight w:val="none"/>
        </w:rPr>
      </w:pPr>
    </w:p>
    <w:p w14:paraId="5C7272D4">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企业名称（盖章）：</w:t>
      </w:r>
      <w:r>
        <w:rPr>
          <w:rFonts w:hint="eastAsia" w:ascii="宋体" w:hAnsi="宋体"/>
          <w:color w:val="000000"/>
          <w:kern w:val="0"/>
          <w:sz w:val="24"/>
          <w:szCs w:val="24"/>
          <w:highlight w:val="none"/>
          <w:u w:val="single"/>
        </w:rPr>
        <w:t xml:space="preserve">          </w:t>
      </w:r>
    </w:p>
    <w:p w14:paraId="3430313E">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日期：</w:t>
      </w:r>
      <w:r>
        <w:rPr>
          <w:rFonts w:hint="eastAsia" w:ascii="宋体" w:hAnsi="宋体"/>
          <w:color w:val="000000"/>
          <w:kern w:val="0"/>
          <w:sz w:val="24"/>
          <w:szCs w:val="24"/>
          <w:highlight w:val="none"/>
          <w:u w:val="single"/>
        </w:rPr>
        <w:t xml:space="preserve">     </w:t>
      </w:r>
      <w:r>
        <w:rPr>
          <w:rFonts w:hint="eastAsia" w:ascii="宋体" w:hAnsi="宋体" w:cs="宋体"/>
          <w:kern w:val="0"/>
          <w:sz w:val="24"/>
          <w:szCs w:val="24"/>
          <w:highlight w:val="none"/>
        </w:rPr>
        <w:t>年</w:t>
      </w:r>
      <w:r>
        <w:rPr>
          <w:rFonts w:hint="eastAsia" w:ascii="宋体" w:hAnsi="宋体"/>
          <w:color w:val="000000"/>
          <w:kern w:val="0"/>
          <w:sz w:val="24"/>
          <w:szCs w:val="24"/>
          <w:highlight w:val="none"/>
          <w:u w:val="single"/>
        </w:rPr>
        <w:t xml:space="preserve">     </w:t>
      </w:r>
      <w:r>
        <w:rPr>
          <w:rFonts w:hint="eastAsia" w:ascii="宋体" w:hAnsi="宋体" w:cs="宋体"/>
          <w:kern w:val="0"/>
          <w:sz w:val="24"/>
          <w:szCs w:val="24"/>
          <w:highlight w:val="none"/>
        </w:rPr>
        <w:t>月</w:t>
      </w:r>
      <w:r>
        <w:rPr>
          <w:rFonts w:hint="eastAsia" w:ascii="宋体" w:hAnsi="宋体"/>
          <w:color w:val="000000"/>
          <w:kern w:val="0"/>
          <w:sz w:val="24"/>
          <w:szCs w:val="24"/>
          <w:highlight w:val="none"/>
          <w:u w:val="single"/>
        </w:rPr>
        <w:t xml:space="preserve">     </w:t>
      </w:r>
      <w:r>
        <w:rPr>
          <w:rFonts w:hint="eastAsia" w:ascii="宋体" w:hAnsi="宋体" w:cs="宋体"/>
          <w:kern w:val="0"/>
          <w:sz w:val="24"/>
          <w:szCs w:val="24"/>
          <w:highlight w:val="none"/>
        </w:rPr>
        <w:t>日</w:t>
      </w:r>
    </w:p>
    <w:p w14:paraId="02A6C197">
      <w:pPr>
        <w:spacing w:line="400" w:lineRule="exact"/>
        <w:jc w:val="center"/>
        <w:rPr>
          <w:rFonts w:ascii="宋体" w:hAnsi="宋体"/>
          <w:bCs/>
          <w:color w:val="000000"/>
          <w:sz w:val="32"/>
          <w:szCs w:val="24"/>
          <w:highlight w:val="none"/>
        </w:rPr>
      </w:pPr>
    </w:p>
    <w:p w14:paraId="1AD5F8F8"/>
    <w:sectPr>
      <w:headerReference r:id="rId10" w:type="default"/>
      <w:footerReference r:id="rId11" w:type="default"/>
      <w:pgSz w:w="11906" w:h="16838"/>
      <w:pgMar w:top="1417" w:right="1417" w:bottom="1417" w:left="1417" w:header="777" w:footer="641"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6160">
    <w:pPr>
      <w:pStyle w:val="14"/>
      <w:pBdr>
        <w:top w:val="single" w:color="auto" w:sz="4" w:space="0"/>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F789AF">
                          <w:pPr>
                            <w:pStyle w:val="1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文本框 10"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G9R/FcEBAACOAwAADgAAAAAAAAABACAAAAAeAQAAZHJzL2Uyb0RvYy54bWxQSwUG&#10;AAAAAAYABgBZAQAAUQUAAAAA&#10;">
              <v:fill on="f" focussize="0,0"/>
              <v:stroke on="f"/>
              <v:imagedata o:title=""/>
              <o:lock v:ext="edit" aspectratio="f"/>
              <v:textbox inset="0mm,0mm,0mm,0mm" style="mso-fit-shape-to-text:t;">
                <w:txbxContent>
                  <w:p w14:paraId="39F789AF">
                    <w:pPr>
                      <w:pStyle w:val="1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w:rPr>
        <w:rStyle w:val="25"/>
        <w:rFonts w:hint="eastAsia"/>
      </w:rPr>
      <w:t xml:space="preserve">      </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3C82">
    <w:pPr>
      <w:pStyle w:val="14"/>
      <w:pBdr>
        <w:top w:val="single" w:color="auto" w:sz="4" w:space="0"/>
      </w:pBdr>
    </w:pPr>
    <w:r>
      <w:rPr>
        <w:rStyle w:val="25"/>
        <w:rFonts w:hint="eastAsia"/>
      </w:rPr>
      <w:t xml:space="preserve">      </w:t>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384DD">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729CE">
    <w:pPr>
      <w:pStyle w:val="14"/>
      <w:pBdr>
        <w:top w:val="single" w:color="auto" w:sz="4" w:space="1"/>
      </w:pBdr>
      <w:jc w:val="both"/>
    </w:pP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64F2E">
    <w:pPr>
      <w:pStyle w:val="14"/>
      <w:pBdr>
        <w:top w:val="single" w:color="auto" w:sz="4" w:space="1"/>
      </w:pBdr>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A0C91">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F4A0C91">
                    <w:pPr>
                      <w:pStyle w:val="1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47FD5">
    <w:pPr>
      <w:pStyle w:val="14"/>
      <w:pBdr>
        <w:top w:val="single" w:color="auto"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F36491">
                          <w:pPr>
                            <w:pStyle w:val="14"/>
                          </w:pP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p>
                      </w:txbxContent>
                    </wps:txbx>
                    <wps:bodyPr wrap="none" lIns="0" tIns="0" rIns="0" bIns="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Zz28sIBAACOAwAADgAAAGRycy9lMm9Eb2MueG1srVPNjtMwEL4j8Q6W&#10;79Rph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m+&#10;zv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Gc9vLCAQAAjgMAAA4AAAAAAAAAAQAgAAAAHgEAAGRycy9lMm9Eb2MueG1sUEsF&#10;BgAAAAAGAAYAWQEAAFIFAAAAAA==&#10;">
              <v:fill on="f" focussize="0,0"/>
              <v:stroke on="f"/>
              <v:imagedata o:title=""/>
              <o:lock v:ext="edit" aspectratio="f"/>
              <v:textbox inset="0mm,0mm,0mm,0mm" style="mso-fit-shape-to-text:t;">
                <w:txbxContent>
                  <w:p w14:paraId="0BF36491">
                    <w:pPr>
                      <w:pStyle w:val="14"/>
                    </w:pP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72C0C">
    <w:pPr>
      <w:pBdr>
        <w:bottom w:val="single" w:color="auto" w:sz="4" w:space="1"/>
      </w:pBdr>
      <w:jc w:val="right"/>
    </w:pPr>
    <w:r>
      <w:rPr>
        <w:rFonts w:hint="eastAsia"/>
      </w:rPr>
      <w:t xml:space="preserve">  </w:t>
    </w:r>
    <w:r>
      <w:rPr>
        <w:rFonts w:hint="eastAsia"/>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14EB9">
    <w:pPr>
      <w:pBdr>
        <w:bottom w:val="single" w:color="auto" w:sz="4"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A9B06">
    <w:pPr>
      <w:pBdr>
        <w:bottom w:val="single" w:color="auto" w:sz="4" w:space="1"/>
      </w:pBdr>
      <w:jc w:val="right"/>
      <w:rPr>
        <w:b/>
        <w:sz w:val="18"/>
        <w:szCs w:val="18"/>
      </w:rPr>
    </w:pPr>
    <w:r>
      <w:rPr>
        <w:rFonts w:hint="eastAsia"/>
      </w:rPr>
      <w:t xml:space="preserve">           </w:t>
    </w:r>
    <w:r>
      <w:rPr>
        <w:rFonts w:hint="eastAsia"/>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5C0551"/>
    <w:multiLevelType w:val="singleLevel"/>
    <w:tmpl w:val="865C0551"/>
    <w:lvl w:ilvl="0" w:tentative="0">
      <w:start w:val="1"/>
      <w:numFmt w:val="chineseCounting"/>
      <w:suff w:val="nothing"/>
      <w:lvlText w:val="%1、"/>
      <w:lvlJc w:val="left"/>
      <w:rPr>
        <w:rFonts w:hint="eastAsia"/>
      </w:rPr>
    </w:lvl>
  </w:abstractNum>
  <w:abstractNum w:abstractNumId="1">
    <w:nsid w:val="8A275EEB"/>
    <w:multiLevelType w:val="singleLevel"/>
    <w:tmpl w:val="8A275EEB"/>
    <w:lvl w:ilvl="0" w:tentative="0">
      <w:start w:val="1"/>
      <w:numFmt w:val="decimal"/>
      <w:lvlText w:val="(%1)"/>
      <w:lvlJc w:val="left"/>
      <w:pPr>
        <w:ind w:left="425" w:hanging="425"/>
      </w:pPr>
      <w:rPr>
        <w:rFonts w:hint="default"/>
      </w:rPr>
    </w:lvl>
  </w:abstractNum>
  <w:abstractNum w:abstractNumId="2">
    <w:nsid w:val="A0647C4F"/>
    <w:multiLevelType w:val="multilevel"/>
    <w:tmpl w:val="A0647C4F"/>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A2C959E2"/>
    <w:multiLevelType w:val="multilevel"/>
    <w:tmpl w:val="A2C959E2"/>
    <w:lvl w:ilvl="0" w:tentative="0">
      <w:start w:val="1"/>
      <w:numFmt w:val="decimal"/>
      <w:suff w:val="space"/>
      <w:lvlText w:val="%1."/>
      <w:lvlJc w:val="left"/>
    </w:lvl>
    <w:lvl w:ilvl="1" w:tentative="0">
      <w:start w:val="1"/>
      <w:numFmt w:val="decimal"/>
      <w:suff w:val="space"/>
      <w:lvlText w:val="%1.%2"/>
      <w:lvlJc w:val="left"/>
      <w:pPr>
        <w:ind w:left="0" w:firstLine="0"/>
      </w:pPr>
      <w:rPr>
        <w:rFonts w:hint="default" w:ascii="宋体" w:hAnsi="宋体" w:eastAsia="宋体" w:cs="宋体"/>
        <w:b/>
        <w:bCs/>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C28C9B44"/>
    <w:multiLevelType w:val="multilevel"/>
    <w:tmpl w:val="C28C9B44"/>
    <w:lvl w:ilvl="0" w:tentative="0">
      <w:start w:val="1"/>
      <w:numFmt w:val="decimal"/>
      <w:pStyle w:val="3"/>
      <w:lvlText w:val="%1 "/>
      <w:lvlJc w:val="left"/>
      <w:pPr>
        <w:tabs>
          <w:tab w:val="left" w:pos="0"/>
        </w:tabs>
        <w:ind w:left="0" w:firstLine="0"/>
      </w:pPr>
      <w:rPr>
        <w:rFonts w:hint="default" w:ascii="Arial" w:hAnsi="Arial" w:eastAsia="黑体"/>
        <w:b/>
        <w:i w:val="0"/>
        <w:color w:val="auto"/>
      </w:rPr>
    </w:lvl>
    <w:lvl w:ilvl="1" w:tentative="0">
      <w:start w:val="1"/>
      <w:numFmt w:val="decimal"/>
      <w:lvlText w:val="%1.%2"/>
      <w:lvlJc w:val="left"/>
      <w:pPr>
        <w:tabs>
          <w:tab w:val="left" w:pos="567"/>
        </w:tabs>
        <w:ind w:left="0" w:firstLine="0"/>
      </w:pPr>
      <w:rPr>
        <w:rFonts w:hint="eastAsia"/>
      </w:rPr>
    </w:lvl>
    <w:lvl w:ilvl="2" w:tentative="0">
      <w:start w:val="1"/>
      <w:numFmt w:val="decimal"/>
      <w:lvlText w:val="%1.%2.%3"/>
      <w:lvlJc w:val="left"/>
      <w:pPr>
        <w:tabs>
          <w:tab w:val="left" w:pos="927"/>
        </w:tabs>
        <w:ind w:left="360" w:firstLine="0"/>
      </w:pPr>
      <w:rPr>
        <w:rFonts w:hint="eastAsia"/>
      </w:rPr>
    </w:lvl>
    <w:lvl w:ilvl="3" w:tentative="0">
      <w:start w:val="1"/>
      <w:numFmt w:val="decimal"/>
      <w:lvlText w:val="%1.%2.%3.%4"/>
      <w:lvlJc w:val="left"/>
      <w:pPr>
        <w:tabs>
          <w:tab w:val="left" w:pos="251"/>
        </w:tabs>
        <w:ind w:left="251" w:firstLine="0"/>
      </w:pPr>
      <w:rPr>
        <w:rFonts w:hint="eastAsia" w:ascii="Times New Roman" w:hAnsi="Times New Roman" w:cs="Times New Roman"/>
        <w:b w:val="0"/>
        <w:bCs w:val="0"/>
        <w:i w:val="0"/>
        <w:iCs w:val="0"/>
        <w:caps w:val="0"/>
        <w:smallCaps w:val="0"/>
        <w:strike w:val="0"/>
        <w:dstrike w:val="0"/>
        <w:outline w:val="0"/>
        <w:shadow w:val="0"/>
        <w:emboss w:val="0"/>
        <w:imprint w:val="0"/>
        <w:vanish w:val="0"/>
        <w:color w:val="000000"/>
        <w:spacing w:val="0"/>
        <w:position w:val="0"/>
        <w:u w:val="none"/>
        <w:vertAlign w:val="baseline"/>
      </w:rPr>
    </w:lvl>
    <w:lvl w:ilvl="4" w:tentative="0">
      <w:start w:val="1"/>
      <w:numFmt w:val="decimal"/>
      <w:lvlText w:val="%1.%2.%3.%4.%5"/>
      <w:lvlJc w:val="left"/>
      <w:pPr>
        <w:tabs>
          <w:tab w:val="left" w:pos="2114"/>
        </w:tabs>
        <w:ind w:left="2114" w:hanging="850"/>
      </w:pPr>
      <w:rPr>
        <w:rFonts w:hint="eastAsia"/>
      </w:rPr>
    </w:lvl>
    <w:lvl w:ilvl="5" w:tentative="0">
      <w:start w:val="1"/>
      <w:numFmt w:val="decimal"/>
      <w:lvlText w:val="%1.%2.%3.%4.%5.%6"/>
      <w:lvlJc w:val="left"/>
      <w:pPr>
        <w:tabs>
          <w:tab w:val="left" w:pos="2823"/>
        </w:tabs>
        <w:ind w:left="2823" w:hanging="1134"/>
      </w:pPr>
      <w:rPr>
        <w:rFonts w:hint="eastAsia"/>
      </w:rPr>
    </w:lvl>
    <w:lvl w:ilvl="6" w:tentative="0">
      <w:start w:val="1"/>
      <w:numFmt w:val="decimal"/>
      <w:lvlText w:val="%1.%2.%3.%4.%5.%6.%7"/>
      <w:lvlJc w:val="left"/>
      <w:pPr>
        <w:tabs>
          <w:tab w:val="left" w:pos="3390"/>
        </w:tabs>
        <w:ind w:left="3390" w:hanging="1276"/>
      </w:pPr>
      <w:rPr>
        <w:rFonts w:hint="eastAsia"/>
      </w:rPr>
    </w:lvl>
    <w:lvl w:ilvl="7" w:tentative="0">
      <w:start w:val="1"/>
      <w:numFmt w:val="decimal"/>
      <w:lvlText w:val="%1.%2.%3.%4.%5.%6.%7.%8"/>
      <w:lvlJc w:val="left"/>
      <w:pPr>
        <w:tabs>
          <w:tab w:val="left" w:pos="3957"/>
        </w:tabs>
        <w:ind w:left="3957" w:hanging="1418"/>
      </w:pPr>
      <w:rPr>
        <w:rFonts w:hint="eastAsia"/>
      </w:rPr>
    </w:lvl>
    <w:lvl w:ilvl="8" w:tentative="0">
      <w:start w:val="1"/>
      <w:numFmt w:val="decimal"/>
      <w:lvlText w:val="%1.%2.%3.%4.%5.%6.%7.%8.%9"/>
      <w:lvlJc w:val="left"/>
      <w:pPr>
        <w:tabs>
          <w:tab w:val="left" w:pos="4665"/>
        </w:tabs>
        <w:ind w:left="4665" w:hanging="1700"/>
      </w:pPr>
      <w:rPr>
        <w:rFonts w:hint="eastAsia"/>
      </w:rPr>
    </w:lvl>
  </w:abstractNum>
  <w:abstractNum w:abstractNumId="5">
    <w:nsid w:val="D7F52C59"/>
    <w:multiLevelType w:val="singleLevel"/>
    <w:tmpl w:val="D7F52C59"/>
    <w:lvl w:ilvl="0" w:tentative="0">
      <w:start w:val="1"/>
      <w:numFmt w:val="decimal"/>
      <w:lvlText w:val="(%1)"/>
      <w:lvlJc w:val="left"/>
      <w:pPr>
        <w:ind w:left="425" w:hanging="425"/>
      </w:pPr>
      <w:rPr>
        <w:rFonts w:hint="default"/>
      </w:rPr>
    </w:lvl>
  </w:abstractNum>
  <w:abstractNum w:abstractNumId="6">
    <w:nsid w:val="E3840981"/>
    <w:multiLevelType w:val="multilevel"/>
    <w:tmpl w:val="E3840981"/>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7">
    <w:nsid w:val="F44DDB14"/>
    <w:multiLevelType w:val="singleLevel"/>
    <w:tmpl w:val="F44DDB14"/>
    <w:lvl w:ilvl="0" w:tentative="0">
      <w:start w:val="1"/>
      <w:numFmt w:val="decimal"/>
      <w:suff w:val="nothing"/>
      <w:lvlText w:val="%1、"/>
      <w:lvlJc w:val="left"/>
      <w:rPr>
        <w:rFonts w:hint="default" w:ascii="宋体" w:hAnsi="宋体" w:eastAsia="宋体" w:cs="宋体"/>
        <w:sz w:val="21"/>
        <w:szCs w:val="21"/>
      </w:rPr>
    </w:lvl>
  </w:abstractNum>
  <w:abstractNum w:abstractNumId="8">
    <w:nsid w:val="F9A2E6BD"/>
    <w:multiLevelType w:val="singleLevel"/>
    <w:tmpl w:val="F9A2E6BD"/>
    <w:lvl w:ilvl="0" w:tentative="0">
      <w:start w:val="1"/>
      <w:numFmt w:val="decimal"/>
      <w:lvlText w:val="(%1)"/>
      <w:lvlJc w:val="left"/>
      <w:pPr>
        <w:ind w:left="425" w:hanging="425"/>
      </w:pPr>
      <w:rPr>
        <w:rFonts w:hint="default"/>
      </w:rPr>
    </w:lvl>
  </w:abstractNum>
  <w:abstractNum w:abstractNumId="9">
    <w:nsid w:val="0583F1C0"/>
    <w:multiLevelType w:val="singleLevel"/>
    <w:tmpl w:val="0583F1C0"/>
    <w:lvl w:ilvl="0" w:tentative="0">
      <w:start w:val="1"/>
      <w:numFmt w:val="decimal"/>
      <w:suff w:val="nothing"/>
      <w:lvlText w:val="%1、"/>
      <w:lvlJc w:val="left"/>
      <w:rPr>
        <w:rFonts w:hint="default" w:ascii="宋体" w:hAnsi="宋体" w:eastAsia="宋体" w:cs="宋体"/>
      </w:rPr>
    </w:lvl>
  </w:abstractNum>
  <w:abstractNum w:abstractNumId="10">
    <w:nsid w:val="1068C811"/>
    <w:multiLevelType w:val="singleLevel"/>
    <w:tmpl w:val="1068C811"/>
    <w:lvl w:ilvl="0" w:tentative="0">
      <w:start w:val="1"/>
      <w:numFmt w:val="decimal"/>
      <w:suff w:val="space"/>
      <w:lvlText w:val="%1."/>
      <w:lvlJc w:val="left"/>
    </w:lvl>
  </w:abstractNum>
  <w:abstractNum w:abstractNumId="11">
    <w:nsid w:val="1301BF32"/>
    <w:multiLevelType w:val="singleLevel"/>
    <w:tmpl w:val="1301BF32"/>
    <w:lvl w:ilvl="0" w:tentative="0">
      <w:start w:val="1"/>
      <w:numFmt w:val="decimal"/>
      <w:suff w:val="nothing"/>
      <w:lvlText w:val="%1、"/>
      <w:lvlJc w:val="left"/>
      <w:rPr>
        <w:rFonts w:hint="default" w:ascii="宋体" w:hAnsi="宋体" w:eastAsia="宋体" w:cs="宋体"/>
        <w:sz w:val="21"/>
        <w:szCs w:val="21"/>
      </w:rPr>
    </w:lvl>
  </w:abstractNum>
  <w:abstractNum w:abstractNumId="12">
    <w:nsid w:val="281E951A"/>
    <w:multiLevelType w:val="singleLevel"/>
    <w:tmpl w:val="281E951A"/>
    <w:lvl w:ilvl="0" w:tentative="0">
      <w:start w:val="4"/>
      <w:numFmt w:val="chineseCounting"/>
      <w:suff w:val="nothing"/>
      <w:lvlText w:val="%1、"/>
      <w:lvlJc w:val="left"/>
      <w:pPr>
        <w:ind w:left="-2"/>
      </w:pPr>
      <w:rPr>
        <w:rFonts w:hint="eastAsia" w:ascii="宋体" w:hAnsi="宋体" w:eastAsia="宋体" w:cs="宋体"/>
        <w:color w:val="auto"/>
        <w:sz w:val="21"/>
        <w:szCs w:val="21"/>
      </w:rPr>
    </w:lvl>
  </w:abstractNum>
  <w:abstractNum w:abstractNumId="13">
    <w:nsid w:val="2D6A2507"/>
    <w:multiLevelType w:val="singleLevel"/>
    <w:tmpl w:val="2D6A2507"/>
    <w:lvl w:ilvl="0" w:tentative="0">
      <w:start w:val="1"/>
      <w:numFmt w:val="decimal"/>
      <w:lvlText w:val="(%1)"/>
      <w:lvlJc w:val="left"/>
      <w:pPr>
        <w:ind w:left="425" w:hanging="425"/>
      </w:pPr>
      <w:rPr>
        <w:rFonts w:hint="default"/>
      </w:rPr>
    </w:lvl>
  </w:abstractNum>
  <w:abstractNum w:abstractNumId="14">
    <w:nsid w:val="2F504A26"/>
    <w:multiLevelType w:val="singleLevel"/>
    <w:tmpl w:val="2F504A26"/>
    <w:lvl w:ilvl="0" w:tentative="0">
      <w:start w:val="1"/>
      <w:numFmt w:val="decimal"/>
      <w:lvlText w:val="(%1)"/>
      <w:lvlJc w:val="left"/>
      <w:pPr>
        <w:ind w:left="425" w:hanging="425"/>
      </w:pPr>
      <w:rPr>
        <w:rFonts w:hint="default"/>
      </w:rPr>
    </w:lvl>
  </w:abstractNum>
  <w:abstractNum w:abstractNumId="15">
    <w:nsid w:val="30FE9A4E"/>
    <w:multiLevelType w:val="singleLevel"/>
    <w:tmpl w:val="30FE9A4E"/>
    <w:lvl w:ilvl="0" w:tentative="0">
      <w:start w:val="2"/>
      <w:numFmt w:val="chineseCounting"/>
      <w:suff w:val="nothing"/>
      <w:lvlText w:val="%1、"/>
      <w:lvlJc w:val="left"/>
      <w:rPr>
        <w:rFonts w:hint="eastAsia"/>
      </w:rPr>
    </w:lvl>
  </w:abstractNum>
  <w:abstractNum w:abstractNumId="16">
    <w:nsid w:val="3B95BD55"/>
    <w:multiLevelType w:val="singleLevel"/>
    <w:tmpl w:val="3B95BD55"/>
    <w:lvl w:ilvl="0" w:tentative="0">
      <w:start w:val="1"/>
      <w:numFmt w:val="decimal"/>
      <w:suff w:val="nothing"/>
      <w:lvlText w:val="%1、"/>
      <w:lvlJc w:val="left"/>
    </w:lvl>
  </w:abstractNum>
  <w:abstractNum w:abstractNumId="17">
    <w:nsid w:val="4C7E4318"/>
    <w:multiLevelType w:val="multilevel"/>
    <w:tmpl w:val="4C7E4318"/>
    <w:lvl w:ilvl="0" w:tentative="0">
      <w:start w:val="1"/>
      <w:numFmt w:val="japaneseCounting"/>
      <w:lvlText w:val="第%1章"/>
      <w:lvlJc w:val="left"/>
      <w:pPr>
        <w:tabs>
          <w:tab w:val="left" w:pos="1980"/>
        </w:tabs>
        <w:ind w:left="1980" w:hanging="1260"/>
      </w:pPr>
      <w:rPr>
        <w:rFonts w:hint="eastAsia"/>
      </w:rPr>
    </w:lvl>
    <w:lvl w:ilvl="1" w:tentative="0">
      <w:start w:val="1"/>
      <w:numFmt w:val="decimal"/>
      <w:lvlText w:val="(%2)"/>
      <w:lvlJc w:val="left"/>
      <w:pPr>
        <w:tabs>
          <w:tab w:val="left" w:pos="1500"/>
        </w:tabs>
        <w:ind w:left="1500" w:hanging="360"/>
      </w:pPr>
      <w:rPr>
        <w:rFonts w:hint="default"/>
      </w:rPr>
    </w:lvl>
    <w:lvl w:ilvl="2" w:tentative="0">
      <w:start w:val="1"/>
      <w:numFmt w:val="decimal"/>
      <w:lvlText w:val="%3)"/>
      <w:lvlJc w:val="left"/>
      <w:pPr>
        <w:tabs>
          <w:tab w:val="left" w:pos="1980"/>
        </w:tabs>
        <w:ind w:left="1980" w:hanging="420"/>
      </w:pPr>
      <w:rPr>
        <w:rFonts w:hint="eastAsia"/>
      </w:rPr>
    </w:lvl>
    <w:lvl w:ilvl="3" w:tentative="0">
      <w:start w:val="4"/>
      <w:numFmt w:val="japaneseCounting"/>
      <w:lvlText w:val="%4、"/>
      <w:lvlJc w:val="left"/>
      <w:pPr>
        <w:tabs>
          <w:tab w:val="left" w:pos="2700"/>
        </w:tabs>
        <w:ind w:left="2700" w:hanging="720"/>
      </w:pPr>
      <w:rPr>
        <w:rFonts w:hint="default"/>
      </w:rPr>
    </w:lvl>
    <w:lvl w:ilvl="4" w:tentative="0">
      <w:start w:val="1"/>
      <w:numFmt w:val="decimal"/>
      <w:lvlText w:val="%5）"/>
      <w:lvlJc w:val="left"/>
      <w:pPr>
        <w:tabs>
          <w:tab w:val="left" w:pos="3120"/>
        </w:tabs>
        <w:ind w:left="3120" w:hanging="720"/>
      </w:pPr>
      <w:rPr>
        <w:rFonts w:hint="default"/>
        <w:b w:val="0"/>
      </w:r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18">
    <w:nsid w:val="5D08314D"/>
    <w:multiLevelType w:val="singleLevel"/>
    <w:tmpl w:val="5D08314D"/>
    <w:lvl w:ilvl="0" w:tentative="0">
      <w:start w:val="1"/>
      <w:numFmt w:val="decimal"/>
      <w:suff w:val="nothing"/>
      <w:lvlText w:val="%1、"/>
      <w:lvlJc w:val="left"/>
      <w:rPr>
        <w:rFonts w:hint="default" w:ascii="宋体" w:hAnsi="宋体" w:eastAsia="宋体" w:cs="宋体"/>
        <w:sz w:val="21"/>
        <w:szCs w:val="21"/>
      </w:rPr>
    </w:lvl>
  </w:abstractNum>
  <w:abstractNum w:abstractNumId="19">
    <w:nsid w:val="65B5EC54"/>
    <w:multiLevelType w:val="singleLevel"/>
    <w:tmpl w:val="65B5EC54"/>
    <w:lvl w:ilvl="0" w:tentative="0">
      <w:start w:val="1"/>
      <w:numFmt w:val="decimal"/>
      <w:suff w:val="nothing"/>
      <w:lvlText w:val="%1、"/>
      <w:lvlJc w:val="left"/>
      <w:rPr>
        <w:rFonts w:hint="default" w:ascii="宋体" w:hAnsi="宋体" w:eastAsia="宋体" w:cs="宋体"/>
        <w:sz w:val="21"/>
        <w:szCs w:val="21"/>
      </w:rPr>
    </w:lvl>
  </w:abstractNum>
  <w:abstractNum w:abstractNumId="20">
    <w:nsid w:val="6B48166D"/>
    <w:multiLevelType w:val="singleLevel"/>
    <w:tmpl w:val="6B48166D"/>
    <w:lvl w:ilvl="0" w:tentative="0">
      <w:start w:val="1"/>
      <w:numFmt w:val="decimal"/>
      <w:lvlText w:val="(%1)"/>
      <w:lvlJc w:val="left"/>
      <w:pPr>
        <w:ind w:left="425" w:hanging="425"/>
      </w:pPr>
      <w:rPr>
        <w:rFonts w:hint="default"/>
      </w:rPr>
    </w:lvl>
  </w:abstractNum>
  <w:abstractNum w:abstractNumId="21">
    <w:nsid w:val="7D82545E"/>
    <w:multiLevelType w:val="singleLevel"/>
    <w:tmpl w:val="7D82545E"/>
    <w:lvl w:ilvl="0" w:tentative="0">
      <w:start w:val="1"/>
      <w:numFmt w:val="decimal"/>
      <w:lvlText w:val="(%1)"/>
      <w:lvlJc w:val="left"/>
      <w:pPr>
        <w:ind w:left="425" w:hanging="425"/>
      </w:pPr>
      <w:rPr>
        <w:rFonts w:hint="default"/>
      </w:rPr>
    </w:lvl>
  </w:abstractNum>
  <w:num w:numId="1">
    <w:abstractNumId w:val="4"/>
  </w:num>
  <w:num w:numId="2">
    <w:abstractNumId w:val="16"/>
  </w:num>
  <w:num w:numId="3">
    <w:abstractNumId w:val="3"/>
  </w:num>
  <w:num w:numId="4">
    <w:abstractNumId w:val="2"/>
  </w:num>
  <w:num w:numId="5">
    <w:abstractNumId w:val="20"/>
  </w:num>
  <w:num w:numId="6">
    <w:abstractNumId w:val="17"/>
  </w:num>
  <w:num w:numId="7">
    <w:abstractNumId w:val="1"/>
  </w:num>
  <w:num w:numId="8">
    <w:abstractNumId w:val="5"/>
  </w:num>
  <w:num w:numId="9">
    <w:abstractNumId w:val="21"/>
  </w:num>
  <w:num w:numId="10">
    <w:abstractNumId w:val="14"/>
  </w:num>
  <w:num w:numId="11">
    <w:abstractNumId w:val="10"/>
  </w:num>
  <w:num w:numId="12">
    <w:abstractNumId w:val="15"/>
  </w:num>
  <w:num w:numId="13">
    <w:abstractNumId w:val="6"/>
  </w:num>
  <w:num w:numId="14">
    <w:abstractNumId w:val="13"/>
  </w:num>
  <w:num w:numId="15">
    <w:abstractNumId w:val="8"/>
  </w:num>
  <w:num w:numId="16">
    <w:abstractNumId w:val="7"/>
  </w:num>
  <w:num w:numId="17">
    <w:abstractNumId w:val="18"/>
  </w:num>
  <w:num w:numId="18">
    <w:abstractNumId w:val="19"/>
  </w:num>
  <w:num w:numId="19">
    <w:abstractNumId w:val="12"/>
  </w:num>
  <w:num w:numId="20">
    <w:abstractNumId w:val="11"/>
  </w:num>
  <w:num w:numId="21">
    <w:abstractNumId w:val="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5135"/>
    <w:rsid w:val="011D26F6"/>
    <w:rsid w:val="01955DEB"/>
    <w:rsid w:val="028A1E5B"/>
    <w:rsid w:val="035B12CD"/>
    <w:rsid w:val="044013FE"/>
    <w:rsid w:val="060C219B"/>
    <w:rsid w:val="0D1017FF"/>
    <w:rsid w:val="0D904A74"/>
    <w:rsid w:val="0D9773A6"/>
    <w:rsid w:val="0DEC3692"/>
    <w:rsid w:val="0E1E2CE5"/>
    <w:rsid w:val="0E5276DC"/>
    <w:rsid w:val="10B4757F"/>
    <w:rsid w:val="12482019"/>
    <w:rsid w:val="13586CAC"/>
    <w:rsid w:val="149B6D66"/>
    <w:rsid w:val="15A7201C"/>
    <w:rsid w:val="15AA0AB4"/>
    <w:rsid w:val="16DE4297"/>
    <w:rsid w:val="17C57C22"/>
    <w:rsid w:val="1A693E78"/>
    <w:rsid w:val="1AFA0F74"/>
    <w:rsid w:val="1B5F21D9"/>
    <w:rsid w:val="1DE14F4F"/>
    <w:rsid w:val="1E0565AE"/>
    <w:rsid w:val="1F373679"/>
    <w:rsid w:val="1F6F0F93"/>
    <w:rsid w:val="20E420AC"/>
    <w:rsid w:val="221275A1"/>
    <w:rsid w:val="22EF5136"/>
    <w:rsid w:val="244E3DB7"/>
    <w:rsid w:val="25D01BAA"/>
    <w:rsid w:val="27985D9D"/>
    <w:rsid w:val="29852351"/>
    <w:rsid w:val="2A3D5992"/>
    <w:rsid w:val="2AE01F34"/>
    <w:rsid w:val="2C5A3F68"/>
    <w:rsid w:val="2D594220"/>
    <w:rsid w:val="2D766781"/>
    <w:rsid w:val="2F134336"/>
    <w:rsid w:val="31866FAB"/>
    <w:rsid w:val="31B252B1"/>
    <w:rsid w:val="328622EF"/>
    <w:rsid w:val="34A74BC5"/>
    <w:rsid w:val="35BB58F1"/>
    <w:rsid w:val="39335925"/>
    <w:rsid w:val="39865E76"/>
    <w:rsid w:val="3CDF4D29"/>
    <w:rsid w:val="3D312D3A"/>
    <w:rsid w:val="41433130"/>
    <w:rsid w:val="42966483"/>
    <w:rsid w:val="46DC3AA0"/>
    <w:rsid w:val="478F0B12"/>
    <w:rsid w:val="48286871"/>
    <w:rsid w:val="4B13769D"/>
    <w:rsid w:val="4C8E10F2"/>
    <w:rsid w:val="4CB9218D"/>
    <w:rsid w:val="50A100DB"/>
    <w:rsid w:val="537B19A1"/>
    <w:rsid w:val="5484236F"/>
    <w:rsid w:val="55107128"/>
    <w:rsid w:val="55A03D8C"/>
    <w:rsid w:val="56705FB3"/>
    <w:rsid w:val="56921DD6"/>
    <w:rsid w:val="59053777"/>
    <w:rsid w:val="59A33FA9"/>
    <w:rsid w:val="5CED3EB9"/>
    <w:rsid w:val="5D8C2B4C"/>
    <w:rsid w:val="5D9702C9"/>
    <w:rsid w:val="5FF67529"/>
    <w:rsid w:val="60A76A75"/>
    <w:rsid w:val="61FA14F6"/>
    <w:rsid w:val="631B1F44"/>
    <w:rsid w:val="63A74C22"/>
    <w:rsid w:val="65705687"/>
    <w:rsid w:val="659D4813"/>
    <w:rsid w:val="65A02097"/>
    <w:rsid w:val="65F444CA"/>
    <w:rsid w:val="68456A72"/>
    <w:rsid w:val="69FE5869"/>
    <w:rsid w:val="6A3318FB"/>
    <w:rsid w:val="6A71595D"/>
    <w:rsid w:val="6B2313EE"/>
    <w:rsid w:val="6C2A6D62"/>
    <w:rsid w:val="709E1E82"/>
    <w:rsid w:val="71A82C64"/>
    <w:rsid w:val="722A4E10"/>
    <w:rsid w:val="74404DBF"/>
    <w:rsid w:val="748F67EB"/>
    <w:rsid w:val="753D7905"/>
    <w:rsid w:val="77F432E2"/>
    <w:rsid w:val="78496B9F"/>
    <w:rsid w:val="786F5974"/>
    <w:rsid w:val="792A3948"/>
    <w:rsid w:val="795E0D19"/>
    <w:rsid w:val="7B2B65C4"/>
    <w:rsid w:val="7B4C6D7F"/>
    <w:rsid w:val="7CBC05CB"/>
    <w:rsid w:val="7EE972F8"/>
    <w:rsid w:val="7F8A5140"/>
    <w:rsid w:val="7FFD4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宋体"/>
      <w:kern w:val="2"/>
      <w:sz w:val="21"/>
      <w:szCs w:val="24"/>
      <w:lang w:val="en-US" w:eastAsia="zh-CN" w:bidi="ar-SA"/>
    </w:rPr>
  </w:style>
  <w:style w:type="paragraph" w:styleId="3">
    <w:name w:val="heading 1"/>
    <w:basedOn w:val="1"/>
    <w:next w:val="1"/>
    <w:link w:val="38"/>
    <w:qFormat/>
    <w:uiPriority w:val="0"/>
    <w:pPr>
      <w:keepNext/>
      <w:keepLines/>
      <w:numPr>
        <w:ilvl w:val="0"/>
        <w:numId w:val="1"/>
      </w:numPr>
      <w:spacing w:line="360" w:lineRule="auto"/>
      <w:jc w:val="center"/>
      <w:outlineLvl w:val="0"/>
    </w:pPr>
    <w:rPr>
      <w:rFonts w:ascii="Times New Roman" w:hAnsi="Times New Roman" w:eastAsia="宋体" w:cs="Times New Roman"/>
      <w:b/>
      <w:bCs/>
      <w:color w:val="000000"/>
      <w:kern w:val="44"/>
      <w:sz w:val="32"/>
      <w:szCs w:val="30"/>
    </w:rPr>
  </w:style>
  <w:style w:type="paragraph" w:styleId="2">
    <w:name w:val="heading 2"/>
    <w:basedOn w:val="1"/>
    <w:next w:val="1"/>
    <w:semiHidden/>
    <w:unhideWhenUsed/>
    <w:qFormat/>
    <w:uiPriority w:val="0"/>
    <w:pPr>
      <w:keepNext/>
      <w:keepLines/>
      <w:spacing w:line="413" w:lineRule="auto"/>
      <w:outlineLvl w:val="1"/>
    </w:pPr>
    <w:rPr>
      <w:rFonts w:ascii="Arial" w:hAnsi="Arial" w:eastAsia="黑体" w:cs="Arial"/>
      <w:b/>
      <w:snapToGrid w:val="0"/>
      <w:color w:val="000000"/>
      <w:kern w:val="0"/>
      <w:sz w:val="32"/>
      <w:szCs w:val="21"/>
      <w:lang w:eastAsia="en-US"/>
    </w:rPr>
  </w:style>
  <w:style w:type="paragraph" w:styleId="4">
    <w:name w:val="heading 3"/>
    <w:basedOn w:val="1"/>
    <w:next w:val="1"/>
    <w:qFormat/>
    <w:uiPriority w:val="99"/>
    <w:pPr>
      <w:keepNext/>
      <w:keepLines/>
      <w:spacing w:before="140" w:after="140"/>
      <w:jc w:val="left"/>
      <w:outlineLvl w:val="2"/>
    </w:pPr>
    <w:rPr>
      <w:rFonts w:cs="Times New Roman"/>
      <w:b/>
      <w:szCs w:val="21"/>
    </w:rPr>
  </w:style>
  <w:style w:type="character" w:default="1" w:styleId="23">
    <w:name w:val="Default Paragraph Font"/>
    <w:autoRedefine/>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Calibri" w:hAnsi="Calibri" w:eastAsia="宋体" w:cs="Times New Roman"/>
      <w:sz w:val="28"/>
      <w:szCs w:val="28"/>
    </w:rPr>
  </w:style>
  <w:style w:type="paragraph" w:styleId="6">
    <w:name w:val="toa heading"/>
    <w:basedOn w:val="1"/>
    <w:next w:val="1"/>
    <w:unhideWhenUsed/>
    <w:qFormat/>
    <w:uiPriority w:val="99"/>
    <w:pPr>
      <w:spacing w:before="120"/>
    </w:pPr>
    <w:rPr>
      <w:rFonts w:ascii="Arial" w:hAnsi="Arial" w:cs="Arial"/>
      <w:sz w:val="24"/>
    </w:rPr>
  </w:style>
  <w:style w:type="paragraph" w:styleId="7">
    <w:name w:val="annotation text"/>
    <w:basedOn w:val="1"/>
    <w:semiHidden/>
    <w:qFormat/>
    <w:uiPriority w:val="99"/>
    <w:pPr>
      <w:jc w:val="left"/>
    </w:pPr>
    <w:rPr>
      <w:rFonts w:ascii="Times New Roman" w:hAnsi="Times New Roman" w:cs="Times New Roman"/>
    </w:rPr>
  </w:style>
  <w:style w:type="paragraph" w:styleId="8">
    <w:name w:val="Body Text Indent"/>
    <w:basedOn w:val="1"/>
    <w:next w:val="9"/>
    <w:qFormat/>
    <w:uiPriority w:val="0"/>
    <w:pPr>
      <w:spacing w:after="120"/>
      <w:ind w:left="420" w:leftChars="200"/>
    </w:pPr>
    <w:rPr>
      <w:rFonts w:ascii="Times New Roman" w:hAnsi="Times New Roman" w:cs="Times New Roman"/>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0">
    <w:name w:val="List 2"/>
    <w:basedOn w:val="1"/>
    <w:qFormat/>
    <w:uiPriority w:val="0"/>
    <w:pPr>
      <w:ind w:left="100" w:leftChars="200" w:hanging="200" w:hangingChars="200"/>
    </w:pPr>
  </w:style>
  <w:style w:type="paragraph" w:styleId="11">
    <w:name w:val="Plain Text"/>
    <w:basedOn w:val="1"/>
    <w:next w:val="12"/>
    <w:qFormat/>
    <w:uiPriority w:val="0"/>
    <w:rPr>
      <w:rFonts w:hAnsi="Courier New" w:cs="Courier New"/>
      <w:szCs w:val="21"/>
    </w:rPr>
  </w:style>
  <w:style w:type="paragraph" w:styleId="12">
    <w:name w:val="index 7"/>
    <w:basedOn w:val="1"/>
    <w:next w:val="1"/>
    <w:unhideWhenUsed/>
    <w:qFormat/>
    <w:uiPriority w:val="99"/>
    <w:pPr>
      <w:ind w:left="1200" w:leftChars="1200"/>
    </w:pPr>
  </w:style>
  <w:style w:type="paragraph" w:styleId="13">
    <w:name w:val="Date"/>
    <w:basedOn w:val="1"/>
    <w:next w:val="1"/>
    <w:qFormat/>
    <w:uiPriority w:val="0"/>
    <w:pPr>
      <w:adjustRightInd w:val="0"/>
      <w:spacing w:line="360" w:lineRule="atLeast"/>
      <w:textAlignment w:val="baseline"/>
    </w:pPr>
    <w:rPr>
      <w:rFonts w:ascii="Times New Roman" w:hAnsi="Times New Roman" w:cs="Times New Roman"/>
      <w:kern w:val="0"/>
      <w:sz w:val="28"/>
      <w:szCs w:val="20"/>
    </w:rPr>
  </w:style>
  <w:style w:type="paragraph" w:styleId="14">
    <w:name w:val="footer"/>
    <w:basedOn w:val="1"/>
    <w:unhideWhenUsed/>
    <w:qFormat/>
    <w:uiPriority w:val="99"/>
    <w:pPr>
      <w:tabs>
        <w:tab w:val="center" w:pos="4153"/>
        <w:tab w:val="right" w:pos="8306"/>
      </w:tabs>
      <w:snapToGrid w:val="0"/>
      <w:jc w:val="left"/>
    </w:pPr>
    <w:rPr>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List 5"/>
    <w:basedOn w:val="1"/>
    <w:qFormat/>
    <w:uiPriority w:val="0"/>
    <w:pPr>
      <w:ind w:left="2100" w:hanging="420"/>
    </w:pPr>
    <w:rPr>
      <w:rFonts w:eastAsia="楷体_GB2312"/>
      <w:sz w:val="32"/>
      <w:szCs w:val="20"/>
    </w:rPr>
  </w:style>
  <w:style w:type="paragraph" w:styleId="18">
    <w:name w:val="toc 2"/>
    <w:basedOn w:val="1"/>
    <w:next w:val="1"/>
    <w:qFormat/>
    <w:uiPriority w:val="39"/>
    <w:pPr>
      <w:ind w:left="420" w:leftChars="200"/>
    </w:pPr>
  </w:style>
  <w:style w:type="paragraph" w:styleId="19">
    <w:name w:val="Normal (Web)"/>
    <w:basedOn w:val="1"/>
    <w:qFormat/>
    <w:uiPriority w:val="0"/>
    <w:pPr>
      <w:spacing w:before="100" w:beforeAutospacing="1" w:after="100" w:afterAutospacing="1"/>
      <w:jc w:val="left"/>
    </w:pPr>
    <w:rPr>
      <w:rFonts w:cs="Times New Roman"/>
      <w:kern w:val="0"/>
      <w:sz w:val="24"/>
    </w:rPr>
  </w:style>
  <w:style w:type="paragraph" w:styleId="20">
    <w:name w:val="Body Text First Indent"/>
    <w:basedOn w:val="1"/>
    <w:next w:val="21"/>
    <w:unhideWhenUsed/>
    <w:qFormat/>
    <w:uiPriority w:val="0"/>
    <w:pPr>
      <w:ind w:firstLine="420" w:firstLineChars="100"/>
    </w:pPr>
  </w:style>
  <w:style w:type="paragraph" w:styleId="21">
    <w:name w:val="Body Text First Indent 2"/>
    <w:basedOn w:val="8"/>
    <w:qFormat/>
    <w:uiPriority w:val="0"/>
    <w:pPr>
      <w:ind w:firstLine="420" w:firstLineChars="200"/>
    </w:pPr>
  </w:style>
  <w:style w:type="character" w:styleId="24">
    <w:name w:val="Strong"/>
    <w:basedOn w:val="23"/>
    <w:qFormat/>
    <w:uiPriority w:val="0"/>
    <w:rPr>
      <w:b/>
      <w:bCs/>
    </w:rPr>
  </w:style>
  <w:style w:type="character" w:styleId="25">
    <w:name w:val="page number"/>
    <w:qFormat/>
    <w:uiPriority w:val="0"/>
  </w:style>
  <w:style w:type="character" w:styleId="26">
    <w:name w:val="FollowedHyperlink"/>
    <w:basedOn w:val="23"/>
    <w:qFormat/>
    <w:uiPriority w:val="0"/>
    <w:rPr>
      <w:color w:val="800080"/>
      <w:u w:val="none"/>
    </w:rPr>
  </w:style>
  <w:style w:type="character" w:styleId="27">
    <w:name w:val="Emphasis"/>
    <w:basedOn w:val="23"/>
    <w:qFormat/>
    <w:uiPriority w:val="0"/>
    <w:rPr>
      <w:b/>
      <w:bCs/>
    </w:rPr>
  </w:style>
  <w:style w:type="character" w:styleId="28">
    <w:name w:val="HTML Definition"/>
    <w:basedOn w:val="23"/>
    <w:qFormat/>
    <w:uiPriority w:val="0"/>
  </w:style>
  <w:style w:type="character" w:styleId="29">
    <w:name w:val="HTML Typewriter"/>
    <w:basedOn w:val="23"/>
    <w:qFormat/>
    <w:uiPriority w:val="0"/>
    <w:rPr>
      <w:rFonts w:hint="default" w:ascii="monospace" w:hAnsi="monospace" w:eastAsia="monospace" w:cs="monospace"/>
      <w:sz w:val="20"/>
    </w:rPr>
  </w:style>
  <w:style w:type="character" w:styleId="30">
    <w:name w:val="HTML Acronym"/>
    <w:basedOn w:val="23"/>
    <w:qFormat/>
    <w:uiPriority w:val="0"/>
  </w:style>
  <w:style w:type="character" w:styleId="31">
    <w:name w:val="HTML Variable"/>
    <w:basedOn w:val="23"/>
    <w:uiPriority w:val="0"/>
  </w:style>
  <w:style w:type="character" w:styleId="32">
    <w:name w:val="Hyperlink"/>
    <w:basedOn w:val="23"/>
    <w:qFormat/>
    <w:uiPriority w:val="0"/>
    <w:rPr>
      <w:color w:val="0000FF"/>
      <w:u w:val="none"/>
    </w:rPr>
  </w:style>
  <w:style w:type="character" w:styleId="33">
    <w:name w:val="HTML Code"/>
    <w:basedOn w:val="23"/>
    <w:qFormat/>
    <w:uiPriority w:val="0"/>
    <w:rPr>
      <w:rFonts w:ascii="monospace" w:hAnsi="monospace" w:eastAsia="monospace" w:cs="monospace"/>
      <w:sz w:val="20"/>
    </w:rPr>
  </w:style>
  <w:style w:type="character" w:styleId="34">
    <w:name w:val="HTML Cite"/>
    <w:basedOn w:val="23"/>
    <w:qFormat/>
    <w:uiPriority w:val="0"/>
  </w:style>
  <w:style w:type="character" w:styleId="35">
    <w:name w:val="HTML Keyboard"/>
    <w:basedOn w:val="23"/>
    <w:qFormat/>
    <w:uiPriority w:val="0"/>
    <w:rPr>
      <w:rFonts w:hint="default" w:ascii="monospace" w:hAnsi="monospace" w:eastAsia="monospace" w:cs="monospace"/>
      <w:sz w:val="20"/>
    </w:rPr>
  </w:style>
  <w:style w:type="character" w:styleId="36">
    <w:name w:val="HTML Sample"/>
    <w:basedOn w:val="23"/>
    <w:qFormat/>
    <w:uiPriority w:val="0"/>
    <w:rPr>
      <w:rFonts w:hint="default" w:ascii="monospace" w:hAnsi="monospace" w:eastAsia="monospace" w:cs="monospace"/>
    </w:rPr>
  </w:style>
  <w:style w:type="character" w:customStyle="1" w:styleId="37">
    <w:name w:val="标题 1 Char"/>
    <w:basedOn w:val="23"/>
    <w:link w:val="3"/>
    <w:autoRedefine/>
    <w:qFormat/>
    <w:uiPriority w:val="0"/>
    <w:rPr>
      <w:rFonts w:ascii="Times New Roman" w:hAnsi="Times New Roman" w:eastAsia="宋体" w:cs="Times New Roman"/>
      <w:b/>
      <w:bCs/>
      <w:color w:val="000000"/>
      <w:kern w:val="44"/>
      <w:sz w:val="32"/>
      <w:szCs w:val="30"/>
    </w:rPr>
  </w:style>
  <w:style w:type="character" w:customStyle="1" w:styleId="38">
    <w:name w:val="标题 1 字符"/>
    <w:basedOn w:val="23"/>
    <w:link w:val="3"/>
    <w:qFormat/>
    <w:uiPriority w:val="0"/>
    <w:rPr>
      <w:rFonts w:ascii="Times New Roman" w:hAnsi="Times New Roman" w:eastAsia="宋体" w:cs="Times New Roman"/>
      <w:b/>
      <w:kern w:val="44"/>
      <w:sz w:val="32"/>
      <w:szCs w:val="20"/>
    </w:rPr>
  </w:style>
  <w:style w:type="paragraph" w:customStyle="1" w:styleId="39">
    <w:name w:val="纯文本1"/>
    <w:basedOn w:val="1"/>
    <w:qFormat/>
    <w:uiPriority w:val="0"/>
    <w:rPr>
      <w:rFonts w:ascii="宋体" w:hAnsi="Courier New" w:cs="Courier New"/>
      <w:szCs w:val="21"/>
    </w:rPr>
  </w:style>
  <w:style w:type="paragraph" w:customStyle="1" w:styleId="40">
    <w:name w:val="样式 标题 2 + Times New Roman 四号 非加粗 段前: 5 磅 段后: 0 磅 行距: 固定值 20..."/>
    <w:basedOn w:val="2"/>
    <w:qFormat/>
    <w:uiPriority w:val="0"/>
    <w:pPr>
      <w:spacing w:before="100" w:after="0" w:line="400" w:lineRule="exact"/>
      <w:ind w:left="0" w:leftChars="0" w:right="0"/>
    </w:pPr>
    <w:rPr>
      <w:rFonts w:ascii="Times New Roman" w:hAnsi="Times New Roman" w:eastAsia="黑体" w:cs="宋体"/>
      <w:b w:val="0"/>
      <w:spacing w:val="0"/>
      <w:kern w:val="0"/>
      <w:szCs w:val="20"/>
    </w:rPr>
  </w:style>
  <w:style w:type="character" w:customStyle="1" w:styleId="41">
    <w:name w:val="layui-layer-tabnow"/>
    <w:basedOn w:val="23"/>
    <w:qFormat/>
    <w:uiPriority w:val="0"/>
    <w:rPr>
      <w:bdr w:val="single" w:color="CCCCCC" w:sz="6" w:space="0"/>
      <w:shd w:val="clear" w:fill="FFFFFF"/>
    </w:rPr>
  </w:style>
  <w:style w:type="character" w:customStyle="1" w:styleId="42">
    <w:name w:val="first-child"/>
    <w:basedOn w:val="23"/>
    <w:qFormat/>
    <w:uiPriority w:val="0"/>
  </w:style>
  <w:style w:type="character" w:customStyle="1" w:styleId="43">
    <w:name w:val="hover"/>
    <w:basedOn w:val="23"/>
    <w:qFormat/>
    <w:uiPriority w:val="0"/>
    <w:rPr>
      <w:color w:val="2590EB"/>
    </w:rPr>
  </w:style>
  <w:style w:type="character" w:customStyle="1" w:styleId="44">
    <w:name w:val="hover1"/>
    <w:basedOn w:val="23"/>
    <w:qFormat/>
    <w:uiPriority w:val="0"/>
    <w:rPr>
      <w:color w:val="2590EB"/>
    </w:rPr>
  </w:style>
  <w:style w:type="character" w:customStyle="1" w:styleId="45">
    <w:name w:val="hover2"/>
    <w:basedOn w:val="23"/>
    <w:qFormat/>
    <w:uiPriority w:val="0"/>
  </w:style>
  <w:style w:type="character" w:customStyle="1" w:styleId="46">
    <w:name w:val="hover3"/>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23839</Words>
  <Characters>25183</Characters>
  <Lines>0</Lines>
  <Paragraphs>0</Paragraphs>
  <TotalTime>2</TotalTime>
  <ScaleCrop>false</ScaleCrop>
  <LinksUpToDate>false</LinksUpToDate>
  <CharactersWithSpaces>26033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2025-08-06T02:42:00Z</dcterms:created>
  <dc:creator>asus</dc:creator>
  <cp:lastModifiedBy>ASUS</cp:lastModifiedBy>
  <cp:lastPrinted>2026-07-27T04:29:46Z</cp:lastPrinted>
  <dcterms:modified xsi:type="dcterms:W3CDTF">2026-07-27T04:30:23Z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4F53242F687E465FAC61B908C53538AE_13</vt:lpwstr>
  </property>
  <property fmtid="{D5CDD505-2E9C-101B-9397-08002B2CF9AE}" pid="4" name="KSOTemplateDocerSaveRecord">
    <vt:lpwstr>eyJoZGlkIjoiZDg4MWM4ZmRmMzgwNjg1NjIzM2JiOGZlMDk3ZjJlN2EiLCJ1c2VySWQiOiIzMzA5NjgzNjcifQ==</vt:lpwstr>
  </property>
</Properties>
</file>