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16F2C">
      <w:pPr>
        <w:spacing w:line="500" w:lineRule="exact"/>
        <w:jc w:val="center"/>
        <w:rPr>
          <w:rFonts w:ascii="宋体" w:hAnsi="宋体" w:cs="宋体"/>
          <w:b/>
          <w:sz w:val="44"/>
          <w:szCs w:val="44"/>
          <w:highlight w:val="none"/>
        </w:rPr>
      </w:pPr>
    </w:p>
    <w:p w14:paraId="749CD5AA">
      <w:pPr>
        <w:spacing w:line="600" w:lineRule="exact"/>
        <w:jc w:val="center"/>
        <w:rPr>
          <w:rFonts w:hint="eastAsia" w:ascii="宋体" w:hAnsi="宋体" w:eastAsia="宋体" w:cs="宋体"/>
          <w:b/>
          <w:sz w:val="48"/>
          <w:szCs w:val="48"/>
          <w:highlight w:val="none"/>
          <w:lang w:eastAsia="zh-CN"/>
        </w:rPr>
      </w:pPr>
      <w:r>
        <w:rPr>
          <w:rFonts w:hint="eastAsia" w:ascii="宋体" w:hAnsi="宋体" w:cs="宋体"/>
          <w:b/>
          <w:sz w:val="48"/>
          <w:szCs w:val="48"/>
          <w:highlight w:val="none"/>
          <w:lang w:eastAsia="zh-CN"/>
        </w:rPr>
        <w:t>陕州区西张村镇敬老院及菜园乡敬老院食材配送项目</w:t>
      </w:r>
    </w:p>
    <w:p w14:paraId="5782F1E3">
      <w:pPr>
        <w:spacing w:line="500" w:lineRule="exact"/>
        <w:jc w:val="center"/>
        <w:rPr>
          <w:rFonts w:ascii="宋体" w:hAnsi="宋体"/>
          <w:b/>
          <w:sz w:val="72"/>
          <w:szCs w:val="72"/>
          <w:highlight w:val="none"/>
        </w:rPr>
      </w:pPr>
    </w:p>
    <w:p w14:paraId="79662F5D">
      <w:pPr>
        <w:spacing w:line="1100" w:lineRule="exact"/>
        <w:jc w:val="center"/>
        <w:rPr>
          <w:rFonts w:ascii="宋体" w:hAnsi="宋体"/>
          <w:b/>
          <w:sz w:val="24"/>
          <w:highlight w:val="none"/>
        </w:rPr>
      </w:pPr>
    </w:p>
    <w:p w14:paraId="2B64FA85">
      <w:pPr>
        <w:spacing w:line="1100" w:lineRule="exact"/>
        <w:jc w:val="center"/>
        <w:rPr>
          <w:rFonts w:ascii="宋体" w:hAnsi="宋体"/>
          <w:b/>
          <w:sz w:val="72"/>
          <w:szCs w:val="72"/>
          <w:highlight w:val="none"/>
        </w:rPr>
      </w:pPr>
      <w:r>
        <w:rPr>
          <w:rFonts w:hint="eastAsia" w:ascii="宋体" w:hAnsi="宋体"/>
          <w:b/>
          <w:sz w:val="72"/>
          <w:szCs w:val="72"/>
          <w:highlight w:val="none"/>
        </w:rPr>
        <w:t>竞争性磋商文</w:t>
      </w:r>
      <w:bookmarkStart w:id="451" w:name="_GoBack"/>
      <w:bookmarkEnd w:id="451"/>
      <w:r>
        <w:rPr>
          <w:rFonts w:hint="eastAsia" w:ascii="宋体" w:hAnsi="宋体"/>
          <w:b/>
          <w:sz w:val="72"/>
          <w:szCs w:val="72"/>
          <w:highlight w:val="none"/>
        </w:rPr>
        <w:t>件</w:t>
      </w:r>
    </w:p>
    <w:p w14:paraId="47429972">
      <w:pPr>
        <w:spacing w:line="1100" w:lineRule="exact"/>
        <w:jc w:val="center"/>
        <w:rPr>
          <w:rFonts w:hint="eastAsia" w:ascii="宋体" w:hAnsi="宋体"/>
          <w:b/>
          <w:sz w:val="30"/>
          <w:szCs w:val="30"/>
          <w:highlight w:val="none"/>
        </w:rPr>
      </w:pPr>
      <w:r>
        <w:rPr>
          <w:rFonts w:hint="eastAsia" w:ascii="宋体" w:hAnsi="宋体"/>
          <w:b/>
          <w:sz w:val="30"/>
          <w:szCs w:val="30"/>
          <w:highlight w:val="none"/>
        </w:rPr>
        <w:t xml:space="preserve">   项目编号:</w:t>
      </w:r>
      <w:r>
        <w:rPr>
          <w:rFonts w:hint="eastAsia" w:ascii="宋体" w:hAnsi="宋体"/>
          <w:b/>
          <w:sz w:val="30"/>
          <w:szCs w:val="30"/>
          <w:highlight w:val="none"/>
          <w:lang w:val="en-US" w:eastAsia="zh-CN"/>
        </w:rPr>
        <w:t>陕州竞磋采购-2026-76</w:t>
      </w:r>
      <w:r>
        <w:rPr>
          <w:rFonts w:hint="eastAsia" w:ascii="宋体" w:hAnsi="宋体"/>
          <w:b/>
          <w:sz w:val="30"/>
          <w:szCs w:val="30"/>
          <w:highlight w:val="none"/>
        </w:rPr>
        <w:t>、</w:t>
      </w:r>
      <w:r>
        <w:rPr>
          <w:rFonts w:hint="eastAsia" w:ascii="宋体" w:hAnsi="宋体"/>
          <w:b/>
          <w:sz w:val="30"/>
          <w:szCs w:val="30"/>
          <w:highlight w:val="none"/>
          <w:lang w:val="en-US" w:eastAsia="zh-CN"/>
        </w:rPr>
        <w:t>SZGZ[2026]127-ZC105</w:t>
      </w:r>
    </w:p>
    <w:p w14:paraId="65952036">
      <w:pPr>
        <w:spacing w:line="1100" w:lineRule="exact"/>
        <w:jc w:val="center"/>
        <w:rPr>
          <w:rFonts w:hint="default" w:ascii="宋体" w:hAnsi="宋体" w:eastAsia="宋体"/>
          <w:b/>
          <w:sz w:val="30"/>
          <w:szCs w:val="30"/>
          <w:highlight w:val="none"/>
          <w:lang w:val="en-US" w:eastAsia="zh-CN"/>
        </w:rPr>
      </w:pPr>
    </w:p>
    <w:p w14:paraId="4707046A">
      <w:pPr>
        <w:spacing w:line="500" w:lineRule="exact"/>
        <w:jc w:val="center"/>
        <w:rPr>
          <w:rFonts w:ascii="宋体" w:hAnsi="宋体"/>
          <w:b/>
          <w:sz w:val="30"/>
          <w:szCs w:val="30"/>
          <w:highlight w:val="none"/>
        </w:rPr>
      </w:pPr>
    </w:p>
    <w:p w14:paraId="3EED65C2">
      <w:pPr>
        <w:spacing w:line="500" w:lineRule="exact"/>
        <w:jc w:val="center"/>
        <w:rPr>
          <w:rFonts w:ascii="宋体" w:hAnsi="宋体"/>
          <w:b/>
          <w:sz w:val="30"/>
          <w:szCs w:val="30"/>
          <w:highlight w:val="none"/>
        </w:rPr>
      </w:pPr>
    </w:p>
    <w:p w14:paraId="7183EA86">
      <w:pPr>
        <w:spacing w:line="500" w:lineRule="exact"/>
        <w:jc w:val="center"/>
        <w:rPr>
          <w:rFonts w:ascii="宋体" w:hAnsi="宋体"/>
          <w:sz w:val="28"/>
          <w:szCs w:val="28"/>
          <w:highlight w:val="none"/>
        </w:rPr>
      </w:pPr>
    </w:p>
    <w:p w14:paraId="7F33A069">
      <w:pPr>
        <w:spacing w:line="500" w:lineRule="exact"/>
        <w:ind w:firstLine="2508" w:firstLineChars="896"/>
        <w:rPr>
          <w:rFonts w:ascii="宋体" w:hAnsi="宋体"/>
          <w:sz w:val="28"/>
          <w:szCs w:val="28"/>
          <w:highlight w:val="none"/>
        </w:rPr>
      </w:pPr>
    </w:p>
    <w:p w14:paraId="3533EB54">
      <w:pPr>
        <w:pStyle w:val="24"/>
        <w:ind w:firstLine="210"/>
        <w:rPr>
          <w:highlight w:val="none"/>
        </w:rPr>
      </w:pPr>
    </w:p>
    <w:p w14:paraId="72EC67C9">
      <w:pPr>
        <w:spacing w:line="500" w:lineRule="exact"/>
        <w:ind w:firstLine="2233" w:firstLineChars="695"/>
        <w:rPr>
          <w:rFonts w:ascii="宋体" w:hAnsi="宋体"/>
          <w:b/>
          <w:sz w:val="32"/>
          <w:szCs w:val="32"/>
          <w:highlight w:val="none"/>
        </w:rPr>
      </w:pPr>
    </w:p>
    <w:p w14:paraId="5F3D9549">
      <w:pPr>
        <w:spacing w:line="500" w:lineRule="exact"/>
        <w:rPr>
          <w:rFonts w:ascii="宋体" w:hAnsi="宋体"/>
          <w:b/>
          <w:sz w:val="44"/>
          <w:szCs w:val="44"/>
          <w:highlight w:val="none"/>
        </w:rPr>
      </w:pPr>
    </w:p>
    <w:p w14:paraId="2EC3D5F7">
      <w:pPr>
        <w:spacing w:line="500" w:lineRule="exact"/>
        <w:rPr>
          <w:rFonts w:ascii="宋体" w:hAnsi="宋体"/>
          <w:b/>
          <w:sz w:val="44"/>
          <w:szCs w:val="44"/>
          <w:highlight w:val="none"/>
        </w:rPr>
      </w:pPr>
    </w:p>
    <w:p w14:paraId="26D6368A">
      <w:pPr>
        <w:pStyle w:val="24"/>
        <w:ind w:firstLine="442"/>
        <w:rPr>
          <w:rFonts w:ascii="宋体" w:hAnsi="宋体"/>
          <w:b/>
          <w:sz w:val="44"/>
          <w:szCs w:val="44"/>
          <w:highlight w:val="none"/>
        </w:rPr>
      </w:pPr>
    </w:p>
    <w:p w14:paraId="63A0CB2E">
      <w:pPr>
        <w:pStyle w:val="24"/>
        <w:ind w:firstLine="0" w:firstLineChars="0"/>
        <w:rPr>
          <w:highlight w:val="none"/>
        </w:rPr>
      </w:pPr>
    </w:p>
    <w:p w14:paraId="0E1D4447">
      <w:pPr>
        <w:spacing w:line="500" w:lineRule="exact"/>
        <w:ind w:firstLine="1606" w:firstLineChars="500"/>
        <w:rPr>
          <w:rFonts w:hint="eastAsia" w:ascii="宋体" w:hAnsi="宋体" w:eastAsia="宋体"/>
          <w:b/>
          <w:sz w:val="32"/>
          <w:szCs w:val="32"/>
          <w:highlight w:val="none"/>
          <w:lang w:eastAsia="zh-CN"/>
        </w:rPr>
      </w:pPr>
      <w:r>
        <w:rPr>
          <w:rFonts w:hint="eastAsia" w:ascii="宋体" w:hAnsi="宋体"/>
          <w:b/>
          <w:sz w:val="32"/>
          <w:szCs w:val="32"/>
          <w:highlight w:val="none"/>
        </w:rPr>
        <w:t>采 购 人：</w:t>
      </w:r>
      <w:r>
        <w:rPr>
          <w:rFonts w:hint="eastAsia" w:ascii="宋体" w:hAnsi="宋体"/>
          <w:b/>
          <w:sz w:val="32"/>
          <w:szCs w:val="32"/>
          <w:highlight w:val="none"/>
          <w:lang w:eastAsia="zh-CN"/>
        </w:rPr>
        <w:t>三门峡市陕州区养老服务中心</w:t>
      </w:r>
    </w:p>
    <w:p w14:paraId="76EB4D4E">
      <w:pPr>
        <w:spacing w:line="500" w:lineRule="exact"/>
        <w:ind w:firstLine="1606" w:firstLineChars="500"/>
        <w:rPr>
          <w:rFonts w:ascii="宋体" w:hAnsi="宋体"/>
          <w:b/>
          <w:sz w:val="32"/>
          <w:szCs w:val="32"/>
          <w:highlight w:val="none"/>
        </w:rPr>
      </w:pPr>
      <w:r>
        <w:rPr>
          <w:rFonts w:hint="eastAsia" w:ascii="宋体" w:hAnsi="宋体"/>
          <w:b/>
          <w:sz w:val="32"/>
          <w:szCs w:val="32"/>
          <w:highlight w:val="none"/>
        </w:rPr>
        <w:t>代理机构：河南锦霖工程管理有限公司</w:t>
      </w:r>
    </w:p>
    <w:p w14:paraId="1D9E8444">
      <w:pPr>
        <w:spacing w:line="500" w:lineRule="exact"/>
        <w:ind w:firstLine="1606" w:firstLineChars="500"/>
        <w:rPr>
          <w:rFonts w:ascii="宋体" w:hAnsi="宋体"/>
          <w:b/>
          <w:sz w:val="32"/>
          <w:szCs w:val="32"/>
          <w:highlight w:val="none"/>
        </w:rPr>
      </w:pPr>
      <w:r>
        <w:rPr>
          <w:rFonts w:hint="eastAsia" w:ascii="宋体" w:hAnsi="宋体"/>
          <w:b/>
          <w:sz w:val="32"/>
          <w:szCs w:val="32"/>
          <w:highlight w:val="none"/>
        </w:rPr>
        <w:t>日    期：</w:t>
      </w:r>
      <w:r>
        <w:rPr>
          <w:rFonts w:hint="eastAsia" w:ascii="宋体" w:hAnsi="宋体"/>
          <w:b/>
          <w:sz w:val="32"/>
          <w:szCs w:val="32"/>
          <w:highlight w:val="none"/>
          <w:lang w:val="en-US" w:eastAsia="zh-CN"/>
        </w:rPr>
        <w:t>2026</w:t>
      </w:r>
      <w:r>
        <w:rPr>
          <w:rFonts w:hint="eastAsia" w:ascii="宋体" w:hAnsi="宋体"/>
          <w:b/>
          <w:sz w:val="32"/>
          <w:szCs w:val="32"/>
          <w:highlight w:val="none"/>
        </w:rPr>
        <w:t>年</w:t>
      </w:r>
      <w:r>
        <w:rPr>
          <w:rFonts w:hint="eastAsia" w:ascii="宋体" w:hAnsi="宋体"/>
          <w:b/>
          <w:sz w:val="32"/>
          <w:szCs w:val="32"/>
          <w:highlight w:val="none"/>
          <w:lang w:val="en-US" w:eastAsia="zh-CN"/>
        </w:rPr>
        <w:t>8</w:t>
      </w:r>
      <w:r>
        <w:rPr>
          <w:rFonts w:hint="eastAsia" w:ascii="宋体" w:hAnsi="宋体"/>
          <w:b/>
          <w:sz w:val="32"/>
          <w:szCs w:val="32"/>
          <w:highlight w:val="none"/>
        </w:rPr>
        <w:t>月</w:t>
      </w:r>
    </w:p>
    <w:p w14:paraId="7AD19939">
      <w:pPr>
        <w:pStyle w:val="19"/>
        <w:spacing w:line="500" w:lineRule="exact"/>
        <w:rPr>
          <w:rFonts w:ascii="宋体" w:hAnsi="宋体" w:eastAsia="宋体"/>
          <w:sz w:val="44"/>
          <w:szCs w:val="44"/>
          <w:highlight w:val="none"/>
        </w:rPr>
        <w:sectPr>
          <w:footerReference r:id="rId6" w:type="first"/>
          <w:headerReference r:id="rId3" w:type="default"/>
          <w:footerReference r:id="rId4" w:type="default"/>
          <w:footerReference r:id="rId5" w:type="even"/>
          <w:pgSz w:w="12240" w:h="15840"/>
          <w:pgMar w:top="1417" w:right="1134" w:bottom="1417" w:left="1417" w:header="720" w:footer="720" w:gutter="0"/>
          <w:pgNumType w:start="1"/>
          <w:cols w:space="720" w:num="1"/>
        </w:sectPr>
      </w:pPr>
    </w:p>
    <w:p w14:paraId="0B0931A3">
      <w:pPr>
        <w:spacing w:line="500" w:lineRule="exact"/>
        <w:jc w:val="center"/>
        <w:rPr>
          <w:rFonts w:ascii="宋体" w:hAnsi="宋体"/>
          <w:sz w:val="36"/>
          <w:szCs w:val="36"/>
          <w:highlight w:val="none"/>
        </w:rPr>
      </w:pPr>
      <w:r>
        <w:rPr>
          <w:rFonts w:ascii="宋体" w:hAnsi="宋体"/>
          <w:sz w:val="36"/>
          <w:szCs w:val="36"/>
          <w:highlight w:val="none"/>
        </w:rPr>
        <w:t>目</w:t>
      </w:r>
      <w:r>
        <w:rPr>
          <w:rFonts w:hint="eastAsia" w:ascii="宋体" w:hAnsi="宋体"/>
          <w:sz w:val="36"/>
          <w:szCs w:val="36"/>
          <w:highlight w:val="none"/>
        </w:rPr>
        <w:t xml:space="preserve">  </w:t>
      </w:r>
      <w:r>
        <w:rPr>
          <w:rFonts w:ascii="宋体" w:hAnsi="宋体"/>
          <w:sz w:val="36"/>
          <w:szCs w:val="36"/>
          <w:highlight w:val="none"/>
        </w:rPr>
        <w:t>录</w:t>
      </w:r>
    </w:p>
    <w:p w14:paraId="1255531D">
      <w:pPr>
        <w:pStyle w:val="10"/>
        <w:spacing w:line="500" w:lineRule="exact"/>
        <w:rPr>
          <w:highlight w:val="none"/>
        </w:rPr>
      </w:pPr>
    </w:p>
    <w:p w14:paraId="333EC8FD">
      <w:pPr>
        <w:pStyle w:val="20"/>
        <w:spacing w:line="500" w:lineRule="exact"/>
        <w:rPr>
          <w:highlight w:val="none"/>
        </w:rPr>
      </w:pPr>
    </w:p>
    <w:p w14:paraId="3DB33745">
      <w:pPr>
        <w:spacing w:line="500" w:lineRule="exact"/>
        <w:rPr>
          <w:highlight w:val="none"/>
        </w:rPr>
      </w:pPr>
    </w:p>
    <w:p w14:paraId="51A287DD">
      <w:pPr>
        <w:pStyle w:val="19"/>
        <w:tabs>
          <w:tab w:val="right" w:leader="dot" w:pos="9035"/>
          <w:tab w:val="clear" w:pos="9345"/>
        </w:tabs>
        <w:spacing w:line="500" w:lineRule="exact"/>
        <w:rPr>
          <w:rFonts w:ascii="宋体" w:hAnsi="宋体" w:eastAsia="宋体" w:cs="宋体"/>
          <w:sz w:val="24"/>
          <w:highlight w:val="none"/>
        </w:rPr>
      </w:pPr>
      <w:r>
        <w:rPr>
          <w:rFonts w:hint="eastAsia" w:cs="宋体"/>
          <w:sz w:val="32"/>
          <w:szCs w:val="32"/>
          <w:highlight w:val="none"/>
        </w:rPr>
        <w:fldChar w:fldCharType="begin"/>
      </w:r>
      <w:r>
        <w:rPr>
          <w:rFonts w:hint="eastAsia" w:cs="宋体"/>
          <w:sz w:val="32"/>
          <w:szCs w:val="32"/>
          <w:highlight w:val="none"/>
        </w:rPr>
        <w:instrText xml:space="preserve">TOC \o "1-3" \h \u </w:instrText>
      </w:r>
      <w:r>
        <w:rPr>
          <w:rFonts w:hint="eastAsia" w:cs="宋体"/>
          <w:sz w:val="32"/>
          <w:szCs w:val="32"/>
          <w:highlight w:val="none"/>
        </w:rPr>
        <w:fldChar w:fldCharType="separate"/>
      </w:r>
      <w:r>
        <w:rPr>
          <w:highlight w:val="none"/>
        </w:rPr>
        <w:fldChar w:fldCharType="begin"/>
      </w:r>
      <w:r>
        <w:rPr>
          <w:highlight w:val="none"/>
        </w:rPr>
        <w:instrText xml:space="preserve"> HYPERLINK \l "_Toc6232" </w:instrText>
      </w:r>
      <w:r>
        <w:rPr>
          <w:highlight w:val="none"/>
        </w:rPr>
        <w:fldChar w:fldCharType="separate"/>
      </w:r>
      <w:r>
        <w:rPr>
          <w:rFonts w:hint="eastAsia" w:ascii="宋体" w:hAnsi="宋体" w:eastAsia="宋体" w:cs="宋体"/>
          <w:sz w:val="24"/>
          <w:highlight w:val="none"/>
        </w:rPr>
        <w:t>第一章 竞争性磋商公告</w:t>
      </w:r>
      <w:r>
        <w:rPr>
          <w:rFonts w:hint="eastAsia" w:ascii="宋体" w:hAnsi="宋体" w:eastAsia="宋体" w:cs="宋体"/>
          <w:sz w:val="24"/>
          <w:highlight w:val="none"/>
        </w:rPr>
        <w:tab/>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PAGEREF _Toc6232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3</w:t>
      </w:r>
      <w:r>
        <w:rPr>
          <w:rFonts w:hint="eastAsia" w:ascii="宋体" w:hAnsi="宋体" w:eastAsia="宋体" w:cs="宋体"/>
          <w:sz w:val="24"/>
          <w:highlight w:val="none"/>
        </w:rPr>
        <w:fldChar w:fldCharType="end"/>
      </w:r>
      <w:r>
        <w:rPr>
          <w:rFonts w:hint="eastAsia" w:ascii="宋体" w:hAnsi="宋体" w:eastAsia="宋体" w:cs="宋体"/>
          <w:sz w:val="24"/>
          <w:highlight w:val="none"/>
        </w:rPr>
        <w:fldChar w:fldCharType="end"/>
      </w:r>
    </w:p>
    <w:p w14:paraId="7B26DD99">
      <w:pPr>
        <w:pStyle w:val="19"/>
        <w:tabs>
          <w:tab w:val="right" w:leader="dot" w:pos="9035"/>
          <w:tab w:val="clear" w:pos="9345"/>
        </w:tabs>
        <w:spacing w:line="500" w:lineRule="exact"/>
        <w:rPr>
          <w:rFonts w:ascii="宋体" w:hAnsi="宋体" w:eastAsia="宋体" w:cs="宋体"/>
          <w:sz w:val="24"/>
          <w:highlight w:val="none"/>
        </w:rPr>
      </w:pPr>
      <w:r>
        <w:rPr>
          <w:highlight w:val="none"/>
        </w:rPr>
        <w:fldChar w:fldCharType="begin"/>
      </w:r>
      <w:r>
        <w:rPr>
          <w:highlight w:val="none"/>
        </w:rPr>
        <w:instrText xml:space="preserve"> HYPERLINK \l "_Toc7999" </w:instrText>
      </w:r>
      <w:r>
        <w:rPr>
          <w:highlight w:val="none"/>
        </w:rPr>
        <w:fldChar w:fldCharType="separate"/>
      </w:r>
      <w:r>
        <w:rPr>
          <w:rFonts w:hint="eastAsia" w:ascii="宋体" w:hAnsi="宋体" w:eastAsia="宋体" w:cs="宋体"/>
          <w:sz w:val="24"/>
          <w:highlight w:val="none"/>
        </w:rPr>
        <w:t>第二章 供应商须知</w:t>
      </w:r>
      <w:r>
        <w:rPr>
          <w:rFonts w:hint="eastAsia" w:ascii="宋体" w:hAnsi="宋体" w:eastAsia="宋体" w:cs="宋体"/>
          <w:sz w:val="24"/>
          <w:highlight w:val="none"/>
        </w:rPr>
        <w:tab/>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PAGEREF _Toc7999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7</w:t>
      </w:r>
      <w:r>
        <w:rPr>
          <w:rFonts w:hint="eastAsia" w:ascii="宋体" w:hAnsi="宋体" w:eastAsia="宋体" w:cs="宋体"/>
          <w:sz w:val="24"/>
          <w:highlight w:val="none"/>
        </w:rPr>
        <w:fldChar w:fldCharType="end"/>
      </w:r>
      <w:r>
        <w:rPr>
          <w:rFonts w:hint="eastAsia" w:ascii="宋体" w:hAnsi="宋体" w:eastAsia="宋体" w:cs="宋体"/>
          <w:sz w:val="24"/>
          <w:highlight w:val="none"/>
        </w:rPr>
        <w:fldChar w:fldCharType="end"/>
      </w:r>
    </w:p>
    <w:p w14:paraId="23C05624">
      <w:pPr>
        <w:pStyle w:val="19"/>
        <w:tabs>
          <w:tab w:val="right" w:leader="dot" w:pos="9035"/>
          <w:tab w:val="clear" w:pos="9345"/>
        </w:tabs>
        <w:spacing w:line="500" w:lineRule="exact"/>
        <w:rPr>
          <w:rFonts w:ascii="宋体" w:hAnsi="宋体" w:eastAsia="宋体" w:cs="宋体"/>
          <w:sz w:val="24"/>
          <w:highlight w:val="none"/>
        </w:rPr>
      </w:pPr>
      <w:r>
        <w:rPr>
          <w:highlight w:val="none"/>
        </w:rPr>
        <w:fldChar w:fldCharType="begin"/>
      </w:r>
      <w:r>
        <w:rPr>
          <w:highlight w:val="none"/>
        </w:rPr>
        <w:instrText xml:space="preserve"> HYPERLINK \l "_Toc22255" </w:instrText>
      </w:r>
      <w:r>
        <w:rPr>
          <w:highlight w:val="none"/>
        </w:rPr>
        <w:fldChar w:fldCharType="separate"/>
      </w:r>
      <w:r>
        <w:rPr>
          <w:rFonts w:hint="eastAsia" w:ascii="宋体" w:hAnsi="宋体" w:eastAsia="宋体" w:cs="宋体"/>
          <w:sz w:val="24"/>
          <w:highlight w:val="none"/>
        </w:rPr>
        <w:t>第三章</w:t>
      </w:r>
      <w:r>
        <w:rPr>
          <w:rFonts w:hint="eastAsia" w:ascii="宋体" w:hAnsi="宋体" w:eastAsia="宋体" w:cs="宋体"/>
          <w:sz w:val="24"/>
          <w:highlight w:val="none"/>
          <w:lang w:val="en-US" w:eastAsia="zh-CN"/>
        </w:rPr>
        <w:t xml:space="preserve"> 服务</w:t>
      </w:r>
      <w:r>
        <w:rPr>
          <w:rFonts w:hint="eastAsia" w:ascii="宋体" w:hAnsi="宋体" w:eastAsia="宋体" w:cs="宋体"/>
          <w:sz w:val="24"/>
          <w:highlight w:val="none"/>
        </w:rPr>
        <w:t>内容及要求</w:t>
      </w:r>
      <w:r>
        <w:rPr>
          <w:rFonts w:hint="eastAsia" w:ascii="宋体" w:hAnsi="宋体" w:eastAsia="宋体" w:cs="宋体"/>
          <w:sz w:val="24"/>
          <w:highlight w:val="none"/>
        </w:rPr>
        <w:tab/>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PAGEREF _Toc22255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24</w:t>
      </w:r>
      <w:r>
        <w:rPr>
          <w:rFonts w:hint="eastAsia" w:ascii="宋体" w:hAnsi="宋体" w:eastAsia="宋体" w:cs="宋体"/>
          <w:sz w:val="24"/>
          <w:highlight w:val="none"/>
        </w:rPr>
        <w:fldChar w:fldCharType="end"/>
      </w:r>
      <w:r>
        <w:rPr>
          <w:rFonts w:hint="eastAsia" w:ascii="宋体" w:hAnsi="宋体" w:eastAsia="宋体" w:cs="宋体"/>
          <w:sz w:val="24"/>
          <w:highlight w:val="none"/>
        </w:rPr>
        <w:fldChar w:fldCharType="end"/>
      </w:r>
    </w:p>
    <w:p w14:paraId="6F0105B5">
      <w:pPr>
        <w:pStyle w:val="19"/>
        <w:tabs>
          <w:tab w:val="right" w:leader="dot" w:pos="9035"/>
          <w:tab w:val="clear" w:pos="9345"/>
        </w:tabs>
        <w:spacing w:line="500" w:lineRule="exact"/>
        <w:rPr>
          <w:rFonts w:ascii="宋体" w:hAnsi="宋体" w:eastAsia="宋体" w:cs="宋体"/>
          <w:sz w:val="24"/>
          <w:highlight w:val="none"/>
        </w:rPr>
      </w:pPr>
      <w:r>
        <w:rPr>
          <w:highlight w:val="none"/>
        </w:rPr>
        <w:fldChar w:fldCharType="begin"/>
      </w:r>
      <w:r>
        <w:rPr>
          <w:highlight w:val="none"/>
        </w:rPr>
        <w:instrText xml:space="preserve"> HYPERLINK \l "_Toc22626" </w:instrText>
      </w:r>
      <w:r>
        <w:rPr>
          <w:highlight w:val="none"/>
        </w:rPr>
        <w:fldChar w:fldCharType="separate"/>
      </w:r>
      <w:r>
        <w:rPr>
          <w:rFonts w:hint="eastAsia" w:ascii="宋体" w:hAnsi="宋体" w:eastAsia="宋体" w:cs="宋体"/>
          <w:sz w:val="24"/>
          <w:highlight w:val="none"/>
        </w:rPr>
        <w:t>第四章</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评审办法（综合评分法）</w:t>
      </w:r>
      <w:r>
        <w:rPr>
          <w:rFonts w:hint="eastAsia" w:ascii="宋体" w:hAnsi="宋体" w:eastAsia="宋体" w:cs="宋体"/>
          <w:sz w:val="24"/>
          <w:highlight w:val="none"/>
        </w:rPr>
        <w:tab/>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PAGEREF _Toc22626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24</w:t>
      </w:r>
      <w:r>
        <w:rPr>
          <w:rFonts w:hint="eastAsia" w:ascii="宋体" w:hAnsi="宋体" w:eastAsia="宋体" w:cs="宋体"/>
          <w:sz w:val="24"/>
          <w:highlight w:val="none"/>
        </w:rPr>
        <w:fldChar w:fldCharType="end"/>
      </w:r>
      <w:r>
        <w:rPr>
          <w:rFonts w:hint="eastAsia" w:ascii="宋体" w:hAnsi="宋体" w:eastAsia="宋体" w:cs="宋体"/>
          <w:sz w:val="24"/>
          <w:highlight w:val="none"/>
        </w:rPr>
        <w:fldChar w:fldCharType="end"/>
      </w:r>
    </w:p>
    <w:p w14:paraId="7047062B">
      <w:pPr>
        <w:pStyle w:val="20"/>
        <w:tabs>
          <w:tab w:val="right" w:leader="dot" w:pos="9035"/>
        </w:tabs>
        <w:spacing w:line="500" w:lineRule="exact"/>
        <w:rPr>
          <w:rFonts w:ascii="宋体" w:hAnsi="宋体" w:cs="宋体"/>
          <w:sz w:val="24"/>
          <w:szCs w:val="24"/>
          <w:highlight w:val="none"/>
        </w:rPr>
      </w:pPr>
      <w:r>
        <w:rPr>
          <w:highlight w:val="none"/>
        </w:rPr>
        <w:fldChar w:fldCharType="begin"/>
      </w:r>
      <w:r>
        <w:rPr>
          <w:highlight w:val="none"/>
        </w:rPr>
        <w:instrText xml:space="preserve"> HYPERLINK \l "_Toc24517" </w:instrText>
      </w:r>
      <w:r>
        <w:rPr>
          <w:highlight w:val="none"/>
        </w:rPr>
        <w:fldChar w:fldCharType="separate"/>
      </w:r>
      <w:r>
        <w:rPr>
          <w:rFonts w:hint="eastAsia" w:ascii="宋体" w:hAnsi="宋体" w:cs="宋体"/>
          <w:sz w:val="24"/>
          <w:szCs w:val="24"/>
          <w:highlight w:val="none"/>
        </w:rPr>
        <w:t>评审办法前附表</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_Toc24517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D08735F">
      <w:pPr>
        <w:pStyle w:val="19"/>
        <w:tabs>
          <w:tab w:val="right" w:leader="dot" w:pos="9035"/>
          <w:tab w:val="clear" w:pos="9345"/>
        </w:tabs>
        <w:spacing w:line="500" w:lineRule="exact"/>
        <w:rPr>
          <w:rFonts w:ascii="宋体" w:hAnsi="宋体" w:eastAsia="宋体" w:cs="宋体"/>
          <w:sz w:val="24"/>
          <w:highlight w:val="none"/>
        </w:rPr>
      </w:pPr>
      <w:r>
        <w:rPr>
          <w:highlight w:val="none"/>
        </w:rPr>
        <w:fldChar w:fldCharType="begin"/>
      </w:r>
      <w:r>
        <w:rPr>
          <w:highlight w:val="none"/>
        </w:rPr>
        <w:instrText xml:space="preserve"> HYPERLINK \l "_Toc19153" </w:instrText>
      </w:r>
      <w:r>
        <w:rPr>
          <w:highlight w:val="none"/>
        </w:rPr>
        <w:fldChar w:fldCharType="separate"/>
      </w:r>
      <w:r>
        <w:rPr>
          <w:rFonts w:hint="eastAsia" w:ascii="宋体" w:hAnsi="宋体" w:eastAsia="宋体" w:cs="宋体"/>
          <w:sz w:val="24"/>
          <w:highlight w:val="none"/>
        </w:rPr>
        <w:t>第五章</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合同条款及格式</w:t>
      </w:r>
      <w:r>
        <w:rPr>
          <w:rFonts w:hint="eastAsia" w:ascii="宋体" w:hAnsi="宋体" w:eastAsia="宋体" w:cs="宋体"/>
          <w:sz w:val="24"/>
          <w:highlight w:val="none"/>
        </w:rPr>
        <w:tab/>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PAGEREF _Toc19153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45</w:t>
      </w:r>
      <w:r>
        <w:rPr>
          <w:rFonts w:hint="eastAsia" w:ascii="宋体" w:hAnsi="宋体" w:eastAsia="宋体" w:cs="宋体"/>
          <w:sz w:val="24"/>
          <w:highlight w:val="none"/>
        </w:rPr>
        <w:fldChar w:fldCharType="end"/>
      </w:r>
      <w:r>
        <w:rPr>
          <w:rFonts w:hint="eastAsia" w:ascii="宋体" w:hAnsi="宋体" w:eastAsia="宋体" w:cs="宋体"/>
          <w:sz w:val="24"/>
          <w:highlight w:val="none"/>
        </w:rPr>
        <w:fldChar w:fldCharType="end"/>
      </w:r>
    </w:p>
    <w:p w14:paraId="6BB57FFA">
      <w:pPr>
        <w:pStyle w:val="19"/>
        <w:tabs>
          <w:tab w:val="right" w:leader="dot" w:pos="9035"/>
          <w:tab w:val="clear" w:pos="9345"/>
        </w:tabs>
        <w:spacing w:line="500" w:lineRule="exact"/>
        <w:rPr>
          <w:rFonts w:ascii="宋体" w:hAnsi="宋体" w:eastAsia="宋体" w:cs="宋体"/>
          <w:sz w:val="24"/>
          <w:highlight w:val="none"/>
        </w:rPr>
      </w:pPr>
      <w:r>
        <w:rPr>
          <w:highlight w:val="none"/>
        </w:rPr>
        <w:fldChar w:fldCharType="begin"/>
      </w:r>
      <w:r>
        <w:rPr>
          <w:highlight w:val="none"/>
        </w:rPr>
        <w:instrText xml:space="preserve"> HYPERLINK \l "_Toc22719" </w:instrText>
      </w:r>
      <w:r>
        <w:rPr>
          <w:highlight w:val="none"/>
        </w:rPr>
        <w:fldChar w:fldCharType="separate"/>
      </w:r>
      <w:r>
        <w:rPr>
          <w:rFonts w:hint="eastAsia" w:ascii="宋体" w:hAnsi="宋体" w:eastAsia="宋体" w:cs="宋体"/>
          <w:sz w:val="24"/>
          <w:highlight w:val="none"/>
        </w:rPr>
        <w:t>第六章  响应文件格式</w:t>
      </w:r>
      <w:r>
        <w:rPr>
          <w:rFonts w:hint="eastAsia" w:ascii="宋体" w:hAnsi="宋体" w:eastAsia="宋体" w:cs="宋体"/>
          <w:sz w:val="24"/>
          <w:highlight w:val="none"/>
        </w:rPr>
        <w:tab/>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PAGEREF _Toc22719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52</w:t>
      </w:r>
      <w:r>
        <w:rPr>
          <w:rFonts w:hint="eastAsia" w:ascii="宋体" w:hAnsi="宋体" w:eastAsia="宋体" w:cs="宋体"/>
          <w:sz w:val="24"/>
          <w:highlight w:val="none"/>
        </w:rPr>
        <w:fldChar w:fldCharType="end"/>
      </w:r>
      <w:r>
        <w:rPr>
          <w:rFonts w:hint="eastAsia" w:ascii="宋体" w:hAnsi="宋体" w:eastAsia="宋体" w:cs="宋体"/>
          <w:sz w:val="24"/>
          <w:highlight w:val="none"/>
        </w:rPr>
        <w:fldChar w:fldCharType="end"/>
      </w:r>
    </w:p>
    <w:p w14:paraId="3F564640">
      <w:pPr>
        <w:pStyle w:val="20"/>
        <w:tabs>
          <w:tab w:val="right" w:leader="dot" w:pos="9035"/>
        </w:tabs>
        <w:spacing w:line="500" w:lineRule="exact"/>
        <w:rPr>
          <w:highlight w:val="none"/>
        </w:rPr>
      </w:pPr>
    </w:p>
    <w:p w14:paraId="08D4D54A">
      <w:pPr>
        <w:spacing w:line="500" w:lineRule="exact"/>
        <w:rPr>
          <w:rFonts w:cs="宋体"/>
          <w:sz w:val="32"/>
          <w:szCs w:val="32"/>
          <w:highlight w:val="none"/>
        </w:rPr>
      </w:pPr>
      <w:r>
        <w:rPr>
          <w:rFonts w:hint="eastAsia" w:cs="宋体"/>
          <w:szCs w:val="32"/>
          <w:highlight w:val="none"/>
        </w:rPr>
        <w:fldChar w:fldCharType="end"/>
      </w:r>
    </w:p>
    <w:p w14:paraId="7826DEF9">
      <w:pPr>
        <w:spacing w:line="500" w:lineRule="exact"/>
        <w:rPr>
          <w:highlight w:val="none"/>
        </w:rPr>
      </w:pPr>
    </w:p>
    <w:p w14:paraId="174F464B">
      <w:pPr>
        <w:spacing w:line="500" w:lineRule="exact"/>
        <w:rPr>
          <w:highlight w:val="none"/>
        </w:rPr>
      </w:pPr>
    </w:p>
    <w:p w14:paraId="7D326FAF">
      <w:pPr>
        <w:spacing w:line="500" w:lineRule="exact"/>
        <w:rPr>
          <w:highlight w:val="none"/>
        </w:rPr>
      </w:pPr>
    </w:p>
    <w:p w14:paraId="30741653">
      <w:pPr>
        <w:spacing w:line="500" w:lineRule="exact"/>
        <w:rPr>
          <w:highlight w:val="none"/>
        </w:rPr>
      </w:pPr>
    </w:p>
    <w:p w14:paraId="74906CE0">
      <w:pPr>
        <w:spacing w:line="500" w:lineRule="exact"/>
        <w:rPr>
          <w:highlight w:val="none"/>
        </w:rPr>
      </w:pPr>
    </w:p>
    <w:p w14:paraId="6FF7AD80">
      <w:pPr>
        <w:spacing w:line="500" w:lineRule="exact"/>
        <w:rPr>
          <w:highlight w:val="none"/>
        </w:rPr>
      </w:pPr>
    </w:p>
    <w:p w14:paraId="327998FD">
      <w:pPr>
        <w:spacing w:line="500" w:lineRule="exact"/>
        <w:rPr>
          <w:highlight w:val="none"/>
        </w:rPr>
      </w:pPr>
    </w:p>
    <w:p w14:paraId="0397FBA4">
      <w:pPr>
        <w:spacing w:line="500" w:lineRule="exact"/>
        <w:rPr>
          <w:highlight w:val="none"/>
        </w:rPr>
      </w:pPr>
    </w:p>
    <w:p w14:paraId="79AD8BC1">
      <w:pPr>
        <w:pStyle w:val="25"/>
        <w:spacing w:line="500" w:lineRule="exact"/>
        <w:ind w:firstLine="560"/>
        <w:rPr>
          <w:highlight w:val="none"/>
        </w:rPr>
      </w:pPr>
    </w:p>
    <w:p w14:paraId="2381673C">
      <w:pPr>
        <w:spacing w:line="500" w:lineRule="exact"/>
        <w:rPr>
          <w:highlight w:val="none"/>
        </w:rPr>
      </w:pPr>
    </w:p>
    <w:p w14:paraId="6A295A56">
      <w:pPr>
        <w:spacing w:line="500" w:lineRule="exact"/>
        <w:rPr>
          <w:highlight w:val="none"/>
        </w:rPr>
      </w:pPr>
    </w:p>
    <w:p w14:paraId="7FB66AAF">
      <w:pPr>
        <w:spacing w:line="500" w:lineRule="exact"/>
        <w:rPr>
          <w:highlight w:val="none"/>
        </w:rPr>
      </w:pPr>
    </w:p>
    <w:p w14:paraId="6EB5AF1D">
      <w:pPr>
        <w:spacing w:line="500" w:lineRule="exact"/>
        <w:rPr>
          <w:highlight w:val="none"/>
        </w:rPr>
      </w:pPr>
    </w:p>
    <w:p w14:paraId="3FEF7B84">
      <w:pPr>
        <w:pStyle w:val="2"/>
        <w:spacing w:line="500" w:lineRule="exact"/>
        <w:rPr>
          <w:highlight w:val="none"/>
        </w:rPr>
      </w:pPr>
      <w:bookmarkStart w:id="0" w:name="_Toc6232"/>
      <w:r>
        <w:rPr>
          <w:rFonts w:hint="eastAsia"/>
          <w:highlight w:val="none"/>
        </w:rPr>
        <w:t>第一章 竞争性磋商公告</w:t>
      </w:r>
      <w:bookmarkEnd w:id="0"/>
    </w:p>
    <w:p w14:paraId="7D55BC1D">
      <w:pPr>
        <w:spacing w:line="500" w:lineRule="exact"/>
        <w:ind w:firstLine="482" w:firstLineChars="200"/>
        <w:rPr>
          <w:rFonts w:hint="eastAsia" w:ascii="宋体" w:hAnsi="宋体"/>
          <w:b/>
          <w:bCs/>
          <w:sz w:val="24"/>
          <w:highlight w:val="none"/>
        </w:rPr>
      </w:pPr>
      <w:bookmarkStart w:id="1" w:name="_Toc28359002"/>
      <w:bookmarkStart w:id="2" w:name="_Toc28359079"/>
      <w:bookmarkStart w:id="3" w:name="_Toc35393790"/>
      <w:bookmarkStart w:id="4" w:name="_Toc35393621"/>
      <w:bookmarkStart w:id="5" w:name="_Hlk24379207"/>
      <w:r>
        <w:rPr>
          <w:rFonts w:hint="eastAsia" w:ascii="宋体" w:hAnsi="宋体"/>
          <w:b/>
          <w:bCs/>
          <w:sz w:val="24"/>
          <w:highlight w:val="none"/>
        </w:rPr>
        <w:t>项目概况</w:t>
      </w:r>
    </w:p>
    <w:p w14:paraId="7C41C4BD">
      <w:pPr>
        <w:spacing w:line="500" w:lineRule="exact"/>
        <w:ind w:firstLine="480" w:firstLineChars="200"/>
        <w:rPr>
          <w:rFonts w:hint="eastAsia" w:ascii="宋体" w:hAnsi="宋体"/>
          <w:sz w:val="24"/>
          <w:highlight w:val="none"/>
        </w:rPr>
      </w:pPr>
      <w:r>
        <w:rPr>
          <w:rFonts w:hint="eastAsia" w:ascii="宋体" w:hAnsi="宋体"/>
          <w:sz w:val="24"/>
          <w:highlight w:val="none"/>
          <w:lang w:eastAsia="zh-CN"/>
        </w:rPr>
        <w:t>陕州区西张村镇敬老院及菜园乡敬老院食材配送项目</w:t>
      </w:r>
      <w:r>
        <w:rPr>
          <w:rFonts w:hint="eastAsia" w:ascii="宋体" w:hAnsi="宋体"/>
          <w:sz w:val="24"/>
          <w:highlight w:val="none"/>
        </w:rPr>
        <w:t>招标项目的潜在投标人应在三门峡市公共资源交易中心网（网址：http://gzjy.smx.gov.cn/）获取</w:t>
      </w:r>
      <w:r>
        <w:rPr>
          <w:rFonts w:hint="eastAsia" w:ascii="宋体" w:hAnsi="宋体"/>
          <w:sz w:val="24"/>
          <w:highlight w:val="none"/>
          <w:lang w:eastAsia="zh-CN"/>
        </w:rPr>
        <w:t>竞争性磋商文件</w:t>
      </w:r>
      <w:r>
        <w:rPr>
          <w:rFonts w:hint="eastAsia" w:ascii="宋体" w:hAnsi="宋体"/>
          <w:sz w:val="24"/>
          <w:highlight w:val="none"/>
        </w:rPr>
        <w:t>，并于</w:t>
      </w:r>
      <w:r>
        <w:rPr>
          <w:rFonts w:hint="eastAsia" w:ascii="宋体" w:hAnsi="宋体"/>
          <w:sz w:val="24"/>
          <w:highlight w:val="none"/>
          <w:lang w:val="en-US" w:eastAsia="zh-CN"/>
        </w:rPr>
        <w:t>2026</w:t>
      </w:r>
      <w:r>
        <w:rPr>
          <w:rFonts w:hint="eastAsia" w:ascii="宋体" w:hAnsi="宋体"/>
          <w:sz w:val="24"/>
          <w:highlight w:val="none"/>
        </w:rPr>
        <w:t>年</w:t>
      </w:r>
      <w:r>
        <w:rPr>
          <w:rFonts w:hint="eastAsia" w:ascii="宋体" w:hAnsi="宋体"/>
          <w:sz w:val="24"/>
          <w:highlight w:val="none"/>
          <w:lang w:val="en-US" w:eastAsia="zh-CN"/>
        </w:rPr>
        <w:t>8</w:t>
      </w:r>
      <w:r>
        <w:rPr>
          <w:rFonts w:hint="eastAsia" w:ascii="宋体" w:hAnsi="宋体"/>
          <w:sz w:val="24"/>
          <w:highlight w:val="none"/>
        </w:rPr>
        <w:t>月</w:t>
      </w:r>
      <w:r>
        <w:rPr>
          <w:rFonts w:hint="eastAsia" w:ascii="宋体" w:hAnsi="宋体"/>
          <w:sz w:val="24"/>
          <w:highlight w:val="none"/>
          <w:lang w:val="en-US" w:eastAsia="zh-CN"/>
        </w:rPr>
        <w:t>20</w:t>
      </w:r>
      <w:r>
        <w:rPr>
          <w:rFonts w:hint="eastAsia" w:ascii="宋体" w:hAnsi="宋体"/>
          <w:sz w:val="24"/>
          <w:highlight w:val="none"/>
        </w:rPr>
        <w:t>日</w:t>
      </w:r>
      <w:r>
        <w:rPr>
          <w:rFonts w:hint="eastAsia" w:ascii="宋体" w:hAnsi="宋体"/>
          <w:sz w:val="24"/>
          <w:highlight w:val="none"/>
          <w:lang w:eastAsia="zh-CN"/>
        </w:rPr>
        <w:t>08时20分</w:t>
      </w:r>
      <w:r>
        <w:rPr>
          <w:rFonts w:hint="eastAsia" w:ascii="宋体" w:hAnsi="宋体"/>
          <w:sz w:val="24"/>
          <w:highlight w:val="none"/>
        </w:rPr>
        <w:t>（北京时间）前递交响应文件。</w:t>
      </w:r>
    </w:p>
    <w:p w14:paraId="26297F22">
      <w:pPr>
        <w:spacing w:line="500" w:lineRule="exact"/>
        <w:ind w:firstLine="480" w:firstLineChars="200"/>
        <w:rPr>
          <w:rFonts w:ascii="宋体" w:hAnsi="宋体"/>
          <w:sz w:val="24"/>
          <w:highlight w:val="none"/>
        </w:rPr>
      </w:pPr>
      <w:r>
        <w:rPr>
          <w:rFonts w:hint="eastAsia" w:ascii="宋体" w:hAnsi="宋体"/>
          <w:sz w:val="24"/>
          <w:highlight w:val="none"/>
        </w:rPr>
        <w:t>一、项目基本情况</w:t>
      </w:r>
      <w:bookmarkEnd w:id="1"/>
      <w:bookmarkEnd w:id="2"/>
      <w:bookmarkEnd w:id="3"/>
      <w:bookmarkEnd w:id="4"/>
    </w:p>
    <w:p w14:paraId="3B62FC12">
      <w:pPr>
        <w:spacing w:line="500" w:lineRule="exact"/>
        <w:ind w:firstLine="480" w:firstLineChars="200"/>
        <w:rPr>
          <w:rFonts w:hint="eastAsia" w:ascii="宋体" w:hAnsi="宋体"/>
          <w:sz w:val="24"/>
          <w:highlight w:val="none"/>
        </w:rPr>
      </w:pPr>
      <w:r>
        <w:rPr>
          <w:rFonts w:hint="eastAsia" w:ascii="宋体" w:hAnsi="宋体"/>
          <w:sz w:val="24"/>
          <w:highlight w:val="none"/>
        </w:rPr>
        <w:t>1、项目编号：</w:t>
      </w:r>
      <w:r>
        <w:rPr>
          <w:rFonts w:hint="eastAsia" w:ascii="宋体" w:hAnsi="宋体"/>
          <w:sz w:val="24"/>
          <w:highlight w:val="none"/>
          <w:lang w:val="en-US" w:eastAsia="zh-CN"/>
        </w:rPr>
        <w:t>陕州竞磋采购-2026-76</w:t>
      </w:r>
      <w:r>
        <w:rPr>
          <w:rFonts w:hint="eastAsia" w:ascii="宋体" w:hAnsi="宋体"/>
          <w:sz w:val="24"/>
          <w:highlight w:val="none"/>
        </w:rPr>
        <w:t>、</w:t>
      </w:r>
      <w:r>
        <w:rPr>
          <w:rFonts w:hint="eastAsia" w:ascii="宋体" w:hAnsi="宋体"/>
          <w:sz w:val="24"/>
          <w:highlight w:val="none"/>
          <w:lang w:val="en-US" w:eastAsia="zh-CN"/>
        </w:rPr>
        <w:t>SZGZ[2026]127-ZC105</w:t>
      </w:r>
    </w:p>
    <w:p w14:paraId="31EA4B45">
      <w:pPr>
        <w:spacing w:line="500" w:lineRule="exact"/>
        <w:ind w:firstLine="480" w:firstLineChars="200"/>
        <w:rPr>
          <w:rFonts w:hint="eastAsia" w:ascii="宋体" w:hAnsi="宋体" w:eastAsia="宋体"/>
          <w:sz w:val="24"/>
          <w:highlight w:val="none"/>
          <w:lang w:eastAsia="zh-CN"/>
        </w:rPr>
      </w:pPr>
      <w:r>
        <w:rPr>
          <w:rFonts w:hint="eastAsia" w:ascii="宋体" w:hAnsi="宋体" w:eastAsia="宋体"/>
          <w:sz w:val="24"/>
          <w:highlight w:val="none"/>
          <w:lang w:eastAsia="zh-CN"/>
        </w:rPr>
        <w:t>2、项目名称：</w:t>
      </w:r>
      <w:r>
        <w:rPr>
          <w:rFonts w:hint="eastAsia" w:ascii="宋体" w:hAnsi="宋体"/>
          <w:sz w:val="24"/>
          <w:highlight w:val="none"/>
          <w:lang w:eastAsia="zh-CN"/>
        </w:rPr>
        <w:t>陕州区西张村镇敬老院及菜园乡敬老院食材配送项目</w:t>
      </w:r>
    </w:p>
    <w:p w14:paraId="02157DB3">
      <w:pPr>
        <w:spacing w:line="500" w:lineRule="exact"/>
        <w:ind w:firstLine="480" w:firstLineChars="200"/>
        <w:rPr>
          <w:rFonts w:hint="eastAsia" w:ascii="宋体" w:hAnsi="宋体" w:eastAsia="宋体"/>
          <w:sz w:val="24"/>
          <w:highlight w:val="none"/>
          <w:lang w:eastAsia="zh-CN"/>
        </w:rPr>
      </w:pPr>
      <w:r>
        <w:rPr>
          <w:rFonts w:hint="eastAsia" w:ascii="宋体" w:hAnsi="宋体" w:eastAsia="宋体"/>
          <w:sz w:val="24"/>
          <w:highlight w:val="none"/>
          <w:lang w:val="en-US" w:eastAsia="zh-CN"/>
        </w:rPr>
        <w:t>3、</w:t>
      </w:r>
      <w:r>
        <w:rPr>
          <w:rFonts w:hint="eastAsia" w:ascii="宋体" w:hAnsi="宋体" w:eastAsia="宋体"/>
          <w:sz w:val="24"/>
          <w:highlight w:val="none"/>
          <w:lang w:eastAsia="zh-CN"/>
        </w:rPr>
        <w:t>采购方式：竞争性磋商</w:t>
      </w:r>
    </w:p>
    <w:bookmarkEnd w:id="5"/>
    <w:p w14:paraId="3C2422CD">
      <w:pPr>
        <w:spacing w:line="500" w:lineRule="exact"/>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4</w:t>
      </w:r>
      <w:r>
        <w:rPr>
          <w:rFonts w:hint="eastAsia" w:ascii="宋体" w:hAnsi="宋体"/>
          <w:sz w:val="24"/>
          <w:highlight w:val="none"/>
        </w:rPr>
        <w:t>、预算金额：</w:t>
      </w:r>
      <w:r>
        <w:rPr>
          <w:rFonts w:hint="eastAsia" w:ascii="宋体" w:hAnsi="宋体"/>
          <w:sz w:val="24"/>
          <w:highlight w:val="none"/>
          <w:lang w:val="en-US" w:eastAsia="zh-CN"/>
        </w:rPr>
        <w:t>1008000.00</w:t>
      </w:r>
      <w:r>
        <w:rPr>
          <w:rFonts w:hint="eastAsia" w:ascii="宋体" w:hAnsi="宋体"/>
          <w:sz w:val="24"/>
          <w:highlight w:val="none"/>
        </w:rPr>
        <w:t>元</w:t>
      </w:r>
      <w:r>
        <w:rPr>
          <w:rFonts w:hint="eastAsia" w:ascii="宋体" w:hAnsi="宋体"/>
          <w:sz w:val="24"/>
          <w:highlight w:val="none"/>
          <w:lang w:val="en-US" w:eastAsia="zh-CN"/>
        </w:rPr>
        <w:t>（本预算为暂定金额，以实际采购数量为准，按照实际供货数量据实结算）</w:t>
      </w:r>
    </w:p>
    <w:p w14:paraId="02CCA2B1">
      <w:pPr>
        <w:spacing w:line="500" w:lineRule="exact"/>
        <w:ind w:firstLine="720" w:firstLineChars="300"/>
        <w:rPr>
          <w:rFonts w:hint="eastAsia" w:ascii="宋体" w:hAnsi="宋体"/>
          <w:sz w:val="24"/>
          <w:highlight w:val="none"/>
          <w:lang w:val="en-US" w:eastAsia="zh-CN"/>
        </w:rPr>
      </w:pPr>
      <w:r>
        <w:rPr>
          <w:rFonts w:hint="eastAsia" w:ascii="宋体" w:hAnsi="宋体"/>
          <w:sz w:val="24"/>
          <w:highlight w:val="none"/>
          <w:lang w:val="en-US" w:eastAsia="zh-CN"/>
        </w:rPr>
        <w:t>最高限价：1008000.00元</w:t>
      </w:r>
    </w:p>
    <w:tbl>
      <w:tblPr>
        <w:tblStyle w:val="27"/>
        <w:tblW w:w="9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2066"/>
        <w:gridCol w:w="2179"/>
        <w:gridCol w:w="1416"/>
        <w:gridCol w:w="1416"/>
        <w:gridCol w:w="894"/>
        <w:gridCol w:w="1445"/>
      </w:tblGrid>
      <w:tr w14:paraId="187F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530" w:type="dxa"/>
            <w:vAlign w:val="center"/>
          </w:tcPr>
          <w:p w14:paraId="0011FE2A">
            <w:pPr>
              <w:pStyle w:val="25"/>
              <w:ind w:firstLine="0" w:firstLineChars="0"/>
              <w:jc w:val="center"/>
              <w:rPr>
                <w:rFonts w:ascii="宋体" w:hAnsi="宋体" w:eastAsia="宋体" w:cs="宋体"/>
                <w:sz w:val="24"/>
                <w:highlight w:val="none"/>
              </w:rPr>
            </w:pPr>
            <w:r>
              <w:rPr>
                <w:rFonts w:hint="eastAsia" w:ascii="宋体" w:hAnsi="宋体" w:eastAsia="宋体" w:cs="宋体"/>
                <w:sz w:val="24"/>
                <w:highlight w:val="none"/>
              </w:rPr>
              <w:t>序号</w:t>
            </w:r>
          </w:p>
        </w:tc>
        <w:tc>
          <w:tcPr>
            <w:tcW w:w="2066" w:type="dxa"/>
            <w:vAlign w:val="center"/>
          </w:tcPr>
          <w:p w14:paraId="40BCD37C">
            <w:pPr>
              <w:pStyle w:val="25"/>
              <w:ind w:firstLine="0" w:firstLineChars="0"/>
              <w:jc w:val="center"/>
              <w:rPr>
                <w:rFonts w:ascii="宋体" w:hAnsi="宋体" w:eastAsia="宋体" w:cs="宋体"/>
                <w:sz w:val="24"/>
                <w:highlight w:val="none"/>
              </w:rPr>
            </w:pPr>
            <w:r>
              <w:rPr>
                <w:rFonts w:hint="eastAsia" w:ascii="宋体" w:hAnsi="宋体" w:eastAsia="宋体" w:cs="宋体"/>
                <w:sz w:val="24"/>
                <w:highlight w:val="none"/>
              </w:rPr>
              <w:t>包号</w:t>
            </w:r>
          </w:p>
        </w:tc>
        <w:tc>
          <w:tcPr>
            <w:tcW w:w="2179" w:type="dxa"/>
            <w:vAlign w:val="center"/>
          </w:tcPr>
          <w:p w14:paraId="39203FE6">
            <w:pPr>
              <w:pStyle w:val="25"/>
              <w:ind w:firstLine="0" w:firstLineChars="0"/>
              <w:jc w:val="center"/>
              <w:rPr>
                <w:rFonts w:ascii="宋体" w:hAnsi="宋体" w:eastAsia="宋体" w:cs="宋体"/>
                <w:sz w:val="24"/>
                <w:highlight w:val="none"/>
              </w:rPr>
            </w:pPr>
            <w:r>
              <w:rPr>
                <w:rFonts w:hint="eastAsia" w:ascii="宋体" w:hAnsi="宋体" w:eastAsia="宋体" w:cs="宋体"/>
                <w:sz w:val="24"/>
                <w:highlight w:val="none"/>
              </w:rPr>
              <w:t>包名称</w:t>
            </w:r>
          </w:p>
        </w:tc>
        <w:tc>
          <w:tcPr>
            <w:tcW w:w="1416" w:type="dxa"/>
            <w:vAlign w:val="center"/>
          </w:tcPr>
          <w:p w14:paraId="32C4BEF7">
            <w:pPr>
              <w:pStyle w:val="25"/>
              <w:ind w:firstLine="0" w:firstLineChars="0"/>
              <w:jc w:val="center"/>
              <w:rPr>
                <w:rFonts w:ascii="宋体" w:hAnsi="宋体" w:eastAsia="宋体" w:cs="宋体"/>
                <w:sz w:val="24"/>
                <w:highlight w:val="none"/>
              </w:rPr>
            </w:pPr>
            <w:r>
              <w:rPr>
                <w:rFonts w:hint="eastAsia" w:ascii="宋体" w:hAnsi="宋体" w:eastAsia="宋体" w:cs="宋体"/>
                <w:sz w:val="24"/>
                <w:highlight w:val="none"/>
              </w:rPr>
              <w:t>包预算（元）</w:t>
            </w:r>
          </w:p>
        </w:tc>
        <w:tc>
          <w:tcPr>
            <w:tcW w:w="1416" w:type="dxa"/>
            <w:vAlign w:val="center"/>
          </w:tcPr>
          <w:p w14:paraId="31703ADB">
            <w:pPr>
              <w:pStyle w:val="25"/>
              <w:ind w:firstLine="0" w:firstLineChars="0"/>
              <w:jc w:val="center"/>
              <w:rPr>
                <w:rFonts w:ascii="宋体" w:hAnsi="宋体" w:eastAsia="宋体" w:cs="宋体"/>
                <w:sz w:val="24"/>
                <w:highlight w:val="none"/>
              </w:rPr>
            </w:pPr>
            <w:r>
              <w:rPr>
                <w:rFonts w:hint="eastAsia" w:ascii="宋体" w:hAnsi="宋体" w:eastAsia="宋体" w:cs="宋体"/>
                <w:sz w:val="24"/>
                <w:highlight w:val="none"/>
              </w:rPr>
              <w:t>包最高限价（元）</w:t>
            </w:r>
          </w:p>
        </w:tc>
        <w:tc>
          <w:tcPr>
            <w:tcW w:w="894" w:type="dxa"/>
            <w:vAlign w:val="center"/>
          </w:tcPr>
          <w:p w14:paraId="6E2DCAAE">
            <w:pPr>
              <w:pStyle w:val="25"/>
              <w:ind w:firstLine="0" w:firstLineChars="0"/>
              <w:jc w:val="center"/>
              <w:rPr>
                <w:rFonts w:ascii="宋体" w:hAnsi="宋体" w:eastAsia="宋体" w:cs="宋体"/>
                <w:sz w:val="24"/>
                <w:highlight w:val="none"/>
              </w:rPr>
            </w:pPr>
            <w:r>
              <w:rPr>
                <w:rFonts w:hint="eastAsia" w:ascii="宋体" w:hAnsi="宋体" w:eastAsia="宋体" w:cs="宋体"/>
                <w:sz w:val="24"/>
                <w:highlight w:val="none"/>
                <w:shd w:val="clear" w:color="auto" w:fill="FFFFFF"/>
              </w:rPr>
              <w:t>是否专门面向中小企业</w:t>
            </w:r>
          </w:p>
        </w:tc>
        <w:tc>
          <w:tcPr>
            <w:tcW w:w="1445" w:type="dxa"/>
            <w:vAlign w:val="center"/>
          </w:tcPr>
          <w:p w14:paraId="252BD23F">
            <w:pPr>
              <w:pStyle w:val="25"/>
              <w:ind w:firstLine="0" w:firstLineChars="0"/>
              <w:jc w:val="center"/>
              <w:rPr>
                <w:rFonts w:ascii="宋体" w:hAnsi="宋体" w:eastAsia="宋体" w:cs="宋体"/>
                <w:sz w:val="24"/>
                <w:highlight w:val="none"/>
              </w:rPr>
            </w:pPr>
            <w:r>
              <w:rPr>
                <w:rFonts w:hint="eastAsia" w:ascii="宋体" w:hAnsi="宋体" w:eastAsia="宋体" w:cs="宋体"/>
                <w:sz w:val="24"/>
                <w:highlight w:val="none"/>
                <w:shd w:val="clear" w:color="auto" w:fill="FFFFFF"/>
              </w:rPr>
              <w:t>采购预留金额（元）</w:t>
            </w:r>
          </w:p>
        </w:tc>
      </w:tr>
      <w:tr w14:paraId="4C2C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530" w:type="dxa"/>
            <w:vAlign w:val="center"/>
          </w:tcPr>
          <w:p w14:paraId="5E822EE8">
            <w:pPr>
              <w:pStyle w:val="25"/>
              <w:ind w:firstLine="0" w:firstLineChars="0"/>
              <w:jc w:val="center"/>
              <w:rPr>
                <w:rFonts w:ascii="宋体" w:hAnsi="宋体" w:eastAsia="宋体" w:cs="宋体"/>
                <w:sz w:val="24"/>
                <w:highlight w:val="none"/>
              </w:rPr>
            </w:pPr>
            <w:r>
              <w:rPr>
                <w:rFonts w:hint="eastAsia" w:ascii="宋体" w:hAnsi="宋体" w:eastAsia="宋体" w:cs="宋体"/>
                <w:sz w:val="24"/>
                <w:highlight w:val="none"/>
              </w:rPr>
              <w:t>1</w:t>
            </w:r>
          </w:p>
        </w:tc>
        <w:tc>
          <w:tcPr>
            <w:tcW w:w="2066" w:type="dxa"/>
            <w:vAlign w:val="center"/>
          </w:tcPr>
          <w:p w14:paraId="3A7CE287">
            <w:pPr>
              <w:widowControl/>
              <w:shd w:val="clear" w:color="auto" w:fill="FFFFFF"/>
              <w:spacing w:line="390" w:lineRule="atLeast"/>
              <w:jc w:val="left"/>
              <w:rPr>
                <w:rFonts w:hint="default" w:ascii="宋体" w:hAnsi="宋体" w:eastAsia="宋体" w:cs="宋体"/>
                <w:sz w:val="24"/>
                <w:highlight w:val="none"/>
                <w:lang w:val="en-US" w:eastAsia="zh-CN"/>
              </w:rPr>
            </w:pPr>
            <w:r>
              <w:rPr>
                <w:rFonts w:hint="default" w:ascii="宋体" w:hAnsi="宋体" w:eastAsia="宋体" w:cs="宋体"/>
                <w:sz w:val="24"/>
                <w:highlight w:val="none"/>
                <w:lang w:val="en-US" w:eastAsia="zh-CN"/>
              </w:rPr>
              <w:t>SZGZ[2026]127-ZC105</w:t>
            </w:r>
            <w:r>
              <w:rPr>
                <w:rFonts w:hint="eastAsia" w:ascii="宋体" w:hAnsi="宋体" w:cs="宋体"/>
                <w:sz w:val="24"/>
                <w:highlight w:val="none"/>
                <w:lang w:val="en-US" w:eastAsia="zh-CN"/>
              </w:rPr>
              <w:t>-1</w:t>
            </w:r>
          </w:p>
        </w:tc>
        <w:tc>
          <w:tcPr>
            <w:tcW w:w="2179" w:type="dxa"/>
            <w:vAlign w:val="center"/>
          </w:tcPr>
          <w:p w14:paraId="653B74AA">
            <w:pPr>
              <w:pStyle w:val="25"/>
              <w:ind w:firstLine="0" w:firstLineChars="0"/>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陕州区西张村镇敬老院及菜园乡敬老院食材配送项目</w:t>
            </w:r>
          </w:p>
        </w:tc>
        <w:tc>
          <w:tcPr>
            <w:tcW w:w="1416" w:type="dxa"/>
            <w:vAlign w:val="center"/>
          </w:tcPr>
          <w:p w14:paraId="6B3EEC1E">
            <w:pPr>
              <w:rPr>
                <w:rFonts w:hint="default" w:ascii="宋体" w:hAnsi="宋体" w:eastAsia="宋体" w:cs="宋体"/>
                <w:sz w:val="24"/>
                <w:highlight w:val="none"/>
                <w:lang w:val="en-US" w:eastAsia="zh-CN"/>
              </w:rPr>
            </w:pPr>
            <w:r>
              <w:rPr>
                <w:rFonts w:hint="eastAsia" w:ascii="宋体" w:hAnsi="宋体"/>
                <w:sz w:val="24"/>
                <w:highlight w:val="none"/>
                <w:lang w:val="en-US" w:eastAsia="zh-CN"/>
              </w:rPr>
              <w:t>1008000.00</w:t>
            </w:r>
          </w:p>
        </w:tc>
        <w:tc>
          <w:tcPr>
            <w:tcW w:w="1416" w:type="dxa"/>
            <w:vAlign w:val="center"/>
          </w:tcPr>
          <w:p w14:paraId="6C3D090F">
            <w:pPr>
              <w:rPr>
                <w:rFonts w:hint="default" w:ascii="宋体" w:hAnsi="宋体" w:cs="宋体"/>
                <w:sz w:val="24"/>
                <w:highlight w:val="none"/>
                <w:lang w:val="en-US"/>
              </w:rPr>
            </w:pPr>
            <w:r>
              <w:rPr>
                <w:rFonts w:hint="eastAsia" w:ascii="宋体" w:hAnsi="宋体"/>
                <w:sz w:val="24"/>
                <w:highlight w:val="none"/>
                <w:lang w:val="en-US" w:eastAsia="zh-CN"/>
              </w:rPr>
              <w:t>1008000.00</w:t>
            </w:r>
          </w:p>
        </w:tc>
        <w:tc>
          <w:tcPr>
            <w:tcW w:w="894" w:type="dxa"/>
            <w:vAlign w:val="center"/>
          </w:tcPr>
          <w:p w14:paraId="104597FA">
            <w:pPr>
              <w:pStyle w:val="25"/>
              <w:ind w:firstLine="0" w:firstLineChars="0"/>
              <w:jc w:val="center"/>
              <w:rPr>
                <w:rFonts w:ascii="宋体" w:hAnsi="宋体" w:eastAsia="宋体"/>
                <w:sz w:val="24"/>
                <w:highlight w:val="none"/>
              </w:rPr>
            </w:pPr>
            <w:r>
              <w:rPr>
                <w:rFonts w:hint="eastAsia" w:ascii="宋体" w:hAnsi="宋体" w:eastAsia="宋体"/>
                <w:sz w:val="24"/>
                <w:highlight w:val="none"/>
              </w:rPr>
              <w:t>是</w:t>
            </w:r>
          </w:p>
        </w:tc>
        <w:tc>
          <w:tcPr>
            <w:tcW w:w="1445" w:type="dxa"/>
            <w:vAlign w:val="center"/>
          </w:tcPr>
          <w:p w14:paraId="44CED912">
            <w:pPr>
              <w:pStyle w:val="25"/>
              <w:ind w:firstLine="0" w:firstLineChars="0"/>
              <w:rPr>
                <w:rFonts w:hint="default" w:ascii="宋体" w:hAnsi="宋体" w:eastAsia="宋体"/>
                <w:sz w:val="24"/>
                <w:highlight w:val="none"/>
                <w:lang w:val="en-US"/>
              </w:rPr>
            </w:pPr>
            <w:r>
              <w:rPr>
                <w:rFonts w:hint="eastAsia" w:ascii="宋体" w:hAnsi="宋体"/>
                <w:sz w:val="24"/>
                <w:highlight w:val="none"/>
                <w:lang w:val="en-US" w:eastAsia="zh-CN"/>
              </w:rPr>
              <w:t>1008000.00</w:t>
            </w:r>
          </w:p>
        </w:tc>
      </w:tr>
    </w:tbl>
    <w:p w14:paraId="490DFF0D">
      <w:pPr>
        <w:spacing w:line="500" w:lineRule="exact"/>
        <w:ind w:firstLine="480" w:firstLineChars="200"/>
        <w:rPr>
          <w:rFonts w:hint="eastAsia" w:ascii="宋体" w:hAnsi="宋体" w:eastAsia="宋体"/>
          <w:sz w:val="24"/>
          <w:highlight w:val="none"/>
          <w:lang w:eastAsia="zh-CN"/>
        </w:rPr>
      </w:pPr>
      <w:r>
        <w:rPr>
          <w:rFonts w:hint="eastAsia" w:ascii="宋体" w:hAnsi="宋体"/>
          <w:sz w:val="24"/>
          <w:highlight w:val="none"/>
        </w:rPr>
        <w:t>5、采购需求（包括但不限于标的的名称、数量、简要技术需求或服务要求等）</w:t>
      </w:r>
      <w:r>
        <w:rPr>
          <w:rFonts w:hint="eastAsia" w:ascii="宋体" w:hAnsi="宋体"/>
          <w:sz w:val="24"/>
          <w:highlight w:val="none"/>
          <w:lang w:eastAsia="zh-CN"/>
        </w:rPr>
        <w:t>：</w:t>
      </w:r>
    </w:p>
    <w:p w14:paraId="3A5E2115">
      <w:pPr>
        <w:spacing w:line="500" w:lineRule="exact"/>
        <w:ind w:firstLine="480" w:firstLineChars="200"/>
        <w:rPr>
          <w:rFonts w:hint="eastAsia" w:ascii="宋体" w:hAnsi="宋体"/>
          <w:sz w:val="24"/>
          <w:highlight w:val="none"/>
        </w:rPr>
      </w:pPr>
      <w:r>
        <w:rPr>
          <w:rFonts w:hint="eastAsia" w:ascii="宋体" w:hAnsi="宋体"/>
          <w:sz w:val="24"/>
          <w:highlight w:val="none"/>
        </w:rPr>
        <w:t>5.1</w:t>
      </w:r>
      <w:r>
        <w:rPr>
          <w:rFonts w:hint="eastAsia" w:ascii="宋体" w:hAnsi="宋体"/>
          <w:sz w:val="24"/>
          <w:highlight w:val="none"/>
          <w:lang w:val="en-US" w:eastAsia="zh-CN"/>
        </w:rPr>
        <w:t>服务</w:t>
      </w:r>
      <w:r>
        <w:rPr>
          <w:rFonts w:hint="eastAsia" w:ascii="宋体" w:hAnsi="宋体"/>
          <w:sz w:val="24"/>
          <w:highlight w:val="none"/>
        </w:rPr>
        <w:t>内容：</w:t>
      </w:r>
      <w:r>
        <w:rPr>
          <w:rFonts w:hint="eastAsia" w:ascii="宋体" w:hAnsi="宋体" w:eastAsia="宋体" w:cs="宋体"/>
          <w:color w:val="auto"/>
          <w:spacing w:val="0"/>
          <w:sz w:val="24"/>
          <w:szCs w:val="24"/>
          <w:highlight w:val="none"/>
          <w:lang w:eastAsia="zh-CN"/>
        </w:rPr>
        <w:t>本项目为</w:t>
      </w:r>
      <w:r>
        <w:rPr>
          <w:rFonts w:hint="eastAsia" w:ascii="宋体" w:hAnsi="宋体" w:cs="宋体"/>
          <w:sz w:val="24"/>
          <w:highlight w:val="none"/>
          <w:lang w:eastAsia="zh-CN"/>
        </w:rPr>
        <w:t>陕州区西张村镇敬老院及菜园乡敬老院食材配送项目</w:t>
      </w:r>
      <w:r>
        <w:rPr>
          <w:rFonts w:hint="eastAsia" w:ascii="宋体" w:hAnsi="宋体" w:eastAsia="宋体" w:cs="宋体"/>
          <w:color w:val="auto"/>
          <w:spacing w:val="0"/>
          <w:sz w:val="24"/>
          <w:szCs w:val="24"/>
          <w:highlight w:val="none"/>
          <w:lang w:eastAsia="zh-CN"/>
        </w:rPr>
        <w:t>，</w:t>
      </w:r>
      <w:r>
        <w:rPr>
          <w:rFonts w:hint="eastAsia" w:ascii="宋体" w:hAnsi="宋体" w:cs="宋体"/>
          <w:color w:val="auto"/>
          <w:spacing w:val="0"/>
          <w:sz w:val="24"/>
          <w:szCs w:val="24"/>
          <w:highlight w:val="none"/>
          <w:lang w:val="en-US" w:eastAsia="zh-CN"/>
        </w:rPr>
        <w:t>采购范围含大米、面粉、食用油、猪肉、牛羊肉、鸡肉等肉类、鸡蛋、奶类、蔬菜、水果、干货、副食、调料等供应服务</w:t>
      </w:r>
      <w:r>
        <w:rPr>
          <w:rFonts w:hint="eastAsia" w:ascii="宋体" w:hAnsi="宋体" w:eastAsia="宋体" w:cs="宋体"/>
          <w:color w:val="auto"/>
          <w:spacing w:val="0"/>
          <w:sz w:val="24"/>
          <w:szCs w:val="24"/>
          <w:highlight w:val="none"/>
        </w:rPr>
        <w:t>，具体采购内容及参数要求详见</w:t>
      </w:r>
      <w:r>
        <w:rPr>
          <w:rFonts w:hint="eastAsia" w:ascii="宋体" w:hAnsi="宋体" w:eastAsia="宋体" w:cs="宋体"/>
          <w:color w:val="auto"/>
          <w:spacing w:val="0"/>
          <w:sz w:val="24"/>
          <w:szCs w:val="24"/>
          <w:highlight w:val="none"/>
          <w:lang w:val="en-US" w:eastAsia="zh-CN"/>
        </w:rPr>
        <w:t>磋商</w:t>
      </w:r>
      <w:r>
        <w:rPr>
          <w:rFonts w:hint="eastAsia" w:ascii="宋体" w:hAnsi="宋体" w:eastAsia="宋体" w:cs="宋体"/>
          <w:color w:val="auto"/>
          <w:spacing w:val="0"/>
          <w:sz w:val="24"/>
          <w:szCs w:val="24"/>
          <w:highlight w:val="none"/>
        </w:rPr>
        <w:t>文件</w:t>
      </w:r>
      <w:r>
        <w:rPr>
          <w:rFonts w:hint="eastAsia" w:ascii="宋体" w:hAnsi="宋体"/>
          <w:sz w:val="24"/>
          <w:highlight w:val="none"/>
        </w:rPr>
        <w:t>；</w:t>
      </w:r>
    </w:p>
    <w:p w14:paraId="06F80CEC">
      <w:pPr>
        <w:spacing w:line="500" w:lineRule="exact"/>
        <w:ind w:firstLine="480" w:firstLineChars="200"/>
        <w:rPr>
          <w:rFonts w:hint="eastAsia" w:ascii="宋体" w:hAnsi="宋体"/>
          <w:sz w:val="24"/>
          <w:highlight w:val="none"/>
        </w:rPr>
      </w:pPr>
      <w:r>
        <w:rPr>
          <w:rFonts w:hint="eastAsia" w:ascii="宋体" w:hAnsi="宋体"/>
          <w:sz w:val="24"/>
          <w:highlight w:val="none"/>
        </w:rPr>
        <w:t>5.2资金来源：财政资金，已落实。</w:t>
      </w:r>
    </w:p>
    <w:p w14:paraId="142659A9">
      <w:pPr>
        <w:spacing w:line="500" w:lineRule="exact"/>
        <w:ind w:firstLine="480" w:firstLineChars="200"/>
        <w:rPr>
          <w:rFonts w:hint="eastAsia" w:ascii="宋体" w:hAnsi="宋体" w:eastAsia="宋体"/>
          <w:sz w:val="24"/>
          <w:highlight w:val="none"/>
          <w:lang w:eastAsia="zh-CN"/>
        </w:rPr>
      </w:pPr>
      <w:r>
        <w:rPr>
          <w:rFonts w:hint="eastAsia" w:ascii="宋体" w:hAnsi="宋体"/>
          <w:sz w:val="24"/>
          <w:highlight w:val="none"/>
        </w:rPr>
        <w:t>5.3</w:t>
      </w:r>
      <w:r>
        <w:rPr>
          <w:rFonts w:hint="eastAsia" w:ascii="宋体" w:hAnsi="宋体"/>
          <w:sz w:val="24"/>
          <w:highlight w:val="none"/>
          <w:lang w:val="en-US" w:eastAsia="zh-CN"/>
        </w:rPr>
        <w:t>质量标准：产品质量合格，符合国家及行业相关食品卫生安全要求，且符合采购人要求。</w:t>
      </w:r>
    </w:p>
    <w:p w14:paraId="748FBC79">
      <w:pPr>
        <w:spacing w:line="500" w:lineRule="exact"/>
        <w:ind w:firstLine="480" w:firstLineChars="200"/>
        <w:rPr>
          <w:rFonts w:hint="eastAsia" w:ascii="宋体" w:hAnsi="宋体" w:eastAsia="宋体" w:cs="Times New Roman"/>
          <w:sz w:val="24"/>
          <w:highlight w:val="none"/>
        </w:rPr>
      </w:pPr>
      <w:r>
        <w:rPr>
          <w:rFonts w:hint="eastAsia" w:ascii="宋体" w:hAnsi="宋体"/>
          <w:sz w:val="24"/>
          <w:highlight w:val="none"/>
        </w:rPr>
        <w:t>5</w:t>
      </w:r>
      <w:r>
        <w:rPr>
          <w:rFonts w:hint="eastAsia" w:ascii="宋体" w:hAnsi="宋体" w:eastAsia="宋体" w:cs="Times New Roman"/>
          <w:sz w:val="24"/>
          <w:highlight w:val="none"/>
        </w:rPr>
        <w:t>.</w:t>
      </w:r>
      <w:r>
        <w:rPr>
          <w:rFonts w:hint="eastAsia" w:ascii="宋体" w:hAnsi="宋体" w:eastAsia="宋体" w:cs="Times New Roman"/>
          <w:sz w:val="24"/>
          <w:highlight w:val="none"/>
          <w:lang w:val="en-US" w:eastAsia="zh-CN"/>
        </w:rPr>
        <w:t>4服务</w:t>
      </w:r>
      <w:r>
        <w:rPr>
          <w:rFonts w:hint="eastAsia" w:ascii="宋体" w:hAnsi="宋体" w:eastAsia="宋体" w:cs="Times New Roman"/>
          <w:sz w:val="24"/>
          <w:highlight w:val="none"/>
        </w:rPr>
        <w:t>地点：</w:t>
      </w:r>
      <w:r>
        <w:rPr>
          <w:rFonts w:hint="eastAsia" w:ascii="宋体" w:hAnsi="宋体" w:eastAsia="宋体" w:cs="Times New Roman"/>
          <w:sz w:val="24"/>
          <w:highlight w:val="none"/>
          <w:lang w:eastAsia="zh-CN"/>
        </w:rPr>
        <w:t>陕州区西张村镇敬老院及菜园乡敬老院</w:t>
      </w:r>
    </w:p>
    <w:p w14:paraId="5531D58D">
      <w:pPr>
        <w:spacing w:line="500" w:lineRule="exact"/>
        <w:ind w:firstLine="480" w:firstLineChars="200"/>
        <w:rPr>
          <w:rFonts w:hint="eastAsia" w:ascii="宋体" w:hAnsi="宋体" w:eastAsia="宋体" w:cs="Times New Roman"/>
          <w:sz w:val="24"/>
          <w:highlight w:val="none"/>
          <w:lang w:val="en-US" w:eastAsia="zh-CN"/>
        </w:rPr>
      </w:pPr>
      <w:r>
        <w:rPr>
          <w:rFonts w:hint="eastAsia" w:ascii="宋体" w:hAnsi="宋体" w:eastAsia="宋体" w:cs="Times New Roman"/>
          <w:sz w:val="24"/>
          <w:highlight w:val="none"/>
        </w:rPr>
        <w:t>5.</w:t>
      </w:r>
      <w:r>
        <w:rPr>
          <w:rFonts w:hint="eastAsia" w:ascii="宋体" w:hAnsi="宋体" w:eastAsia="宋体" w:cs="Times New Roman"/>
          <w:sz w:val="24"/>
          <w:highlight w:val="none"/>
          <w:lang w:val="en-US" w:eastAsia="zh-CN"/>
        </w:rPr>
        <w:t xml:space="preserve">5服 务 </w:t>
      </w:r>
      <w:r>
        <w:rPr>
          <w:rFonts w:hint="eastAsia" w:ascii="宋体" w:hAnsi="宋体" w:eastAsia="宋体" w:cs="Times New Roman"/>
          <w:sz w:val="24"/>
          <w:highlight w:val="none"/>
        </w:rPr>
        <w:t>期：</w:t>
      </w:r>
      <w:r>
        <w:rPr>
          <w:rFonts w:hint="eastAsia" w:ascii="宋体" w:hAnsi="宋体" w:eastAsia="宋体" w:cs="Times New Roman"/>
          <w:sz w:val="24"/>
          <w:highlight w:val="none"/>
          <w:lang w:val="en-US" w:eastAsia="zh-CN"/>
        </w:rPr>
        <w:t>一年</w:t>
      </w:r>
    </w:p>
    <w:p w14:paraId="0C16AB4E">
      <w:pPr>
        <w:spacing w:line="500" w:lineRule="exact"/>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lang w:val="en-US" w:eastAsia="zh-CN"/>
        </w:rPr>
        <w:t>5.6标段划分：</w:t>
      </w:r>
      <w:r>
        <w:rPr>
          <w:rFonts w:hint="eastAsia" w:ascii="宋体" w:hAnsi="宋体" w:eastAsia="宋体" w:cs="Times New Roman"/>
          <w:sz w:val="24"/>
          <w:highlight w:val="none"/>
          <w:lang w:eastAsia="zh-CN"/>
        </w:rPr>
        <w:t>本项目共划分一个标包</w:t>
      </w:r>
      <w:r>
        <w:rPr>
          <w:rFonts w:hint="eastAsia" w:ascii="宋体" w:hAnsi="宋体" w:eastAsia="宋体" w:cs="Times New Roman"/>
          <w:sz w:val="24"/>
          <w:highlight w:val="none"/>
        </w:rPr>
        <w:t>。</w:t>
      </w:r>
    </w:p>
    <w:p w14:paraId="0C02FEAB">
      <w:pPr>
        <w:spacing w:line="500" w:lineRule="exact"/>
        <w:ind w:firstLine="480" w:firstLineChars="200"/>
        <w:rPr>
          <w:rFonts w:hint="eastAsia" w:ascii="宋体" w:hAnsi="宋体" w:eastAsia="宋体"/>
          <w:sz w:val="24"/>
          <w:highlight w:val="none"/>
          <w:lang w:eastAsia="zh-CN"/>
        </w:rPr>
      </w:pPr>
      <w:r>
        <w:rPr>
          <w:rFonts w:hint="eastAsia" w:ascii="宋体" w:hAnsi="宋体"/>
          <w:sz w:val="24"/>
          <w:highlight w:val="none"/>
        </w:rPr>
        <w:t>6、合同履行期限：</w:t>
      </w:r>
      <w:r>
        <w:rPr>
          <w:rFonts w:hint="eastAsia" w:ascii="宋体" w:hAnsi="宋体"/>
          <w:sz w:val="24"/>
          <w:highlight w:val="none"/>
          <w:lang w:val="en-US" w:eastAsia="zh-CN"/>
        </w:rPr>
        <w:t>一年</w:t>
      </w:r>
    </w:p>
    <w:p w14:paraId="7C714F21">
      <w:pPr>
        <w:spacing w:line="500" w:lineRule="exact"/>
        <w:ind w:firstLine="480" w:firstLineChars="200"/>
        <w:rPr>
          <w:rFonts w:hint="eastAsia" w:ascii="宋体" w:hAnsi="宋体"/>
          <w:sz w:val="24"/>
          <w:highlight w:val="none"/>
        </w:rPr>
      </w:pPr>
      <w:bookmarkStart w:id="6" w:name="_Toc28359080"/>
      <w:bookmarkStart w:id="7" w:name="_Toc35393622"/>
      <w:bookmarkStart w:id="8" w:name="_Toc28359003"/>
      <w:bookmarkStart w:id="9" w:name="_Toc35393791"/>
      <w:r>
        <w:rPr>
          <w:rFonts w:hint="eastAsia" w:ascii="宋体" w:hAnsi="宋体"/>
          <w:sz w:val="24"/>
          <w:highlight w:val="none"/>
        </w:rPr>
        <w:t>7</w:t>
      </w:r>
      <w:r>
        <w:rPr>
          <w:rFonts w:hint="eastAsia" w:ascii="宋体" w:hAnsi="宋体"/>
          <w:sz w:val="24"/>
          <w:highlight w:val="none"/>
          <w:lang w:eastAsia="zh-CN"/>
        </w:rPr>
        <w:t>、</w:t>
      </w:r>
      <w:r>
        <w:rPr>
          <w:rFonts w:hint="eastAsia" w:ascii="宋体" w:hAnsi="宋体"/>
          <w:sz w:val="24"/>
          <w:highlight w:val="none"/>
        </w:rPr>
        <w:t>本项目是否接受联合体投标：否</w:t>
      </w:r>
    </w:p>
    <w:p w14:paraId="05B7AA6F">
      <w:pPr>
        <w:spacing w:line="500" w:lineRule="exact"/>
        <w:ind w:firstLine="480" w:firstLineChars="200"/>
        <w:rPr>
          <w:rFonts w:hint="eastAsia" w:ascii="宋体" w:hAnsi="宋体"/>
          <w:sz w:val="24"/>
          <w:highlight w:val="none"/>
        </w:rPr>
      </w:pPr>
      <w:r>
        <w:rPr>
          <w:rFonts w:hint="eastAsia" w:ascii="宋体" w:hAnsi="宋体"/>
          <w:sz w:val="24"/>
          <w:highlight w:val="none"/>
        </w:rPr>
        <w:t>8</w:t>
      </w:r>
      <w:r>
        <w:rPr>
          <w:rFonts w:hint="eastAsia" w:ascii="宋体" w:hAnsi="宋体"/>
          <w:sz w:val="24"/>
          <w:highlight w:val="none"/>
          <w:lang w:eastAsia="zh-CN"/>
        </w:rPr>
        <w:t>、</w:t>
      </w:r>
      <w:r>
        <w:rPr>
          <w:rFonts w:hint="eastAsia" w:ascii="宋体" w:hAnsi="宋体"/>
          <w:sz w:val="24"/>
          <w:highlight w:val="none"/>
        </w:rPr>
        <w:t>是否接受进口产品：否</w:t>
      </w:r>
    </w:p>
    <w:p w14:paraId="76740B0F">
      <w:pPr>
        <w:spacing w:line="500" w:lineRule="exact"/>
        <w:ind w:firstLine="480" w:firstLineChars="200"/>
        <w:rPr>
          <w:rFonts w:hint="eastAsia" w:ascii="宋体" w:hAnsi="宋体"/>
          <w:sz w:val="24"/>
          <w:highlight w:val="none"/>
        </w:rPr>
      </w:pPr>
      <w:r>
        <w:rPr>
          <w:rFonts w:hint="eastAsia" w:ascii="宋体" w:hAnsi="宋体"/>
          <w:sz w:val="24"/>
          <w:highlight w:val="none"/>
        </w:rPr>
        <w:t>9</w:t>
      </w:r>
      <w:r>
        <w:rPr>
          <w:rFonts w:hint="eastAsia" w:ascii="宋体" w:hAnsi="宋体"/>
          <w:sz w:val="24"/>
          <w:highlight w:val="none"/>
          <w:lang w:eastAsia="zh-CN"/>
        </w:rPr>
        <w:t>、</w:t>
      </w:r>
      <w:r>
        <w:rPr>
          <w:rFonts w:hint="eastAsia" w:ascii="宋体" w:hAnsi="宋体"/>
          <w:sz w:val="24"/>
          <w:highlight w:val="none"/>
        </w:rPr>
        <w:t>是否专门面向中小企业：是</w:t>
      </w:r>
    </w:p>
    <w:p w14:paraId="2BCE0807">
      <w:pPr>
        <w:spacing w:line="500" w:lineRule="exact"/>
        <w:ind w:firstLine="480" w:firstLineChars="200"/>
        <w:rPr>
          <w:rFonts w:ascii="宋体" w:hAnsi="宋体"/>
          <w:sz w:val="24"/>
          <w:highlight w:val="none"/>
        </w:rPr>
      </w:pPr>
      <w:r>
        <w:rPr>
          <w:rFonts w:hint="eastAsia" w:ascii="宋体" w:hAnsi="宋体"/>
          <w:sz w:val="24"/>
          <w:highlight w:val="none"/>
        </w:rPr>
        <w:t>二、申请人的资格要求：</w:t>
      </w:r>
      <w:bookmarkEnd w:id="6"/>
      <w:bookmarkEnd w:id="7"/>
      <w:bookmarkEnd w:id="8"/>
      <w:bookmarkEnd w:id="9"/>
    </w:p>
    <w:p w14:paraId="3C44B242">
      <w:pPr>
        <w:wordWrap w:val="0"/>
        <w:spacing w:line="500" w:lineRule="exact"/>
        <w:ind w:firstLine="482" w:firstLineChars="201"/>
        <w:rPr>
          <w:rFonts w:hint="eastAsia" w:ascii="宋体" w:hAnsi="宋体"/>
          <w:color w:val="auto"/>
          <w:sz w:val="24"/>
          <w:highlight w:val="none"/>
        </w:rPr>
      </w:pPr>
      <w:bookmarkStart w:id="10" w:name="_Toc35393623"/>
      <w:bookmarkStart w:id="11" w:name="_Toc35393792"/>
      <w:bookmarkStart w:id="12" w:name="_Toc28359004"/>
      <w:bookmarkStart w:id="13" w:name="_Toc28359081"/>
      <w:r>
        <w:rPr>
          <w:rFonts w:hint="eastAsia" w:ascii="宋体" w:hAnsi="宋体"/>
          <w:color w:val="auto"/>
          <w:sz w:val="24"/>
          <w:highlight w:val="none"/>
        </w:rPr>
        <w:t>1、满足《中华人民共和国政府采购法》第二十二条规定；</w:t>
      </w:r>
    </w:p>
    <w:p w14:paraId="72D61299">
      <w:pPr>
        <w:wordWrap w:val="0"/>
        <w:spacing w:line="500" w:lineRule="exact"/>
        <w:ind w:firstLine="482" w:firstLineChars="201"/>
        <w:rPr>
          <w:rFonts w:hint="eastAsia" w:ascii="宋体" w:hAnsi="宋体"/>
          <w:color w:val="auto"/>
          <w:sz w:val="24"/>
          <w:highlight w:val="none"/>
        </w:rPr>
      </w:pPr>
      <w:r>
        <w:rPr>
          <w:rFonts w:hint="eastAsia" w:ascii="宋体" w:hAnsi="宋体"/>
          <w:color w:val="auto"/>
          <w:sz w:val="24"/>
          <w:highlight w:val="none"/>
        </w:rPr>
        <w:t>2、落实政府采购政策需满足的资格要求：</w:t>
      </w:r>
    </w:p>
    <w:p w14:paraId="149DC5C5">
      <w:pPr>
        <w:wordWrap w:val="0"/>
        <w:spacing w:line="500" w:lineRule="exact"/>
        <w:ind w:firstLine="482" w:firstLineChars="201"/>
        <w:rPr>
          <w:rFonts w:hint="eastAsia" w:ascii="宋体" w:hAnsi="宋体"/>
          <w:color w:val="auto"/>
          <w:sz w:val="24"/>
          <w:highlight w:val="none"/>
        </w:rPr>
      </w:pPr>
      <w:r>
        <w:rPr>
          <w:rFonts w:hint="eastAsia" w:ascii="宋体" w:hAnsi="宋体"/>
          <w:color w:val="auto"/>
          <w:sz w:val="24"/>
          <w:highlight w:val="none"/>
        </w:rPr>
        <w:t>本项目为专门面向中小微企业采购项目,执行促进中小企业（监狱企业、残疾人福利性企业</w:t>
      </w:r>
      <w:r>
        <w:rPr>
          <w:rFonts w:hint="eastAsia" w:ascii="宋体" w:hAnsi="宋体"/>
          <w:color w:val="auto"/>
          <w:sz w:val="24"/>
          <w:highlight w:val="none"/>
          <w:lang w:val="en-US" w:eastAsia="zh-CN"/>
        </w:rPr>
        <w:t>视为小微企业</w:t>
      </w:r>
      <w:r>
        <w:rPr>
          <w:rFonts w:hint="eastAsia" w:ascii="宋体" w:hAnsi="宋体"/>
          <w:color w:val="auto"/>
          <w:sz w:val="24"/>
          <w:highlight w:val="none"/>
        </w:rPr>
        <w:t>）发展等政府采购政策。</w:t>
      </w:r>
    </w:p>
    <w:p w14:paraId="7B61E7E2">
      <w:pPr>
        <w:wordWrap w:val="0"/>
        <w:spacing w:line="500" w:lineRule="exact"/>
        <w:ind w:firstLine="482" w:firstLineChars="201"/>
        <w:rPr>
          <w:rFonts w:hint="eastAsia" w:ascii="宋体" w:hAnsi="宋体"/>
          <w:color w:val="auto"/>
          <w:sz w:val="24"/>
          <w:highlight w:val="none"/>
        </w:rPr>
      </w:pPr>
      <w:r>
        <w:rPr>
          <w:rFonts w:hint="eastAsia" w:ascii="宋体" w:hAnsi="宋体"/>
          <w:color w:val="auto"/>
          <w:sz w:val="24"/>
          <w:highlight w:val="none"/>
        </w:rPr>
        <w:t>3、本项目的特定资格要求</w:t>
      </w:r>
      <w:r>
        <w:rPr>
          <w:rFonts w:hint="eastAsia" w:ascii="宋体" w:hAnsi="宋体"/>
          <w:color w:val="auto"/>
          <w:sz w:val="24"/>
          <w:highlight w:val="none"/>
        </w:rPr>
        <w:tab/>
      </w:r>
    </w:p>
    <w:p w14:paraId="6C1480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3.1供应商须具有独立承担民事责任的能力，提供合法有效的营业执照；</w:t>
      </w:r>
    </w:p>
    <w:p w14:paraId="0F055D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3.2供应商具有履行合同所必须的设备和专业技术服务能力(提供承诺书）；</w:t>
      </w:r>
    </w:p>
    <w:p w14:paraId="33A01C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3.3若供应商为生产商需</w:t>
      </w:r>
      <w:r>
        <w:rPr>
          <w:rFonts w:hint="eastAsia" w:ascii="宋体" w:hAnsi="宋体" w:cs="宋体"/>
          <w:color w:val="auto"/>
          <w:spacing w:val="0"/>
          <w:sz w:val="24"/>
          <w:szCs w:val="24"/>
          <w:highlight w:val="none"/>
          <w:lang w:val="en-US" w:eastAsia="zh-CN"/>
        </w:rPr>
        <w:t>提供有效的食品生产许可证</w:t>
      </w:r>
      <w:r>
        <w:rPr>
          <w:rFonts w:hint="eastAsia" w:ascii="宋体" w:hAnsi="宋体" w:eastAsia="宋体" w:cs="宋体"/>
          <w:color w:val="auto"/>
          <w:spacing w:val="0"/>
          <w:sz w:val="24"/>
          <w:szCs w:val="24"/>
          <w:highlight w:val="none"/>
          <w:lang w:val="en-US" w:eastAsia="zh-CN"/>
        </w:rPr>
        <w:t>；若供应商为经销商</w:t>
      </w:r>
      <w:r>
        <w:rPr>
          <w:rFonts w:hint="eastAsia" w:ascii="宋体" w:hAnsi="宋体" w:cs="宋体"/>
          <w:color w:val="auto"/>
          <w:spacing w:val="0"/>
          <w:sz w:val="24"/>
          <w:szCs w:val="24"/>
          <w:highlight w:val="none"/>
          <w:lang w:val="en-US" w:eastAsia="zh-CN"/>
        </w:rPr>
        <w:t>需提供有效的食品经营许可证</w:t>
      </w:r>
      <w:r>
        <w:rPr>
          <w:rFonts w:hint="eastAsia" w:ascii="宋体" w:hAnsi="宋体" w:eastAsia="宋体" w:cs="宋体"/>
          <w:color w:val="auto"/>
          <w:spacing w:val="0"/>
          <w:sz w:val="24"/>
          <w:szCs w:val="24"/>
          <w:highlight w:val="none"/>
          <w:lang w:val="en-US" w:eastAsia="zh-CN"/>
        </w:rPr>
        <w:t>；</w:t>
      </w:r>
    </w:p>
    <w:p w14:paraId="00C4D9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3.4拟派的项目负责人需</w:t>
      </w:r>
      <w:r>
        <w:rPr>
          <w:rFonts w:hint="eastAsia" w:ascii="宋体" w:hAnsi="宋体" w:cs="宋体"/>
          <w:color w:val="auto"/>
          <w:spacing w:val="0"/>
          <w:sz w:val="24"/>
          <w:szCs w:val="24"/>
          <w:highlight w:val="none"/>
          <w:lang w:val="en-US" w:eastAsia="zh-CN"/>
        </w:rPr>
        <w:t>提供有效的健康证</w:t>
      </w:r>
      <w:r>
        <w:rPr>
          <w:rFonts w:hint="eastAsia" w:ascii="宋体" w:hAnsi="宋体" w:eastAsia="宋体" w:cs="宋体"/>
          <w:color w:val="auto"/>
          <w:spacing w:val="0"/>
          <w:sz w:val="24"/>
          <w:szCs w:val="24"/>
          <w:highlight w:val="none"/>
          <w:lang w:val="en-US" w:eastAsia="zh-CN"/>
        </w:rPr>
        <w:t>及</w:t>
      </w:r>
      <w:r>
        <w:rPr>
          <w:rFonts w:hint="eastAsia" w:ascii="宋体" w:hAnsi="宋体" w:cs="宋体"/>
          <w:color w:val="auto"/>
          <w:spacing w:val="0"/>
          <w:sz w:val="24"/>
          <w:szCs w:val="24"/>
          <w:highlight w:val="none"/>
          <w:lang w:val="en-US" w:eastAsia="zh-CN"/>
        </w:rPr>
        <w:t>社保缴费证明</w:t>
      </w:r>
      <w:r>
        <w:rPr>
          <w:rFonts w:hint="eastAsia" w:ascii="宋体" w:hAnsi="宋体" w:eastAsia="宋体" w:cs="宋体"/>
          <w:color w:val="auto"/>
          <w:spacing w:val="0"/>
          <w:sz w:val="24"/>
          <w:szCs w:val="24"/>
          <w:highlight w:val="none"/>
          <w:lang w:val="en-US" w:eastAsia="zh-CN"/>
        </w:rPr>
        <w:t>（</w:t>
      </w:r>
      <w:r>
        <w:rPr>
          <w:rFonts w:hint="eastAsia" w:ascii="宋体" w:hAnsi="宋体" w:cs="宋体"/>
          <w:color w:val="auto"/>
          <w:kern w:val="2"/>
          <w:sz w:val="24"/>
          <w:szCs w:val="24"/>
          <w:highlight w:val="none"/>
          <w:lang w:val="en-US" w:eastAsia="zh-CN" w:bidi="ar-SA"/>
        </w:rPr>
        <w:t>社保缴费证明</w:t>
      </w:r>
      <w:r>
        <w:rPr>
          <w:rFonts w:hint="eastAsia" w:ascii="宋体" w:hAnsi="宋体" w:eastAsia="宋体" w:cs="宋体"/>
          <w:color w:val="auto"/>
          <w:spacing w:val="0"/>
          <w:sz w:val="24"/>
          <w:szCs w:val="24"/>
          <w:highlight w:val="none"/>
          <w:lang w:val="en-US" w:eastAsia="zh-CN"/>
        </w:rPr>
        <w:t>必须包含单位名称及个人的基本信息）</w:t>
      </w:r>
    </w:p>
    <w:p w14:paraId="3AEB0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r>
        <w:rPr>
          <w:rFonts w:hint="eastAsia" w:ascii="宋体" w:hAnsi="宋体" w:cs="宋体"/>
          <w:color w:val="auto"/>
          <w:spacing w:val="0"/>
          <w:sz w:val="24"/>
          <w:szCs w:val="24"/>
          <w:highlight w:val="none"/>
          <w:lang w:val="en-US" w:eastAsia="zh-CN"/>
        </w:rPr>
        <w:t>5</w:t>
      </w:r>
      <w:r>
        <w:rPr>
          <w:rFonts w:hint="default" w:ascii="宋体" w:hAnsi="宋体" w:eastAsia="宋体" w:cs="宋体"/>
          <w:color w:val="auto"/>
          <w:spacing w:val="0"/>
          <w:sz w:val="24"/>
          <w:szCs w:val="24"/>
          <w:highlight w:val="none"/>
          <w:lang w:val="en-US" w:eastAsia="zh-CN"/>
        </w:rPr>
        <w:t>供应商应保证所提供的产品必须是安全合格产品，因产品问题而发生的食物中毒等群体事故，由供应商承担经济赔偿责任及其他法律责任（</w:t>
      </w:r>
      <w:r>
        <w:rPr>
          <w:rFonts w:hint="eastAsia" w:ascii="宋体" w:hAnsi="宋体" w:cs="宋体"/>
          <w:color w:val="auto"/>
          <w:spacing w:val="0"/>
          <w:sz w:val="24"/>
          <w:szCs w:val="24"/>
          <w:highlight w:val="none"/>
          <w:lang w:val="en-US" w:eastAsia="zh-CN"/>
        </w:rPr>
        <w:t>提供承诺书</w:t>
      </w:r>
      <w:r>
        <w:rPr>
          <w:rFonts w:hint="default" w:ascii="宋体" w:hAnsi="宋体" w:eastAsia="宋体" w:cs="宋体"/>
          <w:color w:val="auto"/>
          <w:spacing w:val="0"/>
          <w:sz w:val="24"/>
          <w:szCs w:val="24"/>
          <w:highlight w:val="none"/>
          <w:lang w:val="en-US" w:eastAsia="zh-CN"/>
        </w:rPr>
        <w:t>）；</w:t>
      </w:r>
    </w:p>
    <w:p w14:paraId="63775D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pacing w:val="0"/>
          <w:sz w:val="24"/>
          <w:szCs w:val="24"/>
          <w:highlight w:val="none"/>
          <w:lang w:val="en-US" w:eastAsia="zh-CN"/>
        </w:rPr>
      </w:pPr>
      <w:r>
        <w:rPr>
          <w:rFonts w:hint="eastAsia" w:ascii="宋体" w:hAnsi="宋体" w:cs="宋体"/>
          <w:color w:val="auto"/>
          <w:spacing w:val="0"/>
          <w:sz w:val="24"/>
          <w:szCs w:val="24"/>
          <w:highlight w:val="none"/>
          <w:lang w:val="en-US" w:eastAsia="zh-CN"/>
        </w:rPr>
        <w:t>3.6供应商须提供在参加政府采购活动近三年内无重大违法记录及食品安全事故 、 卫生监督部门的处罚等恶性事件的承诺函（提供承诺书）；</w:t>
      </w:r>
    </w:p>
    <w:p w14:paraId="7005CD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r>
        <w:rPr>
          <w:rFonts w:hint="eastAsia" w:ascii="宋体" w:hAnsi="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val="en-US" w:eastAsia="zh-CN"/>
        </w:rPr>
        <w:t>供应商须出具本企业无商业贿赂和不正当竞争行为承诺书；</w:t>
      </w:r>
    </w:p>
    <w:p w14:paraId="4E3D71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r>
        <w:rPr>
          <w:rFonts w:hint="eastAsia" w:ascii="宋体" w:hAnsi="宋体" w:cs="宋体"/>
          <w:color w:val="auto"/>
          <w:spacing w:val="0"/>
          <w:sz w:val="24"/>
          <w:szCs w:val="24"/>
          <w:highlight w:val="none"/>
          <w:lang w:val="en-US" w:eastAsia="zh-CN"/>
        </w:rPr>
        <w:t>7</w:t>
      </w:r>
      <w:r>
        <w:rPr>
          <w:rFonts w:hint="eastAsia" w:ascii="宋体" w:hAnsi="宋体" w:eastAsia="宋体" w:cs="宋体"/>
          <w:color w:val="auto"/>
          <w:spacing w:val="0"/>
          <w:sz w:val="24"/>
          <w:szCs w:val="24"/>
          <w:highlight w:val="none"/>
          <w:lang w:val="en-US" w:eastAsia="zh-CN"/>
        </w:rPr>
        <w:t>根据《关于在政府采购活动中查询及使用信用记录有关问题的通知》(财库[2016]125号)和豫财购【2016】15号的规定，企业没有被列入“中国执行信息公开网”网站的“失信被执行人”、“信用中国”网站的“重大税收违法失信主体”、“政府采购严重违法失信行为记录名单”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019F03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r>
        <w:rPr>
          <w:rFonts w:hint="eastAsia" w:ascii="宋体" w:hAnsi="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lang w:val="en-US" w:eastAsia="zh-CN"/>
        </w:rPr>
        <w:t>本项目不接受联合体。</w:t>
      </w:r>
    </w:p>
    <w:p w14:paraId="33F3FF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highlight w:val="none"/>
        </w:rPr>
      </w:pPr>
      <w:r>
        <w:rPr>
          <w:rFonts w:hint="eastAsia" w:ascii="宋体" w:hAnsi="宋体" w:eastAsia="宋体" w:cs="宋体"/>
          <w:color w:val="auto"/>
          <w:spacing w:val="0"/>
          <w:sz w:val="24"/>
          <w:szCs w:val="24"/>
          <w:highlight w:val="none"/>
          <w:lang w:val="en-US" w:eastAsia="zh-CN"/>
        </w:rPr>
        <w:t>注：被列入失信被执行人及重大税收违法失信主体的企业做无效</w:t>
      </w:r>
      <w:r>
        <w:rPr>
          <w:rFonts w:hint="eastAsia" w:ascii="宋体" w:hAnsi="宋体" w:cs="宋体"/>
          <w:color w:val="auto"/>
          <w:spacing w:val="0"/>
          <w:sz w:val="24"/>
          <w:szCs w:val="24"/>
          <w:highlight w:val="none"/>
          <w:lang w:val="en-US" w:eastAsia="zh-CN"/>
        </w:rPr>
        <w:t>响应</w:t>
      </w:r>
      <w:r>
        <w:rPr>
          <w:rFonts w:hint="eastAsia" w:ascii="宋体" w:hAnsi="宋体" w:eastAsia="宋体" w:cs="宋体"/>
          <w:color w:val="auto"/>
          <w:spacing w:val="0"/>
          <w:sz w:val="24"/>
          <w:szCs w:val="24"/>
          <w:highlight w:val="none"/>
          <w:lang w:val="en-US" w:eastAsia="zh-CN"/>
        </w:rPr>
        <w:t>处理。采购人或采购代理机构有权对供应商信用记录进行甄别和复查。</w:t>
      </w:r>
    </w:p>
    <w:p w14:paraId="30ABA33B">
      <w:pPr>
        <w:wordWrap w:val="0"/>
        <w:spacing w:line="500" w:lineRule="exact"/>
        <w:ind w:firstLine="482" w:firstLineChars="201"/>
        <w:rPr>
          <w:rFonts w:ascii="宋体" w:hAnsi="宋体"/>
          <w:sz w:val="24"/>
          <w:highlight w:val="none"/>
        </w:rPr>
      </w:pPr>
      <w:r>
        <w:rPr>
          <w:rFonts w:hint="eastAsia" w:ascii="宋体" w:hAnsi="宋体"/>
          <w:sz w:val="24"/>
          <w:highlight w:val="none"/>
        </w:rPr>
        <w:t>三、获取</w:t>
      </w:r>
      <w:r>
        <w:rPr>
          <w:rFonts w:hint="eastAsia" w:ascii="宋体" w:hAnsi="宋体"/>
          <w:sz w:val="24"/>
          <w:highlight w:val="none"/>
          <w:lang w:val="en-US" w:eastAsia="zh-CN"/>
        </w:rPr>
        <w:t>采购</w:t>
      </w:r>
      <w:r>
        <w:rPr>
          <w:rFonts w:hint="eastAsia" w:ascii="宋体" w:hAnsi="宋体"/>
          <w:sz w:val="24"/>
          <w:highlight w:val="none"/>
        </w:rPr>
        <w:t>文件</w:t>
      </w:r>
      <w:bookmarkEnd w:id="10"/>
      <w:bookmarkEnd w:id="11"/>
      <w:bookmarkEnd w:id="12"/>
      <w:bookmarkEnd w:id="13"/>
    </w:p>
    <w:p w14:paraId="67B33A2E">
      <w:pPr>
        <w:pStyle w:val="22"/>
        <w:shd w:val="clear" w:color="auto" w:fill="FFFFFF"/>
        <w:spacing w:before="0" w:beforeAutospacing="0" w:after="0" w:afterAutospacing="0" w:line="500" w:lineRule="exact"/>
        <w:ind w:firstLine="470" w:firstLineChars="196"/>
        <w:rPr>
          <w:rFonts w:hint="eastAsia"/>
          <w:highlight w:val="none"/>
        </w:rPr>
      </w:pPr>
      <w:bookmarkStart w:id="14" w:name="_Toc28359082"/>
      <w:bookmarkStart w:id="15" w:name="_Toc28359005"/>
      <w:bookmarkStart w:id="16" w:name="_Toc35393624"/>
      <w:bookmarkStart w:id="17" w:name="_Toc35393793"/>
      <w:r>
        <w:rPr>
          <w:rFonts w:hint="eastAsia"/>
          <w:highlight w:val="none"/>
        </w:rPr>
        <w:t>1.时间：202</w:t>
      </w:r>
      <w:r>
        <w:rPr>
          <w:rFonts w:hint="eastAsia"/>
          <w:highlight w:val="none"/>
          <w:lang w:val="en-US" w:eastAsia="zh-CN"/>
        </w:rPr>
        <w:t>6</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8</w:t>
      </w:r>
      <w:r>
        <w:rPr>
          <w:rFonts w:hint="eastAsia"/>
          <w:highlight w:val="none"/>
        </w:rPr>
        <w:t>日至</w:t>
      </w:r>
      <w:r>
        <w:rPr>
          <w:rFonts w:hint="eastAsia" w:ascii="宋体" w:hAnsi="宋体"/>
          <w:sz w:val="24"/>
          <w:highlight w:val="none"/>
        </w:rPr>
        <w:t>202</w:t>
      </w:r>
      <w:r>
        <w:rPr>
          <w:rFonts w:hint="eastAsia"/>
          <w:sz w:val="24"/>
          <w:highlight w:val="none"/>
          <w:lang w:val="en-US" w:eastAsia="zh-CN"/>
        </w:rPr>
        <w:t>6</w:t>
      </w:r>
      <w:r>
        <w:rPr>
          <w:rFonts w:hint="eastAsia" w:ascii="宋体" w:hAnsi="宋体"/>
          <w:sz w:val="24"/>
          <w:highlight w:val="none"/>
        </w:rPr>
        <w:t>年</w:t>
      </w:r>
      <w:r>
        <w:rPr>
          <w:rFonts w:hint="eastAsia"/>
          <w:sz w:val="24"/>
          <w:highlight w:val="none"/>
          <w:lang w:val="en-US" w:eastAsia="zh-CN"/>
        </w:rPr>
        <w:t>8</w:t>
      </w:r>
      <w:r>
        <w:rPr>
          <w:rFonts w:hint="eastAsia" w:ascii="宋体" w:hAnsi="宋体"/>
          <w:sz w:val="24"/>
          <w:highlight w:val="none"/>
        </w:rPr>
        <w:t>月</w:t>
      </w:r>
      <w:r>
        <w:rPr>
          <w:rFonts w:hint="eastAsia"/>
          <w:sz w:val="24"/>
          <w:highlight w:val="none"/>
          <w:lang w:val="en-US" w:eastAsia="zh-CN"/>
        </w:rPr>
        <w:t>19</w:t>
      </w:r>
      <w:r>
        <w:rPr>
          <w:rFonts w:hint="eastAsia" w:ascii="宋体" w:hAnsi="宋体"/>
          <w:sz w:val="24"/>
          <w:highlight w:val="none"/>
        </w:rPr>
        <w:t>日</w:t>
      </w:r>
      <w:r>
        <w:rPr>
          <w:rFonts w:hint="eastAsia"/>
          <w:sz w:val="24"/>
          <w:highlight w:val="none"/>
          <w:lang w:eastAsia="zh-CN"/>
        </w:rPr>
        <w:t>08时20分</w:t>
      </w:r>
      <w:r>
        <w:rPr>
          <w:rFonts w:hint="eastAsia"/>
          <w:highlight w:val="none"/>
        </w:rPr>
        <w:t>，每天上午00:00至12:00，下午12:00至23:59（北京时间，法定节假日除外。）</w:t>
      </w:r>
    </w:p>
    <w:p w14:paraId="24F566B7">
      <w:pPr>
        <w:pStyle w:val="22"/>
        <w:shd w:val="clear" w:color="auto" w:fill="FFFFFF"/>
        <w:spacing w:before="0" w:beforeAutospacing="0" w:after="0" w:afterAutospacing="0" w:line="500" w:lineRule="exact"/>
        <w:ind w:firstLine="470" w:firstLineChars="196"/>
        <w:rPr>
          <w:rFonts w:hint="eastAsia"/>
          <w:highlight w:val="none"/>
        </w:rPr>
      </w:pPr>
      <w:r>
        <w:rPr>
          <w:rFonts w:hint="eastAsia"/>
          <w:highlight w:val="none"/>
        </w:rPr>
        <w:t>2.地点：三门峡市公共资源交易中心网（网址：http://gzjy.smx.gov.cn/）</w:t>
      </w:r>
    </w:p>
    <w:p w14:paraId="777D6635">
      <w:pPr>
        <w:pStyle w:val="22"/>
        <w:shd w:val="clear" w:color="auto" w:fill="FFFFFF"/>
        <w:spacing w:before="0" w:beforeAutospacing="0" w:after="0" w:afterAutospacing="0" w:line="500" w:lineRule="exact"/>
        <w:ind w:firstLine="470" w:firstLineChars="196"/>
        <w:rPr>
          <w:rFonts w:hint="eastAsia" w:ascii="宋体" w:hAnsi="宋体" w:eastAsia="宋体" w:cs="Times New Roman"/>
          <w:highlight w:val="none"/>
        </w:rPr>
      </w:pPr>
      <w:r>
        <w:rPr>
          <w:rFonts w:hint="eastAsia"/>
          <w:highlight w:val="none"/>
        </w:rPr>
        <w:t>3.方式：本项目没有报名环节，供应商凭CA数字证书通过三门峡市公共资源交易中心网（网</w:t>
      </w:r>
      <w:r>
        <w:rPr>
          <w:rFonts w:hint="eastAsia" w:ascii="宋体" w:hAnsi="宋体" w:eastAsia="宋体" w:cs="Times New Roman"/>
          <w:highlight w:val="none"/>
        </w:rPr>
        <w:t>址：http://gzjy.smx.gov.cn/）点击交易平台选择“市场主体登录”，在所参与项目右侧点击参与投标，即可直接下载本项目磋商文件。</w:t>
      </w:r>
    </w:p>
    <w:p w14:paraId="426516A7">
      <w:pPr>
        <w:pStyle w:val="22"/>
        <w:shd w:val="clear" w:color="auto" w:fill="FFFFFF"/>
        <w:spacing w:before="0" w:beforeAutospacing="0" w:after="0" w:afterAutospacing="0" w:line="500" w:lineRule="exact"/>
        <w:ind w:firstLine="470" w:firstLineChars="196"/>
        <w:rPr>
          <w:rFonts w:hint="eastAsia" w:ascii="宋体" w:hAnsi="宋体" w:eastAsia="宋体" w:cs="Times New Roman"/>
          <w:highlight w:val="none"/>
        </w:rPr>
      </w:pPr>
      <w:r>
        <w:rPr>
          <w:rFonts w:hint="eastAsia" w:ascii="宋体" w:hAnsi="宋体" w:eastAsia="宋体" w:cs="Times New Roman"/>
          <w:highlight w:val="none"/>
        </w:rPr>
        <w:t>办理CA证书：</w:t>
      </w:r>
    </w:p>
    <w:p w14:paraId="73B9BC82">
      <w:pPr>
        <w:pStyle w:val="22"/>
        <w:shd w:val="clear" w:color="auto" w:fill="FFFFFF"/>
        <w:spacing w:before="0" w:beforeAutospacing="0" w:after="0" w:afterAutospacing="0" w:line="500" w:lineRule="exact"/>
        <w:ind w:firstLine="470" w:firstLineChars="196"/>
        <w:rPr>
          <w:rFonts w:hint="eastAsia" w:ascii="宋体" w:hAnsi="宋体" w:eastAsia="宋体" w:cs="Times New Roman"/>
          <w:highlight w:val="none"/>
        </w:rPr>
      </w:pPr>
      <w:r>
        <w:rPr>
          <w:rFonts w:hint="eastAsia" w:ascii="宋体" w:hAnsi="宋体" w:eastAsia="宋体" w:cs="Times New Roman"/>
          <w:highlight w:val="none"/>
        </w:rPr>
        <w:fldChar w:fldCharType="begin"/>
      </w:r>
      <w:r>
        <w:rPr>
          <w:rFonts w:hint="eastAsia" w:ascii="宋体" w:hAnsi="宋体" w:eastAsia="宋体" w:cs="Times New Roman"/>
          <w:highlight w:val="none"/>
        </w:rPr>
        <w:instrText xml:space="preserve"> HYPERLINK "http://gzjy.smx.gov.cn/bzzx/008001/20231102/4defc9b5-408e-47f2-9e9f-1f376a06ee1f.html" </w:instrText>
      </w:r>
      <w:r>
        <w:rPr>
          <w:rFonts w:hint="eastAsia" w:ascii="宋体" w:hAnsi="宋体" w:eastAsia="宋体" w:cs="Times New Roman"/>
          <w:highlight w:val="none"/>
        </w:rPr>
        <w:fldChar w:fldCharType="separate"/>
      </w:r>
      <w:r>
        <w:rPr>
          <w:rFonts w:hint="eastAsia" w:ascii="宋体" w:hAnsi="宋体" w:eastAsia="宋体" w:cs="Times New Roman"/>
          <w:highlight w:val="none"/>
        </w:rPr>
        <w:t>http://gzjy.smx.gov.cn/bzzx/008001/20231102/4defc9b5-408e-47f2-9e9f-1f376a06ee1f.html</w:t>
      </w:r>
      <w:r>
        <w:rPr>
          <w:rFonts w:hint="eastAsia" w:ascii="宋体" w:hAnsi="宋体" w:eastAsia="宋体" w:cs="Times New Roman"/>
          <w:highlight w:val="none"/>
        </w:rPr>
        <w:fldChar w:fldCharType="end"/>
      </w:r>
    </w:p>
    <w:p w14:paraId="6022D397">
      <w:pPr>
        <w:pStyle w:val="22"/>
        <w:shd w:val="clear" w:color="auto" w:fill="FFFFFF"/>
        <w:spacing w:before="0" w:beforeAutospacing="0" w:after="0" w:afterAutospacing="0" w:line="500" w:lineRule="exact"/>
        <w:ind w:firstLine="470" w:firstLineChars="196"/>
        <w:rPr>
          <w:highlight w:val="none"/>
        </w:rPr>
      </w:pPr>
      <w:r>
        <w:rPr>
          <w:rFonts w:hint="eastAsia"/>
          <w:highlight w:val="none"/>
        </w:rPr>
        <w:t xml:space="preserve">4.售价：0元 </w:t>
      </w:r>
    </w:p>
    <w:p w14:paraId="5BFDFD69">
      <w:pPr>
        <w:wordWrap w:val="0"/>
        <w:spacing w:line="500" w:lineRule="exact"/>
        <w:ind w:firstLine="482" w:firstLineChars="201"/>
        <w:rPr>
          <w:rFonts w:ascii="宋体" w:hAnsi="宋体"/>
          <w:sz w:val="24"/>
          <w:highlight w:val="none"/>
        </w:rPr>
      </w:pPr>
      <w:r>
        <w:rPr>
          <w:rFonts w:hint="eastAsia" w:ascii="宋体" w:hAnsi="宋体"/>
          <w:sz w:val="24"/>
          <w:highlight w:val="none"/>
        </w:rPr>
        <w:t>四、响应文件</w:t>
      </w:r>
      <w:bookmarkEnd w:id="14"/>
      <w:bookmarkEnd w:id="15"/>
      <w:r>
        <w:rPr>
          <w:rFonts w:hint="eastAsia" w:ascii="宋体" w:hAnsi="宋体"/>
          <w:sz w:val="24"/>
          <w:highlight w:val="none"/>
        </w:rPr>
        <w:t>提交</w:t>
      </w:r>
      <w:bookmarkEnd w:id="16"/>
      <w:bookmarkEnd w:id="17"/>
    </w:p>
    <w:p w14:paraId="649EA435">
      <w:pPr>
        <w:wordWrap w:val="0"/>
        <w:spacing w:line="500" w:lineRule="exact"/>
        <w:ind w:firstLine="482" w:firstLineChars="201"/>
        <w:rPr>
          <w:rFonts w:hint="eastAsia" w:ascii="宋体" w:hAnsi="宋体"/>
          <w:sz w:val="24"/>
          <w:highlight w:val="none"/>
        </w:rPr>
      </w:pPr>
      <w:bookmarkStart w:id="18" w:name="_Toc28359084"/>
      <w:bookmarkStart w:id="19" w:name="_Toc28359007"/>
      <w:bookmarkStart w:id="20" w:name="_Toc35393625"/>
      <w:bookmarkStart w:id="21" w:name="_Toc35393794"/>
      <w:r>
        <w:rPr>
          <w:rFonts w:hint="eastAsia" w:ascii="宋体" w:hAnsi="宋体"/>
          <w:sz w:val="24"/>
          <w:highlight w:val="none"/>
        </w:rPr>
        <w:t>1.截止时间：202</w:t>
      </w:r>
      <w:r>
        <w:rPr>
          <w:rFonts w:hint="eastAsia" w:ascii="宋体" w:hAnsi="宋体"/>
          <w:sz w:val="24"/>
          <w:highlight w:val="none"/>
          <w:lang w:val="en-US" w:eastAsia="zh-CN"/>
        </w:rPr>
        <w:t>6</w:t>
      </w:r>
      <w:r>
        <w:rPr>
          <w:rFonts w:hint="eastAsia" w:ascii="宋体" w:hAnsi="宋体"/>
          <w:sz w:val="24"/>
          <w:highlight w:val="none"/>
        </w:rPr>
        <w:t>年</w:t>
      </w:r>
      <w:r>
        <w:rPr>
          <w:rFonts w:hint="eastAsia" w:ascii="宋体" w:hAnsi="宋体"/>
          <w:sz w:val="24"/>
          <w:highlight w:val="none"/>
          <w:lang w:val="en-US" w:eastAsia="zh-CN"/>
        </w:rPr>
        <w:t>8</w:t>
      </w:r>
      <w:r>
        <w:rPr>
          <w:rFonts w:hint="eastAsia" w:ascii="宋体" w:hAnsi="宋体"/>
          <w:sz w:val="24"/>
          <w:highlight w:val="none"/>
        </w:rPr>
        <w:t>月</w:t>
      </w:r>
      <w:r>
        <w:rPr>
          <w:rFonts w:hint="eastAsia" w:ascii="宋体" w:hAnsi="宋体"/>
          <w:sz w:val="24"/>
          <w:highlight w:val="none"/>
          <w:lang w:val="en-US" w:eastAsia="zh-CN"/>
        </w:rPr>
        <w:t>20</w:t>
      </w:r>
      <w:r>
        <w:rPr>
          <w:rFonts w:hint="eastAsia" w:ascii="宋体" w:hAnsi="宋体"/>
          <w:sz w:val="24"/>
          <w:highlight w:val="none"/>
        </w:rPr>
        <w:t>日</w:t>
      </w:r>
      <w:r>
        <w:rPr>
          <w:rFonts w:hint="eastAsia" w:ascii="宋体" w:hAnsi="宋体"/>
          <w:sz w:val="24"/>
          <w:highlight w:val="none"/>
          <w:lang w:eastAsia="zh-CN"/>
        </w:rPr>
        <w:t>08时20分</w:t>
      </w:r>
      <w:r>
        <w:rPr>
          <w:rFonts w:hint="eastAsia" w:ascii="宋体" w:hAnsi="宋体"/>
          <w:sz w:val="24"/>
          <w:highlight w:val="none"/>
        </w:rPr>
        <w:t>（北京时间）</w:t>
      </w:r>
    </w:p>
    <w:p w14:paraId="77E37328">
      <w:pPr>
        <w:wordWrap w:val="0"/>
        <w:spacing w:line="500" w:lineRule="exact"/>
        <w:ind w:firstLine="482" w:firstLineChars="201"/>
        <w:rPr>
          <w:rFonts w:hint="eastAsia" w:ascii="宋体" w:hAnsi="宋体"/>
          <w:sz w:val="24"/>
          <w:highlight w:val="none"/>
        </w:rPr>
      </w:pPr>
      <w:r>
        <w:rPr>
          <w:rFonts w:hint="eastAsia" w:ascii="宋体" w:hAnsi="宋体"/>
          <w:sz w:val="24"/>
          <w:highlight w:val="none"/>
        </w:rPr>
        <w:t>2.地点：上传至三门峡市公共资源交易中心系统</w:t>
      </w:r>
    </w:p>
    <w:p w14:paraId="05FC2497">
      <w:pPr>
        <w:wordWrap w:val="0"/>
        <w:spacing w:line="500" w:lineRule="exact"/>
        <w:ind w:firstLine="482" w:firstLineChars="201"/>
        <w:rPr>
          <w:rFonts w:hint="eastAsia" w:ascii="宋体" w:hAnsi="宋体" w:eastAsia="宋体"/>
          <w:sz w:val="24"/>
          <w:highlight w:val="none"/>
        </w:rPr>
      </w:pPr>
      <w:r>
        <w:rPr>
          <w:rFonts w:hint="eastAsia" w:ascii="宋体" w:hAnsi="宋体" w:eastAsia="宋体"/>
          <w:sz w:val="24"/>
          <w:highlight w:val="none"/>
        </w:rPr>
        <w:t>五、响应文件开启</w:t>
      </w:r>
    </w:p>
    <w:p w14:paraId="77C8CD1C">
      <w:pPr>
        <w:wordWrap w:val="0"/>
        <w:spacing w:line="500" w:lineRule="exact"/>
        <w:ind w:firstLine="482" w:firstLineChars="201"/>
        <w:rPr>
          <w:rFonts w:hint="eastAsia" w:ascii="宋体" w:hAnsi="宋体" w:eastAsia="宋体"/>
          <w:sz w:val="24"/>
          <w:highlight w:val="none"/>
        </w:rPr>
      </w:pPr>
      <w:r>
        <w:rPr>
          <w:rFonts w:hint="eastAsia" w:ascii="宋体" w:hAnsi="宋体" w:eastAsia="宋体"/>
          <w:sz w:val="24"/>
          <w:highlight w:val="none"/>
        </w:rPr>
        <w:t>1.时间：</w:t>
      </w:r>
      <w:r>
        <w:rPr>
          <w:rFonts w:hint="eastAsia" w:ascii="宋体" w:hAnsi="宋体"/>
          <w:sz w:val="24"/>
          <w:highlight w:val="none"/>
        </w:rPr>
        <w:t>202</w:t>
      </w:r>
      <w:r>
        <w:rPr>
          <w:rFonts w:hint="eastAsia" w:ascii="宋体" w:hAnsi="宋体"/>
          <w:sz w:val="24"/>
          <w:highlight w:val="none"/>
          <w:lang w:val="en-US" w:eastAsia="zh-CN"/>
        </w:rPr>
        <w:t>6</w:t>
      </w:r>
      <w:r>
        <w:rPr>
          <w:rFonts w:hint="eastAsia" w:ascii="宋体" w:hAnsi="宋体"/>
          <w:sz w:val="24"/>
          <w:highlight w:val="none"/>
        </w:rPr>
        <w:t>年</w:t>
      </w:r>
      <w:r>
        <w:rPr>
          <w:rFonts w:hint="eastAsia" w:ascii="宋体" w:hAnsi="宋体"/>
          <w:sz w:val="24"/>
          <w:highlight w:val="none"/>
          <w:lang w:val="en-US" w:eastAsia="zh-CN"/>
        </w:rPr>
        <w:t>8</w:t>
      </w:r>
      <w:r>
        <w:rPr>
          <w:rFonts w:hint="eastAsia" w:ascii="宋体" w:hAnsi="宋体"/>
          <w:sz w:val="24"/>
          <w:highlight w:val="none"/>
        </w:rPr>
        <w:t>月</w:t>
      </w:r>
      <w:r>
        <w:rPr>
          <w:rFonts w:hint="eastAsia" w:ascii="宋体" w:hAnsi="宋体"/>
          <w:sz w:val="24"/>
          <w:highlight w:val="none"/>
          <w:lang w:val="en-US" w:eastAsia="zh-CN"/>
        </w:rPr>
        <w:t>20</w:t>
      </w:r>
      <w:r>
        <w:rPr>
          <w:rFonts w:hint="eastAsia" w:ascii="宋体" w:hAnsi="宋体"/>
          <w:sz w:val="24"/>
          <w:highlight w:val="none"/>
        </w:rPr>
        <w:t>日</w:t>
      </w:r>
      <w:r>
        <w:rPr>
          <w:rFonts w:hint="eastAsia" w:ascii="宋体" w:hAnsi="宋体"/>
          <w:sz w:val="24"/>
          <w:highlight w:val="none"/>
          <w:lang w:eastAsia="zh-CN"/>
        </w:rPr>
        <w:t>08时20分</w:t>
      </w:r>
      <w:r>
        <w:rPr>
          <w:rFonts w:hint="eastAsia" w:ascii="宋体" w:hAnsi="宋体" w:eastAsia="宋体"/>
          <w:sz w:val="24"/>
          <w:highlight w:val="none"/>
        </w:rPr>
        <w:t>（北京时间）</w:t>
      </w:r>
    </w:p>
    <w:p w14:paraId="610E9D92">
      <w:pPr>
        <w:wordWrap w:val="0"/>
        <w:spacing w:line="500" w:lineRule="exact"/>
        <w:ind w:firstLine="482" w:firstLineChars="201"/>
        <w:rPr>
          <w:rFonts w:hint="eastAsia" w:ascii="宋体" w:hAnsi="宋体" w:eastAsia="宋体"/>
          <w:sz w:val="24"/>
          <w:highlight w:val="none"/>
        </w:rPr>
      </w:pPr>
      <w:r>
        <w:rPr>
          <w:rFonts w:hint="eastAsia" w:ascii="宋体" w:hAnsi="宋体" w:eastAsia="宋体"/>
          <w:sz w:val="24"/>
          <w:highlight w:val="none"/>
        </w:rPr>
        <w:t>2.地点：</w:t>
      </w:r>
      <w:r>
        <w:rPr>
          <w:rFonts w:hint="eastAsia" w:ascii="宋体" w:hAnsi="宋体" w:eastAsia="宋体"/>
          <w:sz w:val="24"/>
          <w:highlight w:val="none"/>
          <w:lang w:val="en-US" w:eastAsia="zh-CN"/>
        </w:rPr>
        <w:t>三门峡市</w:t>
      </w:r>
      <w:r>
        <w:rPr>
          <w:rFonts w:hint="eastAsia" w:ascii="宋体" w:hAnsi="宋体" w:eastAsia="宋体"/>
          <w:sz w:val="24"/>
          <w:highlight w:val="none"/>
        </w:rPr>
        <w:t>陕州区公共资源交易中心</w:t>
      </w:r>
    </w:p>
    <w:p w14:paraId="3E95FA0C">
      <w:pPr>
        <w:wordWrap w:val="0"/>
        <w:spacing w:line="500" w:lineRule="exact"/>
        <w:ind w:firstLine="482" w:firstLineChars="201"/>
        <w:rPr>
          <w:rFonts w:ascii="宋体" w:hAnsi="宋体"/>
          <w:sz w:val="24"/>
          <w:highlight w:val="none"/>
        </w:rPr>
      </w:pPr>
      <w:r>
        <w:rPr>
          <w:rFonts w:hint="eastAsia" w:ascii="宋体" w:hAnsi="宋体"/>
          <w:sz w:val="24"/>
          <w:highlight w:val="none"/>
          <w:lang w:val="en-US" w:eastAsia="zh-CN"/>
        </w:rPr>
        <w:t>六</w:t>
      </w:r>
      <w:r>
        <w:rPr>
          <w:rFonts w:hint="eastAsia" w:ascii="宋体" w:hAnsi="宋体"/>
          <w:sz w:val="24"/>
          <w:highlight w:val="none"/>
        </w:rPr>
        <w:t>、</w:t>
      </w:r>
      <w:bookmarkEnd w:id="18"/>
      <w:bookmarkEnd w:id="19"/>
      <w:bookmarkEnd w:id="20"/>
      <w:bookmarkEnd w:id="21"/>
      <w:r>
        <w:rPr>
          <w:rFonts w:hint="eastAsia" w:ascii="宋体" w:hAnsi="宋体"/>
          <w:sz w:val="24"/>
          <w:highlight w:val="none"/>
        </w:rPr>
        <w:t>发布公告的媒介及招标公告期限</w:t>
      </w:r>
    </w:p>
    <w:p w14:paraId="4053C40D">
      <w:pPr>
        <w:wordWrap w:val="0"/>
        <w:spacing w:line="500" w:lineRule="exact"/>
        <w:ind w:firstLine="482" w:firstLineChars="201"/>
        <w:rPr>
          <w:rFonts w:hint="eastAsia" w:ascii="宋体" w:hAnsi="宋体" w:eastAsia="宋体"/>
          <w:sz w:val="24"/>
          <w:highlight w:val="none"/>
          <w:lang w:eastAsia="zh-CN"/>
        </w:rPr>
      </w:pPr>
      <w:r>
        <w:rPr>
          <w:rFonts w:hint="eastAsia" w:ascii="宋体" w:hAnsi="宋体" w:eastAsia="宋体"/>
          <w:sz w:val="24"/>
          <w:highlight w:val="none"/>
        </w:rPr>
        <w:t>本次招标公告在《中国采购与招标网》、《河南省政府采购网》、《河南省电子招标投标公共服务平台》和《三门峡市公共资源交易中心网》上发布</w:t>
      </w:r>
      <w:r>
        <w:rPr>
          <w:rFonts w:hint="eastAsia" w:ascii="宋体" w:hAnsi="宋体" w:eastAsia="宋体"/>
          <w:sz w:val="24"/>
          <w:highlight w:val="none"/>
          <w:lang w:eastAsia="zh-CN"/>
        </w:rPr>
        <w:t>，公告期限为三个工作日 。</w:t>
      </w:r>
    </w:p>
    <w:p w14:paraId="5A28EC5E">
      <w:pPr>
        <w:wordWrap w:val="0"/>
        <w:spacing w:line="500" w:lineRule="exact"/>
        <w:ind w:firstLine="482" w:firstLineChars="201"/>
        <w:rPr>
          <w:rFonts w:ascii="宋体" w:hAnsi="宋体"/>
          <w:sz w:val="24"/>
          <w:highlight w:val="none"/>
        </w:rPr>
      </w:pPr>
      <w:bookmarkStart w:id="22" w:name="_Toc35393626"/>
      <w:bookmarkStart w:id="23" w:name="_Toc35393795"/>
      <w:r>
        <w:rPr>
          <w:rFonts w:hint="eastAsia" w:ascii="宋体" w:hAnsi="宋体"/>
          <w:sz w:val="24"/>
          <w:highlight w:val="none"/>
          <w:lang w:val="en-US" w:eastAsia="zh-CN"/>
        </w:rPr>
        <w:t>七</w:t>
      </w:r>
      <w:r>
        <w:rPr>
          <w:rFonts w:hint="eastAsia" w:ascii="宋体" w:hAnsi="宋体"/>
          <w:sz w:val="24"/>
          <w:highlight w:val="none"/>
        </w:rPr>
        <w:t>、其他补充事宜</w:t>
      </w:r>
      <w:bookmarkEnd w:id="22"/>
      <w:bookmarkEnd w:id="23"/>
    </w:p>
    <w:p w14:paraId="36E7CA2F">
      <w:pPr>
        <w:wordWrap w:val="0"/>
        <w:spacing w:line="500" w:lineRule="exact"/>
        <w:ind w:firstLine="482" w:firstLineChars="201"/>
        <w:rPr>
          <w:rFonts w:hint="eastAsia" w:ascii="宋体" w:hAnsi="宋体" w:eastAsia="宋体"/>
          <w:sz w:val="24"/>
          <w:highlight w:val="none"/>
        </w:rPr>
      </w:pPr>
      <w:r>
        <w:rPr>
          <w:rFonts w:hint="eastAsia" w:ascii="宋体" w:hAnsi="宋体" w:eastAsia="宋体"/>
          <w:sz w:val="24"/>
          <w:highlight w:val="none"/>
        </w:rPr>
        <w:t>1、根据《河南省财政厅关于优化政府采购营商环境有关问题的通知》（豫财购【2019】4号）第6条的规定，本项目不收取磋商保证金。</w:t>
      </w:r>
    </w:p>
    <w:p w14:paraId="6E498F9D">
      <w:pPr>
        <w:wordWrap w:val="0"/>
        <w:spacing w:line="500" w:lineRule="exact"/>
        <w:ind w:firstLine="482" w:firstLineChars="201"/>
        <w:rPr>
          <w:rFonts w:hint="eastAsia" w:ascii="宋体" w:hAnsi="宋体" w:eastAsia="宋体"/>
          <w:sz w:val="24"/>
          <w:highlight w:val="none"/>
        </w:rPr>
      </w:pPr>
      <w:r>
        <w:rPr>
          <w:rFonts w:hint="eastAsia" w:ascii="宋体" w:hAnsi="宋体" w:eastAsia="宋体"/>
          <w:sz w:val="24"/>
          <w:highlight w:val="none"/>
        </w:rPr>
        <w:t>2、根据优化营商环境的要求，评标时以响应文件为准，可使用电子营业执照；</w:t>
      </w:r>
    </w:p>
    <w:p w14:paraId="7A975350">
      <w:pPr>
        <w:wordWrap w:val="0"/>
        <w:spacing w:line="500" w:lineRule="exact"/>
        <w:ind w:firstLine="482" w:firstLineChars="201"/>
        <w:rPr>
          <w:rFonts w:hint="eastAsia" w:ascii="宋体" w:hAnsi="宋体" w:eastAsia="宋体"/>
          <w:sz w:val="24"/>
          <w:highlight w:val="none"/>
        </w:rPr>
      </w:pPr>
      <w:r>
        <w:rPr>
          <w:rFonts w:hint="eastAsia" w:ascii="宋体" w:hAnsi="宋体" w:eastAsia="宋体"/>
          <w:sz w:val="24"/>
          <w:highlight w:val="none"/>
        </w:rPr>
        <w:t>资格评（预）审部分：资格评（预）审以响应文件为准，其上传资料真实性由供应商自行承担。</w:t>
      </w:r>
    </w:p>
    <w:p w14:paraId="6A0C6037">
      <w:pPr>
        <w:wordWrap w:val="0"/>
        <w:spacing w:line="500" w:lineRule="exact"/>
        <w:ind w:firstLine="482" w:firstLineChars="201"/>
        <w:rPr>
          <w:rFonts w:hint="eastAsia" w:ascii="宋体" w:hAnsi="宋体" w:eastAsia="宋体"/>
          <w:sz w:val="24"/>
          <w:highlight w:val="none"/>
        </w:rPr>
      </w:pPr>
      <w:r>
        <w:rPr>
          <w:rFonts w:hint="eastAsia" w:ascii="宋体" w:hAnsi="宋体" w:eastAsia="宋体"/>
          <w:sz w:val="24"/>
          <w:highlight w:val="none"/>
        </w:rPr>
        <w:t>3、本项目为资格后审，资格审查由采购人依法组建的磋商小组负责。审查内容以磋商截止时间前在三门峡市公共资源交易平台“响应文件”上传的信息为准。规定时间外上传或更改的信息不作为评标依据。响应文件中上传的信息真实有效，扫描件清晰可辨。否则，由此造成应得分而未得分或资格审查不合格等情况的，由供应商承担责任。</w:t>
      </w:r>
    </w:p>
    <w:p w14:paraId="3DDC5336">
      <w:pPr>
        <w:wordWrap w:val="0"/>
        <w:spacing w:line="500" w:lineRule="exact"/>
        <w:ind w:firstLine="482" w:firstLineChars="201"/>
        <w:rPr>
          <w:rFonts w:hint="eastAsia" w:ascii="宋体" w:hAnsi="宋体" w:eastAsia="宋体"/>
          <w:sz w:val="24"/>
          <w:highlight w:val="none"/>
        </w:rPr>
      </w:pPr>
      <w:r>
        <w:rPr>
          <w:rFonts w:hint="eastAsia" w:ascii="宋体" w:hAnsi="宋体" w:eastAsia="宋体"/>
          <w:sz w:val="24"/>
          <w:highlight w:val="none"/>
        </w:rPr>
        <w:t>4、本项目为电子化、无纸化交易项目，开标时不再接受任何纸质资料，为保证您能投标成功，请需仔细阅读磋商文件和三门峡市公共资源交易中心官网业务办理指南。</w:t>
      </w:r>
    </w:p>
    <w:p w14:paraId="63DCE10C">
      <w:pPr>
        <w:wordWrap w:val="0"/>
        <w:spacing w:line="500" w:lineRule="exact"/>
        <w:ind w:firstLine="482" w:firstLineChars="201"/>
        <w:rPr>
          <w:rFonts w:hint="eastAsia" w:ascii="宋体" w:hAnsi="宋体" w:eastAsia="宋体"/>
          <w:sz w:val="24"/>
          <w:highlight w:val="none"/>
        </w:rPr>
      </w:pPr>
      <w:r>
        <w:rPr>
          <w:rFonts w:hint="eastAsia" w:ascii="宋体" w:hAnsi="宋体" w:eastAsia="宋体"/>
          <w:sz w:val="24"/>
          <w:highlight w:val="none"/>
        </w:rPr>
        <w:t>5、采购人不组织供应商踏勘现场。</w:t>
      </w:r>
    </w:p>
    <w:p w14:paraId="006801D5">
      <w:pPr>
        <w:wordWrap w:val="0"/>
        <w:spacing w:line="500" w:lineRule="exact"/>
        <w:ind w:firstLine="482" w:firstLineChars="201"/>
        <w:rPr>
          <w:rFonts w:hint="eastAsia" w:ascii="宋体" w:hAnsi="宋体" w:eastAsia="宋体"/>
          <w:sz w:val="24"/>
          <w:highlight w:val="none"/>
        </w:rPr>
      </w:pPr>
      <w:r>
        <w:rPr>
          <w:rFonts w:hint="eastAsia" w:ascii="宋体" w:hAnsi="宋体" w:eastAsia="宋体"/>
          <w:sz w:val="24"/>
          <w:highlight w:val="none"/>
        </w:rPr>
        <w:t>6、我单位（采购人）严格按三财购（2021）9 号文要求的时限发布结果公告，发出成交通知书，签订采购合同，上传采购合同。</w:t>
      </w:r>
    </w:p>
    <w:p w14:paraId="22B7C534">
      <w:pPr>
        <w:wordWrap w:val="0"/>
        <w:spacing w:line="500" w:lineRule="exact"/>
        <w:ind w:firstLine="482" w:firstLineChars="201"/>
        <w:rPr>
          <w:rFonts w:ascii="宋体" w:hAnsi="宋体"/>
          <w:sz w:val="24"/>
          <w:highlight w:val="none"/>
        </w:rPr>
      </w:pPr>
      <w:bookmarkStart w:id="24" w:name="_Toc28359008"/>
      <w:bookmarkStart w:id="25" w:name="_Toc28359085"/>
      <w:bookmarkStart w:id="26" w:name="_Toc35393627"/>
      <w:bookmarkStart w:id="27" w:name="_Toc35393796"/>
      <w:r>
        <w:rPr>
          <w:rFonts w:hint="eastAsia" w:ascii="宋体" w:hAnsi="宋体"/>
          <w:sz w:val="24"/>
          <w:highlight w:val="none"/>
          <w:lang w:val="en-US" w:eastAsia="zh-CN"/>
        </w:rPr>
        <w:t>八</w:t>
      </w:r>
      <w:r>
        <w:rPr>
          <w:rFonts w:hint="eastAsia" w:ascii="宋体" w:hAnsi="宋体"/>
          <w:sz w:val="24"/>
          <w:highlight w:val="none"/>
        </w:rPr>
        <w:t>、</w:t>
      </w:r>
      <w:bookmarkEnd w:id="24"/>
      <w:bookmarkEnd w:id="25"/>
      <w:bookmarkEnd w:id="26"/>
      <w:bookmarkEnd w:id="27"/>
      <w:r>
        <w:rPr>
          <w:rFonts w:hint="eastAsia" w:ascii="宋体" w:hAnsi="宋体"/>
          <w:sz w:val="24"/>
          <w:highlight w:val="none"/>
        </w:rPr>
        <w:t>凡对本次招标提出询问，请按照以下方式联系</w:t>
      </w:r>
    </w:p>
    <w:p w14:paraId="4397C6F5">
      <w:pPr>
        <w:wordWrap w:val="0"/>
        <w:spacing w:line="500" w:lineRule="exact"/>
        <w:ind w:firstLine="482" w:firstLineChars="201"/>
        <w:rPr>
          <w:rFonts w:ascii="宋体" w:hAnsi="宋体"/>
          <w:sz w:val="24"/>
          <w:highlight w:val="none"/>
        </w:rPr>
      </w:pPr>
      <w:r>
        <w:rPr>
          <w:rFonts w:hint="eastAsia" w:ascii="宋体" w:hAnsi="宋体"/>
          <w:sz w:val="24"/>
          <w:highlight w:val="none"/>
        </w:rPr>
        <w:t>1.采购人信息</w:t>
      </w:r>
    </w:p>
    <w:p w14:paraId="325CEF68">
      <w:pPr>
        <w:wordWrap w:val="0"/>
        <w:spacing w:line="500" w:lineRule="exact"/>
        <w:ind w:firstLine="482" w:firstLineChars="201"/>
        <w:rPr>
          <w:rFonts w:hint="eastAsia" w:ascii="宋体" w:hAnsi="宋体" w:eastAsia="宋体"/>
          <w:sz w:val="24"/>
          <w:highlight w:val="none"/>
          <w:lang w:eastAsia="zh-CN"/>
        </w:rPr>
      </w:pPr>
      <w:r>
        <w:rPr>
          <w:rFonts w:hint="eastAsia" w:ascii="宋体" w:hAnsi="宋体"/>
          <w:sz w:val="24"/>
          <w:highlight w:val="none"/>
        </w:rPr>
        <w:t>名称：</w:t>
      </w:r>
      <w:r>
        <w:rPr>
          <w:rFonts w:hint="eastAsia" w:ascii="宋体" w:hAnsi="宋体"/>
          <w:sz w:val="24"/>
          <w:highlight w:val="none"/>
          <w:lang w:eastAsia="zh-CN"/>
        </w:rPr>
        <w:t>三门峡市陕州区养老服务中心</w:t>
      </w:r>
    </w:p>
    <w:p w14:paraId="598A90CB">
      <w:pPr>
        <w:wordWrap w:val="0"/>
        <w:spacing w:line="500" w:lineRule="exact"/>
        <w:ind w:firstLine="482" w:firstLineChars="201"/>
        <w:rPr>
          <w:rFonts w:hint="default" w:ascii="宋体" w:hAnsi="宋体" w:eastAsia="宋体"/>
          <w:sz w:val="24"/>
          <w:highlight w:val="none"/>
          <w:lang w:val="en-US" w:eastAsia="zh-CN"/>
        </w:rPr>
      </w:pPr>
      <w:r>
        <w:rPr>
          <w:rFonts w:hint="eastAsia" w:ascii="宋体" w:hAnsi="宋体"/>
          <w:sz w:val="24"/>
          <w:highlight w:val="none"/>
        </w:rPr>
        <w:t>地址：</w:t>
      </w:r>
      <w:r>
        <w:rPr>
          <w:rFonts w:hint="eastAsia" w:ascii="宋体" w:hAnsi="宋体"/>
          <w:sz w:val="24"/>
          <w:highlight w:val="none"/>
          <w:lang w:eastAsia="zh-CN"/>
        </w:rPr>
        <w:t>三门峡市陕州区</w:t>
      </w:r>
    </w:p>
    <w:p w14:paraId="5D1D4A1C">
      <w:pPr>
        <w:wordWrap w:val="0"/>
        <w:spacing w:line="500" w:lineRule="exact"/>
        <w:ind w:firstLine="482" w:firstLineChars="201"/>
        <w:rPr>
          <w:rFonts w:hint="default" w:ascii="宋体" w:hAnsi="宋体"/>
          <w:sz w:val="24"/>
          <w:highlight w:val="none"/>
          <w:lang w:val="en-US"/>
        </w:rPr>
      </w:pPr>
      <w:r>
        <w:rPr>
          <w:rFonts w:hint="eastAsia" w:ascii="宋体" w:hAnsi="宋体"/>
          <w:sz w:val="24"/>
          <w:highlight w:val="none"/>
        </w:rPr>
        <w:t>联系人：</w:t>
      </w:r>
      <w:r>
        <w:rPr>
          <w:rFonts w:hint="eastAsia" w:ascii="宋体"/>
          <w:sz w:val="24"/>
          <w:highlight w:val="none"/>
          <w:lang w:val="en-US" w:eastAsia="zh-CN"/>
        </w:rPr>
        <w:t>朱女士</w:t>
      </w:r>
    </w:p>
    <w:p w14:paraId="2AE24CC4">
      <w:pPr>
        <w:wordWrap w:val="0"/>
        <w:spacing w:line="500" w:lineRule="exact"/>
        <w:ind w:firstLine="482" w:firstLineChars="201"/>
        <w:rPr>
          <w:rFonts w:hint="default" w:ascii="宋体" w:hAnsi="宋体" w:eastAsia="宋体"/>
          <w:sz w:val="24"/>
          <w:highlight w:val="none"/>
          <w:lang w:val="en-US" w:eastAsia="zh-CN"/>
        </w:rPr>
      </w:pPr>
      <w:r>
        <w:rPr>
          <w:rFonts w:hint="eastAsia" w:ascii="宋体" w:hAnsi="宋体"/>
          <w:sz w:val="24"/>
          <w:highlight w:val="none"/>
        </w:rPr>
        <w:t>联系方式：</w:t>
      </w:r>
      <w:bookmarkStart w:id="28" w:name="_Toc28359009"/>
      <w:bookmarkStart w:id="29" w:name="_Toc28359086"/>
      <w:r>
        <w:rPr>
          <w:rFonts w:hint="eastAsia" w:ascii="宋体" w:hAnsi="宋体"/>
          <w:sz w:val="24"/>
          <w:highlight w:val="none"/>
        </w:rPr>
        <w:t>18239885777</w:t>
      </w:r>
    </w:p>
    <w:p w14:paraId="1E58AD9B">
      <w:pPr>
        <w:wordWrap w:val="0"/>
        <w:spacing w:line="500" w:lineRule="exact"/>
        <w:ind w:firstLine="482" w:firstLineChars="201"/>
        <w:rPr>
          <w:rFonts w:ascii="宋体" w:hAnsi="宋体"/>
          <w:sz w:val="24"/>
          <w:highlight w:val="none"/>
        </w:rPr>
      </w:pPr>
      <w:r>
        <w:rPr>
          <w:rFonts w:hint="eastAsia" w:ascii="宋体" w:hAnsi="宋体"/>
          <w:sz w:val="24"/>
          <w:highlight w:val="none"/>
        </w:rPr>
        <w:t>2.</w:t>
      </w:r>
      <w:bookmarkEnd w:id="28"/>
      <w:bookmarkEnd w:id="29"/>
      <w:bookmarkStart w:id="30" w:name="_Toc28359087"/>
      <w:bookmarkStart w:id="31" w:name="_Toc28359010"/>
      <w:r>
        <w:rPr>
          <w:rFonts w:hint="eastAsia" w:ascii="宋体" w:hAnsi="宋体"/>
          <w:sz w:val="24"/>
          <w:highlight w:val="none"/>
        </w:rPr>
        <w:t>采购代理机构（如有）</w:t>
      </w:r>
    </w:p>
    <w:p w14:paraId="62803A7E">
      <w:pPr>
        <w:wordWrap w:val="0"/>
        <w:spacing w:line="500" w:lineRule="exact"/>
        <w:ind w:firstLine="482" w:firstLineChars="201"/>
        <w:rPr>
          <w:rFonts w:hint="eastAsia" w:ascii="宋体" w:hAnsi="宋体" w:eastAsia="宋体"/>
          <w:sz w:val="24"/>
          <w:highlight w:val="none"/>
          <w:lang w:eastAsia="zh-CN"/>
        </w:rPr>
      </w:pPr>
      <w:r>
        <w:rPr>
          <w:rFonts w:hint="eastAsia" w:ascii="宋体" w:hAnsi="宋体"/>
          <w:sz w:val="24"/>
          <w:highlight w:val="none"/>
        </w:rPr>
        <w:t>名称：河南锦霖工程管理有限公司</w:t>
      </w:r>
    </w:p>
    <w:p w14:paraId="75965C63">
      <w:pPr>
        <w:wordWrap w:val="0"/>
        <w:spacing w:line="500" w:lineRule="exact"/>
        <w:ind w:firstLine="482" w:firstLineChars="201"/>
        <w:rPr>
          <w:rFonts w:ascii="宋体" w:hAnsi="宋体"/>
          <w:sz w:val="24"/>
          <w:highlight w:val="none"/>
        </w:rPr>
      </w:pPr>
      <w:r>
        <w:rPr>
          <w:rFonts w:hint="eastAsia" w:ascii="宋体" w:hAnsi="宋体"/>
          <w:sz w:val="24"/>
          <w:highlight w:val="none"/>
        </w:rPr>
        <w:t>地址：三门峡市湖滨区嘉亿广场4号楼621室</w:t>
      </w:r>
    </w:p>
    <w:p w14:paraId="60D4801F">
      <w:pPr>
        <w:wordWrap w:val="0"/>
        <w:spacing w:line="500" w:lineRule="exact"/>
        <w:ind w:firstLine="482" w:firstLineChars="201"/>
        <w:rPr>
          <w:rFonts w:ascii="宋体" w:hAnsi="宋体"/>
          <w:sz w:val="24"/>
          <w:highlight w:val="none"/>
        </w:rPr>
      </w:pPr>
      <w:r>
        <w:rPr>
          <w:rFonts w:hint="eastAsia" w:ascii="宋体" w:hAnsi="宋体"/>
          <w:sz w:val="24"/>
          <w:highlight w:val="none"/>
        </w:rPr>
        <w:t>联系人：</w:t>
      </w:r>
      <w:r>
        <w:rPr>
          <w:rFonts w:hint="eastAsia" w:ascii="宋体" w:hAnsi="宋体"/>
          <w:sz w:val="24"/>
          <w:highlight w:val="none"/>
          <w:lang w:val="en-US" w:eastAsia="zh-CN"/>
        </w:rPr>
        <w:t>陈</w:t>
      </w:r>
      <w:r>
        <w:rPr>
          <w:rFonts w:hint="eastAsia" w:ascii="宋体" w:hAnsi="宋体"/>
          <w:sz w:val="24"/>
          <w:highlight w:val="none"/>
        </w:rPr>
        <w:t>女士</w:t>
      </w:r>
    </w:p>
    <w:p w14:paraId="500E5F2C">
      <w:pPr>
        <w:wordWrap w:val="0"/>
        <w:spacing w:line="500" w:lineRule="exact"/>
        <w:ind w:firstLine="482" w:firstLineChars="201"/>
        <w:rPr>
          <w:rFonts w:ascii="宋体" w:hAnsi="宋体"/>
          <w:sz w:val="24"/>
          <w:highlight w:val="none"/>
        </w:rPr>
      </w:pPr>
      <w:r>
        <w:rPr>
          <w:rFonts w:hint="eastAsia" w:ascii="宋体" w:hAnsi="宋体"/>
          <w:sz w:val="24"/>
          <w:highlight w:val="none"/>
        </w:rPr>
        <w:t>联系方式：0398-2739966</w:t>
      </w:r>
    </w:p>
    <w:p w14:paraId="7CD904FC">
      <w:pPr>
        <w:wordWrap w:val="0"/>
        <w:spacing w:line="500" w:lineRule="exact"/>
        <w:ind w:firstLine="482" w:firstLineChars="201"/>
        <w:rPr>
          <w:rFonts w:ascii="宋体" w:hAnsi="宋体"/>
          <w:sz w:val="24"/>
          <w:highlight w:val="none"/>
        </w:rPr>
      </w:pPr>
      <w:r>
        <w:rPr>
          <w:rFonts w:hint="eastAsia" w:ascii="宋体" w:hAnsi="宋体"/>
          <w:sz w:val="24"/>
          <w:highlight w:val="none"/>
        </w:rPr>
        <w:t>3.项目</w:t>
      </w:r>
      <w:r>
        <w:rPr>
          <w:rFonts w:ascii="宋体" w:hAnsi="宋体"/>
          <w:sz w:val="24"/>
          <w:highlight w:val="none"/>
        </w:rPr>
        <w:t>联系方式</w:t>
      </w:r>
      <w:bookmarkEnd w:id="30"/>
      <w:bookmarkEnd w:id="31"/>
    </w:p>
    <w:p w14:paraId="3250107B">
      <w:pPr>
        <w:wordWrap w:val="0"/>
        <w:spacing w:line="500" w:lineRule="exact"/>
        <w:ind w:firstLine="482" w:firstLineChars="201"/>
        <w:rPr>
          <w:rFonts w:hint="eastAsia" w:ascii="宋体" w:hAnsi="宋体" w:eastAsia="宋体"/>
          <w:sz w:val="24"/>
          <w:highlight w:val="none"/>
          <w:lang w:eastAsia="zh-CN"/>
        </w:rPr>
      </w:pPr>
      <w:r>
        <w:rPr>
          <w:rFonts w:hint="eastAsia" w:ascii="宋体" w:hAnsi="宋体"/>
          <w:sz w:val="24"/>
          <w:highlight w:val="none"/>
        </w:rPr>
        <w:t>项目联系人：</w:t>
      </w:r>
      <w:r>
        <w:rPr>
          <w:rFonts w:hint="eastAsia" w:ascii="宋体" w:hAnsi="宋体"/>
          <w:sz w:val="24"/>
          <w:highlight w:val="none"/>
          <w:lang w:eastAsia="zh-CN"/>
        </w:rPr>
        <w:t>陈女士</w:t>
      </w:r>
    </w:p>
    <w:p w14:paraId="0FE9E044">
      <w:pPr>
        <w:wordWrap w:val="0"/>
        <w:spacing w:line="500" w:lineRule="exact"/>
        <w:ind w:firstLine="482" w:firstLineChars="201"/>
        <w:rPr>
          <w:rFonts w:hint="eastAsia" w:ascii="宋体" w:hAnsi="宋体"/>
          <w:sz w:val="24"/>
          <w:highlight w:val="none"/>
        </w:rPr>
      </w:pPr>
      <w:r>
        <w:rPr>
          <w:rFonts w:hint="eastAsia" w:ascii="宋体" w:hAnsi="宋体"/>
          <w:sz w:val="24"/>
          <w:highlight w:val="none"/>
        </w:rPr>
        <w:t>电    话：0398-2739966</w:t>
      </w:r>
    </w:p>
    <w:p w14:paraId="09698F75">
      <w:pPr>
        <w:wordWrap w:val="0"/>
        <w:spacing w:line="500" w:lineRule="exact"/>
        <w:ind w:firstLine="482" w:firstLineChars="201"/>
        <w:rPr>
          <w:rFonts w:hint="eastAsia" w:ascii="宋体" w:hAnsi="宋体"/>
          <w:sz w:val="24"/>
          <w:highlight w:val="none"/>
        </w:rPr>
      </w:pPr>
    </w:p>
    <w:p w14:paraId="0FF37547">
      <w:pPr>
        <w:wordWrap w:val="0"/>
        <w:spacing w:line="500" w:lineRule="exact"/>
        <w:ind w:firstLine="482" w:firstLineChars="201"/>
        <w:rPr>
          <w:rFonts w:hint="eastAsia" w:ascii="宋体" w:hAnsi="宋体"/>
          <w:sz w:val="24"/>
          <w:highlight w:val="none"/>
        </w:rPr>
      </w:pPr>
    </w:p>
    <w:p w14:paraId="5F69EAF5">
      <w:pPr>
        <w:wordWrap w:val="0"/>
        <w:spacing w:line="500" w:lineRule="exact"/>
        <w:rPr>
          <w:rFonts w:hint="eastAsia" w:ascii="宋体" w:hAnsi="宋体"/>
          <w:sz w:val="24"/>
          <w:highlight w:val="none"/>
        </w:rPr>
      </w:pPr>
    </w:p>
    <w:p w14:paraId="63D8558A">
      <w:pPr>
        <w:pStyle w:val="2"/>
        <w:spacing w:line="500" w:lineRule="exact"/>
        <w:rPr>
          <w:highlight w:val="none"/>
        </w:rPr>
      </w:pPr>
      <w:r>
        <w:rPr>
          <w:rFonts w:hint="eastAsia"/>
          <w:highlight w:val="none"/>
        </w:rPr>
        <w:t xml:space="preserve"> </w:t>
      </w:r>
      <w:bookmarkStart w:id="32" w:name="_Toc7999"/>
      <w:r>
        <w:rPr>
          <w:rFonts w:hint="eastAsia"/>
          <w:highlight w:val="none"/>
        </w:rPr>
        <w:t>第二章 供应商须知</w:t>
      </w:r>
      <w:bookmarkEnd w:id="32"/>
      <w:bookmarkStart w:id="33" w:name="_Toc465990882"/>
      <w:bookmarkEnd w:id="33"/>
      <w:bookmarkStart w:id="34" w:name="_Toc522085734"/>
      <w:bookmarkEnd w:id="34"/>
      <w:bookmarkStart w:id="35" w:name="_Toc522798795"/>
      <w:bookmarkEnd w:id="35"/>
      <w:bookmarkStart w:id="36" w:name="_Toc497301886"/>
      <w:bookmarkEnd w:id="36"/>
      <w:bookmarkStart w:id="37" w:name="_Toc521997939"/>
    </w:p>
    <w:p w14:paraId="2636BBE9">
      <w:pPr>
        <w:pStyle w:val="3"/>
        <w:spacing w:line="500" w:lineRule="exact"/>
        <w:rPr>
          <w:highlight w:val="none"/>
        </w:rPr>
      </w:pPr>
      <w:bookmarkStart w:id="38" w:name="_Toc18947"/>
      <w:r>
        <w:rPr>
          <w:rFonts w:hint="eastAsia"/>
          <w:highlight w:val="none"/>
        </w:rPr>
        <w:t>供应商须知前附表</w:t>
      </w:r>
      <w:bookmarkEnd w:id="37"/>
      <w:bookmarkEnd w:id="38"/>
    </w:p>
    <w:tbl>
      <w:tblPr>
        <w:tblStyle w:val="26"/>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988"/>
        <w:gridCol w:w="6653"/>
      </w:tblGrid>
      <w:tr w14:paraId="39C8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10C06037">
            <w:pPr>
              <w:pStyle w:val="22"/>
              <w:widowControl w:val="0"/>
              <w:spacing w:before="0" w:beforeAutospacing="0" w:after="0" w:afterAutospacing="0" w:line="500" w:lineRule="exact"/>
              <w:ind w:firstLine="0" w:firstLineChars="0"/>
              <w:jc w:val="center"/>
              <w:rPr>
                <w:rFonts w:cs="宋体"/>
                <w:b/>
                <w:kern w:val="2"/>
                <w:highlight w:val="none"/>
              </w:rPr>
            </w:pPr>
            <w:r>
              <w:rPr>
                <w:rFonts w:hint="eastAsia" w:cs="宋体"/>
                <w:b/>
                <w:highlight w:val="none"/>
              </w:rPr>
              <w:t>条款号</w:t>
            </w:r>
          </w:p>
        </w:tc>
        <w:tc>
          <w:tcPr>
            <w:tcW w:w="1988" w:type="dxa"/>
            <w:tcBorders>
              <w:top w:val="single" w:color="auto" w:sz="4" w:space="0"/>
              <w:left w:val="nil"/>
              <w:bottom w:val="single" w:color="auto" w:sz="4" w:space="0"/>
              <w:right w:val="single" w:color="auto" w:sz="4" w:space="0"/>
            </w:tcBorders>
            <w:vAlign w:val="center"/>
          </w:tcPr>
          <w:p w14:paraId="6D45148C">
            <w:pPr>
              <w:pStyle w:val="22"/>
              <w:widowControl w:val="0"/>
              <w:spacing w:before="0" w:beforeAutospacing="0" w:after="0" w:afterAutospacing="0" w:line="500" w:lineRule="exact"/>
              <w:ind w:firstLine="482"/>
              <w:jc w:val="center"/>
              <w:rPr>
                <w:rFonts w:cs="宋体"/>
                <w:b/>
                <w:kern w:val="2"/>
                <w:highlight w:val="none"/>
              </w:rPr>
            </w:pPr>
            <w:r>
              <w:rPr>
                <w:rFonts w:hint="eastAsia" w:cs="宋体"/>
                <w:b/>
                <w:highlight w:val="none"/>
              </w:rPr>
              <w:t>条款名称</w:t>
            </w:r>
          </w:p>
        </w:tc>
        <w:tc>
          <w:tcPr>
            <w:tcW w:w="6653" w:type="dxa"/>
            <w:tcBorders>
              <w:top w:val="single" w:color="auto" w:sz="4" w:space="0"/>
              <w:left w:val="nil"/>
              <w:bottom w:val="single" w:color="auto" w:sz="4" w:space="0"/>
              <w:right w:val="single" w:color="auto" w:sz="4" w:space="0"/>
            </w:tcBorders>
            <w:vAlign w:val="center"/>
          </w:tcPr>
          <w:p w14:paraId="55F7F742">
            <w:pPr>
              <w:pStyle w:val="22"/>
              <w:widowControl w:val="0"/>
              <w:spacing w:before="0" w:beforeAutospacing="0" w:after="0" w:afterAutospacing="0" w:line="500" w:lineRule="exact"/>
              <w:ind w:firstLine="482"/>
              <w:jc w:val="center"/>
              <w:rPr>
                <w:rFonts w:cs="宋体"/>
                <w:b/>
                <w:kern w:val="2"/>
                <w:highlight w:val="none"/>
              </w:rPr>
            </w:pPr>
            <w:r>
              <w:rPr>
                <w:rFonts w:hint="eastAsia" w:cs="宋体"/>
                <w:b/>
                <w:highlight w:val="none"/>
              </w:rPr>
              <w:t>编列内容</w:t>
            </w:r>
          </w:p>
        </w:tc>
      </w:tr>
      <w:tr w14:paraId="50FF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7DAD5A82">
            <w:pPr>
              <w:pStyle w:val="22"/>
              <w:widowControl w:val="0"/>
              <w:spacing w:before="0" w:beforeAutospacing="0" w:after="0" w:afterAutospacing="0" w:line="500" w:lineRule="exact"/>
              <w:ind w:firstLine="0" w:firstLineChars="0"/>
              <w:jc w:val="center"/>
              <w:rPr>
                <w:rFonts w:cs="宋体"/>
                <w:kern w:val="2"/>
                <w:highlight w:val="none"/>
              </w:rPr>
            </w:pPr>
            <w:r>
              <w:rPr>
                <w:rFonts w:hint="eastAsia" w:cs="宋体"/>
                <w:highlight w:val="none"/>
              </w:rPr>
              <w:t>1</w:t>
            </w:r>
          </w:p>
        </w:tc>
        <w:tc>
          <w:tcPr>
            <w:tcW w:w="1988" w:type="dxa"/>
            <w:tcBorders>
              <w:top w:val="single" w:color="auto" w:sz="4" w:space="0"/>
              <w:left w:val="nil"/>
              <w:bottom w:val="single" w:color="auto" w:sz="4" w:space="0"/>
              <w:right w:val="single" w:color="auto" w:sz="4" w:space="0"/>
            </w:tcBorders>
            <w:vAlign w:val="center"/>
          </w:tcPr>
          <w:p w14:paraId="75E0CAC7">
            <w:pPr>
              <w:pStyle w:val="22"/>
              <w:widowControl w:val="0"/>
              <w:spacing w:before="0" w:beforeAutospacing="0" w:after="0" w:afterAutospacing="0" w:line="500" w:lineRule="exact"/>
              <w:ind w:firstLine="679" w:firstLineChars="283"/>
              <w:jc w:val="both"/>
              <w:rPr>
                <w:rFonts w:cs="宋体"/>
                <w:kern w:val="2"/>
                <w:highlight w:val="none"/>
              </w:rPr>
            </w:pPr>
            <w:r>
              <w:rPr>
                <w:rFonts w:hint="eastAsia" w:cs="宋体"/>
                <w:highlight w:val="none"/>
              </w:rPr>
              <w:t>采购人</w:t>
            </w:r>
          </w:p>
        </w:tc>
        <w:tc>
          <w:tcPr>
            <w:tcW w:w="6653" w:type="dxa"/>
            <w:tcBorders>
              <w:top w:val="single" w:color="auto" w:sz="4" w:space="0"/>
              <w:left w:val="nil"/>
              <w:bottom w:val="single" w:color="auto" w:sz="4" w:space="0"/>
              <w:right w:val="single" w:color="auto" w:sz="4" w:space="0"/>
            </w:tcBorders>
            <w:vAlign w:val="center"/>
          </w:tcPr>
          <w:p w14:paraId="63B577C6">
            <w:pPr>
              <w:spacing w:line="500" w:lineRule="exact"/>
              <w:rPr>
                <w:rFonts w:hint="eastAsia" w:ascii="宋体" w:hAnsi="宋体" w:eastAsia="宋体"/>
                <w:sz w:val="24"/>
                <w:highlight w:val="none"/>
                <w:lang w:eastAsia="zh-CN"/>
              </w:rPr>
            </w:pPr>
            <w:r>
              <w:rPr>
                <w:rFonts w:hint="eastAsia" w:ascii="宋体" w:hAnsi="宋体"/>
                <w:sz w:val="24"/>
                <w:highlight w:val="none"/>
              </w:rPr>
              <w:t>名称：</w:t>
            </w:r>
            <w:r>
              <w:rPr>
                <w:rFonts w:hint="eastAsia" w:ascii="宋体" w:hAnsi="宋体"/>
                <w:sz w:val="24"/>
                <w:highlight w:val="none"/>
                <w:lang w:eastAsia="zh-CN"/>
              </w:rPr>
              <w:t>三门峡市陕州区养老服务中心</w:t>
            </w:r>
          </w:p>
          <w:p w14:paraId="5F17C474">
            <w:pPr>
              <w:spacing w:line="500" w:lineRule="exact"/>
              <w:rPr>
                <w:rFonts w:hint="default" w:ascii="宋体" w:hAnsi="宋体" w:eastAsia="宋体"/>
                <w:sz w:val="24"/>
                <w:highlight w:val="none"/>
                <w:lang w:val="en-US" w:eastAsia="zh-CN"/>
              </w:rPr>
            </w:pPr>
            <w:r>
              <w:rPr>
                <w:rFonts w:hint="eastAsia" w:ascii="宋体" w:hAnsi="宋体"/>
                <w:sz w:val="24"/>
                <w:highlight w:val="none"/>
              </w:rPr>
              <w:t>地址：</w:t>
            </w:r>
            <w:r>
              <w:rPr>
                <w:rFonts w:hint="eastAsia" w:ascii="宋体" w:hAnsi="宋体"/>
                <w:sz w:val="24"/>
                <w:highlight w:val="none"/>
                <w:lang w:eastAsia="zh-CN"/>
              </w:rPr>
              <w:t>三门峡市陕州区</w:t>
            </w:r>
          </w:p>
          <w:p w14:paraId="7D041A34">
            <w:pPr>
              <w:spacing w:line="500" w:lineRule="exact"/>
              <w:rPr>
                <w:rFonts w:hint="default" w:ascii="宋体" w:hAnsi="宋体"/>
                <w:szCs w:val="21"/>
                <w:highlight w:val="none"/>
                <w:lang w:val="en-US"/>
              </w:rPr>
            </w:pPr>
            <w:r>
              <w:rPr>
                <w:rFonts w:hint="eastAsia" w:ascii="宋体" w:hAnsi="宋体"/>
                <w:sz w:val="24"/>
                <w:highlight w:val="none"/>
              </w:rPr>
              <w:t>联系人：</w:t>
            </w:r>
            <w:r>
              <w:rPr>
                <w:rFonts w:hint="eastAsia" w:ascii="宋体"/>
                <w:sz w:val="24"/>
                <w:highlight w:val="none"/>
                <w:lang w:val="en-US" w:eastAsia="zh-CN"/>
              </w:rPr>
              <w:t>朱女士</w:t>
            </w:r>
          </w:p>
          <w:p w14:paraId="4D72F339">
            <w:pPr>
              <w:spacing w:line="500" w:lineRule="exact"/>
              <w:rPr>
                <w:rFonts w:hint="default" w:ascii="宋体" w:hAnsi="宋体" w:eastAsia="宋体" w:cs="宋体"/>
                <w:sz w:val="24"/>
                <w:highlight w:val="none"/>
                <w:lang w:val="en-US" w:eastAsia="zh-CN"/>
              </w:rPr>
            </w:pPr>
            <w:r>
              <w:rPr>
                <w:rFonts w:hint="eastAsia" w:ascii="宋体" w:hAnsi="宋体"/>
                <w:sz w:val="24"/>
                <w:highlight w:val="none"/>
              </w:rPr>
              <w:t>联系方式：18239885777</w:t>
            </w:r>
          </w:p>
        </w:tc>
      </w:tr>
      <w:tr w14:paraId="1F3F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5968FCBA">
            <w:pPr>
              <w:pStyle w:val="22"/>
              <w:widowControl w:val="0"/>
              <w:spacing w:before="0" w:beforeAutospacing="0" w:after="0" w:afterAutospacing="0" w:line="500" w:lineRule="exact"/>
              <w:ind w:firstLine="0" w:firstLineChars="0"/>
              <w:jc w:val="center"/>
              <w:rPr>
                <w:rFonts w:cs="宋体"/>
                <w:kern w:val="2"/>
                <w:highlight w:val="none"/>
              </w:rPr>
            </w:pPr>
            <w:r>
              <w:rPr>
                <w:rFonts w:hint="eastAsia" w:cs="宋体"/>
                <w:highlight w:val="none"/>
              </w:rPr>
              <w:t>2</w:t>
            </w:r>
          </w:p>
        </w:tc>
        <w:tc>
          <w:tcPr>
            <w:tcW w:w="1988" w:type="dxa"/>
            <w:tcBorders>
              <w:top w:val="single" w:color="auto" w:sz="4" w:space="0"/>
              <w:left w:val="nil"/>
              <w:bottom w:val="single" w:color="auto" w:sz="4" w:space="0"/>
              <w:right w:val="single" w:color="auto" w:sz="4" w:space="0"/>
            </w:tcBorders>
            <w:vAlign w:val="center"/>
          </w:tcPr>
          <w:p w14:paraId="5AF1041C">
            <w:pPr>
              <w:pStyle w:val="22"/>
              <w:widowControl w:val="0"/>
              <w:spacing w:before="0" w:beforeAutospacing="0" w:after="0" w:afterAutospacing="0" w:line="500" w:lineRule="exact"/>
              <w:ind w:firstLine="0" w:firstLineChars="0"/>
              <w:jc w:val="center"/>
              <w:rPr>
                <w:rFonts w:cs="宋体"/>
                <w:kern w:val="2"/>
                <w:highlight w:val="none"/>
              </w:rPr>
            </w:pPr>
            <w:r>
              <w:rPr>
                <w:rFonts w:hint="eastAsia" w:cs="宋体"/>
                <w:highlight w:val="none"/>
              </w:rPr>
              <w:t>采购代理机构</w:t>
            </w:r>
          </w:p>
        </w:tc>
        <w:tc>
          <w:tcPr>
            <w:tcW w:w="6653" w:type="dxa"/>
            <w:tcBorders>
              <w:top w:val="single" w:color="auto" w:sz="4" w:space="0"/>
              <w:left w:val="nil"/>
              <w:bottom w:val="single" w:color="auto" w:sz="4" w:space="0"/>
              <w:right w:val="single" w:color="auto" w:sz="4" w:space="0"/>
            </w:tcBorders>
            <w:vAlign w:val="center"/>
          </w:tcPr>
          <w:p w14:paraId="181A06F5">
            <w:pPr>
              <w:spacing w:line="500" w:lineRule="exact"/>
              <w:rPr>
                <w:rFonts w:ascii="宋体" w:hAnsi="宋体"/>
                <w:sz w:val="24"/>
                <w:highlight w:val="none"/>
              </w:rPr>
            </w:pPr>
            <w:r>
              <w:rPr>
                <w:rFonts w:hint="eastAsia" w:ascii="宋体" w:hAnsi="宋体"/>
                <w:sz w:val="24"/>
                <w:highlight w:val="none"/>
              </w:rPr>
              <w:t>名  称：河南锦霖工程管理有限公司</w:t>
            </w:r>
          </w:p>
          <w:p w14:paraId="04DCE3CF">
            <w:pPr>
              <w:spacing w:line="500" w:lineRule="exact"/>
              <w:rPr>
                <w:rFonts w:ascii="宋体" w:hAnsi="宋体"/>
                <w:sz w:val="24"/>
                <w:highlight w:val="none"/>
              </w:rPr>
            </w:pPr>
            <w:r>
              <w:rPr>
                <w:rFonts w:hint="eastAsia" w:ascii="宋体" w:hAnsi="宋体"/>
                <w:sz w:val="24"/>
                <w:highlight w:val="none"/>
              </w:rPr>
              <w:t>地  址：三门峡市湖滨区嘉亿广场4号楼621室</w:t>
            </w:r>
          </w:p>
          <w:p w14:paraId="298F7FF4">
            <w:pPr>
              <w:spacing w:line="500" w:lineRule="exact"/>
              <w:rPr>
                <w:rFonts w:hint="eastAsia" w:ascii="宋体" w:hAnsi="宋体" w:eastAsia="宋体"/>
                <w:sz w:val="24"/>
                <w:highlight w:val="none"/>
                <w:lang w:eastAsia="zh-CN"/>
              </w:rPr>
            </w:pPr>
            <w:r>
              <w:rPr>
                <w:rFonts w:hint="eastAsia" w:ascii="宋体" w:hAnsi="宋体"/>
                <w:sz w:val="24"/>
                <w:highlight w:val="none"/>
              </w:rPr>
              <w:t>联系人：</w:t>
            </w:r>
            <w:r>
              <w:rPr>
                <w:rFonts w:hint="eastAsia" w:ascii="宋体" w:hAnsi="宋体"/>
                <w:sz w:val="24"/>
                <w:highlight w:val="none"/>
                <w:lang w:eastAsia="zh-CN"/>
              </w:rPr>
              <w:t>陈女士</w:t>
            </w:r>
          </w:p>
          <w:p w14:paraId="6B68C787">
            <w:pPr>
              <w:spacing w:line="500" w:lineRule="exact"/>
              <w:rPr>
                <w:rFonts w:ascii="宋体" w:hAnsi="宋体"/>
                <w:sz w:val="24"/>
                <w:highlight w:val="none"/>
              </w:rPr>
            </w:pPr>
            <w:r>
              <w:rPr>
                <w:rFonts w:hint="eastAsia" w:ascii="宋体" w:hAnsi="宋体"/>
                <w:sz w:val="24"/>
                <w:highlight w:val="none"/>
              </w:rPr>
              <w:t>电  话：0398-2739966</w:t>
            </w:r>
          </w:p>
          <w:p w14:paraId="77EF0955">
            <w:pPr>
              <w:spacing w:line="500" w:lineRule="exact"/>
              <w:rPr>
                <w:highlight w:val="none"/>
              </w:rPr>
            </w:pPr>
            <w:r>
              <w:rPr>
                <w:rFonts w:hint="eastAsia" w:ascii="宋体" w:hAnsi="宋体"/>
                <w:sz w:val="24"/>
                <w:highlight w:val="none"/>
              </w:rPr>
              <w:t>邮箱：hnjlgcgl@126.com</w:t>
            </w:r>
          </w:p>
        </w:tc>
      </w:tr>
      <w:tr w14:paraId="6AB9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77BB0145">
            <w:pPr>
              <w:spacing w:line="500" w:lineRule="exact"/>
              <w:jc w:val="center"/>
              <w:rPr>
                <w:rFonts w:ascii="宋体" w:hAnsi="宋体" w:cs="宋体"/>
                <w:sz w:val="24"/>
                <w:highlight w:val="none"/>
              </w:rPr>
            </w:pPr>
            <w:r>
              <w:rPr>
                <w:rFonts w:hint="eastAsia" w:ascii="宋体" w:hAnsi="宋体" w:cs="宋体"/>
                <w:sz w:val="24"/>
                <w:highlight w:val="none"/>
              </w:rPr>
              <w:t>3</w:t>
            </w:r>
          </w:p>
        </w:tc>
        <w:tc>
          <w:tcPr>
            <w:tcW w:w="1988" w:type="dxa"/>
            <w:tcBorders>
              <w:top w:val="single" w:color="auto" w:sz="4" w:space="0"/>
              <w:left w:val="nil"/>
              <w:bottom w:val="single" w:color="auto" w:sz="4" w:space="0"/>
              <w:right w:val="single" w:color="auto" w:sz="4" w:space="0"/>
            </w:tcBorders>
            <w:vAlign w:val="center"/>
          </w:tcPr>
          <w:p w14:paraId="32FD61C0">
            <w:pPr>
              <w:spacing w:line="500" w:lineRule="exact"/>
              <w:jc w:val="center"/>
              <w:rPr>
                <w:rFonts w:ascii="宋体" w:hAnsi="宋体" w:cs="宋体"/>
                <w:sz w:val="24"/>
                <w:highlight w:val="none"/>
              </w:rPr>
            </w:pPr>
            <w:r>
              <w:rPr>
                <w:rFonts w:hint="eastAsia" w:ascii="宋体" w:hAnsi="宋体" w:cs="宋体"/>
                <w:sz w:val="24"/>
                <w:highlight w:val="none"/>
              </w:rPr>
              <w:t>项目名称</w:t>
            </w:r>
          </w:p>
        </w:tc>
        <w:tc>
          <w:tcPr>
            <w:tcW w:w="6653" w:type="dxa"/>
            <w:tcBorders>
              <w:top w:val="single" w:color="auto" w:sz="4" w:space="0"/>
              <w:left w:val="nil"/>
              <w:bottom w:val="single" w:color="auto" w:sz="4" w:space="0"/>
              <w:right w:val="single" w:color="auto" w:sz="4" w:space="0"/>
            </w:tcBorders>
            <w:vAlign w:val="center"/>
          </w:tcPr>
          <w:p w14:paraId="07565859">
            <w:pPr>
              <w:spacing w:line="500" w:lineRule="exact"/>
              <w:rPr>
                <w:rFonts w:hint="eastAsia" w:ascii="宋体" w:hAnsi="宋体" w:eastAsia="宋体"/>
                <w:sz w:val="24"/>
                <w:highlight w:val="none"/>
                <w:lang w:eastAsia="zh-CN"/>
              </w:rPr>
            </w:pPr>
            <w:r>
              <w:rPr>
                <w:rFonts w:hint="eastAsia" w:ascii="宋体" w:hAnsi="宋体"/>
                <w:sz w:val="24"/>
                <w:highlight w:val="none"/>
                <w:lang w:eastAsia="zh-CN"/>
              </w:rPr>
              <w:t>陕州区西张村镇敬老院及菜园乡敬老院食材配送项目</w:t>
            </w:r>
          </w:p>
        </w:tc>
      </w:tr>
      <w:tr w14:paraId="51EF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491A3511">
            <w:pPr>
              <w:spacing w:line="500" w:lineRule="exact"/>
              <w:jc w:val="center"/>
              <w:rPr>
                <w:rFonts w:ascii="宋体" w:hAnsi="宋体" w:cs="宋体"/>
                <w:sz w:val="24"/>
                <w:highlight w:val="none"/>
              </w:rPr>
            </w:pPr>
            <w:r>
              <w:rPr>
                <w:rFonts w:hint="eastAsia" w:ascii="宋体" w:hAnsi="宋体" w:cs="宋体"/>
                <w:sz w:val="24"/>
                <w:highlight w:val="none"/>
              </w:rPr>
              <w:t>4</w:t>
            </w:r>
          </w:p>
        </w:tc>
        <w:tc>
          <w:tcPr>
            <w:tcW w:w="1988" w:type="dxa"/>
            <w:tcBorders>
              <w:top w:val="single" w:color="auto" w:sz="4" w:space="0"/>
              <w:left w:val="nil"/>
              <w:bottom w:val="single" w:color="auto" w:sz="4" w:space="0"/>
              <w:right w:val="single" w:color="auto" w:sz="4" w:space="0"/>
            </w:tcBorders>
            <w:vAlign w:val="center"/>
          </w:tcPr>
          <w:p w14:paraId="6836607E">
            <w:pPr>
              <w:pStyle w:val="22"/>
              <w:widowControl w:val="0"/>
              <w:spacing w:before="0" w:beforeAutospacing="0" w:after="0" w:afterAutospacing="0" w:line="500" w:lineRule="exact"/>
              <w:ind w:firstLine="0" w:firstLineChars="0"/>
              <w:jc w:val="center"/>
              <w:rPr>
                <w:rFonts w:ascii="宋体" w:hAnsi="宋体" w:eastAsia="宋体" w:cs="宋体"/>
                <w:kern w:val="2"/>
                <w:sz w:val="24"/>
                <w:szCs w:val="24"/>
                <w:highlight w:val="none"/>
                <w:lang w:val="en-US" w:eastAsia="zh-CN" w:bidi="ar-SA"/>
              </w:rPr>
            </w:pPr>
            <w:r>
              <w:rPr>
                <w:rFonts w:hint="eastAsia" w:cs="宋体"/>
                <w:highlight w:val="none"/>
              </w:rPr>
              <w:t>资金来源及比例</w:t>
            </w:r>
          </w:p>
        </w:tc>
        <w:tc>
          <w:tcPr>
            <w:tcW w:w="6653" w:type="dxa"/>
            <w:tcBorders>
              <w:top w:val="single" w:color="auto" w:sz="4" w:space="0"/>
              <w:left w:val="nil"/>
              <w:bottom w:val="single" w:color="auto" w:sz="4" w:space="0"/>
              <w:right w:val="single" w:color="auto" w:sz="4" w:space="0"/>
            </w:tcBorders>
            <w:vAlign w:val="center"/>
          </w:tcPr>
          <w:p w14:paraId="18C0EC28">
            <w:pPr>
              <w:spacing w:before="120" w:after="120" w:line="500" w:lineRule="exact"/>
              <w:rPr>
                <w:rFonts w:ascii="宋体" w:hAnsi="宋体" w:eastAsia="宋体" w:cs="Times New Roman"/>
                <w:kern w:val="2"/>
                <w:sz w:val="24"/>
                <w:szCs w:val="24"/>
                <w:highlight w:val="none"/>
                <w:lang w:val="en-US" w:eastAsia="zh-CN" w:bidi="ar-SA"/>
              </w:rPr>
            </w:pPr>
            <w:r>
              <w:rPr>
                <w:rFonts w:hint="eastAsia" w:ascii="宋体" w:hAnsi="宋体"/>
                <w:sz w:val="24"/>
                <w:highlight w:val="none"/>
                <w:lang w:val="en-US" w:eastAsia="zh-CN"/>
              </w:rPr>
              <w:t>财政</w:t>
            </w:r>
            <w:r>
              <w:rPr>
                <w:rFonts w:hint="eastAsia" w:ascii="宋体" w:hAnsi="宋体"/>
                <w:sz w:val="24"/>
                <w:highlight w:val="none"/>
              </w:rPr>
              <w:t>资金，100%</w:t>
            </w:r>
          </w:p>
        </w:tc>
      </w:tr>
      <w:tr w14:paraId="7A7A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009BC31D">
            <w:pPr>
              <w:pStyle w:val="22"/>
              <w:widowControl w:val="0"/>
              <w:spacing w:before="0" w:beforeAutospacing="0" w:after="0" w:afterAutospacing="0" w:line="500" w:lineRule="exact"/>
              <w:ind w:firstLine="0" w:firstLineChars="0"/>
              <w:jc w:val="center"/>
              <w:rPr>
                <w:rFonts w:cs="宋体"/>
                <w:kern w:val="2"/>
                <w:highlight w:val="none"/>
              </w:rPr>
            </w:pPr>
            <w:r>
              <w:rPr>
                <w:rFonts w:hint="eastAsia" w:cs="宋体"/>
                <w:highlight w:val="none"/>
              </w:rPr>
              <w:t>5</w:t>
            </w:r>
          </w:p>
        </w:tc>
        <w:tc>
          <w:tcPr>
            <w:tcW w:w="1988" w:type="dxa"/>
            <w:tcBorders>
              <w:top w:val="single" w:color="auto" w:sz="4" w:space="0"/>
              <w:left w:val="nil"/>
              <w:bottom w:val="single" w:color="auto" w:sz="4" w:space="0"/>
              <w:right w:val="single" w:color="auto" w:sz="4" w:space="0"/>
            </w:tcBorders>
            <w:vAlign w:val="center"/>
          </w:tcPr>
          <w:p w14:paraId="5D6758B1">
            <w:pPr>
              <w:spacing w:before="120" w:after="120" w:line="500" w:lineRule="exact"/>
              <w:jc w:val="center"/>
              <w:rPr>
                <w:rFonts w:ascii="宋体" w:hAnsi="宋体" w:eastAsia="宋体" w:cs="宋体"/>
                <w:kern w:val="2"/>
                <w:sz w:val="24"/>
                <w:szCs w:val="24"/>
                <w:highlight w:val="none"/>
                <w:lang w:val="en-US" w:eastAsia="zh-CN" w:bidi="ar-SA"/>
              </w:rPr>
            </w:pPr>
            <w:r>
              <w:rPr>
                <w:rFonts w:hint="eastAsia" w:ascii="宋体" w:hAnsi="宋体"/>
                <w:sz w:val="24"/>
                <w:highlight w:val="none"/>
                <w:lang w:val="en-US" w:eastAsia="zh-CN"/>
              </w:rPr>
              <w:t>服务</w:t>
            </w:r>
            <w:r>
              <w:rPr>
                <w:rFonts w:hint="eastAsia" w:ascii="宋体" w:hAnsi="宋体"/>
                <w:sz w:val="24"/>
                <w:highlight w:val="none"/>
              </w:rPr>
              <w:t>内容</w:t>
            </w:r>
          </w:p>
        </w:tc>
        <w:tc>
          <w:tcPr>
            <w:tcW w:w="6653" w:type="dxa"/>
            <w:tcBorders>
              <w:top w:val="single" w:color="auto" w:sz="4" w:space="0"/>
              <w:left w:val="nil"/>
              <w:bottom w:val="single" w:color="auto" w:sz="4" w:space="0"/>
              <w:right w:val="single" w:color="auto" w:sz="4" w:space="0"/>
            </w:tcBorders>
            <w:vAlign w:val="center"/>
          </w:tcPr>
          <w:p w14:paraId="0B95F6D1">
            <w:pPr>
              <w:spacing w:before="120" w:after="120" w:line="500" w:lineRule="exact"/>
              <w:rPr>
                <w:rFonts w:ascii="宋体" w:hAnsi="宋体" w:eastAsia="宋体" w:cs="Times New Roman"/>
                <w:kern w:val="2"/>
                <w:sz w:val="24"/>
                <w:szCs w:val="24"/>
                <w:highlight w:val="none"/>
                <w:lang w:val="en-US" w:eastAsia="zh-CN" w:bidi="ar-SA"/>
              </w:rPr>
            </w:pPr>
            <w:r>
              <w:rPr>
                <w:rFonts w:hint="eastAsia" w:ascii="宋体" w:hAnsi="宋体" w:eastAsia="宋体" w:cs="宋体"/>
                <w:color w:val="auto"/>
                <w:spacing w:val="0"/>
                <w:sz w:val="24"/>
                <w:szCs w:val="24"/>
                <w:highlight w:val="none"/>
                <w:lang w:eastAsia="zh-CN"/>
              </w:rPr>
              <w:t>本项目为</w:t>
            </w:r>
            <w:r>
              <w:rPr>
                <w:rFonts w:hint="eastAsia" w:ascii="宋体" w:hAnsi="宋体" w:cs="宋体"/>
                <w:sz w:val="24"/>
                <w:highlight w:val="none"/>
                <w:lang w:eastAsia="zh-CN"/>
              </w:rPr>
              <w:t>陕州区西张村镇敬老院及菜园乡敬老院食材配送项目</w:t>
            </w:r>
            <w:r>
              <w:rPr>
                <w:rFonts w:hint="eastAsia" w:ascii="宋体" w:hAnsi="宋体" w:eastAsia="宋体" w:cs="宋体"/>
                <w:color w:val="auto"/>
                <w:spacing w:val="0"/>
                <w:sz w:val="24"/>
                <w:szCs w:val="24"/>
                <w:highlight w:val="none"/>
                <w:lang w:eastAsia="zh-CN"/>
              </w:rPr>
              <w:t>，</w:t>
            </w:r>
            <w:r>
              <w:rPr>
                <w:rFonts w:hint="eastAsia" w:ascii="宋体" w:hAnsi="宋体" w:cs="宋体"/>
                <w:color w:val="auto"/>
                <w:spacing w:val="0"/>
                <w:sz w:val="24"/>
                <w:szCs w:val="24"/>
                <w:highlight w:val="none"/>
                <w:lang w:val="en-US" w:eastAsia="zh-CN"/>
              </w:rPr>
              <w:t>采购范围含大米、面粉、食用油、猪肉、牛羊肉、鸡肉等肉类、鸡蛋、奶类、蔬菜、水果、干货、副食、调料等供应服务</w:t>
            </w:r>
            <w:r>
              <w:rPr>
                <w:rFonts w:hint="eastAsia" w:ascii="宋体" w:hAnsi="宋体" w:eastAsia="宋体" w:cs="宋体"/>
                <w:color w:val="auto"/>
                <w:spacing w:val="0"/>
                <w:sz w:val="24"/>
                <w:szCs w:val="24"/>
                <w:highlight w:val="none"/>
              </w:rPr>
              <w:t>，具体采购内容及参数要求详见</w:t>
            </w:r>
            <w:r>
              <w:rPr>
                <w:rFonts w:hint="eastAsia" w:ascii="宋体" w:hAnsi="宋体" w:eastAsia="宋体" w:cs="宋体"/>
                <w:color w:val="auto"/>
                <w:spacing w:val="0"/>
                <w:sz w:val="24"/>
                <w:szCs w:val="24"/>
                <w:highlight w:val="none"/>
                <w:lang w:val="en-US" w:eastAsia="zh-CN"/>
              </w:rPr>
              <w:t>磋商</w:t>
            </w:r>
            <w:r>
              <w:rPr>
                <w:rFonts w:hint="eastAsia" w:ascii="宋体" w:hAnsi="宋体" w:eastAsia="宋体" w:cs="宋体"/>
                <w:color w:val="auto"/>
                <w:spacing w:val="0"/>
                <w:sz w:val="24"/>
                <w:szCs w:val="24"/>
                <w:highlight w:val="none"/>
              </w:rPr>
              <w:t>文件</w:t>
            </w:r>
            <w:r>
              <w:rPr>
                <w:rFonts w:hint="eastAsia" w:ascii="宋体" w:hAnsi="宋体"/>
                <w:sz w:val="24"/>
                <w:highlight w:val="none"/>
              </w:rPr>
              <w:t>；</w:t>
            </w:r>
          </w:p>
        </w:tc>
      </w:tr>
      <w:tr w14:paraId="2411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6C0D290B">
            <w:pPr>
              <w:pStyle w:val="22"/>
              <w:widowControl w:val="0"/>
              <w:spacing w:before="0" w:beforeAutospacing="0" w:after="0" w:afterAutospacing="0" w:line="500" w:lineRule="exact"/>
              <w:ind w:firstLine="0" w:firstLineChars="0"/>
              <w:jc w:val="center"/>
              <w:rPr>
                <w:rFonts w:cs="宋体"/>
                <w:kern w:val="2"/>
                <w:highlight w:val="none"/>
              </w:rPr>
            </w:pPr>
            <w:r>
              <w:rPr>
                <w:rFonts w:hint="eastAsia" w:cs="宋体"/>
                <w:highlight w:val="none"/>
              </w:rPr>
              <w:t>6</w:t>
            </w:r>
          </w:p>
        </w:tc>
        <w:tc>
          <w:tcPr>
            <w:tcW w:w="1988" w:type="dxa"/>
            <w:tcBorders>
              <w:top w:val="single" w:color="auto" w:sz="4" w:space="0"/>
              <w:left w:val="nil"/>
              <w:bottom w:val="single" w:color="auto" w:sz="4" w:space="0"/>
              <w:right w:val="single" w:color="auto" w:sz="4" w:space="0"/>
            </w:tcBorders>
            <w:vAlign w:val="center"/>
          </w:tcPr>
          <w:p w14:paraId="79DD2C00">
            <w:pPr>
              <w:spacing w:line="500" w:lineRule="exact"/>
              <w:jc w:val="center"/>
              <w:rPr>
                <w:rFonts w:ascii="宋体" w:hAnsi="宋体" w:eastAsia="宋体" w:cs="Times New Roman"/>
                <w:kern w:val="2"/>
                <w:sz w:val="24"/>
                <w:szCs w:val="24"/>
                <w:highlight w:val="none"/>
                <w:lang w:val="en-US" w:eastAsia="zh-CN" w:bidi="ar-SA"/>
              </w:rPr>
            </w:pPr>
            <w:r>
              <w:rPr>
                <w:rFonts w:hint="eastAsia" w:ascii="宋体" w:hAnsi="宋体" w:cs="宋体"/>
                <w:sz w:val="24"/>
                <w:highlight w:val="none"/>
                <w:lang w:val="en-US" w:eastAsia="zh-CN"/>
              </w:rPr>
              <w:t>服务</w:t>
            </w:r>
            <w:r>
              <w:rPr>
                <w:rFonts w:hint="eastAsia" w:ascii="宋体" w:hAnsi="宋体" w:cs="宋体"/>
                <w:sz w:val="24"/>
                <w:highlight w:val="none"/>
              </w:rPr>
              <w:t>地点</w:t>
            </w:r>
          </w:p>
        </w:tc>
        <w:tc>
          <w:tcPr>
            <w:tcW w:w="6653" w:type="dxa"/>
            <w:tcBorders>
              <w:top w:val="single" w:color="auto" w:sz="4" w:space="0"/>
              <w:left w:val="nil"/>
              <w:bottom w:val="single" w:color="auto" w:sz="4" w:space="0"/>
              <w:right w:val="single" w:color="auto" w:sz="4" w:space="0"/>
            </w:tcBorders>
            <w:vAlign w:val="center"/>
          </w:tcPr>
          <w:p w14:paraId="1A8EFD67">
            <w:pPr>
              <w:spacing w:line="500" w:lineRule="exact"/>
              <w:rPr>
                <w:rFonts w:ascii="宋体" w:hAnsi="宋体" w:eastAsia="宋体" w:cs="Times New Roman"/>
                <w:kern w:val="2"/>
                <w:sz w:val="24"/>
                <w:szCs w:val="24"/>
                <w:highlight w:val="none"/>
                <w:lang w:val="en-US" w:eastAsia="zh-CN" w:bidi="ar-SA"/>
              </w:rPr>
            </w:pPr>
            <w:r>
              <w:rPr>
                <w:rFonts w:hint="eastAsia" w:ascii="宋体" w:hAnsi="宋体" w:eastAsia="宋体" w:cs="Times New Roman"/>
                <w:sz w:val="24"/>
                <w:highlight w:val="none"/>
                <w:lang w:eastAsia="zh-CN"/>
              </w:rPr>
              <w:t>陕州区西张村镇敬老院及菜园乡敬老院</w:t>
            </w:r>
          </w:p>
        </w:tc>
      </w:tr>
      <w:tr w14:paraId="5A81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12832414">
            <w:pPr>
              <w:pStyle w:val="22"/>
              <w:widowControl w:val="0"/>
              <w:spacing w:before="0" w:beforeAutospacing="0" w:after="0" w:afterAutospacing="0" w:line="500" w:lineRule="exact"/>
              <w:ind w:firstLine="0" w:firstLineChars="0"/>
              <w:jc w:val="center"/>
              <w:rPr>
                <w:rFonts w:cs="宋体"/>
                <w:kern w:val="2"/>
                <w:highlight w:val="none"/>
              </w:rPr>
            </w:pPr>
            <w:r>
              <w:rPr>
                <w:rFonts w:hint="eastAsia" w:cs="宋体"/>
                <w:highlight w:val="none"/>
              </w:rPr>
              <w:t>7</w:t>
            </w:r>
          </w:p>
        </w:tc>
        <w:tc>
          <w:tcPr>
            <w:tcW w:w="1988" w:type="dxa"/>
            <w:tcBorders>
              <w:top w:val="single" w:color="auto" w:sz="4" w:space="0"/>
              <w:left w:val="nil"/>
              <w:bottom w:val="single" w:color="auto" w:sz="4" w:space="0"/>
              <w:right w:val="single" w:color="auto" w:sz="4" w:space="0"/>
            </w:tcBorders>
            <w:vAlign w:val="center"/>
          </w:tcPr>
          <w:p w14:paraId="43746A78">
            <w:pPr>
              <w:pStyle w:val="22"/>
              <w:widowControl w:val="0"/>
              <w:spacing w:before="0" w:beforeAutospacing="0" w:after="0" w:afterAutospacing="0" w:line="500" w:lineRule="exact"/>
              <w:ind w:firstLine="0" w:firstLineChars="0"/>
              <w:jc w:val="center"/>
              <w:rPr>
                <w:rFonts w:hint="eastAsia" w:ascii="宋体" w:hAnsi="宋体" w:eastAsia="宋体" w:cs="宋体"/>
                <w:kern w:val="2"/>
                <w:sz w:val="24"/>
                <w:szCs w:val="24"/>
                <w:highlight w:val="none"/>
                <w:lang w:val="en-US" w:eastAsia="zh-CN" w:bidi="ar-SA"/>
              </w:rPr>
            </w:pPr>
            <w:r>
              <w:rPr>
                <w:rFonts w:hint="eastAsia" w:cs="宋体"/>
                <w:highlight w:val="none"/>
              </w:rPr>
              <w:t>质量标准</w:t>
            </w:r>
          </w:p>
        </w:tc>
        <w:tc>
          <w:tcPr>
            <w:tcW w:w="6653" w:type="dxa"/>
            <w:tcBorders>
              <w:top w:val="single" w:color="auto" w:sz="4" w:space="0"/>
              <w:left w:val="nil"/>
              <w:bottom w:val="single" w:color="auto" w:sz="4" w:space="0"/>
              <w:right w:val="single" w:color="auto" w:sz="4" w:space="0"/>
            </w:tcBorders>
            <w:vAlign w:val="center"/>
          </w:tcPr>
          <w:p w14:paraId="64E25E1E">
            <w:pPr>
              <w:spacing w:before="120" w:after="120" w:line="500" w:lineRule="exact"/>
              <w:rPr>
                <w:rFonts w:hint="eastAsia" w:ascii="宋体" w:hAnsi="宋体" w:eastAsia="宋体" w:cs="Times New Roman"/>
                <w:kern w:val="2"/>
                <w:sz w:val="24"/>
                <w:szCs w:val="24"/>
                <w:highlight w:val="none"/>
                <w:lang w:val="en-US" w:eastAsia="zh-CN" w:bidi="ar-SA"/>
              </w:rPr>
            </w:pPr>
            <w:r>
              <w:rPr>
                <w:rFonts w:hint="eastAsia" w:ascii="宋体" w:hAnsi="宋体"/>
                <w:sz w:val="24"/>
                <w:highlight w:val="none"/>
                <w:lang w:val="en-US" w:eastAsia="zh-CN"/>
              </w:rPr>
              <w:t>产品质量合格，符合国家及行业相关食品卫生安全要求，且符合采购人要求</w:t>
            </w:r>
            <w:r>
              <w:rPr>
                <w:rFonts w:hint="eastAsia" w:ascii="宋体" w:hAnsi="宋体" w:cs="宋体"/>
                <w:sz w:val="24"/>
                <w:highlight w:val="none"/>
                <w:lang w:eastAsia="zh-CN"/>
              </w:rPr>
              <w:t>；</w:t>
            </w:r>
          </w:p>
        </w:tc>
      </w:tr>
      <w:tr w14:paraId="1D4B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0CEAFDD7">
            <w:pPr>
              <w:pStyle w:val="22"/>
              <w:widowControl w:val="0"/>
              <w:spacing w:before="0" w:beforeAutospacing="0" w:after="0" w:afterAutospacing="0" w:line="500" w:lineRule="exact"/>
              <w:ind w:firstLine="0" w:firstLineChars="0"/>
              <w:jc w:val="center"/>
              <w:rPr>
                <w:rFonts w:cs="宋体"/>
                <w:kern w:val="2"/>
                <w:highlight w:val="none"/>
              </w:rPr>
            </w:pPr>
            <w:r>
              <w:rPr>
                <w:rFonts w:hint="eastAsia" w:cs="宋体"/>
                <w:highlight w:val="none"/>
              </w:rPr>
              <w:t>8</w:t>
            </w:r>
          </w:p>
        </w:tc>
        <w:tc>
          <w:tcPr>
            <w:tcW w:w="1988" w:type="dxa"/>
            <w:tcBorders>
              <w:top w:val="single" w:color="auto" w:sz="4" w:space="0"/>
              <w:left w:val="nil"/>
              <w:bottom w:val="single" w:color="auto" w:sz="4" w:space="0"/>
              <w:right w:val="single" w:color="auto" w:sz="4" w:space="0"/>
            </w:tcBorders>
            <w:vAlign w:val="center"/>
          </w:tcPr>
          <w:p w14:paraId="350AD203">
            <w:pPr>
              <w:pStyle w:val="22"/>
              <w:widowControl w:val="0"/>
              <w:spacing w:before="0" w:beforeAutospacing="0" w:after="0" w:afterAutospacing="0" w:line="500" w:lineRule="exact"/>
              <w:ind w:firstLine="0" w:firstLineChars="0"/>
              <w:jc w:val="center"/>
              <w:rPr>
                <w:rFonts w:hint="eastAsia" w:eastAsia="宋体" w:cs="宋体"/>
                <w:kern w:val="2"/>
                <w:highlight w:val="none"/>
                <w:lang w:eastAsia="zh-CN"/>
              </w:rPr>
            </w:pPr>
            <w:r>
              <w:rPr>
                <w:rFonts w:hint="eastAsia" w:cs="宋体"/>
                <w:highlight w:val="none"/>
                <w:lang w:val="en-US" w:eastAsia="zh-CN"/>
              </w:rPr>
              <w:t>服务期</w:t>
            </w:r>
          </w:p>
        </w:tc>
        <w:tc>
          <w:tcPr>
            <w:tcW w:w="6653" w:type="dxa"/>
            <w:tcBorders>
              <w:top w:val="single" w:color="auto" w:sz="4" w:space="0"/>
              <w:left w:val="nil"/>
              <w:bottom w:val="single" w:color="auto" w:sz="4" w:space="0"/>
              <w:right w:val="single" w:color="auto" w:sz="4" w:space="0"/>
            </w:tcBorders>
            <w:vAlign w:val="center"/>
          </w:tcPr>
          <w:p w14:paraId="72CDBC28">
            <w:pPr>
              <w:spacing w:before="120" w:after="120" w:line="500" w:lineRule="exact"/>
              <w:rPr>
                <w:rFonts w:hint="eastAsia" w:ascii="宋体" w:hAnsi="宋体" w:eastAsia="宋体"/>
                <w:sz w:val="24"/>
                <w:highlight w:val="none"/>
                <w:lang w:eastAsia="zh-CN"/>
              </w:rPr>
            </w:pPr>
            <w:r>
              <w:rPr>
                <w:rFonts w:hint="eastAsia" w:ascii="宋体" w:hAnsi="宋体"/>
                <w:sz w:val="24"/>
                <w:highlight w:val="none"/>
                <w:lang w:val="en-US" w:eastAsia="zh-CN"/>
              </w:rPr>
              <w:t>一年</w:t>
            </w:r>
          </w:p>
        </w:tc>
      </w:tr>
      <w:tr w14:paraId="3CD4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194CBC89">
            <w:pPr>
              <w:pStyle w:val="22"/>
              <w:widowControl w:val="0"/>
              <w:spacing w:before="0" w:beforeAutospacing="0" w:after="0" w:afterAutospacing="0" w:line="500" w:lineRule="exact"/>
              <w:ind w:firstLine="0" w:firstLineChars="0"/>
              <w:jc w:val="center"/>
              <w:rPr>
                <w:rFonts w:hint="eastAsia" w:eastAsia="宋体" w:cs="宋体"/>
                <w:kern w:val="2"/>
                <w:highlight w:val="none"/>
                <w:lang w:eastAsia="zh-CN"/>
              </w:rPr>
            </w:pPr>
            <w:r>
              <w:rPr>
                <w:rFonts w:hint="eastAsia" w:cs="宋体"/>
                <w:highlight w:val="none"/>
                <w:lang w:val="en-US" w:eastAsia="zh-CN"/>
              </w:rPr>
              <w:t>9</w:t>
            </w:r>
          </w:p>
        </w:tc>
        <w:tc>
          <w:tcPr>
            <w:tcW w:w="1988" w:type="dxa"/>
            <w:tcBorders>
              <w:top w:val="single" w:color="auto" w:sz="4" w:space="0"/>
              <w:left w:val="nil"/>
              <w:bottom w:val="single" w:color="auto" w:sz="4" w:space="0"/>
              <w:right w:val="single" w:color="auto" w:sz="4" w:space="0"/>
            </w:tcBorders>
            <w:vAlign w:val="center"/>
          </w:tcPr>
          <w:p w14:paraId="264671DD">
            <w:pPr>
              <w:pStyle w:val="22"/>
              <w:widowControl w:val="0"/>
              <w:spacing w:before="0" w:beforeAutospacing="0" w:after="0" w:afterAutospacing="0" w:line="500" w:lineRule="exact"/>
              <w:ind w:firstLine="0" w:firstLineChars="0"/>
              <w:jc w:val="center"/>
              <w:rPr>
                <w:rFonts w:cs="宋体"/>
                <w:kern w:val="2"/>
                <w:highlight w:val="none"/>
              </w:rPr>
            </w:pPr>
            <w:r>
              <w:rPr>
                <w:rFonts w:hint="eastAsia" w:cs="宋体"/>
                <w:kern w:val="2"/>
                <w:highlight w:val="none"/>
              </w:rPr>
              <w:t>供应商资格要求</w:t>
            </w:r>
          </w:p>
        </w:tc>
        <w:tc>
          <w:tcPr>
            <w:tcW w:w="6653" w:type="dxa"/>
            <w:tcBorders>
              <w:top w:val="single" w:color="auto" w:sz="4" w:space="0"/>
              <w:left w:val="nil"/>
              <w:bottom w:val="single" w:color="auto" w:sz="4" w:space="0"/>
              <w:right w:val="single" w:color="auto" w:sz="4" w:space="0"/>
            </w:tcBorders>
            <w:vAlign w:val="center"/>
          </w:tcPr>
          <w:p w14:paraId="158552A0">
            <w:pPr>
              <w:wordWrap w:val="0"/>
              <w:spacing w:line="500" w:lineRule="exact"/>
              <w:ind w:firstLine="482" w:firstLineChars="201"/>
              <w:rPr>
                <w:rFonts w:hint="eastAsia" w:ascii="宋体" w:hAnsi="宋体"/>
                <w:sz w:val="24"/>
                <w:highlight w:val="none"/>
              </w:rPr>
            </w:pPr>
            <w:r>
              <w:rPr>
                <w:rFonts w:hint="eastAsia" w:ascii="宋体" w:hAnsi="宋体"/>
                <w:sz w:val="24"/>
                <w:highlight w:val="none"/>
              </w:rPr>
              <w:t>1、满足《中华人民共和国政府采购法》第二十二条规定；</w:t>
            </w:r>
          </w:p>
          <w:p w14:paraId="42C1C4DB">
            <w:pPr>
              <w:wordWrap w:val="0"/>
              <w:spacing w:line="500" w:lineRule="exact"/>
              <w:ind w:firstLine="482" w:firstLineChars="201"/>
              <w:rPr>
                <w:rFonts w:hint="eastAsia" w:ascii="宋体" w:hAnsi="宋体"/>
                <w:sz w:val="24"/>
                <w:highlight w:val="none"/>
              </w:rPr>
            </w:pPr>
            <w:r>
              <w:rPr>
                <w:rFonts w:hint="eastAsia" w:ascii="宋体" w:hAnsi="宋体"/>
                <w:sz w:val="24"/>
                <w:highlight w:val="none"/>
              </w:rPr>
              <w:t>2、落实政府采购政策需满足的资格要求：</w:t>
            </w:r>
          </w:p>
          <w:p w14:paraId="124DABA3">
            <w:pPr>
              <w:wordWrap w:val="0"/>
              <w:spacing w:line="500" w:lineRule="exact"/>
              <w:ind w:firstLine="482" w:firstLineChars="201"/>
              <w:rPr>
                <w:rFonts w:hint="eastAsia" w:ascii="宋体" w:hAnsi="宋体"/>
                <w:sz w:val="24"/>
                <w:highlight w:val="none"/>
              </w:rPr>
            </w:pPr>
            <w:r>
              <w:rPr>
                <w:rFonts w:hint="eastAsia" w:ascii="宋体" w:hAnsi="宋体"/>
                <w:sz w:val="24"/>
                <w:highlight w:val="none"/>
              </w:rPr>
              <w:t>本项目为专门面向中小微企业采购项目,执行促进中小企业（监狱企业、残疾人福利性企业</w:t>
            </w:r>
            <w:r>
              <w:rPr>
                <w:rFonts w:hint="eastAsia" w:ascii="宋体" w:hAnsi="宋体"/>
                <w:sz w:val="24"/>
                <w:highlight w:val="none"/>
                <w:lang w:val="en-US" w:eastAsia="zh-CN"/>
              </w:rPr>
              <w:t>视为小微企业</w:t>
            </w:r>
            <w:r>
              <w:rPr>
                <w:rFonts w:hint="eastAsia" w:ascii="宋体" w:hAnsi="宋体"/>
                <w:sz w:val="24"/>
                <w:highlight w:val="none"/>
              </w:rPr>
              <w:t>）发展等政府采购政策。</w:t>
            </w:r>
          </w:p>
          <w:p w14:paraId="6837596C">
            <w:pPr>
              <w:wordWrap w:val="0"/>
              <w:spacing w:line="500" w:lineRule="exact"/>
              <w:ind w:firstLine="482" w:firstLineChars="201"/>
              <w:rPr>
                <w:rFonts w:hint="eastAsia" w:ascii="宋体" w:hAnsi="宋体"/>
                <w:sz w:val="24"/>
                <w:highlight w:val="none"/>
              </w:rPr>
            </w:pPr>
            <w:r>
              <w:rPr>
                <w:rFonts w:hint="eastAsia" w:ascii="宋体" w:hAnsi="宋体"/>
                <w:sz w:val="24"/>
                <w:highlight w:val="none"/>
              </w:rPr>
              <w:t>3、本项目的特定资格要求</w:t>
            </w:r>
            <w:r>
              <w:rPr>
                <w:rFonts w:hint="eastAsia" w:ascii="宋体" w:hAnsi="宋体"/>
                <w:sz w:val="24"/>
                <w:highlight w:val="none"/>
              </w:rPr>
              <w:tab/>
            </w:r>
          </w:p>
          <w:p w14:paraId="2E9091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3.1、供应商须具有独立承担民事责任的能力，提供合法有效的营业执照；</w:t>
            </w:r>
          </w:p>
          <w:p w14:paraId="1586CD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3.2、供应商具有履行合同所必须的设备和专业技术服务能力(提供承诺书）；</w:t>
            </w:r>
          </w:p>
          <w:p w14:paraId="431EF9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3.3、若供应商为生产商需</w:t>
            </w:r>
            <w:r>
              <w:rPr>
                <w:rFonts w:hint="eastAsia" w:ascii="宋体" w:hAnsi="宋体" w:cs="宋体"/>
                <w:color w:val="auto"/>
                <w:spacing w:val="0"/>
                <w:sz w:val="24"/>
                <w:szCs w:val="24"/>
                <w:highlight w:val="none"/>
                <w:lang w:val="en-US" w:eastAsia="zh-CN"/>
              </w:rPr>
              <w:t>提供有效的食品生产许可证</w:t>
            </w:r>
            <w:r>
              <w:rPr>
                <w:rFonts w:hint="eastAsia" w:ascii="宋体" w:hAnsi="宋体" w:eastAsia="宋体" w:cs="宋体"/>
                <w:color w:val="auto"/>
                <w:spacing w:val="0"/>
                <w:sz w:val="24"/>
                <w:szCs w:val="24"/>
                <w:highlight w:val="none"/>
                <w:lang w:val="en-US" w:eastAsia="zh-CN"/>
              </w:rPr>
              <w:t>；若供应商为经销商</w:t>
            </w:r>
            <w:r>
              <w:rPr>
                <w:rFonts w:hint="eastAsia" w:ascii="宋体" w:hAnsi="宋体" w:cs="宋体"/>
                <w:color w:val="auto"/>
                <w:spacing w:val="0"/>
                <w:sz w:val="24"/>
                <w:szCs w:val="24"/>
                <w:highlight w:val="none"/>
                <w:lang w:val="en-US" w:eastAsia="zh-CN"/>
              </w:rPr>
              <w:t>需提供有效的食品经营许可证</w:t>
            </w:r>
            <w:r>
              <w:rPr>
                <w:rFonts w:hint="eastAsia" w:ascii="宋体" w:hAnsi="宋体" w:eastAsia="宋体" w:cs="宋体"/>
                <w:color w:val="auto"/>
                <w:spacing w:val="0"/>
                <w:sz w:val="24"/>
                <w:szCs w:val="24"/>
                <w:highlight w:val="none"/>
                <w:lang w:val="en-US" w:eastAsia="zh-CN"/>
              </w:rPr>
              <w:t>；</w:t>
            </w:r>
          </w:p>
          <w:p w14:paraId="60F7C9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3.4、拟派的项目负责人需</w:t>
            </w:r>
            <w:r>
              <w:rPr>
                <w:rFonts w:hint="eastAsia" w:ascii="宋体" w:hAnsi="宋体" w:cs="宋体"/>
                <w:color w:val="auto"/>
                <w:spacing w:val="0"/>
                <w:sz w:val="24"/>
                <w:szCs w:val="24"/>
                <w:highlight w:val="none"/>
                <w:lang w:val="en-US" w:eastAsia="zh-CN"/>
              </w:rPr>
              <w:t>提供有效的健康证</w:t>
            </w:r>
            <w:r>
              <w:rPr>
                <w:rFonts w:hint="eastAsia" w:ascii="宋体" w:hAnsi="宋体" w:eastAsia="宋体" w:cs="宋体"/>
                <w:color w:val="auto"/>
                <w:spacing w:val="0"/>
                <w:sz w:val="24"/>
                <w:szCs w:val="24"/>
                <w:highlight w:val="none"/>
                <w:lang w:val="en-US" w:eastAsia="zh-CN"/>
              </w:rPr>
              <w:t>及</w:t>
            </w:r>
            <w:r>
              <w:rPr>
                <w:rFonts w:hint="eastAsia" w:ascii="宋体" w:hAnsi="宋体" w:cs="宋体"/>
                <w:color w:val="auto"/>
                <w:spacing w:val="0"/>
                <w:sz w:val="24"/>
                <w:szCs w:val="24"/>
                <w:highlight w:val="none"/>
                <w:lang w:val="en-US" w:eastAsia="zh-CN"/>
              </w:rPr>
              <w:t>社保缴费证明</w:t>
            </w:r>
            <w:r>
              <w:rPr>
                <w:rFonts w:hint="eastAsia" w:ascii="宋体" w:hAnsi="宋体" w:eastAsia="宋体" w:cs="宋体"/>
                <w:color w:val="auto"/>
                <w:spacing w:val="0"/>
                <w:sz w:val="24"/>
                <w:szCs w:val="24"/>
                <w:highlight w:val="none"/>
                <w:lang w:val="en-US" w:eastAsia="zh-CN"/>
              </w:rPr>
              <w:t>（</w:t>
            </w:r>
            <w:r>
              <w:rPr>
                <w:rFonts w:hint="eastAsia" w:ascii="宋体" w:hAnsi="宋体" w:cs="宋体"/>
                <w:color w:val="auto"/>
                <w:kern w:val="2"/>
                <w:sz w:val="24"/>
                <w:szCs w:val="24"/>
                <w:highlight w:val="none"/>
                <w:lang w:val="en-US" w:eastAsia="zh-CN" w:bidi="ar-SA"/>
              </w:rPr>
              <w:t>社保缴费证明</w:t>
            </w:r>
            <w:r>
              <w:rPr>
                <w:rFonts w:hint="eastAsia" w:ascii="宋体" w:hAnsi="宋体" w:eastAsia="宋体" w:cs="宋体"/>
                <w:color w:val="auto"/>
                <w:spacing w:val="0"/>
                <w:sz w:val="24"/>
                <w:szCs w:val="24"/>
                <w:highlight w:val="none"/>
                <w:lang w:val="en-US" w:eastAsia="zh-CN"/>
              </w:rPr>
              <w:t>必须包含单位名称及个人的基本信息）</w:t>
            </w:r>
          </w:p>
          <w:p w14:paraId="025BF6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r>
              <w:rPr>
                <w:rFonts w:hint="eastAsia" w:ascii="宋体" w:hAnsi="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lang w:val="en-US" w:eastAsia="zh-CN"/>
              </w:rPr>
              <w:t>、</w:t>
            </w:r>
            <w:r>
              <w:rPr>
                <w:rFonts w:hint="default" w:ascii="宋体" w:hAnsi="宋体" w:eastAsia="宋体" w:cs="宋体"/>
                <w:color w:val="auto"/>
                <w:spacing w:val="0"/>
                <w:sz w:val="24"/>
                <w:szCs w:val="24"/>
                <w:highlight w:val="none"/>
                <w:lang w:val="en-US" w:eastAsia="zh-CN"/>
              </w:rPr>
              <w:t>供应商应保证所提供的产品必须是安全合格产品，因产品问题而发生的食物中毒等群体事故，由供应商承担经济赔偿责任及其他法律责任（</w:t>
            </w:r>
            <w:r>
              <w:rPr>
                <w:rFonts w:hint="eastAsia" w:ascii="宋体" w:hAnsi="宋体" w:cs="宋体"/>
                <w:color w:val="auto"/>
                <w:spacing w:val="0"/>
                <w:sz w:val="24"/>
                <w:szCs w:val="24"/>
                <w:highlight w:val="none"/>
                <w:lang w:val="en-US" w:eastAsia="zh-CN"/>
              </w:rPr>
              <w:t>提供承诺书</w:t>
            </w:r>
            <w:r>
              <w:rPr>
                <w:rFonts w:hint="default" w:ascii="宋体" w:hAnsi="宋体" w:eastAsia="宋体" w:cs="宋体"/>
                <w:color w:val="auto"/>
                <w:spacing w:val="0"/>
                <w:sz w:val="24"/>
                <w:szCs w:val="24"/>
                <w:highlight w:val="none"/>
                <w:lang w:val="en-US" w:eastAsia="zh-CN"/>
              </w:rPr>
              <w:t>）；</w:t>
            </w:r>
          </w:p>
          <w:p w14:paraId="5405DD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pacing w:val="0"/>
                <w:sz w:val="24"/>
                <w:szCs w:val="24"/>
                <w:highlight w:val="none"/>
                <w:lang w:val="en-US" w:eastAsia="zh-CN"/>
              </w:rPr>
            </w:pPr>
            <w:r>
              <w:rPr>
                <w:rFonts w:hint="eastAsia" w:ascii="宋体" w:hAnsi="宋体" w:cs="宋体"/>
                <w:color w:val="auto"/>
                <w:spacing w:val="0"/>
                <w:sz w:val="24"/>
                <w:szCs w:val="24"/>
                <w:highlight w:val="none"/>
                <w:lang w:val="en-US" w:eastAsia="zh-CN"/>
              </w:rPr>
              <w:t>3.6、供应商须提供在参加政府采购活动近三年内无重大违法记录及食品安全事故 、 卫生监督部门的处罚等恶性事件的承诺函（提供承诺书）；</w:t>
            </w:r>
          </w:p>
          <w:p w14:paraId="001E4F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r>
              <w:rPr>
                <w:rFonts w:hint="eastAsia" w:ascii="宋体" w:hAnsi="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val="en-US" w:eastAsia="zh-CN"/>
              </w:rPr>
              <w:t>、供应商须出具本企业无商业贿赂和不正当竞争行为承诺书；</w:t>
            </w:r>
          </w:p>
          <w:p w14:paraId="7A0A9C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r>
              <w:rPr>
                <w:rFonts w:hint="eastAsia" w:ascii="宋体" w:hAnsi="宋体" w:cs="宋体"/>
                <w:color w:val="auto"/>
                <w:spacing w:val="0"/>
                <w:sz w:val="24"/>
                <w:szCs w:val="24"/>
                <w:highlight w:val="none"/>
                <w:lang w:val="en-US" w:eastAsia="zh-CN"/>
              </w:rPr>
              <w:t>7</w:t>
            </w:r>
            <w:r>
              <w:rPr>
                <w:rFonts w:hint="eastAsia" w:ascii="宋体" w:hAnsi="宋体" w:eastAsia="宋体" w:cs="宋体"/>
                <w:color w:val="auto"/>
                <w:spacing w:val="0"/>
                <w:sz w:val="24"/>
                <w:szCs w:val="24"/>
                <w:highlight w:val="none"/>
                <w:lang w:val="en-US" w:eastAsia="zh-CN"/>
              </w:rPr>
              <w:t>、根据《关于在政府采购活动中查询及使用信用记录有关问题的通知》(财库[2016]125号)和豫财购【2016】15号的规定，企业没有被列入“中国执行信息公开网”网站的“失信被执行人”、“信用中国”网站的“重大税收违法失信主体”、“政府采购严重违法失信行为记录名单”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383424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pacing w:val="0"/>
                <w:sz w:val="24"/>
                <w:szCs w:val="24"/>
                <w:highlight w:val="none"/>
                <w:lang w:val="en-US" w:eastAsia="zh-CN"/>
              </w:rPr>
              <w:t>3.</w:t>
            </w:r>
            <w:r>
              <w:rPr>
                <w:rFonts w:hint="eastAsia" w:ascii="宋体" w:hAnsi="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lang w:val="en-US" w:eastAsia="zh-CN"/>
              </w:rPr>
              <w:t>、本项目不接受联合体。</w:t>
            </w:r>
          </w:p>
        </w:tc>
      </w:tr>
      <w:tr w14:paraId="2E6B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05471AD1">
            <w:pPr>
              <w:pStyle w:val="22"/>
              <w:widowControl w:val="0"/>
              <w:spacing w:before="0" w:beforeAutospacing="0" w:after="0" w:afterAutospacing="0" w:line="500" w:lineRule="exact"/>
              <w:ind w:firstLine="0" w:firstLineChars="0"/>
              <w:jc w:val="center"/>
              <w:rPr>
                <w:rFonts w:hint="default" w:eastAsia="宋体" w:cs="宋体"/>
                <w:kern w:val="2"/>
                <w:highlight w:val="none"/>
                <w:lang w:val="en-US" w:eastAsia="zh-CN"/>
              </w:rPr>
            </w:pPr>
            <w:r>
              <w:rPr>
                <w:rFonts w:hint="eastAsia" w:cs="宋体"/>
                <w:highlight w:val="none"/>
                <w:lang w:val="en-US" w:eastAsia="zh-CN"/>
              </w:rPr>
              <w:t>10</w:t>
            </w:r>
          </w:p>
        </w:tc>
        <w:tc>
          <w:tcPr>
            <w:tcW w:w="1988" w:type="dxa"/>
            <w:tcBorders>
              <w:top w:val="single" w:color="auto" w:sz="4" w:space="0"/>
              <w:left w:val="nil"/>
              <w:bottom w:val="single" w:color="auto" w:sz="4" w:space="0"/>
              <w:right w:val="single" w:color="auto" w:sz="4" w:space="0"/>
            </w:tcBorders>
            <w:vAlign w:val="center"/>
          </w:tcPr>
          <w:p w14:paraId="69D2651A">
            <w:pPr>
              <w:spacing w:before="120" w:after="120" w:line="500" w:lineRule="exact"/>
              <w:jc w:val="center"/>
              <w:rPr>
                <w:rFonts w:ascii="宋体" w:hAnsi="宋体" w:cs="宋体"/>
                <w:sz w:val="24"/>
                <w:highlight w:val="none"/>
              </w:rPr>
            </w:pPr>
            <w:r>
              <w:rPr>
                <w:rFonts w:hint="eastAsia" w:ascii="宋体" w:hAnsi="宋体" w:cs="宋体"/>
                <w:sz w:val="24"/>
                <w:highlight w:val="none"/>
              </w:rPr>
              <w:t>是否接受联合体</w:t>
            </w:r>
          </w:p>
        </w:tc>
        <w:tc>
          <w:tcPr>
            <w:tcW w:w="6653" w:type="dxa"/>
            <w:tcBorders>
              <w:top w:val="single" w:color="auto" w:sz="4" w:space="0"/>
              <w:left w:val="nil"/>
              <w:bottom w:val="single" w:color="auto" w:sz="4" w:space="0"/>
              <w:right w:val="single" w:color="auto" w:sz="4" w:space="0"/>
            </w:tcBorders>
            <w:vAlign w:val="center"/>
          </w:tcPr>
          <w:p w14:paraId="30711344">
            <w:pPr>
              <w:spacing w:before="120" w:after="120" w:line="500" w:lineRule="exact"/>
              <w:jc w:val="left"/>
              <w:rPr>
                <w:rFonts w:ascii="宋体" w:hAnsi="宋体" w:cs="宋体"/>
                <w:sz w:val="24"/>
                <w:highlight w:val="none"/>
              </w:rPr>
            </w:pPr>
            <w:r>
              <w:rPr>
                <w:rFonts w:hint="eastAsia" w:ascii="宋体" w:hAnsi="宋体" w:cs="宋体"/>
                <w:sz w:val="24"/>
                <w:highlight w:val="none"/>
              </w:rPr>
              <w:t>不接受</w:t>
            </w:r>
          </w:p>
        </w:tc>
      </w:tr>
      <w:tr w14:paraId="2E18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1E09F1DC">
            <w:pPr>
              <w:pStyle w:val="22"/>
              <w:widowControl w:val="0"/>
              <w:spacing w:before="0" w:beforeAutospacing="0" w:after="0" w:afterAutospacing="0" w:line="500" w:lineRule="exact"/>
              <w:ind w:firstLine="0" w:firstLineChars="0"/>
              <w:jc w:val="center"/>
              <w:rPr>
                <w:rFonts w:hint="default" w:eastAsia="宋体" w:cs="宋体"/>
                <w:kern w:val="2"/>
                <w:highlight w:val="none"/>
                <w:lang w:val="en-US" w:eastAsia="zh-CN"/>
              </w:rPr>
            </w:pPr>
            <w:r>
              <w:rPr>
                <w:rFonts w:hint="eastAsia" w:cs="宋体"/>
                <w:highlight w:val="none"/>
                <w:lang w:val="en-US" w:eastAsia="zh-CN"/>
              </w:rPr>
              <w:t>11</w:t>
            </w:r>
          </w:p>
        </w:tc>
        <w:tc>
          <w:tcPr>
            <w:tcW w:w="1988" w:type="dxa"/>
            <w:tcBorders>
              <w:top w:val="single" w:color="auto" w:sz="4" w:space="0"/>
              <w:left w:val="nil"/>
              <w:bottom w:val="single" w:color="auto" w:sz="4" w:space="0"/>
              <w:right w:val="single" w:color="auto" w:sz="4" w:space="0"/>
            </w:tcBorders>
            <w:vAlign w:val="center"/>
          </w:tcPr>
          <w:p w14:paraId="58A35DCA">
            <w:pPr>
              <w:spacing w:before="120" w:after="120" w:line="500" w:lineRule="exact"/>
              <w:jc w:val="center"/>
              <w:rPr>
                <w:rFonts w:ascii="宋体" w:hAnsi="宋体" w:cs="宋体"/>
                <w:sz w:val="24"/>
                <w:highlight w:val="none"/>
              </w:rPr>
            </w:pPr>
            <w:r>
              <w:rPr>
                <w:rFonts w:hint="eastAsia" w:ascii="宋体" w:hAnsi="宋体" w:cs="宋体"/>
                <w:sz w:val="24"/>
                <w:highlight w:val="none"/>
              </w:rPr>
              <w:t>供应商不得存在的其他情形</w:t>
            </w:r>
          </w:p>
        </w:tc>
        <w:tc>
          <w:tcPr>
            <w:tcW w:w="6653" w:type="dxa"/>
            <w:tcBorders>
              <w:top w:val="single" w:color="auto" w:sz="4" w:space="0"/>
              <w:left w:val="nil"/>
              <w:bottom w:val="single" w:color="auto" w:sz="4" w:space="0"/>
              <w:right w:val="single" w:color="auto" w:sz="4" w:space="0"/>
            </w:tcBorders>
            <w:vAlign w:val="center"/>
          </w:tcPr>
          <w:p w14:paraId="01B15DB8">
            <w:pPr>
              <w:spacing w:before="120" w:after="120" w:line="500" w:lineRule="exact"/>
              <w:jc w:val="left"/>
              <w:rPr>
                <w:rFonts w:ascii="宋体" w:hAnsi="宋体" w:cs="宋体"/>
                <w:sz w:val="24"/>
                <w:highlight w:val="none"/>
              </w:rPr>
            </w:pPr>
            <w:r>
              <w:rPr>
                <w:rFonts w:hint="eastAsia" w:ascii="宋体" w:hAnsi="宋体" w:cs="宋体"/>
                <w:sz w:val="24"/>
                <w:highlight w:val="none"/>
              </w:rPr>
              <w:t>详见供应商须知正文</w:t>
            </w:r>
          </w:p>
        </w:tc>
      </w:tr>
      <w:tr w14:paraId="0A16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7CBEDDC1">
            <w:pPr>
              <w:pStyle w:val="22"/>
              <w:widowControl w:val="0"/>
              <w:spacing w:before="0" w:beforeAutospacing="0" w:after="0" w:afterAutospacing="0" w:line="500" w:lineRule="exact"/>
              <w:ind w:firstLine="0" w:firstLineChars="0"/>
              <w:jc w:val="center"/>
              <w:rPr>
                <w:rFonts w:hint="default" w:eastAsia="宋体" w:cs="宋体"/>
                <w:kern w:val="2"/>
                <w:highlight w:val="none"/>
                <w:lang w:val="en-US" w:eastAsia="zh-CN"/>
              </w:rPr>
            </w:pPr>
            <w:r>
              <w:rPr>
                <w:rFonts w:hint="eastAsia" w:cs="宋体"/>
                <w:highlight w:val="none"/>
                <w:lang w:val="en-US" w:eastAsia="zh-CN"/>
              </w:rPr>
              <w:t>12</w:t>
            </w:r>
          </w:p>
        </w:tc>
        <w:tc>
          <w:tcPr>
            <w:tcW w:w="1988" w:type="dxa"/>
            <w:tcBorders>
              <w:top w:val="single" w:color="auto" w:sz="4" w:space="0"/>
              <w:left w:val="nil"/>
              <w:bottom w:val="single" w:color="auto" w:sz="4" w:space="0"/>
              <w:right w:val="single" w:color="auto" w:sz="4" w:space="0"/>
            </w:tcBorders>
            <w:vAlign w:val="center"/>
          </w:tcPr>
          <w:p w14:paraId="76172FFD">
            <w:pPr>
              <w:spacing w:before="120" w:after="120" w:line="500" w:lineRule="exact"/>
              <w:jc w:val="center"/>
              <w:rPr>
                <w:rFonts w:ascii="宋体" w:hAnsi="宋体" w:cs="宋体"/>
                <w:sz w:val="24"/>
                <w:highlight w:val="none"/>
              </w:rPr>
            </w:pPr>
            <w:r>
              <w:rPr>
                <w:rFonts w:hint="eastAsia" w:ascii="宋体" w:hAnsi="宋体" w:cs="宋体"/>
                <w:sz w:val="24"/>
                <w:highlight w:val="none"/>
              </w:rPr>
              <w:t>磋商预备会</w:t>
            </w:r>
          </w:p>
        </w:tc>
        <w:tc>
          <w:tcPr>
            <w:tcW w:w="6653" w:type="dxa"/>
            <w:tcBorders>
              <w:top w:val="single" w:color="auto" w:sz="4" w:space="0"/>
              <w:left w:val="nil"/>
              <w:bottom w:val="single" w:color="auto" w:sz="4" w:space="0"/>
              <w:right w:val="single" w:color="auto" w:sz="4" w:space="0"/>
            </w:tcBorders>
            <w:vAlign w:val="center"/>
          </w:tcPr>
          <w:p w14:paraId="52FDBBF9">
            <w:pPr>
              <w:spacing w:before="120" w:after="120" w:line="500" w:lineRule="exact"/>
              <w:jc w:val="left"/>
              <w:rPr>
                <w:rFonts w:ascii="宋体" w:hAnsi="宋体" w:cs="宋体"/>
                <w:sz w:val="24"/>
                <w:highlight w:val="none"/>
              </w:rPr>
            </w:pPr>
            <w:r>
              <w:rPr>
                <w:rFonts w:hint="eastAsia" w:ascii="宋体" w:hAnsi="宋体" w:cs="宋体"/>
                <w:sz w:val="24"/>
                <w:highlight w:val="none"/>
              </w:rPr>
              <w:t>不召开</w:t>
            </w:r>
          </w:p>
        </w:tc>
      </w:tr>
      <w:tr w14:paraId="5E93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7D2A4AEB">
            <w:pPr>
              <w:pStyle w:val="22"/>
              <w:widowControl w:val="0"/>
              <w:spacing w:before="0" w:beforeAutospacing="0" w:after="0" w:afterAutospacing="0" w:line="500" w:lineRule="exact"/>
              <w:ind w:firstLine="0" w:firstLineChars="0"/>
              <w:jc w:val="center"/>
              <w:rPr>
                <w:rFonts w:hint="default" w:eastAsia="宋体" w:cs="宋体"/>
                <w:kern w:val="2"/>
                <w:highlight w:val="none"/>
                <w:lang w:val="en-US" w:eastAsia="zh-CN"/>
              </w:rPr>
            </w:pPr>
            <w:r>
              <w:rPr>
                <w:rFonts w:hint="eastAsia" w:cs="宋体"/>
                <w:highlight w:val="none"/>
                <w:lang w:val="en-US" w:eastAsia="zh-CN"/>
              </w:rPr>
              <w:t>13</w:t>
            </w:r>
          </w:p>
        </w:tc>
        <w:tc>
          <w:tcPr>
            <w:tcW w:w="1988" w:type="dxa"/>
            <w:tcBorders>
              <w:top w:val="single" w:color="auto" w:sz="4" w:space="0"/>
              <w:left w:val="nil"/>
              <w:bottom w:val="single" w:color="auto" w:sz="4" w:space="0"/>
              <w:right w:val="single" w:color="auto" w:sz="4" w:space="0"/>
            </w:tcBorders>
            <w:vAlign w:val="center"/>
          </w:tcPr>
          <w:p w14:paraId="79E9BEE6">
            <w:pPr>
              <w:widowControl/>
              <w:spacing w:before="120" w:after="120" w:line="500" w:lineRule="exact"/>
              <w:jc w:val="center"/>
              <w:rPr>
                <w:rFonts w:ascii="宋体" w:hAnsi="宋体" w:cs="宋体"/>
                <w:sz w:val="24"/>
                <w:highlight w:val="none"/>
              </w:rPr>
            </w:pPr>
            <w:r>
              <w:rPr>
                <w:rFonts w:hint="eastAsia" w:ascii="宋体" w:hAnsi="宋体" w:cs="宋体"/>
                <w:sz w:val="24"/>
                <w:highlight w:val="none"/>
              </w:rPr>
              <w:t>供应商提出问题的截止时间</w:t>
            </w:r>
          </w:p>
        </w:tc>
        <w:tc>
          <w:tcPr>
            <w:tcW w:w="6653" w:type="dxa"/>
            <w:tcBorders>
              <w:top w:val="single" w:color="auto" w:sz="4" w:space="0"/>
              <w:left w:val="nil"/>
              <w:bottom w:val="single" w:color="auto" w:sz="4" w:space="0"/>
              <w:right w:val="single" w:color="auto" w:sz="4" w:space="0"/>
            </w:tcBorders>
            <w:vAlign w:val="center"/>
          </w:tcPr>
          <w:p w14:paraId="78EBC9A2">
            <w:pPr>
              <w:widowControl/>
              <w:spacing w:line="500" w:lineRule="exact"/>
              <w:jc w:val="left"/>
              <w:rPr>
                <w:rFonts w:ascii="宋体" w:hAnsi="宋体" w:cs="宋体"/>
                <w:sz w:val="24"/>
                <w:highlight w:val="none"/>
              </w:rPr>
            </w:pPr>
            <w:r>
              <w:rPr>
                <w:rFonts w:hint="eastAsia" w:ascii="宋体" w:hAnsi="宋体" w:cs="宋体"/>
                <w:kern w:val="0"/>
                <w:sz w:val="24"/>
                <w:highlight w:val="none"/>
              </w:rPr>
              <w:t>递交响应文件的截止之日3日前</w:t>
            </w:r>
          </w:p>
        </w:tc>
      </w:tr>
      <w:tr w14:paraId="6C10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5430DD02">
            <w:pPr>
              <w:pStyle w:val="22"/>
              <w:widowControl w:val="0"/>
              <w:spacing w:before="0" w:beforeAutospacing="0" w:after="0" w:afterAutospacing="0" w:line="500" w:lineRule="exact"/>
              <w:ind w:firstLine="0" w:firstLineChars="0"/>
              <w:jc w:val="center"/>
              <w:rPr>
                <w:rFonts w:hint="default" w:eastAsia="宋体" w:cs="宋体"/>
                <w:kern w:val="2"/>
                <w:highlight w:val="none"/>
                <w:lang w:val="en-US" w:eastAsia="zh-CN"/>
              </w:rPr>
            </w:pPr>
            <w:r>
              <w:rPr>
                <w:rFonts w:hint="eastAsia" w:cs="宋体"/>
                <w:highlight w:val="none"/>
                <w:lang w:val="en-US" w:eastAsia="zh-CN"/>
              </w:rPr>
              <w:t>14</w:t>
            </w:r>
          </w:p>
        </w:tc>
        <w:tc>
          <w:tcPr>
            <w:tcW w:w="1988" w:type="dxa"/>
            <w:tcBorders>
              <w:top w:val="single" w:color="auto" w:sz="4" w:space="0"/>
              <w:left w:val="nil"/>
              <w:bottom w:val="single" w:color="auto" w:sz="4" w:space="0"/>
              <w:right w:val="single" w:color="auto" w:sz="4" w:space="0"/>
            </w:tcBorders>
            <w:vAlign w:val="center"/>
          </w:tcPr>
          <w:p w14:paraId="546F39F2">
            <w:pPr>
              <w:spacing w:before="120" w:after="120" w:line="500" w:lineRule="exact"/>
              <w:jc w:val="center"/>
              <w:rPr>
                <w:rFonts w:ascii="宋体" w:hAnsi="宋体" w:cs="宋体"/>
                <w:sz w:val="24"/>
                <w:highlight w:val="none"/>
              </w:rPr>
            </w:pPr>
            <w:r>
              <w:rPr>
                <w:rFonts w:hint="eastAsia" w:ascii="宋体" w:hAnsi="宋体" w:cs="宋体"/>
                <w:sz w:val="24"/>
                <w:highlight w:val="none"/>
              </w:rPr>
              <w:t>分包</w:t>
            </w:r>
          </w:p>
        </w:tc>
        <w:tc>
          <w:tcPr>
            <w:tcW w:w="6653" w:type="dxa"/>
            <w:tcBorders>
              <w:top w:val="single" w:color="auto" w:sz="4" w:space="0"/>
              <w:left w:val="nil"/>
              <w:bottom w:val="single" w:color="auto" w:sz="4" w:space="0"/>
              <w:right w:val="single" w:color="auto" w:sz="4" w:space="0"/>
            </w:tcBorders>
            <w:vAlign w:val="center"/>
          </w:tcPr>
          <w:p w14:paraId="39F2178F">
            <w:pPr>
              <w:spacing w:before="120" w:after="120" w:line="500" w:lineRule="exact"/>
              <w:jc w:val="left"/>
              <w:rPr>
                <w:rFonts w:ascii="宋体" w:hAnsi="宋体" w:cs="宋体"/>
                <w:sz w:val="24"/>
                <w:highlight w:val="none"/>
              </w:rPr>
            </w:pPr>
            <w:r>
              <w:rPr>
                <w:rFonts w:hint="eastAsia" w:ascii="宋体" w:hAnsi="宋体" w:cs="宋体"/>
                <w:sz w:val="24"/>
                <w:highlight w:val="none"/>
              </w:rPr>
              <w:t>不允许</w:t>
            </w:r>
          </w:p>
        </w:tc>
      </w:tr>
      <w:tr w14:paraId="7C01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317970AC">
            <w:pPr>
              <w:pStyle w:val="22"/>
              <w:widowControl w:val="0"/>
              <w:spacing w:before="0" w:beforeAutospacing="0" w:after="0" w:afterAutospacing="0" w:line="500" w:lineRule="exact"/>
              <w:ind w:firstLine="0" w:firstLineChars="0"/>
              <w:jc w:val="center"/>
              <w:rPr>
                <w:rFonts w:hint="default" w:eastAsia="宋体" w:cs="宋体"/>
                <w:highlight w:val="none"/>
                <w:lang w:val="en-US" w:eastAsia="zh-CN"/>
              </w:rPr>
            </w:pPr>
            <w:r>
              <w:rPr>
                <w:rFonts w:hint="eastAsia" w:cs="宋体"/>
                <w:highlight w:val="none"/>
                <w:lang w:val="en-US" w:eastAsia="zh-CN"/>
              </w:rPr>
              <w:t>15</w:t>
            </w:r>
          </w:p>
        </w:tc>
        <w:tc>
          <w:tcPr>
            <w:tcW w:w="1988" w:type="dxa"/>
            <w:tcBorders>
              <w:top w:val="single" w:color="auto" w:sz="4" w:space="0"/>
              <w:left w:val="nil"/>
              <w:bottom w:val="single" w:color="auto" w:sz="4" w:space="0"/>
              <w:right w:val="single" w:color="auto" w:sz="4" w:space="0"/>
            </w:tcBorders>
            <w:vAlign w:val="center"/>
          </w:tcPr>
          <w:p w14:paraId="73ECE8FB">
            <w:pPr>
              <w:spacing w:before="120" w:after="120" w:line="500" w:lineRule="exact"/>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偏离</w:t>
            </w:r>
          </w:p>
        </w:tc>
        <w:tc>
          <w:tcPr>
            <w:tcW w:w="6653" w:type="dxa"/>
            <w:tcBorders>
              <w:top w:val="single" w:color="auto" w:sz="4" w:space="0"/>
              <w:left w:val="nil"/>
              <w:bottom w:val="single" w:color="auto" w:sz="4" w:space="0"/>
              <w:right w:val="single" w:color="auto" w:sz="4" w:space="0"/>
            </w:tcBorders>
            <w:vAlign w:val="center"/>
          </w:tcPr>
          <w:p w14:paraId="57846F03">
            <w:pPr>
              <w:spacing w:before="120" w:after="120" w:line="500" w:lineRule="exact"/>
              <w:jc w:val="left"/>
              <w:rPr>
                <w:rFonts w:hint="eastAsia" w:ascii="宋体" w:hAnsi="宋体" w:cs="宋体"/>
                <w:sz w:val="24"/>
                <w:highlight w:val="none"/>
              </w:rPr>
            </w:pPr>
            <w:r>
              <w:rPr>
                <w:rFonts w:hint="eastAsia" w:ascii="宋体" w:hAnsi="宋体" w:cs="宋体"/>
                <w:sz w:val="24"/>
                <w:highlight w:val="none"/>
              </w:rPr>
              <w:t>不允许</w:t>
            </w:r>
          </w:p>
        </w:tc>
      </w:tr>
      <w:tr w14:paraId="6C49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74FBCABA">
            <w:pPr>
              <w:pStyle w:val="22"/>
              <w:widowControl w:val="0"/>
              <w:spacing w:before="0" w:beforeAutospacing="0" w:after="0" w:afterAutospacing="0" w:line="500" w:lineRule="exact"/>
              <w:ind w:firstLine="0" w:firstLineChars="0"/>
              <w:jc w:val="center"/>
              <w:rPr>
                <w:rFonts w:hint="eastAsia" w:eastAsia="宋体" w:cs="宋体"/>
                <w:kern w:val="2"/>
                <w:highlight w:val="none"/>
                <w:lang w:eastAsia="zh-CN"/>
              </w:rPr>
            </w:pPr>
            <w:r>
              <w:rPr>
                <w:rFonts w:hint="eastAsia" w:cs="宋体"/>
                <w:highlight w:val="none"/>
              </w:rPr>
              <w:t>1</w:t>
            </w:r>
            <w:r>
              <w:rPr>
                <w:rFonts w:hint="eastAsia" w:cs="宋体"/>
                <w:highlight w:val="none"/>
                <w:lang w:val="en-US" w:eastAsia="zh-CN"/>
              </w:rPr>
              <w:t>6</w:t>
            </w:r>
          </w:p>
        </w:tc>
        <w:tc>
          <w:tcPr>
            <w:tcW w:w="1988" w:type="dxa"/>
            <w:tcBorders>
              <w:top w:val="single" w:color="auto" w:sz="4" w:space="0"/>
              <w:left w:val="nil"/>
              <w:bottom w:val="single" w:color="auto" w:sz="4" w:space="0"/>
              <w:right w:val="single" w:color="auto" w:sz="4" w:space="0"/>
            </w:tcBorders>
            <w:vAlign w:val="center"/>
          </w:tcPr>
          <w:p w14:paraId="7B33367B">
            <w:pPr>
              <w:spacing w:before="120" w:after="120" w:line="500" w:lineRule="exact"/>
              <w:jc w:val="center"/>
              <w:rPr>
                <w:rFonts w:ascii="宋体" w:hAnsi="宋体" w:cs="宋体"/>
                <w:sz w:val="24"/>
                <w:highlight w:val="none"/>
              </w:rPr>
            </w:pPr>
            <w:r>
              <w:rPr>
                <w:rFonts w:hint="eastAsia" w:ascii="宋体" w:hAnsi="宋体" w:cs="宋体"/>
                <w:sz w:val="24"/>
                <w:highlight w:val="none"/>
              </w:rPr>
              <w:t>其他可以被接受的技术支持资料</w:t>
            </w:r>
          </w:p>
        </w:tc>
        <w:tc>
          <w:tcPr>
            <w:tcW w:w="6653" w:type="dxa"/>
            <w:tcBorders>
              <w:top w:val="single" w:color="auto" w:sz="4" w:space="0"/>
              <w:left w:val="nil"/>
              <w:bottom w:val="single" w:color="auto" w:sz="4" w:space="0"/>
              <w:right w:val="single" w:color="auto" w:sz="4" w:space="0"/>
            </w:tcBorders>
            <w:vAlign w:val="center"/>
          </w:tcPr>
          <w:p w14:paraId="56B42C61">
            <w:pPr>
              <w:spacing w:line="500" w:lineRule="exact"/>
              <w:rPr>
                <w:rFonts w:ascii="宋体" w:hAnsi="宋体" w:cs="宋体"/>
                <w:sz w:val="24"/>
                <w:highlight w:val="none"/>
              </w:rPr>
            </w:pPr>
            <w:r>
              <w:rPr>
                <w:rFonts w:hint="eastAsia" w:ascii="宋体" w:hAnsi="宋体" w:cs="宋体"/>
                <w:sz w:val="24"/>
                <w:highlight w:val="none"/>
              </w:rPr>
              <w:t>供应商认为有必要的其他资料</w:t>
            </w:r>
          </w:p>
        </w:tc>
      </w:tr>
      <w:tr w14:paraId="74B8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71F28985">
            <w:pPr>
              <w:pStyle w:val="22"/>
              <w:widowControl w:val="0"/>
              <w:spacing w:before="0" w:beforeAutospacing="0" w:after="0" w:afterAutospacing="0" w:line="500" w:lineRule="exact"/>
              <w:ind w:firstLine="0" w:firstLineChars="0"/>
              <w:jc w:val="center"/>
              <w:rPr>
                <w:rFonts w:hint="eastAsia" w:eastAsia="宋体" w:cs="宋体"/>
                <w:kern w:val="2"/>
                <w:highlight w:val="none"/>
                <w:lang w:eastAsia="zh-CN"/>
              </w:rPr>
            </w:pPr>
            <w:r>
              <w:rPr>
                <w:rFonts w:hint="eastAsia" w:cs="宋体"/>
                <w:highlight w:val="none"/>
              </w:rPr>
              <w:t>1</w:t>
            </w:r>
            <w:r>
              <w:rPr>
                <w:rFonts w:hint="eastAsia" w:cs="宋体"/>
                <w:highlight w:val="none"/>
                <w:lang w:val="en-US" w:eastAsia="zh-CN"/>
              </w:rPr>
              <w:t>7</w:t>
            </w:r>
          </w:p>
        </w:tc>
        <w:tc>
          <w:tcPr>
            <w:tcW w:w="1988" w:type="dxa"/>
            <w:tcBorders>
              <w:top w:val="single" w:color="auto" w:sz="4" w:space="0"/>
              <w:left w:val="nil"/>
              <w:bottom w:val="single" w:color="auto" w:sz="4" w:space="0"/>
              <w:right w:val="single" w:color="auto" w:sz="4" w:space="0"/>
            </w:tcBorders>
            <w:vAlign w:val="center"/>
          </w:tcPr>
          <w:p w14:paraId="59F82277">
            <w:pPr>
              <w:spacing w:before="120" w:after="120" w:line="500" w:lineRule="exact"/>
              <w:jc w:val="center"/>
              <w:rPr>
                <w:rFonts w:ascii="宋体" w:hAnsi="宋体" w:cs="宋体"/>
                <w:sz w:val="24"/>
                <w:highlight w:val="none"/>
              </w:rPr>
            </w:pPr>
            <w:r>
              <w:rPr>
                <w:rFonts w:hint="eastAsia" w:ascii="宋体" w:hAnsi="宋体" w:cs="宋体"/>
                <w:sz w:val="24"/>
                <w:highlight w:val="none"/>
              </w:rPr>
              <w:t>构成竞争性磋商文件的其他材料</w:t>
            </w:r>
          </w:p>
        </w:tc>
        <w:tc>
          <w:tcPr>
            <w:tcW w:w="6653" w:type="dxa"/>
            <w:tcBorders>
              <w:top w:val="single" w:color="auto" w:sz="4" w:space="0"/>
              <w:left w:val="nil"/>
              <w:bottom w:val="single" w:color="auto" w:sz="4" w:space="0"/>
              <w:right w:val="single" w:color="auto" w:sz="4" w:space="0"/>
            </w:tcBorders>
            <w:vAlign w:val="center"/>
          </w:tcPr>
          <w:p w14:paraId="66AA5794">
            <w:pPr>
              <w:autoSpaceDE w:val="0"/>
              <w:autoSpaceDN w:val="0"/>
              <w:adjustRightInd w:val="0"/>
              <w:spacing w:before="50" w:line="500" w:lineRule="exact"/>
              <w:ind w:right="35"/>
              <w:jc w:val="left"/>
              <w:rPr>
                <w:rFonts w:ascii="宋体" w:hAnsi="宋体" w:cs="宋体"/>
                <w:sz w:val="24"/>
                <w:highlight w:val="none"/>
              </w:rPr>
            </w:pPr>
            <w:r>
              <w:rPr>
                <w:rFonts w:hint="eastAsia" w:ascii="宋体" w:hAnsi="宋体" w:cs="宋体"/>
                <w:sz w:val="24"/>
                <w:highlight w:val="none"/>
              </w:rPr>
              <w:t>竞争性磋商文件的修改、澄清、竞争性磋商文件的补充文件（如有）</w:t>
            </w:r>
          </w:p>
        </w:tc>
      </w:tr>
      <w:tr w14:paraId="55A5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758D9BB0">
            <w:pPr>
              <w:pStyle w:val="22"/>
              <w:widowControl w:val="0"/>
              <w:spacing w:before="0" w:beforeAutospacing="0" w:after="0" w:afterAutospacing="0" w:line="500" w:lineRule="exact"/>
              <w:ind w:firstLine="0" w:firstLineChars="0"/>
              <w:jc w:val="center"/>
              <w:rPr>
                <w:rFonts w:hint="default" w:eastAsia="宋体" w:cs="宋体"/>
                <w:kern w:val="2"/>
                <w:highlight w:val="none"/>
                <w:lang w:val="en-US" w:eastAsia="zh-CN"/>
              </w:rPr>
            </w:pPr>
            <w:r>
              <w:rPr>
                <w:rFonts w:hint="eastAsia" w:cs="宋体"/>
                <w:kern w:val="2"/>
                <w:highlight w:val="none"/>
                <w:lang w:val="en-US" w:eastAsia="zh-CN"/>
              </w:rPr>
              <w:t>18</w:t>
            </w:r>
          </w:p>
        </w:tc>
        <w:tc>
          <w:tcPr>
            <w:tcW w:w="1988" w:type="dxa"/>
            <w:tcBorders>
              <w:top w:val="single" w:color="auto" w:sz="4" w:space="0"/>
              <w:left w:val="nil"/>
              <w:bottom w:val="single" w:color="auto" w:sz="4" w:space="0"/>
              <w:right w:val="single" w:color="auto" w:sz="4" w:space="0"/>
            </w:tcBorders>
            <w:vAlign w:val="center"/>
          </w:tcPr>
          <w:p w14:paraId="346CCA78">
            <w:pPr>
              <w:spacing w:before="120" w:after="120" w:line="500" w:lineRule="exact"/>
              <w:jc w:val="center"/>
              <w:rPr>
                <w:rFonts w:ascii="宋体" w:hAnsi="宋体" w:cs="宋体"/>
                <w:sz w:val="24"/>
                <w:highlight w:val="none"/>
              </w:rPr>
            </w:pPr>
            <w:r>
              <w:rPr>
                <w:rFonts w:hint="eastAsia" w:ascii="宋体" w:hAnsi="宋体" w:cs="宋体"/>
                <w:sz w:val="24"/>
                <w:highlight w:val="none"/>
              </w:rPr>
              <w:t>供应商要求澄清竞争性磋商文件的截止时间</w:t>
            </w:r>
          </w:p>
        </w:tc>
        <w:tc>
          <w:tcPr>
            <w:tcW w:w="6653" w:type="dxa"/>
            <w:tcBorders>
              <w:top w:val="single" w:color="auto" w:sz="4" w:space="0"/>
              <w:left w:val="nil"/>
              <w:bottom w:val="single" w:color="auto" w:sz="4" w:space="0"/>
              <w:right w:val="single" w:color="auto" w:sz="4" w:space="0"/>
            </w:tcBorders>
            <w:vAlign w:val="center"/>
          </w:tcPr>
          <w:p w14:paraId="76A59620">
            <w:pPr>
              <w:widowControl/>
              <w:spacing w:line="500" w:lineRule="exact"/>
              <w:jc w:val="left"/>
              <w:rPr>
                <w:rFonts w:ascii="宋体" w:hAnsi="宋体" w:cs="宋体"/>
                <w:sz w:val="24"/>
                <w:highlight w:val="none"/>
              </w:rPr>
            </w:pPr>
            <w:r>
              <w:rPr>
                <w:rFonts w:hint="eastAsia" w:ascii="宋体" w:hAnsi="宋体" w:cs="宋体"/>
                <w:sz w:val="24"/>
                <w:highlight w:val="none"/>
              </w:rPr>
              <w:t>时间：</w:t>
            </w:r>
            <w:r>
              <w:rPr>
                <w:rFonts w:hint="eastAsia" w:ascii="宋体" w:hAnsi="宋体" w:cs="宋体"/>
                <w:kern w:val="0"/>
                <w:sz w:val="24"/>
                <w:highlight w:val="none"/>
              </w:rPr>
              <w:t>递交响应文件的截止之日5日前</w:t>
            </w:r>
          </w:p>
        </w:tc>
      </w:tr>
      <w:tr w14:paraId="063D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2D68D848">
            <w:pPr>
              <w:spacing w:line="50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19</w:t>
            </w:r>
          </w:p>
        </w:tc>
        <w:tc>
          <w:tcPr>
            <w:tcW w:w="1988" w:type="dxa"/>
            <w:tcBorders>
              <w:top w:val="single" w:color="auto" w:sz="4" w:space="0"/>
              <w:left w:val="nil"/>
              <w:bottom w:val="single" w:color="auto" w:sz="4" w:space="0"/>
              <w:right w:val="single" w:color="auto" w:sz="4" w:space="0"/>
            </w:tcBorders>
            <w:vAlign w:val="center"/>
          </w:tcPr>
          <w:p w14:paraId="5C834261">
            <w:pPr>
              <w:spacing w:before="120" w:after="120" w:line="500" w:lineRule="exact"/>
              <w:jc w:val="center"/>
              <w:rPr>
                <w:rFonts w:ascii="宋体" w:hAnsi="宋体" w:cs="宋体"/>
                <w:sz w:val="24"/>
                <w:highlight w:val="none"/>
              </w:rPr>
            </w:pPr>
            <w:r>
              <w:rPr>
                <w:rFonts w:hint="eastAsia" w:ascii="宋体" w:hAnsi="宋体" w:cs="宋体"/>
                <w:sz w:val="24"/>
                <w:highlight w:val="none"/>
              </w:rPr>
              <w:t>供应商确认收到竞争性磋商文件澄清和修改</w:t>
            </w:r>
          </w:p>
        </w:tc>
        <w:tc>
          <w:tcPr>
            <w:tcW w:w="6653" w:type="dxa"/>
            <w:tcBorders>
              <w:top w:val="single" w:color="auto" w:sz="4" w:space="0"/>
              <w:left w:val="nil"/>
              <w:bottom w:val="single" w:color="auto" w:sz="4" w:space="0"/>
              <w:right w:val="single" w:color="auto" w:sz="4" w:space="0"/>
            </w:tcBorders>
            <w:vAlign w:val="center"/>
          </w:tcPr>
          <w:p w14:paraId="173DD164">
            <w:pPr>
              <w:spacing w:line="500" w:lineRule="exact"/>
              <w:rPr>
                <w:rFonts w:ascii="宋体" w:hAnsi="宋体" w:cs="宋体"/>
                <w:sz w:val="24"/>
                <w:highlight w:val="none"/>
              </w:rPr>
            </w:pPr>
            <w:r>
              <w:rPr>
                <w:rFonts w:hint="eastAsia" w:ascii="宋体" w:hAnsi="宋体" w:cs="宋体"/>
                <w:sz w:val="24"/>
                <w:highlight w:val="none"/>
              </w:rPr>
              <w:t>所有潜在供应商应密切关注三门峡市公共资源交易中心网站，自行查收、下载变更资料。</w:t>
            </w:r>
          </w:p>
        </w:tc>
      </w:tr>
      <w:tr w14:paraId="2C33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74568642">
            <w:pPr>
              <w:pStyle w:val="22"/>
              <w:widowControl w:val="0"/>
              <w:spacing w:before="0" w:beforeAutospacing="0" w:after="0" w:afterAutospacing="0" w:line="500" w:lineRule="exact"/>
              <w:ind w:firstLine="0" w:firstLineChars="0"/>
              <w:jc w:val="center"/>
              <w:rPr>
                <w:rFonts w:hint="eastAsia" w:eastAsia="宋体" w:cs="宋体"/>
                <w:kern w:val="2"/>
                <w:highlight w:val="none"/>
                <w:lang w:eastAsia="zh-CN"/>
              </w:rPr>
            </w:pPr>
            <w:r>
              <w:rPr>
                <w:rFonts w:hint="eastAsia" w:cs="宋体"/>
                <w:highlight w:val="none"/>
              </w:rPr>
              <w:t>2</w:t>
            </w:r>
            <w:r>
              <w:rPr>
                <w:rFonts w:hint="eastAsia" w:cs="宋体"/>
                <w:highlight w:val="none"/>
                <w:lang w:val="en-US" w:eastAsia="zh-CN"/>
              </w:rPr>
              <w:t>0</w:t>
            </w:r>
          </w:p>
        </w:tc>
        <w:tc>
          <w:tcPr>
            <w:tcW w:w="1988" w:type="dxa"/>
            <w:tcBorders>
              <w:top w:val="single" w:color="auto" w:sz="4" w:space="0"/>
              <w:left w:val="nil"/>
              <w:bottom w:val="single" w:color="auto" w:sz="4" w:space="0"/>
              <w:right w:val="single" w:color="auto" w:sz="4" w:space="0"/>
            </w:tcBorders>
            <w:vAlign w:val="center"/>
          </w:tcPr>
          <w:p w14:paraId="4234596D">
            <w:pPr>
              <w:pStyle w:val="22"/>
              <w:widowControl w:val="0"/>
              <w:spacing w:before="0" w:beforeAutospacing="0" w:after="0" w:afterAutospacing="0" w:line="500" w:lineRule="exact"/>
              <w:ind w:firstLine="0" w:firstLineChars="0"/>
              <w:jc w:val="center"/>
              <w:rPr>
                <w:rFonts w:cs="宋体"/>
                <w:kern w:val="2"/>
                <w:highlight w:val="none"/>
              </w:rPr>
            </w:pPr>
            <w:r>
              <w:rPr>
                <w:rFonts w:hint="eastAsia" w:cs="宋体"/>
                <w:highlight w:val="none"/>
              </w:rPr>
              <w:t>磋商有效期</w:t>
            </w:r>
          </w:p>
        </w:tc>
        <w:tc>
          <w:tcPr>
            <w:tcW w:w="6653" w:type="dxa"/>
            <w:tcBorders>
              <w:top w:val="single" w:color="auto" w:sz="4" w:space="0"/>
              <w:left w:val="nil"/>
              <w:bottom w:val="single" w:color="auto" w:sz="4" w:space="0"/>
              <w:right w:val="single" w:color="auto" w:sz="4" w:space="0"/>
            </w:tcBorders>
            <w:vAlign w:val="center"/>
          </w:tcPr>
          <w:p w14:paraId="1F94F42E">
            <w:pPr>
              <w:pStyle w:val="22"/>
              <w:widowControl w:val="0"/>
              <w:spacing w:before="0" w:beforeAutospacing="0" w:after="0" w:afterAutospacing="0" w:line="500" w:lineRule="exact"/>
              <w:ind w:firstLine="0" w:firstLineChars="0"/>
              <w:jc w:val="both"/>
              <w:rPr>
                <w:rFonts w:cs="宋体"/>
                <w:kern w:val="2"/>
                <w:highlight w:val="none"/>
              </w:rPr>
            </w:pPr>
            <w:r>
              <w:rPr>
                <w:rFonts w:hint="eastAsia" w:cs="宋体"/>
                <w:highlight w:val="none"/>
              </w:rPr>
              <w:t>60日历天（从响应文件提交截止之日起）</w:t>
            </w:r>
          </w:p>
        </w:tc>
      </w:tr>
      <w:tr w14:paraId="36B3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28D7359F">
            <w:pPr>
              <w:pStyle w:val="22"/>
              <w:widowControl w:val="0"/>
              <w:spacing w:before="0" w:beforeAutospacing="0" w:after="0" w:afterAutospacing="0" w:line="500" w:lineRule="exact"/>
              <w:ind w:firstLine="0" w:firstLineChars="0"/>
              <w:jc w:val="center"/>
              <w:rPr>
                <w:rFonts w:hint="eastAsia" w:eastAsia="宋体" w:cs="宋体"/>
                <w:kern w:val="2"/>
                <w:highlight w:val="none"/>
                <w:lang w:eastAsia="zh-CN"/>
              </w:rPr>
            </w:pPr>
            <w:r>
              <w:rPr>
                <w:rFonts w:hint="eastAsia" w:cs="宋体"/>
                <w:highlight w:val="none"/>
              </w:rPr>
              <w:t>2</w:t>
            </w:r>
            <w:r>
              <w:rPr>
                <w:rFonts w:hint="eastAsia" w:cs="宋体"/>
                <w:highlight w:val="none"/>
                <w:lang w:val="en-US" w:eastAsia="zh-CN"/>
              </w:rPr>
              <w:t>1</w:t>
            </w:r>
          </w:p>
        </w:tc>
        <w:tc>
          <w:tcPr>
            <w:tcW w:w="1988" w:type="dxa"/>
            <w:tcBorders>
              <w:top w:val="single" w:color="auto" w:sz="4" w:space="0"/>
              <w:left w:val="nil"/>
              <w:bottom w:val="single" w:color="auto" w:sz="4" w:space="0"/>
              <w:right w:val="single" w:color="auto" w:sz="4" w:space="0"/>
            </w:tcBorders>
            <w:vAlign w:val="center"/>
          </w:tcPr>
          <w:p w14:paraId="4E06F71C">
            <w:pPr>
              <w:pStyle w:val="22"/>
              <w:widowControl w:val="0"/>
              <w:spacing w:before="0" w:beforeAutospacing="0" w:after="0" w:afterAutospacing="0" w:line="500" w:lineRule="exact"/>
              <w:ind w:firstLine="0" w:firstLineChars="0"/>
              <w:jc w:val="center"/>
              <w:rPr>
                <w:rFonts w:cs="宋体"/>
                <w:kern w:val="2"/>
                <w:highlight w:val="none"/>
              </w:rPr>
            </w:pPr>
            <w:r>
              <w:rPr>
                <w:rFonts w:hint="eastAsia" w:cs="宋体"/>
                <w:highlight w:val="none"/>
              </w:rPr>
              <w:t>资格审查资料的特殊要求</w:t>
            </w:r>
          </w:p>
        </w:tc>
        <w:tc>
          <w:tcPr>
            <w:tcW w:w="6653" w:type="dxa"/>
            <w:tcBorders>
              <w:top w:val="single" w:color="auto" w:sz="4" w:space="0"/>
              <w:left w:val="nil"/>
              <w:bottom w:val="single" w:color="auto" w:sz="4" w:space="0"/>
              <w:right w:val="single" w:color="auto" w:sz="4" w:space="0"/>
            </w:tcBorders>
            <w:vAlign w:val="center"/>
          </w:tcPr>
          <w:p w14:paraId="070764B8">
            <w:pPr>
              <w:autoSpaceDE w:val="0"/>
              <w:autoSpaceDN w:val="0"/>
              <w:adjustRightInd w:val="0"/>
              <w:spacing w:line="500" w:lineRule="exact"/>
              <w:rPr>
                <w:rFonts w:ascii="宋体" w:hAnsi="宋体" w:cs="宋体"/>
                <w:sz w:val="24"/>
                <w:highlight w:val="none"/>
              </w:rPr>
            </w:pPr>
            <w:r>
              <w:rPr>
                <w:rFonts w:hint="eastAsia" w:ascii="宋体" w:hAnsi="宋体" w:cs="宋体"/>
                <w:sz w:val="24"/>
                <w:highlight w:val="none"/>
              </w:rPr>
              <w:t>1、资格审查资料符合供应商须知前附表</w:t>
            </w:r>
            <w:r>
              <w:rPr>
                <w:rFonts w:hint="eastAsia" w:ascii="宋体" w:hAnsi="宋体" w:cs="宋体"/>
                <w:sz w:val="24"/>
                <w:highlight w:val="none"/>
                <w:lang w:val="en-US" w:eastAsia="zh-CN"/>
              </w:rPr>
              <w:t>“供应商资格要求”的</w:t>
            </w:r>
            <w:r>
              <w:rPr>
                <w:rFonts w:hint="eastAsia" w:ascii="宋体" w:hAnsi="宋体" w:cs="宋体"/>
                <w:sz w:val="24"/>
                <w:highlight w:val="none"/>
              </w:rPr>
              <w:t>规定。</w:t>
            </w:r>
          </w:p>
          <w:p w14:paraId="062D6F46">
            <w:pPr>
              <w:autoSpaceDE w:val="0"/>
              <w:autoSpaceDN w:val="0"/>
              <w:adjustRightInd w:val="0"/>
              <w:spacing w:line="500" w:lineRule="exact"/>
              <w:rPr>
                <w:rFonts w:ascii="宋体" w:hAnsi="宋体" w:cs="宋体"/>
                <w:sz w:val="24"/>
                <w:highlight w:val="none"/>
              </w:rPr>
            </w:pPr>
            <w:r>
              <w:rPr>
                <w:rFonts w:hint="eastAsia" w:ascii="宋体" w:hAnsi="宋体" w:cs="宋体"/>
                <w:sz w:val="24"/>
                <w:highlight w:val="none"/>
              </w:rPr>
              <w:t>2、本项目实行资格后审，资格审查内容以响应文件为准，其资料真实性由供应商自行承担。</w:t>
            </w:r>
          </w:p>
          <w:p w14:paraId="30CB9638">
            <w:pPr>
              <w:autoSpaceDE w:val="0"/>
              <w:autoSpaceDN w:val="0"/>
              <w:adjustRightInd w:val="0"/>
              <w:spacing w:line="500" w:lineRule="exact"/>
              <w:rPr>
                <w:rFonts w:ascii="宋体" w:hAnsi="宋体" w:cs="宋体"/>
                <w:sz w:val="24"/>
                <w:highlight w:val="none"/>
              </w:rPr>
            </w:pPr>
            <w:r>
              <w:rPr>
                <w:rFonts w:hint="eastAsia" w:ascii="宋体" w:hAnsi="宋体" w:cs="宋体"/>
                <w:sz w:val="24"/>
                <w:highlight w:val="none"/>
              </w:rPr>
              <w:t>3、评审打分部分：评审打分部分仍按照100分制原则进行，涉及到资格审查、企业荣誉、人员业绩、企业业绩等计分部分时，以供应商自行上传到响应文件中的相应内容为准。</w:t>
            </w:r>
          </w:p>
          <w:p w14:paraId="649BFF41">
            <w:pPr>
              <w:autoSpaceDE w:val="0"/>
              <w:autoSpaceDN w:val="0"/>
              <w:adjustRightInd w:val="0"/>
              <w:spacing w:line="500" w:lineRule="exact"/>
              <w:rPr>
                <w:rFonts w:ascii="宋体" w:hAnsi="宋体" w:cs="宋体"/>
                <w:sz w:val="24"/>
                <w:highlight w:val="none"/>
              </w:rPr>
            </w:pPr>
            <w:r>
              <w:rPr>
                <w:rFonts w:hint="eastAsia" w:ascii="宋体" w:hAnsi="宋体" w:cs="宋体"/>
                <w:sz w:val="24"/>
                <w:highlight w:val="none"/>
              </w:rPr>
              <w:t>4、供应商按照响应文件格式进行响应文件编制，在响应文件编制时，应明确将供应商企业基本情况、资质情况、人员情况、财务情况、业绩情况等信息编入响应文件，便于进行资格审查及评审打分。</w:t>
            </w:r>
          </w:p>
        </w:tc>
      </w:tr>
      <w:tr w14:paraId="6F05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016C75F7">
            <w:pPr>
              <w:spacing w:line="500" w:lineRule="exact"/>
              <w:jc w:val="center"/>
              <w:rPr>
                <w:rFonts w:hint="eastAsia" w:ascii="宋体" w:hAnsi="宋体" w:eastAsia="宋体" w:cs="宋体"/>
                <w:sz w:val="24"/>
                <w:highlight w:val="none"/>
                <w:lang w:eastAsia="zh-CN"/>
              </w:rPr>
            </w:pPr>
            <w:r>
              <w:rPr>
                <w:rFonts w:hint="eastAsia" w:ascii="宋体" w:hAnsi="宋体" w:cs="宋体"/>
                <w:sz w:val="24"/>
                <w:highlight w:val="none"/>
              </w:rPr>
              <w:t>2</w:t>
            </w:r>
            <w:r>
              <w:rPr>
                <w:rFonts w:hint="eastAsia" w:ascii="宋体" w:hAnsi="宋体" w:cs="宋体"/>
                <w:sz w:val="24"/>
                <w:highlight w:val="none"/>
                <w:lang w:val="en-US" w:eastAsia="zh-CN"/>
              </w:rPr>
              <w:t>2</w:t>
            </w:r>
          </w:p>
        </w:tc>
        <w:tc>
          <w:tcPr>
            <w:tcW w:w="1988" w:type="dxa"/>
            <w:tcBorders>
              <w:top w:val="single" w:color="auto" w:sz="4" w:space="0"/>
              <w:left w:val="nil"/>
              <w:bottom w:val="single" w:color="auto" w:sz="4" w:space="0"/>
              <w:right w:val="single" w:color="auto" w:sz="4" w:space="0"/>
            </w:tcBorders>
            <w:vAlign w:val="center"/>
          </w:tcPr>
          <w:p w14:paraId="14689C0C">
            <w:pPr>
              <w:spacing w:before="120" w:after="120" w:line="500" w:lineRule="exact"/>
              <w:jc w:val="center"/>
              <w:rPr>
                <w:rFonts w:ascii="宋体" w:hAnsi="宋体" w:cs="宋体"/>
                <w:sz w:val="24"/>
                <w:highlight w:val="none"/>
              </w:rPr>
            </w:pPr>
            <w:r>
              <w:rPr>
                <w:rFonts w:hint="eastAsia" w:ascii="宋体" w:hAnsi="宋体" w:cs="宋体"/>
                <w:sz w:val="24"/>
                <w:highlight w:val="none"/>
              </w:rPr>
              <w:t>近年完成的类似项目的时间要求</w:t>
            </w:r>
          </w:p>
        </w:tc>
        <w:tc>
          <w:tcPr>
            <w:tcW w:w="6653" w:type="dxa"/>
            <w:tcBorders>
              <w:top w:val="single" w:color="auto" w:sz="4" w:space="0"/>
              <w:left w:val="nil"/>
              <w:bottom w:val="single" w:color="auto" w:sz="4" w:space="0"/>
              <w:right w:val="single" w:color="auto" w:sz="4" w:space="0"/>
            </w:tcBorders>
            <w:vAlign w:val="center"/>
          </w:tcPr>
          <w:p w14:paraId="7F23000F">
            <w:pPr>
              <w:pStyle w:val="22"/>
              <w:widowControl w:val="0"/>
              <w:spacing w:before="0" w:beforeAutospacing="0" w:after="0" w:afterAutospacing="0" w:line="500" w:lineRule="exact"/>
              <w:ind w:firstLine="0" w:firstLineChars="0"/>
              <w:jc w:val="both"/>
              <w:rPr>
                <w:rFonts w:cs="宋体"/>
                <w:kern w:val="2"/>
                <w:highlight w:val="none"/>
              </w:rPr>
            </w:pPr>
            <w:r>
              <w:rPr>
                <w:rFonts w:hint="eastAsia" w:cs="宋体"/>
                <w:kern w:val="2"/>
                <w:highlight w:val="none"/>
              </w:rPr>
              <w:t>近三年，指202</w:t>
            </w:r>
            <w:r>
              <w:rPr>
                <w:rFonts w:hint="eastAsia" w:cs="宋体"/>
                <w:kern w:val="2"/>
                <w:highlight w:val="none"/>
                <w:lang w:val="en-US" w:eastAsia="zh-CN"/>
              </w:rPr>
              <w:t>3</w:t>
            </w:r>
            <w:r>
              <w:rPr>
                <w:rFonts w:hint="eastAsia" w:cs="宋体"/>
                <w:kern w:val="2"/>
                <w:highlight w:val="none"/>
              </w:rPr>
              <w:t>年01 月 01日 至今</w:t>
            </w:r>
          </w:p>
        </w:tc>
      </w:tr>
      <w:tr w14:paraId="5CA5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07BA5A0D">
            <w:pPr>
              <w:spacing w:line="500" w:lineRule="exact"/>
              <w:jc w:val="center"/>
              <w:rPr>
                <w:rFonts w:hint="eastAsia" w:ascii="宋体" w:hAnsi="宋体" w:eastAsia="宋体" w:cs="宋体"/>
                <w:sz w:val="24"/>
                <w:highlight w:val="none"/>
                <w:lang w:eastAsia="zh-CN"/>
              </w:rPr>
            </w:pPr>
            <w:r>
              <w:rPr>
                <w:rFonts w:hint="eastAsia" w:ascii="宋体" w:hAnsi="宋体" w:cs="宋体"/>
                <w:sz w:val="24"/>
                <w:highlight w:val="none"/>
              </w:rPr>
              <w:t>2</w:t>
            </w:r>
            <w:r>
              <w:rPr>
                <w:rFonts w:hint="eastAsia" w:ascii="宋体" w:hAnsi="宋体" w:cs="宋体"/>
                <w:sz w:val="24"/>
                <w:highlight w:val="none"/>
                <w:lang w:val="en-US" w:eastAsia="zh-CN"/>
              </w:rPr>
              <w:t>3</w:t>
            </w:r>
          </w:p>
        </w:tc>
        <w:tc>
          <w:tcPr>
            <w:tcW w:w="1988" w:type="dxa"/>
            <w:tcBorders>
              <w:top w:val="single" w:color="auto" w:sz="4" w:space="0"/>
              <w:left w:val="nil"/>
              <w:bottom w:val="single" w:color="auto" w:sz="4" w:space="0"/>
              <w:right w:val="single" w:color="auto" w:sz="4" w:space="0"/>
            </w:tcBorders>
            <w:vAlign w:val="center"/>
          </w:tcPr>
          <w:p w14:paraId="6728A18E">
            <w:pPr>
              <w:spacing w:before="120" w:after="120" w:line="500" w:lineRule="exact"/>
              <w:jc w:val="center"/>
              <w:rPr>
                <w:rFonts w:ascii="宋体" w:hAnsi="宋体" w:cs="宋体"/>
                <w:sz w:val="24"/>
                <w:highlight w:val="none"/>
              </w:rPr>
            </w:pPr>
            <w:r>
              <w:rPr>
                <w:rFonts w:hint="eastAsia" w:ascii="宋体" w:hAnsi="宋体" w:cs="宋体"/>
                <w:sz w:val="24"/>
                <w:highlight w:val="none"/>
              </w:rPr>
              <w:t>近年发生的诉讼及仲裁情况的时间要求</w:t>
            </w:r>
          </w:p>
        </w:tc>
        <w:tc>
          <w:tcPr>
            <w:tcW w:w="6653" w:type="dxa"/>
            <w:tcBorders>
              <w:top w:val="single" w:color="auto" w:sz="4" w:space="0"/>
              <w:left w:val="nil"/>
              <w:bottom w:val="single" w:color="auto" w:sz="4" w:space="0"/>
              <w:right w:val="single" w:color="auto" w:sz="4" w:space="0"/>
            </w:tcBorders>
            <w:vAlign w:val="center"/>
          </w:tcPr>
          <w:p w14:paraId="187E91D1">
            <w:pPr>
              <w:pStyle w:val="22"/>
              <w:widowControl w:val="0"/>
              <w:spacing w:before="0" w:beforeAutospacing="0" w:after="0" w:afterAutospacing="0" w:line="500" w:lineRule="exact"/>
              <w:ind w:firstLine="0" w:firstLineChars="0"/>
              <w:jc w:val="both"/>
              <w:rPr>
                <w:rFonts w:cs="宋体"/>
                <w:kern w:val="2"/>
                <w:highlight w:val="none"/>
              </w:rPr>
            </w:pPr>
            <w:r>
              <w:rPr>
                <w:rFonts w:hint="eastAsia" w:cs="宋体"/>
                <w:kern w:val="2"/>
                <w:highlight w:val="none"/>
              </w:rPr>
              <w:t>近三年，指202</w:t>
            </w:r>
            <w:r>
              <w:rPr>
                <w:rFonts w:hint="eastAsia" w:cs="宋体"/>
                <w:kern w:val="2"/>
                <w:highlight w:val="none"/>
                <w:lang w:val="en-US" w:eastAsia="zh-CN"/>
              </w:rPr>
              <w:t>3</w:t>
            </w:r>
            <w:r>
              <w:rPr>
                <w:rFonts w:hint="eastAsia" w:cs="宋体"/>
                <w:kern w:val="2"/>
                <w:highlight w:val="none"/>
              </w:rPr>
              <w:t>年 01月 01日 至今</w:t>
            </w:r>
          </w:p>
        </w:tc>
      </w:tr>
      <w:tr w14:paraId="32FF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19E5FC1F">
            <w:pPr>
              <w:pStyle w:val="22"/>
              <w:widowControl w:val="0"/>
              <w:spacing w:before="0" w:beforeAutospacing="0" w:after="0" w:afterAutospacing="0" w:line="500" w:lineRule="exact"/>
              <w:ind w:firstLine="0" w:firstLineChars="0"/>
              <w:jc w:val="center"/>
              <w:rPr>
                <w:rFonts w:hint="eastAsia" w:eastAsia="宋体" w:cs="宋体"/>
                <w:kern w:val="2"/>
                <w:highlight w:val="none"/>
                <w:lang w:val="en-US" w:eastAsia="zh-CN"/>
              </w:rPr>
            </w:pPr>
            <w:r>
              <w:rPr>
                <w:rFonts w:hint="eastAsia" w:cs="宋体"/>
                <w:highlight w:val="none"/>
              </w:rPr>
              <w:t>2</w:t>
            </w:r>
            <w:r>
              <w:rPr>
                <w:rFonts w:hint="eastAsia" w:cs="宋体"/>
                <w:highlight w:val="none"/>
                <w:lang w:val="en-US" w:eastAsia="zh-CN"/>
              </w:rPr>
              <w:t>4</w:t>
            </w:r>
          </w:p>
        </w:tc>
        <w:tc>
          <w:tcPr>
            <w:tcW w:w="1988" w:type="dxa"/>
            <w:tcBorders>
              <w:top w:val="single" w:color="auto" w:sz="4" w:space="0"/>
              <w:left w:val="nil"/>
              <w:bottom w:val="single" w:color="auto" w:sz="4" w:space="0"/>
              <w:right w:val="single" w:color="auto" w:sz="4" w:space="0"/>
            </w:tcBorders>
            <w:vAlign w:val="center"/>
          </w:tcPr>
          <w:p w14:paraId="06ED4B35">
            <w:pPr>
              <w:spacing w:before="120" w:after="120" w:line="500" w:lineRule="exact"/>
              <w:jc w:val="center"/>
              <w:rPr>
                <w:rFonts w:ascii="宋体" w:hAnsi="宋体" w:cs="宋体"/>
                <w:sz w:val="24"/>
                <w:highlight w:val="none"/>
              </w:rPr>
            </w:pPr>
            <w:r>
              <w:rPr>
                <w:rFonts w:hint="eastAsia" w:ascii="宋体" w:hAnsi="宋体" w:cs="宋体"/>
                <w:sz w:val="24"/>
                <w:highlight w:val="none"/>
              </w:rPr>
              <w:t>是否允许递交备选方案</w:t>
            </w:r>
          </w:p>
        </w:tc>
        <w:tc>
          <w:tcPr>
            <w:tcW w:w="6653" w:type="dxa"/>
            <w:tcBorders>
              <w:top w:val="single" w:color="auto" w:sz="4" w:space="0"/>
              <w:left w:val="nil"/>
              <w:bottom w:val="single" w:color="auto" w:sz="4" w:space="0"/>
              <w:right w:val="single" w:color="auto" w:sz="4" w:space="0"/>
            </w:tcBorders>
            <w:vAlign w:val="center"/>
          </w:tcPr>
          <w:p w14:paraId="2A5C9D2C">
            <w:pPr>
              <w:pStyle w:val="22"/>
              <w:widowControl w:val="0"/>
              <w:spacing w:before="0" w:beforeAutospacing="0" w:after="0" w:afterAutospacing="0" w:line="500" w:lineRule="exact"/>
              <w:ind w:firstLine="0" w:firstLineChars="0"/>
              <w:jc w:val="both"/>
              <w:rPr>
                <w:rFonts w:cs="宋体"/>
                <w:kern w:val="2"/>
                <w:highlight w:val="none"/>
              </w:rPr>
            </w:pPr>
            <w:r>
              <w:rPr>
                <w:rFonts w:hint="eastAsia" w:cs="宋体"/>
                <w:highlight w:val="none"/>
              </w:rPr>
              <w:t>不允许</w:t>
            </w:r>
          </w:p>
        </w:tc>
      </w:tr>
      <w:tr w14:paraId="2EDA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34ADF269">
            <w:pPr>
              <w:pStyle w:val="22"/>
              <w:widowControl w:val="0"/>
              <w:spacing w:before="0" w:beforeAutospacing="0" w:after="0" w:afterAutospacing="0" w:line="500" w:lineRule="exact"/>
              <w:ind w:firstLine="0" w:firstLineChars="0"/>
              <w:jc w:val="center"/>
              <w:rPr>
                <w:rFonts w:hint="eastAsia" w:eastAsia="宋体" w:cs="宋体"/>
                <w:kern w:val="2"/>
                <w:highlight w:val="none"/>
                <w:lang w:eastAsia="zh-CN"/>
              </w:rPr>
            </w:pPr>
            <w:r>
              <w:rPr>
                <w:rFonts w:hint="eastAsia" w:cs="宋体"/>
                <w:highlight w:val="none"/>
              </w:rPr>
              <w:t>2</w:t>
            </w:r>
            <w:r>
              <w:rPr>
                <w:rFonts w:hint="eastAsia" w:cs="宋体"/>
                <w:highlight w:val="none"/>
                <w:lang w:val="en-US" w:eastAsia="zh-CN"/>
              </w:rPr>
              <w:t>5</w:t>
            </w:r>
          </w:p>
        </w:tc>
        <w:tc>
          <w:tcPr>
            <w:tcW w:w="1988" w:type="dxa"/>
            <w:tcBorders>
              <w:top w:val="single" w:color="auto" w:sz="4" w:space="0"/>
              <w:left w:val="nil"/>
              <w:bottom w:val="single" w:color="auto" w:sz="4" w:space="0"/>
              <w:right w:val="single" w:color="auto" w:sz="4" w:space="0"/>
            </w:tcBorders>
            <w:vAlign w:val="center"/>
          </w:tcPr>
          <w:p w14:paraId="4E9A7DB3">
            <w:pPr>
              <w:spacing w:line="500" w:lineRule="exact"/>
              <w:jc w:val="center"/>
              <w:rPr>
                <w:rFonts w:ascii="宋体" w:hAnsi="宋体" w:cs="宋体"/>
                <w:sz w:val="24"/>
                <w:highlight w:val="none"/>
              </w:rPr>
            </w:pPr>
            <w:r>
              <w:rPr>
                <w:rFonts w:hint="eastAsia" w:ascii="宋体" w:hAnsi="宋体" w:cs="宋体"/>
                <w:sz w:val="24"/>
                <w:highlight w:val="none"/>
              </w:rPr>
              <w:t>响应文件签字或盖章要求</w:t>
            </w:r>
          </w:p>
        </w:tc>
        <w:tc>
          <w:tcPr>
            <w:tcW w:w="6653" w:type="dxa"/>
            <w:tcBorders>
              <w:top w:val="single" w:color="auto" w:sz="4" w:space="0"/>
              <w:left w:val="nil"/>
              <w:bottom w:val="single" w:color="auto" w:sz="4" w:space="0"/>
              <w:right w:val="single" w:color="auto" w:sz="4" w:space="0"/>
            </w:tcBorders>
            <w:vAlign w:val="center"/>
          </w:tcPr>
          <w:p w14:paraId="3E590F27">
            <w:pPr>
              <w:autoSpaceDE w:val="0"/>
              <w:autoSpaceDN w:val="0"/>
              <w:adjustRightInd w:val="0"/>
              <w:spacing w:line="500" w:lineRule="exact"/>
              <w:rPr>
                <w:rFonts w:ascii="宋体" w:hAnsi="宋体" w:cs="宋体"/>
                <w:kern w:val="0"/>
                <w:sz w:val="24"/>
                <w:highlight w:val="none"/>
              </w:rPr>
            </w:pPr>
            <w:r>
              <w:rPr>
                <w:rFonts w:hint="eastAsia" w:ascii="宋体" w:hAnsi="宋体" w:cs="宋体"/>
                <w:kern w:val="0"/>
                <w:sz w:val="24"/>
                <w:highlight w:val="none"/>
              </w:rPr>
              <w:t>1、本项目为电子化、无纸化交易项目，响应文件应经过电子签章和加密后生成的电子化响应文件，未对电子化文件进行签章的视为无效响应。供应商磋商时，将不再接受任何纸质文件资料。</w:t>
            </w:r>
          </w:p>
          <w:p w14:paraId="123E1FA7">
            <w:pPr>
              <w:autoSpaceDE w:val="0"/>
              <w:autoSpaceDN w:val="0"/>
              <w:adjustRightInd w:val="0"/>
              <w:spacing w:line="500" w:lineRule="exact"/>
              <w:rPr>
                <w:rFonts w:ascii="宋体" w:hAnsi="宋体" w:cs="宋体"/>
                <w:kern w:val="0"/>
                <w:sz w:val="24"/>
                <w:highlight w:val="none"/>
              </w:rPr>
            </w:pPr>
            <w:r>
              <w:rPr>
                <w:rFonts w:hint="eastAsia" w:ascii="宋体" w:hAnsi="宋体" w:cs="宋体"/>
                <w:kern w:val="0"/>
                <w:sz w:val="24"/>
                <w:highlight w:val="none"/>
              </w:rPr>
              <w:t>2、要求法定代表人或授权委托人签字或盖章的，供应商在进行电子化响应文件签章时，以签盖法定代表人签章为准。</w:t>
            </w:r>
          </w:p>
        </w:tc>
      </w:tr>
      <w:tr w14:paraId="5C11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20D7D215">
            <w:pPr>
              <w:spacing w:line="500" w:lineRule="exact"/>
              <w:jc w:val="center"/>
              <w:rPr>
                <w:rFonts w:hint="eastAsia" w:ascii="宋体" w:hAnsi="宋体" w:eastAsia="宋体" w:cs="宋体"/>
                <w:sz w:val="24"/>
                <w:highlight w:val="none"/>
                <w:lang w:eastAsia="zh-CN"/>
              </w:rPr>
            </w:pPr>
            <w:r>
              <w:rPr>
                <w:rFonts w:hint="eastAsia" w:ascii="宋体" w:hAnsi="宋体" w:cs="宋体"/>
                <w:sz w:val="24"/>
                <w:highlight w:val="none"/>
              </w:rPr>
              <w:t>2</w:t>
            </w:r>
            <w:r>
              <w:rPr>
                <w:rFonts w:hint="eastAsia" w:ascii="宋体" w:hAnsi="宋体" w:cs="宋体"/>
                <w:sz w:val="24"/>
                <w:highlight w:val="none"/>
                <w:lang w:val="en-US" w:eastAsia="zh-CN"/>
              </w:rPr>
              <w:t>6</w:t>
            </w:r>
          </w:p>
        </w:tc>
        <w:tc>
          <w:tcPr>
            <w:tcW w:w="1988" w:type="dxa"/>
            <w:tcBorders>
              <w:top w:val="single" w:color="auto" w:sz="4" w:space="0"/>
              <w:left w:val="nil"/>
              <w:bottom w:val="single" w:color="auto" w:sz="4" w:space="0"/>
              <w:right w:val="single" w:color="auto" w:sz="4" w:space="0"/>
            </w:tcBorders>
            <w:vAlign w:val="center"/>
          </w:tcPr>
          <w:p w14:paraId="1BDAA38A">
            <w:pPr>
              <w:spacing w:line="500" w:lineRule="exact"/>
              <w:jc w:val="center"/>
              <w:rPr>
                <w:rFonts w:ascii="宋体" w:hAnsi="宋体" w:cs="宋体"/>
                <w:sz w:val="24"/>
                <w:highlight w:val="none"/>
              </w:rPr>
            </w:pPr>
            <w:r>
              <w:rPr>
                <w:rFonts w:hint="eastAsia" w:ascii="宋体" w:hAnsi="宋体" w:cs="宋体"/>
                <w:sz w:val="24"/>
                <w:highlight w:val="none"/>
              </w:rPr>
              <w:t>提交首次响应文件截止时间</w:t>
            </w:r>
          </w:p>
        </w:tc>
        <w:tc>
          <w:tcPr>
            <w:tcW w:w="6653" w:type="dxa"/>
            <w:tcBorders>
              <w:top w:val="single" w:color="auto" w:sz="4" w:space="0"/>
              <w:left w:val="nil"/>
              <w:bottom w:val="single" w:color="auto" w:sz="4" w:space="0"/>
              <w:right w:val="single" w:color="auto" w:sz="4" w:space="0"/>
            </w:tcBorders>
            <w:vAlign w:val="center"/>
          </w:tcPr>
          <w:p w14:paraId="7AA9C965">
            <w:pPr>
              <w:autoSpaceDE w:val="0"/>
              <w:autoSpaceDN w:val="0"/>
              <w:adjustRightInd w:val="0"/>
              <w:spacing w:before="50" w:line="500" w:lineRule="exact"/>
              <w:ind w:right="35"/>
              <w:rPr>
                <w:rFonts w:hint="eastAsia" w:ascii="宋体" w:hAnsi="宋体" w:eastAsia="宋体" w:cs="宋体"/>
                <w:kern w:val="0"/>
                <w:sz w:val="24"/>
                <w:highlight w:val="none"/>
                <w:lang w:eastAsia="zh-CN"/>
              </w:rPr>
            </w:pPr>
            <w:r>
              <w:rPr>
                <w:rFonts w:hint="eastAsia" w:ascii="宋体" w:hAnsi="宋体" w:cs="宋体"/>
                <w:kern w:val="0"/>
                <w:sz w:val="24"/>
                <w:highlight w:val="none"/>
              </w:rPr>
              <w:t>202</w:t>
            </w:r>
            <w:r>
              <w:rPr>
                <w:rFonts w:hint="eastAsia" w:ascii="宋体" w:hAnsi="宋体" w:cs="宋体"/>
                <w:kern w:val="0"/>
                <w:sz w:val="24"/>
                <w:highlight w:val="none"/>
                <w:lang w:val="en-US" w:eastAsia="zh-CN"/>
              </w:rPr>
              <w:t>6</w:t>
            </w:r>
            <w:r>
              <w:rPr>
                <w:rFonts w:hint="eastAsia" w:ascii="宋体" w:hAnsi="宋体" w:cs="宋体"/>
                <w:kern w:val="0"/>
                <w:sz w:val="24"/>
                <w:highlight w:val="none"/>
              </w:rPr>
              <w:t>年</w:t>
            </w:r>
            <w:r>
              <w:rPr>
                <w:rFonts w:hint="eastAsia" w:ascii="宋体" w:hAnsi="宋体" w:cs="宋体"/>
                <w:kern w:val="0"/>
                <w:sz w:val="24"/>
                <w:highlight w:val="none"/>
                <w:lang w:val="en-US" w:eastAsia="zh-CN"/>
              </w:rPr>
              <w:t>8</w:t>
            </w:r>
            <w:r>
              <w:rPr>
                <w:rFonts w:hint="eastAsia" w:ascii="宋体" w:hAnsi="宋体" w:cs="宋体"/>
                <w:kern w:val="0"/>
                <w:sz w:val="24"/>
                <w:highlight w:val="none"/>
              </w:rPr>
              <w:t>月</w:t>
            </w:r>
            <w:r>
              <w:rPr>
                <w:rFonts w:hint="eastAsia" w:ascii="宋体" w:hAnsi="宋体" w:cs="宋体"/>
                <w:kern w:val="0"/>
                <w:sz w:val="24"/>
                <w:highlight w:val="none"/>
                <w:lang w:val="en-US" w:eastAsia="zh-CN"/>
              </w:rPr>
              <w:t>20</w:t>
            </w:r>
            <w:r>
              <w:rPr>
                <w:rFonts w:hint="eastAsia" w:ascii="宋体" w:hAnsi="宋体" w:cs="宋体"/>
                <w:kern w:val="0"/>
                <w:sz w:val="24"/>
                <w:highlight w:val="none"/>
              </w:rPr>
              <w:t>日</w:t>
            </w:r>
            <w:r>
              <w:rPr>
                <w:rFonts w:hint="eastAsia" w:ascii="宋体" w:hAnsi="宋体" w:cs="宋体"/>
                <w:kern w:val="0"/>
                <w:sz w:val="24"/>
                <w:highlight w:val="none"/>
                <w:lang w:eastAsia="zh-CN"/>
              </w:rPr>
              <w:t>08时20分</w:t>
            </w:r>
          </w:p>
        </w:tc>
      </w:tr>
      <w:tr w14:paraId="0442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4117CD05">
            <w:pPr>
              <w:pStyle w:val="22"/>
              <w:widowControl w:val="0"/>
              <w:spacing w:before="0" w:beforeAutospacing="0" w:after="0" w:afterAutospacing="0" w:line="500" w:lineRule="exact"/>
              <w:ind w:firstLine="0" w:firstLineChars="0"/>
              <w:jc w:val="center"/>
              <w:rPr>
                <w:rFonts w:hint="eastAsia" w:eastAsia="宋体" w:cs="宋体"/>
                <w:kern w:val="2"/>
                <w:highlight w:val="none"/>
                <w:lang w:eastAsia="zh-CN"/>
              </w:rPr>
            </w:pPr>
            <w:r>
              <w:rPr>
                <w:rFonts w:hint="eastAsia" w:cs="宋体"/>
                <w:kern w:val="2"/>
                <w:highlight w:val="none"/>
              </w:rPr>
              <w:t>2</w:t>
            </w:r>
            <w:r>
              <w:rPr>
                <w:rFonts w:hint="eastAsia" w:cs="宋体"/>
                <w:kern w:val="2"/>
                <w:highlight w:val="none"/>
                <w:lang w:val="en-US" w:eastAsia="zh-CN"/>
              </w:rPr>
              <w:t>7</w:t>
            </w:r>
          </w:p>
        </w:tc>
        <w:tc>
          <w:tcPr>
            <w:tcW w:w="1988" w:type="dxa"/>
            <w:tcBorders>
              <w:top w:val="single" w:color="auto" w:sz="4" w:space="0"/>
              <w:left w:val="nil"/>
              <w:bottom w:val="single" w:color="auto" w:sz="4" w:space="0"/>
              <w:right w:val="single" w:color="auto" w:sz="4" w:space="0"/>
            </w:tcBorders>
            <w:vAlign w:val="center"/>
          </w:tcPr>
          <w:p w14:paraId="6D9F53B0">
            <w:pPr>
              <w:spacing w:before="120" w:after="120" w:line="500" w:lineRule="exact"/>
              <w:jc w:val="center"/>
              <w:rPr>
                <w:rFonts w:ascii="宋体" w:hAnsi="宋体" w:cs="宋体"/>
                <w:sz w:val="24"/>
                <w:highlight w:val="none"/>
              </w:rPr>
            </w:pPr>
            <w:r>
              <w:rPr>
                <w:rFonts w:hint="eastAsia" w:ascii="宋体" w:hAnsi="宋体" w:cs="宋体"/>
                <w:sz w:val="24"/>
                <w:highlight w:val="none"/>
              </w:rPr>
              <w:t>磋商时间和地点</w:t>
            </w:r>
          </w:p>
        </w:tc>
        <w:tc>
          <w:tcPr>
            <w:tcW w:w="6653" w:type="dxa"/>
            <w:tcBorders>
              <w:top w:val="single" w:color="auto" w:sz="4" w:space="0"/>
              <w:left w:val="nil"/>
              <w:bottom w:val="single" w:color="auto" w:sz="4" w:space="0"/>
              <w:right w:val="single" w:color="auto" w:sz="4" w:space="0"/>
            </w:tcBorders>
            <w:vAlign w:val="center"/>
          </w:tcPr>
          <w:p w14:paraId="195793F8">
            <w:pPr>
              <w:autoSpaceDE w:val="0"/>
              <w:autoSpaceDN w:val="0"/>
              <w:adjustRightInd w:val="0"/>
              <w:spacing w:before="50" w:line="500" w:lineRule="exact"/>
              <w:ind w:right="35"/>
              <w:jc w:val="left"/>
              <w:rPr>
                <w:rFonts w:ascii="宋体" w:hAnsi="宋体" w:cs="宋体"/>
                <w:kern w:val="0"/>
                <w:sz w:val="24"/>
                <w:highlight w:val="none"/>
              </w:rPr>
            </w:pPr>
            <w:r>
              <w:rPr>
                <w:rFonts w:hint="eastAsia" w:ascii="宋体" w:hAnsi="宋体" w:cs="宋体"/>
                <w:kern w:val="0"/>
                <w:sz w:val="24"/>
                <w:highlight w:val="none"/>
              </w:rPr>
              <w:t>磋商时间：同</w:t>
            </w:r>
            <w:r>
              <w:rPr>
                <w:rFonts w:hint="eastAsia" w:ascii="宋体" w:hAnsi="宋体" w:cs="宋体"/>
                <w:sz w:val="24"/>
                <w:highlight w:val="none"/>
              </w:rPr>
              <w:t>提交首次响应文件截止时间</w:t>
            </w:r>
          </w:p>
          <w:p w14:paraId="1D4815B8">
            <w:pPr>
              <w:autoSpaceDE w:val="0"/>
              <w:autoSpaceDN w:val="0"/>
              <w:adjustRightInd w:val="0"/>
              <w:spacing w:before="50" w:line="500" w:lineRule="exact"/>
              <w:ind w:right="35"/>
              <w:jc w:val="left"/>
              <w:rPr>
                <w:rFonts w:ascii="宋体" w:hAnsi="宋体" w:cs="宋体"/>
                <w:sz w:val="24"/>
                <w:highlight w:val="none"/>
              </w:rPr>
            </w:pPr>
            <w:r>
              <w:rPr>
                <w:rFonts w:hint="eastAsia" w:ascii="宋体" w:hAnsi="宋体" w:cs="宋体"/>
                <w:kern w:val="0"/>
                <w:sz w:val="24"/>
                <w:highlight w:val="none"/>
              </w:rPr>
              <w:t>磋商地点：</w:t>
            </w:r>
            <w:r>
              <w:rPr>
                <w:rFonts w:hint="eastAsia" w:ascii="宋体" w:hAnsi="宋体"/>
                <w:sz w:val="24"/>
                <w:highlight w:val="none"/>
              </w:rPr>
              <w:t>三门峡市陕州区公共资源交易中心</w:t>
            </w:r>
          </w:p>
        </w:tc>
      </w:tr>
      <w:tr w14:paraId="1B8D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34CE72C3">
            <w:pPr>
              <w:spacing w:line="50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28</w:t>
            </w:r>
          </w:p>
        </w:tc>
        <w:tc>
          <w:tcPr>
            <w:tcW w:w="1988" w:type="dxa"/>
            <w:tcBorders>
              <w:top w:val="single" w:color="auto" w:sz="4" w:space="0"/>
              <w:left w:val="nil"/>
              <w:bottom w:val="single" w:color="auto" w:sz="4" w:space="0"/>
              <w:right w:val="single" w:color="auto" w:sz="4" w:space="0"/>
            </w:tcBorders>
            <w:vAlign w:val="center"/>
          </w:tcPr>
          <w:p w14:paraId="42D80360">
            <w:pPr>
              <w:spacing w:line="500" w:lineRule="exact"/>
              <w:jc w:val="center"/>
              <w:rPr>
                <w:rFonts w:ascii="宋体" w:hAnsi="宋体" w:cs="宋体"/>
                <w:sz w:val="24"/>
                <w:highlight w:val="none"/>
              </w:rPr>
            </w:pPr>
            <w:r>
              <w:rPr>
                <w:rFonts w:hint="eastAsia" w:ascii="宋体" w:hAnsi="宋体" w:cs="宋体"/>
                <w:sz w:val="24"/>
                <w:highlight w:val="none"/>
              </w:rPr>
              <w:t>磋商程序</w:t>
            </w:r>
          </w:p>
        </w:tc>
        <w:tc>
          <w:tcPr>
            <w:tcW w:w="6653" w:type="dxa"/>
            <w:tcBorders>
              <w:top w:val="single" w:color="auto" w:sz="4" w:space="0"/>
              <w:left w:val="nil"/>
              <w:bottom w:val="single" w:color="auto" w:sz="4" w:space="0"/>
              <w:right w:val="single" w:color="auto" w:sz="4" w:space="0"/>
            </w:tcBorders>
            <w:vAlign w:val="center"/>
          </w:tcPr>
          <w:p w14:paraId="55F62DBB">
            <w:pPr>
              <w:autoSpaceDE w:val="0"/>
              <w:autoSpaceDN w:val="0"/>
              <w:adjustRightInd w:val="0"/>
              <w:spacing w:before="50" w:line="500" w:lineRule="exact"/>
              <w:ind w:right="35"/>
              <w:jc w:val="left"/>
              <w:rPr>
                <w:rFonts w:ascii="宋体" w:hAnsi="宋体" w:cs="宋体"/>
                <w:sz w:val="24"/>
                <w:highlight w:val="none"/>
              </w:rPr>
            </w:pPr>
            <w:r>
              <w:rPr>
                <w:rFonts w:ascii="宋体" w:hAnsi="宋体" w:cs="宋体"/>
                <w:sz w:val="24"/>
                <w:highlight w:val="none"/>
              </w:rPr>
              <w:t>1.</w:t>
            </w:r>
            <w:r>
              <w:rPr>
                <w:rFonts w:hint="eastAsia" w:ascii="宋体" w:hAnsi="宋体" w:cs="宋体"/>
                <w:sz w:val="24"/>
                <w:highlight w:val="none"/>
              </w:rPr>
              <w:t>成立磋商小组</w:t>
            </w:r>
          </w:p>
          <w:p w14:paraId="635B9F68">
            <w:pPr>
              <w:autoSpaceDE w:val="0"/>
              <w:autoSpaceDN w:val="0"/>
              <w:adjustRightInd w:val="0"/>
              <w:spacing w:before="50" w:line="500" w:lineRule="exact"/>
              <w:ind w:right="35"/>
              <w:jc w:val="left"/>
              <w:rPr>
                <w:rFonts w:ascii="宋体" w:hAnsi="宋体" w:cs="宋体"/>
                <w:sz w:val="24"/>
                <w:highlight w:val="none"/>
              </w:rPr>
            </w:pPr>
            <w:r>
              <w:rPr>
                <w:rFonts w:ascii="宋体" w:hAnsi="宋体" w:cs="宋体"/>
                <w:sz w:val="24"/>
                <w:highlight w:val="none"/>
              </w:rPr>
              <w:t>2.</w:t>
            </w:r>
            <w:r>
              <w:rPr>
                <w:rFonts w:hint="eastAsia" w:ascii="宋体" w:hAnsi="宋体" w:cs="宋体"/>
                <w:sz w:val="24"/>
                <w:highlight w:val="none"/>
              </w:rPr>
              <w:t>制定或确认竞争性磋商文件</w:t>
            </w:r>
          </w:p>
          <w:p w14:paraId="2F29A380">
            <w:pPr>
              <w:autoSpaceDE w:val="0"/>
              <w:autoSpaceDN w:val="0"/>
              <w:adjustRightInd w:val="0"/>
              <w:spacing w:before="50" w:line="500" w:lineRule="exact"/>
              <w:ind w:right="35"/>
              <w:jc w:val="left"/>
              <w:rPr>
                <w:rFonts w:ascii="宋体" w:hAnsi="宋体" w:cs="宋体"/>
                <w:sz w:val="24"/>
                <w:highlight w:val="none"/>
              </w:rPr>
            </w:pPr>
            <w:r>
              <w:rPr>
                <w:rFonts w:ascii="宋体" w:hAnsi="宋体" w:cs="宋体"/>
                <w:sz w:val="24"/>
                <w:highlight w:val="none"/>
              </w:rPr>
              <w:t>3.</w:t>
            </w:r>
            <w:r>
              <w:rPr>
                <w:rFonts w:hint="eastAsia" w:ascii="宋体" w:hAnsi="宋体" w:cs="宋体"/>
                <w:sz w:val="24"/>
                <w:highlight w:val="none"/>
              </w:rPr>
              <w:t>确定不少于</w:t>
            </w:r>
            <w:r>
              <w:rPr>
                <w:rFonts w:ascii="宋体" w:hAnsi="宋体" w:cs="宋体"/>
                <w:sz w:val="24"/>
                <w:highlight w:val="none"/>
              </w:rPr>
              <w:t>3</w:t>
            </w:r>
            <w:r>
              <w:rPr>
                <w:rFonts w:hint="eastAsia" w:ascii="宋体" w:hAnsi="宋体" w:cs="宋体"/>
                <w:sz w:val="24"/>
                <w:highlight w:val="none"/>
              </w:rPr>
              <w:t>家的供应商参加磋商</w:t>
            </w:r>
          </w:p>
          <w:p w14:paraId="3867196A">
            <w:pPr>
              <w:autoSpaceDE w:val="0"/>
              <w:autoSpaceDN w:val="0"/>
              <w:adjustRightInd w:val="0"/>
              <w:spacing w:before="50" w:line="500" w:lineRule="exact"/>
              <w:ind w:right="35"/>
              <w:jc w:val="left"/>
              <w:rPr>
                <w:rFonts w:ascii="宋体" w:hAnsi="宋体" w:cs="宋体"/>
                <w:sz w:val="24"/>
                <w:highlight w:val="none"/>
              </w:rPr>
            </w:pPr>
            <w:r>
              <w:rPr>
                <w:rFonts w:ascii="宋体" w:hAnsi="宋体" w:cs="宋体"/>
                <w:sz w:val="24"/>
                <w:highlight w:val="none"/>
              </w:rPr>
              <w:t>4.</w:t>
            </w:r>
            <w:r>
              <w:rPr>
                <w:rFonts w:hint="eastAsia" w:ascii="宋体" w:hAnsi="宋体" w:cs="宋体"/>
                <w:sz w:val="24"/>
                <w:highlight w:val="none"/>
              </w:rPr>
              <w:t>磋商</w:t>
            </w:r>
          </w:p>
          <w:p w14:paraId="0305D807">
            <w:pPr>
              <w:autoSpaceDE w:val="0"/>
              <w:autoSpaceDN w:val="0"/>
              <w:adjustRightInd w:val="0"/>
              <w:spacing w:before="50" w:line="500" w:lineRule="exact"/>
              <w:ind w:right="35"/>
              <w:jc w:val="left"/>
              <w:rPr>
                <w:rFonts w:ascii="宋体" w:hAnsi="宋体" w:cs="宋体"/>
                <w:sz w:val="24"/>
                <w:highlight w:val="none"/>
              </w:rPr>
            </w:pPr>
            <w:r>
              <w:rPr>
                <w:rFonts w:ascii="宋体" w:hAnsi="宋体" w:cs="宋体"/>
                <w:sz w:val="24"/>
                <w:highlight w:val="none"/>
              </w:rPr>
              <w:t>5.</w:t>
            </w:r>
            <w:r>
              <w:rPr>
                <w:rFonts w:hint="eastAsia" w:ascii="宋体" w:hAnsi="宋体" w:cs="宋体"/>
                <w:sz w:val="24"/>
                <w:highlight w:val="none"/>
              </w:rPr>
              <w:t>确定成交供应商</w:t>
            </w:r>
          </w:p>
          <w:p w14:paraId="30D838AE">
            <w:pPr>
              <w:autoSpaceDE w:val="0"/>
              <w:autoSpaceDN w:val="0"/>
              <w:adjustRightInd w:val="0"/>
              <w:spacing w:before="50" w:line="500" w:lineRule="exact"/>
              <w:ind w:right="35"/>
              <w:jc w:val="left"/>
              <w:rPr>
                <w:rFonts w:ascii="宋体" w:hAnsi="宋体" w:cs="宋体"/>
                <w:sz w:val="24"/>
                <w:highlight w:val="none"/>
              </w:rPr>
            </w:pPr>
            <w:r>
              <w:rPr>
                <w:rFonts w:ascii="宋体" w:hAnsi="宋体" w:cs="宋体"/>
                <w:sz w:val="24"/>
                <w:highlight w:val="none"/>
              </w:rPr>
              <w:t>6.</w:t>
            </w:r>
            <w:r>
              <w:rPr>
                <w:rFonts w:hint="eastAsia" w:ascii="宋体" w:hAnsi="宋体" w:cs="宋体"/>
                <w:sz w:val="24"/>
                <w:highlight w:val="none"/>
              </w:rPr>
              <w:t>在指定媒体公布结果</w:t>
            </w:r>
          </w:p>
        </w:tc>
      </w:tr>
      <w:tr w14:paraId="6AAB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79D247A8">
            <w:pPr>
              <w:spacing w:line="50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29</w:t>
            </w:r>
          </w:p>
        </w:tc>
        <w:tc>
          <w:tcPr>
            <w:tcW w:w="1988" w:type="dxa"/>
            <w:tcBorders>
              <w:top w:val="single" w:color="auto" w:sz="4" w:space="0"/>
              <w:left w:val="nil"/>
              <w:bottom w:val="single" w:color="auto" w:sz="4" w:space="0"/>
              <w:right w:val="single" w:color="auto" w:sz="4" w:space="0"/>
            </w:tcBorders>
            <w:vAlign w:val="center"/>
          </w:tcPr>
          <w:p w14:paraId="420D8A27">
            <w:pPr>
              <w:spacing w:before="120" w:after="120" w:line="500" w:lineRule="exact"/>
              <w:jc w:val="center"/>
              <w:rPr>
                <w:rFonts w:ascii="宋体" w:hAnsi="宋体" w:cs="宋体"/>
                <w:sz w:val="24"/>
                <w:highlight w:val="none"/>
              </w:rPr>
            </w:pPr>
            <w:r>
              <w:rPr>
                <w:rFonts w:hint="eastAsia" w:ascii="宋体" w:hAnsi="宋体" w:cs="宋体"/>
                <w:sz w:val="24"/>
                <w:highlight w:val="none"/>
              </w:rPr>
              <w:t>磋商小组的</w:t>
            </w:r>
          </w:p>
          <w:p w14:paraId="55C1C2E0">
            <w:pPr>
              <w:spacing w:before="120" w:after="120" w:line="500" w:lineRule="exact"/>
              <w:jc w:val="center"/>
              <w:rPr>
                <w:rFonts w:ascii="宋体" w:hAnsi="宋体" w:cs="宋体"/>
                <w:sz w:val="24"/>
                <w:highlight w:val="none"/>
              </w:rPr>
            </w:pPr>
            <w:r>
              <w:rPr>
                <w:rFonts w:hint="eastAsia" w:ascii="宋体" w:hAnsi="宋体" w:cs="宋体"/>
                <w:sz w:val="24"/>
                <w:highlight w:val="none"/>
              </w:rPr>
              <w:t>组建</w:t>
            </w:r>
          </w:p>
        </w:tc>
        <w:tc>
          <w:tcPr>
            <w:tcW w:w="6653" w:type="dxa"/>
            <w:tcBorders>
              <w:top w:val="single" w:color="auto" w:sz="4" w:space="0"/>
              <w:left w:val="nil"/>
              <w:bottom w:val="single" w:color="auto" w:sz="4" w:space="0"/>
              <w:right w:val="single" w:color="auto" w:sz="4" w:space="0"/>
            </w:tcBorders>
            <w:vAlign w:val="center"/>
          </w:tcPr>
          <w:p w14:paraId="45614A56">
            <w:pPr>
              <w:spacing w:line="500" w:lineRule="exact"/>
              <w:rPr>
                <w:rFonts w:hint="eastAsia" w:ascii="宋体" w:hAnsi="宋体" w:cs="宋体"/>
                <w:sz w:val="24"/>
                <w:highlight w:val="none"/>
              </w:rPr>
            </w:pPr>
            <w:r>
              <w:rPr>
                <w:rFonts w:hint="eastAsia" w:ascii="宋体" w:hAnsi="宋体" w:cs="宋体"/>
                <w:sz w:val="24"/>
                <w:highlight w:val="none"/>
              </w:rPr>
              <w:t>磋商小组由采购人代表和评审专家共3人组成，其中采购人代表1人，其余评审专家2人开标当天在三门峡市陕州区公共资源交易中心从河南省</w:t>
            </w:r>
            <w:r>
              <w:rPr>
                <w:rFonts w:hint="eastAsia" w:ascii="宋体" w:hAnsi="宋体" w:cs="宋体"/>
                <w:sz w:val="24"/>
                <w:highlight w:val="none"/>
                <w:lang w:val="en-US" w:eastAsia="zh-CN"/>
              </w:rPr>
              <w:t>财政厅</w:t>
            </w:r>
            <w:r>
              <w:rPr>
                <w:rFonts w:hint="eastAsia" w:ascii="宋体" w:hAnsi="宋体" w:cs="宋体"/>
                <w:sz w:val="24"/>
                <w:highlight w:val="none"/>
              </w:rPr>
              <w:t>电子化政府采购系统评标专家库随机抽取确定。</w:t>
            </w:r>
          </w:p>
          <w:p w14:paraId="201057C2">
            <w:pPr>
              <w:spacing w:line="500" w:lineRule="exact"/>
              <w:rPr>
                <w:rFonts w:hint="eastAsia" w:ascii="宋体" w:hAnsi="宋体" w:cs="宋体"/>
                <w:sz w:val="24"/>
                <w:highlight w:val="none"/>
              </w:rPr>
            </w:pPr>
            <w:r>
              <w:rPr>
                <w:rFonts w:hint="eastAsia" w:ascii="宋体" w:hAnsi="宋体" w:cs="宋体"/>
                <w:b/>
                <w:bCs/>
                <w:sz w:val="24"/>
                <w:highlight w:val="none"/>
              </w:rPr>
              <w:t>备注：业主评委无</w:t>
            </w:r>
            <w:r>
              <w:rPr>
                <w:rFonts w:hint="eastAsia" w:ascii="宋体" w:hAnsi="宋体" w:cs="宋体"/>
                <w:b/>
                <w:bCs/>
                <w:sz w:val="24"/>
                <w:highlight w:val="none"/>
                <w:lang w:val="en-US" w:eastAsia="zh-CN"/>
              </w:rPr>
              <w:t>评审</w:t>
            </w:r>
            <w:r>
              <w:rPr>
                <w:rFonts w:hint="eastAsia" w:ascii="宋体" w:hAnsi="宋体" w:cs="宋体"/>
                <w:b/>
                <w:bCs/>
                <w:sz w:val="24"/>
                <w:highlight w:val="none"/>
              </w:rPr>
              <w:t>劳务费用。</w:t>
            </w:r>
          </w:p>
        </w:tc>
      </w:tr>
      <w:tr w14:paraId="57E9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5DE8A697">
            <w:pPr>
              <w:spacing w:line="500" w:lineRule="exact"/>
              <w:jc w:val="center"/>
              <w:rPr>
                <w:rFonts w:hint="eastAsia" w:ascii="宋体" w:hAnsi="宋体" w:eastAsia="宋体" w:cs="宋体"/>
                <w:sz w:val="24"/>
                <w:highlight w:val="none"/>
                <w:lang w:eastAsia="zh-CN"/>
              </w:rPr>
            </w:pPr>
            <w:r>
              <w:rPr>
                <w:rFonts w:hint="eastAsia" w:ascii="宋体" w:hAnsi="宋体" w:cs="宋体"/>
                <w:sz w:val="24"/>
                <w:highlight w:val="none"/>
              </w:rPr>
              <w:t>3</w:t>
            </w:r>
            <w:r>
              <w:rPr>
                <w:rFonts w:hint="eastAsia" w:ascii="宋体" w:hAnsi="宋体" w:cs="宋体"/>
                <w:sz w:val="24"/>
                <w:highlight w:val="none"/>
                <w:lang w:val="en-US" w:eastAsia="zh-CN"/>
              </w:rPr>
              <w:t>0</w:t>
            </w:r>
          </w:p>
        </w:tc>
        <w:tc>
          <w:tcPr>
            <w:tcW w:w="1988" w:type="dxa"/>
            <w:tcBorders>
              <w:top w:val="single" w:color="auto" w:sz="4" w:space="0"/>
              <w:left w:val="nil"/>
              <w:bottom w:val="single" w:color="auto" w:sz="4" w:space="0"/>
              <w:right w:val="single" w:color="auto" w:sz="4" w:space="0"/>
            </w:tcBorders>
            <w:vAlign w:val="center"/>
          </w:tcPr>
          <w:p w14:paraId="024FCF51">
            <w:pPr>
              <w:tabs>
                <w:tab w:val="left" w:pos="180"/>
              </w:tabs>
              <w:spacing w:line="500" w:lineRule="exact"/>
              <w:jc w:val="center"/>
              <w:rPr>
                <w:rFonts w:ascii="宋体" w:hAnsi="宋体" w:cs="宋体"/>
                <w:sz w:val="24"/>
                <w:highlight w:val="none"/>
              </w:rPr>
            </w:pPr>
            <w:r>
              <w:rPr>
                <w:rFonts w:hint="eastAsia" w:ascii="宋体" w:hAnsi="宋体" w:cs="宋体"/>
                <w:sz w:val="24"/>
                <w:highlight w:val="none"/>
              </w:rPr>
              <w:t>是否授权磋商小组确定成交人</w:t>
            </w:r>
          </w:p>
        </w:tc>
        <w:tc>
          <w:tcPr>
            <w:tcW w:w="6653" w:type="dxa"/>
            <w:tcBorders>
              <w:top w:val="single" w:color="auto" w:sz="4" w:space="0"/>
              <w:left w:val="nil"/>
              <w:bottom w:val="single" w:color="auto" w:sz="4" w:space="0"/>
              <w:right w:val="single" w:color="auto" w:sz="4" w:space="0"/>
            </w:tcBorders>
            <w:vAlign w:val="center"/>
          </w:tcPr>
          <w:p w14:paraId="185FF89E">
            <w:pPr>
              <w:tabs>
                <w:tab w:val="left" w:pos="180"/>
              </w:tabs>
              <w:spacing w:line="500" w:lineRule="exact"/>
              <w:jc w:val="left"/>
              <w:rPr>
                <w:rFonts w:hint="default" w:ascii="宋体" w:hAnsi="宋体" w:eastAsia="宋体" w:cs="宋体"/>
                <w:sz w:val="24"/>
                <w:highlight w:val="none"/>
                <w:lang w:val="en-US" w:eastAsia="zh-CN"/>
              </w:rPr>
            </w:pPr>
            <w:r>
              <w:rPr>
                <w:rFonts w:hint="eastAsia" w:ascii="宋体" w:hAnsi="宋体" w:cs="宋体"/>
                <w:sz w:val="24"/>
                <w:highlight w:val="none"/>
              </w:rPr>
              <w:t>否，推荐的成交候选人数：3名</w:t>
            </w:r>
            <w:r>
              <w:rPr>
                <w:rFonts w:hint="eastAsia" w:ascii="宋体" w:hAnsi="宋体" w:cs="宋体"/>
                <w:sz w:val="24"/>
                <w:highlight w:val="none"/>
                <w:lang w:eastAsia="zh-CN"/>
              </w:rPr>
              <w:t>；</w:t>
            </w:r>
          </w:p>
        </w:tc>
      </w:tr>
      <w:tr w14:paraId="7964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08CF72AF">
            <w:pPr>
              <w:pStyle w:val="22"/>
              <w:widowControl w:val="0"/>
              <w:spacing w:before="0" w:beforeAutospacing="0" w:after="0" w:afterAutospacing="0" w:line="500" w:lineRule="exact"/>
              <w:ind w:firstLine="0" w:firstLineChars="0"/>
              <w:jc w:val="center"/>
              <w:rPr>
                <w:rFonts w:hint="eastAsia" w:eastAsia="宋体" w:cs="宋体"/>
                <w:kern w:val="2"/>
                <w:highlight w:val="none"/>
                <w:lang w:eastAsia="zh-CN"/>
              </w:rPr>
            </w:pPr>
            <w:r>
              <w:rPr>
                <w:rFonts w:hint="eastAsia" w:cs="宋体"/>
                <w:kern w:val="2"/>
                <w:highlight w:val="none"/>
              </w:rPr>
              <w:t>3</w:t>
            </w:r>
            <w:r>
              <w:rPr>
                <w:rFonts w:hint="eastAsia" w:cs="宋体"/>
                <w:kern w:val="2"/>
                <w:highlight w:val="none"/>
                <w:lang w:val="en-US" w:eastAsia="zh-CN"/>
              </w:rPr>
              <w:t>1</w:t>
            </w:r>
          </w:p>
        </w:tc>
        <w:tc>
          <w:tcPr>
            <w:tcW w:w="1988" w:type="dxa"/>
            <w:tcBorders>
              <w:top w:val="single" w:color="auto" w:sz="4" w:space="0"/>
              <w:left w:val="nil"/>
              <w:bottom w:val="single" w:color="auto" w:sz="4" w:space="0"/>
              <w:right w:val="single" w:color="auto" w:sz="4" w:space="0"/>
            </w:tcBorders>
            <w:vAlign w:val="center"/>
          </w:tcPr>
          <w:p w14:paraId="0317032A">
            <w:pPr>
              <w:spacing w:line="500" w:lineRule="exact"/>
              <w:jc w:val="center"/>
              <w:rPr>
                <w:rFonts w:ascii="宋体" w:hAnsi="宋体" w:cs="_5b8b_4f53"/>
                <w:sz w:val="24"/>
                <w:highlight w:val="none"/>
              </w:rPr>
            </w:pPr>
            <w:r>
              <w:rPr>
                <w:rFonts w:hint="eastAsia" w:ascii="宋体" w:hAnsi="宋体" w:cs="_5b8b_4f53"/>
                <w:sz w:val="24"/>
                <w:highlight w:val="none"/>
              </w:rPr>
              <w:t>电子化交易</w:t>
            </w:r>
          </w:p>
          <w:p w14:paraId="22CA5D9E">
            <w:pPr>
              <w:spacing w:before="120" w:after="120" w:line="500" w:lineRule="exact"/>
              <w:jc w:val="center"/>
              <w:rPr>
                <w:rFonts w:ascii="宋体" w:hAnsi="宋体" w:cs="宋体"/>
                <w:sz w:val="24"/>
                <w:highlight w:val="none"/>
              </w:rPr>
            </w:pPr>
            <w:r>
              <w:rPr>
                <w:rFonts w:hint="eastAsia" w:ascii="宋体" w:hAnsi="宋体" w:cs="_5b8b_4f53"/>
                <w:sz w:val="24"/>
                <w:highlight w:val="none"/>
              </w:rPr>
              <w:t>注意事项</w:t>
            </w:r>
          </w:p>
        </w:tc>
        <w:tc>
          <w:tcPr>
            <w:tcW w:w="6653" w:type="dxa"/>
            <w:tcBorders>
              <w:top w:val="single" w:color="auto" w:sz="4" w:space="0"/>
              <w:left w:val="nil"/>
              <w:bottom w:val="single" w:color="auto" w:sz="4" w:space="0"/>
              <w:right w:val="single" w:color="auto" w:sz="4" w:space="0"/>
            </w:tcBorders>
            <w:vAlign w:val="center"/>
          </w:tcPr>
          <w:p w14:paraId="5536296A">
            <w:pPr>
              <w:spacing w:line="500" w:lineRule="exact"/>
              <w:rPr>
                <w:rFonts w:ascii="宋体" w:hAnsi="宋体" w:cs="宋体"/>
                <w:sz w:val="24"/>
                <w:highlight w:val="none"/>
              </w:rPr>
            </w:pPr>
            <w:r>
              <w:rPr>
                <w:rFonts w:hint="eastAsia" w:ascii="宋体" w:hAnsi="宋体" w:cs="宋体"/>
                <w:sz w:val="24"/>
                <w:highlight w:val="none"/>
              </w:rPr>
              <w:t>具体要求：本项目为电子化、无纸化交易项目，响应文件是供应商通过中心磋商响应文件制作系统制作，并经过签章和加密后生成的电子版磋商响应文件。</w:t>
            </w:r>
          </w:p>
          <w:p w14:paraId="13C4DE2C">
            <w:pPr>
              <w:spacing w:line="500" w:lineRule="exact"/>
              <w:rPr>
                <w:rFonts w:ascii="宋体" w:hAnsi="宋体" w:cs="宋体"/>
                <w:sz w:val="24"/>
                <w:highlight w:val="none"/>
              </w:rPr>
            </w:pPr>
            <w:r>
              <w:rPr>
                <w:rFonts w:hint="eastAsia" w:ascii="宋体" w:hAnsi="宋体" w:cs="宋体"/>
                <w:sz w:val="24"/>
                <w:highlight w:val="none"/>
              </w:rPr>
              <w:t>电子化磋商响应文件具体制作文件请点击</w:t>
            </w:r>
            <w:r>
              <w:rPr>
                <w:rFonts w:ascii="仿宋" w:hAnsi="仿宋" w:eastAsia="仿宋" w:cs="宋体"/>
                <w:color w:val="000000"/>
                <w:sz w:val="24"/>
                <w:highlight w:val="none"/>
              </w:rPr>
              <w:fldChar w:fldCharType="begin"/>
            </w:r>
            <w:r>
              <w:rPr>
                <w:rFonts w:ascii="仿宋" w:hAnsi="仿宋" w:eastAsia="仿宋" w:cs="宋体"/>
                <w:color w:val="000000"/>
                <w:sz w:val="24"/>
                <w:highlight w:val="none"/>
              </w:rPr>
              <w:instrText xml:space="preserve"> HYPERLINK "http://t.cn/A6ZvtVob" </w:instrText>
            </w:r>
            <w:r>
              <w:rPr>
                <w:rFonts w:ascii="仿宋" w:hAnsi="仿宋" w:eastAsia="仿宋" w:cs="宋体"/>
                <w:color w:val="000000"/>
                <w:sz w:val="24"/>
                <w:highlight w:val="none"/>
              </w:rPr>
              <w:fldChar w:fldCharType="separate"/>
            </w:r>
            <w:r>
              <w:rPr>
                <w:rStyle w:val="37"/>
                <w:rFonts w:ascii="仿宋" w:hAnsi="仿宋" w:eastAsia="仿宋" w:cs="宋体"/>
                <w:color w:val="000000"/>
                <w:sz w:val="24"/>
                <w:highlight w:val="none"/>
              </w:rPr>
              <w:t>https://download.bqpoint.com/download/downloaddetail.html?SourceFrom=Ztb&amp;ZtbSoftXiaQuCode=1506&amp;ZtbSoftType=tballinclusive</w:t>
            </w:r>
            <w:r>
              <w:rPr>
                <w:rFonts w:ascii="仿宋" w:hAnsi="仿宋" w:eastAsia="仿宋" w:cs="宋体"/>
                <w:color w:val="000000"/>
                <w:sz w:val="24"/>
                <w:highlight w:val="none"/>
              </w:rPr>
              <w:fldChar w:fldCharType="end"/>
            </w:r>
            <w:r>
              <w:rPr>
                <w:rFonts w:hint="eastAsia" w:ascii="宋体" w:hAnsi="宋体" w:cs="宋体"/>
                <w:sz w:val="24"/>
                <w:highlight w:val="none"/>
              </w:rPr>
              <w:t>进行下载。</w:t>
            </w:r>
          </w:p>
          <w:p w14:paraId="4412D186">
            <w:pPr>
              <w:spacing w:line="500" w:lineRule="exact"/>
              <w:rPr>
                <w:rFonts w:ascii="宋体" w:hAnsi="宋体" w:cs="宋体"/>
                <w:sz w:val="24"/>
                <w:highlight w:val="none"/>
              </w:rPr>
            </w:pPr>
            <w:r>
              <w:rPr>
                <w:rFonts w:hint="eastAsia" w:ascii="宋体" w:hAnsi="宋体" w:cs="宋体"/>
                <w:b/>
                <w:sz w:val="24"/>
                <w:highlight w:val="none"/>
              </w:rPr>
              <w:t>温馨提示：本项目为电子化、无纸化交易项目，为保证您能投标成功，请需仔细阅读以下条款。</w:t>
            </w:r>
          </w:p>
          <w:p w14:paraId="2A864A24">
            <w:pPr>
              <w:spacing w:line="500" w:lineRule="exact"/>
              <w:rPr>
                <w:rFonts w:ascii="宋体" w:hAnsi="宋体" w:cs="宋体"/>
                <w:b/>
                <w:sz w:val="24"/>
                <w:highlight w:val="none"/>
              </w:rPr>
            </w:pPr>
            <w:r>
              <w:rPr>
                <w:rFonts w:hint="eastAsia" w:ascii="宋体" w:hAnsi="宋体" w:cs="宋体"/>
                <w:b/>
                <w:sz w:val="24"/>
                <w:highlight w:val="none"/>
              </w:rPr>
              <w:t>一、电子化投标</w:t>
            </w:r>
          </w:p>
          <w:p w14:paraId="54B73CD9">
            <w:pPr>
              <w:spacing w:line="500" w:lineRule="exact"/>
              <w:rPr>
                <w:rFonts w:ascii="宋体" w:hAnsi="宋体" w:cs="宋体"/>
                <w:sz w:val="24"/>
                <w:highlight w:val="none"/>
              </w:rPr>
            </w:pPr>
            <w:r>
              <w:rPr>
                <w:rFonts w:hint="eastAsia" w:ascii="宋体" w:hAnsi="宋体" w:cs="宋体"/>
                <w:sz w:val="24"/>
                <w:highlight w:val="none"/>
              </w:rPr>
              <w:t>（一）网上磋商保证金的缴纳</w:t>
            </w:r>
          </w:p>
          <w:p w14:paraId="2F47531C">
            <w:pPr>
              <w:spacing w:line="500" w:lineRule="exact"/>
              <w:rPr>
                <w:rFonts w:ascii="宋体" w:hAnsi="宋体" w:cs="宋体"/>
                <w:sz w:val="24"/>
                <w:highlight w:val="none"/>
              </w:rPr>
            </w:pPr>
            <w:r>
              <w:rPr>
                <w:rFonts w:hint="eastAsia" w:ascii="宋体" w:hAnsi="宋体" w:cs="宋体"/>
                <w:sz w:val="24"/>
                <w:highlight w:val="none"/>
              </w:rPr>
              <w:t>本项目不收取磋商保证金。</w:t>
            </w:r>
          </w:p>
          <w:p w14:paraId="733BB83B">
            <w:pPr>
              <w:spacing w:line="500" w:lineRule="exact"/>
              <w:rPr>
                <w:rFonts w:ascii="宋体" w:hAnsi="宋体" w:cs="宋体"/>
                <w:sz w:val="24"/>
                <w:highlight w:val="none"/>
              </w:rPr>
            </w:pPr>
            <w:r>
              <w:rPr>
                <w:rFonts w:hint="eastAsia" w:ascii="宋体" w:hAnsi="宋体" w:cs="宋体"/>
                <w:sz w:val="24"/>
                <w:highlight w:val="none"/>
              </w:rPr>
              <w:t>（二）电子化响应文件的签章</w:t>
            </w:r>
          </w:p>
          <w:p w14:paraId="43B79B25">
            <w:pPr>
              <w:spacing w:line="500" w:lineRule="exact"/>
              <w:rPr>
                <w:rFonts w:ascii="宋体" w:hAnsi="宋体" w:cs="宋体"/>
                <w:sz w:val="24"/>
                <w:highlight w:val="none"/>
              </w:rPr>
            </w:pPr>
            <w:r>
              <w:rPr>
                <w:rFonts w:hint="eastAsia" w:ascii="宋体" w:hAnsi="宋体" w:cs="宋体"/>
                <w:sz w:val="24"/>
                <w:highlight w:val="none"/>
              </w:rPr>
              <w:t>1、供应商在生成电子化磋商响应文件后，应对电子化磋商响应文件进行签章，未进行签章的视为无效响应。</w:t>
            </w:r>
          </w:p>
          <w:p w14:paraId="596CE40F">
            <w:pPr>
              <w:spacing w:line="500" w:lineRule="exact"/>
              <w:rPr>
                <w:rFonts w:ascii="宋体" w:hAnsi="宋体" w:cs="宋体"/>
                <w:sz w:val="24"/>
                <w:highlight w:val="none"/>
              </w:rPr>
            </w:pPr>
            <w:r>
              <w:rPr>
                <w:rFonts w:hint="eastAsia" w:ascii="宋体" w:hAnsi="宋体" w:cs="宋体"/>
                <w:sz w:val="24"/>
                <w:highlight w:val="none"/>
              </w:rPr>
              <w:t>2、</w:t>
            </w:r>
            <w:r>
              <w:rPr>
                <w:rFonts w:hint="eastAsia" w:ascii="宋体" w:hAnsi="宋体" w:cs="宋体"/>
                <w:b/>
                <w:sz w:val="24"/>
                <w:highlight w:val="none"/>
              </w:rPr>
              <w:t>竞争性磋商文件中要求磋商响应供应商盖章的，以签盖单位章为准；要求法定代表人或授权代理人签章的，以签盖法定代表人签章为准</w:t>
            </w:r>
            <w:r>
              <w:rPr>
                <w:rFonts w:hint="eastAsia" w:ascii="宋体" w:hAnsi="宋体" w:cs="宋体"/>
                <w:sz w:val="24"/>
                <w:highlight w:val="none"/>
              </w:rPr>
              <w:t>。</w:t>
            </w:r>
          </w:p>
          <w:p w14:paraId="3F929297">
            <w:pPr>
              <w:spacing w:line="500" w:lineRule="exact"/>
              <w:rPr>
                <w:rFonts w:ascii="宋体" w:hAnsi="宋体" w:cs="宋体"/>
                <w:b/>
                <w:sz w:val="24"/>
                <w:highlight w:val="none"/>
              </w:rPr>
            </w:pPr>
            <w:r>
              <w:rPr>
                <w:rFonts w:hint="eastAsia" w:ascii="宋体" w:hAnsi="宋体" w:cs="宋体"/>
                <w:sz w:val="24"/>
                <w:highlight w:val="none"/>
              </w:rPr>
              <w:t>（三）电子化磋商响应文件的格式及上传</w:t>
            </w:r>
          </w:p>
          <w:p w14:paraId="32DF2D57">
            <w:pPr>
              <w:spacing w:line="500" w:lineRule="exact"/>
              <w:rPr>
                <w:rFonts w:ascii="宋体" w:hAnsi="宋体" w:cs="宋体"/>
                <w:sz w:val="24"/>
                <w:highlight w:val="none"/>
              </w:rPr>
            </w:pPr>
            <w:r>
              <w:rPr>
                <w:rFonts w:hint="eastAsia" w:ascii="宋体" w:hAnsi="宋体" w:cs="宋体"/>
                <w:sz w:val="24"/>
                <w:highlight w:val="none"/>
              </w:rPr>
              <w:t>1、供应商所上传的电子化磋商响应文件，应是通过中心</w:t>
            </w:r>
            <w:r>
              <w:rPr>
                <w:rFonts w:hint="eastAsia" w:ascii="宋体" w:hAnsi="宋体" w:cs="宋体"/>
                <w:sz w:val="24"/>
                <w:highlight w:val="none"/>
                <w:lang w:eastAsia="zh-CN"/>
              </w:rPr>
              <w:t>响应文件</w:t>
            </w:r>
            <w:r>
              <w:rPr>
                <w:rFonts w:hint="eastAsia" w:ascii="宋体" w:hAnsi="宋体" w:cs="宋体"/>
                <w:sz w:val="24"/>
                <w:highlight w:val="none"/>
              </w:rPr>
              <w:t>制作系统制作的（</w:t>
            </w:r>
            <w:r>
              <w:rPr>
                <w:rFonts w:hint="eastAsia" w:ascii="宋体" w:hAnsi="宋体" w:cs="宋体"/>
                <w:sz w:val="24"/>
                <w:highlight w:val="none"/>
                <w:lang w:eastAsia="zh-CN"/>
              </w:rPr>
              <w:t>响应文件</w:t>
            </w:r>
            <w:r>
              <w:rPr>
                <w:rFonts w:hint="eastAsia" w:ascii="宋体" w:hAnsi="宋体" w:cs="宋体"/>
                <w:sz w:val="24"/>
                <w:highlight w:val="none"/>
              </w:rPr>
              <w:t>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6B3EA8AF">
            <w:pPr>
              <w:spacing w:line="500" w:lineRule="exact"/>
              <w:rPr>
                <w:rFonts w:ascii="宋体" w:hAnsi="宋体" w:cs="宋体"/>
                <w:sz w:val="24"/>
                <w:highlight w:val="none"/>
              </w:rPr>
            </w:pPr>
            <w:r>
              <w:rPr>
                <w:rFonts w:hint="eastAsia" w:ascii="宋体" w:hAnsi="宋体" w:cs="宋体"/>
                <w:sz w:val="24"/>
                <w:highlight w:val="none"/>
              </w:rPr>
              <w:t>电子化磋商响应文件具体制作教材请供应商点击以下链接学习</w:t>
            </w:r>
            <w:r>
              <w:rPr>
                <w:rFonts w:ascii="宋体" w:hAnsi="宋体" w:cs="宋体"/>
                <w:sz w:val="24"/>
                <w:highlight w:val="none"/>
              </w:rPr>
              <w:t>https://t.cn/A625r72N</w:t>
            </w:r>
          </w:p>
          <w:p w14:paraId="69462464">
            <w:pPr>
              <w:spacing w:line="500" w:lineRule="exact"/>
              <w:rPr>
                <w:rFonts w:ascii="宋体" w:hAnsi="宋体" w:cs="宋体"/>
                <w:b/>
                <w:sz w:val="24"/>
                <w:highlight w:val="none"/>
              </w:rPr>
            </w:pPr>
            <w:r>
              <w:rPr>
                <w:rFonts w:hint="eastAsia" w:ascii="宋体" w:hAnsi="宋体" w:cs="宋体"/>
                <w:b/>
                <w:sz w:val="24"/>
                <w:highlight w:val="none"/>
              </w:rPr>
              <w:t>注：供应商投报多个标段的，需要每个标段单独制作电子磋商响应文件。</w:t>
            </w:r>
          </w:p>
          <w:p w14:paraId="13CAB7EE">
            <w:pPr>
              <w:numPr>
                <w:ilvl w:val="0"/>
                <w:numId w:val="1"/>
              </w:numPr>
              <w:spacing w:line="500" w:lineRule="exact"/>
              <w:ind w:firstLine="573"/>
              <w:rPr>
                <w:rFonts w:ascii="宋体" w:hAnsi="宋体" w:cs="宋体"/>
                <w:sz w:val="24"/>
                <w:highlight w:val="none"/>
              </w:rPr>
            </w:pPr>
            <w:r>
              <w:rPr>
                <w:rFonts w:hint="eastAsia" w:ascii="宋体" w:hAnsi="宋体" w:cs="宋体"/>
                <w:sz w:val="24"/>
                <w:highlight w:val="none"/>
              </w:rPr>
              <w:t>电子化磋商响应文件应在磋商时间前成功上传至三门峡市公共资源电子化交易系统。至磋商时间止，仍未上传成功的电子化磋商响应文件将不予接收。</w:t>
            </w:r>
          </w:p>
          <w:p w14:paraId="660D2504">
            <w:pPr>
              <w:spacing w:line="500" w:lineRule="exact"/>
              <w:ind w:firstLine="573"/>
              <w:rPr>
                <w:rFonts w:ascii="宋体" w:hAnsi="宋体" w:cs="宋体"/>
                <w:sz w:val="24"/>
                <w:highlight w:val="none"/>
              </w:rPr>
            </w:pPr>
            <w:r>
              <w:rPr>
                <w:rFonts w:hint="eastAsia" w:ascii="宋体" w:hAnsi="宋体" w:cs="宋体"/>
                <w:b/>
                <w:sz w:val="24"/>
                <w:highlight w:val="none"/>
              </w:rPr>
              <w:t>注：</w:t>
            </w:r>
            <w:r>
              <w:rPr>
                <w:rFonts w:hint="eastAsia" w:ascii="宋体" w:hAnsi="宋体" w:cs="宋体"/>
                <w:sz w:val="24"/>
                <w:highlight w:val="none"/>
              </w:rPr>
              <w:t>如按照电子化投标操作教材制作完成的电子化磋商响应文件无法上传的，供应商应在</w:t>
            </w:r>
            <w:r>
              <w:rPr>
                <w:rFonts w:hint="eastAsia" w:ascii="宋体" w:hAnsi="宋体" w:cs="宋体"/>
                <w:b/>
                <w:sz w:val="24"/>
                <w:highlight w:val="none"/>
              </w:rPr>
              <w:t>磋商时间前尽早的</w:t>
            </w:r>
            <w:r>
              <w:rPr>
                <w:rFonts w:hint="eastAsia" w:ascii="宋体" w:hAnsi="宋体" w:cs="宋体"/>
                <w:sz w:val="24"/>
                <w:highlight w:val="none"/>
              </w:rPr>
              <w:t>联系中心技术人员，以便有充分的时间进行处理。</w:t>
            </w:r>
            <w:r>
              <w:rPr>
                <w:rFonts w:hint="eastAsia" w:ascii="宋体" w:hAnsi="宋体" w:cs="宋体"/>
                <w:b/>
                <w:sz w:val="24"/>
                <w:highlight w:val="none"/>
              </w:rPr>
              <w:t>供应商应充分考虑到处理技术问题和上传数据等工作所需的时间问题，响应文件未在磋商时间前成功上传的，其磋商响应文件不予接收。</w:t>
            </w:r>
          </w:p>
          <w:p w14:paraId="61CFAE89">
            <w:pPr>
              <w:spacing w:line="500" w:lineRule="exact"/>
              <w:ind w:left="1680" w:hanging="1680" w:hangingChars="700"/>
              <w:rPr>
                <w:rFonts w:ascii="宋体" w:hAnsi="宋体" w:cs="宋体"/>
                <w:sz w:val="24"/>
                <w:highlight w:val="none"/>
              </w:rPr>
            </w:pPr>
            <w:r>
              <w:rPr>
                <w:rFonts w:hint="eastAsia" w:ascii="宋体" w:hAnsi="宋体" w:cs="宋体"/>
                <w:sz w:val="24"/>
                <w:highlight w:val="none"/>
              </w:rPr>
              <w:t>技术联系电话：4009980000</w:t>
            </w:r>
          </w:p>
          <w:p w14:paraId="393E808C">
            <w:pPr>
              <w:spacing w:line="500" w:lineRule="exact"/>
              <w:rPr>
                <w:rFonts w:ascii="宋体" w:hAnsi="宋体" w:cs="宋体"/>
                <w:sz w:val="24"/>
                <w:highlight w:val="none"/>
              </w:rPr>
            </w:pPr>
            <w:r>
              <w:rPr>
                <w:rFonts w:hint="eastAsia" w:ascii="宋体" w:hAnsi="宋体" w:cs="宋体"/>
                <w:sz w:val="24"/>
                <w:highlight w:val="none"/>
              </w:rPr>
              <w:t>（四）电子化项目开标、解密、唱标、评审</w:t>
            </w:r>
          </w:p>
          <w:p w14:paraId="7EE09DB4">
            <w:pPr>
              <w:spacing w:line="500" w:lineRule="exact"/>
              <w:ind w:firstLine="573"/>
              <w:rPr>
                <w:rFonts w:ascii="宋体" w:hAnsi="宋体" w:cs="宋体"/>
                <w:sz w:val="24"/>
                <w:highlight w:val="none"/>
              </w:rPr>
            </w:pPr>
            <w:r>
              <w:rPr>
                <w:rFonts w:hint="eastAsia" w:ascii="宋体" w:hAnsi="宋体" w:cs="宋体"/>
                <w:sz w:val="24"/>
                <w:highlight w:val="none"/>
              </w:rPr>
              <w:t>1、本项目采用</w:t>
            </w:r>
            <w:r>
              <w:rPr>
                <w:rFonts w:hint="eastAsia" w:ascii="宋体" w:hAnsi="宋体" w:cs="宋体"/>
                <w:b/>
                <w:sz w:val="24"/>
                <w:highlight w:val="none"/>
              </w:rPr>
              <w:t>电子化、无纸化</w:t>
            </w:r>
            <w:r>
              <w:rPr>
                <w:rFonts w:hint="eastAsia" w:ascii="宋体" w:hAnsi="宋体" w:cs="宋体"/>
                <w:sz w:val="24"/>
                <w:highlight w:val="none"/>
              </w:rPr>
              <w:t>进行采购，磋商当日，供应商无需到现场参加磋商会议，供应商应当在磋商时间前，登陆不见面开标大厅选择登陆三门峡市公共资源电子招投标系统进行登陆（网址为http://t.cn/A6huPROa）,在线准时参加开标活动并进行磋商响应文件解密等。</w:t>
            </w:r>
          </w:p>
          <w:p w14:paraId="1873A0A6">
            <w:pPr>
              <w:spacing w:line="500" w:lineRule="exact"/>
              <w:ind w:firstLine="573"/>
              <w:rPr>
                <w:rFonts w:ascii="宋体" w:hAnsi="宋体" w:cs="宋体"/>
                <w:sz w:val="24"/>
                <w:highlight w:val="none"/>
              </w:rPr>
            </w:pPr>
            <w:r>
              <w:rPr>
                <w:rFonts w:hint="eastAsia" w:ascii="宋体" w:hAnsi="宋体" w:cs="宋体"/>
                <w:sz w:val="24"/>
                <w:highlight w:val="none"/>
              </w:rPr>
              <w:t>2、电子化磋商响应文件采用一次加密方式。磋商时，由供应商使用CA 证书，在规定时间内对其电子化磋商响应文件进行解密。每位供应商的解密时间为开标时间起30 分钟内，如在规定时间内未完成解密的，其磋商响应文件不予开标、唱标。</w:t>
            </w:r>
          </w:p>
          <w:p w14:paraId="1ABE1E1F">
            <w:pPr>
              <w:spacing w:line="500" w:lineRule="exact"/>
              <w:ind w:firstLine="573"/>
              <w:rPr>
                <w:rFonts w:ascii="宋体" w:hAnsi="宋体" w:cs="宋体"/>
                <w:b/>
                <w:sz w:val="24"/>
                <w:highlight w:val="none"/>
              </w:rPr>
            </w:pPr>
            <w:r>
              <w:rPr>
                <w:rFonts w:hint="eastAsia" w:ascii="宋体" w:hAnsi="宋体" w:cs="宋体"/>
                <w:sz w:val="24"/>
                <w:highlight w:val="none"/>
              </w:rPr>
              <w:t>3、电子化磋商响应文件解密异常的处理</w:t>
            </w:r>
          </w:p>
          <w:p w14:paraId="383EEC92">
            <w:pPr>
              <w:spacing w:line="500" w:lineRule="exact"/>
              <w:ind w:firstLine="480" w:firstLineChars="200"/>
              <w:rPr>
                <w:rFonts w:ascii="宋体" w:hAnsi="宋体" w:cs="宋体"/>
                <w:sz w:val="24"/>
                <w:highlight w:val="none"/>
              </w:rPr>
            </w:pPr>
            <w:r>
              <w:rPr>
                <w:rFonts w:hint="eastAsia" w:ascii="宋体" w:hAnsi="宋体" w:cs="宋体"/>
                <w:sz w:val="24"/>
                <w:highlight w:val="none"/>
              </w:rPr>
              <w:t>如出现供应商的电子磋商响应文件无法解密等异常情况，供应商应及时致电中介服务机构说明。磋商响应文件异常，按以下步骤进行处理：</w:t>
            </w:r>
          </w:p>
          <w:p w14:paraId="6E4B4CEB">
            <w:pPr>
              <w:spacing w:line="500" w:lineRule="exact"/>
              <w:ind w:firstLine="573"/>
              <w:rPr>
                <w:rFonts w:ascii="宋体" w:hAnsi="宋体" w:cs="宋体"/>
                <w:sz w:val="24"/>
                <w:highlight w:val="none"/>
              </w:rPr>
            </w:pPr>
            <w:r>
              <w:rPr>
                <w:rFonts w:hint="eastAsia" w:ascii="宋体" w:hAnsi="宋体" w:cs="宋体"/>
                <w:sz w:val="24"/>
                <w:highlight w:val="none"/>
              </w:rPr>
              <w:t>（1）首先由技术人员进行问题排查。</w:t>
            </w:r>
          </w:p>
          <w:p w14:paraId="6B707C24">
            <w:pPr>
              <w:spacing w:line="500" w:lineRule="exact"/>
              <w:ind w:firstLine="573"/>
              <w:rPr>
                <w:rFonts w:ascii="宋体" w:hAnsi="宋体" w:cs="宋体"/>
                <w:sz w:val="24"/>
                <w:highlight w:val="none"/>
              </w:rPr>
            </w:pPr>
            <w:r>
              <w:rPr>
                <w:rFonts w:hint="eastAsia" w:ascii="宋体" w:hAnsi="宋体" w:cs="宋体"/>
                <w:sz w:val="24"/>
                <w:highlight w:val="none"/>
              </w:rPr>
              <w:t>（2）经技术人员排查后，是供应商文件自身问题导致磋商响应文件无法解密的，该磋商响应文件将不予接收、解密和唱标。开标会议继续进行。</w:t>
            </w:r>
          </w:p>
          <w:p w14:paraId="14318E24">
            <w:pPr>
              <w:spacing w:line="500" w:lineRule="exact"/>
              <w:ind w:firstLine="573"/>
              <w:rPr>
                <w:rFonts w:ascii="宋体" w:hAnsi="宋体" w:cs="宋体"/>
                <w:sz w:val="24"/>
                <w:highlight w:val="none"/>
              </w:rPr>
            </w:pPr>
            <w:r>
              <w:rPr>
                <w:rFonts w:hint="eastAsia" w:ascii="宋体" w:hAnsi="宋体" w:cs="宋体"/>
                <w:sz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4E339D78">
            <w:pPr>
              <w:spacing w:line="500" w:lineRule="exact"/>
              <w:ind w:firstLine="573"/>
              <w:rPr>
                <w:rFonts w:ascii="宋体" w:hAnsi="宋体" w:cs="宋体"/>
                <w:sz w:val="24"/>
                <w:highlight w:val="none"/>
              </w:rPr>
            </w:pPr>
            <w:r>
              <w:rPr>
                <w:rFonts w:hint="eastAsia" w:ascii="宋体" w:hAnsi="宋体" w:cs="宋体"/>
                <w:sz w:val="24"/>
                <w:highlight w:val="none"/>
              </w:rPr>
              <w:t>4、待所有供应商磋商响应文件解密完成后，由中介服务机构操作，对所有已解密磋商响应文件进行唱标。</w:t>
            </w:r>
          </w:p>
          <w:p w14:paraId="6BD389A5">
            <w:pPr>
              <w:spacing w:line="500" w:lineRule="exact"/>
              <w:ind w:firstLine="573"/>
              <w:rPr>
                <w:rFonts w:ascii="宋体" w:hAnsi="宋体" w:cs="宋体"/>
                <w:sz w:val="24"/>
                <w:highlight w:val="none"/>
              </w:rPr>
            </w:pPr>
            <w:r>
              <w:rPr>
                <w:rFonts w:hint="eastAsia" w:ascii="宋体" w:hAnsi="宋体" w:cs="宋体"/>
                <w:b/>
                <w:sz w:val="24"/>
                <w:highlight w:val="none"/>
              </w:rPr>
              <w:t>供应商应保证在开标期间电话、电脑、网络能够正常工作，供应商因停电、电脑病毒、网络堵塞等原因，未在规定的解密时间内对磋商响应文件进行解密的，其磋商响应文件不予接收、唱标。</w:t>
            </w:r>
          </w:p>
          <w:p w14:paraId="25C471D5">
            <w:pPr>
              <w:spacing w:line="500" w:lineRule="exact"/>
              <w:ind w:firstLine="573"/>
              <w:rPr>
                <w:rFonts w:ascii="宋体" w:hAnsi="宋体" w:cs="宋体"/>
                <w:sz w:val="24"/>
                <w:highlight w:val="none"/>
              </w:rPr>
            </w:pPr>
            <w:r>
              <w:rPr>
                <w:rFonts w:hint="eastAsia" w:ascii="宋体" w:hAnsi="宋体" w:cs="宋体"/>
                <w:sz w:val="24"/>
                <w:highlight w:val="none"/>
              </w:rPr>
              <w:t>5、磋商时供应商可登录到交易系统中在开标解密栏中点击报价一览表查看自己的报价。如对自己的唱标内容有异议的，应在供应商解密成功后10分钟内向中介服务机构电话质疑。中介服务机构应在监督人员的监督下进行免提通话接受供应商的质疑并做好书面记录。供应商未在规定时间内提出质疑的，视为认可唱标内容。</w:t>
            </w:r>
          </w:p>
          <w:p w14:paraId="1AD7A209">
            <w:pPr>
              <w:spacing w:line="500" w:lineRule="exact"/>
              <w:ind w:firstLine="573"/>
              <w:rPr>
                <w:rFonts w:ascii="宋体" w:hAnsi="宋体" w:cs="宋体"/>
                <w:sz w:val="24"/>
                <w:highlight w:val="none"/>
              </w:rPr>
            </w:pPr>
            <w:r>
              <w:rPr>
                <w:rFonts w:hint="eastAsia" w:ascii="宋体" w:hAnsi="宋体" w:cs="宋体"/>
                <w:sz w:val="24"/>
                <w:highlight w:val="none"/>
              </w:rPr>
              <w:t>6、评审时，磋商小组对电子化磋商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磋商小组。</w:t>
            </w:r>
          </w:p>
          <w:p w14:paraId="1D018868">
            <w:pPr>
              <w:spacing w:line="500" w:lineRule="exact"/>
              <w:ind w:firstLine="573"/>
              <w:rPr>
                <w:rFonts w:ascii="宋体" w:hAnsi="宋体" w:cs="宋体"/>
                <w:b/>
                <w:sz w:val="24"/>
                <w:highlight w:val="none"/>
              </w:rPr>
            </w:pPr>
            <w:r>
              <w:rPr>
                <w:rFonts w:hint="eastAsia" w:ascii="宋体" w:hAnsi="宋体" w:cs="宋体"/>
                <w:sz w:val="24"/>
                <w:highlight w:val="none"/>
              </w:rPr>
              <w:t>7、如磋商小组对需要回复的供应商连续三次致电未接通的，视为供应商放弃回复，磋商小组将自行对需要回复的内容进行认定。</w:t>
            </w:r>
          </w:p>
        </w:tc>
      </w:tr>
      <w:tr w14:paraId="37AE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0" w:type="dxa"/>
            <w:gridSpan w:val="3"/>
            <w:tcBorders>
              <w:top w:val="single" w:color="auto" w:sz="4" w:space="0"/>
              <w:left w:val="single" w:color="auto" w:sz="4" w:space="0"/>
              <w:bottom w:val="single" w:color="auto" w:sz="4" w:space="0"/>
              <w:right w:val="single" w:color="auto" w:sz="4" w:space="0"/>
            </w:tcBorders>
            <w:vAlign w:val="center"/>
          </w:tcPr>
          <w:p w14:paraId="1BBD8CA0">
            <w:pPr>
              <w:spacing w:before="120" w:after="120" w:line="500" w:lineRule="exact"/>
              <w:rPr>
                <w:rFonts w:ascii="宋体" w:hAnsi="宋体" w:cs="宋体"/>
                <w:sz w:val="24"/>
                <w:highlight w:val="none"/>
              </w:rPr>
            </w:pPr>
            <w:r>
              <w:rPr>
                <w:rFonts w:hint="eastAsia" w:ascii="宋体" w:hAnsi="宋体" w:cs="宋体"/>
                <w:b/>
                <w:sz w:val="24"/>
                <w:highlight w:val="none"/>
              </w:rPr>
              <w:t>需要补充的其他内容</w:t>
            </w:r>
          </w:p>
        </w:tc>
      </w:tr>
      <w:tr w14:paraId="2E1C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59" w:type="dxa"/>
            <w:vMerge w:val="restart"/>
            <w:tcBorders>
              <w:top w:val="single" w:color="auto" w:sz="4" w:space="0"/>
              <w:left w:val="single" w:color="auto" w:sz="4" w:space="0"/>
              <w:right w:val="single" w:color="auto" w:sz="4" w:space="0"/>
            </w:tcBorders>
            <w:vAlign w:val="center"/>
          </w:tcPr>
          <w:p w14:paraId="39D3AA7F">
            <w:pPr>
              <w:spacing w:before="120" w:after="120" w:line="500" w:lineRule="exact"/>
              <w:jc w:val="center"/>
              <w:rPr>
                <w:rFonts w:hint="eastAsia" w:ascii="宋体" w:hAnsi="宋体" w:eastAsia="宋体" w:cs="宋体"/>
                <w:sz w:val="24"/>
                <w:highlight w:val="none"/>
                <w:lang w:eastAsia="zh-CN"/>
              </w:rPr>
            </w:pPr>
            <w:r>
              <w:rPr>
                <w:rFonts w:hint="eastAsia" w:ascii="宋体" w:hAnsi="宋体" w:cs="宋体"/>
                <w:sz w:val="24"/>
                <w:highlight w:val="none"/>
              </w:rPr>
              <w:t>3</w:t>
            </w:r>
            <w:r>
              <w:rPr>
                <w:rFonts w:hint="eastAsia" w:ascii="宋体" w:hAnsi="宋体" w:cs="宋体"/>
                <w:sz w:val="24"/>
                <w:highlight w:val="none"/>
                <w:lang w:val="en-US" w:eastAsia="zh-CN"/>
              </w:rPr>
              <w:t>2</w:t>
            </w:r>
          </w:p>
        </w:tc>
        <w:tc>
          <w:tcPr>
            <w:tcW w:w="1988" w:type="dxa"/>
            <w:tcBorders>
              <w:top w:val="single" w:color="auto" w:sz="4" w:space="0"/>
              <w:left w:val="nil"/>
              <w:bottom w:val="single" w:color="auto" w:sz="4" w:space="0"/>
              <w:right w:val="single" w:color="auto" w:sz="4" w:space="0"/>
            </w:tcBorders>
            <w:vAlign w:val="center"/>
          </w:tcPr>
          <w:p w14:paraId="7E0E6183">
            <w:pPr>
              <w:spacing w:before="120" w:after="120" w:line="500" w:lineRule="exact"/>
              <w:jc w:val="center"/>
              <w:rPr>
                <w:rFonts w:hint="eastAsia" w:ascii="宋体" w:hAnsi="宋体" w:eastAsia="宋体" w:cs="宋体"/>
                <w:sz w:val="24"/>
                <w:highlight w:val="none"/>
                <w:lang w:eastAsia="zh-CN"/>
              </w:rPr>
            </w:pPr>
            <w:r>
              <w:rPr>
                <w:rFonts w:hint="eastAsia" w:ascii="宋体" w:hAnsi="宋体" w:cs="宋体"/>
                <w:sz w:val="24"/>
                <w:highlight w:val="none"/>
                <w:lang w:val="en-US" w:eastAsia="zh-CN"/>
              </w:rPr>
              <w:t>项目预算</w:t>
            </w:r>
          </w:p>
        </w:tc>
        <w:tc>
          <w:tcPr>
            <w:tcW w:w="6653" w:type="dxa"/>
            <w:tcBorders>
              <w:top w:val="single" w:color="auto" w:sz="4" w:space="0"/>
              <w:left w:val="nil"/>
              <w:bottom w:val="single" w:color="auto" w:sz="4" w:space="0"/>
              <w:right w:val="single" w:color="auto" w:sz="4" w:space="0"/>
            </w:tcBorders>
            <w:vAlign w:val="center"/>
          </w:tcPr>
          <w:p w14:paraId="50E18498">
            <w:pPr>
              <w:numPr>
                <w:ilvl w:val="0"/>
                <w:numId w:val="2"/>
              </w:numPr>
              <w:spacing w:line="500" w:lineRule="exact"/>
              <w:rPr>
                <w:rFonts w:hint="eastAsia" w:ascii="宋体" w:hAnsi="宋体"/>
                <w:sz w:val="24"/>
                <w:highlight w:val="none"/>
                <w:lang w:val="en-US" w:eastAsia="zh-CN"/>
              </w:rPr>
            </w:pPr>
            <w:r>
              <w:rPr>
                <w:rFonts w:hint="eastAsia" w:ascii="宋体" w:hAnsi="宋体" w:cs="宋体"/>
                <w:sz w:val="24"/>
                <w:highlight w:val="none"/>
                <w:lang w:val="en-US" w:eastAsia="zh-CN"/>
              </w:rPr>
              <w:t>本项目预算金额</w:t>
            </w:r>
            <w:r>
              <w:rPr>
                <w:rFonts w:hint="eastAsia" w:ascii="宋体" w:hAnsi="宋体" w:eastAsia="宋体" w:cs="宋体"/>
                <w:sz w:val="24"/>
                <w:highlight w:val="none"/>
              </w:rPr>
              <w:t>为</w:t>
            </w:r>
            <w:r>
              <w:rPr>
                <w:rFonts w:hint="eastAsia" w:ascii="宋体" w:hAnsi="宋体"/>
                <w:sz w:val="24"/>
                <w:highlight w:val="none"/>
                <w:lang w:val="en-US" w:eastAsia="zh-CN"/>
              </w:rPr>
              <w:t>1008000.00元（本预算为暂定金额，以实际采购数量为准，按照实际供货数量据实结算）</w:t>
            </w:r>
          </w:p>
          <w:p w14:paraId="4C5FCC44">
            <w:pPr>
              <w:numPr>
                <w:ilvl w:val="0"/>
                <w:numId w:val="2"/>
              </w:numPr>
              <w:spacing w:line="500" w:lineRule="exact"/>
              <w:rPr>
                <w:rFonts w:hint="eastAsia" w:ascii="宋体" w:hAnsi="宋体"/>
                <w:sz w:val="24"/>
                <w:highlight w:val="none"/>
                <w:lang w:val="en-US" w:eastAsia="zh-CN"/>
              </w:rPr>
            </w:pPr>
            <w:r>
              <w:rPr>
                <w:rFonts w:hint="eastAsia" w:ascii="宋体" w:hAnsi="宋体"/>
                <w:sz w:val="24"/>
                <w:highlight w:val="none"/>
                <w:lang w:val="en-US" w:eastAsia="zh-CN"/>
              </w:rPr>
              <w:t>最高限价：1008000.00元</w:t>
            </w:r>
          </w:p>
          <w:p w14:paraId="714AFE5F">
            <w:pPr>
              <w:numPr>
                <w:ilvl w:val="0"/>
                <w:numId w:val="0"/>
              </w:numPr>
              <w:spacing w:line="500" w:lineRule="exact"/>
              <w:rPr>
                <w:rFonts w:hint="default" w:ascii="宋体" w:hAnsi="宋体"/>
                <w:sz w:val="24"/>
                <w:highlight w:val="none"/>
                <w:lang w:val="en-US" w:eastAsia="zh-CN"/>
              </w:rPr>
            </w:pPr>
            <w:r>
              <w:rPr>
                <w:rFonts w:hint="eastAsia" w:ascii="宋体" w:hAnsi="宋体"/>
                <w:sz w:val="24"/>
                <w:highlight w:val="none"/>
                <w:lang w:val="en-US" w:eastAsia="zh-CN"/>
              </w:rPr>
              <w:t>3.</w:t>
            </w:r>
            <w:r>
              <w:rPr>
                <w:rFonts w:hint="default" w:ascii="宋体" w:hAnsi="宋体"/>
                <w:sz w:val="24"/>
                <w:highlight w:val="none"/>
                <w:lang w:val="en-US" w:eastAsia="zh-CN"/>
              </w:rPr>
              <w:t>供应商报价不得超出</w:t>
            </w:r>
            <w:r>
              <w:rPr>
                <w:rFonts w:hint="eastAsia" w:ascii="宋体" w:hAnsi="宋体"/>
                <w:sz w:val="24"/>
                <w:highlight w:val="none"/>
                <w:lang w:val="en-US" w:eastAsia="zh-CN"/>
              </w:rPr>
              <w:t>本项目最高限价</w:t>
            </w:r>
            <w:r>
              <w:rPr>
                <w:rFonts w:hint="default" w:ascii="宋体" w:hAnsi="宋体"/>
                <w:sz w:val="24"/>
                <w:highlight w:val="none"/>
                <w:lang w:val="en-US" w:eastAsia="zh-CN"/>
              </w:rPr>
              <w:t>，否则</w:t>
            </w:r>
            <w:r>
              <w:rPr>
                <w:rFonts w:hint="eastAsia" w:ascii="宋体" w:hAnsi="宋体"/>
                <w:sz w:val="24"/>
                <w:highlight w:val="none"/>
                <w:lang w:val="en-US" w:eastAsia="zh-CN"/>
              </w:rPr>
              <w:t>其响应无效</w:t>
            </w:r>
            <w:r>
              <w:rPr>
                <w:rFonts w:hint="default" w:ascii="宋体" w:hAnsi="宋体"/>
                <w:sz w:val="24"/>
                <w:highlight w:val="none"/>
                <w:lang w:val="en-US" w:eastAsia="zh-CN"/>
              </w:rPr>
              <w:t>。若所有供应商的报价均超过</w:t>
            </w:r>
            <w:r>
              <w:rPr>
                <w:rFonts w:hint="eastAsia" w:ascii="宋体" w:hAnsi="宋体"/>
                <w:sz w:val="24"/>
                <w:highlight w:val="none"/>
                <w:lang w:val="en-US" w:eastAsia="zh-CN"/>
              </w:rPr>
              <w:t>最高限价</w:t>
            </w:r>
            <w:r>
              <w:rPr>
                <w:rFonts w:hint="default" w:ascii="宋体" w:hAnsi="宋体"/>
                <w:sz w:val="24"/>
                <w:highlight w:val="none"/>
                <w:lang w:val="en-US" w:eastAsia="zh-CN"/>
              </w:rPr>
              <w:t>，则采购人有权重新组织采购。</w:t>
            </w:r>
          </w:p>
        </w:tc>
      </w:tr>
      <w:tr w14:paraId="4CAD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0" w:hRule="atLeast"/>
          <w:jc w:val="center"/>
        </w:trPr>
        <w:tc>
          <w:tcPr>
            <w:tcW w:w="859" w:type="dxa"/>
            <w:vMerge w:val="continue"/>
            <w:tcBorders>
              <w:left w:val="single" w:color="auto" w:sz="4" w:space="0"/>
              <w:bottom w:val="single" w:color="auto" w:sz="4" w:space="0"/>
              <w:right w:val="single" w:color="auto" w:sz="4" w:space="0"/>
            </w:tcBorders>
            <w:vAlign w:val="center"/>
          </w:tcPr>
          <w:p w14:paraId="61945BE5">
            <w:pPr>
              <w:spacing w:before="120" w:after="120" w:line="500" w:lineRule="exact"/>
              <w:jc w:val="center"/>
              <w:rPr>
                <w:rFonts w:hint="eastAsia" w:ascii="宋体" w:hAnsi="宋体" w:cs="宋体"/>
                <w:sz w:val="24"/>
                <w:highlight w:val="none"/>
              </w:rPr>
            </w:pPr>
          </w:p>
        </w:tc>
        <w:tc>
          <w:tcPr>
            <w:tcW w:w="1988" w:type="dxa"/>
            <w:tcBorders>
              <w:top w:val="single" w:color="auto" w:sz="4" w:space="0"/>
              <w:left w:val="nil"/>
              <w:bottom w:val="single" w:color="auto" w:sz="4" w:space="0"/>
              <w:right w:val="single" w:color="auto" w:sz="4" w:space="0"/>
            </w:tcBorders>
            <w:vAlign w:val="center"/>
          </w:tcPr>
          <w:p w14:paraId="6538EB58">
            <w:pPr>
              <w:spacing w:before="120" w:after="120" w:line="500" w:lineRule="exact"/>
              <w:jc w:val="center"/>
              <w:rPr>
                <w:rFonts w:hint="default" w:ascii="宋体" w:hAnsi="宋体" w:cs="宋体"/>
                <w:sz w:val="24"/>
                <w:highlight w:val="none"/>
                <w:lang w:val="en-US" w:eastAsia="zh-CN"/>
              </w:rPr>
            </w:pPr>
            <w:r>
              <w:rPr>
                <w:rFonts w:hint="eastAsia" w:ascii="宋体" w:hAnsi="宋体" w:cs="宋体"/>
                <w:sz w:val="24"/>
                <w:highlight w:val="none"/>
                <w:lang w:val="en-US" w:eastAsia="zh-CN"/>
              </w:rPr>
              <w:t>报价方式</w:t>
            </w:r>
          </w:p>
        </w:tc>
        <w:tc>
          <w:tcPr>
            <w:tcW w:w="6653" w:type="dxa"/>
            <w:tcBorders>
              <w:top w:val="single" w:color="auto" w:sz="4" w:space="0"/>
              <w:left w:val="nil"/>
              <w:bottom w:val="single" w:color="auto" w:sz="4" w:space="0"/>
              <w:right w:val="single" w:color="auto" w:sz="4" w:space="0"/>
            </w:tcBorders>
            <w:vAlign w:val="center"/>
          </w:tcPr>
          <w:p w14:paraId="764F843A">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本项目允许二次报价</w:t>
            </w:r>
            <w:r>
              <w:rPr>
                <w:rFonts w:hint="eastAsia" w:ascii="宋体" w:hAnsi="宋体" w:eastAsia="宋体" w:cs="宋体"/>
                <w:color w:val="auto"/>
                <w:sz w:val="24"/>
                <w:szCs w:val="24"/>
                <w:highlight w:val="none"/>
                <w:lang w:val="en-US" w:eastAsia="zh-CN"/>
              </w:rPr>
              <w:t>。</w:t>
            </w:r>
          </w:p>
          <w:p w14:paraId="05F228C7">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注：1.因电子交易系统规则限制，本次磋商采用总价形式提交电子报价，项目成交后，按实际配送金额对应折扣办理结算。</w:t>
            </w:r>
          </w:p>
          <w:p w14:paraId="560396F5">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成交折扣计算公式</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成交折扣＝最终报价÷磋商控制价，计算结果四舍五入保留两位小数结算 </w:t>
            </w:r>
          </w:p>
          <w:p w14:paraId="491674F2">
            <w:pPr>
              <w:spacing w:line="360" w:lineRule="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示例：最终报价</w:t>
            </w:r>
            <w:r>
              <w:rPr>
                <w:rFonts w:hint="eastAsia" w:ascii="宋体" w:hAnsi="宋体" w:cs="宋体"/>
                <w:color w:val="auto"/>
                <w:sz w:val="24"/>
                <w:szCs w:val="24"/>
                <w:highlight w:val="none"/>
                <w:lang w:val="en-US" w:eastAsia="zh-CN"/>
              </w:rPr>
              <w:t>908000</w:t>
            </w:r>
            <w:r>
              <w:rPr>
                <w:rFonts w:hint="eastAsia" w:ascii="宋体" w:hAnsi="宋体" w:eastAsia="宋体" w:cs="宋体"/>
                <w:color w:val="auto"/>
                <w:sz w:val="24"/>
                <w:szCs w:val="24"/>
                <w:highlight w:val="none"/>
                <w:lang w:val="en-US" w:eastAsia="zh-CN"/>
              </w:rPr>
              <w:t>元，磋商控制价</w:t>
            </w:r>
            <w:r>
              <w:rPr>
                <w:rFonts w:hint="eastAsia" w:ascii="宋体" w:hAnsi="宋体" w:cs="宋体"/>
                <w:color w:val="auto"/>
                <w:sz w:val="24"/>
                <w:szCs w:val="24"/>
                <w:highlight w:val="none"/>
                <w:lang w:val="en-US" w:eastAsia="zh-CN"/>
              </w:rPr>
              <w:t>1008000</w:t>
            </w:r>
            <w:r>
              <w:rPr>
                <w:rFonts w:hint="eastAsia" w:ascii="宋体" w:hAnsi="宋体" w:eastAsia="宋体" w:cs="宋体"/>
                <w:color w:val="auto"/>
                <w:sz w:val="24"/>
                <w:szCs w:val="24"/>
                <w:highlight w:val="none"/>
                <w:lang w:val="en-US" w:eastAsia="zh-CN"/>
              </w:rPr>
              <w:t>元，</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lang w:val="en-US" w:eastAsia="zh-CN"/>
              </w:rPr>
              <w:t>折扣=</w:t>
            </w:r>
            <w:r>
              <w:rPr>
                <w:rFonts w:hint="eastAsia" w:ascii="宋体" w:hAnsi="宋体" w:cs="宋体"/>
                <w:color w:val="auto"/>
                <w:sz w:val="24"/>
                <w:szCs w:val="24"/>
                <w:highlight w:val="none"/>
                <w:lang w:val="en-US" w:eastAsia="zh-CN"/>
              </w:rPr>
              <w:t>908000</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1008000</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0.90；</w:t>
            </w:r>
          </w:p>
          <w:p w14:paraId="2DD37DC0">
            <w:pPr>
              <w:spacing w:line="36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2.结算价计算公式</w:t>
            </w:r>
          </w:p>
          <w:p w14:paraId="2C50E2DC">
            <w:pPr>
              <w:spacing w:line="36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结算价款＝市场调查价×成交折扣×当期实际供货数量</w:t>
            </w:r>
          </w:p>
          <w:p w14:paraId="4274FBE4">
            <w:pPr>
              <w:spacing w:line="36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注：市场调查价的定价依据：采购人不定时组织市场调查，以采购人所在区县大型商超、大型粮油店、农贸市场等任选1-3家同类货品平均价格（非活动价格）标示价为参考，实际以市场浮动作为基准。</w:t>
            </w:r>
          </w:p>
          <w:p w14:paraId="320BAB33">
            <w:pPr>
              <w:spacing w:line="360" w:lineRule="auto"/>
              <w:rPr>
                <w:rFonts w:hint="eastAsia" w:ascii="宋体" w:hAnsi="宋体" w:eastAsia="宋体" w:cs="宋体"/>
                <w:sz w:val="24"/>
                <w:highlight w:val="none"/>
              </w:rPr>
            </w:pPr>
            <w:r>
              <w:rPr>
                <w:rFonts w:hint="eastAsia" w:ascii="宋体" w:hAnsi="宋体" w:cs="宋体"/>
                <w:color w:val="auto"/>
                <w:sz w:val="24"/>
                <w:szCs w:val="24"/>
                <w:highlight w:val="none"/>
                <w:lang w:val="en-US" w:eastAsia="zh-CN"/>
              </w:rPr>
              <w:t>3.成交折扣在整个合同执行过程中，不因国家政策变化而变动。根据成交折扣计算出的实际支付金额包含所供货物价格、运送到甲方指定地点所发生的运费、装卸费、调换等环节所发生的费用及其他相关费用和所需缴纳的一切相关税费。实际支付金额不得超过该项目预算金额。</w:t>
            </w:r>
          </w:p>
        </w:tc>
      </w:tr>
      <w:tr w14:paraId="161E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70D9AE68">
            <w:pPr>
              <w:spacing w:before="120" w:after="120" w:line="500" w:lineRule="exact"/>
              <w:jc w:val="center"/>
              <w:rPr>
                <w:rFonts w:hint="eastAsia" w:ascii="宋体" w:hAnsi="宋体" w:eastAsia="宋体" w:cs="宋体"/>
                <w:sz w:val="24"/>
                <w:highlight w:val="none"/>
                <w:lang w:eastAsia="zh-CN"/>
              </w:rPr>
            </w:pPr>
            <w:r>
              <w:rPr>
                <w:rFonts w:hint="eastAsia" w:ascii="宋体" w:hAnsi="宋体" w:cs="宋体"/>
                <w:sz w:val="24"/>
                <w:highlight w:val="none"/>
              </w:rPr>
              <w:t>3</w:t>
            </w:r>
            <w:r>
              <w:rPr>
                <w:rFonts w:hint="eastAsia" w:ascii="宋体" w:hAnsi="宋体" w:cs="宋体"/>
                <w:sz w:val="24"/>
                <w:highlight w:val="none"/>
                <w:lang w:val="en-US" w:eastAsia="zh-CN"/>
              </w:rPr>
              <w:t>3</w:t>
            </w:r>
          </w:p>
        </w:tc>
        <w:tc>
          <w:tcPr>
            <w:tcW w:w="1988" w:type="dxa"/>
            <w:tcBorders>
              <w:top w:val="single" w:color="auto" w:sz="4" w:space="0"/>
              <w:left w:val="nil"/>
              <w:bottom w:val="single" w:color="auto" w:sz="4" w:space="0"/>
              <w:right w:val="single" w:color="auto" w:sz="4" w:space="0"/>
            </w:tcBorders>
            <w:vAlign w:val="center"/>
          </w:tcPr>
          <w:p w14:paraId="50E6F425">
            <w:pPr>
              <w:spacing w:line="500" w:lineRule="exact"/>
              <w:ind w:right="105" w:rightChars="50"/>
              <w:jc w:val="center"/>
              <w:rPr>
                <w:rFonts w:ascii="宋体" w:hAnsi="宋体" w:cs="宋体"/>
                <w:sz w:val="24"/>
                <w:highlight w:val="none"/>
              </w:rPr>
            </w:pPr>
            <w:r>
              <w:rPr>
                <w:rFonts w:hint="eastAsia" w:ascii="宋体" w:hAnsi="宋体" w:cs="_5b8b_4f53"/>
                <w:sz w:val="24"/>
                <w:highlight w:val="none"/>
              </w:rPr>
              <w:t>付款方式</w:t>
            </w:r>
          </w:p>
        </w:tc>
        <w:tc>
          <w:tcPr>
            <w:tcW w:w="6653" w:type="dxa"/>
            <w:tcBorders>
              <w:top w:val="single" w:color="auto" w:sz="4" w:space="0"/>
              <w:left w:val="nil"/>
              <w:bottom w:val="single" w:color="auto" w:sz="4" w:space="0"/>
              <w:right w:val="single" w:color="auto" w:sz="4" w:space="0"/>
            </w:tcBorders>
            <w:vAlign w:val="center"/>
          </w:tcPr>
          <w:p w14:paraId="41065BF6">
            <w:pPr>
              <w:spacing w:line="500" w:lineRule="exact"/>
              <w:ind w:right="105" w:rightChars="50"/>
              <w:rPr>
                <w:rFonts w:ascii="宋体" w:hAnsi="宋体" w:cs="宋体"/>
                <w:sz w:val="24"/>
                <w:highlight w:val="none"/>
              </w:rPr>
            </w:pPr>
            <w:r>
              <w:rPr>
                <w:rFonts w:hint="eastAsia" w:ascii="宋体" w:hAnsi="宋体" w:cs="_5b8b_4f53"/>
                <w:sz w:val="24"/>
                <w:highlight w:val="none"/>
              </w:rPr>
              <w:t>签订合同时，双方协商。</w:t>
            </w:r>
          </w:p>
        </w:tc>
      </w:tr>
      <w:tr w14:paraId="422B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5B6E1503">
            <w:pPr>
              <w:spacing w:before="120" w:after="120" w:line="500" w:lineRule="exact"/>
              <w:jc w:val="center"/>
              <w:rPr>
                <w:rFonts w:hint="eastAsia" w:ascii="宋体" w:hAnsi="宋体" w:eastAsia="宋体" w:cs="宋体"/>
                <w:sz w:val="24"/>
                <w:highlight w:val="none"/>
                <w:lang w:eastAsia="zh-CN"/>
              </w:rPr>
            </w:pPr>
            <w:r>
              <w:rPr>
                <w:rFonts w:hint="eastAsia" w:ascii="宋体" w:hAnsi="宋体" w:cs="宋体"/>
                <w:sz w:val="24"/>
                <w:highlight w:val="none"/>
              </w:rPr>
              <w:t>3</w:t>
            </w:r>
            <w:r>
              <w:rPr>
                <w:rFonts w:hint="eastAsia" w:ascii="宋体" w:hAnsi="宋体" w:cs="宋体"/>
                <w:sz w:val="24"/>
                <w:highlight w:val="none"/>
                <w:lang w:val="en-US" w:eastAsia="zh-CN"/>
              </w:rPr>
              <w:t>4</w:t>
            </w:r>
          </w:p>
        </w:tc>
        <w:tc>
          <w:tcPr>
            <w:tcW w:w="1988" w:type="dxa"/>
            <w:tcBorders>
              <w:top w:val="single" w:color="auto" w:sz="4" w:space="0"/>
              <w:left w:val="nil"/>
              <w:bottom w:val="single" w:color="auto" w:sz="4" w:space="0"/>
              <w:right w:val="single" w:color="auto" w:sz="4" w:space="0"/>
            </w:tcBorders>
            <w:vAlign w:val="center"/>
          </w:tcPr>
          <w:p w14:paraId="23BF4918">
            <w:pPr>
              <w:spacing w:line="500" w:lineRule="exact"/>
              <w:jc w:val="center"/>
              <w:rPr>
                <w:rFonts w:ascii="宋体" w:hAnsi="宋体" w:cs="宋体"/>
                <w:sz w:val="24"/>
                <w:highlight w:val="none"/>
              </w:rPr>
            </w:pPr>
            <w:r>
              <w:rPr>
                <w:rFonts w:hint="eastAsia"/>
                <w:sz w:val="24"/>
                <w:highlight w:val="none"/>
              </w:rPr>
              <w:t>履约保证金</w:t>
            </w:r>
          </w:p>
        </w:tc>
        <w:tc>
          <w:tcPr>
            <w:tcW w:w="6653" w:type="dxa"/>
            <w:tcBorders>
              <w:top w:val="single" w:color="auto" w:sz="4" w:space="0"/>
              <w:left w:val="nil"/>
              <w:bottom w:val="single" w:color="auto" w:sz="4" w:space="0"/>
              <w:right w:val="single" w:color="auto" w:sz="4" w:space="0"/>
            </w:tcBorders>
            <w:vAlign w:val="center"/>
          </w:tcPr>
          <w:p w14:paraId="430F8720">
            <w:pPr>
              <w:spacing w:line="500" w:lineRule="exact"/>
              <w:jc w:val="left"/>
              <w:rPr>
                <w:rFonts w:ascii="宋体" w:hAnsi="宋体" w:cs="宋体"/>
                <w:sz w:val="24"/>
                <w:highlight w:val="none"/>
              </w:rPr>
            </w:pPr>
            <w:r>
              <w:rPr>
                <w:rFonts w:hint="eastAsia" w:ascii="宋体" w:hAnsi="宋体" w:cs="宋体"/>
                <w:sz w:val="24"/>
                <w:highlight w:val="none"/>
              </w:rPr>
              <w:t>根据三门峡市财政局三财购【2021】14号文的规定，本项目不收取履约保证金。</w:t>
            </w:r>
          </w:p>
        </w:tc>
      </w:tr>
      <w:tr w14:paraId="75C5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3453F602">
            <w:pPr>
              <w:spacing w:before="120" w:after="120" w:line="500" w:lineRule="exact"/>
              <w:jc w:val="center"/>
              <w:rPr>
                <w:rFonts w:hint="eastAsia" w:ascii="宋体" w:hAnsi="宋体" w:eastAsia="宋体" w:cs="宋体"/>
                <w:sz w:val="24"/>
                <w:highlight w:val="none"/>
                <w:lang w:eastAsia="zh-CN"/>
              </w:rPr>
            </w:pPr>
            <w:r>
              <w:rPr>
                <w:rFonts w:hint="eastAsia" w:ascii="宋体" w:hAnsi="宋体" w:cs="宋体"/>
                <w:sz w:val="24"/>
                <w:highlight w:val="none"/>
              </w:rPr>
              <w:t>3</w:t>
            </w:r>
            <w:r>
              <w:rPr>
                <w:rFonts w:hint="eastAsia" w:ascii="宋体" w:hAnsi="宋体" w:cs="宋体"/>
                <w:sz w:val="24"/>
                <w:highlight w:val="none"/>
                <w:lang w:val="en-US" w:eastAsia="zh-CN"/>
              </w:rPr>
              <w:t>5</w:t>
            </w:r>
          </w:p>
        </w:tc>
        <w:tc>
          <w:tcPr>
            <w:tcW w:w="1988" w:type="dxa"/>
            <w:tcBorders>
              <w:top w:val="single" w:color="auto" w:sz="4" w:space="0"/>
              <w:left w:val="nil"/>
              <w:bottom w:val="single" w:color="auto" w:sz="4" w:space="0"/>
              <w:right w:val="single" w:color="auto" w:sz="4" w:space="0"/>
            </w:tcBorders>
            <w:vAlign w:val="center"/>
          </w:tcPr>
          <w:p w14:paraId="6058D4D4">
            <w:pPr>
              <w:spacing w:line="360" w:lineRule="auto"/>
              <w:jc w:val="center"/>
              <w:rPr>
                <w:sz w:val="24"/>
                <w:highlight w:val="none"/>
              </w:rPr>
            </w:pPr>
            <w:r>
              <w:rPr>
                <w:rFonts w:hint="eastAsia"/>
                <w:sz w:val="24"/>
                <w:highlight w:val="none"/>
              </w:rPr>
              <w:t>专门面向中小企业采购</w:t>
            </w:r>
          </w:p>
        </w:tc>
        <w:tc>
          <w:tcPr>
            <w:tcW w:w="6653" w:type="dxa"/>
            <w:tcBorders>
              <w:top w:val="single" w:color="auto" w:sz="4" w:space="0"/>
              <w:left w:val="nil"/>
              <w:bottom w:val="single" w:color="auto" w:sz="4" w:space="0"/>
              <w:right w:val="single" w:color="auto" w:sz="4" w:space="0"/>
            </w:tcBorders>
            <w:vAlign w:val="center"/>
          </w:tcPr>
          <w:p w14:paraId="3D034714">
            <w:pPr>
              <w:spacing w:line="360" w:lineRule="auto"/>
              <w:rPr>
                <w:sz w:val="24"/>
                <w:highlight w:val="none"/>
              </w:rPr>
            </w:pPr>
            <w:r>
              <w:rPr>
                <w:rFonts w:hint="eastAsia"/>
                <w:sz w:val="24"/>
                <w:highlight w:val="none"/>
              </w:rPr>
              <w:t>本</w:t>
            </w:r>
            <w:r>
              <w:rPr>
                <w:sz w:val="24"/>
                <w:highlight w:val="none"/>
              </w:rPr>
              <w:t>项目</w:t>
            </w:r>
            <w:r>
              <w:rPr>
                <w:rFonts w:hint="eastAsia"/>
                <w:sz w:val="24"/>
                <w:highlight w:val="none"/>
              </w:rPr>
              <w:t>是否</w:t>
            </w:r>
            <w:r>
              <w:rPr>
                <w:sz w:val="24"/>
                <w:highlight w:val="none"/>
              </w:rPr>
              <w:t>专门面向中小企业采购</w:t>
            </w:r>
            <w:r>
              <w:rPr>
                <w:rFonts w:hint="eastAsia"/>
                <w:sz w:val="24"/>
                <w:highlight w:val="none"/>
              </w:rPr>
              <w:t>：</w:t>
            </w:r>
          </w:p>
          <w:p w14:paraId="3A31FB8C">
            <w:pPr>
              <w:spacing w:line="360" w:lineRule="auto"/>
              <w:rPr>
                <w:sz w:val="24"/>
                <w:highlight w:val="none"/>
              </w:rPr>
            </w:pPr>
            <w:r>
              <w:rPr>
                <w:rFonts w:hint="eastAsia"/>
                <w:sz w:val="24"/>
                <w:highlight w:val="none"/>
              </w:rPr>
              <w:t>☑是：本项目是</w:t>
            </w:r>
            <w:r>
              <w:rPr>
                <w:sz w:val="24"/>
                <w:highlight w:val="none"/>
              </w:rPr>
              <w:t>专门面向中小企业采购</w:t>
            </w:r>
          </w:p>
          <w:p w14:paraId="1099AECD">
            <w:pPr>
              <w:spacing w:line="360" w:lineRule="auto"/>
              <w:rPr>
                <w:rFonts w:ascii="宋体" w:hAnsi="宋体" w:cs="宋体"/>
                <w:sz w:val="24"/>
                <w:highlight w:val="none"/>
              </w:rPr>
            </w:pPr>
            <w:r>
              <w:rPr>
                <w:rFonts w:hint="eastAsia"/>
                <w:sz w:val="24"/>
                <w:highlight w:val="none"/>
              </w:rPr>
              <w:t>□否</w:t>
            </w:r>
          </w:p>
        </w:tc>
      </w:tr>
      <w:tr w14:paraId="2263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2FDE42E8">
            <w:pPr>
              <w:spacing w:before="120" w:after="120" w:line="500" w:lineRule="exact"/>
              <w:jc w:val="center"/>
              <w:rPr>
                <w:rFonts w:hint="eastAsia" w:ascii="宋体" w:hAnsi="宋体" w:eastAsia="宋体" w:cs="宋体"/>
                <w:sz w:val="24"/>
                <w:highlight w:val="none"/>
                <w:lang w:eastAsia="zh-CN"/>
              </w:rPr>
            </w:pPr>
            <w:r>
              <w:rPr>
                <w:rFonts w:hint="eastAsia" w:ascii="宋体" w:hAnsi="宋体" w:cs="宋体"/>
                <w:sz w:val="24"/>
                <w:highlight w:val="none"/>
              </w:rPr>
              <w:t>3</w:t>
            </w:r>
            <w:r>
              <w:rPr>
                <w:rFonts w:hint="eastAsia" w:ascii="宋体" w:hAnsi="宋体" w:cs="宋体"/>
                <w:sz w:val="24"/>
                <w:highlight w:val="none"/>
                <w:lang w:val="en-US" w:eastAsia="zh-CN"/>
              </w:rPr>
              <w:t>6</w:t>
            </w:r>
          </w:p>
        </w:tc>
        <w:tc>
          <w:tcPr>
            <w:tcW w:w="1988" w:type="dxa"/>
            <w:tcBorders>
              <w:top w:val="single" w:color="auto" w:sz="4" w:space="0"/>
              <w:left w:val="nil"/>
              <w:bottom w:val="single" w:color="auto" w:sz="4" w:space="0"/>
              <w:right w:val="single" w:color="auto" w:sz="4" w:space="0"/>
            </w:tcBorders>
            <w:vAlign w:val="center"/>
          </w:tcPr>
          <w:p w14:paraId="7F86733E">
            <w:pPr>
              <w:spacing w:line="360" w:lineRule="auto"/>
              <w:jc w:val="center"/>
              <w:rPr>
                <w:sz w:val="24"/>
                <w:highlight w:val="none"/>
              </w:rPr>
            </w:pPr>
            <w:r>
              <w:rPr>
                <w:rFonts w:hint="eastAsia"/>
                <w:sz w:val="24"/>
                <w:highlight w:val="none"/>
              </w:rPr>
              <w:t>落实的政府采购政策</w:t>
            </w:r>
          </w:p>
        </w:tc>
        <w:tc>
          <w:tcPr>
            <w:tcW w:w="6653" w:type="dxa"/>
            <w:tcBorders>
              <w:top w:val="single" w:color="auto" w:sz="4" w:space="0"/>
              <w:left w:val="nil"/>
              <w:bottom w:val="single" w:color="auto" w:sz="4" w:space="0"/>
              <w:right w:val="single" w:color="auto" w:sz="4" w:space="0"/>
            </w:tcBorders>
            <w:vAlign w:val="center"/>
          </w:tcPr>
          <w:p w14:paraId="168BA8C2">
            <w:pPr>
              <w:spacing w:line="500" w:lineRule="exact"/>
              <w:rPr>
                <w:rFonts w:hint="eastAsia" w:ascii="宋体" w:hAnsi="宋体" w:cs="宋体"/>
                <w:sz w:val="24"/>
                <w:highlight w:val="none"/>
              </w:rPr>
            </w:pPr>
            <w:r>
              <w:rPr>
                <w:rFonts w:hint="eastAsia" w:ascii="宋体" w:hAnsi="宋体" w:cs="宋体"/>
                <w:sz w:val="24"/>
                <w:highlight w:val="none"/>
                <w:lang w:val="en-US" w:eastAsia="zh-CN"/>
              </w:rPr>
              <w:t>根据</w:t>
            </w:r>
            <w:r>
              <w:rPr>
                <w:rFonts w:hint="eastAsia" w:ascii="宋体" w:hAnsi="宋体" w:cs="宋体"/>
                <w:sz w:val="24"/>
                <w:highlight w:val="none"/>
              </w:rPr>
              <w:t>《</w:t>
            </w:r>
            <w:r>
              <w:rPr>
                <w:rFonts w:hint="eastAsia" w:ascii="宋体" w:hAnsi="宋体" w:cs="宋体"/>
                <w:sz w:val="24"/>
                <w:highlight w:val="none"/>
                <w:lang w:val="en-US" w:eastAsia="zh-CN"/>
              </w:rPr>
              <w:t>政府采购促进中小企业发展管理办法》（财库﹝2020﹞46 号）的规定本项目对中小微企业扶持政策按以下规定落实：</w:t>
            </w:r>
          </w:p>
          <w:p w14:paraId="0B56EEAC">
            <w:pPr>
              <w:spacing w:line="500" w:lineRule="exact"/>
              <w:rPr>
                <w:rFonts w:hint="eastAsia" w:ascii="宋体" w:hAnsi="宋体" w:cs="宋体"/>
                <w:sz w:val="24"/>
                <w:highlight w:val="none"/>
              </w:rPr>
            </w:pPr>
            <w:r>
              <w:rPr>
                <w:rFonts w:hint="eastAsia" w:ascii="宋体" w:hAnsi="宋体" w:cs="宋体"/>
                <w:sz w:val="24"/>
                <w:highlight w:val="none"/>
                <w:lang w:val="en-US" w:eastAsia="zh-CN"/>
              </w:rPr>
              <w:t>1、本项目专门面向中小企业采购，不再进行价格扣除；</w:t>
            </w:r>
          </w:p>
          <w:p w14:paraId="16FD3FE9">
            <w:pPr>
              <w:spacing w:line="500" w:lineRule="exact"/>
              <w:rPr>
                <w:rFonts w:hint="eastAsia" w:ascii="宋体" w:hAnsi="宋体" w:cs="宋体"/>
                <w:sz w:val="24"/>
                <w:highlight w:val="none"/>
              </w:rPr>
            </w:pPr>
            <w:r>
              <w:rPr>
                <w:rFonts w:hint="eastAsia" w:ascii="宋体" w:hAnsi="宋体" w:cs="宋体"/>
                <w:sz w:val="24"/>
                <w:highlight w:val="none"/>
                <w:lang w:val="en-US" w:eastAsia="zh-CN"/>
              </w:rPr>
              <w:t xml:space="preserve">2、成交供应商获得政府采购合同的，小微企业不得将合同分包给大中型企业，中型企业不得将合同分包给大型企业； </w:t>
            </w:r>
          </w:p>
          <w:p w14:paraId="0FD0A759">
            <w:pPr>
              <w:spacing w:line="500" w:lineRule="exact"/>
              <w:rPr>
                <w:rFonts w:ascii="宋体" w:hAnsi="宋体" w:cs="宋体"/>
                <w:sz w:val="24"/>
                <w:highlight w:val="none"/>
              </w:rPr>
            </w:pPr>
            <w:r>
              <w:rPr>
                <w:rFonts w:hint="eastAsia" w:ascii="宋体" w:hAnsi="宋体" w:cs="宋体"/>
                <w:sz w:val="24"/>
                <w:highlight w:val="none"/>
                <w:lang w:val="en-US" w:eastAsia="zh-CN"/>
              </w:rPr>
              <w:t>3、采购标的对应的中小企业划分标准所属行业：根据工信部联企业[2011]300号文的规定，本项目涉及中小企业的行业划型属于“批发业”；</w:t>
            </w:r>
          </w:p>
        </w:tc>
      </w:tr>
      <w:tr w14:paraId="4640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14:paraId="60F39EE7">
            <w:pPr>
              <w:spacing w:before="120" w:after="120" w:line="50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37</w:t>
            </w:r>
          </w:p>
        </w:tc>
        <w:tc>
          <w:tcPr>
            <w:tcW w:w="1988" w:type="dxa"/>
            <w:tcBorders>
              <w:top w:val="single" w:color="auto" w:sz="4" w:space="0"/>
              <w:left w:val="nil"/>
              <w:bottom w:val="single" w:color="auto" w:sz="4" w:space="0"/>
              <w:right w:val="single" w:color="auto" w:sz="4" w:space="0"/>
            </w:tcBorders>
            <w:vAlign w:val="center"/>
          </w:tcPr>
          <w:p w14:paraId="59604008">
            <w:pPr>
              <w:keepLines/>
              <w:spacing w:line="360" w:lineRule="auto"/>
              <w:jc w:val="center"/>
              <w:rPr>
                <w:rFonts w:hint="eastAsia"/>
                <w:sz w:val="24"/>
                <w:highlight w:val="none"/>
              </w:rPr>
            </w:pPr>
            <w:r>
              <w:rPr>
                <w:rFonts w:hint="eastAsia" w:ascii="宋体" w:hAnsi="宋体" w:eastAsia="宋体" w:cs="宋体"/>
                <w:bCs/>
                <w:sz w:val="24"/>
                <w:szCs w:val="20"/>
                <w:highlight w:val="none"/>
              </w:rPr>
              <w:t>代理服务费</w:t>
            </w:r>
          </w:p>
        </w:tc>
        <w:tc>
          <w:tcPr>
            <w:tcW w:w="6653" w:type="dxa"/>
            <w:tcBorders>
              <w:top w:val="single" w:color="auto" w:sz="4" w:space="0"/>
              <w:left w:val="nil"/>
              <w:bottom w:val="single" w:color="auto" w:sz="4" w:space="0"/>
              <w:right w:val="single" w:color="auto" w:sz="4" w:space="0"/>
            </w:tcBorders>
            <w:vAlign w:val="center"/>
          </w:tcPr>
          <w:p w14:paraId="408D04D0">
            <w:pPr>
              <w:numPr>
                <w:ilvl w:val="0"/>
                <w:numId w:val="3"/>
              </w:numPr>
              <w:spacing w:line="500" w:lineRule="exact"/>
              <w:rPr>
                <w:rFonts w:hint="eastAsia" w:ascii="宋体" w:hAnsi="宋体" w:eastAsia="宋体" w:cs="宋体"/>
                <w:bCs/>
                <w:sz w:val="24"/>
                <w:szCs w:val="20"/>
                <w:highlight w:val="none"/>
              </w:rPr>
            </w:pPr>
            <w:r>
              <w:rPr>
                <w:rFonts w:hint="eastAsia" w:ascii="宋体" w:hAnsi="宋体" w:eastAsia="宋体" w:cs="宋体"/>
                <w:bCs/>
                <w:sz w:val="24"/>
                <w:szCs w:val="20"/>
                <w:highlight w:val="none"/>
              </w:rPr>
              <w:t>收取标准：</w:t>
            </w:r>
            <w:r>
              <w:rPr>
                <w:rFonts w:hint="eastAsia" w:ascii="宋体" w:hAnsi="宋体" w:eastAsia="宋体" w:cs="Times New Roman"/>
                <w:bCs/>
                <w:color w:val="000000"/>
                <w:sz w:val="24"/>
                <w:szCs w:val="24"/>
              </w:rPr>
              <w:t>代理服务费参考河南省招标代理服务收费指导意见（豫招协[2023]002号）规定的收费标准计算</w:t>
            </w:r>
            <w:r>
              <w:rPr>
                <w:rFonts w:hint="eastAsia" w:ascii="宋体" w:hAnsi="宋体" w:eastAsia="宋体" w:cs="宋体"/>
                <w:bCs/>
                <w:sz w:val="24"/>
                <w:szCs w:val="20"/>
                <w:highlight w:val="none"/>
              </w:rPr>
              <w:t>。</w:t>
            </w:r>
          </w:p>
          <w:p w14:paraId="169B8A8A">
            <w:pPr>
              <w:spacing w:line="500" w:lineRule="exact"/>
              <w:rPr>
                <w:rFonts w:hint="eastAsia" w:ascii="宋体" w:hAnsi="宋体" w:eastAsia="宋体" w:cs="宋体"/>
                <w:bCs/>
                <w:sz w:val="24"/>
                <w:szCs w:val="20"/>
                <w:highlight w:val="none"/>
              </w:rPr>
            </w:pPr>
            <w:r>
              <w:rPr>
                <w:rFonts w:hint="eastAsia" w:ascii="宋体" w:hAnsi="宋体" w:eastAsia="宋体" w:cs="宋体"/>
                <w:bCs/>
                <w:sz w:val="24"/>
                <w:szCs w:val="20"/>
                <w:highlight w:val="none"/>
              </w:rPr>
              <w:t>收取方式：成交供应商在领取成交通知书时，以现金或转账的方式一次性向代理机构缴纳代理服务费。</w:t>
            </w:r>
          </w:p>
          <w:p w14:paraId="6CB4FA20">
            <w:pPr>
              <w:spacing w:line="500" w:lineRule="exact"/>
              <w:rPr>
                <w:rFonts w:hint="eastAsia" w:ascii="宋体" w:hAnsi="宋体" w:eastAsia="宋体" w:cs="宋体"/>
                <w:bCs/>
                <w:sz w:val="24"/>
                <w:szCs w:val="20"/>
                <w:highlight w:val="none"/>
                <w:lang w:val="en-US" w:eastAsia="zh-CN"/>
              </w:rPr>
            </w:pPr>
            <w:r>
              <w:rPr>
                <w:rFonts w:hint="eastAsia" w:ascii="宋体" w:hAnsi="宋体" w:eastAsia="宋体" w:cs="宋体"/>
                <w:bCs/>
                <w:sz w:val="24"/>
                <w:szCs w:val="20"/>
                <w:highlight w:val="none"/>
                <w:lang w:val="en-US" w:eastAsia="zh-CN"/>
              </w:rPr>
              <w:t>3.收款单位：河南锦霖工程管理有限公司</w:t>
            </w:r>
          </w:p>
          <w:p w14:paraId="39598CC0">
            <w:pPr>
              <w:spacing w:line="500" w:lineRule="exact"/>
              <w:rPr>
                <w:rFonts w:hint="eastAsia" w:ascii="宋体" w:hAnsi="宋体" w:eastAsia="宋体" w:cs="宋体"/>
                <w:bCs/>
                <w:sz w:val="24"/>
                <w:szCs w:val="20"/>
                <w:highlight w:val="none"/>
                <w:lang w:val="en-US" w:eastAsia="zh-CN"/>
              </w:rPr>
            </w:pPr>
            <w:r>
              <w:rPr>
                <w:rFonts w:hint="eastAsia" w:ascii="宋体" w:hAnsi="宋体" w:eastAsia="宋体" w:cs="宋体"/>
                <w:bCs/>
                <w:sz w:val="24"/>
                <w:szCs w:val="20"/>
                <w:highlight w:val="none"/>
                <w:lang w:val="en-US" w:eastAsia="zh-CN"/>
              </w:rPr>
              <w:t>开户行：中国工商银行股份有限公司三门峡上官路支行</w:t>
            </w:r>
          </w:p>
          <w:p w14:paraId="7ACF9CF8">
            <w:pPr>
              <w:spacing w:line="500" w:lineRule="exact"/>
              <w:rPr>
                <w:rFonts w:hint="default" w:ascii="宋体" w:hAnsi="宋体" w:eastAsia="宋体" w:cs="宋体"/>
                <w:bCs/>
                <w:sz w:val="24"/>
                <w:szCs w:val="20"/>
                <w:highlight w:val="none"/>
                <w:lang w:val="en-US" w:eastAsia="zh-CN"/>
              </w:rPr>
            </w:pPr>
            <w:r>
              <w:rPr>
                <w:rFonts w:hint="eastAsia" w:ascii="宋体" w:hAnsi="宋体" w:eastAsia="宋体" w:cs="宋体"/>
                <w:bCs/>
                <w:sz w:val="24"/>
                <w:szCs w:val="20"/>
                <w:highlight w:val="none"/>
                <w:lang w:val="en-US" w:eastAsia="zh-CN"/>
              </w:rPr>
              <w:t>帐  号：1713320309100049638</w:t>
            </w:r>
          </w:p>
          <w:p w14:paraId="16DE0767">
            <w:pPr>
              <w:spacing w:line="500" w:lineRule="exact"/>
              <w:rPr>
                <w:rFonts w:hint="eastAsia" w:ascii="宋体" w:hAnsi="宋体" w:cs="宋体"/>
                <w:bCs/>
                <w:sz w:val="24"/>
                <w:szCs w:val="20"/>
                <w:highlight w:val="none"/>
              </w:rPr>
            </w:pPr>
            <w:r>
              <w:rPr>
                <w:rFonts w:hint="eastAsia" w:ascii="宋体" w:hAnsi="宋体" w:cs="宋体"/>
                <w:bCs/>
                <w:sz w:val="24"/>
                <w:szCs w:val="20"/>
                <w:highlight w:val="none"/>
                <w:lang w:val="en-US" w:eastAsia="zh-CN"/>
              </w:rPr>
              <w:t>4.</w:t>
            </w:r>
            <w:r>
              <w:rPr>
                <w:rFonts w:hint="eastAsia" w:ascii="宋体" w:hAnsi="宋体" w:eastAsia="宋体" w:cs="宋体"/>
                <w:bCs/>
                <w:sz w:val="24"/>
                <w:szCs w:val="20"/>
                <w:highlight w:val="none"/>
              </w:rPr>
              <w:t>成交单位领取成交通知书时向采购代理机构提交贰份纸质磋商响应文件磋商响应文件应按以下要求装订：胶装（不得采用活页装订），应有目录，并逐页标注连续页码，需加盖公章。</w:t>
            </w:r>
          </w:p>
        </w:tc>
      </w:tr>
    </w:tbl>
    <w:p w14:paraId="37CA11EB">
      <w:pPr>
        <w:spacing w:line="500" w:lineRule="exact"/>
        <w:rPr>
          <w:highlight w:val="none"/>
        </w:rPr>
      </w:pPr>
    </w:p>
    <w:p w14:paraId="1B9F41B5">
      <w:pPr>
        <w:spacing w:line="500" w:lineRule="exact"/>
        <w:rPr>
          <w:highlight w:val="none"/>
        </w:rPr>
      </w:pPr>
    </w:p>
    <w:p w14:paraId="0DBFC915">
      <w:pPr>
        <w:spacing w:line="500" w:lineRule="exact"/>
        <w:rPr>
          <w:highlight w:val="none"/>
        </w:rPr>
      </w:pPr>
    </w:p>
    <w:p w14:paraId="5AF0358F">
      <w:pPr>
        <w:rPr>
          <w:rFonts w:hint="eastAsia" w:ascii="宋体" w:hAnsi="宋体" w:cs="宋体"/>
          <w:sz w:val="24"/>
          <w:highlight w:val="none"/>
        </w:rPr>
      </w:pPr>
      <w:bookmarkStart w:id="39" w:name="_Toc12094"/>
      <w:bookmarkStart w:id="40" w:name="_Toc521997940"/>
      <w:r>
        <w:rPr>
          <w:rFonts w:hint="eastAsia" w:ascii="宋体" w:hAnsi="宋体" w:cs="宋体"/>
          <w:sz w:val="24"/>
          <w:highlight w:val="none"/>
        </w:rPr>
        <w:br w:type="page"/>
      </w:r>
    </w:p>
    <w:p w14:paraId="07C47409">
      <w:pPr>
        <w:pStyle w:val="3"/>
        <w:spacing w:line="500" w:lineRule="exact"/>
        <w:ind w:firstLine="482" w:firstLineChars="200"/>
        <w:jc w:val="left"/>
        <w:rPr>
          <w:rFonts w:ascii="宋体" w:hAnsi="宋体" w:cs="宋体"/>
          <w:sz w:val="24"/>
          <w:highlight w:val="none"/>
        </w:rPr>
      </w:pPr>
      <w:r>
        <w:rPr>
          <w:rFonts w:hint="eastAsia" w:ascii="宋体" w:hAnsi="宋体" w:cs="宋体"/>
          <w:sz w:val="24"/>
          <w:highlight w:val="none"/>
        </w:rPr>
        <w:t>一、适用范围</w:t>
      </w:r>
    </w:p>
    <w:p w14:paraId="5B07158A">
      <w:pPr>
        <w:pStyle w:val="57"/>
        <w:spacing w:line="500" w:lineRule="exact"/>
        <w:ind w:firstLine="504"/>
        <w:rPr>
          <w:rFonts w:ascii="宋体" w:hAnsi="宋体" w:cs="宋体"/>
          <w:highlight w:val="none"/>
        </w:rPr>
      </w:pPr>
      <w:r>
        <w:rPr>
          <w:rFonts w:hint="eastAsia" w:ascii="宋体" w:hAnsi="宋体" w:cs="宋体"/>
          <w:highlight w:val="none"/>
        </w:rPr>
        <w:t>本竞争性磋商文件仅适用于本次竞争性磋商公告中所叙述的项目。通过竞争性磋商方式择优选择成交人。</w:t>
      </w:r>
    </w:p>
    <w:p w14:paraId="3FB54051">
      <w:pPr>
        <w:pStyle w:val="3"/>
        <w:spacing w:line="500" w:lineRule="exact"/>
        <w:ind w:firstLine="482" w:firstLineChars="200"/>
        <w:jc w:val="left"/>
        <w:rPr>
          <w:rFonts w:ascii="宋体" w:hAnsi="宋体" w:cs="宋体"/>
          <w:sz w:val="24"/>
          <w:highlight w:val="none"/>
        </w:rPr>
      </w:pPr>
      <w:bookmarkStart w:id="41" w:name="_Toc183264285"/>
      <w:bookmarkStart w:id="42" w:name="_Toc359865654"/>
      <w:r>
        <w:rPr>
          <w:rFonts w:hint="eastAsia" w:ascii="宋体" w:hAnsi="宋体" w:cs="宋体"/>
          <w:sz w:val="24"/>
          <w:highlight w:val="none"/>
        </w:rPr>
        <w:t>二、定义</w:t>
      </w:r>
      <w:bookmarkEnd w:id="41"/>
      <w:bookmarkEnd w:id="42"/>
    </w:p>
    <w:p w14:paraId="7B6EDCF5">
      <w:pPr>
        <w:spacing w:line="500" w:lineRule="exact"/>
        <w:ind w:firstLine="480" w:firstLineChars="200"/>
        <w:rPr>
          <w:rFonts w:ascii="宋体" w:hAnsi="宋体" w:cs="宋体"/>
          <w:sz w:val="24"/>
          <w:highlight w:val="none"/>
        </w:rPr>
      </w:pPr>
      <w:bookmarkStart w:id="43" w:name="_Toc183264286"/>
      <w:r>
        <w:rPr>
          <w:rFonts w:hint="eastAsia" w:ascii="宋体" w:hAnsi="宋体" w:cs="宋体"/>
          <w:sz w:val="24"/>
          <w:highlight w:val="none"/>
        </w:rPr>
        <w:t>1.“采购人”系指</w:t>
      </w:r>
      <w:r>
        <w:rPr>
          <w:rFonts w:hint="eastAsia" w:ascii="宋体" w:hAnsi="宋体" w:cs="宋体"/>
          <w:sz w:val="24"/>
          <w:highlight w:val="none"/>
          <w:lang w:eastAsia="zh-CN"/>
        </w:rPr>
        <w:t>三门峡市陕州区养老服务中心</w:t>
      </w:r>
      <w:r>
        <w:rPr>
          <w:rFonts w:hint="eastAsia" w:ascii="宋体" w:hAnsi="宋体" w:cs="宋体"/>
          <w:sz w:val="24"/>
          <w:highlight w:val="none"/>
        </w:rPr>
        <w:t>。</w:t>
      </w:r>
    </w:p>
    <w:p w14:paraId="4CFD25D3">
      <w:pPr>
        <w:spacing w:line="500" w:lineRule="exact"/>
        <w:ind w:firstLine="480" w:firstLineChars="200"/>
        <w:rPr>
          <w:rFonts w:ascii="宋体" w:hAnsi="宋体" w:cs="宋体"/>
          <w:sz w:val="24"/>
          <w:highlight w:val="none"/>
        </w:rPr>
      </w:pPr>
      <w:r>
        <w:rPr>
          <w:rFonts w:hint="eastAsia" w:ascii="宋体" w:hAnsi="宋体" w:cs="宋体"/>
          <w:sz w:val="24"/>
          <w:highlight w:val="none"/>
        </w:rPr>
        <w:t>2.“代理机构”系指河南锦霖工程管理有限公司。</w:t>
      </w:r>
    </w:p>
    <w:p w14:paraId="3E60A333">
      <w:pPr>
        <w:spacing w:line="500" w:lineRule="exact"/>
        <w:ind w:firstLine="480" w:firstLineChars="200"/>
        <w:rPr>
          <w:rFonts w:ascii="宋体" w:hAnsi="宋体" w:cs="宋体"/>
          <w:sz w:val="24"/>
          <w:highlight w:val="none"/>
        </w:rPr>
      </w:pPr>
      <w:r>
        <w:rPr>
          <w:rFonts w:hint="eastAsia" w:ascii="宋体" w:hAnsi="宋体" w:cs="宋体"/>
          <w:sz w:val="24"/>
          <w:highlight w:val="none"/>
        </w:rPr>
        <w:t>3.“供应商”系指响应磋商并进行报价竞争的单位。</w:t>
      </w:r>
    </w:p>
    <w:p w14:paraId="69B97AF4">
      <w:pPr>
        <w:spacing w:line="500" w:lineRule="exact"/>
        <w:ind w:firstLine="480" w:firstLineChars="200"/>
        <w:rPr>
          <w:rFonts w:ascii="宋体" w:hAnsi="宋体" w:cs="宋体"/>
          <w:sz w:val="24"/>
          <w:highlight w:val="none"/>
        </w:rPr>
      </w:pPr>
      <w:r>
        <w:rPr>
          <w:rFonts w:hint="eastAsia" w:ascii="宋体" w:hAnsi="宋体" w:cs="宋体"/>
          <w:sz w:val="24"/>
          <w:highlight w:val="none"/>
        </w:rPr>
        <w:t>4.“成交人”系指由磋商小组评审确定的取得与采购人签订合同资格的供应商。</w:t>
      </w:r>
    </w:p>
    <w:p w14:paraId="18E601FA">
      <w:pPr>
        <w:pStyle w:val="3"/>
        <w:spacing w:line="500" w:lineRule="exact"/>
        <w:ind w:firstLine="482" w:firstLineChars="200"/>
        <w:jc w:val="left"/>
        <w:rPr>
          <w:rFonts w:ascii="宋体" w:hAnsi="宋体" w:cs="宋体"/>
          <w:sz w:val="24"/>
          <w:highlight w:val="none"/>
        </w:rPr>
      </w:pPr>
      <w:bookmarkStart w:id="44" w:name="_Toc359865655"/>
      <w:r>
        <w:rPr>
          <w:rFonts w:hint="eastAsia" w:ascii="宋体" w:hAnsi="宋体" w:cs="宋体"/>
          <w:sz w:val="24"/>
          <w:highlight w:val="none"/>
        </w:rPr>
        <w:t>三、踏勘现场</w:t>
      </w:r>
      <w:bookmarkEnd w:id="44"/>
    </w:p>
    <w:p w14:paraId="4413F881">
      <w:pPr>
        <w:pStyle w:val="58"/>
        <w:spacing w:line="500" w:lineRule="exact"/>
        <w:ind w:firstLine="504" w:firstLineChars="200"/>
        <w:rPr>
          <w:rFonts w:ascii="宋体" w:hAnsi="宋体" w:eastAsia="宋体" w:cs="宋体"/>
          <w:bCs/>
          <w:sz w:val="24"/>
          <w:szCs w:val="24"/>
          <w:highlight w:val="none"/>
        </w:rPr>
      </w:pPr>
      <w:r>
        <w:rPr>
          <w:rFonts w:hint="eastAsia" w:ascii="宋体" w:hAnsi="宋体" w:eastAsia="宋体" w:cs="宋体"/>
          <w:b w:val="0"/>
          <w:spacing w:val="6"/>
          <w:kern w:val="0"/>
          <w:sz w:val="24"/>
          <w:szCs w:val="24"/>
          <w:highlight w:val="none"/>
        </w:rPr>
        <w:t>1.不组织踏勘现场</w:t>
      </w:r>
    </w:p>
    <w:p w14:paraId="4B557C0A">
      <w:pPr>
        <w:pStyle w:val="57"/>
        <w:spacing w:line="500" w:lineRule="exact"/>
        <w:ind w:firstLine="504"/>
        <w:rPr>
          <w:rFonts w:ascii="宋体" w:hAnsi="宋体" w:cs="宋体"/>
          <w:highlight w:val="none"/>
        </w:rPr>
      </w:pPr>
      <w:r>
        <w:rPr>
          <w:rFonts w:hint="eastAsia" w:ascii="宋体" w:hAnsi="宋体" w:cs="宋体"/>
          <w:highlight w:val="none"/>
        </w:rPr>
        <w:t>2．供应商自行对本项目的现状及周围环境进行踏勘和审阅，踏勘现场所需车辆及相关费用自理。</w:t>
      </w:r>
    </w:p>
    <w:p w14:paraId="1FFC5FD0">
      <w:pPr>
        <w:pStyle w:val="3"/>
        <w:spacing w:line="500" w:lineRule="exact"/>
        <w:ind w:firstLine="482" w:firstLineChars="200"/>
        <w:jc w:val="left"/>
        <w:rPr>
          <w:rFonts w:ascii="宋体" w:hAnsi="宋体" w:cs="宋体"/>
          <w:sz w:val="24"/>
          <w:highlight w:val="none"/>
        </w:rPr>
      </w:pPr>
      <w:bookmarkStart w:id="45" w:name="_Toc359865656"/>
      <w:r>
        <w:rPr>
          <w:rFonts w:hint="eastAsia" w:ascii="宋体" w:hAnsi="宋体" w:cs="宋体"/>
          <w:sz w:val="24"/>
          <w:highlight w:val="none"/>
        </w:rPr>
        <w:t>四、竞争性磋商文件说明</w:t>
      </w:r>
      <w:bookmarkEnd w:id="43"/>
      <w:bookmarkEnd w:id="45"/>
    </w:p>
    <w:p w14:paraId="7C7E29A7">
      <w:pPr>
        <w:pStyle w:val="58"/>
        <w:spacing w:line="500" w:lineRule="exact"/>
        <w:ind w:firstLine="480" w:firstLineChars="200"/>
        <w:rPr>
          <w:rFonts w:ascii="宋体" w:hAnsi="宋体" w:eastAsia="宋体" w:cs="宋体"/>
          <w:b w:val="0"/>
          <w:bCs/>
          <w:sz w:val="24"/>
          <w:szCs w:val="24"/>
          <w:highlight w:val="none"/>
        </w:rPr>
      </w:pPr>
      <w:r>
        <w:rPr>
          <w:rFonts w:hint="eastAsia" w:ascii="宋体" w:hAnsi="宋体" w:eastAsia="宋体" w:cs="宋体"/>
          <w:b w:val="0"/>
          <w:bCs/>
          <w:sz w:val="24"/>
          <w:szCs w:val="24"/>
          <w:highlight w:val="none"/>
        </w:rPr>
        <w:t>（一）竞争性磋商文件的组成</w:t>
      </w:r>
    </w:p>
    <w:p w14:paraId="237129E6">
      <w:pPr>
        <w:pStyle w:val="59"/>
        <w:spacing w:line="500" w:lineRule="exact"/>
        <w:ind w:firstLine="504" w:firstLineChars="200"/>
        <w:rPr>
          <w:rFonts w:ascii="宋体" w:hAnsi="宋体" w:eastAsia="宋体" w:cs="宋体"/>
          <w:spacing w:val="6"/>
          <w:sz w:val="24"/>
          <w:highlight w:val="none"/>
        </w:rPr>
      </w:pPr>
      <w:r>
        <w:rPr>
          <w:rFonts w:hint="eastAsia" w:ascii="宋体" w:hAnsi="宋体" w:eastAsia="宋体" w:cs="宋体"/>
          <w:spacing w:val="6"/>
          <w:sz w:val="24"/>
          <w:highlight w:val="none"/>
        </w:rPr>
        <w:t>（1）竞争性磋商公告；</w:t>
      </w:r>
    </w:p>
    <w:p w14:paraId="73BBD385">
      <w:pPr>
        <w:pStyle w:val="59"/>
        <w:spacing w:line="500" w:lineRule="exact"/>
        <w:ind w:firstLine="504" w:firstLineChars="200"/>
        <w:rPr>
          <w:rFonts w:ascii="宋体" w:hAnsi="宋体" w:eastAsia="宋体" w:cs="宋体"/>
          <w:spacing w:val="6"/>
          <w:sz w:val="24"/>
          <w:highlight w:val="none"/>
        </w:rPr>
      </w:pPr>
      <w:r>
        <w:rPr>
          <w:rFonts w:hint="eastAsia" w:ascii="宋体" w:hAnsi="宋体" w:eastAsia="宋体" w:cs="宋体"/>
          <w:spacing w:val="6"/>
          <w:sz w:val="24"/>
          <w:highlight w:val="none"/>
        </w:rPr>
        <w:t>（2）供应商须知；</w:t>
      </w:r>
    </w:p>
    <w:p w14:paraId="43485730">
      <w:pPr>
        <w:pStyle w:val="59"/>
        <w:spacing w:line="500" w:lineRule="exact"/>
        <w:ind w:firstLine="504" w:firstLineChars="200"/>
        <w:rPr>
          <w:rFonts w:ascii="宋体" w:hAnsi="宋体" w:eastAsia="宋体" w:cs="宋体"/>
          <w:spacing w:val="6"/>
          <w:sz w:val="24"/>
          <w:highlight w:val="none"/>
        </w:rPr>
      </w:pPr>
      <w:r>
        <w:rPr>
          <w:rFonts w:hint="eastAsia" w:ascii="宋体" w:hAnsi="宋体" w:eastAsia="宋体" w:cs="宋体"/>
          <w:spacing w:val="6"/>
          <w:sz w:val="24"/>
          <w:highlight w:val="none"/>
        </w:rPr>
        <w:t>（3）</w:t>
      </w:r>
      <w:r>
        <w:rPr>
          <w:rFonts w:hint="eastAsia" w:ascii="宋体" w:hAnsi="宋体" w:eastAsia="宋体" w:cs="宋体"/>
          <w:spacing w:val="6"/>
          <w:sz w:val="24"/>
          <w:highlight w:val="none"/>
          <w:lang w:val="en-US" w:eastAsia="zh-CN"/>
        </w:rPr>
        <w:t>服务</w:t>
      </w:r>
      <w:r>
        <w:rPr>
          <w:rFonts w:hint="eastAsia" w:ascii="宋体" w:hAnsi="宋体" w:eastAsia="宋体" w:cs="宋体"/>
          <w:spacing w:val="6"/>
          <w:sz w:val="24"/>
          <w:highlight w:val="none"/>
        </w:rPr>
        <w:t>内容及要求；</w:t>
      </w:r>
    </w:p>
    <w:p w14:paraId="2773EF11">
      <w:pPr>
        <w:pStyle w:val="59"/>
        <w:spacing w:line="500" w:lineRule="exact"/>
        <w:ind w:firstLine="504" w:firstLineChars="200"/>
        <w:rPr>
          <w:rFonts w:ascii="宋体" w:hAnsi="宋体" w:eastAsia="宋体" w:cs="宋体"/>
          <w:spacing w:val="6"/>
          <w:sz w:val="24"/>
          <w:highlight w:val="none"/>
        </w:rPr>
      </w:pPr>
      <w:r>
        <w:rPr>
          <w:rFonts w:hint="eastAsia" w:ascii="宋体" w:hAnsi="宋体" w:eastAsia="宋体" w:cs="宋体"/>
          <w:spacing w:val="6"/>
          <w:sz w:val="24"/>
          <w:highlight w:val="none"/>
        </w:rPr>
        <w:t>（4）评审办法（综合评分法）；</w:t>
      </w:r>
    </w:p>
    <w:p w14:paraId="633BD7EF">
      <w:pPr>
        <w:pStyle w:val="59"/>
        <w:spacing w:line="500" w:lineRule="exact"/>
        <w:ind w:firstLine="504" w:firstLineChars="200"/>
        <w:rPr>
          <w:rFonts w:ascii="宋体" w:hAnsi="宋体" w:eastAsia="宋体" w:cs="宋体"/>
          <w:spacing w:val="6"/>
          <w:sz w:val="24"/>
          <w:highlight w:val="none"/>
        </w:rPr>
      </w:pPr>
      <w:r>
        <w:rPr>
          <w:rFonts w:hint="eastAsia" w:ascii="宋体" w:hAnsi="宋体" w:eastAsia="宋体" w:cs="宋体"/>
          <w:spacing w:val="6"/>
          <w:sz w:val="24"/>
          <w:highlight w:val="none"/>
        </w:rPr>
        <w:t>（5）合同条款及格式；</w:t>
      </w:r>
    </w:p>
    <w:p w14:paraId="68A9EC62">
      <w:pPr>
        <w:pStyle w:val="59"/>
        <w:spacing w:line="500" w:lineRule="exact"/>
        <w:ind w:firstLine="504" w:firstLineChars="200"/>
        <w:rPr>
          <w:rFonts w:ascii="宋体" w:hAnsi="宋体" w:eastAsia="宋体" w:cs="宋体"/>
          <w:spacing w:val="6"/>
          <w:sz w:val="24"/>
          <w:highlight w:val="none"/>
        </w:rPr>
      </w:pPr>
      <w:r>
        <w:rPr>
          <w:rFonts w:hint="eastAsia" w:ascii="宋体" w:hAnsi="宋体" w:eastAsia="宋体" w:cs="宋体"/>
          <w:spacing w:val="6"/>
          <w:sz w:val="24"/>
          <w:highlight w:val="none"/>
        </w:rPr>
        <w:t>（6）响应文件格式；</w:t>
      </w:r>
    </w:p>
    <w:p w14:paraId="2D204AB3">
      <w:pPr>
        <w:pStyle w:val="59"/>
        <w:spacing w:line="500" w:lineRule="exact"/>
        <w:ind w:firstLine="504" w:firstLineChars="200"/>
        <w:rPr>
          <w:rFonts w:ascii="宋体" w:hAnsi="宋体" w:eastAsia="宋体" w:cs="宋体"/>
          <w:spacing w:val="6"/>
          <w:sz w:val="24"/>
          <w:highlight w:val="none"/>
        </w:rPr>
      </w:pPr>
      <w:r>
        <w:rPr>
          <w:rFonts w:hint="eastAsia" w:ascii="宋体" w:hAnsi="宋体" w:eastAsia="宋体" w:cs="宋体"/>
          <w:spacing w:val="6"/>
          <w:sz w:val="24"/>
          <w:highlight w:val="none"/>
        </w:rPr>
        <w:t>（二）竞争性磋商文件的修改</w:t>
      </w:r>
    </w:p>
    <w:p w14:paraId="509360C9">
      <w:pPr>
        <w:spacing w:line="500" w:lineRule="exact"/>
        <w:ind w:right="120" w:firstLine="480" w:firstLineChars="200"/>
        <w:rPr>
          <w:rFonts w:ascii="宋体" w:hAnsi="宋体" w:cs="宋体"/>
          <w:sz w:val="24"/>
          <w:highlight w:val="none"/>
        </w:rPr>
      </w:pPr>
      <w:bookmarkStart w:id="46" w:name="_Toc183264287"/>
      <w:bookmarkStart w:id="47" w:name="_Toc359865657"/>
      <w:r>
        <w:rPr>
          <w:rFonts w:hint="eastAsia" w:ascii="宋体" w:hAnsi="宋体" w:cs="宋体"/>
          <w:sz w:val="24"/>
          <w:highlight w:val="none"/>
        </w:rPr>
        <w:t>1．采购人、代理机构或者磋商小组可以对已发出的磋商文件进行必要的澄清或者修改，澄清或者修改的内容作为磋商文件的组成部分，澄清或者修改的内容可能影响响应文件编制的，采购人、代理机构应当在提交首次响应文件截止时间至少5日前，以书面形式通知所有获取磋商文件的磋商供应商；不足5日的，采购人、代理机构应当顺延提交首次响应文件截止时间。</w:t>
      </w:r>
    </w:p>
    <w:p w14:paraId="7E039491">
      <w:pPr>
        <w:spacing w:line="500" w:lineRule="exact"/>
        <w:ind w:firstLine="480" w:firstLineChars="200"/>
        <w:rPr>
          <w:rFonts w:ascii="宋体" w:hAnsi="宋体" w:cs="宋体"/>
          <w:sz w:val="24"/>
          <w:highlight w:val="none"/>
        </w:rPr>
      </w:pPr>
      <w:r>
        <w:rPr>
          <w:rFonts w:hint="eastAsia" w:ascii="宋体" w:hAnsi="宋体" w:cs="宋体"/>
          <w:sz w:val="24"/>
          <w:highlight w:val="none"/>
        </w:rPr>
        <w:t>2.在磋商过程中，磋商小组可以根据磋商文件和磋商情况实质性变动技术标准和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法定代表人或授权代表签字或者加盖公章。由授权代表签字的，应当附法定代表人授权书。</w:t>
      </w:r>
    </w:p>
    <w:p w14:paraId="31B633A1">
      <w:pPr>
        <w:spacing w:line="500" w:lineRule="exact"/>
        <w:ind w:right="120" w:firstLine="480" w:firstLineChars="200"/>
        <w:rPr>
          <w:rFonts w:ascii="宋体" w:hAnsi="宋体" w:cs="宋体"/>
          <w:sz w:val="24"/>
          <w:highlight w:val="none"/>
        </w:rPr>
      </w:pPr>
      <w:r>
        <w:rPr>
          <w:rFonts w:hint="eastAsia" w:ascii="宋体" w:hAnsi="宋体" w:cs="宋体"/>
          <w:sz w:val="24"/>
          <w:highlight w:val="none"/>
        </w:rPr>
        <w:t>3.采购人可以视项目具体情况，延长响应文件截止时间和开启时间，但至少应当在竞争性磋商文件要求提交响应文件截止时间三日前，将变更时间书面通知所有竞争性磋商文件收受人，并在财政部门指定的政府采购信息发布媒体上发布变更公告。</w:t>
      </w:r>
    </w:p>
    <w:p w14:paraId="08ADF8D6">
      <w:pPr>
        <w:pStyle w:val="3"/>
        <w:spacing w:line="500" w:lineRule="exact"/>
        <w:ind w:firstLine="482" w:firstLineChars="200"/>
        <w:jc w:val="left"/>
        <w:rPr>
          <w:rFonts w:ascii="宋体" w:hAnsi="宋体" w:cs="宋体"/>
          <w:sz w:val="24"/>
          <w:highlight w:val="none"/>
        </w:rPr>
      </w:pPr>
      <w:r>
        <w:rPr>
          <w:rFonts w:hint="eastAsia" w:ascii="宋体" w:hAnsi="宋体" w:cs="宋体"/>
          <w:sz w:val="24"/>
          <w:highlight w:val="none"/>
        </w:rPr>
        <w:t>五、响应文件的编</w:t>
      </w:r>
      <w:bookmarkEnd w:id="46"/>
      <w:bookmarkEnd w:id="47"/>
      <w:r>
        <w:rPr>
          <w:rFonts w:hint="eastAsia" w:ascii="宋体" w:hAnsi="宋体" w:cs="宋体"/>
          <w:sz w:val="24"/>
          <w:highlight w:val="none"/>
        </w:rPr>
        <w:t>制</w:t>
      </w:r>
    </w:p>
    <w:p w14:paraId="7200C06E">
      <w:pPr>
        <w:pStyle w:val="4"/>
        <w:spacing w:line="500" w:lineRule="exact"/>
        <w:ind w:firstLine="482" w:firstLineChars="200"/>
        <w:rPr>
          <w:rFonts w:ascii="宋体" w:hAnsi="宋体" w:cs="宋体"/>
          <w:sz w:val="24"/>
          <w:szCs w:val="24"/>
          <w:highlight w:val="none"/>
        </w:rPr>
      </w:pPr>
      <w:r>
        <w:rPr>
          <w:rFonts w:hint="eastAsia" w:ascii="宋体" w:hAnsi="宋体" w:cs="宋体"/>
          <w:sz w:val="24"/>
          <w:szCs w:val="24"/>
          <w:highlight w:val="none"/>
        </w:rPr>
        <w:t>（一）响应文件的组成</w:t>
      </w:r>
    </w:p>
    <w:p w14:paraId="4129AC68">
      <w:pPr>
        <w:spacing w:line="500" w:lineRule="exact"/>
        <w:ind w:firstLine="480" w:firstLineChars="200"/>
        <w:rPr>
          <w:rFonts w:ascii="宋体" w:hAnsi="宋体" w:cs="宋体"/>
          <w:sz w:val="24"/>
          <w:highlight w:val="none"/>
        </w:rPr>
      </w:pPr>
      <w:r>
        <w:rPr>
          <w:rFonts w:hint="eastAsia" w:ascii="宋体" w:hAnsi="宋体" w:cs="宋体"/>
          <w:sz w:val="24"/>
          <w:highlight w:val="none"/>
        </w:rPr>
        <w:t>1、响应文件应包括下列内容：</w:t>
      </w:r>
    </w:p>
    <w:p w14:paraId="0C75B048">
      <w:pPr>
        <w:spacing w:line="500" w:lineRule="exact"/>
        <w:ind w:firstLine="480" w:firstLineChars="200"/>
        <w:rPr>
          <w:rFonts w:ascii="宋体" w:hAnsi="宋体" w:cs="宋体"/>
          <w:sz w:val="24"/>
          <w:highlight w:val="none"/>
        </w:rPr>
      </w:pPr>
      <w:r>
        <w:rPr>
          <w:rFonts w:hint="eastAsia" w:ascii="宋体" w:hAnsi="宋体" w:cs="宋体"/>
          <w:sz w:val="24"/>
          <w:highlight w:val="none"/>
        </w:rPr>
        <w:t>（1）响应函及响应函附录</w:t>
      </w:r>
    </w:p>
    <w:p w14:paraId="61A0F945">
      <w:pPr>
        <w:spacing w:line="500" w:lineRule="exact"/>
        <w:ind w:firstLine="480" w:firstLineChars="200"/>
        <w:rPr>
          <w:rFonts w:ascii="宋体" w:hAnsi="宋体" w:cs="宋体"/>
          <w:sz w:val="24"/>
          <w:highlight w:val="none"/>
        </w:rPr>
      </w:pPr>
      <w:r>
        <w:rPr>
          <w:rFonts w:hint="eastAsia" w:ascii="宋体" w:hAnsi="宋体" w:cs="宋体"/>
          <w:sz w:val="24"/>
          <w:highlight w:val="none"/>
        </w:rPr>
        <w:t>（2）法定代表人身份证明</w:t>
      </w:r>
    </w:p>
    <w:p w14:paraId="2854E6DB">
      <w:pPr>
        <w:spacing w:line="500" w:lineRule="exact"/>
        <w:ind w:firstLine="480" w:firstLineChars="200"/>
        <w:rPr>
          <w:rFonts w:ascii="宋体" w:hAnsi="宋体" w:cs="宋体"/>
          <w:sz w:val="24"/>
          <w:highlight w:val="none"/>
        </w:rPr>
      </w:pPr>
      <w:r>
        <w:rPr>
          <w:rFonts w:hint="eastAsia" w:ascii="宋体" w:hAnsi="宋体" w:cs="宋体"/>
          <w:sz w:val="24"/>
          <w:highlight w:val="none"/>
        </w:rPr>
        <w:t>（3）资格审查资料</w:t>
      </w:r>
    </w:p>
    <w:p w14:paraId="03C2710A">
      <w:pPr>
        <w:spacing w:line="500" w:lineRule="exact"/>
        <w:ind w:firstLine="480" w:firstLineChars="200"/>
        <w:rPr>
          <w:rFonts w:ascii="宋体" w:hAnsi="宋体" w:cs="宋体"/>
          <w:sz w:val="24"/>
          <w:highlight w:val="none"/>
        </w:rPr>
      </w:pPr>
      <w:r>
        <w:rPr>
          <w:rFonts w:hint="eastAsia" w:ascii="宋体" w:hAnsi="宋体" w:cs="宋体"/>
          <w:sz w:val="24"/>
          <w:highlight w:val="none"/>
        </w:rPr>
        <w:t>（4）</w:t>
      </w:r>
      <w:r>
        <w:rPr>
          <w:rFonts w:hint="eastAsia" w:ascii="宋体" w:hAnsi="宋体" w:cs="宋体"/>
          <w:sz w:val="24"/>
          <w:highlight w:val="none"/>
          <w:lang w:val="en-US" w:eastAsia="zh-CN"/>
        </w:rPr>
        <w:t>供应商基本情况</w:t>
      </w:r>
    </w:p>
    <w:p w14:paraId="4887A599">
      <w:pPr>
        <w:spacing w:line="500" w:lineRule="exact"/>
        <w:ind w:firstLine="480" w:firstLineChars="200"/>
        <w:rPr>
          <w:rFonts w:ascii="宋体" w:hAnsi="宋体" w:cs="宋体"/>
          <w:sz w:val="24"/>
          <w:highlight w:val="none"/>
        </w:rPr>
      </w:pPr>
      <w:r>
        <w:rPr>
          <w:rFonts w:hint="eastAsia" w:ascii="宋体" w:hAnsi="宋体" w:cs="宋体"/>
          <w:sz w:val="24"/>
          <w:highlight w:val="none"/>
        </w:rPr>
        <w:t>（5）</w:t>
      </w:r>
      <w:r>
        <w:rPr>
          <w:rFonts w:hint="eastAsia" w:ascii="宋体" w:hAnsi="宋体" w:cs="宋体"/>
          <w:sz w:val="24"/>
          <w:highlight w:val="none"/>
          <w:lang w:val="en-US" w:eastAsia="zh-CN"/>
        </w:rPr>
        <w:t>技术</w:t>
      </w:r>
      <w:r>
        <w:rPr>
          <w:rFonts w:hint="eastAsia" w:ascii="宋体" w:hAnsi="宋体" w:cs="宋体"/>
          <w:sz w:val="24"/>
          <w:highlight w:val="none"/>
        </w:rPr>
        <w:t>方案</w:t>
      </w:r>
    </w:p>
    <w:p w14:paraId="43E71279">
      <w:pPr>
        <w:spacing w:line="500" w:lineRule="exact"/>
        <w:ind w:firstLine="480" w:firstLineChars="200"/>
        <w:rPr>
          <w:rFonts w:ascii="宋体" w:hAnsi="宋体" w:cs="宋体"/>
          <w:sz w:val="24"/>
          <w:highlight w:val="none"/>
        </w:rPr>
      </w:pPr>
      <w:r>
        <w:rPr>
          <w:rFonts w:hint="eastAsia" w:ascii="宋体" w:hAnsi="宋体" w:cs="宋体"/>
          <w:sz w:val="24"/>
          <w:highlight w:val="none"/>
        </w:rPr>
        <w:t>（6）服务承诺</w:t>
      </w:r>
    </w:p>
    <w:p w14:paraId="35D14312">
      <w:pPr>
        <w:spacing w:line="500" w:lineRule="exact"/>
        <w:ind w:firstLine="480" w:firstLineChars="200"/>
        <w:rPr>
          <w:rFonts w:ascii="宋体" w:hAnsi="宋体" w:cs="宋体"/>
          <w:sz w:val="24"/>
          <w:highlight w:val="none"/>
        </w:rPr>
      </w:pPr>
      <w:r>
        <w:rPr>
          <w:rFonts w:hint="eastAsia" w:ascii="宋体" w:hAnsi="宋体" w:cs="宋体"/>
          <w:sz w:val="24"/>
          <w:highlight w:val="none"/>
        </w:rPr>
        <w:t>（</w:t>
      </w:r>
      <w:r>
        <w:rPr>
          <w:rFonts w:hint="eastAsia" w:ascii="宋体" w:hAnsi="宋体" w:cs="宋体"/>
          <w:sz w:val="24"/>
          <w:highlight w:val="none"/>
          <w:lang w:val="en-US" w:eastAsia="zh-CN"/>
        </w:rPr>
        <w:t>7</w:t>
      </w:r>
      <w:r>
        <w:rPr>
          <w:rFonts w:hint="eastAsia" w:ascii="宋体" w:hAnsi="宋体" w:cs="宋体"/>
          <w:sz w:val="24"/>
          <w:highlight w:val="none"/>
        </w:rPr>
        <w:t>）其他材料</w:t>
      </w:r>
    </w:p>
    <w:p w14:paraId="5373E04A">
      <w:pPr>
        <w:spacing w:line="500" w:lineRule="exact"/>
        <w:ind w:firstLine="480" w:firstLineChars="200"/>
        <w:rPr>
          <w:rFonts w:ascii="宋体" w:hAnsi="宋体" w:cs="宋体"/>
          <w:sz w:val="24"/>
          <w:highlight w:val="none"/>
        </w:rPr>
      </w:pPr>
      <w:r>
        <w:rPr>
          <w:rFonts w:hint="eastAsia" w:ascii="宋体" w:hAnsi="宋体" w:cs="宋体"/>
          <w:sz w:val="24"/>
          <w:highlight w:val="none"/>
        </w:rPr>
        <w:t>供应商在评审过程中作出的符合法律法规和竞争性磋商文件规定的澄清确认，构成响应文件的组成部分。</w:t>
      </w:r>
    </w:p>
    <w:p w14:paraId="49B18ECE">
      <w:pPr>
        <w:spacing w:line="500" w:lineRule="exact"/>
        <w:ind w:firstLine="480" w:firstLineChars="200"/>
        <w:rPr>
          <w:rFonts w:ascii="宋体" w:hAnsi="宋体" w:cs="宋体"/>
          <w:sz w:val="24"/>
          <w:highlight w:val="none"/>
        </w:rPr>
      </w:pPr>
      <w:r>
        <w:rPr>
          <w:rFonts w:hint="eastAsia" w:ascii="宋体" w:hAnsi="宋体" w:cs="宋体"/>
          <w:sz w:val="24"/>
          <w:highlight w:val="none"/>
        </w:rPr>
        <w:t>2、不允许联合体。</w:t>
      </w:r>
    </w:p>
    <w:p w14:paraId="7A86EDBA">
      <w:pPr>
        <w:pStyle w:val="4"/>
        <w:spacing w:line="500" w:lineRule="exact"/>
        <w:ind w:firstLine="482" w:firstLineChars="200"/>
        <w:rPr>
          <w:rFonts w:ascii="宋体" w:hAnsi="宋体" w:cs="宋体"/>
          <w:sz w:val="24"/>
          <w:szCs w:val="24"/>
          <w:highlight w:val="none"/>
        </w:rPr>
      </w:pPr>
      <w:r>
        <w:rPr>
          <w:rFonts w:hint="eastAsia" w:ascii="宋体" w:hAnsi="宋体" w:cs="宋体"/>
          <w:sz w:val="24"/>
          <w:szCs w:val="24"/>
          <w:highlight w:val="none"/>
        </w:rPr>
        <w:t>（二）磋商报价</w:t>
      </w:r>
    </w:p>
    <w:p w14:paraId="635BD629">
      <w:pPr>
        <w:spacing w:line="500" w:lineRule="exact"/>
        <w:ind w:firstLine="480" w:firstLineChars="200"/>
        <w:rPr>
          <w:rFonts w:ascii="宋体" w:hAnsi="宋体" w:cs="宋体"/>
          <w:sz w:val="24"/>
          <w:highlight w:val="none"/>
        </w:rPr>
      </w:pPr>
      <w:r>
        <w:rPr>
          <w:rFonts w:hint="eastAsia" w:ascii="宋体" w:hAnsi="宋体" w:cs="宋体"/>
          <w:sz w:val="24"/>
          <w:highlight w:val="none"/>
        </w:rPr>
        <w:t>1、本次报价为非一次性报价，报价币种为人民币。供应商磋商时首次报价超出最高限价的视为无效报价。</w:t>
      </w:r>
    </w:p>
    <w:p w14:paraId="4720F1BC">
      <w:pPr>
        <w:spacing w:line="500" w:lineRule="exact"/>
        <w:ind w:firstLine="480" w:firstLineChars="200"/>
        <w:rPr>
          <w:rFonts w:ascii="宋体" w:hAnsi="宋体" w:cs="宋体"/>
          <w:sz w:val="24"/>
          <w:highlight w:val="none"/>
        </w:rPr>
      </w:pPr>
      <w:r>
        <w:rPr>
          <w:rFonts w:hint="eastAsia" w:ascii="宋体" w:hAnsi="宋体" w:cs="宋体"/>
          <w:sz w:val="24"/>
          <w:highlight w:val="none"/>
        </w:rPr>
        <w:t>2、磋商总报价是指包括基于提供服务</w:t>
      </w:r>
      <w:r>
        <w:rPr>
          <w:rFonts w:hint="eastAsia" w:ascii="宋体" w:hAnsi="宋体" w:cs="宋体"/>
          <w:sz w:val="24"/>
          <w:highlight w:val="none"/>
          <w:lang w:val="en-US" w:eastAsia="zh-CN"/>
        </w:rPr>
        <w:t>时</w:t>
      </w:r>
      <w:r>
        <w:rPr>
          <w:rFonts w:hint="eastAsia" w:ascii="宋体" w:hAnsi="宋体" w:cs="宋体"/>
          <w:sz w:val="24"/>
          <w:highlight w:val="none"/>
        </w:rPr>
        <w:t>发生的各种服务费总报价。</w:t>
      </w:r>
    </w:p>
    <w:p w14:paraId="69E6A234">
      <w:pPr>
        <w:spacing w:line="500" w:lineRule="exact"/>
        <w:ind w:firstLine="480" w:firstLineChars="200"/>
        <w:rPr>
          <w:rFonts w:ascii="宋体" w:hAnsi="宋体" w:cs="宋体"/>
          <w:sz w:val="24"/>
          <w:highlight w:val="none"/>
        </w:rPr>
      </w:pPr>
      <w:r>
        <w:rPr>
          <w:rFonts w:hint="eastAsia" w:ascii="宋体" w:hAnsi="宋体" w:cs="宋体"/>
          <w:sz w:val="24"/>
          <w:highlight w:val="none"/>
        </w:rPr>
        <w:t>3、磋商报价应完全包括竞争性磋商文件规定的全部服务范围，不得任意分割或合并所规定的服务分项。</w:t>
      </w:r>
    </w:p>
    <w:p w14:paraId="5F045520">
      <w:pPr>
        <w:spacing w:line="500" w:lineRule="exact"/>
        <w:ind w:firstLine="480" w:firstLineChars="200"/>
        <w:rPr>
          <w:rFonts w:ascii="宋体" w:hAnsi="宋体" w:cs="宋体"/>
          <w:sz w:val="24"/>
          <w:highlight w:val="none"/>
        </w:rPr>
      </w:pPr>
      <w:r>
        <w:rPr>
          <w:rFonts w:hint="eastAsia" w:ascii="宋体" w:hAnsi="宋体" w:cs="宋体"/>
          <w:sz w:val="24"/>
          <w:highlight w:val="none"/>
        </w:rPr>
        <w:t>4、供应商只允许有一个报价，采购人和采购代理机构不接受有任何选择报价的响应。</w:t>
      </w:r>
    </w:p>
    <w:p w14:paraId="51940FC7">
      <w:pPr>
        <w:spacing w:line="500" w:lineRule="exact"/>
        <w:ind w:firstLine="480" w:firstLineChars="200"/>
        <w:rPr>
          <w:rFonts w:ascii="宋体" w:hAnsi="宋体" w:cs="宋体"/>
          <w:sz w:val="24"/>
          <w:highlight w:val="none"/>
        </w:rPr>
      </w:pPr>
      <w:r>
        <w:rPr>
          <w:rFonts w:hint="eastAsia" w:ascii="宋体" w:hAnsi="宋体" w:cs="宋体"/>
          <w:sz w:val="24"/>
          <w:highlight w:val="none"/>
        </w:rPr>
        <w:t>5、供应商不得以任何理由在磋商后对报价予以修改，报价在磋商有效期内是固定的，不因任何原因而改变。任何包含价格调整要求和条件的响应，将被视为非实质性响应而予以拒绝。最低报价并不意味着一定成交。</w:t>
      </w:r>
    </w:p>
    <w:p w14:paraId="54D5F96D">
      <w:pPr>
        <w:spacing w:line="500" w:lineRule="exact"/>
        <w:ind w:firstLine="480" w:firstLineChars="200"/>
        <w:rPr>
          <w:highlight w:val="none"/>
        </w:rPr>
      </w:pPr>
      <w:r>
        <w:rPr>
          <w:rFonts w:hint="eastAsia" w:ascii="宋体" w:hAnsi="宋体" w:cs="宋体"/>
          <w:sz w:val="24"/>
          <w:highlight w:val="none"/>
        </w:rPr>
        <w:t>6、本次磋商有二次报价的机会，二次报价即为最终报价，最终报价为响应文件的一部分。</w:t>
      </w:r>
    </w:p>
    <w:p w14:paraId="537B13CD">
      <w:pPr>
        <w:pStyle w:val="59"/>
        <w:spacing w:line="500" w:lineRule="exact"/>
        <w:ind w:firstLine="504" w:firstLineChars="200"/>
        <w:rPr>
          <w:rFonts w:ascii="宋体" w:hAnsi="宋体" w:eastAsia="宋体" w:cs="宋体"/>
          <w:spacing w:val="6"/>
          <w:sz w:val="24"/>
          <w:highlight w:val="none"/>
        </w:rPr>
      </w:pPr>
      <w:r>
        <w:rPr>
          <w:rFonts w:hint="eastAsia" w:ascii="宋体" w:hAnsi="宋体" w:eastAsia="宋体" w:cs="宋体"/>
          <w:spacing w:val="6"/>
          <w:sz w:val="24"/>
          <w:highlight w:val="none"/>
        </w:rPr>
        <w:t>7、报价错误的修正</w:t>
      </w:r>
    </w:p>
    <w:p w14:paraId="2B2607F7">
      <w:pPr>
        <w:spacing w:line="500" w:lineRule="exact"/>
        <w:ind w:firstLine="480" w:firstLineChars="200"/>
        <w:rPr>
          <w:rFonts w:ascii="宋体" w:hAnsi="宋体" w:cs="宋体"/>
          <w:sz w:val="24"/>
          <w:highlight w:val="none"/>
        </w:rPr>
      </w:pPr>
      <w:r>
        <w:rPr>
          <w:rFonts w:hint="eastAsia" w:ascii="宋体" w:hAnsi="宋体" w:cs="宋体"/>
          <w:sz w:val="24"/>
          <w:highlight w:val="none"/>
        </w:rPr>
        <w:t>1）响应文件中的响应函与响应文件中不一致的，以响应函为准。</w:t>
      </w:r>
    </w:p>
    <w:p w14:paraId="3D6FCEAE">
      <w:pPr>
        <w:spacing w:line="500" w:lineRule="exact"/>
        <w:ind w:firstLine="480" w:firstLineChars="200"/>
        <w:rPr>
          <w:rFonts w:ascii="宋体" w:hAnsi="宋体" w:cs="宋体"/>
          <w:sz w:val="24"/>
          <w:highlight w:val="none"/>
        </w:rPr>
      </w:pPr>
      <w:r>
        <w:rPr>
          <w:rFonts w:hint="eastAsia" w:ascii="宋体" w:hAnsi="宋体" w:cs="宋体"/>
          <w:sz w:val="24"/>
          <w:highlight w:val="none"/>
        </w:rPr>
        <w:t>2）如果以文字表示的数据与数字表示的有差别，以文字为准。如果报价表大写金额与小写金额不一致，以大写的金额为准；最终报价时，大写金额书写错误导致无法读取报价的，按无效报价处理。</w:t>
      </w:r>
    </w:p>
    <w:p w14:paraId="7FB1AE83">
      <w:pPr>
        <w:spacing w:line="500" w:lineRule="exact"/>
        <w:ind w:firstLine="480" w:firstLineChars="200"/>
        <w:rPr>
          <w:rFonts w:ascii="宋体" w:hAnsi="宋体" w:cs="宋体"/>
          <w:sz w:val="24"/>
          <w:highlight w:val="none"/>
        </w:rPr>
      </w:pPr>
      <w:r>
        <w:rPr>
          <w:rFonts w:hint="eastAsia" w:ascii="宋体" w:hAnsi="宋体" w:cs="宋体"/>
          <w:sz w:val="24"/>
          <w:highlight w:val="none"/>
        </w:rPr>
        <w:t>3）调整后的数据对供应商具有约束力，供应商不同意以上修正，其报价将被拒绝。</w:t>
      </w:r>
    </w:p>
    <w:p w14:paraId="326818F4">
      <w:pPr>
        <w:pStyle w:val="4"/>
        <w:spacing w:line="500" w:lineRule="exact"/>
        <w:ind w:firstLine="482" w:firstLineChars="200"/>
        <w:rPr>
          <w:rFonts w:ascii="宋体" w:hAnsi="宋体" w:cs="宋体"/>
          <w:sz w:val="24"/>
          <w:szCs w:val="24"/>
          <w:highlight w:val="none"/>
        </w:rPr>
      </w:pPr>
      <w:r>
        <w:rPr>
          <w:rFonts w:hint="eastAsia" w:ascii="宋体" w:hAnsi="宋体" w:cs="宋体"/>
          <w:sz w:val="24"/>
          <w:szCs w:val="24"/>
          <w:highlight w:val="none"/>
        </w:rPr>
        <w:t>（三）备选方案</w:t>
      </w:r>
    </w:p>
    <w:p w14:paraId="0B3A75F5">
      <w:pPr>
        <w:pStyle w:val="59"/>
        <w:spacing w:line="500" w:lineRule="exact"/>
        <w:ind w:firstLine="480" w:firstLineChars="200"/>
        <w:rPr>
          <w:rFonts w:ascii="宋体" w:hAnsi="宋体" w:eastAsia="宋体" w:cs="宋体"/>
          <w:bCs/>
          <w:sz w:val="24"/>
          <w:highlight w:val="none"/>
        </w:rPr>
      </w:pPr>
      <w:r>
        <w:rPr>
          <w:rFonts w:hint="eastAsia" w:ascii="宋体" w:hAnsi="宋体" w:eastAsia="宋体" w:cs="宋体"/>
          <w:bCs/>
          <w:sz w:val="24"/>
          <w:highlight w:val="none"/>
        </w:rPr>
        <w:t>不允许</w:t>
      </w:r>
    </w:p>
    <w:p w14:paraId="474862AA">
      <w:pPr>
        <w:pStyle w:val="4"/>
        <w:spacing w:line="500" w:lineRule="exact"/>
        <w:ind w:firstLine="482" w:firstLineChars="200"/>
        <w:rPr>
          <w:rFonts w:ascii="宋体" w:hAnsi="宋体" w:cs="宋体"/>
          <w:sz w:val="24"/>
          <w:szCs w:val="24"/>
          <w:highlight w:val="none"/>
        </w:rPr>
      </w:pPr>
      <w:r>
        <w:rPr>
          <w:rFonts w:hint="eastAsia" w:ascii="宋体" w:hAnsi="宋体" w:cs="宋体"/>
          <w:sz w:val="24"/>
          <w:szCs w:val="24"/>
          <w:highlight w:val="none"/>
        </w:rPr>
        <w:t>（四）响应文件的编制</w:t>
      </w:r>
    </w:p>
    <w:p w14:paraId="0BB3600C">
      <w:pPr>
        <w:spacing w:line="500" w:lineRule="exact"/>
        <w:ind w:firstLine="480" w:firstLineChars="200"/>
        <w:rPr>
          <w:rFonts w:ascii="宋体" w:hAnsi="宋体" w:cs="宋体"/>
          <w:sz w:val="24"/>
          <w:highlight w:val="none"/>
        </w:rPr>
      </w:pPr>
      <w:r>
        <w:rPr>
          <w:rFonts w:hint="eastAsia" w:ascii="宋体" w:hAnsi="宋体" w:cs="宋体"/>
          <w:sz w:val="24"/>
          <w:highlight w:val="none"/>
        </w:rPr>
        <w:t>1、响应文件应按“响应文件格式”进行编写，如有必要，可以增加附页，作为响应文件的组成部分。</w:t>
      </w:r>
    </w:p>
    <w:p w14:paraId="035BD364">
      <w:pPr>
        <w:spacing w:line="500" w:lineRule="exact"/>
        <w:ind w:firstLine="480" w:firstLineChars="200"/>
        <w:rPr>
          <w:rFonts w:ascii="宋体" w:hAnsi="宋体" w:cs="宋体"/>
          <w:sz w:val="24"/>
          <w:highlight w:val="none"/>
        </w:rPr>
      </w:pPr>
      <w:r>
        <w:rPr>
          <w:rFonts w:hint="eastAsia" w:ascii="宋体" w:hAnsi="宋体" w:cs="宋体"/>
          <w:sz w:val="24"/>
          <w:highlight w:val="none"/>
        </w:rPr>
        <w:t>2、响应文件应当对竞争性磋商文件有关磋商有效期、</w:t>
      </w:r>
      <w:r>
        <w:rPr>
          <w:rFonts w:hint="eastAsia" w:ascii="宋体" w:hAnsi="宋体" w:cs="宋体"/>
          <w:sz w:val="24"/>
          <w:highlight w:val="none"/>
          <w:lang w:val="en-US" w:eastAsia="zh-CN"/>
        </w:rPr>
        <w:t>服务</w:t>
      </w:r>
      <w:r>
        <w:rPr>
          <w:rFonts w:hint="eastAsia" w:ascii="宋体" w:hAnsi="宋体" w:cs="宋体"/>
          <w:sz w:val="24"/>
          <w:highlight w:val="none"/>
        </w:rPr>
        <w:t>期、</w:t>
      </w:r>
      <w:r>
        <w:rPr>
          <w:rFonts w:hint="eastAsia" w:ascii="宋体" w:hAnsi="宋体" w:cs="宋体"/>
          <w:sz w:val="24"/>
          <w:highlight w:val="none"/>
          <w:lang w:val="en-US" w:eastAsia="zh-CN"/>
        </w:rPr>
        <w:t>服务内容</w:t>
      </w:r>
      <w:r>
        <w:rPr>
          <w:rFonts w:hint="eastAsia" w:ascii="宋体" w:hAnsi="宋体" w:cs="宋体"/>
          <w:sz w:val="24"/>
          <w:highlight w:val="none"/>
        </w:rPr>
        <w:t>等内容作出响应。响应文件在满足竞争性磋商文件实质性要求的基础上，可以提出比竞争性磋商文件要求更有利于采购人的承诺。</w:t>
      </w:r>
    </w:p>
    <w:p w14:paraId="3E3EB2DE">
      <w:pPr>
        <w:spacing w:line="500" w:lineRule="exact"/>
        <w:ind w:firstLine="480" w:firstLineChars="200"/>
        <w:rPr>
          <w:rFonts w:ascii="宋体" w:hAnsi="宋体" w:cs="宋体"/>
          <w:sz w:val="24"/>
          <w:highlight w:val="none"/>
        </w:rPr>
      </w:pPr>
      <w:r>
        <w:rPr>
          <w:rFonts w:hint="eastAsia" w:ascii="宋体" w:hAnsi="宋体" w:cs="宋体"/>
          <w:sz w:val="24"/>
          <w:highlight w:val="none"/>
        </w:rPr>
        <w:t>3、签字或盖章的具体要求见供应商须知前附表规定。</w:t>
      </w:r>
    </w:p>
    <w:p w14:paraId="1390E33D">
      <w:pPr>
        <w:pStyle w:val="22"/>
        <w:keepNext/>
        <w:keepLines/>
        <w:widowControl w:val="0"/>
        <w:adjustRightInd/>
        <w:snapToGrid/>
        <w:spacing w:beforeAutospacing="0" w:after="0" w:afterAutospacing="0" w:line="500" w:lineRule="exact"/>
        <w:ind w:firstLine="482"/>
        <w:jc w:val="both"/>
        <w:outlineLvl w:val="1"/>
        <w:rPr>
          <w:rFonts w:cs="宋体"/>
          <w:b/>
          <w:kern w:val="2"/>
          <w:highlight w:val="none"/>
        </w:rPr>
      </w:pPr>
      <w:bookmarkStart w:id="48" w:name="_Toc183264288"/>
      <w:r>
        <w:rPr>
          <w:rFonts w:hint="eastAsia" w:cs="宋体"/>
          <w:b/>
          <w:kern w:val="2"/>
          <w:highlight w:val="none"/>
        </w:rPr>
        <w:t>四、响应文件提交</w:t>
      </w:r>
    </w:p>
    <w:p w14:paraId="29C130D6">
      <w:pPr>
        <w:pStyle w:val="22"/>
        <w:widowControl w:val="0"/>
        <w:adjustRightInd/>
        <w:snapToGrid/>
        <w:spacing w:before="0" w:beforeAutospacing="0" w:after="0" w:afterAutospacing="0" w:line="500" w:lineRule="exact"/>
        <w:ind w:firstLine="482"/>
        <w:jc w:val="both"/>
        <w:rPr>
          <w:rFonts w:cs="宋体"/>
          <w:b/>
          <w:highlight w:val="none"/>
        </w:rPr>
      </w:pPr>
      <w:bookmarkStart w:id="49" w:name="_Toc522085761"/>
      <w:bookmarkEnd w:id="49"/>
      <w:bookmarkStart w:id="50" w:name="_Toc521997966"/>
      <w:bookmarkEnd w:id="50"/>
      <w:r>
        <w:rPr>
          <w:rFonts w:hint="eastAsia" w:cs="宋体"/>
          <w:b/>
          <w:kern w:val="2"/>
          <w:highlight w:val="none"/>
        </w:rPr>
        <w:t>（一）供应商应当按照竞争性磋商文件和电子招标投标交易平台的要求加密响应文件，具体要求见供应商须知前附表。</w:t>
      </w:r>
    </w:p>
    <w:p w14:paraId="6006F33A">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highlight w:val="none"/>
        </w:rPr>
      </w:pPr>
      <w:bookmarkStart w:id="51" w:name="page28"/>
      <w:bookmarkEnd w:id="51"/>
      <w:bookmarkStart w:id="52" w:name="_Toc521997968"/>
      <w:bookmarkEnd w:id="52"/>
      <w:bookmarkStart w:id="53" w:name="_Toc522798823"/>
      <w:bookmarkEnd w:id="53"/>
      <w:bookmarkStart w:id="54" w:name="_Toc522085763"/>
      <w:bookmarkStart w:id="55" w:name="_Toc11886"/>
      <w:r>
        <w:rPr>
          <w:rFonts w:hint="eastAsia" w:cs="宋体"/>
          <w:b/>
          <w:kern w:val="2"/>
          <w:highlight w:val="none"/>
        </w:rPr>
        <w:t>（二）响应文件的递交</w:t>
      </w:r>
      <w:bookmarkEnd w:id="54"/>
      <w:bookmarkEnd w:id="55"/>
    </w:p>
    <w:p w14:paraId="00CA2F67">
      <w:pPr>
        <w:spacing w:line="500" w:lineRule="exact"/>
        <w:ind w:firstLine="480" w:firstLineChars="200"/>
        <w:rPr>
          <w:rFonts w:ascii="宋体" w:hAnsi="宋体" w:cs="宋体"/>
          <w:sz w:val="24"/>
          <w:highlight w:val="none"/>
        </w:rPr>
      </w:pPr>
      <w:bookmarkStart w:id="56" w:name="_Toc522798824"/>
      <w:bookmarkEnd w:id="56"/>
      <w:r>
        <w:rPr>
          <w:rFonts w:hint="eastAsia" w:ascii="宋体" w:hAnsi="宋体" w:cs="宋体"/>
          <w:sz w:val="24"/>
          <w:highlight w:val="none"/>
        </w:rPr>
        <w:t>1）供应商应在供应商须知前附表规定的响应文件递交截止时间前递交响应文件。</w:t>
      </w:r>
    </w:p>
    <w:p w14:paraId="054323D4">
      <w:pPr>
        <w:spacing w:line="500" w:lineRule="exact"/>
        <w:ind w:firstLine="480" w:firstLineChars="200"/>
        <w:rPr>
          <w:rFonts w:ascii="宋体" w:hAnsi="宋体" w:cs="宋体"/>
          <w:sz w:val="24"/>
          <w:highlight w:val="none"/>
        </w:rPr>
      </w:pPr>
      <w:r>
        <w:rPr>
          <w:rFonts w:hint="eastAsia" w:ascii="宋体" w:hAnsi="宋体" w:cs="宋体"/>
          <w:sz w:val="24"/>
          <w:highlight w:val="none"/>
        </w:rPr>
        <w:t>2）供应商通过下载竞争性磋商文件的电子招标投标交易平台递交电子响应文件。</w:t>
      </w:r>
    </w:p>
    <w:p w14:paraId="48C41CAC">
      <w:pPr>
        <w:spacing w:line="500" w:lineRule="exact"/>
        <w:ind w:firstLine="480" w:firstLineChars="200"/>
        <w:rPr>
          <w:rFonts w:ascii="宋体" w:hAnsi="宋体" w:cs="宋体"/>
          <w:sz w:val="24"/>
          <w:highlight w:val="none"/>
        </w:rPr>
      </w:pPr>
      <w:r>
        <w:rPr>
          <w:rFonts w:hint="eastAsia" w:ascii="宋体" w:hAnsi="宋体" w:cs="宋体"/>
          <w:sz w:val="24"/>
          <w:highlight w:val="none"/>
        </w:rPr>
        <w:t>3）除供应商须知前附表另有规定外，供应商所递交的响应文件不予退还。</w:t>
      </w:r>
    </w:p>
    <w:p w14:paraId="21CB46E6">
      <w:pPr>
        <w:spacing w:line="500" w:lineRule="exact"/>
        <w:ind w:firstLine="480" w:firstLineChars="200"/>
        <w:rPr>
          <w:rFonts w:ascii="宋体" w:hAnsi="宋体" w:cs="宋体"/>
          <w:sz w:val="24"/>
          <w:highlight w:val="none"/>
        </w:rPr>
      </w:pPr>
      <w:r>
        <w:rPr>
          <w:rFonts w:hint="eastAsia" w:ascii="宋体" w:hAnsi="宋体" w:cs="宋体"/>
          <w:sz w:val="24"/>
          <w:highlight w:val="none"/>
        </w:rPr>
        <w:t>4）逾期送达的响应文件，电子招标投标交易平台将予以拒收。</w:t>
      </w:r>
    </w:p>
    <w:p w14:paraId="7891F7C8">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b/>
          <w:kern w:val="2"/>
          <w:highlight w:val="none"/>
        </w:rPr>
      </w:pPr>
      <w:bookmarkStart w:id="57" w:name="_Toc522798825"/>
      <w:bookmarkEnd w:id="57"/>
      <w:bookmarkStart w:id="58" w:name="_Toc30026"/>
      <w:r>
        <w:rPr>
          <w:rFonts w:hint="eastAsia" w:cs="宋体"/>
          <w:b/>
          <w:kern w:val="2"/>
          <w:highlight w:val="none"/>
        </w:rPr>
        <w:t>（三）响应文件的修改与撤回</w:t>
      </w:r>
      <w:bookmarkEnd w:id="58"/>
    </w:p>
    <w:p w14:paraId="5E1DEA8E">
      <w:pPr>
        <w:spacing w:line="500" w:lineRule="exact"/>
        <w:ind w:firstLine="480" w:firstLineChars="200"/>
        <w:rPr>
          <w:rFonts w:ascii="宋体" w:hAnsi="宋体" w:cs="宋体"/>
          <w:sz w:val="24"/>
          <w:highlight w:val="none"/>
        </w:rPr>
      </w:pPr>
      <w:r>
        <w:rPr>
          <w:rFonts w:hint="eastAsia" w:ascii="宋体" w:hAnsi="宋体" w:cs="宋体"/>
          <w:sz w:val="24"/>
          <w:highlight w:val="none"/>
        </w:rPr>
        <w:t>1）在磋商文件规定的磋商时间前，供应商可以修改或撤回已递交的响应文件。</w:t>
      </w:r>
    </w:p>
    <w:p w14:paraId="3CF1E158">
      <w:pPr>
        <w:spacing w:line="500" w:lineRule="exact"/>
        <w:ind w:firstLine="480" w:firstLineChars="200"/>
        <w:rPr>
          <w:rFonts w:ascii="宋体" w:hAnsi="宋体" w:cs="宋体"/>
          <w:sz w:val="24"/>
          <w:highlight w:val="none"/>
        </w:rPr>
      </w:pPr>
      <w:r>
        <w:rPr>
          <w:rFonts w:hint="eastAsia" w:ascii="宋体" w:hAnsi="宋体" w:cs="宋体"/>
          <w:sz w:val="24"/>
          <w:highlight w:val="none"/>
        </w:rPr>
        <w:t>2）修改的内容为响应文件的组成部分。</w:t>
      </w:r>
    </w:p>
    <w:p w14:paraId="2C819520">
      <w:pPr>
        <w:pStyle w:val="22"/>
        <w:keepNext/>
        <w:keepLines/>
        <w:widowControl w:val="0"/>
        <w:adjustRightInd/>
        <w:snapToGrid/>
        <w:spacing w:beforeAutospacing="0" w:after="0" w:afterAutospacing="0" w:line="500" w:lineRule="exact"/>
        <w:ind w:firstLine="482"/>
        <w:jc w:val="both"/>
        <w:outlineLvl w:val="1"/>
        <w:rPr>
          <w:rFonts w:cs="宋体"/>
          <w:b/>
          <w:kern w:val="2"/>
          <w:highlight w:val="none"/>
        </w:rPr>
      </w:pPr>
      <w:bookmarkStart w:id="59" w:name="_Toc497301891"/>
      <w:bookmarkEnd w:id="59"/>
      <w:bookmarkStart w:id="60" w:name="_Toc521997969"/>
      <w:bookmarkEnd w:id="60"/>
      <w:bookmarkStart w:id="61" w:name="_Toc522085764"/>
      <w:bookmarkEnd w:id="61"/>
      <w:bookmarkStart w:id="62" w:name="_Toc13210_WPSOffice_Level2"/>
      <w:bookmarkEnd w:id="62"/>
      <w:bookmarkStart w:id="63" w:name="_Toc19390"/>
      <w:r>
        <w:rPr>
          <w:rFonts w:hint="eastAsia" w:cs="宋体"/>
          <w:b/>
          <w:kern w:val="2"/>
          <w:highlight w:val="none"/>
        </w:rPr>
        <w:t>五、磋商</w:t>
      </w:r>
      <w:bookmarkEnd w:id="63"/>
    </w:p>
    <w:p w14:paraId="532E013C">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highlight w:val="none"/>
        </w:rPr>
      </w:pPr>
      <w:bookmarkStart w:id="64" w:name="_Toc521997970"/>
      <w:bookmarkEnd w:id="64"/>
      <w:bookmarkStart w:id="65" w:name="_Toc522085765"/>
      <w:bookmarkEnd w:id="65"/>
      <w:bookmarkStart w:id="66" w:name="_Toc522798827"/>
      <w:bookmarkStart w:id="67" w:name="_Toc14395"/>
      <w:r>
        <w:rPr>
          <w:rFonts w:hint="eastAsia" w:cs="宋体"/>
          <w:b/>
          <w:kern w:val="2"/>
          <w:highlight w:val="none"/>
        </w:rPr>
        <w:t>（一）磋商时间和地点</w:t>
      </w:r>
      <w:bookmarkEnd w:id="66"/>
      <w:bookmarkEnd w:id="67"/>
    </w:p>
    <w:p w14:paraId="2341CA50">
      <w:pPr>
        <w:spacing w:line="500" w:lineRule="exact"/>
        <w:ind w:firstLine="480" w:firstLineChars="200"/>
        <w:rPr>
          <w:rFonts w:ascii="宋体" w:hAnsi="宋体" w:cs="宋体"/>
          <w:sz w:val="24"/>
          <w:highlight w:val="none"/>
        </w:rPr>
      </w:pPr>
      <w:r>
        <w:rPr>
          <w:rFonts w:hint="eastAsia" w:ascii="宋体" w:hAnsi="宋体" w:cs="宋体"/>
          <w:sz w:val="24"/>
          <w:highlight w:val="none"/>
        </w:rPr>
        <w:t>采购人在规定的磋商时间和供应商须知前附表规定的地点磋商，通过电子招标投标交易平台磋商。</w:t>
      </w:r>
      <w:bookmarkStart w:id="68" w:name="_Toc522085766"/>
      <w:bookmarkEnd w:id="68"/>
      <w:bookmarkStart w:id="69" w:name="_Toc521997971"/>
      <w:bookmarkEnd w:id="69"/>
      <w:bookmarkStart w:id="70" w:name="_Toc522798828"/>
      <w:r>
        <w:rPr>
          <w:rFonts w:hint="eastAsia" w:ascii="宋体" w:hAnsi="宋体" w:cs="宋体"/>
          <w:sz w:val="24"/>
          <w:highlight w:val="none"/>
        </w:rPr>
        <w:t>供应商不足3家的，不得磋商。</w:t>
      </w:r>
    </w:p>
    <w:p w14:paraId="51929825">
      <w:pPr>
        <w:spacing w:line="500" w:lineRule="exact"/>
        <w:ind w:firstLine="482" w:firstLineChars="200"/>
        <w:rPr>
          <w:rFonts w:ascii="宋体" w:hAnsi="宋体" w:cs="宋体"/>
          <w:sz w:val="24"/>
          <w:highlight w:val="none"/>
        </w:rPr>
      </w:pPr>
      <w:r>
        <w:rPr>
          <w:rFonts w:hint="eastAsia" w:ascii="宋体" w:hAnsi="宋体" w:cs="宋体"/>
          <w:b/>
          <w:bCs/>
          <w:sz w:val="24"/>
          <w:highlight w:val="none"/>
        </w:rPr>
        <w:t>（二）磋商程序</w:t>
      </w:r>
      <w:bookmarkEnd w:id="70"/>
    </w:p>
    <w:p w14:paraId="410F4748">
      <w:pPr>
        <w:spacing w:line="500" w:lineRule="exact"/>
        <w:ind w:firstLine="480" w:firstLineChars="200"/>
        <w:rPr>
          <w:rFonts w:ascii="宋体" w:hAnsi="宋体" w:cs="宋体"/>
          <w:sz w:val="24"/>
          <w:highlight w:val="none"/>
        </w:rPr>
      </w:pPr>
      <w:bookmarkStart w:id="71" w:name="_Toc522798833"/>
      <w:bookmarkEnd w:id="71"/>
      <w:bookmarkStart w:id="72" w:name="_Toc30969"/>
      <w:bookmarkStart w:id="73" w:name="_Toc32123"/>
      <w:bookmarkStart w:id="74" w:name="_Toc21355"/>
      <w:r>
        <w:rPr>
          <w:rFonts w:hint="eastAsia" w:ascii="宋体" w:hAnsi="宋体" w:cs="宋体"/>
          <w:sz w:val="24"/>
          <w:highlight w:val="none"/>
        </w:rPr>
        <w:t>1）本项目采用电子化、无纸化进行采购，磋商当日，供应商无需到磋商现场参加磋商会议，供应商应当在磋商时间前，登陆不见面开标大厅选择登陆（网址为http://120.194.249.36:10094/BidOpening/bidopeninghallaction/hall/login）,在线准时参加磋商活动并进行响应文件解密等。</w:t>
      </w:r>
    </w:p>
    <w:p w14:paraId="1E10D722">
      <w:pPr>
        <w:spacing w:line="500" w:lineRule="exact"/>
        <w:ind w:firstLine="480" w:firstLineChars="200"/>
        <w:rPr>
          <w:rFonts w:ascii="宋体" w:hAnsi="宋体" w:cs="宋体"/>
          <w:sz w:val="24"/>
          <w:highlight w:val="none"/>
        </w:rPr>
      </w:pPr>
      <w:r>
        <w:rPr>
          <w:rFonts w:hint="eastAsia" w:ascii="宋体" w:hAnsi="宋体" w:cs="宋体"/>
          <w:sz w:val="24"/>
          <w:highlight w:val="none"/>
        </w:rPr>
        <w:t>2）电子化响应文件采用一次加密方式。磋商时，由供应商使用CA 证书，在规定时间内对其电子化响应文件进行解密。每位供应商的解密时间为磋商时间起30 分钟内，如在规定时间内未完成解密的，其响应文件不予磋商、唱标。</w:t>
      </w:r>
    </w:p>
    <w:p w14:paraId="2559648F">
      <w:pPr>
        <w:spacing w:line="500" w:lineRule="exact"/>
        <w:ind w:firstLine="480" w:firstLineChars="200"/>
        <w:rPr>
          <w:rFonts w:ascii="宋体" w:hAnsi="宋体" w:cs="宋体"/>
          <w:sz w:val="24"/>
          <w:highlight w:val="none"/>
        </w:rPr>
      </w:pPr>
      <w:r>
        <w:rPr>
          <w:rFonts w:hint="eastAsia" w:ascii="宋体" w:hAnsi="宋体" w:cs="宋体"/>
          <w:sz w:val="24"/>
          <w:highlight w:val="none"/>
        </w:rPr>
        <w:t>3）电子化响应文件解密异常的处理</w:t>
      </w:r>
    </w:p>
    <w:p w14:paraId="53BE3AE0">
      <w:pPr>
        <w:spacing w:line="500" w:lineRule="exact"/>
        <w:ind w:firstLine="480" w:firstLineChars="200"/>
        <w:rPr>
          <w:rFonts w:ascii="宋体" w:hAnsi="宋体" w:cs="宋体"/>
          <w:sz w:val="24"/>
          <w:highlight w:val="none"/>
        </w:rPr>
      </w:pPr>
      <w:r>
        <w:rPr>
          <w:rFonts w:hint="eastAsia" w:ascii="宋体" w:hAnsi="宋体" w:cs="宋体"/>
          <w:sz w:val="24"/>
          <w:highlight w:val="none"/>
        </w:rPr>
        <w:t>如出现供应商的电子响应文件无法解密等异常情况，供应商应及时致电采购代理机构说明。响应文件异常，按以下步骤进行处理：</w:t>
      </w:r>
    </w:p>
    <w:p w14:paraId="7C9AB22F">
      <w:pPr>
        <w:spacing w:line="500" w:lineRule="exact"/>
        <w:ind w:firstLine="480" w:firstLineChars="200"/>
        <w:rPr>
          <w:rFonts w:ascii="宋体" w:hAnsi="宋体" w:cs="宋体"/>
          <w:sz w:val="24"/>
          <w:highlight w:val="none"/>
        </w:rPr>
      </w:pPr>
      <w:r>
        <w:rPr>
          <w:rFonts w:hint="eastAsia" w:ascii="宋体" w:hAnsi="宋体" w:cs="宋体"/>
          <w:sz w:val="24"/>
          <w:highlight w:val="none"/>
        </w:rPr>
        <w:t>（1）首先由技术人员进行问题排查。</w:t>
      </w:r>
    </w:p>
    <w:p w14:paraId="2FBC04F4">
      <w:pPr>
        <w:spacing w:line="500" w:lineRule="exact"/>
        <w:ind w:firstLine="480" w:firstLineChars="200"/>
        <w:rPr>
          <w:rFonts w:ascii="宋体" w:hAnsi="宋体" w:cs="宋体"/>
          <w:sz w:val="24"/>
          <w:highlight w:val="none"/>
        </w:rPr>
      </w:pPr>
      <w:r>
        <w:rPr>
          <w:rFonts w:hint="eastAsia" w:ascii="宋体" w:hAnsi="宋体" w:cs="宋体"/>
          <w:sz w:val="24"/>
          <w:highlight w:val="none"/>
        </w:rPr>
        <w:t>（2）经技术人员排查后，是供应商文件自身问题导致响应文件无法解密的，该响应文件将不予接收、解密和唱标。磋商会议继续进行。</w:t>
      </w:r>
    </w:p>
    <w:p w14:paraId="2DA1CF1A">
      <w:pPr>
        <w:spacing w:line="500" w:lineRule="exact"/>
        <w:ind w:firstLine="480" w:firstLineChars="200"/>
        <w:rPr>
          <w:rFonts w:ascii="宋体" w:hAnsi="宋体" w:cs="宋体"/>
          <w:sz w:val="24"/>
          <w:highlight w:val="none"/>
        </w:rPr>
      </w:pPr>
      <w:r>
        <w:rPr>
          <w:rFonts w:hint="eastAsia" w:ascii="宋体" w:hAnsi="宋体" w:cs="宋体"/>
          <w:sz w:val="24"/>
          <w:highlight w:val="none"/>
        </w:rPr>
        <w:t>4）待所有供应商响应文件解密完成后，由采购代理机构操作，对所有已解密响应文件进行唱标。</w:t>
      </w:r>
    </w:p>
    <w:p w14:paraId="231FD5FE">
      <w:pPr>
        <w:spacing w:line="500" w:lineRule="exact"/>
        <w:ind w:firstLine="482" w:firstLineChars="200"/>
        <w:rPr>
          <w:rFonts w:ascii="宋体" w:hAnsi="宋体" w:cs="宋体"/>
          <w:sz w:val="24"/>
          <w:highlight w:val="none"/>
        </w:rPr>
      </w:pPr>
      <w:r>
        <w:rPr>
          <w:rFonts w:hint="eastAsia" w:ascii="宋体" w:hAnsi="宋体" w:cs="宋体"/>
          <w:b/>
          <w:sz w:val="24"/>
          <w:highlight w:val="none"/>
        </w:rPr>
        <w:t>供应商应保证在磋商期间电话、电脑、网络能够正常工作，供应商因停电、电脑病毒、网络堵塞等原因，未在规定的解密时间内对响应文件进行解密的，其响应文件不予接收、唱标。</w:t>
      </w:r>
    </w:p>
    <w:bookmarkEnd w:id="72"/>
    <w:bookmarkEnd w:id="73"/>
    <w:bookmarkEnd w:id="74"/>
    <w:p w14:paraId="407C3705">
      <w:pPr>
        <w:pStyle w:val="22"/>
        <w:keepNext/>
        <w:keepLines/>
        <w:widowControl w:val="0"/>
        <w:adjustRightInd/>
        <w:snapToGrid/>
        <w:spacing w:beforeAutospacing="0" w:after="0" w:afterAutospacing="0" w:line="500" w:lineRule="exact"/>
        <w:ind w:firstLine="482"/>
        <w:jc w:val="both"/>
        <w:outlineLvl w:val="1"/>
        <w:rPr>
          <w:rFonts w:cs="宋体"/>
          <w:b/>
          <w:kern w:val="2"/>
          <w:highlight w:val="none"/>
        </w:rPr>
      </w:pPr>
      <w:bookmarkStart w:id="75" w:name="_Toc497301892"/>
      <w:bookmarkEnd w:id="75"/>
      <w:bookmarkStart w:id="76" w:name="_Toc521997973"/>
      <w:bookmarkEnd w:id="76"/>
      <w:bookmarkStart w:id="77" w:name="_Toc522085768"/>
      <w:bookmarkEnd w:id="77"/>
      <w:bookmarkStart w:id="78" w:name="_Toc11905_WPSOffice_Level2"/>
      <w:bookmarkEnd w:id="78"/>
      <w:r>
        <w:rPr>
          <w:rFonts w:hint="eastAsia" w:cs="宋体"/>
          <w:b/>
          <w:kern w:val="2"/>
          <w:highlight w:val="none"/>
        </w:rPr>
        <w:t>六、评审</w:t>
      </w:r>
    </w:p>
    <w:p w14:paraId="2D6192AD">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b/>
          <w:kern w:val="2"/>
          <w:highlight w:val="none"/>
        </w:rPr>
      </w:pPr>
      <w:bookmarkStart w:id="79" w:name="_Toc522085769"/>
      <w:bookmarkEnd w:id="79"/>
      <w:bookmarkStart w:id="80" w:name="_Toc521997974"/>
      <w:bookmarkEnd w:id="80"/>
      <w:bookmarkStart w:id="81" w:name="_Toc522798835"/>
      <w:bookmarkStart w:id="82" w:name="_Toc10088"/>
      <w:r>
        <w:rPr>
          <w:rFonts w:hint="eastAsia" w:cs="宋体"/>
          <w:b/>
          <w:kern w:val="2"/>
          <w:highlight w:val="none"/>
        </w:rPr>
        <w:t>（一）磋商小组</w:t>
      </w:r>
      <w:bookmarkEnd w:id="81"/>
      <w:bookmarkEnd w:id="82"/>
    </w:p>
    <w:p w14:paraId="5A3A759D">
      <w:pPr>
        <w:spacing w:line="500" w:lineRule="exact"/>
        <w:ind w:firstLine="480" w:firstLineChars="200"/>
        <w:rPr>
          <w:rFonts w:ascii="宋体" w:hAnsi="宋体" w:cs="宋体"/>
          <w:sz w:val="24"/>
          <w:highlight w:val="none"/>
        </w:rPr>
      </w:pPr>
      <w:r>
        <w:rPr>
          <w:rFonts w:hint="eastAsia" w:ascii="宋体" w:hAnsi="宋体" w:cs="宋体"/>
          <w:sz w:val="24"/>
          <w:highlight w:val="none"/>
        </w:rPr>
        <w:t>评审由采购人依法组建的磋商小组负责。磋商小组由采购人代表以及有关技术、经济等方面的专家组成。磋商小组成员人数以及技术、经济等方面专家的确定方式，见供应商须知前附表。</w:t>
      </w:r>
    </w:p>
    <w:p w14:paraId="042E1B86">
      <w:pPr>
        <w:spacing w:line="500" w:lineRule="exact"/>
        <w:ind w:firstLine="480" w:firstLineChars="200"/>
        <w:rPr>
          <w:rFonts w:ascii="宋体" w:hAnsi="宋体" w:cs="宋体"/>
          <w:sz w:val="24"/>
          <w:highlight w:val="none"/>
        </w:rPr>
      </w:pPr>
      <w:r>
        <w:rPr>
          <w:rFonts w:hint="eastAsia" w:ascii="宋体" w:hAnsi="宋体" w:cs="宋体"/>
          <w:sz w:val="24"/>
          <w:highlight w:val="none"/>
        </w:rPr>
        <w:t>磋商小组成员有下列情形之一的，应当回避：</w:t>
      </w:r>
    </w:p>
    <w:p w14:paraId="67B75C5F">
      <w:pPr>
        <w:spacing w:line="500" w:lineRule="exact"/>
        <w:ind w:firstLine="480" w:firstLineChars="200"/>
        <w:rPr>
          <w:rFonts w:ascii="宋体" w:hAnsi="宋体" w:cs="宋体"/>
          <w:sz w:val="24"/>
          <w:highlight w:val="none"/>
        </w:rPr>
      </w:pPr>
      <w:r>
        <w:rPr>
          <w:rFonts w:hint="eastAsia" w:ascii="宋体" w:hAnsi="宋体" w:cs="宋体"/>
          <w:sz w:val="24"/>
          <w:highlight w:val="none"/>
        </w:rPr>
        <w:t>1）供应商或供应商主要负责人的近亲属；</w:t>
      </w:r>
    </w:p>
    <w:p w14:paraId="1B6C8432">
      <w:pPr>
        <w:spacing w:line="500" w:lineRule="exact"/>
        <w:ind w:firstLine="480" w:firstLineChars="200"/>
        <w:rPr>
          <w:rFonts w:ascii="宋体" w:hAnsi="宋体" w:cs="宋体"/>
          <w:sz w:val="24"/>
          <w:highlight w:val="none"/>
        </w:rPr>
      </w:pPr>
      <w:r>
        <w:rPr>
          <w:rFonts w:hint="eastAsia" w:ascii="宋体" w:hAnsi="宋体" w:cs="宋体"/>
          <w:sz w:val="24"/>
          <w:highlight w:val="none"/>
        </w:rPr>
        <w:t>2）项目主管部门或者行政监督部门的人员；</w:t>
      </w:r>
    </w:p>
    <w:p w14:paraId="1B358D40">
      <w:pPr>
        <w:spacing w:line="500" w:lineRule="exact"/>
        <w:ind w:firstLine="480" w:firstLineChars="200"/>
        <w:rPr>
          <w:rFonts w:ascii="宋体" w:hAnsi="宋体" w:cs="宋体"/>
          <w:sz w:val="24"/>
          <w:highlight w:val="none"/>
        </w:rPr>
      </w:pPr>
      <w:r>
        <w:rPr>
          <w:rFonts w:hint="eastAsia" w:ascii="宋体" w:hAnsi="宋体" w:cs="宋体"/>
          <w:sz w:val="24"/>
          <w:highlight w:val="none"/>
        </w:rPr>
        <w:t>3）与供应商有经济利益关系，可能影响对公正评审的；</w:t>
      </w:r>
    </w:p>
    <w:p w14:paraId="6073E119">
      <w:pPr>
        <w:spacing w:line="500" w:lineRule="exact"/>
        <w:ind w:firstLine="480" w:firstLineChars="200"/>
        <w:rPr>
          <w:rFonts w:ascii="宋体" w:hAnsi="宋体" w:cs="宋体"/>
          <w:sz w:val="24"/>
          <w:highlight w:val="none"/>
        </w:rPr>
      </w:pPr>
      <w:r>
        <w:rPr>
          <w:rFonts w:hint="eastAsia" w:ascii="宋体" w:hAnsi="宋体" w:cs="宋体"/>
          <w:sz w:val="24"/>
          <w:highlight w:val="none"/>
        </w:rPr>
        <w:t>4）曾因在采购、评审以及其他与采购有关活动中从事违法行为而受过行政处罚或刑事处罚的；</w:t>
      </w:r>
    </w:p>
    <w:p w14:paraId="405AC9BC">
      <w:pPr>
        <w:spacing w:line="500" w:lineRule="exact"/>
        <w:ind w:firstLine="480" w:firstLineChars="200"/>
        <w:rPr>
          <w:rFonts w:ascii="宋体" w:hAnsi="宋体" w:cs="宋体"/>
          <w:sz w:val="24"/>
          <w:highlight w:val="none"/>
        </w:rPr>
      </w:pPr>
      <w:r>
        <w:rPr>
          <w:rFonts w:hint="eastAsia" w:ascii="宋体" w:hAnsi="宋体" w:cs="宋体"/>
          <w:sz w:val="24"/>
          <w:highlight w:val="none"/>
        </w:rPr>
        <w:t>5）与供应商有其他利害关系。</w:t>
      </w:r>
    </w:p>
    <w:p w14:paraId="4C3E0249">
      <w:pPr>
        <w:spacing w:line="500" w:lineRule="exact"/>
        <w:ind w:firstLine="480" w:firstLineChars="200"/>
        <w:rPr>
          <w:rFonts w:ascii="宋体" w:hAnsi="宋体" w:cs="宋体"/>
          <w:sz w:val="24"/>
          <w:highlight w:val="none"/>
        </w:rPr>
      </w:pPr>
      <w:r>
        <w:rPr>
          <w:rFonts w:hint="eastAsia" w:ascii="宋体" w:hAnsi="宋体" w:cs="宋体"/>
          <w:sz w:val="24"/>
          <w:highlight w:val="none"/>
        </w:rPr>
        <w:t>评审过程中，磋商小组成员有回避事由、擅离职守或者因健康等原因不能继续评审的，采购人有权更换。被更换的磋商小组成员作出的评审结论无效，由更换后的磋商小组成员重新进行评审。</w:t>
      </w:r>
    </w:p>
    <w:p w14:paraId="42E9095F">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b/>
          <w:kern w:val="2"/>
          <w:highlight w:val="none"/>
        </w:rPr>
      </w:pPr>
      <w:bookmarkStart w:id="83" w:name="_Toc521997975"/>
      <w:bookmarkEnd w:id="83"/>
      <w:bookmarkStart w:id="84" w:name="_Toc522085770"/>
      <w:bookmarkEnd w:id="84"/>
      <w:bookmarkStart w:id="85" w:name="_Toc23172"/>
      <w:bookmarkStart w:id="86" w:name="_Toc522798836"/>
      <w:r>
        <w:rPr>
          <w:rFonts w:hint="eastAsia" w:cs="宋体"/>
          <w:b/>
          <w:kern w:val="2"/>
          <w:highlight w:val="none"/>
        </w:rPr>
        <w:t>（二）评审原则</w:t>
      </w:r>
      <w:bookmarkEnd w:id="85"/>
      <w:bookmarkEnd w:id="86"/>
    </w:p>
    <w:p w14:paraId="7B5E1B4A">
      <w:pPr>
        <w:spacing w:line="500" w:lineRule="exact"/>
        <w:ind w:firstLine="480" w:firstLineChars="200"/>
        <w:rPr>
          <w:rFonts w:ascii="宋体" w:hAnsi="宋体" w:cs="宋体"/>
          <w:sz w:val="24"/>
          <w:highlight w:val="none"/>
        </w:rPr>
      </w:pPr>
      <w:r>
        <w:rPr>
          <w:rFonts w:hint="eastAsia" w:ascii="宋体" w:hAnsi="宋体" w:cs="宋体"/>
          <w:sz w:val="24"/>
          <w:highlight w:val="none"/>
        </w:rPr>
        <w:t>评审活动遵循公平、公正、科学和择优的原则。</w:t>
      </w:r>
    </w:p>
    <w:p w14:paraId="5997D60C">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highlight w:val="none"/>
        </w:rPr>
      </w:pPr>
      <w:bookmarkStart w:id="87" w:name="page30"/>
      <w:bookmarkEnd w:id="87"/>
      <w:bookmarkStart w:id="88" w:name="_Toc521997976"/>
      <w:bookmarkEnd w:id="88"/>
      <w:bookmarkStart w:id="89" w:name="_Toc522085771"/>
      <w:bookmarkEnd w:id="89"/>
      <w:r>
        <w:rPr>
          <w:rFonts w:hint="eastAsia" w:cs="宋体"/>
          <w:b/>
          <w:kern w:val="2"/>
          <w:highlight w:val="none"/>
        </w:rPr>
        <w:t>（三）评审</w:t>
      </w:r>
    </w:p>
    <w:p w14:paraId="04CE0468">
      <w:pPr>
        <w:spacing w:line="500" w:lineRule="exact"/>
        <w:ind w:firstLine="480" w:firstLineChars="200"/>
        <w:rPr>
          <w:rFonts w:ascii="宋体" w:hAnsi="宋体" w:cs="宋体"/>
          <w:sz w:val="24"/>
          <w:highlight w:val="none"/>
        </w:rPr>
      </w:pPr>
      <w:r>
        <w:rPr>
          <w:rFonts w:hint="eastAsia" w:ascii="宋体" w:hAnsi="宋体" w:cs="宋体"/>
          <w:sz w:val="24"/>
          <w:highlight w:val="none"/>
        </w:rPr>
        <w:t>磋商小组按照第四章“评审办法（综合评分法）”规定的方法、评审因素、标准和程序对响应文件进行评审。第四章“评审办法（综合评分法）”没有规定的方法、评审因素和标准，不作为评审依据。</w:t>
      </w:r>
    </w:p>
    <w:p w14:paraId="54A0A671">
      <w:pPr>
        <w:spacing w:line="500" w:lineRule="exact"/>
        <w:ind w:firstLine="480" w:firstLineChars="200"/>
        <w:rPr>
          <w:rFonts w:ascii="宋体" w:hAnsi="宋体" w:cs="宋体"/>
          <w:sz w:val="24"/>
          <w:highlight w:val="none"/>
        </w:rPr>
      </w:pPr>
      <w:r>
        <w:rPr>
          <w:rFonts w:hint="eastAsia" w:ascii="宋体" w:hAnsi="宋体" w:cs="宋体"/>
          <w:sz w:val="24"/>
          <w:highlight w:val="none"/>
        </w:rPr>
        <w:t>评审完成后，磋商小组应当向采购人提交评审报告和成交候选人名单并排序。磋商小组推荐成交候选人的数量见供应商须知前附表。</w:t>
      </w:r>
      <w:bookmarkStart w:id="90" w:name="_Toc521997977"/>
      <w:bookmarkEnd w:id="90"/>
      <w:bookmarkStart w:id="91" w:name="_Toc497301893"/>
      <w:bookmarkEnd w:id="91"/>
      <w:bookmarkStart w:id="92" w:name="_Toc522085772"/>
      <w:bookmarkEnd w:id="92"/>
      <w:bookmarkStart w:id="93" w:name="_Toc1080_WPSOffice_Level2"/>
      <w:bookmarkEnd w:id="93"/>
      <w:bookmarkStart w:id="94" w:name="_Toc522798838"/>
    </w:p>
    <w:bookmarkEnd w:id="94"/>
    <w:p w14:paraId="34B2A1E4">
      <w:pPr>
        <w:pStyle w:val="22"/>
        <w:keepNext/>
        <w:keepLines/>
        <w:widowControl w:val="0"/>
        <w:adjustRightInd/>
        <w:snapToGrid/>
        <w:spacing w:beforeAutospacing="0" w:after="0" w:afterAutospacing="0" w:line="500" w:lineRule="exact"/>
        <w:ind w:firstLine="482"/>
        <w:jc w:val="both"/>
        <w:outlineLvl w:val="1"/>
        <w:rPr>
          <w:rFonts w:cs="宋体"/>
          <w:b/>
          <w:kern w:val="2"/>
          <w:highlight w:val="none"/>
        </w:rPr>
      </w:pPr>
      <w:r>
        <w:rPr>
          <w:rFonts w:hint="eastAsia" w:cs="宋体"/>
          <w:b/>
          <w:kern w:val="2"/>
          <w:highlight w:val="none"/>
        </w:rPr>
        <w:t>七、合同授予</w:t>
      </w:r>
      <w:bookmarkStart w:id="95" w:name="_Toc13599"/>
      <w:bookmarkStart w:id="96" w:name="_Toc6320"/>
      <w:bookmarkStart w:id="97" w:name="_Toc21756"/>
      <w:bookmarkStart w:id="98" w:name="_Toc22245"/>
      <w:bookmarkStart w:id="99" w:name="_Toc18920439"/>
      <w:bookmarkStart w:id="100" w:name="_Toc7898"/>
      <w:bookmarkStart w:id="101" w:name="_Toc3574"/>
      <w:bookmarkStart w:id="102" w:name="_Toc15637"/>
      <w:bookmarkStart w:id="103" w:name="_Toc32241"/>
      <w:bookmarkStart w:id="104" w:name="_Toc27126"/>
      <w:bookmarkStart w:id="105" w:name="_Toc16230"/>
      <w:bookmarkStart w:id="106" w:name="_Toc22971"/>
    </w:p>
    <w:p w14:paraId="78F59D49">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b/>
          <w:kern w:val="2"/>
          <w:highlight w:val="none"/>
        </w:rPr>
      </w:pPr>
      <w:r>
        <w:rPr>
          <w:rFonts w:hint="eastAsia" w:cs="宋体"/>
          <w:b/>
          <w:kern w:val="2"/>
          <w:highlight w:val="none"/>
        </w:rPr>
        <w:t>（一）成交公告</w:t>
      </w:r>
      <w:bookmarkEnd w:id="95"/>
      <w:bookmarkEnd w:id="96"/>
      <w:bookmarkEnd w:id="97"/>
      <w:bookmarkEnd w:id="98"/>
      <w:bookmarkEnd w:id="99"/>
      <w:bookmarkEnd w:id="100"/>
      <w:bookmarkEnd w:id="101"/>
      <w:bookmarkEnd w:id="102"/>
      <w:bookmarkEnd w:id="103"/>
      <w:bookmarkEnd w:id="104"/>
      <w:bookmarkEnd w:id="105"/>
      <w:bookmarkEnd w:id="106"/>
      <w:bookmarkStart w:id="107" w:name="_Toc521997981"/>
      <w:bookmarkEnd w:id="107"/>
      <w:bookmarkStart w:id="108" w:name="_Toc522085776"/>
      <w:bookmarkEnd w:id="108"/>
      <w:bookmarkStart w:id="109" w:name="_Toc522798840"/>
    </w:p>
    <w:p w14:paraId="2E472E05">
      <w:pPr>
        <w:spacing w:line="500" w:lineRule="exact"/>
        <w:ind w:firstLine="480" w:firstLineChars="200"/>
        <w:rPr>
          <w:rFonts w:ascii="宋体" w:hAnsi="宋体" w:cs="宋体"/>
          <w:bCs/>
          <w:sz w:val="24"/>
          <w:highlight w:val="none"/>
        </w:rPr>
      </w:pPr>
      <w:r>
        <w:rPr>
          <w:rFonts w:hint="eastAsia" w:ascii="宋体" w:hAnsi="宋体" w:cs="宋体"/>
          <w:bCs/>
          <w:sz w:val="24"/>
          <w:highlight w:val="none"/>
        </w:rPr>
        <w:t>采购代理机构应当在评审结束后2个工作日内将评审报告送采购人。采购人应自收到评审报告之日起5个工作日内，在评审报告确定的成交候选人名单中按顺序确定成交人。</w:t>
      </w:r>
    </w:p>
    <w:p w14:paraId="28AE5F61">
      <w:pPr>
        <w:spacing w:line="500" w:lineRule="exact"/>
        <w:ind w:firstLine="480" w:firstLineChars="200"/>
        <w:rPr>
          <w:rFonts w:ascii="宋体" w:hAnsi="宋体" w:cs="宋体"/>
          <w:bCs/>
          <w:sz w:val="24"/>
          <w:highlight w:val="none"/>
        </w:rPr>
      </w:pPr>
      <w:r>
        <w:rPr>
          <w:rFonts w:hint="eastAsia" w:ascii="宋体" w:hAnsi="宋体" w:cs="宋体"/>
          <w:bCs/>
          <w:sz w:val="24"/>
          <w:highlight w:val="none"/>
        </w:rPr>
        <w:t>采购代理机构应当自成交人确定之日起2个工作日内，向成交供应商发出成交通知书，同时在省级以上财政部门指定的媒体上公告成交结果，公告期限为1个工作日。</w:t>
      </w:r>
    </w:p>
    <w:p w14:paraId="332B13CC">
      <w:pPr>
        <w:spacing w:line="500" w:lineRule="exact"/>
        <w:ind w:firstLine="480" w:firstLineChars="200"/>
        <w:rPr>
          <w:highlight w:val="none"/>
        </w:rPr>
      </w:pPr>
      <w:r>
        <w:rPr>
          <w:rFonts w:hint="eastAsia" w:ascii="宋体" w:hAnsi="宋体" w:cs="宋体"/>
          <w:bCs/>
          <w:sz w:val="24"/>
          <w:szCs w:val="22"/>
          <w:highlight w:val="none"/>
        </w:rPr>
        <w:t>成交结果将在《中国采购与招标网》、《河南省政府采购网》、《河南省电子招标投标公共服务平台》、《三门峡市公共资源交易中心网》网站上公布，确定成交供应商并发布成交公告，不再以书面方式通知未成交供应商。</w:t>
      </w:r>
    </w:p>
    <w:p w14:paraId="601943B4">
      <w:pPr>
        <w:spacing w:line="500" w:lineRule="exact"/>
        <w:ind w:firstLine="480" w:firstLineChars="200"/>
        <w:rPr>
          <w:rFonts w:ascii="宋体" w:hAnsi="宋体" w:cs="宋体"/>
          <w:bCs/>
          <w:sz w:val="24"/>
          <w:highlight w:val="none"/>
        </w:rPr>
      </w:pPr>
      <w:r>
        <w:rPr>
          <w:rFonts w:hint="eastAsia" w:ascii="宋体" w:hAnsi="宋体" w:cs="宋体"/>
          <w:bCs/>
          <w:sz w:val="24"/>
          <w:highlight w:val="none"/>
        </w:rPr>
        <w:t>成交通知书发出后，采购人不得违法改变成交结果，成交人无正当理由不得放弃成交。</w:t>
      </w:r>
    </w:p>
    <w:p w14:paraId="6A3EE53F">
      <w:pPr>
        <w:spacing w:line="500" w:lineRule="exact"/>
        <w:ind w:firstLine="480" w:firstLineChars="200"/>
        <w:rPr>
          <w:rFonts w:ascii="宋体" w:hAnsi="宋体" w:cs="宋体"/>
          <w:bCs/>
          <w:sz w:val="24"/>
          <w:highlight w:val="none"/>
        </w:rPr>
      </w:pPr>
      <w:r>
        <w:rPr>
          <w:rFonts w:hint="eastAsia" w:ascii="宋体" w:hAnsi="宋体" w:cs="宋体"/>
          <w:bCs/>
          <w:sz w:val="24"/>
          <w:highlight w:val="none"/>
        </w:rPr>
        <w:t>成交人为残疾人福利性单位的，采购代理机构将随成交结果同时公告其《残疾人福利性单位声明函》，接受社会监督。</w:t>
      </w:r>
      <w:bookmarkStart w:id="110" w:name="_Toc30581"/>
    </w:p>
    <w:p w14:paraId="22F63DDA">
      <w:pPr>
        <w:spacing w:line="500" w:lineRule="exact"/>
        <w:ind w:firstLine="480" w:firstLineChars="200"/>
        <w:rPr>
          <w:rFonts w:ascii="宋体" w:hAnsi="宋体" w:cs="宋体"/>
          <w:bCs/>
          <w:sz w:val="24"/>
          <w:highlight w:val="none"/>
        </w:rPr>
      </w:pPr>
      <w:r>
        <w:rPr>
          <w:rFonts w:hint="eastAsia" w:ascii="宋体" w:hAnsi="宋体" w:cs="宋体"/>
          <w:bCs/>
          <w:sz w:val="24"/>
          <w:highlight w:val="none"/>
        </w:rPr>
        <w:t>各有关当事人对成交结果有异议的，可以在成交结果公告期限届满之日起七个工作日内，按《政府采购质疑和投诉办法》（中华人民共和国财政部令第94号）要求以书面形式同时向采购人和采购代理机构提出质疑，逾期提交或未按照要求提交的质疑函将不予受理。</w:t>
      </w:r>
      <w:bookmarkEnd w:id="110"/>
    </w:p>
    <w:bookmarkEnd w:id="109"/>
    <w:p w14:paraId="2C34641E">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b/>
          <w:kern w:val="2"/>
          <w:highlight w:val="none"/>
        </w:rPr>
      </w:pPr>
      <w:bookmarkStart w:id="111" w:name="_Toc13956"/>
      <w:r>
        <w:rPr>
          <w:rFonts w:hint="eastAsia" w:cs="宋体"/>
          <w:b/>
          <w:kern w:val="2"/>
          <w:highlight w:val="none"/>
        </w:rPr>
        <w:t>（二）采购任务取消</w:t>
      </w:r>
      <w:bookmarkEnd w:id="111"/>
    </w:p>
    <w:p w14:paraId="2758E8A3">
      <w:pPr>
        <w:spacing w:line="500" w:lineRule="exact"/>
        <w:ind w:firstLine="480" w:firstLineChars="200"/>
        <w:rPr>
          <w:rFonts w:ascii="宋体" w:hAnsi="宋体" w:cs="宋体"/>
          <w:bCs/>
          <w:sz w:val="24"/>
          <w:highlight w:val="none"/>
        </w:rPr>
      </w:pPr>
      <w:r>
        <w:rPr>
          <w:rFonts w:hint="eastAsia" w:ascii="宋体" w:hAnsi="宋体" w:cs="宋体"/>
          <w:bCs/>
          <w:sz w:val="24"/>
          <w:highlight w:val="none"/>
        </w:rPr>
        <w:t>因重大变故采购任务取消时，采购人有权拒绝任何供应商成交，且对受影响的供应商不承担任何责任。</w:t>
      </w:r>
    </w:p>
    <w:p w14:paraId="7C2BDA7A">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highlight w:val="none"/>
        </w:rPr>
      </w:pPr>
      <w:bookmarkStart w:id="112" w:name="_Toc522085778"/>
      <w:bookmarkEnd w:id="112"/>
      <w:bookmarkStart w:id="113" w:name="_Toc521997983"/>
      <w:bookmarkEnd w:id="113"/>
      <w:bookmarkStart w:id="114" w:name="_Toc12710"/>
      <w:r>
        <w:rPr>
          <w:rFonts w:hint="eastAsia" w:cs="宋体"/>
          <w:b/>
          <w:kern w:val="2"/>
          <w:highlight w:val="none"/>
        </w:rPr>
        <w:t>（三）签订合同</w:t>
      </w:r>
      <w:bookmarkEnd w:id="114"/>
    </w:p>
    <w:p w14:paraId="16E60387">
      <w:pPr>
        <w:spacing w:line="500" w:lineRule="exact"/>
        <w:ind w:firstLine="480" w:firstLineChars="200"/>
        <w:rPr>
          <w:rFonts w:ascii="宋体" w:hAnsi="宋体" w:cs="宋体"/>
          <w:sz w:val="24"/>
          <w:highlight w:val="none"/>
        </w:rPr>
      </w:pPr>
      <w:r>
        <w:rPr>
          <w:rFonts w:hint="eastAsia" w:ascii="宋体" w:hAnsi="宋体" w:cs="宋体"/>
          <w:sz w:val="24"/>
          <w:highlight w:val="none"/>
        </w:rPr>
        <w:t>《成交通知书》发出后30日内，采购人与成交人签订合同。竞争性磋商文件、成交人的报价文件以及磋商过程中的最终报价、有关澄清、承诺文件均为合同的组成部分。</w:t>
      </w:r>
    </w:p>
    <w:p w14:paraId="40FB4C94">
      <w:pPr>
        <w:spacing w:line="500" w:lineRule="exact"/>
        <w:ind w:firstLine="480" w:firstLineChars="200"/>
        <w:rPr>
          <w:rFonts w:ascii="宋体" w:hAnsi="宋体" w:cs="宋体"/>
          <w:sz w:val="24"/>
          <w:highlight w:val="none"/>
        </w:rPr>
      </w:pPr>
      <w:r>
        <w:rPr>
          <w:rFonts w:hint="eastAsia" w:ascii="宋体" w:hAnsi="宋体" w:cs="宋体"/>
          <w:sz w:val="24"/>
          <w:highlight w:val="none"/>
        </w:rPr>
        <w:t>不按约定签订或履行合同，给对方造成损失的，应承担赔偿责任。</w:t>
      </w:r>
    </w:p>
    <w:p w14:paraId="7452B778">
      <w:pPr>
        <w:pStyle w:val="22"/>
        <w:keepNext/>
        <w:keepLines/>
        <w:widowControl w:val="0"/>
        <w:adjustRightInd/>
        <w:snapToGrid/>
        <w:spacing w:beforeAutospacing="0" w:after="0" w:afterAutospacing="0" w:line="500" w:lineRule="exact"/>
        <w:ind w:firstLine="482"/>
        <w:jc w:val="both"/>
        <w:outlineLvl w:val="1"/>
        <w:rPr>
          <w:rFonts w:cs="宋体"/>
          <w:b/>
          <w:highlight w:val="none"/>
        </w:rPr>
      </w:pPr>
      <w:bookmarkStart w:id="115" w:name="_Toc521997984"/>
      <w:bookmarkEnd w:id="115"/>
      <w:bookmarkStart w:id="116" w:name="_Toc522798842"/>
      <w:bookmarkEnd w:id="116"/>
      <w:bookmarkStart w:id="117" w:name="_Toc497301894"/>
      <w:bookmarkEnd w:id="117"/>
      <w:bookmarkStart w:id="118" w:name="_Toc26500_WPSOffice_Level2"/>
      <w:bookmarkEnd w:id="118"/>
      <w:bookmarkStart w:id="119" w:name="_Toc3644"/>
      <w:r>
        <w:rPr>
          <w:rFonts w:hint="eastAsia" w:cs="宋体"/>
          <w:b/>
          <w:highlight w:val="none"/>
        </w:rPr>
        <w:t>八、纪律和监督</w:t>
      </w:r>
      <w:bookmarkEnd w:id="119"/>
    </w:p>
    <w:p w14:paraId="6D31255D">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highlight w:val="none"/>
        </w:rPr>
      </w:pPr>
      <w:bookmarkStart w:id="120" w:name="_Toc522085780"/>
      <w:bookmarkEnd w:id="120"/>
      <w:bookmarkStart w:id="121" w:name="_Toc521997985"/>
      <w:bookmarkEnd w:id="121"/>
      <w:bookmarkStart w:id="122" w:name="_Toc27060"/>
      <w:bookmarkStart w:id="123" w:name="_Toc522798843"/>
      <w:r>
        <w:rPr>
          <w:rFonts w:hint="eastAsia" w:cs="宋体"/>
          <w:b/>
          <w:kern w:val="2"/>
          <w:highlight w:val="none"/>
        </w:rPr>
        <w:t>（一） 对采购人的纪律要求</w:t>
      </w:r>
      <w:bookmarkEnd w:id="122"/>
      <w:bookmarkEnd w:id="123"/>
    </w:p>
    <w:p w14:paraId="3012D8FB">
      <w:pPr>
        <w:spacing w:line="500" w:lineRule="exact"/>
        <w:ind w:firstLine="480" w:firstLineChars="200"/>
        <w:rPr>
          <w:rFonts w:ascii="宋体" w:hAnsi="宋体" w:cs="宋体"/>
          <w:sz w:val="24"/>
          <w:highlight w:val="none"/>
        </w:rPr>
      </w:pPr>
      <w:r>
        <w:rPr>
          <w:rFonts w:hint="eastAsia" w:ascii="宋体" w:hAnsi="宋体" w:cs="宋体"/>
          <w:sz w:val="24"/>
          <w:highlight w:val="none"/>
        </w:rPr>
        <w:t>采购人不得泄露采购活动中应当保密的情况和资料，不得与供应商串通损害国家利益、社会公共利益或者他人合法权益。</w:t>
      </w:r>
    </w:p>
    <w:p w14:paraId="4C74096D">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highlight w:val="none"/>
        </w:rPr>
      </w:pPr>
      <w:bookmarkStart w:id="124" w:name="_Toc521997986"/>
      <w:bookmarkEnd w:id="124"/>
      <w:bookmarkStart w:id="125" w:name="_Toc522085781"/>
      <w:bookmarkEnd w:id="125"/>
      <w:bookmarkStart w:id="126" w:name="_Toc522798844"/>
      <w:bookmarkStart w:id="127" w:name="_Toc12819"/>
      <w:r>
        <w:rPr>
          <w:rFonts w:hint="eastAsia" w:cs="宋体"/>
          <w:b/>
          <w:kern w:val="2"/>
          <w:highlight w:val="none"/>
        </w:rPr>
        <w:t>（二）对供应商的纪律要求</w:t>
      </w:r>
      <w:bookmarkEnd w:id="126"/>
      <w:bookmarkEnd w:id="127"/>
    </w:p>
    <w:p w14:paraId="4E5E948F">
      <w:pPr>
        <w:spacing w:line="500" w:lineRule="exact"/>
        <w:ind w:firstLine="480" w:firstLineChars="200"/>
        <w:rPr>
          <w:rFonts w:ascii="宋体" w:hAnsi="宋体" w:cs="宋体"/>
          <w:sz w:val="24"/>
          <w:highlight w:val="none"/>
        </w:rPr>
      </w:pPr>
      <w:r>
        <w:rPr>
          <w:rFonts w:hint="eastAsia" w:ascii="宋体" w:hAnsi="宋体" w:cs="宋体"/>
          <w:sz w:val="24"/>
          <w:highlight w:val="none"/>
        </w:rPr>
        <w:t>供应商不得相互串通或者与采购人串通，不得向采购人或者磋商小组成员行贿谋取成交，不得以他人名义磋商或者以其他方式弄虚作假骗取成交；供应商不得以任何方式干扰、影响评标工作。</w:t>
      </w:r>
    </w:p>
    <w:p w14:paraId="7A260232">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highlight w:val="none"/>
        </w:rPr>
      </w:pPr>
      <w:bookmarkStart w:id="128" w:name="_Toc521997987"/>
      <w:bookmarkEnd w:id="128"/>
      <w:bookmarkStart w:id="129" w:name="_Toc522085782"/>
      <w:bookmarkEnd w:id="129"/>
      <w:bookmarkStart w:id="130" w:name="_Toc522798845"/>
      <w:bookmarkStart w:id="131" w:name="_Toc32084"/>
      <w:r>
        <w:rPr>
          <w:rFonts w:hint="eastAsia" w:cs="宋体"/>
          <w:b/>
          <w:kern w:val="2"/>
          <w:highlight w:val="none"/>
        </w:rPr>
        <w:t>（三）对磋商小组成员的纪律要求</w:t>
      </w:r>
      <w:bookmarkEnd w:id="130"/>
      <w:bookmarkEnd w:id="131"/>
    </w:p>
    <w:p w14:paraId="528A74A4">
      <w:pPr>
        <w:spacing w:line="500" w:lineRule="exact"/>
        <w:ind w:firstLine="480" w:firstLineChars="200"/>
        <w:rPr>
          <w:rFonts w:ascii="宋体" w:hAnsi="宋体" w:cs="宋体"/>
          <w:sz w:val="24"/>
          <w:highlight w:val="none"/>
        </w:rPr>
      </w:pPr>
      <w:r>
        <w:rPr>
          <w:rFonts w:hint="eastAsia" w:ascii="宋体" w:hAnsi="宋体" w:cs="宋体"/>
          <w:sz w:val="24"/>
          <w:highlight w:val="none"/>
        </w:rPr>
        <w:t>磋商小组成员不得收受他人的财物或者其他好处，不得向他人透露对响应文件的评审和比较、成交候选人的推荐情况以及磋商有关的其他情况。在磋商活动中，磋商小组成员应当客观、公正地履行职责，遵守职业道德，不得擅离职守，影响评审程序正常进行，不得使用第</w:t>
      </w:r>
      <w:bookmarkStart w:id="132" w:name="page32"/>
      <w:bookmarkEnd w:id="132"/>
      <w:r>
        <w:rPr>
          <w:rFonts w:hint="eastAsia" w:ascii="宋体" w:hAnsi="宋体" w:cs="宋体"/>
          <w:sz w:val="24"/>
          <w:highlight w:val="none"/>
        </w:rPr>
        <w:t>四章“评审办法（综合评分法）”没有规定的评审因素和标准进行评审。</w:t>
      </w:r>
    </w:p>
    <w:p w14:paraId="27DDF111">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highlight w:val="none"/>
        </w:rPr>
      </w:pPr>
      <w:bookmarkStart w:id="133" w:name="_Toc522085783"/>
      <w:bookmarkEnd w:id="133"/>
      <w:bookmarkStart w:id="134" w:name="_Toc521997988"/>
      <w:bookmarkEnd w:id="134"/>
      <w:bookmarkStart w:id="135" w:name="_Toc20579"/>
      <w:bookmarkStart w:id="136" w:name="_Toc522798846"/>
      <w:r>
        <w:rPr>
          <w:rFonts w:hint="eastAsia" w:cs="宋体"/>
          <w:b/>
          <w:kern w:val="2"/>
          <w:highlight w:val="none"/>
        </w:rPr>
        <w:t>（四）对与评审活动有关的工作人员的纪律要求</w:t>
      </w:r>
      <w:bookmarkEnd w:id="135"/>
      <w:bookmarkEnd w:id="136"/>
    </w:p>
    <w:p w14:paraId="4D073C6E">
      <w:pPr>
        <w:spacing w:line="500" w:lineRule="exact"/>
        <w:ind w:firstLine="480" w:firstLineChars="200"/>
        <w:rPr>
          <w:rFonts w:ascii="宋体" w:hAnsi="宋体" w:cs="宋体"/>
          <w:sz w:val="24"/>
          <w:highlight w:val="none"/>
        </w:rPr>
      </w:pPr>
      <w:r>
        <w:rPr>
          <w:rFonts w:hint="eastAsia" w:ascii="宋体" w:hAnsi="宋体" w:cs="宋体"/>
          <w:sz w:val="24"/>
          <w:highlight w:val="none"/>
        </w:rPr>
        <w:t>与评审活动有关的工作人员不得收受他人的财物或者其他好处，不得向他人透露对响应文件的评审和比较、成交候选人的推荐情况以及评审有关的其他情况。在评审活动中，与评审活动有关的工作人员不得擅离职守，影响评审程序正常进行。</w:t>
      </w:r>
    </w:p>
    <w:p w14:paraId="3F76D6F6">
      <w:pPr>
        <w:pStyle w:val="22"/>
        <w:keepNext/>
        <w:keepLines/>
        <w:widowControl w:val="0"/>
        <w:tabs>
          <w:tab w:val="left" w:pos="425"/>
        </w:tabs>
        <w:adjustRightInd/>
        <w:snapToGrid/>
        <w:spacing w:before="0" w:beforeAutospacing="0" w:after="0" w:afterAutospacing="0" w:line="500" w:lineRule="exact"/>
        <w:ind w:firstLine="482"/>
        <w:jc w:val="both"/>
        <w:outlineLvl w:val="2"/>
        <w:rPr>
          <w:rFonts w:cs="宋体"/>
          <w:highlight w:val="none"/>
        </w:rPr>
      </w:pPr>
      <w:bookmarkStart w:id="137" w:name="_Toc521997989"/>
      <w:bookmarkEnd w:id="137"/>
      <w:bookmarkStart w:id="138" w:name="_Toc522085784"/>
      <w:bookmarkEnd w:id="138"/>
      <w:bookmarkStart w:id="139" w:name="_Toc4851"/>
      <w:bookmarkStart w:id="140" w:name="_Toc522798847"/>
      <w:r>
        <w:rPr>
          <w:rFonts w:hint="eastAsia" w:cs="宋体"/>
          <w:b/>
          <w:kern w:val="2"/>
          <w:highlight w:val="none"/>
        </w:rPr>
        <w:t>（五）投诉</w:t>
      </w:r>
      <w:bookmarkEnd w:id="139"/>
      <w:bookmarkEnd w:id="140"/>
    </w:p>
    <w:p w14:paraId="589AE631">
      <w:pPr>
        <w:spacing w:line="500" w:lineRule="exact"/>
        <w:ind w:firstLine="480" w:firstLineChars="200"/>
        <w:rPr>
          <w:rFonts w:ascii="宋体" w:hAnsi="宋体" w:cs="宋体"/>
          <w:sz w:val="24"/>
          <w:highlight w:val="none"/>
        </w:rPr>
      </w:pPr>
      <w:r>
        <w:rPr>
          <w:rFonts w:hint="eastAsia" w:ascii="宋体" w:hAnsi="宋体" w:cs="宋体"/>
          <w:sz w:val="24"/>
          <w:highlight w:val="none"/>
        </w:rPr>
        <w:t>供应商或者其他利害关系人认为采购活动不符合法律、行政法规规定的，可以自知道或者应当知道之日起7日内向有关行政监督部门投诉。投诉应当有明确的请求和必要的证明材料；</w:t>
      </w:r>
    </w:p>
    <w:p w14:paraId="7AB83764">
      <w:pPr>
        <w:spacing w:line="500" w:lineRule="exact"/>
        <w:ind w:firstLine="480" w:firstLineChars="200"/>
        <w:rPr>
          <w:rFonts w:ascii="宋体" w:hAnsi="宋体" w:cs="宋体"/>
          <w:sz w:val="24"/>
          <w:highlight w:val="none"/>
        </w:rPr>
      </w:pPr>
      <w:r>
        <w:rPr>
          <w:rFonts w:hint="eastAsia" w:ascii="宋体" w:hAnsi="宋体" w:cs="宋体"/>
          <w:sz w:val="24"/>
          <w:highlight w:val="none"/>
        </w:rPr>
        <w:t>供应商或者其他利害关系人对竞争性磋商文件、磋商和评标结果提出投诉的，应当按照供应商须知的规定先向采购人提出异议。</w:t>
      </w:r>
    </w:p>
    <w:p w14:paraId="12799134">
      <w:pPr>
        <w:pStyle w:val="22"/>
        <w:keepNext/>
        <w:keepLines/>
        <w:widowControl w:val="0"/>
        <w:adjustRightInd/>
        <w:snapToGrid/>
        <w:spacing w:beforeAutospacing="0" w:after="0" w:afterAutospacing="0" w:line="500" w:lineRule="exact"/>
        <w:ind w:firstLine="482"/>
        <w:jc w:val="both"/>
        <w:outlineLvl w:val="1"/>
        <w:rPr>
          <w:rFonts w:cs="宋体"/>
          <w:b/>
          <w:kern w:val="2"/>
          <w:highlight w:val="none"/>
        </w:rPr>
      </w:pPr>
      <w:bookmarkStart w:id="141" w:name="_Toc522085786"/>
      <w:bookmarkEnd w:id="141"/>
      <w:bookmarkStart w:id="142" w:name="_Toc522085785"/>
      <w:bookmarkEnd w:id="142"/>
      <w:bookmarkStart w:id="143" w:name="_Toc521997990"/>
      <w:bookmarkEnd w:id="143"/>
      <w:bookmarkStart w:id="144" w:name="_Toc497301896"/>
      <w:bookmarkEnd w:id="144"/>
      <w:bookmarkStart w:id="145" w:name="_Toc10555_WPSOffice_Level2"/>
      <w:bookmarkEnd w:id="145"/>
      <w:bookmarkStart w:id="146" w:name="_Toc522798848"/>
      <w:bookmarkEnd w:id="146"/>
      <w:bookmarkStart w:id="147" w:name="_Toc522798849"/>
      <w:bookmarkEnd w:id="147"/>
      <w:bookmarkStart w:id="148" w:name="_Toc521997991"/>
      <w:bookmarkEnd w:id="148"/>
      <w:bookmarkStart w:id="149" w:name="_Toc18810"/>
      <w:r>
        <w:rPr>
          <w:rFonts w:hint="eastAsia" w:cs="宋体"/>
          <w:b/>
          <w:kern w:val="2"/>
          <w:highlight w:val="none"/>
        </w:rPr>
        <w:t>九、需要补充的其他内容</w:t>
      </w:r>
      <w:bookmarkEnd w:id="149"/>
    </w:p>
    <w:p w14:paraId="7DBC7381">
      <w:pPr>
        <w:spacing w:line="500" w:lineRule="exact"/>
        <w:ind w:firstLine="480" w:firstLineChars="200"/>
        <w:rPr>
          <w:rFonts w:ascii="宋体" w:hAnsi="宋体" w:cs="宋体"/>
          <w:sz w:val="24"/>
          <w:highlight w:val="none"/>
        </w:rPr>
      </w:pPr>
      <w:r>
        <w:rPr>
          <w:rFonts w:hint="eastAsia" w:ascii="宋体" w:hAnsi="宋体" w:cs="宋体"/>
          <w:sz w:val="24"/>
          <w:highlight w:val="none"/>
        </w:rPr>
        <w:t>需要补充的其他内容：见供应商须知前附表。未尽事宜按国家有关规定执行。本竞争性磋商文件最终解释权归采购人。</w:t>
      </w:r>
    </w:p>
    <w:bookmarkEnd w:id="39"/>
    <w:bookmarkEnd w:id="40"/>
    <w:bookmarkEnd w:id="48"/>
    <w:p w14:paraId="52D67C8B">
      <w:pPr>
        <w:pStyle w:val="2"/>
        <w:tabs>
          <w:tab w:val="left" w:pos="7980"/>
        </w:tabs>
        <w:spacing w:line="500" w:lineRule="exact"/>
        <w:rPr>
          <w:rFonts w:hint="default"/>
          <w:highlight w:val="none"/>
          <w:lang w:val="en-US"/>
        </w:rPr>
      </w:pPr>
      <w:bookmarkStart w:id="150" w:name="_Toc22255"/>
      <w:r>
        <w:rPr>
          <w:rFonts w:hint="eastAsia"/>
          <w:highlight w:val="none"/>
        </w:rPr>
        <w:t>第三章</w:t>
      </w:r>
      <w:bookmarkEnd w:id="150"/>
      <w:r>
        <w:rPr>
          <w:rFonts w:hint="eastAsia"/>
          <w:highlight w:val="none"/>
          <w:lang w:val="en-US" w:eastAsia="zh-CN"/>
        </w:rPr>
        <w:t xml:space="preserve"> 服务内容及要求</w:t>
      </w:r>
    </w:p>
    <w:p w14:paraId="6FC6ECE6">
      <w:pPr>
        <w:widowControl/>
        <w:adjustRightInd w:val="0"/>
        <w:spacing w:line="360" w:lineRule="auto"/>
        <w:rPr>
          <w:rFonts w:ascii="宋体" w:hAnsi="宋体"/>
          <w:b/>
          <w:color w:val="auto"/>
          <w:kern w:val="0"/>
          <w:sz w:val="24"/>
          <w:szCs w:val="24"/>
          <w:highlight w:val="none"/>
        </w:rPr>
      </w:pPr>
      <w:bookmarkStart w:id="151" w:name="_Toc22626"/>
      <w:r>
        <w:rPr>
          <w:rFonts w:hint="eastAsia" w:ascii="宋体" w:hAnsi="宋体"/>
          <w:b/>
          <w:color w:val="auto"/>
          <w:kern w:val="0"/>
          <w:sz w:val="24"/>
          <w:szCs w:val="24"/>
          <w:highlight w:val="none"/>
        </w:rPr>
        <w:t>一、</w:t>
      </w:r>
      <w:r>
        <w:rPr>
          <w:rFonts w:ascii="宋体" w:hAnsi="宋体"/>
          <w:b/>
          <w:color w:val="auto"/>
          <w:kern w:val="0"/>
          <w:sz w:val="24"/>
          <w:szCs w:val="24"/>
          <w:highlight w:val="none"/>
        </w:rPr>
        <w:t>相关说明</w:t>
      </w:r>
    </w:p>
    <w:p w14:paraId="1FB53D27">
      <w:pPr>
        <w:keepNext w:val="0"/>
        <w:keepLines w:val="0"/>
        <w:pageBreakBefore w:val="0"/>
        <w:numPr>
          <w:ilvl w:val="2"/>
          <w:numId w:val="0"/>
        </w:numPr>
        <w:kinsoku/>
        <w:wordWrap/>
        <w:overflowPunct/>
        <w:topLinePunct w:val="0"/>
        <w:bidi w:val="0"/>
        <w:snapToGrid/>
        <w:spacing w:line="440" w:lineRule="exact"/>
        <w:ind w:left="0" w:leftChars="0" w:firstLine="482" w:firstLineChars="200"/>
        <w:textAlignment w:val="auto"/>
        <w:rPr>
          <w:rFonts w:hint="eastAsia" w:ascii="宋体" w:hAnsi="宋体"/>
          <w:sz w:val="24"/>
          <w:highlight w:val="none"/>
          <w:lang w:eastAsia="zh-CN"/>
        </w:rPr>
      </w:pPr>
      <w:r>
        <w:rPr>
          <w:rFonts w:hint="eastAsia" w:ascii="宋体" w:hAnsi="宋体"/>
          <w:b/>
          <w:bCs/>
          <w:sz w:val="24"/>
          <w:highlight w:val="none"/>
          <w:lang w:val="en-US" w:eastAsia="zh-CN"/>
        </w:rPr>
        <w:t>项目名称</w:t>
      </w:r>
      <w:r>
        <w:rPr>
          <w:rFonts w:hint="eastAsia" w:ascii="宋体" w:hAnsi="宋体"/>
          <w:sz w:val="24"/>
          <w:highlight w:val="none"/>
          <w:lang w:val="en-US" w:eastAsia="zh-CN"/>
        </w:rPr>
        <w:t>：</w:t>
      </w:r>
      <w:r>
        <w:rPr>
          <w:rFonts w:hint="eastAsia" w:ascii="宋体" w:hAnsi="宋体"/>
          <w:sz w:val="24"/>
          <w:highlight w:val="none"/>
          <w:lang w:eastAsia="zh-CN"/>
        </w:rPr>
        <w:t>陕州区西张村镇敬老院及菜园乡敬老院食材配送项目</w:t>
      </w:r>
    </w:p>
    <w:p w14:paraId="7408C73D">
      <w:pPr>
        <w:keepNext w:val="0"/>
        <w:keepLines w:val="0"/>
        <w:pageBreakBefore w:val="0"/>
        <w:numPr>
          <w:ilvl w:val="2"/>
          <w:numId w:val="0"/>
        </w:numPr>
        <w:kinsoku/>
        <w:wordWrap/>
        <w:overflowPunct/>
        <w:topLinePunct w:val="0"/>
        <w:bidi w:val="0"/>
        <w:snapToGrid/>
        <w:spacing w:line="440" w:lineRule="exact"/>
        <w:ind w:left="0" w:leftChars="0" w:firstLine="482" w:firstLineChars="200"/>
        <w:textAlignment w:val="auto"/>
        <w:rPr>
          <w:rFonts w:hint="eastAsia" w:ascii="宋体" w:hAnsi="宋体"/>
          <w:sz w:val="24"/>
          <w:highlight w:val="none"/>
          <w:lang w:eastAsia="zh-CN"/>
        </w:rPr>
      </w:pPr>
      <w:r>
        <w:rPr>
          <w:rFonts w:hint="eastAsia" w:ascii="宋体" w:hAnsi="宋体"/>
          <w:b/>
          <w:bCs/>
          <w:sz w:val="24"/>
          <w:highlight w:val="none"/>
          <w:lang w:val="en-US" w:eastAsia="zh-CN"/>
        </w:rPr>
        <w:t>服务</w:t>
      </w:r>
      <w:r>
        <w:rPr>
          <w:rFonts w:hint="eastAsia" w:ascii="宋体" w:hAnsi="宋体"/>
          <w:b/>
          <w:bCs/>
          <w:sz w:val="24"/>
          <w:highlight w:val="none"/>
          <w:lang w:eastAsia="zh-CN"/>
        </w:rPr>
        <w:t>内容</w:t>
      </w:r>
      <w:r>
        <w:rPr>
          <w:rFonts w:hint="eastAsia" w:ascii="宋体" w:hAnsi="宋体"/>
          <w:sz w:val="24"/>
          <w:highlight w:val="none"/>
          <w:lang w:eastAsia="zh-CN"/>
        </w:rPr>
        <w:t>：本项目为陕州区西张村镇敬老院及菜园乡敬老院食材配送项目，</w:t>
      </w:r>
      <w:r>
        <w:rPr>
          <w:rFonts w:hint="eastAsia" w:ascii="宋体" w:hAnsi="宋体"/>
          <w:sz w:val="24"/>
          <w:highlight w:val="none"/>
          <w:lang w:val="en-US" w:eastAsia="zh-CN"/>
        </w:rPr>
        <w:t>采购范围含大米、面粉、食用油、猪肉、牛羊肉、鸡肉等肉类、鸡蛋、奶类、蔬菜、水果、干货、副食、调料等供应服务</w:t>
      </w:r>
      <w:r>
        <w:rPr>
          <w:rFonts w:hint="eastAsia" w:ascii="宋体" w:hAnsi="宋体"/>
          <w:sz w:val="24"/>
          <w:highlight w:val="none"/>
          <w:lang w:eastAsia="zh-CN"/>
        </w:rPr>
        <w:t>，具体采购内容及参数要求详见</w:t>
      </w:r>
      <w:r>
        <w:rPr>
          <w:rFonts w:hint="eastAsia" w:ascii="宋体" w:hAnsi="宋体"/>
          <w:sz w:val="24"/>
          <w:highlight w:val="none"/>
          <w:lang w:val="en-US" w:eastAsia="zh-CN"/>
        </w:rPr>
        <w:t>磋商</w:t>
      </w:r>
      <w:r>
        <w:rPr>
          <w:rFonts w:hint="eastAsia" w:ascii="宋体" w:hAnsi="宋体"/>
          <w:sz w:val="24"/>
          <w:highlight w:val="none"/>
          <w:lang w:eastAsia="zh-CN"/>
        </w:rPr>
        <w:t>文件；</w:t>
      </w:r>
    </w:p>
    <w:p w14:paraId="046EC40A">
      <w:pPr>
        <w:keepNext w:val="0"/>
        <w:keepLines w:val="0"/>
        <w:pageBreakBefore w:val="0"/>
        <w:numPr>
          <w:ilvl w:val="2"/>
          <w:numId w:val="0"/>
        </w:numPr>
        <w:kinsoku/>
        <w:wordWrap/>
        <w:overflowPunct/>
        <w:topLinePunct w:val="0"/>
        <w:bidi w:val="0"/>
        <w:snapToGrid/>
        <w:spacing w:line="440" w:lineRule="exact"/>
        <w:ind w:left="0" w:leftChars="0"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本次采购内容如果要求的某些技术标准低于国家标准，均以最新的国家标准为准。招标技术要求中未明确的技术标准也均不得低于国家标准；</w:t>
      </w:r>
    </w:p>
    <w:p w14:paraId="4A07D11C">
      <w:pPr>
        <w:keepNext w:val="0"/>
        <w:keepLines w:val="0"/>
        <w:pageBreakBefore w:val="0"/>
        <w:kinsoku/>
        <w:wordWrap/>
        <w:overflowPunct/>
        <w:topLinePunct w:val="0"/>
        <w:bidi w:val="0"/>
        <w:snapToGrid/>
        <w:spacing w:line="440" w:lineRule="exact"/>
        <w:jc w:val="left"/>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二、商务要求：</w:t>
      </w:r>
    </w:p>
    <w:p w14:paraId="53CA8AD9">
      <w:pPr>
        <w:keepNext w:val="0"/>
        <w:keepLines w:val="0"/>
        <w:pageBreakBefore w:val="0"/>
        <w:numPr>
          <w:ilvl w:val="2"/>
          <w:numId w:val="0"/>
        </w:numPr>
        <w:kinsoku/>
        <w:wordWrap/>
        <w:overflowPunct/>
        <w:topLinePunct w:val="0"/>
        <w:bidi w:val="0"/>
        <w:snapToGrid/>
        <w:spacing w:line="440" w:lineRule="exact"/>
        <w:ind w:left="0" w:leftChars="0"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1</w:t>
      </w:r>
      <w:r>
        <w:rPr>
          <w:rFonts w:hint="default" w:ascii="宋体" w:hAnsi="宋体" w:eastAsia="宋体" w:cs="Times New Roman"/>
          <w:color w:val="auto"/>
          <w:sz w:val="24"/>
          <w:szCs w:val="24"/>
          <w:highlight w:val="none"/>
          <w:lang w:val="en-US" w:eastAsia="zh-CN"/>
        </w:rPr>
        <w:t>.</w:t>
      </w:r>
      <w:r>
        <w:rPr>
          <w:rFonts w:hint="eastAsia" w:ascii="宋体" w:hAnsi="宋体" w:eastAsia="宋体" w:cs="Times New Roman"/>
          <w:color w:val="auto"/>
          <w:sz w:val="24"/>
          <w:szCs w:val="24"/>
          <w:highlight w:val="none"/>
        </w:rPr>
        <w:t>合同履行期限：</w:t>
      </w:r>
      <w:r>
        <w:rPr>
          <w:rFonts w:hint="eastAsia" w:ascii="宋体" w:hAnsi="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rPr>
        <w:t>年。</w:t>
      </w:r>
    </w:p>
    <w:p w14:paraId="66CC298E">
      <w:pPr>
        <w:keepNext w:val="0"/>
        <w:keepLines w:val="0"/>
        <w:pageBreakBefore w:val="0"/>
        <w:numPr>
          <w:ilvl w:val="2"/>
          <w:numId w:val="0"/>
        </w:numPr>
        <w:kinsoku/>
        <w:wordWrap/>
        <w:overflowPunct/>
        <w:topLinePunct w:val="0"/>
        <w:bidi w:val="0"/>
        <w:snapToGrid/>
        <w:spacing w:line="440" w:lineRule="exact"/>
        <w:ind w:left="0" w:leftChars="0"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2</w:t>
      </w:r>
      <w:r>
        <w:rPr>
          <w:rFonts w:hint="default" w:ascii="宋体" w:hAnsi="宋体" w:eastAsia="宋体" w:cs="Times New Roman"/>
          <w:color w:val="auto"/>
          <w:sz w:val="24"/>
          <w:szCs w:val="24"/>
          <w:highlight w:val="none"/>
          <w:lang w:val="en-US" w:eastAsia="zh-CN"/>
        </w:rPr>
        <w:t>.</w:t>
      </w:r>
      <w:r>
        <w:rPr>
          <w:rFonts w:hint="eastAsia" w:ascii="宋体" w:hAnsi="宋体" w:eastAsia="宋体" w:cs="Times New Roman"/>
          <w:color w:val="auto"/>
          <w:sz w:val="24"/>
          <w:szCs w:val="24"/>
          <w:highlight w:val="none"/>
        </w:rPr>
        <w:t>供货</w:t>
      </w:r>
      <w:r>
        <w:rPr>
          <w:rFonts w:hint="eastAsia" w:ascii="宋体" w:hAnsi="宋体" w:eastAsia="宋体" w:cs="Times New Roman"/>
          <w:color w:val="auto"/>
          <w:sz w:val="24"/>
          <w:szCs w:val="24"/>
          <w:highlight w:val="none"/>
          <w:lang w:eastAsia="zh-CN"/>
        </w:rPr>
        <w:t>（服务）</w:t>
      </w:r>
      <w:r>
        <w:rPr>
          <w:rFonts w:hint="eastAsia" w:ascii="宋体" w:hAnsi="宋体" w:eastAsia="宋体" w:cs="Times New Roman"/>
          <w:color w:val="auto"/>
          <w:sz w:val="24"/>
          <w:szCs w:val="24"/>
          <w:highlight w:val="none"/>
        </w:rPr>
        <w:t>地点：</w:t>
      </w:r>
      <w:r>
        <w:rPr>
          <w:rFonts w:hint="eastAsia" w:ascii="宋体" w:hAnsi="宋体"/>
          <w:sz w:val="24"/>
          <w:highlight w:val="none"/>
          <w:lang w:eastAsia="zh-CN"/>
        </w:rPr>
        <w:t>陕州区西张村镇敬老院及菜园乡敬老院</w:t>
      </w:r>
      <w:r>
        <w:rPr>
          <w:rFonts w:hint="eastAsia" w:ascii="宋体" w:hAnsi="宋体" w:eastAsia="宋体" w:cs="Times New Roman"/>
          <w:color w:val="auto"/>
          <w:sz w:val="24"/>
          <w:szCs w:val="24"/>
          <w:highlight w:val="none"/>
          <w:lang w:val="en-US" w:eastAsia="zh-CN"/>
        </w:rPr>
        <w:t>。</w:t>
      </w:r>
    </w:p>
    <w:p w14:paraId="7A9124BD">
      <w:pPr>
        <w:keepNext w:val="0"/>
        <w:keepLines w:val="0"/>
        <w:pageBreakBefore w:val="0"/>
        <w:numPr>
          <w:ilvl w:val="2"/>
          <w:numId w:val="0"/>
        </w:numPr>
        <w:kinsoku/>
        <w:wordWrap/>
        <w:overflowPunct/>
        <w:topLinePunct w:val="0"/>
        <w:bidi w:val="0"/>
        <w:snapToGrid/>
        <w:spacing w:line="440" w:lineRule="exact"/>
        <w:ind w:left="0" w:leftChars="0"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3</w:t>
      </w:r>
      <w:r>
        <w:rPr>
          <w:rFonts w:hint="default" w:ascii="宋体" w:hAnsi="宋体" w:eastAsia="宋体" w:cs="Times New Roman"/>
          <w:color w:val="auto"/>
          <w:sz w:val="24"/>
          <w:szCs w:val="24"/>
          <w:highlight w:val="none"/>
          <w:lang w:val="en-US" w:eastAsia="zh-CN"/>
        </w:rPr>
        <w:t>.</w:t>
      </w:r>
      <w:r>
        <w:rPr>
          <w:rFonts w:hint="eastAsia" w:ascii="宋体" w:hAnsi="宋体" w:eastAsia="宋体" w:cs="Times New Roman"/>
          <w:color w:val="auto"/>
          <w:sz w:val="24"/>
          <w:szCs w:val="24"/>
          <w:highlight w:val="none"/>
        </w:rPr>
        <w:t>质量标准：</w:t>
      </w:r>
      <w:r>
        <w:rPr>
          <w:rFonts w:hint="eastAsia" w:ascii="宋体" w:hAnsi="宋体" w:eastAsia="宋体" w:cs="宋体"/>
          <w:color w:val="auto"/>
          <w:sz w:val="24"/>
          <w:szCs w:val="24"/>
          <w:highlight w:val="none"/>
          <w:lang w:val="en-US" w:eastAsia="zh-CN"/>
        </w:rPr>
        <w:t>产品质量合格，符合国家及行业相关食品卫生安全要求，且符合采购人要求。</w:t>
      </w:r>
    </w:p>
    <w:p w14:paraId="46235B50">
      <w:pPr>
        <w:keepNext w:val="0"/>
        <w:keepLines w:val="0"/>
        <w:pageBreakBefore w:val="0"/>
        <w:numPr>
          <w:ilvl w:val="2"/>
          <w:numId w:val="0"/>
        </w:numPr>
        <w:kinsoku/>
        <w:wordWrap/>
        <w:overflowPunct/>
        <w:topLinePunct w:val="0"/>
        <w:bidi w:val="0"/>
        <w:snapToGrid/>
        <w:spacing w:line="440" w:lineRule="exact"/>
        <w:ind w:left="0" w:leftChars="0" w:firstLine="480" w:firstLineChars="200"/>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4.</w:t>
      </w:r>
      <w:r>
        <w:rPr>
          <w:rFonts w:hint="eastAsia" w:ascii="宋体" w:hAnsi="宋体" w:cs="Times New Roman"/>
          <w:color w:val="auto"/>
          <w:sz w:val="24"/>
          <w:szCs w:val="24"/>
          <w:highlight w:val="none"/>
          <w:lang w:val="en-US" w:eastAsia="zh-CN"/>
        </w:rPr>
        <w:t>质保期</w:t>
      </w:r>
      <w:r>
        <w:rPr>
          <w:rFonts w:hint="eastAsia" w:ascii="宋体" w:hAnsi="宋体" w:eastAsia="宋体" w:cs="Times New Roman"/>
          <w:color w:val="auto"/>
          <w:sz w:val="24"/>
          <w:szCs w:val="24"/>
          <w:highlight w:val="none"/>
          <w:lang w:val="en-US" w:eastAsia="zh-CN"/>
        </w:rPr>
        <w:t>：</w:t>
      </w:r>
      <w:r>
        <w:rPr>
          <w:rFonts w:hint="eastAsia" w:ascii="宋体" w:hAnsi="宋体" w:cs="宋体"/>
          <w:sz w:val="24"/>
          <w:highlight w:val="none"/>
          <w:lang w:val="en-US" w:eastAsia="zh-CN"/>
        </w:rPr>
        <w:t>提供的食材符合国家及行业检测标准，满足采购人提出的其他标准及要求</w:t>
      </w:r>
      <w:r>
        <w:rPr>
          <w:rFonts w:hint="eastAsia" w:ascii="宋体" w:hAnsi="宋体" w:eastAsia="宋体" w:cs="Times New Roman"/>
          <w:color w:val="auto"/>
          <w:sz w:val="24"/>
          <w:szCs w:val="24"/>
          <w:highlight w:val="none"/>
          <w:lang w:val="en-US" w:eastAsia="zh-CN"/>
        </w:rPr>
        <w:t>。</w:t>
      </w:r>
    </w:p>
    <w:p w14:paraId="7ABF1CCB">
      <w:pPr>
        <w:keepNext w:val="0"/>
        <w:keepLines w:val="0"/>
        <w:pageBreakBefore w:val="0"/>
        <w:numPr>
          <w:ilvl w:val="2"/>
          <w:numId w:val="0"/>
        </w:numPr>
        <w:kinsoku/>
        <w:wordWrap/>
        <w:overflowPunct/>
        <w:topLinePunct w:val="0"/>
        <w:bidi w:val="0"/>
        <w:snapToGrid/>
        <w:spacing w:line="440" w:lineRule="exact"/>
        <w:ind w:left="0" w:leftChars="0"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5</w:t>
      </w:r>
      <w:r>
        <w:rPr>
          <w:rFonts w:hint="default" w:ascii="宋体" w:hAnsi="宋体" w:eastAsia="宋体" w:cs="Times New Roman"/>
          <w:color w:val="auto"/>
          <w:sz w:val="24"/>
          <w:szCs w:val="24"/>
          <w:highlight w:val="none"/>
          <w:lang w:val="en-US" w:eastAsia="zh-CN"/>
        </w:rPr>
        <w:t>.</w:t>
      </w:r>
      <w:r>
        <w:rPr>
          <w:rFonts w:hint="eastAsia" w:ascii="宋体" w:hAnsi="宋体" w:eastAsia="宋体" w:cs="Times New Roman"/>
          <w:color w:val="auto"/>
          <w:sz w:val="24"/>
          <w:szCs w:val="24"/>
          <w:highlight w:val="none"/>
        </w:rPr>
        <w:t>付款方式：</w:t>
      </w:r>
      <w:r>
        <w:rPr>
          <w:rFonts w:hint="eastAsia" w:ascii="宋体" w:hAnsi="宋体" w:cs="Times New Roman"/>
          <w:color w:val="auto"/>
          <w:sz w:val="24"/>
          <w:szCs w:val="24"/>
          <w:highlight w:val="none"/>
          <w:lang w:val="en-US" w:eastAsia="zh-CN"/>
        </w:rPr>
        <w:t>签订合同时双方协商</w:t>
      </w:r>
      <w:r>
        <w:rPr>
          <w:rFonts w:hint="eastAsia" w:ascii="宋体" w:hAnsi="宋体" w:eastAsia="宋体" w:cs="Times New Roman"/>
          <w:color w:val="auto"/>
          <w:sz w:val="24"/>
          <w:szCs w:val="24"/>
          <w:highlight w:val="none"/>
          <w:lang w:val="en-US" w:eastAsia="zh-CN"/>
        </w:rPr>
        <w:t>。</w:t>
      </w:r>
    </w:p>
    <w:p w14:paraId="7F7CCEC5">
      <w:pPr>
        <w:keepNext w:val="0"/>
        <w:keepLines w:val="0"/>
        <w:pageBreakBefore w:val="0"/>
        <w:numPr>
          <w:ilvl w:val="2"/>
          <w:numId w:val="0"/>
        </w:numPr>
        <w:kinsoku/>
        <w:wordWrap/>
        <w:overflowPunct/>
        <w:topLinePunct w:val="0"/>
        <w:bidi w:val="0"/>
        <w:snapToGrid/>
        <w:spacing w:line="440" w:lineRule="exact"/>
        <w:ind w:left="0" w:leftChars="0" w:firstLine="480" w:firstLineChars="200"/>
        <w:textAlignment w:val="auto"/>
        <w:rPr>
          <w:rFonts w:hint="eastAsia" w:ascii="宋体" w:hAnsi="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6.通用标准：所有食材须符合《中华人民共和国食品安全法》、《中华人民共和国动物防疫法》标准，经检测合格且在供货时须提供合格证明文件（肉类需附带检疫合格证明，蔬菜、水果需提供农残检测报告，米面油、调味品及其他食品都需提供同批次同批号的检测报告、合格证）。</w:t>
      </w:r>
    </w:p>
    <w:p w14:paraId="2C47BECE">
      <w:pPr>
        <w:keepNext w:val="0"/>
        <w:keepLines w:val="0"/>
        <w:pageBreakBefore w:val="0"/>
        <w:numPr>
          <w:ilvl w:val="0"/>
          <w:numId w:val="0"/>
        </w:numPr>
        <w:kinsoku/>
        <w:wordWrap/>
        <w:overflowPunct/>
        <w:topLinePunct w:val="0"/>
        <w:bidi w:val="0"/>
        <w:snapToGrid/>
        <w:spacing w:line="440" w:lineRule="exact"/>
        <w:ind w:leftChars="0"/>
        <w:textAlignment w:val="auto"/>
        <w:rPr>
          <w:rFonts w:hint="eastAsia" w:ascii="宋体" w:hAnsi="宋体"/>
          <w:b/>
          <w:color w:val="auto"/>
          <w:kern w:val="0"/>
          <w:sz w:val="24"/>
          <w:szCs w:val="24"/>
          <w:highlight w:val="none"/>
        </w:rPr>
      </w:pPr>
      <w:r>
        <w:rPr>
          <w:rFonts w:hint="eastAsia" w:ascii="宋体" w:hAnsi="宋体"/>
          <w:b/>
          <w:color w:val="auto"/>
          <w:kern w:val="0"/>
          <w:sz w:val="24"/>
          <w:szCs w:val="24"/>
          <w:highlight w:val="none"/>
          <w:lang w:val="en-US" w:eastAsia="zh-CN"/>
        </w:rPr>
        <w:t>三、</w:t>
      </w:r>
      <w:r>
        <w:rPr>
          <w:rFonts w:hint="eastAsia" w:ascii="宋体" w:hAnsi="宋体"/>
          <w:b/>
          <w:color w:val="auto"/>
          <w:kern w:val="0"/>
          <w:sz w:val="24"/>
          <w:szCs w:val="24"/>
          <w:highlight w:val="none"/>
        </w:rPr>
        <w:t>采购内容及技术要求</w:t>
      </w:r>
    </w:p>
    <w:tbl>
      <w:tblPr>
        <w:tblStyle w:val="27"/>
        <w:tblW w:w="9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
        <w:gridCol w:w="1860"/>
        <w:gridCol w:w="6723"/>
      </w:tblGrid>
      <w:tr w14:paraId="5FA1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96" w:type="dxa"/>
            <w:vAlign w:val="center"/>
          </w:tcPr>
          <w:p w14:paraId="2C6C2C91">
            <w:pPr>
              <w:pStyle w:val="17"/>
              <w:keepNext w:val="0"/>
              <w:keepLines w:val="0"/>
              <w:pageBreakBefore w:val="0"/>
              <w:widowControl w:val="0"/>
              <w:numPr>
                <w:ilvl w:val="0"/>
                <w:numId w:val="0"/>
              </w:numPr>
              <w:kinsoku/>
              <w:wordWrap/>
              <w:overflowPunct/>
              <w:topLinePunct w:val="0"/>
              <w:autoSpaceDE/>
              <w:autoSpaceDN/>
              <w:bidi w:val="0"/>
              <w:adjustRightInd/>
              <w:spacing w:line="360" w:lineRule="auto"/>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序号</w:t>
            </w:r>
          </w:p>
        </w:tc>
        <w:tc>
          <w:tcPr>
            <w:tcW w:w="1860" w:type="dxa"/>
            <w:vAlign w:val="center"/>
          </w:tcPr>
          <w:p w14:paraId="15DAF239">
            <w:pPr>
              <w:pStyle w:val="17"/>
              <w:keepNext w:val="0"/>
              <w:keepLines w:val="0"/>
              <w:pageBreakBefore w:val="0"/>
              <w:widowControl w:val="0"/>
              <w:numPr>
                <w:ilvl w:val="0"/>
                <w:numId w:val="0"/>
              </w:numPr>
              <w:kinsoku/>
              <w:wordWrap/>
              <w:overflowPunct/>
              <w:topLinePunct w:val="0"/>
              <w:autoSpaceDE/>
              <w:autoSpaceDN/>
              <w:bidi w:val="0"/>
              <w:adjustRightInd/>
              <w:spacing w:line="360" w:lineRule="auto"/>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名称</w:t>
            </w:r>
          </w:p>
        </w:tc>
        <w:tc>
          <w:tcPr>
            <w:tcW w:w="6723" w:type="dxa"/>
            <w:vAlign w:val="center"/>
          </w:tcPr>
          <w:p w14:paraId="4E8F7BB5">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技术规格及质量标准</w:t>
            </w:r>
          </w:p>
        </w:tc>
      </w:tr>
      <w:tr w14:paraId="1E3F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996" w:type="dxa"/>
            <w:vAlign w:val="center"/>
          </w:tcPr>
          <w:p w14:paraId="091B1E9D">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1860" w:type="dxa"/>
            <w:vAlign w:val="center"/>
          </w:tcPr>
          <w:p w14:paraId="06E7055C">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米类</w:t>
            </w:r>
          </w:p>
        </w:tc>
        <w:tc>
          <w:tcPr>
            <w:tcW w:w="6723" w:type="dxa"/>
            <w:vAlign w:val="center"/>
          </w:tcPr>
          <w:p w14:paraId="1EDAA844">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1.包装标准：产品应采用袋装包装形式，包装严密，图案完整；包装材料应符合食品包装材料卫生标准。</w:t>
            </w:r>
          </w:p>
          <w:p w14:paraId="514066DC">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2.标签标识：标明货物名称、净含量、生产者名称和地址、生产日期、保质期、货物标准号、质量等级、生产许可证号、货物批号等内容。</w:t>
            </w:r>
          </w:p>
          <w:p w14:paraId="0E3B698D">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3.运输：运输工具应清洁、无异味，运输时不得与有毒、有害、有腐蚀性货物混装， 运输中应注意轻装、轻卸、防雨、防晒。</w:t>
            </w:r>
          </w:p>
          <w:p w14:paraId="78C8623A">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4.贮存：产品应存放于卫生、通风阴凉、干燥、清洁、无异味的库中。</w:t>
            </w:r>
          </w:p>
          <w:p w14:paraId="28F405DF">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5.大米必须是厂家密封原包装货物且有检验合格证。</w:t>
            </w:r>
          </w:p>
          <w:p w14:paraId="4ABF42FC">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6.产品质量不得低于国家质量技术等级最新标准。</w:t>
            </w:r>
          </w:p>
        </w:tc>
      </w:tr>
      <w:tr w14:paraId="23A9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8" w:hRule="atLeast"/>
          <w:jc w:val="center"/>
        </w:trPr>
        <w:tc>
          <w:tcPr>
            <w:tcW w:w="996" w:type="dxa"/>
            <w:vAlign w:val="center"/>
          </w:tcPr>
          <w:p w14:paraId="768B5C80">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1860" w:type="dxa"/>
            <w:vAlign w:val="center"/>
          </w:tcPr>
          <w:p w14:paraId="0B594C23">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面 粉</w:t>
            </w:r>
          </w:p>
        </w:tc>
        <w:tc>
          <w:tcPr>
            <w:tcW w:w="6723" w:type="dxa"/>
            <w:vAlign w:val="center"/>
          </w:tcPr>
          <w:p w14:paraId="2DD04B5C">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1.包装标准：产品应采用袋装包装形式，包装严密，图案完整；包装材料应符合食品包装材料卫生标准。</w:t>
            </w:r>
          </w:p>
          <w:p w14:paraId="08E2322A">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2.不得加入添加剂或添加粉，保证面粉质量。</w:t>
            </w:r>
          </w:p>
          <w:p w14:paraId="53B53BB3">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3.标签标识：标明产品名称、净含量、生产者名称和地址、生产日期、保质期、产标准号、质量等级、生产许可证号、产品批号等内容。</w:t>
            </w:r>
          </w:p>
          <w:p w14:paraId="35542C6E">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4.运输：运输工具应清洁、无异味，运输中应注意轻装、轻卸、防雨、防晒。</w:t>
            </w:r>
          </w:p>
          <w:p w14:paraId="25C04FDE">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5.贮存：产品应存放于卫生、通风阴凉、干燥、清洁、无异味的库中。</w:t>
            </w:r>
          </w:p>
          <w:p w14:paraId="45C05E5A">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6.面粉必须是厂家密封原包装产品且有检验合格证。</w:t>
            </w:r>
          </w:p>
          <w:p w14:paraId="31A57A70">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7.质量等级不低于国家规定技术等级最新标准，不添加国家规定以外任何添加剂成分。</w:t>
            </w:r>
          </w:p>
        </w:tc>
      </w:tr>
      <w:tr w14:paraId="59F6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96" w:type="dxa"/>
            <w:vAlign w:val="center"/>
          </w:tcPr>
          <w:p w14:paraId="77A2DA73">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p>
        </w:tc>
        <w:tc>
          <w:tcPr>
            <w:tcW w:w="1860" w:type="dxa"/>
            <w:vAlign w:val="center"/>
          </w:tcPr>
          <w:p w14:paraId="1B9C8566">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食用油</w:t>
            </w:r>
          </w:p>
        </w:tc>
        <w:tc>
          <w:tcPr>
            <w:tcW w:w="6723" w:type="dxa"/>
            <w:vAlign w:val="center"/>
          </w:tcPr>
          <w:p w14:paraId="5F4D96C0">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1.执行标准：色拉油: GB1535-2003 一级大豆色拉油，花生油: GB1534-2017，大豆油: GB1535-2003，葵花籽油:GB10464-2017 等；液体具有油脂正常色泽，澄清透明，无焦臭、酸败及其他异味，口感好；无任何掺杂气味；</w:t>
            </w:r>
          </w:p>
          <w:p w14:paraId="4FCBBDE7">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2.所提供的物品不得为转基因物品或转基因制成品，经查实所提供物品中具有转基因物品或转基因制成品立即终止合同，并由配送方将承担全部责任。</w:t>
            </w:r>
          </w:p>
          <w:p w14:paraId="49CE9FAA">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3.油类质量标准:符合国家质量等级最新标准。</w:t>
            </w:r>
          </w:p>
          <w:p w14:paraId="70309657">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4.质保期要求：</w:t>
            </w:r>
            <w:r>
              <w:rPr>
                <w:rFonts w:hint="eastAsia" w:ascii="宋体" w:hAnsi="宋体" w:cs="宋体"/>
                <w:b w:val="0"/>
                <w:bCs w:val="0"/>
                <w:color w:val="auto"/>
                <w:sz w:val="24"/>
                <w:szCs w:val="24"/>
                <w:highlight w:val="none"/>
                <w:lang w:val="en-US" w:eastAsia="zh-CN"/>
              </w:rPr>
              <w:t>须在质保期内</w:t>
            </w:r>
            <w:r>
              <w:rPr>
                <w:rFonts w:hint="eastAsia" w:ascii="宋体" w:hAnsi="宋体" w:eastAsia="宋体" w:cs="宋体"/>
                <w:b w:val="0"/>
                <w:bCs w:val="0"/>
                <w:color w:val="auto"/>
                <w:sz w:val="24"/>
                <w:szCs w:val="24"/>
                <w:highlight w:val="none"/>
                <w:lang w:val="en-US" w:eastAsia="zh-CN"/>
              </w:rPr>
              <w:t>。</w:t>
            </w:r>
          </w:p>
          <w:p w14:paraId="42F9839C">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5.包装要求：≥5L/桶的塑料软包装，包装应符合《食用植物油销售包装》（GB/T 17374）要求，包装材料应清洁、卫生，不与油发生化学作用而产生变化，符合国家食品卫生标准和管理规定。</w:t>
            </w:r>
          </w:p>
          <w:p w14:paraId="24B225AA">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6.标签标识：标明产品名称、净含量、生产者名称和地址、生产日期、保质期、产品标准号、食品添加剂、质量等级、生产许可证号、产品批号等内容。</w:t>
            </w:r>
          </w:p>
          <w:p w14:paraId="062DB5B7">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7.必须是厂家密封原包装货物且有检验合格证。</w:t>
            </w:r>
          </w:p>
          <w:p w14:paraId="58BF5FB0">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8.运输：运输时应外加纸箱、木箱等包装物，运输工具应清洁、无异味，运输时不得与有毒、有害、有腐蚀性货物混装，运输中应注意轻装、轻卸、防雨、防晒。</w:t>
            </w:r>
          </w:p>
          <w:p w14:paraId="4EC919C3">
            <w:pPr>
              <w:pStyle w:val="17"/>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9.贮存：产品应存放于卫生、通风阴凉、干燥、清洁、无异味的库中。</w:t>
            </w:r>
          </w:p>
        </w:tc>
      </w:tr>
      <w:tr w14:paraId="0B0C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96" w:type="dxa"/>
            <w:vAlign w:val="center"/>
          </w:tcPr>
          <w:p w14:paraId="07C288CC">
            <w:pPr>
              <w:widowControl/>
              <w:spacing w:line="400" w:lineRule="exact"/>
              <w:jc w:val="center"/>
              <w:rPr>
                <w:rFonts w:hint="eastAsia" w:ascii="宋体" w:hAnsi="宋体" w:eastAsia="宋体"/>
                <w:color w:val="auto"/>
                <w:kern w:val="0"/>
                <w:sz w:val="24"/>
                <w:szCs w:val="24"/>
                <w:highlight w:val="none"/>
                <w:lang w:val="en-US" w:eastAsia="zh-CN"/>
              </w:rPr>
            </w:pPr>
            <w:r>
              <w:rPr>
                <w:rFonts w:hint="eastAsia" w:ascii="宋体" w:hAnsi="宋体"/>
                <w:color w:val="auto"/>
                <w:kern w:val="0"/>
                <w:sz w:val="24"/>
                <w:szCs w:val="24"/>
                <w:highlight w:val="none"/>
                <w:lang w:val="en-US" w:eastAsia="zh-CN"/>
              </w:rPr>
              <w:t>4</w:t>
            </w:r>
          </w:p>
        </w:tc>
        <w:tc>
          <w:tcPr>
            <w:tcW w:w="1860" w:type="dxa"/>
            <w:vAlign w:val="center"/>
          </w:tcPr>
          <w:p w14:paraId="33499D38">
            <w:pPr>
              <w:widowControl/>
              <w:spacing w:line="40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color w:val="auto"/>
                <w:kern w:val="0"/>
                <w:sz w:val="24"/>
                <w:szCs w:val="24"/>
                <w:highlight w:val="none"/>
              </w:rPr>
              <w:t>肉类</w:t>
            </w:r>
          </w:p>
        </w:tc>
        <w:tc>
          <w:tcPr>
            <w:tcW w:w="6723" w:type="dxa"/>
            <w:vAlign w:val="center"/>
          </w:tcPr>
          <w:p w14:paraId="7E1EDDCA">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整体执行 GB 2707-2016《食品安全国家标准 鲜（冻）畜、禽产品》及国家现行有效标准。</w:t>
            </w:r>
          </w:p>
          <w:p w14:paraId="2D9A0447">
            <w:pPr>
              <w:widowControl/>
              <w:numPr>
                <w:ilvl w:val="0"/>
                <w:numId w:val="4"/>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猪肉：严禁注水、注胶，不提供病猪、种猪肉；须具备两证两章（动物检疫合格证明、肉品品质检验合格证、检疫验讫章、肉品品质检验合格验讫章），按需求配送。</w:t>
            </w:r>
          </w:p>
          <w:p w14:paraId="6157CC9C">
            <w:pPr>
              <w:widowControl/>
              <w:numPr>
                <w:ilvl w:val="0"/>
                <w:numId w:val="4"/>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牛羊肉：仅限国产货品，严禁注水；肉质呈鲜红色或深红色，脂肪洁白或淡黄色，肉质紧实富有弹性，指压凹陷可快速复原；表面微干、形成风干膜且不粘手，具备牛羊肉固有风味；配送时提供当批次动物检疫合格证明。</w:t>
            </w:r>
          </w:p>
          <w:p w14:paraId="78D6E194">
            <w:pPr>
              <w:widowControl/>
              <w:numPr>
                <w:ilvl w:val="0"/>
                <w:numId w:val="4"/>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禽肉类：肉质新鲜无异味，体表洁净、无毛、表皮处理到位，形体大小均匀；严禁配送病死禽肉，符合国家检验检疫要求；配送时提供当批次动物检疫合格证明。</w:t>
            </w:r>
          </w:p>
          <w:p w14:paraId="4B79B414">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4.鱼虾类：执行 GB 2733-2015《食品安全国家标准 鲜、冻动物性水产品》及国家现行标准；货品全程鲜活，保持天然色泽，无异味、无有害物质残留。</w:t>
            </w:r>
          </w:p>
        </w:tc>
      </w:tr>
      <w:tr w14:paraId="15B0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96" w:type="dxa"/>
            <w:vAlign w:val="center"/>
          </w:tcPr>
          <w:p w14:paraId="2818ABB4">
            <w:pPr>
              <w:widowControl/>
              <w:spacing w:line="400" w:lineRule="exact"/>
              <w:jc w:val="center"/>
              <w:rPr>
                <w:rFonts w:hint="default" w:ascii="宋体" w:hAnsi="宋体"/>
                <w:color w:val="auto"/>
                <w:kern w:val="0"/>
                <w:sz w:val="24"/>
                <w:szCs w:val="24"/>
                <w:highlight w:val="none"/>
                <w:lang w:val="en-US" w:eastAsia="zh-CN"/>
              </w:rPr>
            </w:pPr>
            <w:r>
              <w:rPr>
                <w:rFonts w:hint="eastAsia" w:ascii="宋体" w:hAnsi="宋体"/>
                <w:color w:val="auto"/>
                <w:kern w:val="0"/>
                <w:sz w:val="24"/>
                <w:szCs w:val="24"/>
                <w:highlight w:val="none"/>
                <w:lang w:val="en-US" w:eastAsia="zh-CN"/>
              </w:rPr>
              <w:t>5</w:t>
            </w:r>
          </w:p>
        </w:tc>
        <w:tc>
          <w:tcPr>
            <w:tcW w:w="1860" w:type="dxa"/>
            <w:vAlign w:val="center"/>
          </w:tcPr>
          <w:p w14:paraId="181F1037">
            <w:pPr>
              <w:widowControl/>
              <w:spacing w:line="40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color w:val="auto"/>
                <w:kern w:val="0"/>
                <w:sz w:val="24"/>
                <w:szCs w:val="24"/>
                <w:highlight w:val="none"/>
                <w:lang w:val="en-US" w:eastAsia="zh-CN"/>
              </w:rPr>
              <w:t>蛋类</w:t>
            </w:r>
          </w:p>
        </w:tc>
        <w:tc>
          <w:tcPr>
            <w:tcW w:w="6723" w:type="dxa"/>
            <w:vAlign w:val="center"/>
          </w:tcPr>
          <w:p w14:paraId="4E794F0F">
            <w:pPr>
              <w:widowControl/>
              <w:spacing w:line="400" w:lineRule="exact"/>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 所提供的物品必须符合国家有关标准，保证无异味、无霉烂变质。</w:t>
            </w:r>
          </w:p>
          <w:p w14:paraId="20378846">
            <w:pPr>
              <w:widowControl/>
              <w:spacing w:line="400" w:lineRule="exact"/>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2.对货物的品质要求，必须符合国家，食品部门的有关标准和规格要求。</w:t>
            </w:r>
          </w:p>
          <w:p w14:paraId="6F3D8772">
            <w:pPr>
              <w:widowControl/>
              <w:spacing w:line="400" w:lineRule="exact"/>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蛋类应蛋壳清洁完整，色泽鲜明，无破损、裂纹，无霉斑，灯光透视时，整个蛋呈桔黄色至橙红色，蛋黄不见或略见阴影，没有霉味、酸味，臭味等不良气味，打开后蛋黄凸起、完整、有韧性，蛋白澄清、透明、稀稠分明，无异味。鸡蛋要求在本地养鸡场配送确保新鲜。</w:t>
            </w:r>
          </w:p>
          <w:p w14:paraId="70D6F26F">
            <w:pPr>
              <w:widowControl/>
              <w:spacing w:line="400" w:lineRule="exact"/>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4.皮蛋应外表泥状包料完整、无霉斑，包料除掉后蛋壳完整无损，灯光透照蛋内容物凝固不动，打开观察，整个蛋凝固、不粘壳、清洁而有弹性，呈半透明的棕黄色，闻起来有芳香，无辛辣气。</w:t>
            </w:r>
          </w:p>
          <w:p w14:paraId="57959124">
            <w:pPr>
              <w:widowControl/>
              <w:spacing w:line="400" w:lineRule="exact"/>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咸蛋应蛋壳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 富于油脂，品尝则有咸蛋固有的香味。</w:t>
            </w:r>
          </w:p>
          <w:p w14:paraId="665B1AC2">
            <w:pPr>
              <w:widowControl/>
              <w:spacing w:line="400" w:lineRule="exact"/>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6.包装标准：包装材料应符合食品包装材料卫生标准。</w:t>
            </w:r>
          </w:p>
          <w:p w14:paraId="10B57FF4">
            <w:pPr>
              <w:widowControl/>
              <w:spacing w:line="400" w:lineRule="exact"/>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7.运输：运输工具应符合卫生要求，运输时不得与有毒、有害、有腐蚀性货物混装， 运输中防挤压，应注意轻装、轻卸、防雨、防晒。</w:t>
            </w:r>
          </w:p>
          <w:p w14:paraId="6D86B292">
            <w:pPr>
              <w:widowControl/>
              <w:spacing w:line="400" w:lineRule="exact"/>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8.贮存：产品应存放于卫生、通风阴凉、干燥、清洁、无异味的库中。</w:t>
            </w:r>
          </w:p>
        </w:tc>
      </w:tr>
      <w:tr w14:paraId="61B7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96" w:type="dxa"/>
            <w:vAlign w:val="center"/>
          </w:tcPr>
          <w:p w14:paraId="16888FE7">
            <w:pPr>
              <w:widowControl/>
              <w:spacing w:line="400" w:lineRule="exact"/>
              <w:jc w:val="center"/>
              <w:rPr>
                <w:rFonts w:hint="default" w:ascii="宋体" w:hAnsi="宋体"/>
                <w:color w:val="auto"/>
                <w:kern w:val="0"/>
                <w:sz w:val="24"/>
                <w:szCs w:val="24"/>
                <w:highlight w:val="none"/>
                <w:lang w:val="en-US" w:eastAsia="zh-CN"/>
              </w:rPr>
            </w:pPr>
            <w:r>
              <w:rPr>
                <w:rFonts w:hint="eastAsia" w:ascii="宋体" w:hAnsi="宋体"/>
                <w:color w:val="auto"/>
                <w:kern w:val="0"/>
                <w:sz w:val="24"/>
                <w:szCs w:val="24"/>
                <w:highlight w:val="none"/>
                <w:lang w:val="en-US" w:eastAsia="zh-CN"/>
              </w:rPr>
              <w:t>6</w:t>
            </w:r>
          </w:p>
        </w:tc>
        <w:tc>
          <w:tcPr>
            <w:tcW w:w="1860" w:type="dxa"/>
            <w:vAlign w:val="center"/>
          </w:tcPr>
          <w:p w14:paraId="49258C23">
            <w:pPr>
              <w:widowControl/>
              <w:spacing w:line="400" w:lineRule="exact"/>
              <w:jc w:val="center"/>
              <w:rPr>
                <w:rFonts w:hint="eastAsia" w:ascii="宋体" w:hAnsi="宋体"/>
                <w:color w:val="auto"/>
                <w:kern w:val="0"/>
                <w:sz w:val="24"/>
                <w:szCs w:val="24"/>
                <w:highlight w:val="none"/>
                <w:lang w:val="en-US" w:eastAsia="zh-CN"/>
              </w:rPr>
            </w:pPr>
            <w:r>
              <w:rPr>
                <w:rFonts w:hint="eastAsia" w:ascii="宋体" w:hAnsi="宋体"/>
                <w:color w:val="auto"/>
                <w:kern w:val="0"/>
                <w:sz w:val="24"/>
                <w:szCs w:val="24"/>
                <w:highlight w:val="none"/>
                <w:lang w:val="en-US" w:eastAsia="zh-CN"/>
              </w:rPr>
              <w:t>奶制品类</w:t>
            </w:r>
          </w:p>
        </w:tc>
        <w:tc>
          <w:tcPr>
            <w:tcW w:w="6723" w:type="dxa"/>
            <w:vAlign w:val="center"/>
          </w:tcPr>
          <w:p w14:paraId="2345E567">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包含但不限于：纯奶、酸奶、米粉、蛋白粉、奶粉等，所提供产品均须符合国家标准及甲方要求。</w:t>
            </w:r>
          </w:p>
          <w:p w14:paraId="4630F37D">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1.纯奶感官要求:色泽呈乳白色或微黄色，滋味气味具有乳固有的香味，无异味，组织状态星均匀一致液体，无凝块、无沉淀、无正常视力可见异物。</w:t>
            </w:r>
          </w:p>
          <w:p w14:paraId="011A2D3D">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酸奶感官要求:色泽均匀一致，呈乳白色或微黄色，风味发酵乳具有与添加成分相符的色泽，滋味气味具有发酵乳特有的滋味、气味，风味发酵乳具有与添加成分相符的滋味和气味，组织状态细腻、均匀，允许有少量乳清析出，风味发酵乳具有添加成分特有的组织状态。</w:t>
            </w:r>
          </w:p>
          <w:p w14:paraId="6D19D0DF">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3.所有货物应有正规生产厂家合格证书、国家机关发出的产品检验合格证书。包装箱完整，同时包装箱要印有注册商标、生产厂家名称、厂址、生产日期、产品合格证、保质期限、产品成分、厂家电话号码等。</w:t>
            </w:r>
          </w:p>
          <w:p w14:paraId="3579F2BB">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4.成交方所提供的货物质量必须要符合行业标准要求，不得有掺假、变质、变味、过期等现象出现，严禁伪劣、假目、无证不合格货物进入仓库。</w:t>
            </w:r>
          </w:p>
        </w:tc>
      </w:tr>
      <w:tr w14:paraId="1D5F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96" w:type="dxa"/>
            <w:vAlign w:val="center"/>
          </w:tcPr>
          <w:p w14:paraId="2354FB99">
            <w:pPr>
              <w:widowControl/>
              <w:spacing w:line="400" w:lineRule="exact"/>
              <w:jc w:val="center"/>
              <w:rPr>
                <w:rFonts w:hint="default" w:ascii="宋体" w:hAnsi="宋体" w:eastAsia="宋体"/>
                <w:color w:val="auto"/>
                <w:kern w:val="0"/>
                <w:sz w:val="24"/>
                <w:szCs w:val="24"/>
                <w:highlight w:val="none"/>
                <w:lang w:val="en-US" w:eastAsia="zh-CN"/>
              </w:rPr>
            </w:pPr>
            <w:r>
              <w:rPr>
                <w:rFonts w:hint="eastAsia" w:ascii="宋体" w:hAnsi="宋体"/>
                <w:color w:val="auto"/>
                <w:kern w:val="0"/>
                <w:sz w:val="24"/>
                <w:szCs w:val="24"/>
                <w:highlight w:val="none"/>
                <w:lang w:val="en-US" w:eastAsia="zh-CN"/>
              </w:rPr>
              <w:t>7</w:t>
            </w:r>
          </w:p>
        </w:tc>
        <w:tc>
          <w:tcPr>
            <w:tcW w:w="1860" w:type="dxa"/>
            <w:vAlign w:val="center"/>
          </w:tcPr>
          <w:p w14:paraId="26D4352D">
            <w:pPr>
              <w:widowControl/>
              <w:spacing w:line="40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color w:val="auto"/>
                <w:kern w:val="0"/>
                <w:sz w:val="24"/>
                <w:szCs w:val="24"/>
                <w:highlight w:val="none"/>
              </w:rPr>
              <w:t>调料、干杂</w:t>
            </w:r>
          </w:p>
        </w:tc>
        <w:tc>
          <w:tcPr>
            <w:tcW w:w="6723" w:type="dxa"/>
            <w:vAlign w:val="center"/>
          </w:tcPr>
          <w:p w14:paraId="7638A0CE">
            <w:pPr>
              <w:widowControl/>
              <w:numPr>
                <w:ilvl w:val="0"/>
                <w:numId w:val="5"/>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调味品包含酱油、食醋、鸡精、味精、食用盐、豆瓣酱、料酒等品类，分项要求如下：</w:t>
            </w:r>
          </w:p>
          <w:p w14:paraId="55199FAF">
            <w:pPr>
              <w:widowControl/>
              <w:numPr>
                <w:ilvl w:val="0"/>
                <w:numId w:val="6"/>
              </w:numPr>
              <w:spacing w:line="400" w:lineRule="exact"/>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酱油：酿造一级，瓶装（单瓶≤5L），执行GB/T 18186-2000，非转基因；</w:t>
            </w:r>
          </w:p>
          <w:p w14:paraId="70C86412">
            <w:pPr>
              <w:widowControl/>
              <w:numPr>
                <w:ilvl w:val="0"/>
                <w:numId w:val="6"/>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食醋：酿造一级，瓶装，执行GB/T 18187-2000；</w:t>
            </w:r>
          </w:p>
          <w:p w14:paraId="5FD82640">
            <w:pPr>
              <w:widowControl/>
              <w:numPr>
                <w:ilvl w:val="0"/>
                <w:numId w:val="6"/>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鸡精：一级，袋装（单袋净含量≤500g），符合国家现行标准；</w:t>
            </w:r>
          </w:p>
          <w:p w14:paraId="18877A14">
            <w:pPr>
              <w:widowControl/>
              <w:numPr>
                <w:ilvl w:val="0"/>
                <w:numId w:val="6"/>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味精：袋装（单袋净含量≤500g），执行GB 2720-2015；</w:t>
            </w:r>
          </w:p>
          <w:p w14:paraId="2605787D">
            <w:pPr>
              <w:widowControl/>
              <w:numPr>
                <w:ilvl w:val="0"/>
                <w:numId w:val="6"/>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食用盐：袋装（单袋净含量≤500g），执行GB/T 5461-2016；   6.豆瓣酱：单件净重≤10kg，非转基因，执行GB/T 20560-2006，包装完好无渗漏；</w:t>
            </w:r>
          </w:p>
          <w:p w14:paraId="17981E3F">
            <w:pPr>
              <w:widowControl/>
              <w:numPr>
                <w:ilvl w:val="0"/>
                <w:numId w:val="6"/>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料酒：瓶装（单瓶≤2L），执行SB/T 10416-2007。所有调味品包装完好、无破损渗漏，标签标识齐全，具备食品生产相关资质。</w:t>
            </w:r>
          </w:p>
          <w:p w14:paraId="788C6144">
            <w:pPr>
              <w:widowControl/>
              <w:numPr>
                <w:ilvl w:val="0"/>
                <w:numId w:val="5"/>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干杂制品包含玉米糁、花生仁、干香菇、粉条、黑木耳、虾皮等品类，分项要求如下：</w:t>
            </w:r>
          </w:p>
          <w:p w14:paraId="781CFE70">
            <w:pPr>
              <w:widowControl/>
              <w:numPr>
                <w:ilvl w:val="0"/>
                <w:numId w:val="7"/>
              </w:numPr>
              <w:spacing w:line="400" w:lineRule="exact"/>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玉米糁：袋装（单袋≤20kg）；留存 2.00mm 筛网物料占比≤5%，通过 0.71mm 筛网物料占比≤20%；</w:t>
            </w:r>
          </w:p>
          <w:p w14:paraId="0B365CA3">
            <w:pPr>
              <w:widowControl/>
              <w:numPr>
                <w:ilvl w:val="0"/>
                <w:numId w:val="7"/>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花生仁：三级品，袋装（单袋≤25kg），执行GB/T 1532-2008</w:t>
            </w:r>
          </w:p>
          <w:p w14:paraId="1FCD45D8">
            <w:pPr>
              <w:widowControl/>
              <w:numPr>
                <w:ilvl w:val="0"/>
                <w:numId w:val="7"/>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干香菇：袋装（单袋≤1kg），菌盖直径≥3cm，残缺菇占比≤2.0%；</w:t>
            </w:r>
          </w:p>
          <w:p w14:paraId="6760F457">
            <w:pPr>
              <w:widowControl/>
              <w:numPr>
                <w:ilvl w:val="0"/>
                <w:numId w:val="7"/>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粉条：袋装（单袋≤25kg），执行GB/T 23587-2009；</w:t>
            </w:r>
          </w:p>
          <w:p w14:paraId="7FFE2357">
            <w:pPr>
              <w:widowControl/>
              <w:numPr>
                <w:ilvl w:val="0"/>
                <w:numId w:val="7"/>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黑木耳：袋装（单袋≤2kg），执行GB/T 6192-2019；</w:t>
            </w:r>
          </w:p>
          <w:p w14:paraId="3D34FBC7">
            <w:pPr>
              <w:widowControl/>
              <w:numPr>
                <w:ilvl w:val="0"/>
                <w:numId w:val="7"/>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虾皮：袋装（单袋≤2kg），执行SC/T 3205-2016。</w:t>
            </w:r>
          </w:p>
          <w:p w14:paraId="271D65C6">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通用要求：全部原料符合《中华人民共和国食品安全法》及相关法规，严格把控农残、重金属指标，不得违规使用食品添加剂、不得检出二氧化硫；产品外观正常、无变质、无异味，包装符合食品安全规范。</w:t>
            </w:r>
          </w:p>
        </w:tc>
      </w:tr>
      <w:tr w14:paraId="173C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96" w:type="dxa"/>
            <w:vAlign w:val="center"/>
          </w:tcPr>
          <w:p w14:paraId="431186DB">
            <w:pPr>
              <w:widowControl/>
              <w:spacing w:line="400" w:lineRule="exact"/>
              <w:jc w:val="center"/>
              <w:rPr>
                <w:rFonts w:hint="default" w:ascii="宋体" w:hAnsi="宋体"/>
                <w:color w:val="auto"/>
                <w:kern w:val="0"/>
                <w:sz w:val="24"/>
                <w:szCs w:val="24"/>
                <w:highlight w:val="none"/>
                <w:lang w:val="en-US" w:eastAsia="zh-CN"/>
              </w:rPr>
            </w:pPr>
            <w:r>
              <w:rPr>
                <w:rFonts w:hint="eastAsia" w:ascii="宋体" w:hAnsi="宋体"/>
                <w:color w:val="auto"/>
                <w:kern w:val="0"/>
                <w:sz w:val="24"/>
                <w:szCs w:val="24"/>
                <w:highlight w:val="none"/>
                <w:lang w:val="en-US" w:eastAsia="zh-CN"/>
              </w:rPr>
              <w:t>8</w:t>
            </w:r>
          </w:p>
        </w:tc>
        <w:tc>
          <w:tcPr>
            <w:tcW w:w="1860" w:type="dxa"/>
            <w:vAlign w:val="center"/>
          </w:tcPr>
          <w:p w14:paraId="2C888860">
            <w:pPr>
              <w:widowControl/>
              <w:spacing w:line="40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color w:val="auto"/>
                <w:kern w:val="0"/>
                <w:sz w:val="24"/>
                <w:szCs w:val="24"/>
                <w:highlight w:val="none"/>
                <w:lang w:val="en-US" w:eastAsia="zh-CN"/>
              </w:rPr>
              <w:t>水果、</w:t>
            </w:r>
            <w:r>
              <w:rPr>
                <w:rFonts w:hint="eastAsia" w:ascii="宋体" w:hAnsi="宋体"/>
                <w:color w:val="auto"/>
                <w:kern w:val="0"/>
                <w:sz w:val="24"/>
                <w:szCs w:val="24"/>
                <w:highlight w:val="none"/>
                <w:lang w:eastAsia="zh-CN"/>
              </w:rPr>
              <w:t>蔬菜</w:t>
            </w:r>
            <w:r>
              <w:rPr>
                <w:rFonts w:hint="eastAsia" w:ascii="宋体" w:hAnsi="宋体"/>
                <w:color w:val="auto"/>
                <w:kern w:val="0"/>
                <w:sz w:val="24"/>
                <w:szCs w:val="24"/>
                <w:highlight w:val="none"/>
                <w:lang w:val="en-US" w:eastAsia="zh-CN"/>
              </w:rPr>
              <w:t>类</w:t>
            </w:r>
            <w:r>
              <w:rPr>
                <w:rFonts w:hint="eastAsia" w:ascii="宋体" w:hAnsi="宋体"/>
                <w:color w:val="auto"/>
                <w:kern w:val="0"/>
                <w:sz w:val="24"/>
                <w:szCs w:val="24"/>
                <w:highlight w:val="none"/>
                <w:lang w:eastAsia="zh-CN"/>
              </w:rPr>
              <w:t xml:space="preserve"> </w:t>
            </w:r>
          </w:p>
        </w:tc>
        <w:tc>
          <w:tcPr>
            <w:tcW w:w="6723" w:type="dxa"/>
            <w:vAlign w:val="center"/>
          </w:tcPr>
          <w:p w14:paraId="77DBCAEB">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1.符合国家食品服务要求。所提供的物品必须符合国家有关标准，保证无异味、无霉烂变质。</w:t>
            </w:r>
          </w:p>
          <w:p w14:paraId="1885AE3E">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符合国家食品卫生标准。瓜、果、蔬菜必须是优质货品，保证所供应的蔬菜符合卫生标准，卫生指标应符合我国无公害蔬菜的卫生指标规定，同时承担因所供蔬菜问题引起的一切事故后果。各种蔬菜都应具有本品种固有的气味、形态、颜色、光泽及蔬菜的成熟度和鲜嫩程度，没有腐烂变质及其他异常味道，不能提供萎盖、枯塌、损伤、病变、虫害等异常蔬菜。</w:t>
            </w:r>
          </w:p>
          <w:p w14:paraId="72BB7159">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叶菜类应肉质鲜嫩、形态好、色泽正常、茎基部削平，无黄叶、病叶、泥土、明显机械伤和病虫害，无烧心焦边、腐烂等现象，无抽苔，无畸形、异味，结球叶菜芭结球适度，花椰菜类应新鲜洁白，不带叶获、无畸形花。</w:t>
            </w:r>
          </w:p>
          <w:p w14:paraId="351638C7">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4.茄果类等应果实整洁，成熟度适中，番茄花蒂不明显，无裂果及空洞现象，茄果不能有裂蒂及果皮变硬现象，无腐烂、畸形、异味，无明显机械伤。</w:t>
            </w:r>
          </w:p>
          <w:p w14:paraId="23224A6E">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5.瓜果类等形状、色泽一致，瓜条均匀，无疤点，无断裂，无腐烂、畸形、异味、明显机械伤。</w:t>
            </w:r>
          </w:p>
          <w:p w14:paraId="6F7C2094">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6.根菜类等品种皮细光滑，大小均匀，肉质脆嫩、新鲜，无断裂，无腐烂、裂痕、糠心、异味、不带泥土、茎叶和须根。</w:t>
            </w:r>
          </w:p>
          <w:p w14:paraId="1D10424F">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7.薯芋类应色泽一致、不带泥土、茎叶和须根，不干瘪、无腐烂、畸形、异味、明显机械伤、病虫害斑，马铃薯无发芽，皮不变绿。</w:t>
            </w:r>
          </w:p>
          <w:p w14:paraId="7EC1668D">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8.葱蒜类应不带老叶、枯叶，不带泥土，无腐烂、异味。</w:t>
            </w:r>
          </w:p>
          <w:p w14:paraId="6749BB58">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9.豆类应形态完整，成熟度适中，无腐烂、畸形、异味，豆英类新鲜、嫩、均匀，豆粒饱满，无发芽，不带泥。</w:t>
            </w:r>
          </w:p>
          <w:p w14:paraId="32CDC106">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10.食用菌类应新鲜，无杂质，无腐烂、畸形、异味。</w:t>
            </w:r>
          </w:p>
          <w:p w14:paraId="090A8792">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11.包装标准：包装材料应符合食品包装材料卫生标准。</w:t>
            </w:r>
          </w:p>
          <w:p w14:paraId="2EB37432">
            <w:pPr>
              <w:widowControl/>
              <w:numPr>
                <w:ilvl w:val="0"/>
                <w:numId w:val="0"/>
              </w:numPr>
              <w:spacing w:line="400" w:lineRule="exact"/>
              <w:ind w:left="0" w:leftChars="0"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12.运输：运输工具应符合卫生要求，运输时不得与有毒、有害、有腐蚀性货物混装， 运输中防挤压，应注意轻装、轻卸、防雨、防晒。</w:t>
            </w:r>
          </w:p>
        </w:tc>
      </w:tr>
    </w:tbl>
    <w:p w14:paraId="48E4FD1A">
      <w:pPr>
        <w:pStyle w:val="61"/>
        <w:keepNext w:val="0"/>
        <w:keepLines w:val="0"/>
        <w:pageBreakBefore w:val="0"/>
        <w:widowControl w:val="0"/>
        <w:numPr>
          <w:ilvl w:val="0"/>
          <w:numId w:val="5"/>
        </w:numPr>
        <w:kinsoku/>
        <w:wordWrap/>
        <w:overflowPunct/>
        <w:topLinePunct w:val="0"/>
        <w:autoSpaceDE/>
        <w:autoSpaceDN/>
        <w:bidi w:val="0"/>
        <w:adjustRightInd/>
        <w:spacing w:line="500" w:lineRule="exact"/>
        <w:ind w:left="0" w:leftChars="0" w:firstLine="482" w:firstLineChars="200"/>
        <w:textAlignment w:val="auto"/>
        <w:rPr>
          <w:rFonts w:hint="eastAsia"/>
          <w:b/>
          <w:bCs/>
          <w:color w:val="auto"/>
          <w:highlight w:val="none"/>
          <w:lang w:val="en-US" w:eastAsia="zh-CN"/>
        </w:rPr>
      </w:pPr>
      <w:r>
        <w:rPr>
          <w:rFonts w:hint="eastAsia"/>
          <w:b/>
          <w:bCs/>
          <w:color w:val="auto"/>
          <w:highlight w:val="none"/>
          <w:lang w:val="en-US" w:eastAsia="zh-CN"/>
        </w:rPr>
        <w:t>其他要求</w:t>
      </w:r>
    </w:p>
    <w:p w14:paraId="59EA87C0">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成交人确定后，须严格遵守采购人相关规定及接受采购人关于大宗食材供应相关要求：</w:t>
      </w:r>
    </w:p>
    <w:p w14:paraId="38E848DB">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1、供应过程中，供应商须做到：</w:t>
      </w:r>
    </w:p>
    <w:p w14:paraId="15EFC42E">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①供应的食材质量达到国家卫生食品卫生标准；且不得供应假冒伪劣产品；不得供应转基因产品； </w:t>
      </w:r>
    </w:p>
    <w:p w14:paraId="2FC59358">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②无特殊原因，严格按照采购人下达的订单（包括种类、数量）送货； </w:t>
      </w:r>
    </w:p>
    <w:p w14:paraId="22905055">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③如因缺货、天气原因等，无法按照采购人提出的种类、数量等需求将货物送达，须提前告知采购人，确保采购人有足够时间变更货物需求； </w:t>
      </w:r>
    </w:p>
    <w:p w14:paraId="71EE7F78">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④到货后，供应商须积极配合采购人对货物进行清点，包括数量、质量、与订单列明的种类是否相符等，如采购人发现数量、质量与需求不符、货物与订单列明的种类不符等问题，须快速解决，确保不影响炊事工作；</w:t>
      </w:r>
    </w:p>
    <w:p w14:paraId="3D35744E">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⑤供应商应尽量满足采购人提出的临时性货物补充需求。 </w:t>
      </w:r>
    </w:p>
    <w:p w14:paraId="037731C7">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2、每次送货时，供应商须提供供货清单，且供货清单与实际供应货物的数量、质量一致。</w:t>
      </w:r>
    </w:p>
    <w:p w14:paraId="7028FD86">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3、如在供应过程中，出现价格虚高、服务态度恶劣、送货质量低劣等问题，供应商须积极配合监管部门调查，并接受监管部门如下处罚： </w:t>
      </w:r>
    </w:p>
    <w:p w14:paraId="4079B2C9">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①供应商应严格按照不高于市场平均价格乘以</w:t>
      </w:r>
      <w:r>
        <w:rPr>
          <w:rFonts w:hint="eastAsia" w:ascii="宋体" w:hAnsi="宋体" w:cs="宋体"/>
          <w:kern w:val="2"/>
          <w:sz w:val="24"/>
          <w:szCs w:val="24"/>
          <w:highlight w:val="none"/>
          <w:lang w:val="en-US" w:eastAsia="zh-CN" w:bidi="ar-SA"/>
        </w:rPr>
        <w:t>成交折扣</w:t>
      </w:r>
      <w:r>
        <w:rPr>
          <w:rFonts w:hint="eastAsia" w:ascii="宋体" w:hAnsi="宋体" w:eastAsia="宋体" w:cs="宋体"/>
          <w:kern w:val="2"/>
          <w:sz w:val="24"/>
          <w:szCs w:val="24"/>
          <w:highlight w:val="none"/>
          <w:lang w:val="en-US" w:eastAsia="zh-CN" w:bidi="ar-SA"/>
        </w:rPr>
        <w:t xml:space="preserve">进行供应，如发现供应商未履行价格条款，按合同价格违约条款进行处理； </w:t>
      </w:r>
    </w:p>
    <w:p w14:paraId="65FB4F17">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②采购人接到反映供应商存在服务态度恶劣问题，如无故拖延送货时间、言语恶劣等，并经核实确认，按照合同服务违约条款进行处理； </w:t>
      </w:r>
    </w:p>
    <w:p w14:paraId="0FA546D6">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③供应商供应货物期间，所供货物出现卫生质量问题，采购人有权立即解除合同，因食品安全问题造成的人员生命健康安全等一切后果，供应商须承担全部责任，并按照合同质量违约条款进行处理。</w:t>
      </w:r>
    </w:p>
    <w:p w14:paraId="719C7249">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四、服务要求</w:t>
      </w:r>
    </w:p>
    <w:p w14:paraId="7EC871A3">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1、供应商须有固定的配送服务场所，有足够的人员和车辆满足配送服务。每日按采购人需要的品种及数量，接到配送通知后按指定时间送达指定地点。</w:t>
      </w:r>
    </w:p>
    <w:p w14:paraId="0177536B">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采购人(采购人指定联系人)于至少提前一天以适当方式向供应商确定订单，供应商需保证在规定时间前将货物送达到指定地点，待采购人验收、核对后，供货才算完成。售后应在接到采购人反映的质量问题通知后1小时内做出响应，3小时内解决问题。</w:t>
      </w:r>
    </w:p>
    <w:p w14:paraId="3BE08389">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供应商所供货品等级、质量须符合国家质检部门及卫生部门的相关规定，若发现供应商所供货品不符合卫生规定的，采购人有权拒收。若所供货品由于质量问题导致发生食物中毒的，采购人有权向供应商追究法律责任，并赔偿采购人的一切损失。</w:t>
      </w:r>
    </w:p>
    <w:p w14:paraId="78EF2D24">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对于配送的货品，在供应商未按照合同规定的地点交货、验收之前，如发生不可抗力因素导致货品毁坏或灭失，由供应商承担责任。每次送货，供应商须委派一名专门负责人，负责货物的运输、过秤，并协助采购人验收货品，货品的品种和重量以采购人验收的结果为准。</w:t>
      </w:r>
    </w:p>
    <w:p w14:paraId="0D81DF77">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五、管理要求</w:t>
      </w:r>
    </w:p>
    <w:p w14:paraId="632EE337">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1、在合同执行期间，供应商须接受采购人有关部门的监督考核。</w:t>
      </w:r>
    </w:p>
    <w:p w14:paraId="0807FD57">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违规处理：供应商不按所承诺的价格、服务履行合同的，在服务期间无正当理由拒绝提供服务的，在服务期间出现二次不按所承诺的价格、服务、质量履行合同的，以上行为一经核实，采购人有权单方解除合同。</w:t>
      </w:r>
    </w:p>
    <w:p w14:paraId="041CE9DF">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3、供应商需确保投标资料的真实性，采购人将对供应商的实际情况实地考察核实，提供虚假材料者，将被取消中标资格，三年内不得参加采购人的招标采购活动。</w:t>
      </w:r>
    </w:p>
    <w:p w14:paraId="7F3E5F65">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六、违约责任</w:t>
      </w:r>
    </w:p>
    <w:p w14:paraId="4FB23657">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1、供应商存在以下情形的采购人有权解除合同：</w:t>
      </w:r>
    </w:p>
    <w:p w14:paraId="7D703B9F">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（1）供应商多次(2次以上)不能按照合同约定时间按时交货的；</w:t>
      </w:r>
    </w:p>
    <w:p w14:paraId="0A376B51">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（2）供应商未按合同约定，提供的货物在质量、数量、规格等方面不符合采购人条件的；</w:t>
      </w:r>
    </w:p>
    <w:p w14:paraId="2C404443">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（3）采购人将不定时对市场价格进行考察，供应商配送的货物单价高于合同约定的优惠价格，每累计达两次的；</w:t>
      </w:r>
    </w:p>
    <w:p w14:paraId="31B39ACE">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（4）采购人多次发现供应商在运输过程中刻意损耗的；</w:t>
      </w:r>
    </w:p>
    <w:p w14:paraId="7E95D647">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2、供应商在供货期间，如发生下列行为之一的，解除合同，情节严重的追究供应商法律责任并承担相应损失：</w:t>
      </w:r>
    </w:p>
    <w:p w14:paraId="2698006E">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（1）因配送的食品质量问题引发食品安全事故的；</w:t>
      </w:r>
    </w:p>
    <w:p w14:paraId="4CD40514">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（2）供应商配送人员在开展本项目工作中发生违纪、违法行为的；</w:t>
      </w:r>
    </w:p>
    <w:p w14:paraId="3AE1C95B">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（3）有违法违规行为，被有关部门查实的；</w:t>
      </w:r>
    </w:p>
    <w:p w14:paraId="3A0478A0">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（4）所供食品原材料腐败变质、油脂酸败、霉变、生虫、污秽不洁、混有异物或者其他感官性状异常，对人体健康有害的；</w:t>
      </w:r>
    </w:p>
    <w:p w14:paraId="4F6967C2">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（5）所供食品原材料含有毒、有害物质或者被有害物质污染，对人体健康有害的；</w:t>
      </w:r>
    </w:p>
    <w:p w14:paraId="784D9EF2">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（6）所供食品原材料掺假、掺杂、伪造，影响营养、卫生的；</w:t>
      </w:r>
    </w:p>
    <w:p w14:paraId="444E68EA">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（7）所供食品原材料用非食品原材料加工的，加入非食品用化学物质或者将非食品原材料当作食品原材料的；</w:t>
      </w:r>
    </w:p>
    <w:p w14:paraId="4B0F24C1">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（8）所供食品原材料超过保质期限的；</w:t>
      </w:r>
    </w:p>
    <w:p w14:paraId="67DE9862">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（9）所供食品原材料不符合食品安全标准的；</w:t>
      </w:r>
    </w:p>
    <w:p w14:paraId="386DEC77">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（10）违反《中华人民共和国食品安全法》等禁止性其他行为的；</w:t>
      </w:r>
    </w:p>
    <w:p w14:paraId="54AE431E">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（11）配送转基因食材进单位的；</w:t>
      </w:r>
    </w:p>
    <w:p w14:paraId="4D634E6A">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（12）被媒体曝光，造成不良影响的；</w:t>
      </w:r>
    </w:p>
    <w:p w14:paraId="28A84EB7">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（13）相关证照被行政主管部门吊销的；</w:t>
      </w:r>
    </w:p>
    <w:p w14:paraId="61D29541">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（14）违反合同相关条款规定，合同相关条款规定要求退出的；</w:t>
      </w:r>
    </w:p>
    <w:p w14:paraId="73E76991">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（15）存在转包发包行为的；</w:t>
      </w:r>
    </w:p>
    <w:p w14:paraId="10699A60">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（16）有拖欠货款行为且被货主向采购人投诉或起诉的。</w:t>
      </w:r>
    </w:p>
    <w:p w14:paraId="0CD452A0">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以上行为经查属实的，在采购人未书面通知解除合同之前，配送公司仍须按要求按质按量给予</w:t>
      </w:r>
      <w:r>
        <w:rPr>
          <w:rFonts w:hint="eastAsia" w:ascii="宋体" w:hAnsi="宋体" w:cs="宋体"/>
          <w:kern w:val="2"/>
          <w:sz w:val="24"/>
          <w:szCs w:val="24"/>
          <w:highlight w:val="none"/>
          <w:lang w:val="en-US" w:eastAsia="zh-CN" w:bidi="ar-SA"/>
        </w:rPr>
        <w:t>采购人</w:t>
      </w:r>
      <w:r>
        <w:rPr>
          <w:rFonts w:hint="eastAsia" w:ascii="宋体" w:hAnsi="宋体" w:eastAsia="宋体" w:cs="宋体"/>
          <w:kern w:val="2"/>
          <w:sz w:val="24"/>
          <w:szCs w:val="24"/>
          <w:highlight w:val="none"/>
          <w:lang w:val="en-US" w:eastAsia="zh-CN" w:bidi="ar-SA"/>
        </w:rPr>
        <w:t>配送食品原材料，保证食堂的正常运转。</w:t>
      </w:r>
    </w:p>
    <w:p w14:paraId="51414EF6">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3、因不可抗力因素造成无法继续履行合同的，采购人有权直接中止合同。</w:t>
      </w:r>
    </w:p>
    <w:p w14:paraId="11F52CB3">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七、退出程序</w:t>
      </w:r>
    </w:p>
    <w:p w14:paraId="4338E1E9">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1、供应商因自身原因无法履行配送的，需提前一个月向各相关单位提出申请。</w:t>
      </w:r>
    </w:p>
    <w:p w14:paraId="465D8F39">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2、供应商违约或不遵守有关配送规定被取消配送资格的。</w:t>
      </w:r>
    </w:p>
    <w:p w14:paraId="2C136B1C">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p>
    <w:p w14:paraId="730BDE86">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p>
    <w:p w14:paraId="331F718C">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p>
    <w:p w14:paraId="3F320B14">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p>
    <w:p w14:paraId="737B28D7">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p>
    <w:p w14:paraId="0B49AD16">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p>
    <w:p w14:paraId="1E519597">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p>
    <w:p w14:paraId="2A1322A8">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p>
    <w:p w14:paraId="01231206">
      <w:pPr>
        <w:pStyle w:val="17"/>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jc w:val="both"/>
        <w:textAlignment w:val="auto"/>
        <w:rPr>
          <w:rFonts w:hint="eastAsia" w:ascii="宋体" w:hAnsi="宋体" w:eastAsia="宋体" w:cs="宋体"/>
          <w:kern w:val="2"/>
          <w:sz w:val="24"/>
          <w:szCs w:val="24"/>
          <w:highlight w:val="none"/>
          <w:lang w:val="en-US" w:eastAsia="zh-CN" w:bidi="ar-SA"/>
        </w:rPr>
      </w:pPr>
    </w:p>
    <w:p w14:paraId="4B7D6905">
      <w:pPr>
        <w:pStyle w:val="2"/>
        <w:spacing w:line="500" w:lineRule="exact"/>
        <w:rPr>
          <w:highlight w:val="none"/>
        </w:rPr>
      </w:pPr>
      <w:r>
        <w:rPr>
          <w:rFonts w:hint="eastAsia"/>
          <w:highlight w:val="none"/>
        </w:rPr>
        <w:t>第四章 评审办法（综合评分法）</w:t>
      </w:r>
      <w:bookmarkEnd w:id="151"/>
    </w:p>
    <w:p w14:paraId="7264DD57">
      <w:pPr>
        <w:pStyle w:val="58"/>
        <w:spacing w:line="480" w:lineRule="auto"/>
        <w:rPr>
          <w:rFonts w:ascii="宋体" w:hAnsi="宋体" w:eastAsia="宋体" w:cs="宋体"/>
          <w:sz w:val="24"/>
          <w:szCs w:val="24"/>
          <w:highlight w:val="none"/>
        </w:rPr>
      </w:pPr>
      <w:bookmarkStart w:id="152" w:name="_Toc359865667"/>
      <w:bookmarkStart w:id="153" w:name="_Toc27528"/>
      <w:bookmarkStart w:id="154" w:name="_Toc21260"/>
      <w:bookmarkStart w:id="155" w:name="_Toc9448"/>
      <w:bookmarkStart w:id="156" w:name="_Toc485222552"/>
      <w:bookmarkStart w:id="157" w:name="_Toc24517"/>
      <w:bookmarkStart w:id="158" w:name="_Toc6132"/>
      <w:r>
        <w:rPr>
          <w:rFonts w:hint="eastAsia" w:ascii="宋体" w:hAnsi="宋体" w:eastAsia="宋体" w:cs="宋体"/>
          <w:sz w:val="24"/>
          <w:szCs w:val="24"/>
          <w:highlight w:val="none"/>
        </w:rPr>
        <w:t>一、</w:t>
      </w:r>
      <w:bookmarkEnd w:id="152"/>
      <w:r>
        <w:rPr>
          <w:rFonts w:hint="eastAsia" w:ascii="宋体" w:hAnsi="宋体" w:eastAsia="宋体" w:cs="宋体"/>
          <w:sz w:val="24"/>
          <w:szCs w:val="24"/>
          <w:highlight w:val="none"/>
        </w:rPr>
        <w:t>磋商小组</w:t>
      </w:r>
      <w:bookmarkEnd w:id="153"/>
      <w:bookmarkEnd w:id="154"/>
      <w:bookmarkEnd w:id="155"/>
      <w:bookmarkEnd w:id="156"/>
    </w:p>
    <w:p w14:paraId="2815251E">
      <w:pPr>
        <w:spacing w:line="480" w:lineRule="auto"/>
        <w:ind w:firstLine="480" w:firstLineChars="200"/>
        <w:rPr>
          <w:rFonts w:ascii="宋体" w:hAnsi="宋体" w:cs="宋体"/>
          <w:sz w:val="24"/>
          <w:highlight w:val="none"/>
        </w:rPr>
      </w:pPr>
      <w:r>
        <w:rPr>
          <w:rFonts w:hint="eastAsia" w:ascii="宋体" w:hAnsi="宋体" w:cs="宋体"/>
          <w:sz w:val="24"/>
          <w:highlight w:val="none"/>
        </w:rPr>
        <w:t>采购人将根据本项目的特点依法组建磋商小组，其成员由有关方面的专家以及采购人评审代表三人组成，其中技术、经济方面的专家不得少于磋商小组成员总数的三分之二，磋商小组负责审阅响应文件，与各供应商进行商务、技术磋商，确定成交候选人。</w:t>
      </w:r>
    </w:p>
    <w:p w14:paraId="1073249A">
      <w:pPr>
        <w:pStyle w:val="58"/>
        <w:spacing w:line="480" w:lineRule="auto"/>
        <w:rPr>
          <w:rFonts w:ascii="宋体" w:hAnsi="宋体" w:eastAsia="宋体" w:cs="宋体"/>
          <w:sz w:val="24"/>
          <w:szCs w:val="24"/>
          <w:highlight w:val="none"/>
        </w:rPr>
      </w:pPr>
      <w:bookmarkStart w:id="159" w:name="_Toc22876"/>
      <w:bookmarkStart w:id="160" w:name="_Toc16201"/>
      <w:bookmarkStart w:id="161" w:name="_Toc359865668"/>
      <w:bookmarkStart w:id="162" w:name="_Toc8264"/>
      <w:bookmarkStart w:id="163" w:name="_Toc485222553"/>
      <w:r>
        <w:rPr>
          <w:rFonts w:hint="eastAsia" w:ascii="宋体" w:hAnsi="宋体" w:eastAsia="宋体" w:cs="宋体"/>
          <w:sz w:val="24"/>
          <w:szCs w:val="24"/>
          <w:highlight w:val="none"/>
        </w:rPr>
        <w:t>二、磋商原则和评审办法</w:t>
      </w:r>
      <w:bookmarkEnd w:id="159"/>
      <w:bookmarkEnd w:id="160"/>
      <w:bookmarkEnd w:id="161"/>
      <w:bookmarkEnd w:id="162"/>
      <w:bookmarkEnd w:id="163"/>
    </w:p>
    <w:p w14:paraId="39DE2B85">
      <w:pPr>
        <w:pStyle w:val="58"/>
        <w:spacing w:line="480" w:lineRule="auto"/>
        <w:rPr>
          <w:rFonts w:ascii="宋体" w:hAnsi="宋体" w:eastAsia="宋体" w:cs="宋体"/>
          <w:sz w:val="24"/>
          <w:szCs w:val="24"/>
          <w:highlight w:val="none"/>
        </w:rPr>
      </w:pPr>
      <w:r>
        <w:rPr>
          <w:rFonts w:hint="eastAsia" w:ascii="宋体" w:hAnsi="宋体" w:eastAsia="宋体" w:cs="宋体"/>
          <w:sz w:val="24"/>
          <w:szCs w:val="24"/>
          <w:highlight w:val="none"/>
        </w:rPr>
        <w:t>（一）磋商原则</w:t>
      </w:r>
    </w:p>
    <w:p w14:paraId="7679821F">
      <w:pPr>
        <w:spacing w:line="480" w:lineRule="auto"/>
        <w:ind w:firstLine="480" w:firstLineChars="200"/>
        <w:rPr>
          <w:rFonts w:ascii="宋体" w:hAnsi="宋体" w:cs="宋体"/>
          <w:sz w:val="24"/>
          <w:highlight w:val="none"/>
        </w:rPr>
      </w:pPr>
      <w:r>
        <w:rPr>
          <w:rFonts w:hint="eastAsia" w:ascii="宋体" w:hAnsi="宋体" w:cs="宋体"/>
          <w:sz w:val="24"/>
          <w:highlight w:val="none"/>
        </w:rPr>
        <w:t>“公平、公正、择优、效益”为本次竞争性磋商的基本原则，磋商小组按照这一原则的要求，公正、平等地对待各供应商。同时，在磋商过程中恪守以下原则：</w:t>
      </w:r>
    </w:p>
    <w:p w14:paraId="09E691CE">
      <w:pPr>
        <w:spacing w:line="480" w:lineRule="auto"/>
        <w:ind w:firstLine="480" w:firstLineChars="200"/>
        <w:rPr>
          <w:rFonts w:ascii="宋体" w:hAnsi="宋体" w:cs="宋体"/>
          <w:sz w:val="24"/>
          <w:highlight w:val="none"/>
        </w:rPr>
      </w:pPr>
      <w:r>
        <w:rPr>
          <w:rFonts w:hint="eastAsia" w:ascii="宋体" w:hAnsi="宋体" w:cs="宋体"/>
          <w:sz w:val="24"/>
          <w:highlight w:val="none"/>
        </w:rPr>
        <w:t>1、统一性原则：磋商小组将按照统一的磋商原则和磋商方法，用同一标准进行评审。</w:t>
      </w:r>
    </w:p>
    <w:p w14:paraId="50B52C73">
      <w:pPr>
        <w:spacing w:line="480" w:lineRule="auto"/>
        <w:ind w:firstLine="480" w:firstLineChars="200"/>
        <w:rPr>
          <w:rFonts w:ascii="宋体" w:hAnsi="宋体" w:cs="宋体"/>
          <w:sz w:val="24"/>
          <w:highlight w:val="none"/>
        </w:rPr>
      </w:pPr>
      <w:r>
        <w:rPr>
          <w:rFonts w:hint="eastAsia" w:ascii="宋体" w:hAnsi="宋体" w:cs="宋体"/>
          <w:sz w:val="24"/>
          <w:highlight w:val="none"/>
        </w:rPr>
        <w:t>2、独立性原则：磋商工作在磋商小组内部独立进行，不受外界任何因素的干扰和影响；磋商小组成员对出具的磋商意见承担个人责任。</w:t>
      </w:r>
    </w:p>
    <w:p w14:paraId="308319D1">
      <w:pPr>
        <w:spacing w:line="480" w:lineRule="auto"/>
        <w:ind w:firstLine="480" w:firstLineChars="200"/>
        <w:rPr>
          <w:rFonts w:ascii="宋体" w:hAnsi="宋体" w:cs="宋体"/>
          <w:sz w:val="24"/>
          <w:highlight w:val="none"/>
        </w:rPr>
      </w:pPr>
      <w:r>
        <w:rPr>
          <w:rFonts w:hint="eastAsia" w:ascii="宋体" w:hAnsi="宋体" w:cs="宋体"/>
          <w:sz w:val="24"/>
          <w:highlight w:val="none"/>
        </w:rPr>
        <w:t>3、物有所值原则：通过第一轮的公开报价，激发供应商展开竞争，进一步优化方案，并使报价符合预期目标。</w:t>
      </w:r>
    </w:p>
    <w:p w14:paraId="1C138257">
      <w:pPr>
        <w:spacing w:line="480" w:lineRule="auto"/>
        <w:ind w:firstLine="480" w:firstLineChars="200"/>
        <w:rPr>
          <w:rFonts w:ascii="宋体" w:hAnsi="宋体" w:cs="宋体"/>
          <w:sz w:val="24"/>
          <w:highlight w:val="none"/>
        </w:rPr>
      </w:pPr>
      <w:r>
        <w:rPr>
          <w:rFonts w:hint="eastAsia" w:ascii="宋体" w:hAnsi="宋体" w:cs="宋体"/>
          <w:sz w:val="24"/>
          <w:highlight w:val="none"/>
        </w:rPr>
        <w:t>4、保密性原则：代理机构应当采取必要的措施，保证磋商在严格保密的情况下进行。</w:t>
      </w:r>
    </w:p>
    <w:p w14:paraId="087C9D00">
      <w:pPr>
        <w:spacing w:line="480" w:lineRule="auto"/>
        <w:ind w:firstLine="480" w:firstLineChars="200"/>
        <w:rPr>
          <w:rFonts w:ascii="宋体" w:hAnsi="宋体" w:cs="宋体"/>
          <w:sz w:val="24"/>
          <w:highlight w:val="none"/>
        </w:rPr>
      </w:pPr>
      <w:r>
        <w:rPr>
          <w:rFonts w:hint="eastAsia" w:ascii="宋体" w:hAnsi="宋体" w:cs="宋体"/>
          <w:sz w:val="24"/>
          <w:highlight w:val="none"/>
        </w:rPr>
        <w:t>5、综合性原则：磋商小组将综合分析、评审供应商的各项指标，而不以单项指标的优劣评定出成交供应商。</w:t>
      </w:r>
    </w:p>
    <w:p w14:paraId="6802965E">
      <w:pPr>
        <w:spacing w:line="480" w:lineRule="auto"/>
        <w:ind w:firstLine="482" w:firstLineChars="200"/>
        <w:rPr>
          <w:rFonts w:ascii="宋体" w:hAnsi="宋体" w:cs="宋体"/>
          <w:b/>
          <w:bCs/>
          <w:sz w:val="24"/>
          <w:szCs w:val="22"/>
          <w:highlight w:val="none"/>
        </w:rPr>
      </w:pPr>
      <w:r>
        <w:rPr>
          <w:rFonts w:hint="eastAsia" w:ascii="宋体" w:hAnsi="宋体" w:cs="宋体"/>
          <w:b/>
          <w:bCs/>
          <w:sz w:val="24"/>
          <w:szCs w:val="22"/>
          <w:highlight w:val="none"/>
        </w:rPr>
        <w:t>（二）评审方法</w:t>
      </w:r>
    </w:p>
    <w:p w14:paraId="74234073">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本次评审采用综合评分法。磋商小组对满足磋商文件实质性要求的响应文件，按照本章第2.2款规定的评分标准进行打分，并按得分由高到低顺序推荐</w:t>
      </w:r>
      <w:r>
        <w:rPr>
          <w:rFonts w:hint="eastAsia" w:ascii="宋体" w:hAnsi="宋体" w:cs="宋体"/>
          <w:sz w:val="24"/>
          <w:szCs w:val="22"/>
          <w:highlight w:val="none"/>
          <w:lang w:val="en-US" w:eastAsia="zh-CN"/>
        </w:rPr>
        <w:t>成交</w:t>
      </w:r>
      <w:r>
        <w:rPr>
          <w:rFonts w:hint="eastAsia" w:ascii="宋体" w:hAnsi="宋体" w:cs="宋体"/>
          <w:sz w:val="24"/>
          <w:szCs w:val="22"/>
          <w:highlight w:val="none"/>
        </w:rPr>
        <w:t>候选人，但磋商报价低于其成本的除外。综合评分相等时，以磋商报价低的优先；磋商报价也相等的，由采购人或其授权的磋商小组自行确定。</w:t>
      </w:r>
      <w:bookmarkStart w:id="164" w:name="_Toc246996987"/>
      <w:bookmarkStart w:id="165" w:name="_Toc296602489"/>
      <w:bookmarkStart w:id="166" w:name="_Toc152042378"/>
      <w:bookmarkStart w:id="167" w:name="_Toc152045601"/>
      <w:bookmarkStart w:id="168" w:name="_Toc246996244"/>
      <w:bookmarkStart w:id="169" w:name="_Toc144974568"/>
      <w:bookmarkStart w:id="170" w:name="_Toc179632619"/>
      <w:bookmarkStart w:id="171" w:name="_Toc247085759"/>
    </w:p>
    <w:bookmarkEnd w:id="164"/>
    <w:bookmarkEnd w:id="165"/>
    <w:bookmarkEnd w:id="166"/>
    <w:bookmarkEnd w:id="167"/>
    <w:bookmarkEnd w:id="168"/>
    <w:bookmarkEnd w:id="169"/>
    <w:bookmarkEnd w:id="170"/>
    <w:bookmarkEnd w:id="171"/>
    <w:p w14:paraId="1107BB22">
      <w:pPr>
        <w:spacing w:line="480" w:lineRule="auto"/>
        <w:ind w:firstLine="480" w:firstLineChars="200"/>
        <w:rPr>
          <w:rFonts w:ascii="宋体" w:hAnsi="宋体" w:cs="宋体"/>
          <w:sz w:val="24"/>
          <w:szCs w:val="22"/>
          <w:highlight w:val="none"/>
        </w:rPr>
      </w:pPr>
      <w:bookmarkStart w:id="172" w:name="_Toc152045602"/>
      <w:bookmarkStart w:id="173" w:name="_Toc296602490"/>
      <w:bookmarkStart w:id="174" w:name="_Toc246996988"/>
      <w:bookmarkStart w:id="175" w:name="_Toc247085760"/>
      <w:bookmarkStart w:id="176" w:name="_Toc152042379"/>
      <w:bookmarkStart w:id="177" w:name="_Toc179632620"/>
      <w:bookmarkStart w:id="178" w:name="_Toc246996245"/>
      <w:bookmarkStart w:id="179" w:name="_Toc144974569"/>
      <w:r>
        <w:rPr>
          <w:rFonts w:hint="eastAsia" w:ascii="宋体" w:hAnsi="宋体" w:cs="宋体"/>
          <w:sz w:val="24"/>
          <w:szCs w:val="22"/>
          <w:highlight w:val="none"/>
        </w:rPr>
        <w:t>2.1 初步评审标准</w:t>
      </w:r>
      <w:bookmarkEnd w:id="172"/>
      <w:bookmarkEnd w:id="173"/>
      <w:bookmarkEnd w:id="174"/>
      <w:bookmarkEnd w:id="175"/>
      <w:bookmarkEnd w:id="176"/>
      <w:bookmarkEnd w:id="177"/>
      <w:bookmarkEnd w:id="178"/>
      <w:bookmarkEnd w:id="179"/>
    </w:p>
    <w:p w14:paraId="394211B6">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2.1.1 形式评审标准：见评审办法前附表。</w:t>
      </w:r>
    </w:p>
    <w:p w14:paraId="0F715D1C">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2.1.2 资格评审标准：见评审办法前附表。</w:t>
      </w:r>
    </w:p>
    <w:p w14:paraId="4010B0DE">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2.1.3 响应性评审标准：见评审办法前附表。</w:t>
      </w:r>
    </w:p>
    <w:p w14:paraId="4C5A25D8">
      <w:pPr>
        <w:spacing w:line="480" w:lineRule="auto"/>
        <w:ind w:firstLine="480" w:firstLineChars="200"/>
        <w:rPr>
          <w:rFonts w:ascii="宋体" w:hAnsi="宋体" w:cs="宋体"/>
          <w:sz w:val="24"/>
          <w:szCs w:val="22"/>
          <w:highlight w:val="none"/>
        </w:rPr>
      </w:pPr>
      <w:bookmarkStart w:id="180" w:name="_Toc246996246"/>
      <w:bookmarkStart w:id="181" w:name="_Toc179632621"/>
      <w:bookmarkStart w:id="182" w:name="_Toc247085761"/>
      <w:bookmarkStart w:id="183" w:name="_Toc296602491"/>
      <w:bookmarkStart w:id="184" w:name="_Toc246996989"/>
      <w:r>
        <w:rPr>
          <w:rFonts w:hint="eastAsia" w:ascii="宋体" w:hAnsi="宋体" w:cs="宋体"/>
          <w:sz w:val="24"/>
          <w:szCs w:val="22"/>
          <w:highlight w:val="none"/>
        </w:rPr>
        <w:t>2.2 分值构成与评分标准</w:t>
      </w:r>
      <w:bookmarkEnd w:id="180"/>
      <w:bookmarkEnd w:id="181"/>
      <w:bookmarkEnd w:id="182"/>
      <w:bookmarkEnd w:id="183"/>
      <w:bookmarkEnd w:id="184"/>
    </w:p>
    <w:p w14:paraId="1BE69D06">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2.2.1 分值构成</w:t>
      </w:r>
    </w:p>
    <w:p w14:paraId="7150DDA5">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（1）技术部分：见评审办法前附表；</w:t>
      </w:r>
    </w:p>
    <w:p w14:paraId="0347D6F7">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（2）磋商报价：见评审办法前附表；</w:t>
      </w:r>
    </w:p>
    <w:p w14:paraId="2E1A9B0F">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（3）综合部分：见评审办法前附表。</w:t>
      </w:r>
    </w:p>
    <w:p w14:paraId="3F24911A">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2.2.2 评分标准</w:t>
      </w:r>
    </w:p>
    <w:p w14:paraId="5BD1DBA6">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（1）技术部分评分标准：见评审办法前附表；</w:t>
      </w:r>
    </w:p>
    <w:p w14:paraId="28398BE0">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（2）磋商报价评分标准：见评审办法前附表；</w:t>
      </w:r>
    </w:p>
    <w:p w14:paraId="57624458">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（3）综合部分评分标准：见评审办法前附表。</w:t>
      </w:r>
      <w:bookmarkStart w:id="185" w:name="_Toc296602492"/>
      <w:bookmarkStart w:id="186" w:name="_Toc179632622"/>
      <w:bookmarkStart w:id="187" w:name="_Toc246996990"/>
      <w:bookmarkStart w:id="188" w:name="_Toc247085762"/>
      <w:bookmarkStart w:id="189" w:name="_Toc152045604"/>
      <w:bookmarkStart w:id="190" w:name="_Toc152042381"/>
      <w:bookmarkStart w:id="191" w:name="_Toc246996247"/>
      <w:bookmarkStart w:id="192" w:name="_Toc144974571"/>
    </w:p>
    <w:p w14:paraId="1E70E7DF">
      <w:pPr>
        <w:spacing w:line="480" w:lineRule="auto"/>
        <w:ind w:firstLine="482" w:firstLineChars="200"/>
        <w:rPr>
          <w:rFonts w:ascii="宋体" w:hAnsi="宋体" w:cs="宋体"/>
          <w:b/>
          <w:bCs/>
          <w:sz w:val="24"/>
          <w:szCs w:val="22"/>
          <w:highlight w:val="none"/>
        </w:rPr>
      </w:pPr>
      <w:r>
        <w:rPr>
          <w:rFonts w:hint="eastAsia" w:ascii="宋体" w:hAnsi="宋体" w:cs="宋体"/>
          <w:b/>
          <w:bCs/>
          <w:sz w:val="24"/>
          <w:szCs w:val="22"/>
          <w:highlight w:val="none"/>
        </w:rPr>
        <w:t>（三） 评审程序</w:t>
      </w:r>
      <w:bookmarkEnd w:id="185"/>
      <w:bookmarkEnd w:id="186"/>
      <w:bookmarkEnd w:id="187"/>
      <w:bookmarkEnd w:id="188"/>
      <w:bookmarkEnd w:id="189"/>
      <w:bookmarkEnd w:id="190"/>
      <w:bookmarkEnd w:id="191"/>
      <w:bookmarkEnd w:id="192"/>
    </w:p>
    <w:p w14:paraId="39F68801">
      <w:pPr>
        <w:spacing w:line="480" w:lineRule="auto"/>
        <w:ind w:firstLine="482" w:firstLineChars="200"/>
        <w:rPr>
          <w:rFonts w:ascii="宋体" w:hAnsi="宋体" w:cs="宋体"/>
          <w:b/>
          <w:bCs/>
          <w:sz w:val="24"/>
          <w:highlight w:val="none"/>
        </w:rPr>
      </w:pPr>
      <w:r>
        <w:rPr>
          <w:rFonts w:hint="eastAsia" w:ascii="宋体" w:hAnsi="宋体" w:cs="宋体"/>
          <w:b/>
          <w:bCs/>
          <w:sz w:val="24"/>
          <w:highlight w:val="none"/>
        </w:rPr>
        <w:t>3.1评审程序</w:t>
      </w:r>
    </w:p>
    <w:p w14:paraId="0C3B4FB5">
      <w:pPr>
        <w:spacing w:line="480" w:lineRule="auto"/>
        <w:ind w:firstLine="480" w:firstLineChars="200"/>
        <w:rPr>
          <w:rFonts w:ascii="宋体" w:hAnsi="宋体" w:cs="宋体"/>
          <w:sz w:val="24"/>
          <w:highlight w:val="none"/>
        </w:rPr>
      </w:pPr>
      <w:r>
        <w:rPr>
          <w:rFonts w:hint="eastAsia" w:ascii="宋体" w:hAnsi="宋体" w:cs="宋体"/>
          <w:sz w:val="24"/>
          <w:highlight w:val="none"/>
        </w:rPr>
        <w:t>1、初步评审</w:t>
      </w:r>
    </w:p>
    <w:p w14:paraId="2E4427D9">
      <w:pPr>
        <w:spacing w:line="480" w:lineRule="auto"/>
        <w:ind w:firstLine="480" w:firstLineChars="200"/>
        <w:rPr>
          <w:rFonts w:ascii="宋体" w:hAnsi="宋体"/>
          <w:sz w:val="24"/>
          <w:highlight w:val="none"/>
        </w:rPr>
      </w:pPr>
      <w:r>
        <w:rPr>
          <w:rFonts w:hint="eastAsia" w:ascii="宋体" w:hAnsi="宋体" w:cs="宋体"/>
          <w:sz w:val="24"/>
          <w:highlight w:val="none"/>
        </w:rPr>
        <w:t>磋商小组对供应商进行</w:t>
      </w:r>
      <w:r>
        <w:rPr>
          <w:rFonts w:hint="eastAsia" w:ascii="宋体" w:hAnsi="宋体"/>
          <w:sz w:val="24"/>
          <w:highlight w:val="none"/>
        </w:rPr>
        <w:t>形式评审、</w:t>
      </w:r>
      <w:r>
        <w:rPr>
          <w:rFonts w:hint="eastAsia" w:ascii="宋体" w:hAnsi="宋体" w:cs="宋体"/>
          <w:sz w:val="24"/>
          <w:highlight w:val="none"/>
        </w:rPr>
        <w:t>资格性检查、</w:t>
      </w:r>
      <w:r>
        <w:rPr>
          <w:rFonts w:hint="eastAsia" w:ascii="宋体" w:hAnsi="宋体"/>
          <w:sz w:val="24"/>
          <w:highlight w:val="none"/>
        </w:rPr>
        <w:t>响应性评审</w:t>
      </w:r>
      <w:r>
        <w:rPr>
          <w:rFonts w:hint="eastAsia" w:ascii="宋体" w:hAnsi="宋体" w:cs="宋体"/>
          <w:sz w:val="24"/>
          <w:highlight w:val="none"/>
        </w:rPr>
        <w:t>。</w:t>
      </w:r>
      <w:r>
        <w:rPr>
          <w:rFonts w:hint="eastAsia" w:ascii="宋体" w:hAnsi="宋体"/>
          <w:sz w:val="24"/>
          <w:highlight w:val="none"/>
        </w:rPr>
        <w:t>形式评审、</w:t>
      </w:r>
      <w:r>
        <w:rPr>
          <w:rFonts w:hint="eastAsia" w:ascii="宋体" w:hAnsi="宋体" w:cs="宋体"/>
          <w:sz w:val="24"/>
          <w:highlight w:val="none"/>
        </w:rPr>
        <w:t>资格性检查、</w:t>
      </w:r>
      <w:r>
        <w:rPr>
          <w:rFonts w:hint="eastAsia" w:ascii="宋体" w:hAnsi="宋体"/>
          <w:sz w:val="24"/>
          <w:highlight w:val="none"/>
        </w:rPr>
        <w:t>响应性评审</w:t>
      </w:r>
      <w:r>
        <w:rPr>
          <w:rFonts w:hint="eastAsia" w:ascii="宋体" w:hAnsi="宋体" w:cs="宋体"/>
          <w:sz w:val="24"/>
          <w:highlight w:val="none"/>
        </w:rPr>
        <w:t>检查指依据法律、法规和竞争性磋商文件的规定，</w:t>
      </w:r>
      <w:r>
        <w:rPr>
          <w:rFonts w:hint="eastAsia" w:ascii="宋体" w:hAnsi="宋体"/>
          <w:sz w:val="24"/>
          <w:highlight w:val="none"/>
        </w:rPr>
        <w:t>磋商小组依据本章第2.1.1项、第2.1.2项、第2.1.3项规定的评审标准对响应文件进行初步评审。有一项不符合评审标准的，其响应将被否决。</w:t>
      </w:r>
    </w:p>
    <w:p w14:paraId="6351C2C1">
      <w:pPr>
        <w:spacing w:line="480" w:lineRule="auto"/>
        <w:ind w:firstLine="480" w:firstLineChars="200"/>
        <w:rPr>
          <w:rFonts w:ascii="宋体" w:hAnsi="宋体" w:cs="宋体"/>
          <w:sz w:val="24"/>
          <w:highlight w:val="none"/>
        </w:rPr>
      </w:pPr>
      <w:r>
        <w:rPr>
          <w:rFonts w:hint="eastAsia" w:ascii="宋体" w:hAnsi="宋体" w:cs="宋体"/>
          <w:sz w:val="24"/>
          <w:highlight w:val="none"/>
        </w:rPr>
        <w:t>2、磋商：磋商小组将与通过初步评审的单一供应商分别进行磋商。在磋商中，磋商的任何一方不得透露与磋商有关的其他供应商的技术资料、价格和其他信息。竞争性磋商文件有实质性变动的，磋商小组将以书面形式通知所有参加磋商的供应商。</w:t>
      </w:r>
    </w:p>
    <w:p w14:paraId="6BF922D9">
      <w:pPr>
        <w:spacing w:line="480" w:lineRule="auto"/>
        <w:ind w:firstLine="360" w:firstLineChars="150"/>
        <w:rPr>
          <w:rFonts w:ascii="宋体" w:hAnsi="宋体" w:cs="宋体"/>
          <w:sz w:val="24"/>
          <w:highlight w:val="none"/>
        </w:rPr>
      </w:pPr>
      <w:r>
        <w:rPr>
          <w:rFonts w:hint="eastAsia" w:ascii="宋体" w:hAnsi="宋体" w:cs="宋体"/>
          <w:sz w:val="24"/>
          <w:highlight w:val="none"/>
        </w:rPr>
        <w:t>（1）供应商进行二次报价。供应商须严格按照要求进行报价，供应商所报价格高于最高限价或低于磋商小组认可的成本价，恶意竞标的，按无效响应处理。</w:t>
      </w:r>
    </w:p>
    <w:p w14:paraId="1BFF8B4D">
      <w:pPr>
        <w:spacing w:line="480" w:lineRule="auto"/>
        <w:ind w:firstLine="480" w:firstLineChars="200"/>
        <w:rPr>
          <w:rFonts w:hint="eastAsia" w:ascii="宋体" w:hAnsi="宋体" w:cs="宋体"/>
          <w:sz w:val="24"/>
          <w:highlight w:val="none"/>
        </w:rPr>
      </w:pPr>
      <w:r>
        <w:rPr>
          <w:rFonts w:hint="eastAsia" w:ascii="宋体" w:hAnsi="宋体" w:cs="宋体"/>
          <w:sz w:val="24"/>
          <w:highlight w:val="none"/>
        </w:rPr>
        <w:t>（2）最终报价后，重大偏离不允许被修正，但磋商小组将允许修正报价中不构成重大偏离的地方，这些修正不会对其他实质上响应竞争性磋商文件要求的供应商的竞争地位产生不公正的影响。</w:t>
      </w:r>
    </w:p>
    <w:p w14:paraId="67D98A3A">
      <w:pPr>
        <w:spacing w:line="48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eastAsia="zh-CN"/>
        </w:rPr>
        <w:t>（</w:t>
      </w:r>
      <w:r>
        <w:rPr>
          <w:rFonts w:hint="eastAsia" w:ascii="宋体" w:hAnsi="宋体" w:cs="宋体"/>
          <w:sz w:val="24"/>
          <w:highlight w:val="none"/>
          <w:lang w:val="en-US" w:eastAsia="zh-CN"/>
        </w:rPr>
        <w:t>3</w:t>
      </w:r>
      <w:r>
        <w:rPr>
          <w:rFonts w:hint="eastAsia" w:ascii="宋体" w:hAnsi="宋体" w:cs="宋体"/>
          <w:sz w:val="24"/>
          <w:highlight w:val="none"/>
          <w:lang w:eastAsia="zh-CN"/>
        </w:rPr>
        <w:t>）</w:t>
      </w:r>
      <w:r>
        <w:rPr>
          <w:rFonts w:hint="eastAsia" w:ascii="宋体" w:hAnsi="宋体" w:cs="宋体"/>
          <w:sz w:val="24"/>
          <w:highlight w:val="none"/>
          <w:lang w:val="en-US" w:eastAsia="zh-CN"/>
        </w:rPr>
        <w:t>评审中出现下列情形之一的，评标委员会可以启动异常低价投标（响应）审查程序：</w:t>
      </w:r>
    </w:p>
    <w:p w14:paraId="33868F9A">
      <w:pPr>
        <w:spacing w:line="48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1.投标（响应）报价低于全部通过符合性审查供应商投标（响应）报价平均值 50%的，即投标（响应）报价＜全部通过符合性审查供应商投标（响应）报价平均值×50%；</w:t>
      </w:r>
    </w:p>
    <w:p w14:paraId="32DD183A">
      <w:pPr>
        <w:spacing w:line="48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2.投标（响应）报价低于通过符合性审查且报价次低供应商投标（响应）报价 50%的，即投标（响应）报价＜通过符合性审查且报价次低供应商投标（响应）报价×50%；</w:t>
      </w:r>
    </w:p>
    <w:p w14:paraId="2C6C4D6A">
      <w:pPr>
        <w:spacing w:line="48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3.投标（响应）报价低于采购项目最高限价45%的，即投标（响应）报价＜采购项目最高限价×45%；</w:t>
      </w:r>
    </w:p>
    <w:p w14:paraId="69FEB51C">
      <w:pPr>
        <w:spacing w:line="48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4.评审委员会基于专业判断，认为供应商报价过低，有可能影响产品质量或者不能诚信履约的其他情形。</w:t>
      </w:r>
    </w:p>
    <w:p w14:paraId="16660099">
      <w:pPr>
        <w:spacing w:line="48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70CEE9E">
      <w:pPr>
        <w:spacing w:line="48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4F367B4">
      <w:pPr>
        <w:spacing w:line="480" w:lineRule="auto"/>
        <w:ind w:firstLine="480" w:firstLineChars="200"/>
        <w:rPr>
          <w:rFonts w:ascii="宋体" w:hAnsi="宋体" w:cs="宋体"/>
          <w:sz w:val="24"/>
          <w:highlight w:val="none"/>
        </w:rPr>
      </w:pPr>
      <w:r>
        <w:rPr>
          <w:rFonts w:hint="eastAsia" w:ascii="宋体" w:hAnsi="宋体" w:cs="宋体"/>
          <w:sz w:val="24"/>
          <w:highlight w:val="none"/>
        </w:rPr>
        <w:t>3、综合评分</w:t>
      </w:r>
    </w:p>
    <w:p w14:paraId="74294CAA">
      <w:pPr>
        <w:spacing w:line="480" w:lineRule="auto"/>
        <w:ind w:firstLine="480" w:firstLineChars="200"/>
        <w:rPr>
          <w:rFonts w:ascii="宋体" w:hAnsi="宋体" w:cs="宋体"/>
          <w:sz w:val="24"/>
          <w:highlight w:val="none"/>
        </w:rPr>
      </w:pPr>
      <w:r>
        <w:rPr>
          <w:rFonts w:hint="eastAsia" w:ascii="宋体" w:hAnsi="宋体" w:cs="宋体"/>
          <w:sz w:val="24"/>
          <w:highlight w:val="none"/>
        </w:rPr>
        <w:t>最终报价结束后，磋商小组根据评分细则（评分标准）进行综合打分，以综合得分最高的供应商作为成交人或按综合得分由高到低的顺序推荐成交候选人。</w:t>
      </w:r>
    </w:p>
    <w:p w14:paraId="1791C483">
      <w:pPr>
        <w:spacing w:line="480" w:lineRule="auto"/>
        <w:ind w:firstLine="480" w:firstLineChars="200"/>
        <w:rPr>
          <w:rFonts w:ascii="宋体" w:hAnsi="宋体" w:cs="宋体"/>
          <w:sz w:val="24"/>
          <w:highlight w:val="none"/>
        </w:rPr>
      </w:pPr>
      <w:r>
        <w:rPr>
          <w:rFonts w:hint="eastAsia" w:ascii="宋体" w:hAnsi="宋体" w:cs="宋体"/>
          <w:sz w:val="24"/>
          <w:highlight w:val="none"/>
        </w:rPr>
        <w:t>4、评审过程保密</w:t>
      </w:r>
    </w:p>
    <w:p w14:paraId="0ADCDFB7">
      <w:pPr>
        <w:spacing w:line="480" w:lineRule="auto"/>
        <w:ind w:firstLine="480" w:firstLineChars="200"/>
        <w:rPr>
          <w:rFonts w:ascii="宋体" w:hAnsi="宋体" w:cs="宋体"/>
          <w:sz w:val="24"/>
          <w:highlight w:val="none"/>
        </w:rPr>
      </w:pPr>
      <w:r>
        <w:rPr>
          <w:rFonts w:hint="eastAsia" w:ascii="宋体" w:hAnsi="宋体" w:cs="宋体"/>
          <w:sz w:val="24"/>
          <w:highlight w:val="none"/>
        </w:rPr>
        <w:t>公开报价之后，直到签订合同止，凡是属于审查、澄清、评价和比较报价的有关资料以及成交意向等，均不向供应商或者其他与评审无关的人员透露。</w:t>
      </w:r>
    </w:p>
    <w:p w14:paraId="032D35EC">
      <w:pPr>
        <w:spacing w:line="480" w:lineRule="auto"/>
        <w:ind w:firstLine="480" w:firstLineChars="200"/>
        <w:rPr>
          <w:rFonts w:ascii="宋体" w:hAnsi="宋体" w:cs="宋体"/>
          <w:sz w:val="24"/>
          <w:highlight w:val="none"/>
        </w:rPr>
      </w:pPr>
      <w:r>
        <w:rPr>
          <w:rFonts w:hint="eastAsia" w:ascii="宋体" w:hAnsi="宋体" w:cs="宋体"/>
          <w:sz w:val="24"/>
          <w:highlight w:val="none"/>
        </w:rPr>
        <w:t>5、特殊情况下的磋商方法：如出现供应商达不到法定数量、最终报价全部超出项目预算、串通报价、全部不符合磋商文件要求以及供应商互相诋毁，导致磋商小组无法磋商时，磋商小组有权停止磋商，否决所有报价，采购人报请采购监督管理机构同意后可改用其它方式进行采购。</w:t>
      </w:r>
    </w:p>
    <w:p w14:paraId="47772D7F">
      <w:pPr>
        <w:spacing w:line="480" w:lineRule="auto"/>
        <w:ind w:firstLine="482" w:firstLineChars="200"/>
        <w:rPr>
          <w:rFonts w:ascii="宋体" w:hAnsi="宋体" w:cs="宋体"/>
          <w:b/>
          <w:bCs/>
          <w:sz w:val="24"/>
          <w:szCs w:val="22"/>
          <w:highlight w:val="none"/>
        </w:rPr>
      </w:pPr>
      <w:bookmarkStart w:id="193" w:name="_Toc144974575"/>
      <w:bookmarkStart w:id="194" w:name="_Toc296602495"/>
      <w:bookmarkStart w:id="195" w:name="_Toc152042385"/>
      <w:bookmarkStart w:id="196" w:name="_Toc152045607"/>
      <w:bookmarkStart w:id="197" w:name="_Toc246996250"/>
      <w:bookmarkStart w:id="198" w:name="_Toc246996993"/>
      <w:bookmarkStart w:id="199" w:name="_Toc179632625"/>
      <w:bookmarkStart w:id="200" w:name="_Toc247085765"/>
      <w:r>
        <w:rPr>
          <w:rFonts w:hint="eastAsia" w:ascii="宋体" w:hAnsi="宋体" w:cs="宋体"/>
          <w:b/>
          <w:bCs/>
          <w:sz w:val="24"/>
          <w:szCs w:val="22"/>
          <w:highlight w:val="none"/>
        </w:rPr>
        <w:t>3.2 响应文件的澄清</w:t>
      </w:r>
      <w:bookmarkEnd w:id="193"/>
      <w:r>
        <w:rPr>
          <w:rFonts w:hint="eastAsia" w:ascii="宋体" w:hAnsi="宋体" w:cs="宋体"/>
          <w:b/>
          <w:bCs/>
          <w:sz w:val="24"/>
          <w:szCs w:val="22"/>
          <w:highlight w:val="none"/>
        </w:rPr>
        <w:t>和补正</w:t>
      </w:r>
      <w:bookmarkEnd w:id="194"/>
      <w:bookmarkEnd w:id="195"/>
      <w:bookmarkEnd w:id="196"/>
      <w:bookmarkEnd w:id="197"/>
      <w:bookmarkEnd w:id="198"/>
      <w:bookmarkEnd w:id="199"/>
      <w:bookmarkEnd w:id="200"/>
    </w:p>
    <w:p w14:paraId="6CFE1B97">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3.2.1在评审过程中，磋商小组可以书面形式要求供应商对所提交响应文件中不明确的内容进行书面澄清或说明，或者对细微偏差进行补正。磋商小组不接受供应商主动提出的澄清、说明或补正。</w:t>
      </w:r>
    </w:p>
    <w:p w14:paraId="61F9E9BA">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3.2.2 澄清、说明和补正不得改变响应文件的实质性内容。供应商的书面澄清、说明和补正属于响应文件的组成部分。</w:t>
      </w:r>
    </w:p>
    <w:p w14:paraId="017C948D">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3.2.3 磋商小组对供应商提交的澄清、说明或补正有疑问的，可以要求供应商进一步澄清、说明或补正，直至满足要求。</w:t>
      </w:r>
    </w:p>
    <w:p w14:paraId="52FF6FF6">
      <w:pPr>
        <w:spacing w:line="480" w:lineRule="auto"/>
        <w:ind w:firstLine="482" w:firstLineChars="200"/>
        <w:rPr>
          <w:rFonts w:ascii="宋体" w:hAnsi="宋体" w:cs="宋体"/>
          <w:b/>
          <w:bCs/>
          <w:sz w:val="24"/>
          <w:szCs w:val="22"/>
          <w:highlight w:val="none"/>
        </w:rPr>
      </w:pPr>
      <w:bookmarkStart w:id="201" w:name="_Toc296602496"/>
      <w:bookmarkStart w:id="202" w:name="_Toc152045608"/>
      <w:bookmarkStart w:id="203" w:name="_Toc152042386"/>
      <w:bookmarkStart w:id="204" w:name="_Toc247085766"/>
      <w:bookmarkStart w:id="205" w:name="_Toc179632626"/>
      <w:bookmarkStart w:id="206" w:name="_Toc246996994"/>
      <w:bookmarkStart w:id="207" w:name="_Toc246996251"/>
      <w:bookmarkStart w:id="208" w:name="_Toc144974576"/>
      <w:r>
        <w:rPr>
          <w:rFonts w:hint="eastAsia" w:ascii="宋体" w:hAnsi="宋体" w:cs="宋体"/>
          <w:b/>
          <w:bCs/>
          <w:sz w:val="24"/>
          <w:szCs w:val="22"/>
          <w:highlight w:val="none"/>
        </w:rPr>
        <w:t>3.3评审结果</w:t>
      </w:r>
      <w:bookmarkEnd w:id="201"/>
      <w:bookmarkEnd w:id="202"/>
      <w:bookmarkEnd w:id="203"/>
      <w:bookmarkEnd w:id="204"/>
      <w:bookmarkEnd w:id="205"/>
      <w:bookmarkEnd w:id="206"/>
      <w:bookmarkEnd w:id="207"/>
      <w:bookmarkEnd w:id="208"/>
    </w:p>
    <w:p w14:paraId="74D6CCC9">
      <w:pPr>
        <w:spacing w:line="480" w:lineRule="auto"/>
        <w:ind w:firstLine="480" w:firstLineChars="200"/>
        <w:rPr>
          <w:rFonts w:ascii="宋体" w:hAnsi="宋体" w:cs="宋体"/>
          <w:sz w:val="24"/>
          <w:szCs w:val="22"/>
          <w:highlight w:val="none"/>
        </w:rPr>
      </w:pPr>
      <w:r>
        <w:rPr>
          <w:rFonts w:hint="eastAsia" w:ascii="宋体" w:hAnsi="宋体" w:cs="宋体"/>
          <w:sz w:val="24"/>
          <w:szCs w:val="22"/>
          <w:highlight w:val="none"/>
        </w:rPr>
        <w:t>3.3.1磋商小组按照得分由高到低的顺序推荐成交候选人。</w:t>
      </w:r>
    </w:p>
    <w:p w14:paraId="5BD8FEA3">
      <w:pPr>
        <w:spacing w:line="480" w:lineRule="auto"/>
        <w:ind w:firstLine="480" w:firstLineChars="200"/>
        <w:rPr>
          <w:rFonts w:ascii="宋体" w:hAnsi="宋体" w:cs="宋体"/>
          <w:sz w:val="24"/>
          <w:highlight w:val="none"/>
        </w:rPr>
      </w:pPr>
      <w:r>
        <w:rPr>
          <w:rFonts w:hint="eastAsia" w:ascii="宋体" w:hAnsi="宋体" w:cs="宋体"/>
          <w:sz w:val="24"/>
          <w:szCs w:val="22"/>
          <w:highlight w:val="none"/>
        </w:rPr>
        <w:t>3.3.2 磋商小组完成评审后，应当向采购人提交评审报告。</w:t>
      </w:r>
    </w:p>
    <w:p w14:paraId="6B00421D">
      <w:pPr>
        <w:pStyle w:val="3"/>
        <w:spacing w:line="500" w:lineRule="exact"/>
        <w:rPr>
          <w:highlight w:val="none"/>
        </w:rPr>
      </w:pPr>
    </w:p>
    <w:p w14:paraId="10CC4D41">
      <w:pPr>
        <w:rPr>
          <w:highlight w:val="none"/>
        </w:rPr>
      </w:pPr>
    </w:p>
    <w:p w14:paraId="25EB7E6B">
      <w:pPr>
        <w:pStyle w:val="24"/>
        <w:ind w:firstLine="210"/>
        <w:rPr>
          <w:highlight w:val="none"/>
        </w:rPr>
      </w:pPr>
    </w:p>
    <w:p w14:paraId="5B4C6C75">
      <w:pPr>
        <w:pStyle w:val="25"/>
        <w:ind w:firstLine="560"/>
        <w:rPr>
          <w:highlight w:val="none"/>
        </w:rPr>
      </w:pPr>
    </w:p>
    <w:p w14:paraId="2241D832">
      <w:pPr>
        <w:rPr>
          <w:highlight w:val="none"/>
        </w:rPr>
      </w:pPr>
    </w:p>
    <w:p w14:paraId="35ABF915">
      <w:pPr>
        <w:pStyle w:val="24"/>
        <w:ind w:firstLine="210"/>
        <w:rPr>
          <w:highlight w:val="none"/>
        </w:rPr>
      </w:pPr>
    </w:p>
    <w:p w14:paraId="144D37F3">
      <w:pPr>
        <w:pStyle w:val="25"/>
        <w:ind w:firstLine="560"/>
        <w:rPr>
          <w:highlight w:val="none"/>
        </w:rPr>
      </w:pPr>
    </w:p>
    <w:p w14:paraId="1EE21AB7">
      <w:pPr>
        <w:rPr>
          <w:highlight w:val="none"/>
        </w:rPr>
      </w:pPr>
    </w:p>
    <w:p w14:paraId="7D362374">
      <w:pPr>
        <w:pStyle w:val="24"/>
        <w:ind w:firstLine="210"/>
        <w:rPr>
          <w:highlight w:val="none"/>
        </w:rPr>
      </w:pPr>
    </w:p>
    <w:p w14:paraId="575D257A">
      <w:pPr>
        <w:pStyle w:val="25"/>
        <w:ind w:firstLine="560"/>
        <w:rPr>
          <w:highlight w:val="none"/>
        </w:rPr>
      </w:pPr>
    </w:p>
    <w:p w14:paraId="1D6B6F28">
      <w:pPr>
        <w:rPr>
          <w:highlight w:val="none"/>
        </w:rPr>
      </w:pPr>
    </w:p>
    <w:p w14:paraId="49147CE5">
      <w:pPr>
        <w:pStyle w:val="24"/>
        <w:ind w:firstLine="210"/>
        <w:rPr>
          <w:highlight w:val="none"/>
        </w:rPr>
      </w:pPr>
    </w:p>
    <w:p w14:paraId="6DEA6BEA">
      <w:pPr>
        <w:pStyle w:val="25"/>
        <w:ind w:firstLine="560"/>
        <w:rPr>
          <w:highlight w:val="none"/>
        </w:rPr>
      </w:pPr>
    </w:p>
    <w:p w14:paraId="514091A3">
      <w:pPr>
        <w:rPr>
          <w:highlight w:val="none"/>
        </w:rPr>
      </w:pPr>
    </w:p>
    <w:p w14:paraId="2834355D">
      <w:pPr>
        <w:pStyle w:val="24"/>
        <w:ind w:firstLine="210"/>
        <w:rPr>
          <w:highlight w:val="none"/>
        </w:rPr>
      </w:pPr>
    </w:p>
    <w:p w14:paraId="3F6358B7">
      <w:pPr>
        <w:pStyle w:val="25"/>
        <w:ind w:firstLine="560"/>
        <w:rPr>
          <w:highlight w:val="none"/>
        </w:rPr>
      </w:pPr>
    </w:p>
    <w:p w14:paraId="34B79A3E">
      <w:pPr>
        <w:rPr>
          <w:highlight w:val="none"/>
        </w:rPr>
      </w:pPr>
    </w:p>
    <w:p w14:paraId="3E8F56C7">
      <w:pPr>
        <w:pStyle w:val="24"/>
        <w:ind w:firstLine="210"/>
        <w:rPr>
          <w:highlight w:val="none"/>
        </w:rPr>
      </w:pPr>
    </w:p>
    <w:p w14:paraId="2799D3D1">
      <w:pPr>
        <w:pStyle w:val="25"/>
        <w:ind w:firstLine="560"/>
        <w:rPr>
          <w:highlight w:val="none"/>
        </w:rPr>
      </w:pPr>
    </w:p>
    <w:p w14:paraId="3ED9CD64">
      <w:pPr>
        <w:rPr>
          <w:highlight w:val="none"/>
        </w:rPr>
      </w:pPr>
    </w:p>
    <w:p w14:paraId="35D21E28">
      <w:pPr>
        <w:rPr>
          <w:highlight w:val="none"/>
        </w:rPr>
      </w:pPr>
    </w:p>
    <w:p w14:paraId="71677976">
      <w:pPr>
        <w:rPr>
          <w:highlight w:val="none"/>
        </w:rPr>
      </w:pPr>
    </w:p>
    <w:p w14:paraId="4E009B8D">
      <w:pPr>
        <w:rPr>
          <w:highlight w:val="none"/>
        </w:rPr>
      </w:pPr>
    </w:p>
    <w:p w14:paraId="70CDC041">
      <w:pPr>
        <w:pStyle w:val="24"/>
        <w:ind w:firstLine="210"/>
        <w:rPr>
          <w:highlight w:val="none"/>
        </w:rPr>
      </w:pPr>
    </w:p>
    <w:p w14:paraId="65137890">
      <w:pPr>
        <w:rPr>
          <w:highlight w:val="none"/>
        </w:rPr>
      </w:pPr>
    </w:p>
    <w:p w14:paraId="36867B09">
      <w:pPr>
        <w:rPr>
          <w:highlight w:val="none"/>
        </w:rPr>
      </w:pPr>
    </w:p>
    <w:p w14:paraId="3345CDC7">
      <w:pPr>
        <w:pStyle w:val="3"/>
        <w:spacing w:line="500" w:lineRule="exact"/>
        <w:rPr>
          <w:highlight w:val="none"/>
        </w:rPr>
      </w:pPr>
      <w:r>
        <w:rPr>
          <w:rFonts w:hint="eastAsia"/>
          <w:highlight w:val="none"/>
        </w:rPr>
        <w:t>评审办法前附表</w:t>
      </w:r>
      <w:bookmarkEnd w:id="157"/>
      <w:bookmarkEnd w:id="158"/>
    </w:p>
    <w:tbl>
      <w:tblPr>
        <w:tblStyle w:val="26"/>
        <w:tblW w:w="10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1265"/>
        <w:gridCol w:w="2923"/>
        <w:gridCol w:w="5151"/>
      </w:tblGrid>
      <w:tr w14:paraId="373A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44" w:type="dxa"/>
            <w:gridSpan w:val="2"/>
            <w:vAlign w:val="center"/>
          </w:tcPr>
          <w:p w14:paraId="07364410">
            <w:pPr>
              <w:spacing w:line="500" w:lineRule="exact"/>
              <w:jc w:val="center"/>
              <w:rPr>
                <w:rFonts w:ascii="宋体" w:hAnsi="宋体" w:cs="宋体"/>
                <w:sz w:val="22"/>
                <w:szCs w:val="22"/>
                <w:highlight w:val="none"/>
              </w:rPr>
            </w:pPr>
            <w:r>
              <w:rPr>
                <w:rFonts w:hint="eastAsia" w:ascii="宋体" w:hAnsi="宋体" w:cs="宋体"/>
                <w:sz w:val="22"/>
                <w:szCs w:val="22"/>
                <w:highlight w:val="none"/>
              </w:rPr>
              <w:t>条款号</w:t>
            </w:r>
          </w:p>
        </w:tc>
        <w:tc>
          <w:tcPr>
            <w:tcW w:w="2923" w:type="dxa"/>
            <w:vAlign w:val="center"/>
          </w:tcPr>
          <w:p w14:paraId="7EA2D476">
            <w:pPr>
              <w:spacing w:line="500" w:lineRule="exact"/>
              <w:jc w:val="center"/>
              <w:rPr>
                <w:rFonts w:ascii="宋体" w:hAnsi="宋体" w:cs="宋体"/>
                <w:sz w:val="22"/>
                <w:szCs w:val="22"/>
                <w:highlight w:val="none"/>
              </w:rPr>
            </w:pPr>
            <w:r>
              <w:rPr>
                <w:rFonts w:hint="eastAsia" w:ascii="宋体" w:hAnsi="宋体" w:cs="宋体"/>
                <w:sz w:val="22"/>
                <w:szCs w:val="22"/>
                <w:highlight w:val="none"/>
              </w:rPr>
              <w:t>评审因素</w:t>
            </w:r>
          </w:p>
        </w:tc>
        <w:tc>
          <w:tcPr>
            <w:tcW w:w="5151" w:type="dxa"/>
            <w:vAlign w:val="center"/>
          </w:tcPr>
          <w:p w14:paraId="15CE7C35">
            <w:pPr>
              <w:spacing w:line="500" w:lineRule="exact"/>
              <w:jc w:val="center"/>
              <w:rPr>
                <w:rFonts w:ascii="宋体" w:hAnsi="宋体" w:cs="宋体"/>
                <w:sz w:val="22"/>
                <w:szCs w:val="22"/>
                <w:highlight w:val="none"/>
              </w:rPr>
            </w:pPr>
            <w:r>
              <w:rPr>
                <w:rFonts w:hint="eastAsia" w:ascii="宋体" w:hAnsi="宋体" w:cs="宋体"/>
                <w:sz w:val="22"/>
                <w:szCs w:val="22"/>
                <w:highlight w:val="none"/>
              </w:rPr>
              <w:t>评审标准</w:t>
            </w:r>
          </w:p>
        </w:tc>
      </w:tr>
      <w:tr w14:paraId="7725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79" w:type="dxa"/>
            <w:vMerge w:val="restart"/>
            <w:vAlign w:val="center"/>
          </w:tcPr>
          <w:p w14:paraId="5683904F">
            <w:pPr>
              <w:spacing w:line="500" w:lineRule="exact"/>
              <w:jc w:val="center"/>
              <w:rPr>
                <w:rFonts w:ascii="宋体" w:hAnsi="宋体" w:cs="宋体"/>
                <w:sz w:val="22"/>
                <w:szCs w:val="22"/>
                <w:highlight w:val="none"/>
              </w:rPr>
            </w:pPr>
            <w:r>
              <w:rPr>
                <w:rFonts w:hint="eastAsia" w:ascii="宋体" w:hAnsi="宋体" w:cs="宋体"/>
                <w:sz w:val="22"/>
                <w:szCs w:val="22"/>
                <w:highlight w:val="none"/>
              </w:rPr>
              <w:t>2.1.1</w:t>
            </w:r>
          </w:p>
        </w:tc>
        <w:tc>
          <w:tcPr>
            <w:tcW w:w="1265" w:type="dxa"/>
            <w:vMerge w:val="restart"/>
            <w:vAlign w:val="center"/>
          </w:tcPr>
          <w:p w14:paraId="79482790">
            <w:pPr>
              <w:spacing w:line="500" w:lineRule="exact"/>
              <w:jc w:val="center"/>
              <w:rPr>
                <w:rFonts w:ascii="宋体" w:hAnsi="宋体" w:cs="宋体"/>
                <w:sz w:val="22"/>
                <w:szCs w:val="22"/>
                <w:highlight w:val="none"/>
              </w:rPr>
            </w:pPr>
            <w:r>
              <w:rPr>
                <w:rFonts w:hint="eastAsia" w:ascii="宋体" w:hAnsi="宋体" w:cs="宋体"/>
                <w:sz w:val="22"/>
                <w:szCs w:val="22"/>
                <w:highlight w:val="none"/>
              </w:rPr>
              <w:t>形式评审</w:t>
            </w:r>
          </w:p>
          <w:p w14:paraId="3E7E9C90">
            <w:pPr>
              <w:spacing w:line="500" w:lineRule="exact"/>
              <w:jc w:val="center"/>
              <w:rPr>
                <w:rFonts w:ascii="宋体" w:hAnsi="宋体" w:cs="宋体"/>
                <w:sz w:val="22"/>
                <w:szCs w:val="22"/>
                <w:highlight w:val="none"/>
              </w:rPr>
            </w:pPr>
            <w:r>
              <w:rPr>
                <w:rFonts w:hint="eastAsia" w:ascii="宋体" w:hAnsi="宋体" w:cs="宋体"/>
                <w:sz w:val="22"/>
                <w:szCs w:val="22"/>
                <w:highlight w:val="none"/>
              </w:rPr>
              <w:t>标   准</w:t>
            </w:r>
          </w:p>
        </w:tc>
        <w:tc>
          <w:tcPr>
            <w:tcW w:w="2923" w:type="dxa"/>
            <w:vAlign w:val="center"/>
          </w:tcPr>
          <w:p w14:paraId="2BD61D5B">
            <w:pPr>
              <w:spacing w:line="500" w:lineRule="exact"/>
              <w:jc w:val="center"/>
              <w:rPr>
                <w:rFonts w:ascii="宋体" w:hAnsi="宋体" w:cs="宋体"/>
                <w:sz w:val="22"/>
                <w:szCs w:val="22"/>
                <w:highlight w:val="none"/>
              </w:rPr>
            </w:pPr>
            <w:r>
              <w:rPr>
                <w:rFonts w:hint="eastAsia" w:ascii="宋体" w:hAnsi="宋体" w:cs="宋体"/>
                <w:sz w:val="22"/>
                <w:szCs w:val="22"/>
                <w:highlight w:val="none"/>
              </w:rPr>
              <w:t>供应商名称</w:t>
            </w:r>
          </w:p>
        </w:tc>
        <w:tc>
          <w:tcPr>
            <w:tcW w:w="5151" w:type="dxa"/>
            <w:vAlign w:val="center"/>
          </w:tcPr>
          <w:p w14:paraId="3E3B3148">
            <w:pPr>
              <w:spacing w:line="500" w:lineRule="exact"/>
              <w:rPr>
                <w:rFonts w:ascii="宋体" w:hAnsi="宋体" w:cs="宋体"/>
                <w:sz w:val="22"/>
                <w:szCs w:val="22"/>
                <w:highlight w:val="none"/>
              </w:rPr>
            </w:pPr>
            <w:r>
              <w:rPr>
                <w:rFonts w:hint="eastAsia" w:ascii="宋体" w:hAnsi="宋体" w:cs="宋体"/>
                <w:sz w:val="22"/>
                <w:szCs w:val="22"/>
                <w:highlight w:val="none"/>
              </w:rPr>
              <w:t>与营业执照一致</w:t>
            </w:r>
          </w:p>
        </w:tc>
      </w:tr>
      <w:tr w14:paraId="597D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79" w:type="dxa"/>
            <w:vMerge w:val="continue"/>
            <w:vAlign w:val="center"/>
          </w:tcPr>
          <w:p w14:paraId="5C979614">
            <w:pPr>
              <w:spacing w:line="500" w:lineRule="exact"/>
              <w:jc w:val="center"/>
              <w:rPr>
                <w:rFonts w:ascii="宋体" w:hAnsi="宋体" w:cs="宋体"/>
                <w:sz w:val="22"/>
                <w:szCs w:val="22"/>
                <w:highlight w:val="none"/>
              </w:rPr>
            </w:pPr>
          </w:p>
        </w:tc>
        <w:tc>
          <w:tcPr>
            <w:tcW w:w="1265" w:type="dxa"/>
            <w:vMerge w:val="continue"/>
            <w:vAlign w:val="center"/>
          </w:tcPr>
          <w:p w14:paraId="7E17B2F5">
            <w:pPr>
              <w:spacing w:line="500" w:lineRule="exact"/>
              <w:jc w:val="center"/>
              <w:rPr>
                <w:rFonts w:ascii="宋体" w:hAnsi="宋体" w:cs="宋体"/>
                <w:sz w:val="22"/>
                <w:szCs w:val="22"/>
                <w:highlight w:val="none"/>
              </w:rPr>
            </w:pPr>
          </w:p>
        </w:tc>
        <w:tc>
          <w:tcPr>
            <w:tcW w:w="2923" w:type="dxa"/>
            <w:vAlign w:val="center"/>
          </w:tcPr>
          <w:p w14:paraId="395E864C">
            <w:pPr>
              <w:spacing w:line="500" w:lineRule="exact"/>
              <w:jc w:val="center"/>
              <w:rPr>
                <w:rFonts w:ascii="宋体" w:hAnsi="宋体" w:cs="宋体"/>
                <w:sz w:val="22"/>
                <w:szCs w:val="22"/>
                <w:highlight w:val="none"/>
              </w:rPr>
            </w:pPr>
            <w:r>
              <w:rPr>
                <w:rFonts w:hint="eastAsia" w:ascii="宋体" w:hAnsi="宋体" w:cs="宋体"/>
                <w:sz w:val="22"/>
                <w:szCs w:val="22"/>
                <w:highlight w:val="none"/>
              </w:rPr>
              <w:t>响应函盖章</w:t>
            </w:r>
          </w:p>
        </w:tc>
        <w:tc>
          <w:tcPr>
            <w:tcW w:w="5151" w:type="dxa"/>
            <w:vAlign w:val="center"/>
          </w:tcPr>
          <w:p w14:paraId="6B6B70A9">
            <w:pPr>
              <w:spacing w:line="500" w:lineRule="exact"/>
              <w:rPr>
                <w:rFonts w:ascii="宋体" w:hAnsi="宋体" w:cs="宋体"/>
                <w:sz w:val="22"/>
                <w:szCs w:val="22"/>
                <w:highlight w:val="none"/>
              </w:rPr>
            </w:pPr>
            <w:r>
              <w:rPr>
                <w:rFonts w:hint="eastAsia" w:ascii="宋体" w:hAnsi="宋体" w:cs="宋体"/>
                <w:sz w:val="22"/>
                <w:szCs w:val="22"/>
                <w:highlight w:val="none"/>
              </w:rPr>
              <w:t>符合竞争性磋商文件规定</w:t>
            </w:r>
          </w:p>
        </w:tc>
      </w:tr>
      <w:tr w14:paraId="7309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79" w:type="dxa"/>
            <w:vMerge w:val="continue"/>
            <w:vAlign w:val="center"/>
          </w:tcPr>
          <w:p w14:paraId="58731C61">
            <w:pPr>
              <w:spacing w:line="500" w:lineRule="exact"/>
              <w:jc w:val="center"/>
              <w:rPr>
                <w:rFonts w:ascii="宋体" w:hAnsi="宋体" w:cs="宋体"/>
                <w:sz w:val="22"/>
                <w:szCs w:val="22"/>
                <w:highlight w:val="none"/>
              </w:rPr>
            </w:pPr>
          </w:p>
        </w:tc>
        <w:tc>
          <w:tcPr>
            <w:tcW w:w="1265" w:type="dxa"/>
            <w:vMerge w:val="continue"/>
            <w:vAlign w:val="center"/>
          </w:tcPr>
          <w:p w14:paraId="21654122">
            <w:pPr>
              <w:spacing w:line="500" w:lineRule="exact"/>
              <w:jc w:val="center"/>
              <w:rPr>
                <w:rFonts w:ascii="宋体" w:hAnsi="宋体" w:cs="宋体"/>
                <w:sz w:val="22"/>
                <w:szCs w:val="22"/>
                <w:highlight w:val="none"/>
              </w:rPr>
            </w:pPr>
          </w:p>
        </w:tc>
        <w:tc>
          <w:tcPr>
            <w:tcW w:w="2923" w:type="dxa"/>
            <w:vAlign w:val="center"/>
          </w:tcPr>
          <w:p w14:paraId="2DB63E6B">
            <w:pPr>
              <w:spacing w:line="500" w:lineRule="exact"/>
              <w:jc w:val="center"/>
              <w:rPr>
                <w:rFonts w:ascii="宋体" w:hAnsi="宋体" w:cs="宋体"/>
                <w:sz w:val="22"/>
                <w:szCs w:val="22"/>
                <w:highlight w:val="none"/>
              </w:rPr>
            </w:pPr>
            <w:r>
              <w:rPr>
                <w:rFonts w:hint="eastAsia" w:ascii="宋体" w:hAnsi="宋体" w:cs="宋体"/>
                <w:sz w:val="22"/>
                <w:szCs w:val="22"/>
                <w:highlight w:val="none"/>
              </w:rPr>
              <w:t>报价唯一</w:t>
            </w:r>
          </w:p>
        </w:tc>
        <w:tc>
          <w:tcPr>
            <w:tcW w:w="5151" w:type="dxa"/>
            <w:vAlign w:val="center"/>
          </w:tcPr>
          <w:p w14:paraId="2922324F">
            <w:pPr>
              <w:spacing w:line="500" w:lineRule="exact"/>
              <w:rPr>
                <w:rFonts w:ascii="宋体" w:hAnsi="宋体" w:cs="宋体"/>
                <w:sz w:val="22"/>
                <w:szCs w:val="22"/>
                <w:highlight w:val="none"/>
              </w:rPr>
            </w:pPr>
            <w:r>
              <w:rPr>
                <w:rFonts w:hint="eastAsia" w:ascii="宋体" w:hAnsi="宋体" w:cs="宋体"/>
                <w:sz w:val="22"/>
                <w:szCs w:val="22"/>
                <w:highlight w:val="none"/>
              </w:rPr>
              <w:t>只能有一个有效报价，且不超过最高限价</w:t>
            </w:r>
          </w:p>
        </w:tc>
      </w:tr>
      <w:tr w14:paraId="28CD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79" w:type="dxa"/>
            <w:vMerge w:val="restart"/>
            <w:vAlign w:val="center"/>
          </w:tcPr>
          <w:p w14:paraId="547A95BF">
            <w:pPr>
              <w:spacing w:line="500" w:lineRule="exact"/>
              <w:jc w:val="center"/>
              <w:rPr>
                <w:rFonts w:ascii="宋体" w:hAnsi="宋体" w:cs="宋体"/>
                <w:sz w:val="22"/>
                <w:szCs w:val="22"/>
                <w:highlight w:val="none"/>
              </w:rPr>
            </w:pPr>
            <w:r>
              <w:rPr>
                <w:rFonts w:hint="eastAsia" w:ascii="宋体" w:hAnsi="宋体" w:cs="宋体"/>
                <w:sz w:val="22"/>
                <w:szCs w:val="22"/>
                <w:highlight w:val="none"/>
              </w:rPr>
              <w:t>2.1.2</w:t>
            </w:r>
          </w:p>
        </w:tc>
        <w:tc>
          <w:tcPr>
            <w:tcW w:w="1265" w:type="dxa"/>
            <w:vMerge w:val="restart"/>
            <w:vAlign w:val="center"/>
          </w:tcPr>
          <w:p w14:paraId="33CD3B12">
            <w:pPr>
              <w:spacing w:line="500" w:lineRule="exact"/>
              <w:jc w:val="center"/>
              <w:rPr>
                <w:rFonts w:ascii="宋体" w:hAnsi="宋体" w:cs="宋体"/>
                <w:sz w:val="22"/>
                <w:szCs w:val="22"/>
                <w:highlight w:val="none"/>
              </w:rPr>
            </w:pPr>
            <w:r>
              <w:rPr>
                <w:rFonts w:hint="eastAsia" w:ascii="宋体" w:hAnsi="宋体" w:cs="宋体"/>
                <w:sz w:val="22"/>
                <w:szCs w:val="22"/>
                <w:highlight w:val="none"/>
              </w:rPr>
              <w:t xml:space="preserve">资格评审 </w:t>
            </w:r>
          </w:p>
          <w:p w14:paraId="2AAE096D">
            <w:pPr>
              <w:spacing w:line="500" w:lineRule="exact"/>
              <w:jc w:val="center"/>
              <w:rPr>
                <w:rFonts w:ascii="宋体" w:hAnsi="宋体" w:cs="宋体"/>
                <w:sz w:val="22"/>
                <w:szCs w:val="22"/>
                <w:highlight w:val="none"/>
              </w:rPr>
            </w:pPr>
            <w:r>
              <w:rPr>
                <w:rFonts w:hint="eastAsia" w:ascii="宋体" w:hAnsi="宋体" w:cs="宋体"/>
                <w:sz w:val="22"/>
                <w:szCs w:val="22"/>
                <w:highlight w:val="none"/>
              </w:rPr>
              <w:t>标  准</w:t>
            </w:r>
          </w:p>
        </w:tc>
        <w:tc>
          <w:tcPr>
            <w:tcW w:w="2923" w:type="dxa"/>
            <w:vAlign w:val="center"/>
          </w:tcPr>
          <w:p w14:paraId="39B179DF">
            <w:pPr>
              <w:widowControl w:val="0"/>
              <w:spacing w:line="50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满足《中华人民共和国政府采购法》第二十二条规定；</w:t>
            </w:r>
          </w:p>
        </w:tc>
        <w:tc>
          <w:tcPr>
            <w:tcW w:w="5151" w:type="dxa"/>
            <w:vAlign w:val="center"/>
          </w:tcPr>
          <w:p w14:paraId="5088B287">
            <w:pPr>
              <w:spacing w:line="500" w:lineRule="exact"/>
              <w:jc w:val="left"/>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提供承诺书</w:t>
            </w:r>
          </w:p>
        </w:tc>
      </w:tr>
      <w:tr w14:paraId="5788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79" w:type="dxa"/>
            <w:vMerge w:val="continue"/>
            <w:vAlign w:val="center"/>
          </w:tcPr>
          <w:p w14:paraId="3255BE8A">
            <w:pPr>
              <w:spacing w:line="500" w:lineRule="exact"/>
              <w:jc w:val="center"/>
              <w:rPr>
                <w:rFonts w:ascii="宋体" w:hAnsi="宋体" w:cs="宋体"/>
                <w:sz w:val="22"/>
                <w:szCs w:val="22"/>
                <w:highlight w:val="none"/>
              </w:rPr>
            </w:pPr>
          </w:p>
        </w:tc>
        <w:tc>
          <w:tcPr>
            <w:tcW w:w="1265" w:type="dxa"/>
            <w:vMerge w:val="continue"/>
            <w:vAlign w:val="center"/>
          </w:tcPr>
          <w:p w14:paraId="2748C691">
            <w:pPr>
              <w:spacing w:line="500" w:lineRule="exact"/>
              <w:jc w:val="center"/>
              <w:rPr>
                <w:rFonts w:ascii="宋体" w:hAnsi="宋体" w:cs="宋体"/>
                <w:sz w:val="22"/>
                <w:szCs w:val="22"/>
                <w:highlight w:val="none"/>
              </w:rPr>
            </w:pPr>
          </w:p>
        </w:tc>
        <w:tc>
          <w:tcPr>
            <w:tcW w:w="2923" w:type="dxa"/>
            <w:vAlign w:val="center"/>
          </w:tcPr>
          <w:p w14:paraId="150EFFAD">
            <w:pPr>
              <w:spacing w:line="360" w:lineRule="auto"/>
              <w:jc w:val="center"/>
              <w:rPr>
                <w:rFonts w:hAnsi="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中小企业声明函</w:t>
            </w:r>
          </w:p>
        </w:tc>
        <w:tc>
          <w:tcPr>
            <w:tcW w:w="5151" w:type="dxa"/>
            <w:vAlign w:val="center"/>
          </w:tcPr>
          <w:p w14:paraId="0663F284">
            <w:pPr>
              <w:spacing w:line="360" w:lineRule="auto"/>
              <w:jc w:val="left"/>
              <w:rPr>
                <w:rFonts w:hAnsi="宋体" w:cs="宋体"/>
                <w:color w:val="auto"/>
                <w:sz w:val="22"/>
                <w:szCs w:val="22"/>
                <w:highlight w:val="none"/>
              </w:rPr>
            </w:pPr>
            <w:r>
              <w:rPr>
                <w:rFonts w:hint="eastAsia" w:ascii="宋体" w:hAnsi="宋体" w:eastAsia="宋体" w:cs="宋体"/>
                <w:color w:val="auto"/>
                <w:spacing w:val="0"/>
                <w:sz w:val="22"/>
                <w:szCs w:val="22"/>
                <w:highlight w:val="none"/>
                <w:lang w:val="en-US" w:eastAsia="zh-CN"/>
              </w:rPr>
              <w:t>本项目专门面向中小企业采购,供应商须提供《中小企业声明函》</w:t>
            </w:r>
          </w:p>
        </w:tc>
      </w:tr>
      <w:tr w14:paraId="399C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79" w:type="dxa"/>
            <w:vMerge w:val="continue"/>
            <w:vAlign w:val="center"/>
          </w:tcPr>
          <w:p w14:paraId="7A710F7E">
            <w:pPr>
              <w:spacing w:line="500" w:lineRule="exact"/>
              <w:jc w:val="center"/>
              <w:rPr>
                <w:rFonts w:ascii="宋体" w:hAnsi="宋体" w:cs="宋体"/>
                <w:sz w:val="22"/>
                <w:szCs w:val="22"/>
                <w:highlight w:val="none"/>
              </w:rPr>
            </w:pPr>
          </w:p>
        </w:tc>
        <w:tc>
          <w:tcPr>
            <w:tcW w:w="1265" w:type="dxa"/>
            <w:vMerge w:val="continue"/>
            <w:vAlign w:val="center"/>
          </w:tcPr>
          <w:p w14:paraId="29B94A71">
            <w:pPr>
              <w:spacing w:line="500" w:lineRule="exact"/>
              <w:jc w:val="center"/>
              <w:rPr>
                <w:rFonts w:ascii="宋体" w:hAnsi="宋体" w:cs="宋体"/>
                <w:sz w:val="22"/>
                <w:szCs w:val="22"/>
                <w:highlight w:val="none"/>
              </w:rPr>
            </w:pPr>
          </w:p>
        </w:tc>
        <w:tc>
          <w:tcPr>
            <w:tcW w:w="2923" w:type="dxa"/>
            <w:vAlign w:val="center"/>
          </w:tcPr>
          <w:p w14:paraId="5B93F9C5">
            <w:pPr>
              <w:spacing w:line="360" w:lineRule="auto"/>
              <w:jc w:val="center"/>
              <w:rPr>
                <w:rFonts w:ascii="宋体" w:hAnsi="宋体" w:cs="宋体"/>
                <w:color w:val="auto"/>
                <w:sz w:val="22"/>
                <w:szCs w:val="22"/>
                <w:highlight w:val="none"/>
              </w:rPr>
            </w:pPr>
            <w:r>
              <w:rPr>
                <w:rFonts w:hint="eastAsia" w:ascii="宋体" w:hAnsi="宋体" w:eastAsia="宋体" w:cs="宋体"/>
                <w:color w:val="auto"/>
                <w:sz w:val="22"/>
                <w:szCs w:val="22"/>
                <w:highlight w:val="none"/>
              </w:rPr>
              <w:t>营业执照</w:t>
            </w:r>
          </w:p>
        </w:tc>
        <w:tc>
          <w:tcPr>
            <w:tcW w:w="5151" w:type="dxa"/>
            <w:vAlign w:val="center"/>
          </w:tcPr>
          <w:p w14:paraId="576CA8C4">
            <w:pPr>
              <w:spacing w:line="360" w:lineRule="auto"/>
              <w:jc w:val="left"/>
              <w:rPr>
                <w:rFonts w:ascii="宋体" w:hAnsi="宋体" w:cs="宋体"/>
                <w:color w:val="auto"/>
                <w:sz w:val="22"/>
                <w:szCs w:val="22"/>
                <w:highlight w:val="none"/>
              </w:rPr>
            </w:pPr>
            <w:r>
              <w:rPr>
                <w:rFonts w:hint="eastAsia" w:ascii="宋体" w:hAnsi="宋体" w:eastAsia="宋体" w:cs="宋体"/>
                <w:color w:val="auto"/>
                <w:spacing w:val="0"/>
                <w:sz w:val="22"/>
                <w:szCs w:val="22"/>
                <w:highlight w:val="none"/>
                <w:lang w:val="en-US" w:eastAsia="zh-CN"/>
              </w:rPr>
              <w:t>供应商须具有独立承担民事责任的能力，提供合法有效的营业执照</w:t>
            </w:r>
          </w:p>
        </w:tc>
      </w:tr>
      <w:tr w14:paraId="2966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79" w:type="dxa"/>
            <w:vMerge w:val="continue"/>
            <w:vAlign w:val="center"/>
          </w:tcPr>
          <w:p w14:paraId="058FEF78">
            <w:pPr>
              <w:spacing w:line="500" w:lineRule="exact"/>
              <w:jc w:val="center"/>
              <w:rPr>
                <w:rFonts w:ascii="宋体" w:hAnsi="宋体" w:cs="宋体"/>
                <w:sz w:val="22"/>
                <w:szCs w:val="22"/>
                <w:highlight w:val="none"/>
              </w:rPr>
            </w:pPr>
          </w:p>
        </w:tc>
        <w:tc>
          <w:tcPr>
            <w:tcW w:w="1265" w:type="dxa"/>
            <w:vMerge w:val="continue"/>
            <w:vAlign w:val="center"/>
          </w:tcPr>
          <w:p w14:paraId="0EC78D5D">
            <w:pPr>
              <w:spacing w:line="500" w:lineRule="exact"/>
              <w:jc w:val="center"/>
              <w:rPr>
                <w:rFonts w:ascii="宋体" w:hAnsi="宋体" w:cs="宋体"/>
                <w:sz w:val="22"/>
                <w:szCs w:val="22"/>
                <w:highlight w:val="none"/>
              </w:rPr>
            </w:pPr>
          </w:p>
        </w:tc>
        <w:tc>
          <w:tcPr>
            <w:tcW w:w="2923" w:type="dxa"/>
            <w:vAlign w:val="center"/>
          </w:tcPr>
          <w:p w14:paraId="2887CE98">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供应商具有履行合同所必须的设备和专业技术服务能力</w:t>
            </w:r>
          </w:p>
        </w:tc>
        <w:tc>
          <w:tcPr>
            <w:tcW w:w="5151" w:type="dxa"/>
            <w:vAlign w:val="center"/>
          </w:tcPr>
          <w:p w14:paraId="02E21846">
            <w:pPr>
              <w:spacing w:line="360" w:lineRule="auto"/>
              <w:jc w:val="left"/>
              <w:rPr>
                <w:rFonts w:hint="eastAsia" w:ascii="宋体" w:hAnsi="宋体" w:eastAsia="宋体" w:cs="宋体"/>
                <w:color w:val="auto"/>
                <w:spacing w:val="0"/>
                <w:sz w:val="22"/>
                <w:szCs w:val="22"/>
                <w:highlight w:val="none"/>
                <w:lang w:val="en-US" w:eastAsia="zh-CN"/>
              </w:rPr>
            </w:pPr>
            <w:r>
              <w:rPr>
                <w:rFonts w:hint="eastAsia" w:ascii="宋体" w:hAnsi="宋体" w:eastAsia="宋体" w:cs="宋体"/>
                <w:color w:val="auto"/>
                <w:sz w:val="22"/>
                <w:szCs w:val="22"/>
                <w:highlight w:val="none"/>
                <w:lang w:val="en-US" w:eastAsia="zh-CN"/>
              </w:rPr>
              <w:t>提供承诺书</w:t>
            </w:r>
          </w:p>
        </w:tc>
      </w:tr>
      <w:tr w14:paraId="0907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79" w:type="dxa"/>
            <w:vMerge w:val="continue"/>
            <w:vAlign w:val="center"/>
          </w:tcPr>
          <w:p w14:paraId="0BE3FADF">
            <w:pPr>
              <w:spacing w:line="500" w:lineRule="exact"/>
              <w:jc w:val="center"/>
              <w:rPr>
                <w:rFonts w:ascii="宋体" w:hAnsi="宋体" w:cs="宋体"/>
                <w:sz w:val="22"/>
                <w:szCs w:val="22"/>
                <w:highlight w:val="none"/>
              </w:rPr>
            </w:pPr>
          </w:p>
        </w:tc>
        <w:tc>
          <w:tcPr>
            <w:tcW w:w="1265" w:type="dxa"/>
            <w:vMerge w:val="continue"/>
            <w:vAlign w:val="center"/>
          </w:tcPr>
          <w:p w14:paraId="5C291296">
            <w:pPr>
              <w:spacing w:line="500" w:lineRule="exact"/>
              <w:jc w:val="center"/>
              <w:rPr>
                <w:rFonts w:ascii="宋体" w:hAnsi="宋体" w:cs="宋体"/>
                <w:sz w:val="22"/>
                <w:szCs w:val="22"/>
                <w:highlight w:val="none"/>
              </w:rPr>
            </w:pPr>
          </w:p>
        </w:tc>
        <w:tc>
          <w:tcPr>
            <w:tcW w:w="2923" w:type="dxa"/>
            <w:vAlign w:val="center"/>
          </w:tcPr>
          <w:p w14:paraId="5E35E661">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供应商经营许可资格</w:t>
            </w:r>
          </w:p>
        </w:tc>
        <w:tc>
          <w:tcPr>
            <w:tcW w:w="5151" w:type="dxa"/>
            <w:vAlign w:val="center"/>
          </w:tcPr>
          <w:p w14:paraId="351D3F94">
            <w:pPr>
              <w:spacing w:line="360" w:lineRule="auto"/>
              <w:jc w:val="left"/>
              <w:rPr>
                <w:rFonts w:hint="eastAsia" w:ascii="宋体" w:hAnsi="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若供应商为生产商需</w:t>
            </w:r>
            <w:r>
              <w:rPr>
                <w:rFonts w:hint="eastAsia" w:ascii="宋体" w:hAnsi="宋体" w:cs="宋体"/>
                <w:color w:val="auto"/>
                <w:kern w:val="2"/>
                <w:sz w:val="22"/>
                <w:szCs w:val="22"/>
                <w:highlight w:val="none"/>
                <w:lang w:val="en-US" w:eastAsia="zh-CN" w:bidi="ar-SA"/>
              </w:rPr>
              <w:t>提供有效的食品生产许可证</w:t>
            </w:r>
            <w:r>
              <w:rPr>
                <w:rFonts w:hint="default" w:ascii="宋体" w:hAnsi="宋体" w:eastAsia="宋体" w:cs="宋体"/>
                <w:color w:val="auto"/>
                <w:kern w:val="2"/>
                <w:sz w:val="22"/>
                <w:szCs w:val="22"/>
                <w:highlight w:val="none"/>
                <w:lang w:val="en-US" w:eastAsia="zh-CN" w:bidi="ar-SA"/>
              </w:rPr>
              <w:t>；若供应商为经销商</w:t>
            </w:r>
            <w:r>
              <w:rPr>
                <w:rFonts w:hint="eastAsia" w:ascii="宋体" w:hAnsi="宋体" w:cs="宋体"/>
                <w:color w:val="auto"/>
                <w:kern w:val="2"/>
                <w:sz w:val="22"/>
                <w:szCs w:val="22"/>
                <w:highlight w:val="none"/>
                <w:lang w:val="en-US" w:eastAsia="zh-CN" w:bidi="ar-SA"/>
              </w:rPr>
              <w:t>需提供有效的食品经营许可证；</w:t>
            </w:r>
          </w:p>
        </w:tc>
      </w:tr>
      <w:tr w14:paraId="57F2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79" w:type="dxa"/>
            <w:vMerge w:val="continue"/>
            <w:vAlign w:val="center"/>
          </w:tcPr>
          <w:p w14:paraId="701CA63C">
            <w:pPr>
              <w:spacing w:line="500" w:lineRule="exact"/>
              <w:jc w:val="center"/>
              <w:rPr>
                <w:rFonts w:ascii="宋体" w:hAnsi="宋体" w:cs="宋体"/>
                <w:sz w:val="22"/>
                <w:szCs w:val="22"/>
                <w:highlight w:val="none"/>
              </w:rPr>
            </w:pPr>
          </w:p>
        </w:tc>
        <w:tc>
          <w:tcPr>
            <w:tcW w:w="1265" w:type="dxa"/>
            <w:vMerge w:val="continue"/>
            <w:vAlign w:val="center"/>
          </w:tcPr>
          <w:p w14:paraId="2FB97A4C">
            <w:pPr>
              <w:spacing w:line="500" w:lineRule="exact"/>
              <w:jc w:val="center"/>
              <w:rPr>
                <w:rFonts w:ascii="宋体" w:hAnsi="宋体" w:cs="宋体"/>
                <w:sz w:val="22"/>
                <w:szCs w:val="22"/>
                <w:highlight w:val="none"/>
              </w:rPr>
            </w:pPr>
          </w:p>
        </w:tc>
        <w:tc>
          <w:tcPr>
            <w:tcW w:w="2923" w:type="dxa"/>
            <w:vAlign w:val="center"/>
          </w:tcPr>
          <w:p w14:paraId="0A969EB3">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项目负责人</w:t>
            </w:r>
          </w:p>
        </w:tc>
        <w:tc>
          <w:tcPr>
            <w:tcW w:w="5151" w:type="dxa"/>
            <w:vAlign w:val="center"/>
          </w:tcPr>
          <w:p w14:paraId="0F1D71AC">
            <w:pPr>
              <w:spacing w:line="360" w:lineRule="auto"/>
              <w:jc w:val="left"/>
              <w:rPr>
                <w:rFonts w:hint="eastAsia" w:ascii="宋体" w:hAnsi="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拟派的项目负责人需</w:t>
            </w:r>
            <w:r>
              <w:rPr>
                <w:rFonts w:hint="eastAsia" w:ascii="宋体" w:hAnsi="宋体" w:cs="宋体"/>
                <w:color w:val="auto"/>
                <w:kern w:val="2"/>
                <w:sz w:val="22"/>
                <w:szCs w:val="22"/>
                <w:highlight w:val="none"/>
                <w:lang w:val="en-US" w:eastAsia="zh-CN" w:bidi="ar-SA"/>
              </w:rPr>
              <w:t>提供有效的健康证</w:t>
            </w:r>
            <w:r>
              <w:rPr>
                <w:rFonts w:hint="eastAsia" w:ascii="宋体" w:hAnsi="宋体" w:eastAsia="宋体" w:cs="宋体"/>
                <w:color w:val="auto"/>
                <w:kern w:val="2"/>
                <w:sz w:val="22"/>
                <w:szCs w:val="22"/>
                <w:highlight w:val="none"/>
                <w:lang w:val="en-US" w:eastAsia="zh-CN" w:bidi="ar-SA"/>
              </w:rPr>
              <w:t>及</w:t>
            </w:r>
            <w:r>
              <w:rPr>
                <w:rFonts w:hint="eastAsia" w:ascii="宋体" w:hAnsi="宋体" w:cs="宋体"/>
                <w:color w:val="auto"/>
                <w:kern w:val="2"/>
                <w:sz w:val="22"/>
                <w:szCs w:val="22"/>
                <w:highlight w:val="none"/>
                <w:lang w:val="en-US" w:eastAsia="zh-CN" w:bidi="ar-SA"/>
              </w:rPr>
              <w:t>社保缴费证明</w:t>
            </w:r>
            <w:r>
              <w:rPr>
                <w:rFonts w:hint="eastAsia" w:ascii="宋体" w:hAnsi="宋体" w:eastAsia="宋体" w:cs="宋体"/>
                <w:color w:val="auto"/>
                <w:kern w:val="2"/>
                <w:sz w:val="22"/>
                <w:szCs w:val="22"/>
                <w:highlight w:val="none"/>
                <w:lang w:val="en-US" w:eastAsia="zh-CN" w:bidi="ar-SA"/>
              </w:rPr>
              <w:t>（</w:t>
            </w:r>
            <w:r>
              <w:rPr>
                <w:rFonts w:hint="eastAsia" w:ascii="宋体" w:hAnsi="宋体" w:cs="宋体"/>
                <w:color w:val="auto"/>
                <w:kern w:val="2"/>
                <w:sz w:val="22"/>
                <w:szCs w:val="22"/>
                <w:highlight w:val="none"/>
                <w:lang w:val="en-US" w:eastAsia="zh-CN" w:bidi="ar-SA"/>
              </w:rPr>
              <w:t>社保缴费证明</w:t>
            </w:r>
            <w:r>
              <w:rPr>
                <w:rFonts w:hint="eastAsia" w:ascii="宋体" w:hAnsi="宋体" w:eastAsia="宋体" w:cs="宋体"/>
                <w:color w:val="auto"/>
                <w:kern w:val="2"/>
                <w:sz w:val="22"/>
                <w:szCs w:val="22"/>
                <w:highlight w:val="none"/>
                <w:lang w:val="en-US" w:eastAsia="zh-CN" w:bidi="ar-SA"/>
              </w:rPr>
              <w:t>必须包含单位名称及个人的基本信息）</w:t>
            </w:r>
          </w:p>
        </w:tc>
      </w:tr>
      <w:tr w14:paraId="775F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79" w:type="dxa"/>
            <w:vMerge w:val="continue"/>
            <w:vAlign w:val="center"/>
          </w:tcPr>
          <w:p w14:paraId="35ACFFED">
            <w:pPr>
              <w:spacing w:line="500" w:lineRule="exact"/>
              <w:jc w:val="center"/>
              <w:rPr>
                <w:rFonts w:ascii="宋体" w:hAnsi="宋体" w:cs="宋体"/>
                <w:sz w:val="22"/>
                <w:szCs w:val="22"/>
                <w:highlight w:val="none"/>
              </w:rPr>
            </w:pPr>
          </w:p>
        </w:tc>
        <w:tc>
          <w:tcPr>
            <w:tcW w:w="1265" w:type="dxa"/>
            <w:vMerge w:val="continue"/>
            <w:vAlign w:val="center"/>
          </w:tcPr>
          <w:p w14:paraId="508CD55B">
            <w:pPr>
              <w:spacing w:line="500" w:lineRule="exact"/>
              <w:jc w:val="center"/>
              <w:rPr>
                <w:rFonts w:ascii="宋体" w:hAnsi="宋体" w:cs="宋体"/>
                <w:sz w:val="22"/>
                <w:szCs w:val="22"/>
                <w:highlight w:val="none"/>
              </w:rPr>
            </w:pPr>
          </w:p>
        </w:tc>
        <w:tc>
          <w:tcPr>
            <w:tcW w:w="2923" w:type="dxa"/>
            <w:vAlign w:val="center"/>
          </w:tcPr>
          <w:p w14:paraId="7D4AD7DE">
            <w:pPr>
              <w:spacing w:line="360" w:lineRule="auto"/>
              <w:jc w:val="center"/>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承诺书</w:t>
            </w:r>
          </w:p>
        </w:tc>
        <w:tc>
          <w:tcPr>
            <w:tcW w:w="5151" w:type="dxa"/>
            <w:vAlign w:val="center"/>
          </w:tcPr>
          <w:p w14:paraId="5397843F">
            <w:pPr>
              <w:numPr>
                <w:ilvl w:val="0"/>
                <w:numId w:val="8"/>
              </w:numPr>
              <w:spacing w:line="360" w:lineRule="auto"/>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供应商应保证所提供的产品必须是安全合格产品，因产品问题而发生的食物中毒等群体事故，由供应商承担经济赔偿责任及其他法律责任（自行承诺，格式自拟）</w:t>
            </w:r>
          </w:p>
          <w:p w14:paraId="21FA3234">
            <w:pPr>
              <w:numPr>
                <w:ilvl w:val="0"/>
                <w:numId w:val="8"/>
              </w:numPr>
              <w:spacing w:line="360" w:lineRule="auto"/>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供应商须提供在参加政府采购活动近三年内无重大违法记录及食品安全事故</w:t>
            </w: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卫生监督部门的处罚等恶性事件的承诺函（提供承诺书）；</w:t>
            </w:r>
          </w:p>
          <w:p w14:paraId="0A40E49A">
            <w:pPr>
              <w:numPr>
                <w:ilvl w:val="0"/>
                <w:numId w:val="0"/>
              </w:numPr>
              <w:spacing w:line="360" w:lineRule="auto"/>
              <w:jc w:val="left"/>
              <w:rPr>
                <w:rFonts w:hint="eastAsia" w:ascii="宋体" w:hAnsi="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3.供应商须出具本企业无商业贿赂和不正当竞争行为承诺书（格式自拟）；</w:t>
            </w:r>
          </w:p>
        </w:tc>
      </w:tr>
      <w:tr w14:paraId="6978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79" w:type="dxa"/>
            <w:vMerge w:val="continue"/>
            <w:vAlign w:val="center"/>
          </w:tcPr>
          <w:p w14:paraId="25C84283">
            <w:pPr>
              <w:spacing w:line="500" w:lineRule="exact"/>
              <w:jc w:val="center"/>
              <w:rPr>
                <w:rFonts w:ascii="宋体" w:hAnsi="宋体" w:cs="宋体"/>
                <w:sz w:val="22"/>
                <w:szCs w:val="22"/>
                <w:highlight w:val="none"/>
              </w:rPr>
            </w:pPr>
          </w:p>
        </w:tc>
        <w:tc>
          <w:tcPr>
            <w:tcW w:w="1265" w:type="dxa"/>
            <w:vMerge w:val="continue"/>
            <w:vAlign w:val="center"/>
          </w:tcPr>
          <w:p w14:paraId="428422F3">
            <w:pPr>
              <w:spacing w:line="500" w:lineRule="exact"/>
              <w:jc w:val="center"/>
              <w:rPr>
                <w:rFonts w:ascii="宋体" w:hAnsi="宋体" w:cs="宋体"/>
                <w:sz w:val="22"/>
                <w:szCs w:val="22"/>
                <w:highlight w:val="none"/>
              </w:rPr>
            </w:pPr>
          </w:p>
        </w:tc>
        <w:tc>
          <w:tcPr>
            <w:tcW w:w="2923" w:type="dxa"/>
            <w:vAlign w:val="center"/>
          </w:tcPr>
          <w:p w14:paraId="43B5E0FA">
            <w:pPr>
              <w:spacing w:line="360" w:lineRule="auto"/>
              <w:jc w:val="center"/>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信用查询</w:t>
            </w:r>
          </w:p>
        </w:tc>
        <w:tc>
          <w:tcPr>
            <w:tcW w:w="5151" w:type="dxa"/>
            <w:vAlign w:val="center"/>
          </w:tcPr>
          <w:p w14:paraId="3B07B5DB">
            <w:pPr>
              <w:spacing w:line="360" w:lineRule="auto"/>
              <w:jc w:val="left"/>
              <w:rPr>
                <w:rFonts w:hint="eastAsia" w:ascii="宋体" w:hAnsi="宋体" w:cs="宋体"/>
                <w:color w:val="auto"/>
                <w:sz w:val="22"/>
                <w:szCs w:val="22"/>
                <w:highlight w:val="none"/>
              </w:rPr>
            </w:pPr>
            <w:r>
              <w:rPr>
                <w:rFonts w:hint="eastAsia" w:ascii="宋体" w:hAnsi="宋体" w:eastAsia="宋体" w:cs="宋体"/>
                <w:i w:val="0"/>
                <w:iCs w:val="0"/>
                <w:caps w:val="0"/>
                <w:color w:val="auto"/>
                <w:spacing w:val="0"/>
                <w:sz w:val="22"/>
                <w:szCs w:val="22"/>
                <w:highlight w:val="none"/>
              </w:rPr>
              <w:t>根据《关于在政府采购活动中查询及使用信用记录有关问题的通知》(财库[2016]125号)和豫财购【2016】15号的规定，企业没有被列入“中国执行信息公开网”网站的“失信被执行人”、“信用中国”网站的“重大税收违法失信主体”、“政府采购严重违法失信行为记录名单”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tc>
      </w:tr>
      <w:tr w14:paraId="08BB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79" w:type="dxa"/>
            <w:vMerge w:val="continue"/>
            <w:vAlign w:val="center"/>
          </w:tcPr>
          <w:p w14:paraId="5CA3B648">
            <w:pPr>
              <w:spacing w:line="500" w:lineRule="exact"/>
              <w:jc w:val="center"/>
              <w:rPr>
                <w:rFonts w:ascii="宋体" w:hAnsi="宋体" w:cs="宋体"/>
                <w:sz w:val="22"/>
                <w:szCs w:val="22"/>
                <w:highlight w:val="none"/>
              </w:rPr>
            </w:pPr>
          </w:p>
        </w:tc>
        <w:tc>
          <w:tcPr>
            <w:tcW w:w="1265" w:type="dxa"/>
            <w:vMerge w:val="continue"/>
            <w:vAlign w:val="center"/>
          </w:tcPr>
          <w:p w14:paraId="51949A15">
            <w:pPr>
              <w:spacing w:line="500" w:lineRule="exact"/>
              <w:jc w:val="center"/>
              <w:rPr>
                <w:rFonts w:ascii="宋体" w:hAnsi="宋体" w:cs="宋体"/>
                <w:sz w:val="22"/>
                <w:szCs w:val="22"/>
                <w:highlight w:val="none"/>
              </w:rPr>
            </w:pPr>
          </w:p>
        </w:tc>
        <w:tc>
          <w:tcPr>
            <w:tcW w:w="2923" w:type="dxa"/>
            <w:vAlign w:val="center"/>
          </w:tcPr>
          <w:p w14:paraId="516AB9A6">
            <w:pPr>
              <w:spacing w:line="360" w:lineRule="auto"/>
              <w:jc w:val="center"/>
              <w:rPr>
                <w:rFonts w:hAnsi="宋体" w:cs="宋体"/>
                <w:color w:val="auto"/>
                <w:sz w:val="22"/>
                <w:szCs w:val="22"/>
                <w:highlight w:val="none"/>
              </w:rPr>
            </w:pPr>
            <w:r>
              <w:rPr>
                <w:rFonts w:hint="eastAsia" w:ascii="宋体" w:hAnsi="宋体" w:eastAsia="宋体" w:cs="宋体"/>
                <w:color w:val="auto"/>
                <w:sz w:val="22"/>
                <w:szCs w:val="22"/>
                <w:highlight w:val="none"/>
              </w:rPr>
              <w:t>其他要求</w:t>
            </w:r>
          </w:p>
        </w:tc>
        <w:tc>
          <w:tcPr>
            <w:tcW w:w="5151" w:type="dxa"/>
            <w:vAlign w:val="center"/>
          </w:tcPr>
          <w:p w14:paraId="00FCA3EC">
            <w:pPr>
              <w:spacing w:line="360" w:lineRule="auto"/>
              <w:jc w:val="left"/>
              <w:rPr>
                <w:rFonts w:ascii="宋体" w:hAnsi="宋体" w:cs="宋体"/>
                <w:color w:val="auto"/>
                <w:sz w:val="22"/>
                <w:szCs w:val="22"/>
                <w:highlight w:val="none"/>
              </w:rPr>
            </w:pPr>
            <w:r>
              <w:rPr>
                <w:rFonts w:hint="eastAsia" w:ascii="宋体" w:hAnsi="宋体" w:eastAsia="宋体" w:cs="宋体"/>
                <w:color w:val="auto"/>
                <w:sz w:val="22"/>
                <w:szCs w:val="22"/>
                <w:highlight w:val="none"/>
              </w:rPr>
              <w:t>本项目不接受联合体（提供非联合体声明函）</w:t>
            </w:r>
          </w:p>
        </w:tc>
      </w:tr>
      <w:tr w14:paraId="3D20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vMerge w:val="restart"/>
            <w:vAlign w:val="center"/>
          </w:tcPr>
          <w:p w14:paraId="351BEB2E">
            <w:pPr>
              <w:spacing w:line="500" w:lineRule="exact"/>
              <w:jc w:val="center"/>
              <w:rPr>
                <w:rFonts w:ascii="宋体" w:hAnsi="宋体" w:cs="宋体"/>
                <w:sz w:val="22"/>
                <w:szCs w:val="22"/>
                <w:highlight w:val="none"/>
              </w:rPr>
            </w:pPr>
            <w:r>
              <w:rPr>
                <w:rFonts w:hint="eastAsia" w:ascii="宋体" w:hAnsi="宋体" w:cs="宋体"/>
                <w:sz w:val="22"/>
                <w:szCs w:val="22"/>
                <w:highlight w:val="none"/>
              </w:rPr>
              <w:t>2.1.3</w:t>
            </w:r>
          </w:p>
        </w:tc>
        <w:tc>
          <w:tcPr>
            <w:tcW w:w="1265" w:type="dxa"/>
            <w:vMerge w:val="restart"/>
            <w:vAlign w:val="center"/>
          </w:tcPr>
          <w:p w14:paraId="7D304774">
            <w:pPr>
              <w:spacing w:line="500" w:lineRule="exact"/>
              <w:jc w:val="center"/>
              <w:rPr>
                <w:rFonts w:ascii="宋体" w:hAnsi="宋体" w:cs="宋体"/>
                <w:sz w:val="22"/>
                <w:szCs w:val="22"/>
                <w:highlight w:val="none"/>
              </w:rPr>
            </w:pPr>
            <w:r>
              <w:rPr>
                <w:rFonts w:hint="eastAsia" w:ascii="宋体" w:hAnsi="宋体" w:cs="宋体"/>
                <w:sz w:val="22"/>
                <w:szCs w:val="22"/>
                <w:highlight w:val="none"/>
              </w:rPr>
              <w:t>响 应 性</w:t>
            </w:r>
          </w:p>
          <w:p w14:paraId="003F935E">
            <w:pPr>
              <w:spacing w:line="500" w:lineRule="exact"/>
              <w:jc w:val="center"/>
              <w:rPr>
                <w:rFonts w:ascii="宋体" w:hAnsi="宋体" w:cs="宋体"/>
                <w:sz w:val="22"/>
                <w:szCs w:val="22"/>
                <w:highlight w:val="none"/>
              </w:rPr>
            </w:pPr>
            <w:r>
              <w:rPr>
                <w:rFonts w:hint="eastAsia" w:ascii="宋体" w:hAnsi="宋体" w:cs="宋体"/>
                <w:sz w:val="22"/>
                <w:szCs w:val="22"/>
                <w:highlight w:val="none"/>
              </w:rPr>
              <w:t>评审标准</w:t>
            </w:r>
          </w:p>
        </w:tc>
        <w:tc>
          <w:tcPr>
            <w:tcW w:w="2923" w:type="dxa"/>
            <w:vAlign w:val="center"/>
          </w:tcPr>
          <w:p w14:paraId="0DA151FC">
            <w:pPr>
              <w:pStyle w:val="15"/>
              <w:spacing w:line="500" w:lineRule="exact"/>
              <w:jc w:val="center"/>
              <w:rPr>
                <w:rFonts w:hAnsi="宋体" w:cs="宋体"/>
                <w:sz w:val="22"/>
                <w:szCs w:val="22"/>
                <w:highlight w:val="none"/>
              </w:rPr>
            </w:pPr>
            <w:r>
              <w:rPr>
                <w:rFonts w:hint="eastAsia" w:hAnsi="宋体" w:cs="宋体"/>
                <w:sz w:val="22"/>
                <w:szCs w:val="22"/>
                <w:highlight w:val="none"/>
                <w:lang w:val="en-US" w:eastAsia="zh-CN"/>
              </w:rPr>
              <w:t>服务</w:t>
            </w:r>
            <w:r>
              <w:rPr>
                <w:rFonts w:hint="eastAsia" w:hAnsi="宋体" w:cs="宋体"/>
                <w:sz w:val="22"/>
                <w:szCs w:val="22"/>
                <w:highlight w:val="none"/>
              </w:rPr>
              <w:t>内容</w:t>
            </w:r>
          </w:p>
        </w:tc>
        <w:tc>
          <w:tcPr>
            <w:tcW w:w="5151" w:type="dxa"/>
            <w:vAlign w:val="center"/>
          </w:tcPr>
          <w:p w14:paraId="53E7D023">
            <w:pPr>
              <w:spacing w:line="500" w:lineRule="exact"/>
              <w:rPr>
                <w:rFonts w:ascii="宋体" w:hAnsi="宋体" w:cs="宋体"/>
                <w:sz w:val="22"/>
                <w:szCs w:val="22"/>
                <w:highlight w:val="none"/>
              </w:rPr>
            </w:pPr>
            <w:r>
              <w:rPr>
                <w:rFonts w:hint="eastAsia" w:ascii="宋体" w:hAnsi="宋体" w:cs="宋体"/>
                <w:sz w:val="22"/>
                <w:szCs w:val="22"/>
                <w:highlight w:val="none"/>
              </w:rPr>
              <w:t>符合第二章“供应商须知前附表”第</w:t>
            </w:r>
            <w:r>
              <w:rPr>
                <w:rFonts w:hint="eastAsia" w:ascii="宋体" w:hAnsi="宋体" w:cs="宋体"/>
                <w:sz w:val="22"/>
                <w:szCs w:val="22"/>
                <w:highlight w:val="none"/>
                <w:lang w:val="en-US" w:eastAsia="zh-CN"/>
              </w:rPr>
              <w:t>5</w:t>
            </w:r>
            <w:r>
              <w:rPr>
                <w:rFonts w:hint="eastAsia" w:ascii="宋体" w:hAnsi="宋体" w:cs="宋体"/>
                <w:sz w:val="22"/>
                <w:szCs w:val="22"/>
                <w:highlight w:val="none"/>
              </w:rPr>
              <w:t>项规定</w:t>
            </w:r>
          </w:p>
        </w:tc>
      </w:tr>
      <w:tr w14:paraId="3E52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vMerge w:val="continue"/>
            <w:vAlign w:val="center"/>
          </w:tcPr>
          <w:p w14:paraId="720A1905">
            <w:pPr>
              <w:spacing w:line="500" w:lineRule="exact"/>
              <w:jc w:val="center"/>
              <w:rPr>
                <w:rFonts w:ascii="宋体" w:hAnsi="宋体" w:cs="宋体"/>
                <w:sz w:val="22"/>
                <w:szCs w:val="22"/>
                <w:highlight w:val="none"/>
              </w:rPr>
            </w:pPr>
          </w:p>
        </w:tc>
        <w:tc>
          <w:tcPr>
            <w:tcW w:w="1265" w:type="dxa"/>
            <w:vMerge w:val="continue"/>
            <w:vAlign w:val="center"/>
          </w:tcPr>
          <w:p w14:paraId="24B10A4D">
            <w:pPr>
              <w:spacing w:line="500" w:lineRule="exact"/>
              <w:jc w:val="center"/>
              <w:rPr>
                <w:rFonts w:ascii="宋体" w:hAnsi="宋体" w:cs="宋体"/>
                <w:sz w:val="22"/>
                <w:szCs w:val="22"/>
                <w:highlight w:val="none"/>
              </w:rPr>
            </w:pPr>
          </w:p>
        </w:tc>
        <w:tc>
          <w:tcPr>
            <w:tcW w:w="2923" w:type="dxa"/>
            <w:vAlign w:val="center"/>
          </w:tcPr>
          <w:p w14:paraId="70EB03E6">
            <w:pPr>
              <w:pStyle w:val="15"/>
              <w:spacing w:line="500" w:lineRule="exact"/>
              <w:jc w:val="center"/>
              <w:rPr>
                <w:rFonts w:hint="eastAsia" w:hAnsi="宋体" w:eastAsia="宋体" w:cs="宋体"/>
                <w:sz w:val="22"/>
                <w:szCs w:val="22"/>
                <w:highlight w:val="none"/>
                <w:lang w:eastAsia="zh-CN"/>
              </w:rPr>
            </w:pPr>
            <w:r>
              <w:rPr>
                <w:rFonts w:hint="eastAsia" w:hAnsi="宋体" w:cs="宋体"/>
                <w:sz w:val="22"/>
                <w:szCs w:val="22"/>
                <w:highlight w:val="none"/>
                <w:lang w:val="en-US" w:eastAsia="zh-CN"/>
              </w:rPr>
              <w:t>服务地点</w:t>
            </w:r>
          </w:p>
        </w:tc>
        <w:tc>
          <w:tcPr>
            <w:tcW w:w="5151" w:type="dxa"/>
            <w:vAlign w:val="center"/>
          </w:tcPr>
          <w:p w14:paraId="7A352FA6">
            <w:pPr>
              <w:spacing w:line="500" w:lineRule="exact"/>
              <w:rPr>
                <w:rFonts w:ascii="宋体" w:hAnsi="宋体" w:cs="宋体"/>
                <w:sz w:val="22"/>
                <w:szCs w:val="22"/>
                <w:highlight w:val="none"/>
              </w:rPr>
            </w:pPr>
            <w:r>
              <w:rPr>
                <w:rFonts w:hint="eastAsia" w:ascii="宋体" w:hAnsi="宋体" w:cs="宋体"/>
                <w:sz w:val="22"/>
                <w:szCs w:val="22"/>
                <w:highlight w:val="none"/>
              </w:rPr>
              <w:t>符合第二章“供应商须知前附表”第</w:t>
            </w:r>
            <w:r>
              <w:rPr>
                <w:rFonts w:hint="eastAsia" w:ascii="宋体" w:hAnsi="宋体" w:cs="宋体"/>
                <w:sz w:val="22"/>
                <w:szCs w:val="22"/>
                <w:highlight w:val="none"/>
                <w:lang w:val="en-US" w:eastAsia="zh-CN"/>
              </w:rPr>
              <w:t>6</w:t>
            </w:r>
            <w:r>
              <w:rPr>
                <w:rFonts w:hint="eastAsia" w:ascii="宋体" w:hAnsi="宋体" w:cs="宋体"/>
                <w:sz w:val="22"/>
                <w:szCs w:val="22"/>
                <w:highlight w:val="none"/>
              </w:rPr>
              <w:t>项规定</w:t>
            </w:r>
          </w:p>
        </w:tc>
      </w:tr>
      <w:tr w14:paraId="149F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vMerge w:val="continue"/>
            <w:vAlign w:val="center"/>
          </w:tcPr>
          <w:p w14:paraId="1746FE41">
            <w:pPr>
              <w:spacing w:line="500" w:lineRule="exact"/>
              <w:jc w:val="center"/>
              <w:rPr>
                <w:rFonts w:ascii="宋体" w:hAnsi="宋体" w:cs="宋体"/>
                <w:sz w:val="22"/>
                <w:szCs w:val="22"/>
                <w:highlight w:val="none"/>
              </w:rPr>
            </w:pPr>
          </w:p>
        </w:tc>
        <w:tc>
          <w:tcPr>
            <w:tcW w:w="1265" w:type="dxa"/>
            <w:vMerge w:val="continue"/>
            <w:vAlign w:val="center"/>
          </w:tcPr>
          <w:p w14:paraId="7C8D5EEC">
            <w:pPr>
              <w:spacing w:line="500" w:lineRule="exact"/>
              <w:jc w:val="center"/>
              <w:rPr>
                <w:rFonts w:ascii="宋体" w:hAnsi="宋体" w:cs="宋体"/>
                <w:sz w:val="22"/>
                <w:szCs w:val="22"/>
                <w:highlight w:val="none"/>
              </w:rPr>
            </w:pPr>
          </w:p>
        </w:tc>
        <w:tc>
          <w:tcPr>
            <w:tcW w:w="2923" w:type="dxa"/>
            <w:vAlign w:val="center"/>
          </w:tcPr>
          <w:p w14:paraId="6E995575">
            <w:pPr>
              <w:pStyle w:val="15"/>
              <w:spacing w:line="500" w:lineRule="exact"/>
              <w:jc w:val="center"/>
              <w:rPr>
                <w:rFonts w:hint="eastAsia" w:hAnsi="宋体" w:cs="宋体"/>
                <w:sz w:val="22"/>
                <w:szCs w:val="22"/>
                <w:highlight w:val="none"/>
                <w:lang w:val="en-US" w:eastAsia="zh-CN"/>
              </w:rPr>
            </w:pPr>
            <w:r>
              <w:rPr>
                <w:rFonts w:hint="eastAsia" w:hAnsi="宋体" w:cs="宋体"/>
                <w:sz w:val="22"/>
                <w:szCs w:val="22"/>
                <w:highlight w:val="none"/>
              </w:rPr>
              <w:t>质量</w:t>
            </w:r>
            <w:r>
              <w:rPr>
                <w:rFonts w:hint="eastAsia" w:hAnsi="宋体" w:cs="宋体"/>
                <w:sz w:val="22"/>
                <w:szCs w:val="22"/>
                <w:highlight w:val="none"/>
                <w:lang w:val="en-US" w:eastAsia="zh-CN"/>
              </w:rPr>
              <w:t>标准</w:t>
            </w:r>
          </w:p>
        </w:tc>
        <w:tc>
          <w:tcPr>
            <w:tcW w:w="5151" w:type="dxa"/>
            <w:vAlign w:val="center"/>
          </w:tcPr>
          <w:p w14:paraId="2CADC363">
            <w:pPr>
              <w:spacing w:line="500" w:lineRule="exact"/>
              <w:rPr>
                <w:rFonts w:hint="eastAsia" w:ascii="宋体" w:hAnsi="宋体" w:cs="宋体"/>
                <w:sz w:val="22"/>
                <w:szCs w:val="22"/>
                <w:highlight w:val="none"/>
              </w:rPr>
            </w:pPr>
            <w:r>
              <w:rPr>
                <w:rFonts w:hint="eastAsia" w:ascii="宋体" w:hAnsi="宋体" w:cs="宋体"/>
                <w:sz w:val="22"/>
                <w:szCs w:val="22"/>
                <w:highlight w:val="none"/>
              </w:rPr>
              <w:t>符合第二章“供应商须知前附表”第</w:t>
            </w:r>
            <w:r>
              <w:rPr>
                <w:rFonts w:hint="eastAsia" w:ascii="宋体" w:hAnsi="宋体" w:cs="宋体"/>
                <w:sz w:val="22"/>
                <w:szCs w:val="22"/>
                <w:highlight w:val="none"/>
                <w:lang w:val="en-US" w:eastAsia="zh-CN"/>
              </w:rPr>
              <w:t>7</w:t>
            </w:r>
            <w:r>
              <w:rPr>
                <w:rFonts w:hint="eastAsia" w:ascii="宋体" w:hAnsi="宋体" w:cs="宋体"/>
                <w:sz w:val="22"/>
                <w:szCs w:val="22"/>
                <w:highlight w:val="none"/>
              </w:rPr>
              <w:t>项规定</w:t>
            </w:r>
          </w:p>
        </w:tc>
      </w:tr>
      <w:tr w14:paraId="75E8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vMerge w:val="continue"/>
            <w:vAlign w:val="center"/>
          </w:tcPr>
          <w:p w14:paraId="03C072C1">
            <w:pPr>
              <w:spacing w:line="500" w:lineRule="exact"/>
              <w:jc w:val="center"/>
              <w:rPr>
                <w:rFonts w:ascii="宋体" w:hAnsi="宋体" w:cs="宋体"/>
                <w:sz w:val="22"/>
                <w:szCs w:val="22"/>
                <w:highlight w:val="none"/>
              </w:rPr>
            </w:pPr>
          </w:p>
        </w:tc>
        <w:tc>
          <w:tcPr>
            <w:tcW w:w="1265" w:type="dxa"/>
            <w:vMerge w:val="continue"/>
            <w:vAlign w:val="center"/>
          </w:tcPr>
          <w:p w14:paraId="31085B07">
            <w:pPr>
              <w:spacing w:line="500" w:lineRule="exact"/>
              <w:jc w:val="center"/>
              <w:rPr>
                <w:rFonts w:ascii="宋体" w:hAnsi="宋体" w:cs="宋体"/>
                <w:sz w:val="22"/>
                <w:szCs w:val="22"/>
                <w:highlight w:val="none"/>
              </w:rPr>
            </w:pPr>
          </w:p>
        </w:tc>
        <w:tc>
          <w:tcPr>
            <w:tcW w:w="2923" w:type="dxa"/>
            <w:vAlign w:val="center"/>
          </w:tcPr>
          <w:p w14:paraId="31EF9EBC">
            <w:pPr>
              <w:pStyle w:val="15"/>
              <w:spacing w:line="500" w:lineRule="exact"/>
              <w:jc w:val="center"/>
              <w:rPr>
                <w:rFonts w:hint="eastAsia" w:hAnsi="宋体" w:eastAsia="宋体" w:cs="宋体"/>
                <w:sz w:val="22"/>
                <w:szCs w:val="22"/>
                <w:highlight w:val="none"/>
                <w:lang w:val="en-US" w:eastAsia="zh-CN"/>
              </w:rPr>
            </w:pPr>
            <w:r>
              <w:rPr>
                <w:rFonts w:hint="eastAsia" w:hAnsi="宋体" w:cs="宋体"/>
                <w:sz w:val="22"/>
                <w:szCs w:val="22"/>
                <w:highlight w:val="none"/>
                <w:lang w:val="en-US" w:eastAsia="zh-CN"/>
              </w:rPr>
              <w:t>服务期</w:t>
            </w:r>
          </w:p>
        </w:tc>
        <w:tc>
          <w:tcPr>
            <w:tcW w:w="5151" w:type="dxa"/>
            <w:vAlign w:val="center"/>
          </w:tcPr>
          <w:p w14:paraId="7BFA6C4A">
            <w:pPr>
              <w:spacing w:line="500" w:lineRule="exact"/>
              <w:rPr>
                <w:rFonts w:ascii="宋体" w:hAnsi="宋体" w:cs="宋体"/>
                <w:sz w:val="22"/>
                <w:szCs w:val="22"/>
                <w:highlight w:val="none"/>
              </w:rPr>
            </w:pPr>
            <w:r>
              <w:rPr>
                <w:rFonts w:hint="eastAsia" w:ascii="宋体" w:hAnsi="宋体" w:cs="宋体"/>
                <w:sz w:val="22"/>
                <w:szCs w:val="22"/>
                <w:highlight w:val="none"/>
              </w:rPr>
              <w:t>符合第二章“供应商须知前附表”第</w:t>
            </w:r>
            <w:r>
              <w:rPr>
                <w:rFonts w:hint="eastAsia" w:ascii="宋体" w:hAnsi="宋体" w:cs="宋体"/>
                <w:sz w:val="22"/>
                <w:szCs w:val="22"/>
                <w:highlight w:val="none"/>
                <w:lang w:val="en-US" w:eastAsia="zh-CN"/>
              </w:rPr>
              <w:t>8</w:t>
            </w:r>
            <w:r>
              <w:rPr>
                <w:rFonts w:hint="eastAsia" w:ascii="宋体" w:hAnsi="宋体" w:cs="宋体"/>
                <w:sz w:val="22"/>
                <w:szCs w:val="22"/>
                <w:highlight w:val="none"/>
              </w:rPr>
              <w:t>项规定</w:t>
            </w:r>
          </w:p>
        </w:tc>
      </w:tr>
      <w:tr w14:paraId="3A51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vMerge w:val="continue"/>
            <w:vAlign w:val="center"/>
          </w:tcPr>
          <w:p w14:paraId="52BB25E0">
            <w:pPr>
              <w:spacing w:line="500" w:lineRule="exact"/>
              <w:jc w:val="center"/>
              <w:rPr>
                <w:rFonts w:ascii="宋体" w:hAnsi="宋体" w:cs="宋体"/>
                <w:sz w:val="22"/>
                <w:szCs w:val="22"/>
                <w:highlight w:val="none"/>
              </w:rPr>
            </w:pPr>
          </w:p>
        </w:tc>
        <w:tc>
          <w:tcPr>
            <w:tcW w:w="1265" w:type="dxa"/>
            <w:vMerge w:val="continue"/>
            <w:vAlign w:val="center"/>
          </w:tcPr>
          <w:p w14:paraId="24D9BCC6">
            <w:pPr>
              <w:spacing w:line="500" w:lineRule="exact"/>
              <w:jc w:val="center"/>
              <w:rPr>
                <w:rFonts w:ascii="宋体" w:hAnsi="宋体" w:cs="宋体"/>
                <w:sz w:val="22"/>
                <w:szCs w:val="22"/>
                <w:highlight w:val="none"/>
              </w:rPr>
            </w:pPr>
          </w:p>
        </w:tc>
        <w:tc>
          <w:tcPr>
            <w:tcW w:w="2923" w:type="dxa"/>
            <w:vAlign w:val="center"/>
          </w:tcPr>
          <w:p w14:paraId="6ECB0561">
            <w:pPr>
              <w:pStyle w:val="15"/>
              <w:spacing w:line="500" w:lineRule="exact"/>
              <w:jc w:val="center"/>
              <w:rPr>
                <w:rFonts w:hAnsi="宋体" w:cs="宋体"/>
                <w:sz w:val="22"/>
                <w:szCs w:val="22"/>
                <w:highlight w:val="none"/>
              </w:rPr>
            </w:pPr>
            <w:r>
              <w:rPr>
                <w:rFonts w:hint="eastAsia" w:hAnsi="宋体" w:cs="宋体"/>
                <w:sz w:val="22"/>
                <w:szCs w:val="22"/>
                <w:highlight w:val="none"/>
              </w:rPr>
              <w:t>磋商有效期</w:t>
            </w:r>
          </w:p>
        </w:tc>
        <w:tc>
          <w:tcPr>
            <w:tcW w:w="5151" w:type="dxa"/>
            <w:vAlign w:val="center"/>
          </w:tcPr>
          <w:p w14:paraId="1397297E">
            <w:pPr>
              <w:spacing w:line="500" w:lineRule="exact"/>
              <w:rPr>
                <w:rFonts w:ascii="宋体" w:hAnsi="宋体" w:cs="宋体"/>
                <w:sz w:val="22"/>
                <w:szCs w:val="22"/>
                <w:highlight w:val="none"/>
              </w:rPr>
            </w:pPr>
            <w:r>
              <w:rPr>
                <w:rFonts w:hint="eastAsia" w:ascii="宋体" w:hAnsi="宋体" w:cs="宋体"/>
                <w:sz w:val="22"/>
                <w:szCs w:val="22"/>
                <w:highlight w:val="none"/>
              </w:rPr>
              <w:t>符合第二章“供应商须知前附表”第</w:t>
            </w:r>
            <w:r>
              <w:rPr>
                <w:rFonts w:hint="eastAsia" w:ascii="宋体" w:hAnsi="宋体" w:cs="宋体"/>
                <w:sz w:val="22"/>
                <w:szCs w:val="22"/>
                <w:highlight w:val="none"/>
                <w:lang w:val="en-US" w:eastAsia="zh-CN"/>
              </w:rPr>
              <w:t>20</w:t>
            </w:r>
            <w:r>
              <w:rPr>
                <w:rFonts w:hint="eastAsia" w:ascii="宋体" w:hAnsi="宋体" w:cs="宋体"/>
                <w:sz w:val="22"/>
                <w:szCs w:val="22"/>
                <w:highlight w:val="none"/>
              </w:rPr>
              <w:t>项规定</w:t>
            </w:r>
          </w:p>
        </w:tc>
      </w:tr>
      <w:tr w14:paraId="258C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879" w:type="dxa"/>
            <w:vMerge w:val="continue"/>
            <w:vAlign w:val="center"/>
          </w:tcPr>
          <w:p w14:paraId="69D55E75">
            <w:pPr>
              <w:spacing w:line="500" w:lineRule="exact"/>
              <w:jc w:val="center"/>
              <w:rPr>
                <w:rFonts w:ascii="宋体" w:hAnsi="宋体" w:cs="宋体"/>
                <w:sz w:val="22"/>
                <w:szCs w:val="22"/>
                <w:highlight w:val="none"/>
              </w:rPr>
            </w:pPr>
          </w:p>
        </w:tc>
        <w:tc>
          <w:tcPr>
            <w:tcW w:w="1265" w:type="dxa"/>
            <w:vMerge w:val="continue"/>
            <w:vAlign w:val="center"/>
          </w:tcPr>
          <w:p w14:paraId="2E7CD30B">
            <w:pPr>
              <w:spacing w:line="500" w:lineRule="exact"/>
              <w:jc w:val="center"/>
              <w:rPr>
                <w:rFonts w:ascii="宋体" w:hAnsi="宋体" w:cs="宋体"/>
                <w:sz w:val="22"/>
                <w:szCs w:val="22"/>
                <w:highlight w:val="none"/>
              </w:rPr>
            </w:pPr>
          </w:p>
        </w:tc>
        <w:tc>
          <w:tcPr>
            <w:tcW w:w="2923" w:type="dxa"/>
            <w:vAlign w:val="center"/>
          </w:tcPr>
          <w:p w14:paraId="4F0A9C75">
            <w:pPr>
              <w:pStyle w:val="15"/>
              <w:spacing w:line="500" w:lineRule="exact"/>
              <w:jc w:val="center"/>
              <w:rPr>
                <w:rFonts w:hAnsi="宋体" w:cs="宋体"/>
                <w:sz w:val="22"/>
                <w:szCs w:val="22"/>
                <w:highlight w:val="none"/>
              </w:rPr>
            </w:pPr>
            <w:r>
              <w:rPr>
                <w:rFonts w:hint="eastAsia" w:hAnsi="宋体" w:cs="宋体"/>
                <w:sz w:val="22"/>
                <w:szCs w:val="22"/>
                <w:highlight w:val="none"/>
              </w:rPr>
              <w:t>磋商报价</w:t>
            </w:r>
          </w:p>
        </w:tc>
        <w:tc>
          <w:tcPr>
            <w:tcW w:w="5151" w:type="dxa"/>
            <w:vAlign w:val="center"/>
          </w:tcPr>
          <w:p w14:paraId="77B97BC3">
            <w:pPr>
              <w:spacing w:line="500" w:lineRule="exact"/>
              <w:rPr>
                <w:rFonts w:ascii="宋体" w:hAnsi="宋体" w:cs="宋体"/>
                <w:sz w:val="22"/>
                <w:szCs w:val="22"/>
                <w:highlight w:val="none"/>
              </w:rPr>
            </w:pPr>
            <w:r>
              <w:rPr>
                <w:rFonts w:hint="eastAsia" w:ascii="宋体" w:hAnsi="宋体" w:cs="宋体"/>
                <w:sz w:val="22"/>
                <w:szCs w:val="22"/>
                <w:highlight w:val="none"/>
              </w:rPr>
              <w:t>供应商的磋商报价不得高于最高限价，否则按照无效响应处理。</w:t>
            </w:r>
          </w:p>
        </w:tc>
      </w:tr>
      <w:tr w14:paraId="6843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44" w:type="dxa"/>
            <w:gridSpan w:val="2"/>
            <w:vAlign w:val="center"/>
          </w:tcPr>
          <w:p w14:paraId="2A5F4159">
            <w:pPr>
              <w:spacing w:line="500" w:lineRule="exact"/>
              <w:jc w:val="center"/>
              <w:rPr>
                <w:rFonts w:ascii="宋体" w:hAnsi="宋体" w:cs="宋体"/>
                <w:sz w:val="22"/>
                <w:szCs w:val="22"/>
                <w:highlight w:val="none"/>
              </w:rPr>
            </w:pPr>
            <w:r>
              <w:rPr>
                <w:rFonts w:hint="eastAsia" w:ascii="宋体" w:hAnsi="宋体" w:cs="宋体"/>
                <w:sz w:val="22"/>
                <w:szCs w:val="22"/>
                <w:highlight w:val="none"/>
              </w:rPr>
              <w:t>条款号</w:t>
            </w:r>
          </w:p>
        </w:tc>
        <w:tc>
          <w:tcPr>
            <w:tcW w:w="2923" w:type="dxa"/>
            <w:vAlign w:val="center"/>
          </w:tcPr>
          <w:p w14:paraId="7798EC68">
            <w:pPr>
              <w:spacing w:line="500" w:lineRule="exact"/>
              <w:jc w:val="center"/>
              <w:rPr>
                <w:rFonts w:ascii="宋体" w:hAnsi="宋体" w:cs="宋体"/>
                <w:sz w:val="22"/>
                <w:szCs w:val="22"/>
                <w:highlight w:val="none"/>
              </w:rPr>
            </w:pPr>
            <w:r>
              <w:rPr>
                <w:rFonts w:hint="eastAsia" w:ascii="宋体" w:hAnsi="宋体" w:cs="宋体"/>
                <w:sz w:val="22"/>
                <w:szCs w:val="22"/>
                <w:highlight w:val="none"/>
              </w:rPr>
              <w:t>条款内容</w:t>
            </w:r>
          </w:p>
        </w:tc>
        <w:tc>
          <w:tcPr>
            <w:tcW w:w="5151" w:type="dxa"/>
            <w:vAlign w:val="center"/>
          </w:tcPr>
          <w:p w14:paraId="7F869143">
            <w:pPr>
              <w:spacing w:line="500" w:lineRule="exact"/>
              <w:jc w:val="center"/>
              <w:rPr>
                <w:rFonts w:ascii="宋体" w:hAnsi="宋体" w:cs="宋体"/>
                <w:sz w:val="22"/>
                <w:szCs w:val="22"/>
                <w:highlight w:val="none"/>
              </w:rPr>
            </w:pPr>
            <w:r>
              <w:rPr>
                <w:rFonts w:hint="eastAsia" w:ascii="宋体" w:hAnsi="宋体" w:cs="宋体"/>
                <w:sz w:val="22"/>
                <w:szCs w:val="22"/>
                <w:highlight w:val="none"/>
              </w:rPr>
              <w:t>编列内容</w:t>
            </w:r>
          </w:p>
        </w:tc>
      </w:tr>
      <w:tr w14:paraId="25FF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2144" w:type="dxa"/>
            <w:gridSpan w:val="2"/>
            <w:vAlign w:val="center"/>
          </w:tcPr>
          <w:p w14:paraId="14D57F14">
            <w:pPr>
              <w:spacing w:line="500" w:lineRule="exact"/>
              <w:jc w:val="center"/>
              <w:rPr>
                <w:rFonts w:ascii="宋体" w:hAnsi="宋体" w:cs="宋体"/>
                <w:sz w:val="22"/>
                <w:szCs w:val="22"/>
                <w:highlight w:val="none"/>
              </w:rPr>
            </w:pPr>
            <w:r>
              <w:rPr>
                <w:rFonts w:hint="eastAsia" w:ascii="宋体" w:hAnsi="宋体" w:cs="宋体"/>
                <w:sz w:val="22"/>
                <w:szCs w:val="22"/>
                <w:highlight w:val="none"/>
              </w:rPr>
              <w:t>2.2.1</w:t>
            </w:r>
          </w:p>
        </w:tc>
        <w:tc>
          <w:tcPr>
            <w:tcW w:w="2923" w:type="dxa"/>
            <w:vAlign w:val="center"/>
          </w:tcPr>
          <w:p w14:paraId="31366DCC">
            <w:pPr>
              <w:spacing w:line="500" w:lineRule="exact"/>
              <w:jc w:val="center"/>
              <w:rPr>
                <w:rFonts w:ascii="宋体" w:hAnsi="宋体" w:cs="宋体"/>
                <w:sz w:val="22"/>
                <w:szCs w:val="22"/>
                <w:highlight w:val="none"/>
              </w:rPr>
            </w:pPr>
            <w:r>
              <w:rPr>
                <w:rFonts w:hint="eastAsia" w:ascii="宋体" w:hAnsi="宋体" w:cs="宋体"/>
                <w:sz w:val="22"/>
                <w:szCs w:val="22"/>
                <w:highlight w:val="none"/>
              </w:rPr>
              <w:t>分值构成</w:t>
            </w:r>
          </w:p>
          <w:p w14:paraId="388BC35A">
            <w:pPr>
              <w:spacing w:line="500" w:lineRule="exact"/>
              <w:jc w:val="center"/>
              <w:rPr>
                <w:rFonts w:ascii="宋体" w:hAnsi="宋体" w:cs="宋体"/>
                <w:sz w:val="22"/>
                <w:szCs w:val="22"/>
                <w:highlight w:val="none"/>
              </w:rPr>
            </w:pPr>
            <w:r>
              <w:rPr>
                <w:rFonts w:hint="eastAsia" w:ascii="宋体" w:hAnsi="宋体" w:cs="宋体"/>
                <w:sz w:val="22"/>
                <w:szCs w:val="22"/>
                <w:highlight w:val="none"/>
              </w:rPr>
              <w:t>（总分100分）</w:t>
            </w:r>
          </w:p>
        </w:tc>
        <w:tc>
          <w:tcPr>
            <w:tcW w:w="5151" w:type="dxa"/>
            <w:vAlign w:val="center"/>
          </w:tcPr>
          <w:p w14:paraId="75A0242D">
            <w:pPr>
              <w:spacing w:line="500" w:lineRule="exact"/>
              <w:rPr>
                <w:rFonts w:ascii="宋体" w:hAnsi="宋体" w:cs="宋体"/>
                <w:sz w:val="22"/>
                <w:szCs w:val="22"/>
                <w:highlight w:val="none"/>
              </w:rPr>
            </w:pPr>
            <w:r>
              <w:rPr>
                <w:rFonts w:hint="eastAsia" w:ascii="宋体" w:hAnsi="宋体" w:cs="宋体"/>
                <w:sz w:val="22"/>
                <w:szCs w:val="22"/>
                <w:highlight w:val="none"/>
              </w:rPr>
              <w:t>技术标：</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60</w:t>
            </w:r>
            <w:r>
              <w:rPr>
                <w:rFonts w:hint="eastAsia" w:ascii="宋体" w:hAnsi="宋体" w:cs="宋体"/>
                <w:sz w:val="22"/>
                <w:szCs w:val="22"/>
                <w:highlight w:val="none"/>
              </w:rPr>
              <w:t>分</w:t>
            </w:r>
          </w:p>
          <w:p w14:paraId="0159BDA4">
            <w:pPr>
              <w:spacing w:line="500" w:lineRule="exact"/>
              <w:rPr>
                <w:rFonts w:ascii="宋体" w:hAnsi="宋体" w:cs="宋体"/>
                <w:sz w:val="22"/>
                <w:szCs w:val="22"/>
                <w:highlight w:val="none"/>
              </w:rPr>
            </w:pPr>
            <w:r>
              <w:rPr>
                <w:rFonts w:hint="eastAsia" w:ascii="宋体" w:hAnsi="宋体" w:cs="宋体"/>
                <w:sz w:val="22"/>
                <w:szCs w:val="22"/>
                <w:highlight w:val="none"/>
              </w:rPr>
              <w:t>商务标：</w:t>
            </w:r>
            <w:r>
              <w:rPr>
                <w:rFonts w:hint="eastAsia" w:ascii="宋体" w:hAnsi="宋体" w:cs="宋体"/>
                <w:sz w:val="22"/>
                <w:szCs w:val="22"/>
                <w:highlight w:val="none"/>
                <w:u w:val="single"/>
                <w:lang w:val="en-US" w:eastAsia="zh-CN"/>
              </w:rPr>
              <w:t xml:space="preserve">10 </w:t>
            </w:r>
            <w:r>
              <w:rPr>
                <w:rFonts w:hint="eastAsia" w:ascii="宋体" w:hAnsi="宋体" w:cs="宋体"/>
                <w:sz w:val="22"/>
                <w:szCs w:val="22"/>
                <w:highlight w:val="none"/>
              </w:rPr>
              <w:t>分</w:t>
            </w:r>
          </w:p>
          <w:p w14:paraId="37B365A9">
            <w:pPr>
              <w:spacing w:line="500" w:lineRule="exact"/>
              <w:rPr>
                <w:rFonts w:ascii="宋体" w:hAnsi="宋体" w:cs="宋体"/>
                <w:sz w:val="22"/>
                <w:szCs w:val="22"/>
                <w:highlight w:val="none"/>
              </w:rPr>
            </w:pPr>
            <w:r>
              <w:rPr>
                <w:rFonts w:hint="eastAsia" w:ascii="宋体" w:hAnsi="宋体" w:cs="宋体"/>
                <w:sz w:val="22"/>
                <w:szCs w:val="22"/>
                <w:highlight w:val="none"/>
              </w:rPr>
              <w:t>综合标：</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30</w:t>
            </w:r>
            <w:r>
              <w:rPr>
                <w:rFonts w:hint="eastAsia" w:ascii="宋体" w:hAnsi="宋体" w:cs="宋体"/>
                <w:sz w:val="22"/>
                <w:szCs w:val="22"/>
                <w:highlight w:val="none"/>
              </w:rPr>
              <w:t>分</w:t>
            </w:r>
          </w:p>
        </w:tc>
      </w:tr>
      <w:tr w14:paraId="3E28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44" w:type="dxa"/>
            <w:gridSpan w:val="2"/>
            <w:vAlign w:val="center"/>
          </w:tcPr>
          <w:p w14:paraId="4C3B3398">
            <w:pPr>
              <w:spacing w:line="500" w:lineRule="exact"/>
              <w:jc w:val="center"/>
              <w:rPr>
                <w:rFonts w:ascii="宋体" w:hAnsi="宋体" w:cs="宋体"/>
                <w:sz w:val="22"/>
                <w:szCs w:val="22"/>
                <w:highlight w:val="none"/>
              </w:rPr>
            </w:pPr>
            <w:r>
              <w:rPr>
                <w:rFonts w:hint="eastAsia" w:ascii="宋体" w:hAnsi="宋体" w:cs="宋体"/>
                <w:sz w:val="22"/>
                <w:szCs w:val="22"/>
                <w:highlight w:val="none"/>
              </w:rPr>
              <w:t>条款号</w:t>
            </w:r>
          </w:p>
        </w:tc>
        <w:tc>
          <w:tcPr>
            <w:tcW w:w="2923" w:type="dxa"/>
            <w:vAlign w:val="center"/>
          </w:tcPr>
          <w:p w14:paraId="6846940B">
            <w:pPr>
              <w:spacing w:line="500" w:lineRule="exact"/>
              <w:jc w:val="center"/>
              <w:rPr>
                <w:rFonts w:ascii="宋体" w:hAnsi="宋体" w:cs="宋体"/>
                <w:sz w:val="22"/>
                <w:szCs w:val="22"/>
                <w:highlight w:val="none"/>
              </w:rPr>
            </w:pPr>
            <w:r>
              <w:rPr>
                <w:rFonts w:hint="eastAsia" w:ascii="宋体" w:hAnsi="宋体" w:cs="宋体"/>
                <w:sz w:val="22"/>
                <w:szCs w:val="22"/>
                <w:highlight w:val="none"/>
              </w:rPr>
              <w:t>评分因素</w:t>
            </w:r>
          </w:p>
        </w:tc>
        <w:tc>
          <w:tcPr>
            <w:tcW w:w="5151" w:type="dxa"/>
            <w:vAlign w:val="center"/>
          </w:tcPr>
          <w:p w14:paraId="6BC93C46">
            <w:pPr>
              <w:spacing w:line="500" w:lineRule="exact"/>
              <w:jc w:val="center"/>
              <w:rPr>
                <w:rFonts w:ascii="宋体" w:hAnsi="宋体" w:cs="宋体"/>
                <w:sz w:val="22"/>
                <w:szCs w:val="22"/>
                <w:highlight w:val="none"/>
              </w:rPr>
            </w:pPr>
            <w:r>
              <w:rPr>
                <w:rFonts w:hint="eastAsia" w:ascii="宋体" w:hAnsi="宋体" w:cs="宋体"/>
                <w:sz w:val="22"/>
                <w:szCs w:val="22"/>
                <w:highlight w:val="none"/>
              </w:rPr>
              <w:t>评分标准</w:t>
            </w:r>
          </w:p>
        </w:tc>
      </w:tr>
      <w:tr w14:paraId="119F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879" w:type="dxa"/>
            <w:vMerge w:val="restart"/>
            <w:vAlign w:val="center"/>
          </w:tcPr>
          <w:p w14:paraId="013B0C39">
            <w:pPr>
              <w:spacing w:line="500" w:lineRule="exact"/>
              <w:jc w:val="center"/>
              <w:rPr>
                <w:rFonts w:ascii="宋体" w:hAnsi="宋体" w:cs="宋体"/>
                <w:sz w:val="22"/>
                <w:szCs w:val="22"/>
                <w:highlight w:val="none"/>
              </w:rPr>
            </w:pPr>
            <w:r>
              <w:rPr>
                <w:rFonts w:hint="eastAsia" w:ascii="宋体" w:hAnsi="宋体" w:cs="宋体"/>
                <w:sz w:val="22"/>
                <w:szCs w:val="22"/>
                <w:highlight w:val="none"/>
              </w:rPr>
              <w:t>2.2.2</w:t>
            </w:r>
          </w:p>
          <w:p w14:paraId="2F9BAD71">
            <w:pPr>
              <w:spacing w:line="500" w:lineRule="exact"/>
              <w:jc w:val="center"/>
              <w:rPr>
                <w:rFonts w:ascii="宋体" w:hAnsi="宋体" w:cs="宋体"/>
                <w:sz w:val="22"/>
                <w:szCs w:val="22"/>
                <w:highlight w:val="none"/>
              </w:rPr>
            </w:pPr>
            <w:r>
              <w:rPr>
                <w:rFonts w:hint="eastAsia" w:ascii="宋体" w:hAnsi="宋体" w:cs="宋体"/>
                <w:sz w:val="22"/>
                <w:szCs w:val="22"/>
                <w:highlight w:val="none"/>
              </w:rPr>
              <w:t>(1)</w:t>
            </w:r>
          </w:p>
        </w:tc>
        <w:tc>
          <w:tcPr>
            <w:tcW w:w="1265" w:type="dxa"/>
            <w:vMerge w:val="restart"/>
            <w:vAlign w:val="center"/>
          </w:tcPr>
          <w:p w14:paraId="791B1832">
            <w:pPr>
              <w:spacing w:line="500" w:lineRule="exact"/>
              <w:jc w:val="center"/>
              <w:rPr>
                <w:rFonts w:ascii="宋体" w:hAnsi="宋体" w:cs="宋体"/>
                <w:sz w:val="22"/>
                <w:szCs w:val="22"/>
                <w:highlight w:val="none"/>
              </w:rPr>
            </w:pPr>
            <w:r>
              <w:rPr>
                <w:rFonts w:hint="eastAsia" w:ascii="宋体" w:hAnsi="宋体" w:cs="宋体"/>
                <w:sz w:val="22"/>
                <w:szCs w:val="22"/>
                <w:highlight w:val="none"/>
              </w:rPr>
              <w:t>技术部分评分标准（</w:t>
            </w:r>
            <w:r>
              <w:rPr>
                <w:rFonts w:hint="eastAsia" w:ascii="宋体" w:hAnsi="宋体" w:cs="宋体"/>
                <w:sz w:val="22"/>
                <w:szCs w:val="22"/>
                <w:highlight w:val="none"/>
                <w:lang w:val="en-US" w:eastAsia="zh-CN"/>
              </w:rPr>
              <w:t>60</w:t>
            </w:r>
            <w:r>
              <w:rPr>
                <w:rFonts w:hint="eastAsia" w:ascii="宋体" w:hAnsi="宋体" w:cs="宋体"/>
                <w:sz w:val="22"/>
                <w:szCs w:val="22"/>
                <w:highlight w:val="none"/>
              </w:rPr>
              <w:t>分）</w:t>
            </w:r>
          </w:p>
        </w:tc>
        <w:tc>
          <w:tcPr>
            <w:tcW w:w="2923" w:type="dxa"/>
            <w:vAlign w:val="center"/>
          </w:tcPr>
          <w:p w14:paraId="2483C909">
            <w:pPr>
              <w:autoSpaceDE w:val="0"/>
              <w:autoSpaceDN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管理体系制度</w:t>
            </w:r>
          </w:p>
          <w:p w14:paraId="7E9CDF72">
            <w:pPr>
              <w:autoSpaceDE w:val="0"/>
              <w:autoSpaceDN w:val="0"/>
              <w:spacing w:line="360" w:lineRule="auto"/>
              <w:jc w:val="center"/>
              <w:rPr>
                <w:rFonts w:hint="eastAsia" w:ascii="宋体" w:hAnsi="宋体" w:eastAsia="宋体" w:cs="宋体"/>
                <w:sz w:val="22"/>
                <w:szCs w:val="22"/>
                <w:highlight w:val="none"/>
                <w:lang w:eastAsia="zh-CN"/>
              </w:rPr>
            </w:pPr>
            <w:r>
              <w:rPr>
                <w:rFonts w:hint="eastAsia" w:ascii="宋体" w:hAnsi="宋体" w:eastAsia="宋体" w:cs="宋体"/>
                <w:color w:val="auto"/>
                <w:kern w:val="2"/>
                <w:sz w:val="22"/>
                <w:szCs w:val="22"/>
                <w:highlight w:val="none"/>
                <w:lang w:val="en-US" w:eastAsia="zh-CN" w:bidi="ar-SA"/>
              </w:rPr>
              <w:t>（</w:t>
            </w:r>
            <w:r>
              <w:rPr>
                <w:rFonts w:hint="eastAsia" w:ascii="宋体" w:hAnsi="宋体" w:cs="宋体"/>
                <w:color w:val="auto"/>
                <w:kern w:val="2"/>
                <w:sz w:val="22"/>
                <w:szCs w:val="22"/>
                <w:highlight w:val="none"/>
                <w:lang w:val="en-US" w:eastAsia="zh-CN" w:bidi="ar-SA"/>
              </w:rPr>
              <w:t>10</w:t>
            </w:r>
            <w:r>
              <w:rPr>
                <w:rFonts w:hint="eastAsia" w:ascii="宋体" w:hAnsi="宋体" w:eastAsia="宋体" w:cs="宋体"/>
                <w:color w:val="auto"/>
                <w:kern w:val="2"/>
                <w:sz w:val="22"/>
                <w:szCs w:val="22"/>
                <w:highlight w:val="none"/>
                <w:lang w:val="en-US" w:eastAsia="zh-CN" w:bidi="ar-SA"/>
              </w:rPr>
              <w:t>分）</w:t>
            </w:r>
          </w:p>
        </w:tc>
        <w:tc>
          <w:tcPr>
            <w:tcW w:w="5151" w:type="dxa"/>
            <w:vAlign w:val="center"/>
          </w:tcPr>
          <w:p w14:paraId="6B5AF83C">
            <w:pPr>
              <w:numPr>
                <w:ilvl w:val="0"/>
                <w:numId w:val="0"/>
              </w:num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针对本项目供应商提供完善的食材来源制度、食材采购管理制度、验收管理制度、食品储藏、操作规范、卫生管理控制或管理方案（食品卫生，人员卫生，环境卫生，垃圾处理方案等）检验制度和留样制度，出入库管理工作防范措施：与采购人或</w:t>
            </w:r>
            <w:r>
              <w:rPr>
                <w:rFonts w:hint="eastAsia" w:ascii="宋体" w:hAnsi="宋体" w:cs="宋体"/>
                <w:color w:val="auto"/>
                <w:sz w:val="22"/>
                <w:szCs w:val="22"/>
                <w:highlight w:val="none"/>
                <w:lang w:val="en-US" w:eastAsia="zh-CN"/>
              </w:rPr>
              <w:t>敬老院</w:t>
            </w:r>
            <w:r>
              <w:rPr>
                <w:rFonts w:hint="eastAsia" w:ascii="宋体" w:hAnsi="宋体" w:eastAsia="宋体" w:cs="宋体"/>
                <w:color w:val="auto"/>
                <w:sz w:val="22"/>
                <w:szCs w:val="22"/>
                <w:highlight w:val="none"/>
                <w:lang w:val="en-US" w:eastAsia="zh-CN"/>
              </w:rPr>
              <w:t>建立沟通机制，定期了解采购人或</w:t>
            </w:r>
            <w:r>
              <w:rPr>
                <w:rFonts w:hint="eastAsia" w:ascii="宋体" w:hAnsi="宋体" w:cs="宋体"/>
                <w:color w:val="auto"/>
                <w:sz w:val="22"/>
                <w:szCs w:val="22"/>
                <w:highlight w:val="none"/>
                <w:lang w:val="en-US" w:eastAsia="zh-CN"/>
              </w:rPr>
              <w:t>敬老院</w:t>
            </w:r>
            <w:r>
              <w:rPr>
                <w:rFonts w:hint="eastAsia" w:ascii="宋体" w:hAnsi="宋体" w:eastAsia="宋体" w:cs="宋体"/>
                <w:color w:val="auto"/>
                <w:sz w:val="22"/>
                <w:szCs w:val="22"/>
                <w:highlight w:val="none"/>
                <w:lang w:val="en-US" w:eastAsia="zh-CN"/>
              </w:rPr>
              <w:t>对食材质量、品种的意见建议，及时改进服务机制等内容。</w:t>
            </w:r>
          </w:p>
          <w:p w14:paraId="6224182A">
            <w:pPr>
              <w:numPr>
                <w:ilvl w:val="0"/>
                <w:numId w:val="0"/>
              </w:num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（1）方案内容全面详实，针对性强，整体科学合理，可操作性强的得</w:t>
            </w:r>
            <w:r>
              <w:rPr>
                <w:rFonts w:hint="eastAsia" w:ascii="宋体" w:hAnsi="宋体" w:cs="宋体"/>
                <w:color w:val="auto"/>
                <w:sz w:val="22"/>
                <w:szCs w:val="22"/>
                <w:highlight w:val="none"/>
                <w:lang w:val="en-US" w:eastAsia="zh-CN"/>
              </w:rPr>
              <w:t>10</w:t>
            </w:r>
            <w:r>
              <w:rPr>
                <w:rFonts w:hint="eastAsia" w:ascii="宋体" w:hAnsi="宋体" w:eastAsia="宋体" w:cs="宋体"/>
                <w:color w:val="auto"/>
                <w:sz w:val="22"/>
                <w:szCs w:val="22"/>
                <w:highlight w:val="none"/>
                <w:lang w:val="en-US" w:eastAsia="zh-CN"/>
              </w:rPr>
              <w:t>分；</w:t>
            </w:r>
          </w:p>
          <w:p w14:paraId="3654681C">
            <w:pPr>
              <w:numPr>
                <w:ilvl w:val="0"/>
                <w:numId w:val="0"/>
              </w:num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（2）方案包含要求内容，针对性较好，整体较为合理，具有一定的可操作性的得</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lang w:val="en-US" w:eastAsia="zh-CN"/>
              </w:rPr>
              <w:t>分；</w:t>
            </w:r>
          </w:p>
          <w:p w14:paraId="64010CCC">
            <w:pPr>
              <w:numPr>
                <w:ilvl w:val="0"/>
                <w:numId w:val="0"/>
              </w:num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（3）提供有方案，但内容不全面，针对性不强的得</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lang w:val="en-US" w:eastAsia="zh-CN"/>
              </w:rPr>
              <w:t>分；</w:t>
            </w:r>
          </w:p>
          <w:p w14:paraId="380DE221">
            <w:pPr>
              <w:numPr>
                <w:ilvl w:val="0"/>
                <w:numId w:val="0"/>
              </w:numPr>
              <w:spacing w:line="360" w:lineRule="auto"/>
              <w:ind w:left="0" w:leftChars="0" w:firstLine="0" w:firstLineChars="0"/>
              <w:rPr>
                <w:rFonts w:hint="default" w:eastAsia="宋体"/>
                <w:sz w:val="22"/>
                <w:szCs w:val="22"/>
                <w:highlight w:val="none"/>
                <w:lang w:val="en-US" w:eastAsia="zh-CN"/>
              </w:rPr>
            </w:pPr>
            <w:r>
              <w:rPr>
                <w:rFonts w:hint="eastAsia" w:ascii="宋体" w:hAnsi="宋体" w:eastAsia="宋体" w:cs="宋体"/>
                <w:color w:val="auto"/>
                <w:sz w:val="22"/>
                <w:szCs w:val="22"/>
                <w:highlight w:val="none"/>
                <w:lang w:val="en-US" w:eastAsia="zh-CN"/>
              </w:rPr>
              <w:t>（4）未提供不得分。</w:t>
            </w:r>
          </w:p>
        </w:tc>
      </w:tr>
      <w:tr w14:paraId="0AAE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879" w:type="dxa"/>
            <w:vMerge w:val="continue"/>
            <w:vAlign w:val="center"/>
          </w:tcPr>
          <w:p w14:paraId="779703F4">
            <w:pPr>
              <w:spacing w:line="500" w:lineRule="exact"/>
              <w:jc w:val="center"/>
              <w:rPr>
                <w:rFonts w:hint="eastAsia" w:ascii="宋体" w:hAnsi="宋体" w:cs="宋体"/>
                <w:sz w:val="22"/>
                <w:szCs w:val="22"/>
                <w:highlight w:val="none"/>
              </w:rPr>
            </w:pPr>
          </w:p>
        </w:tc>
        <w:tc>
          <w:tcPr>
            <w:tcW w:w="1265" w:type="dxa"/>
            <w:vMerge w:val="continue"/>
            <w:vAlign w:val="center"/>
          </w:tcPr>
          <w:p w14:paraId="6B173FBD">
            <w:pPr>
              <w:spacing w:line="500" w:lineRule="exact"/>
              <w:jc w:val="center"/>
              <w:rPr>
                <w:rFonts w:hint="eastAsia" w:ascii="宋体" w:hAnsi="宋体" w:cs="宋体"/>
                <w:sz w:val="22"/>
                <w:szCs w:val="22"/>
                <w:highlight w:val="none"/>
              </w:rPr>
            </w:pPr>
          </w:p>
        </w:tc>
        <w:tc>
          <w:tcPr>
            <w:tcW w:w="2923" w:type="dxa"/>
            <w:vAlign w:val="center"/>
          </w:tcPr>
          <w:p w14:paraId="5368DB94">
            <w:pPr>
              <w:widowControl/>
              <w:spacing w:line="360" w:lineRule="auto"/>
              <w:jc w:val="center"/>
              <w:rPr>
                <w:rFonts w:hint="eastAsia" w:ascii="宋体" w:hAnsi="宋体" w:eastAsia="宋体" w:cs="宋体"/>
                <w:sz w:val="22"/>
                <w:szCs w:val="22"/>
                <w:highlight w:val="none"/>
              </w:rPr>
            </w:pPr>
            <w:r>
              <w:rPr>
                <w:rFonts w:hint="eastAsia" w:ascii="宋体" w:hAnsi="宋体" w:eastAsia="宋体" w:cs="宋体"/>
                <w:color w:val="auto"/>
                <w:kern w:val="2"/>
                <w:sz w:val="22"/>
                <w:szCs w:val="22"/>
                <w:highlight w:val="none"/>
                <w:lang w:val="en-US" w:eastAsia="zh-CN" w:bidi="ar-SA"/>
              </w:rPr>
              <w:t>配送运输方案及措施（</w:t>
            </w:r>
            <w:r>
              <w:rPr>
                <w:rFonts w:hint="eastAsia" w:ascii="宋体" w:hAnsi="宋体" w:cs="宋体"/>
                <w:color w:val="auto"/>
                <w:kern w:val="2"/>
                <w:sz w:val="22"/>
                <w:szCs w:val="22"/>
                <w:highlight w:val="none"/>
                <w:lang w:val="en-US" w:eastAsia="zh-CN" w:bidi="ar-SA"/>
              </w:rPr>
              <w:t>10</w:t>
            </w:r>
            <w:r>
              <w:rPr>
                <w:rFonts w:hint="eastAsia" w:ascii="宋体" w:hAnsi="宋体" w:eastAsia="宋体" w:cs="宋体"/>
                <w:color w:val="auto"/>
                <w:kern w:val="2"/>
                <w:sz w:val="22"/>
                <w:szCs w:val="22"/>
                <w:highlight w:val="none"/>
                <w:lang w:val="en-US" w:eastAsia="zh-CN" w:bidi="ar-SA"/>
              </w:rPr>
              <w:t>分）</w:t>
            </w:r>
          </w:p>
        </w:tc>
        <w:tc>
          <w:tcPr>
            <w:tcW w:w="5151" w:type="dxa"/>
            <w:vAlign w:val="center"/>
          </w:tcPr>
          <w:p w14:paraId="0224D787">
            <w:p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供应商根据各</w:t>
            </w:r>
            <w:r>
              <w:rPr>
                <w:rFonts w:hint="eastAsia" w:ascii="宋体" w:hAnsi="宋体" w:cs="宋体"/>
                <w:color w:val="auto"/>
                <w:sz w:val="22"/>
                <w:szCs w:val="22"/>
                <w:highlight w:val="none"/>
                <w:lang w:val="en-US" w:eastAsia="zh-CN"/>
              </w:rPr>
              <w:t>敬老院</w:t>
            </w:r>
            <w:r>
              <w:rPr>
                <w:rFonts w:hint="eastAsia" w:ascii="宋体" w:hAnsi="宋体" w:eastAsia="宋体" w:cs="宋体"/>
                <w:color w:val="auto"/>
                <w:sz w:val="22"/>
                <w:szCs w:val="22"/>
                <w:highlight w:val="none"/>
                <w:lang w:val="en-US" w:eastAsia="zh-CN"/>
              </w:rPr>
              <w:t>位置，提前规划好路线图，提供配送方案，保证配送的时间按时到达保证在规定的时间前，将食材送到位包合运送制度、车辆配备安排、线路安排、全流程时间安排、储存条件；供应商在配送过程中，遇到紧急、突发问题时候的解决措施方案，反应时间、应急配送人员技术能力、服务保障现场与各部门的协调</w:t>
            </w:r>
          </w:p>
          <w:p w14:paraId="324AE294">
            <w:p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（1）方案内容全面详实，针对性强，整体科学合理，可操作性强的得</w:t>
            </w:r>
            <w:r>
              <w:rPr>
                <w:rFonts w:hint="eastAsia" w:ascii="宋体" w:hAnsi="宋体" w:cs="宋体"/>
                <w:color w:val="auto"/>
                <w:sz w:val="22"/>
                <w:szCs w:val="22"/>
                <w:highlight w:val="none"/>
                <w:lang w:val="en-US" w:eastAsia="zh-CN"/>
              </w:rPr>
              <w:t>10</w:t>
            </w:r>
            <w:r>
              <w:rPr>
                <w:rFonts w:hint="eastAsia" w:ascii="宋体" w:hAnsi="宋体" w:eastAsia="宋体" w:cs="宋体"/>
                <w:color w:val="auto"/>
                <w:sz w:val="22"/>
                <w:szCs w:val="22"/>
                <w:highlight w:val="none"/>
                <w:lang w:val="en-US" w:eastAsia="zh-CN"/>
              </w:rPr>
              <w:t>分；</w:t>
            </w:r>
          </w:p>
          <w:p w14:paraId="15A4CA24">
            <w:p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（2）方案包含要求内容，针对性较好，整体较为合理，具有一定的可操作性的得</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lang w:val="en-US" w:eastAsia="zh-CN"/>
              </w:rPr>
              <w:t>分；</w:t>
            </w:r>
          </w:p>
          <w:p w14:paraId="771C690C">
            <w:p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（3）提供有方案，但内容不全面，针对性不强的得</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lang w:val="en-US" w:eastAsia="zh-CN"/>
              </w:rPr>
              <w:t>分；</w:t>
            </w:r>
          </w:p>
          <w:p w14:paraId="799199B8">
            <w:pPr>
              <w:spacing w:line="360" w:lineRule="auto"/>
              <w:rPr>
                <w:rFonts w:hint="eastAsia"/>
                <w:sz w:val="22"/>
                <w:szCs w:val="22"/>
                <w:highlight w:val="none"/>
              </w:rPr>
            </w:pPr>
            <w:r>
              <w:rPr>
                <w:rFonts w:hint="eastAsia" w:ascii="宋体" w:hAnsi="宋体" w:eastAsia="宋体" w:cs="宋体"/>
                <w:color w:val="auto"/>
                <w:sz w:val="22"/>
                <w:szCs w:val="22"/>
                <w:highlight w:val="none"/>
                <w:lang w:val="en-US" w:eastAsia="zh-CN"/>
              </w:rPr>
              <w:t>（4）未提供不得分。</w:t>
            </w:r>
          </w:p>
        </w:tc>
      </w:tr>
      <w:tr w14:paraId="3BF4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879" w:type="dxa"/>
            <w:vMerge w:val="continue"/>
            <w:vAlign w:val="center"/>
          </w:tcPr>
          <w:p w14:paraId="610E40C7">
            <w:pPr>
              <w:spacing w:line="500" w:lineRule="exact"/>
              <w:jc w:val="center"/>
              <w:rPr>
                <w:rFonts w:hint="eastAsia" w:ascii="宋体" w:hAnsi="宋体" w:cs="宋体"/>
                <w:sz w:val="22"/>
                <w:szCs w:val="22"/>
                <w:highlight w:val="none"/>
              </w:rPr>
            </w:pPr>
          </w:p>
        </w:tc>
        <w:tc>
          <w:tcPr>
            <w:tcW w:w="1265" w:type="dxa"/>
            <w:vMerge w:val="continue"/>
            <w:vAlign w:val="center"/>
          </w:tcPr>
          <w:p w14:paraId="3A1E7CD6">
            <w:pPr>
              <w:spacing w:line="500" w:lineRule="exact"/>
              <w:jc w:val="center"/>
              <w:rPr>
                <w:rFonts w:hint="eastAsia" w:ascii="宋体" w:hAnsi="宋体" w:cs="宋体"/>
                <w:sz w:val="22"/>
                <w:szCs w:val="22"/>
                <w:highlight w:val="none"/>
              </w:rPr>
            </w:pPr>
          </w:p>
        </w:tc>
        <w:tc>
          <w:tcPr>
            <w:tcW w:w="2923" w:type="dxa"/>
            <w:vAlign w:val="center"/>
          </w:tcPr>
          <w:p w14:paraId="7DA199D6">
            <w:pPr>
              <w:autoSpaceDE w:val="0"/>
              <w:autoSpaceDN w:val="0"/>
              <w:spacing w:line="360" w:lineRule="auto"/>
              <w:jc w:val="center"/>
              <w:rPr>
                <w:rFonts w:hint="eastAsia" w:ascii="宋体" w:hAnsi="宋体" w:eastAsia="宋体" w:cs="宋体"/>
                <w:sz w:val="22"/>
                <w:szCs w:val="22"/>
                <w:highlight w:val="none"/>
              </w:rPr>
            </w:pPr>
            <w:r>
              <w:rPr>
                <w:rFonts w:hint="eastAsia" w:ascii="宋体" w:hAnsi="宋体" w:cs="宋体"/>
                <w:color w:val="auto"/>
                <w:kern w:val="2"/>
                <w:sz w:val="22"/>
                <w:szCs w:val="22"/>
                <w:highlight w:val="none"/>
                <w:lang w:val="en-US" w:eastAsia="zh-CN" w:bidi="ar-SA"/>
              </w:rPr>
              <w:t>食材的质量、安全管理制度与保障措施或方案（10分）</w:t>
            </w:r>
          </w:p>
        </w:tc>
        <w:tc>
          <w:tcPr>
            <w:tcW w:w="5151" w:type="dxa"/>
            <w:vAlign w:val="center"/>
          </w:tcPr>
          <w:p w14:paraId="1D97092F">
            <w:pPr>
              <w:spacing w:line="360" w:lineRule="auto"/>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食材的质量、安全的保证措施及方案包括食品质量保障新鲜与调换措施等内容。</w:t>
            </w:r>
          </w:p>
          <w:p w14:paraId="4E323E83">
            <w:pPr>
              <w:spacing w:line="360" w:lineRule="auto"/>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（1）方案内容全面详实，针对性强，整体科学合理，可操作性强的得10分；</w:t>
            </w:r>
          </w:p>
          <w:p w14:paraId="00536329">
            <w:pPr>
              <w:spacing w:line="360" w:lineRule="auto"/>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（2）方案包含要求内容，针对性较好，整体较为合理，具有一定的可操作性的得6分；</w:t>
            </w:r>
          </w:p>
          <w:p w14:paraId="694F87CE">
            <w:pPr>
              <w:spacing w:line="360" w:lineRule="auto"/>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（3）提供有方案，但内容不全面，针对性不强的得2分；</w:t>
            </w:r>
          </w:p>
          <w:p w14:paraId="01E91A1C">
            <w:pPr>
              <w:spacing w:line="360" w:lineRule="auto"/>
              <w:rPr>
                <w:rFonts w:hint="eastAsia"/>
                <w:sz w:val="22"/>
                <w:szCs w:val="22"/>
                <w:highlight w:val="none"/>
              </w:rPr>
            </w:pPr>
            <w:r>
              <w:rPr>
                <w:rFonts w:hint="eastAsia" w:ascii="宋体" w:hAnsi="宋体" w:cs="宋体"/>
                <w:color w:val="auto"/>
                <w:kern w:val="2"/>
                <w:sz w:val="22"/>
                <w:szCs w:val="22"/>
                <w:highlight w:val="none"/>
                <w:lang w:val="en-US" w:eastAsia="zh-CN" w:bidi="ar-SA"/>
              </w:rPr>
              <w:t>（4）未提供不得分。</w:t>
            </w:r>
          </w:p>
        </w:tc>
      </w:tr>
      <w:tr w14:paraId="160E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vMerge w:val="continue"/>
            <w:vAlign w:val="center"/>
          </w:tcPr>
          <w:p w14:paraId="015FC8E2">
            <w:pPr>
              <w:spacing w:line="500" w:lineRule="exact"/>
              <w:jc w:val="center"/>
              <w:rPr>
                <w:sz w:val="22"/>
                <w:szCs w:val="22"/>
                <w:highlight w:val="none"/>
              </w:rPr>
            </w:pPr>
          </w:p>
        </w:tc>
        <w:tc>
          <w:tcPr>
            <w:tcW w:w="1265" w:type="dxa"/>
            <w:vMerge w:val="continue"/>
            <w:vAlign w:val="center"/>
          </w:tcPr>
          <w:p w14:paraId="1D4467E5">
            <w:pPr>
              <w:spacing w:line="500" w:lineRule="exact"/>
              <w:jc w:val="center"/>
              <w:rPr>
                <w:sz w:val="22"/>
                <w:szCs w:val="22"/>
                <w:highlight w:val="none"/>
              </w:rPr>
            </w:pPr>
          </w:p>
        </w:tc>
        <w:tc>
          <w:tcPr>
            <w:tcW w:w="2923" w:type="dxa"/>
            <w:vAlign w:val="center"/>
          </w:tcPr>
          <w:p w14:paraId="2ED01EF9">
            <w:pPr>
              <w:autoSpaceDE w:val="0"/>
              <w:autoSpaceDN w:val="0"/>
              <w:spacing w:line="360" w:lineRule="auto"/>
              <w:jc w:val="center"/>
              <w:rPr>
                <w:rFonts w:hint="eastAsia" w:ascii="宋体" w:hAnsi="宋体" w:eastAsia="宋体" w:cs="宋体"/>
                <w:sz w:val="22"/>
                <w:szCs w:val="22"/>
                <w:highlight w:val="none"/>
              </w:rPr>
            </w:pPr>
            <w:r>
              <w:rPr>
                <w:rFonts w:hint="eastAsia" w:ascii="宋体" w:hAnsi="宋体" w:cs="宋体"/>
                <w:color w:val="auto"/>
                <w:kern w:val="2"/>
                <w:sz w:val="22"/>
                <w:szCs w:val="22"/>
                <w:highlight w:val="none"/>
                <w:lang w:val="en-US" w:eastAsia="zh-CN" w:bidi="ar-SA"/>
              </w:rPr>
              <w:t>食品安全事故的预防措施及方案和可能事故后的应急预案(10分)</w:t>
            </w:r>
          </w:p>
        </w:tc>
        <w:tc>
          <w:tcPr>
            <w:tcW w:w="5151" w:type="dxa"/>
            <w:vAlign w:val="center"/>
          </w:tcPr>
          <w:p w14:paraId="18D408B6">
            <w:pPr>
              <w:spacing w:line="360" w:lineRule="auto"/>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为防止食品安全事故的预防措施及可能事故应急预案等，从人员救治、危害控制、事故调查、善后处理等的全面性、预见性综合分析。</w:t>
            </w:r>
          </w:p>
          <w:p w14:paraId="20FCE665">
            <w:pPr>
              <w:spacing w:line="360" w:lineRule="auto"/>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（1）方案内容全面详实，针对性强，整体科学合理，可操作性强的得10分；</w:t>
            </w:r>
          </w:p>
          <w:p w14:paraId="3BCE78FD">
            <w:pPr>
              <w:spacing w:line="360" w:lineRule="auto"/>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（2）方案包含要求内容，针对性较好，整体较为合理，具有一定的可操作性的得6分；</w:t>
            </w:r>
          </w:p>
          <w:p w14:paraId="4FACC3E8">
            <w:pPr>
              <w:spacing w:line="360" w:lineRule="auto"/>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（3）提供有方案，但内容不全面，针对性不强的得2分；</w:t>
            </w:r>
          </w:p>
          <w:p w14:paraId="62F25589">
            <w:pPr>
              <w:spacing w:line="360" w:lineRule="auto"/>
              <w:rPr>
                <w:rFonts w:hint="eastAsia"/>
                <w:sz w:val="22"/>
                <w:szCs w:val="22"/>
                <w:highlight w:val="none"/>
              </w:rPr>
            </w:pPr>
            <w:r>
              <w:rPr>
                <w:rFonts w:hint="eastAsia" w:ascii="宋体" w:hAnsi="宋体" w:cs="宋体"/>
                <w:color w:val="auto"/>
                <w:kern w:val="2"/>
                <w:sz w:val="22"/>
                <w:szCs w:val="22"/>
                <w:highlight w:val="none"/>
                <w:lang w:val="en-US" w:eastAsia="zh-CN" w:bidi="ar-SA"/>
              </w:rPr>
              <w:t>（4）未提供不得分。</w:t>
            </w:r>
          </w:p>
        </w:tc>
      </w:tr>
      <w:tr w14:paraId="4D5A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vMerge w:val="continue"/>
            <w:vAlign w:val="center"/>
          </w:tcPr>
          <w:p w14:paraId="21FFC647">
            <w:pPr>
              <w:spacing w:line="500" w:lineRule="exact"/>
              <w:jc w:val="center"/>
              <w:rPr>
                <w:sz w:val="22"/>
                <w:szCs w:val="22"/>
                <w:highlight w:val="none"/>
              </w:rPr>
            </w:pPr>
          </w:p>
        </w:tc>
        <w:tc>
          <w:tcPr>
            <w:tcW w:w="1265" w:type="dxa"/>
            <w:vMerge w:val="continue"/>
            <w:vAlign w:val="center"/>
          </w:tcPr>
          <w:p w14:paraId="2697A70F">
            <w:pPr>
              <w:spacing w:line="500" w:lineRule="exact"/>
              <w:jc w:val="center"/>
              <w:rPr>
                <w:sz w:val="22"/>
                <w:szCs w:val="22"/>
                <w:highlight w:val="none"/>
              </w:rPr>
            </w:pPr>
          </w:p>
        </w:tc>
        <w:tc>
          <w:tcPr>
            <w:tcW w:w="2923" w:type="dxa"/>
            <w:vAlign w:val="center"/>
          </w:tcPr>
          <w:p w14:paraId="2C51E3EF">
            <w:pPr>
              <w:autoSpaceDE w:val="0"/>
              <w:autoSpaceDN w:val="0"/>
              <w:spacing w:line="360" w:lineRule="auto"/>
              <w:jc w:val="center"/>
              <w:rPr>
                <w:rFonts w:hint="eastAsia" w:ascii="宋体" w:hAnsi="宋体" w:eastAsia="宋体" w:cs="宋体"/>
                <w:color w:val="auto"/>
                <w:kern w:val="2"/>
                <w:sz w:val="22"/>
                <w:szCs w:val="22"/>
                <w:highlight w:val="none"/>
                <w:lang w:val="zh-TW" w:eastAsia="zh-CN" w:bidi="ar-SA"/>
              </w:rPr>
            </w:pPr>
            <w:r>
              <w:rPr>
                <w:rFonts w:hint="eastAsia" w:ascii="宋体" w:hAnsi="宋体" w:eastAsia="宋体" w:cs="宋体"/>
                <w:color w:val="auto"/>
                <w:kern w:val="2"/>
                <w:sz w:val="22"/>
                <w:szCs w:val="22"/>
                <w:highlight w:val="none"/>
                <w:lang w:val="zh-TW" w:eastAsia="zh-CN" w:bidi="ar-SA"/>
              </w:rPr>
              <w:t>食材选购人员职责体系和管理措施</w:t>
            </w:r>
          </w:p>
          <w:p w14:paraId="113E01EC">
            <w:pPr>
              <w:autoSpaceDE w:val="0"/>
              <w:autoSpaceDN w:val="0"/>
              <w:spacing w:line="360" w:lineRule="auto"/>
              <w:jc w:val="center"/>
              <w:rPr>
                <w:rFonts w:hint="eastAsia" w:ascii="宋体" w:hAnsi="宋体" w:eastAsia="宋体" w:cs="宋体"/>
                <w:sz w:val="22"/>
                <w:szCs w:val="22"/>
                <w:highlight w:val="none"/>
              </w:rPr>
            </w:pPr>
            <w:r>
              <w:rPr>
                <w:rFonts w:hint="eastAsia" w:ascii="宋体" w:hAnsi="宋体" w:eastAsia="宋体" w:cs="宋体"/>
                <w:color w:val="auto"/>
                <w:kern w:val="2"/>
                <w:sz w:val="22"/>
                <w:szCs w:val="22"/>
                <w:highlight w:val="none"/>
                <w:lang w:val="zh-TW" w:eastAsia="zh-CN" w:bidi="ar-SA"/>
              </w:rPr>
              <w:t>（</w:t>
            </w:r>
            <w:r>
              <w:rPr>
                <w:rFonts w:hint="eastAsia" w:ascii="宋体" w:hAnsi="宋体" w:cs="宋体"/>
                <w:color w:val="auto"/>
                <w:kern w:val="2"/>
                <w:sz w:val="22"/>
                <w:szCs w:val="22"/>
                <w:highlight w:val="none"/>
                <w:lang w:val="en-US" w:eastAsia="zh-CN" w:bidi="ar-SA"/>
              </w:rPr>
              <w:t>8</w:t>
            </w:r>
            <w:r>
              <w:rPr>
                <w:rFonts w:hint="eastAsia" w:ascii="宋体" w:hAnsi="宋体" w:eastAsia="宋体" w:cs="宋体"/>
                <w:color w:val="auto"/>
                <w:kern w:val="2"/>
                <w:sz w:val="22"/>
                <w:szCs w:val="22"/>
                <w:highlight w:val="none"/>
                <w:lang w:val="en-US" w:eastAsia="zh-CN" w:bidi="ar-SA"/>
              </w:rPr>
              <w:t>分</w:t>
            </w:r>
            <w:r>
              <w:rPr>
                <w:rFonts w:hint="eastAsia" w:ascii="宋体" w:hAnsi="宋体" w:eastAsia="宋体" w:cs="宋体"/>
                <w:color w:val="auto"/>
                <w:kern w:val="2"/>
                <w:sz w:val="22"/>
                <w:szCs w:val="22"/>
                <w:highlight w:val="none"/>
                <w:lang w:val="zh-TW" w:eastAsia="zh-CN" w:bidi="ar-SA"/>
              </w:rPr>
              <w:t>）</w:t>
            </w:r>
          </w:p>
        </w:tc>
        <w:tc>
          <w:tcPr>
            <w:tcW w:w="5151" w:type="dxa"/>
            <w:vAlign w:val="center"/>
          </w:tcPr>
          <w:p w14:paraId="3963E73F">
            <w:pPr>
              <w:autoSpaceDE w:val="0"/>
              <w:autoSpaceDN w:val="0"/>
              <w:adjustRightInd w:val="0"/>
              <w:spacing w:line="360" w:lineRule="auto"/>
              <w:textAlignment w:val="baseline"/>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食材选购人员职责体系、考核办法、分工安排与人员的管理方案内容；</w:t>
            </w:r>
          </w:p>
          <w:p w14:paraId="3F5B03FC">
            <w:pPr>
              <w:autoSpaceDE w:val="0"/>
              <w:autoSpaceDN w:val="0"/>
              <w:adjustRightInd w:val="0"/>
              <w:spacing w:line="360" w:lineRule="auto"/>
              <w:textAlignment w:val="baseline"/>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（1）方案内容全面详实，针对性强，整体科学合理，可操作性强的得</w:t>
            </w:r>
            <w:r>
              <w:rPr>
                <w:rFonts w:hint="eastAsia" w:ascii="宋体" w:hAnsi="宋体" w:cs="宋体"/>
                <w:color w:val="auto"/>
                <w:kern w:val="2"/>
                <w:sz w:val="22"/>
                <w:szCs w:val="22"/>
                <w:highlight w:val="none"/>
                <w:lang w:val="en-US" w:eastAsia="zh-CN" w:bidi="ar-SA"/>
              </w:rPr>
              <w:t>8</w:t>
            </w:r>
            <w:r>
              <w:rPr>
                <w:rFonts w:hint="eastAsia" w:ascii="宋体" w:hAnsi="宋体" w:eastAsia="宋体" w:cs="宋体"/>
                <w:color w:val="auto"/>
                <w:kern w:val="2"/>
                <w:sz w:val="22"/>
                <w:szCs w:val="22"/>
                <w:highlight w:val="none"/>
                <w:lang w:val="en-US" w:eastAsia="zh-CN" w:bidi="ar-SA"/>
              </w:rPr>
              <w:t>分；</w:t>
            </w:r>
          </w:p>
          <w:p w14:paraId="3664312B">
            <w:pPr>
              <w:autoSpaceDE w:val="0"/>
              <w:autoSpaceDN w:val="0"/>
              <w:adjustRightInd w:val="0"/>
              <w:spacing w:line="360" w:lineRule="auto"/>
              <w:textAlignment w:val="baseline"/>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（2）方案包含要求内容，针对性较好，整体较为合理，具有一定的可操作性的得</w:t>
            </w:r>
            <w:r>
              <w:rPr>
                <w:rFonts w:hint="eastAsia" w:ascii="宋体" w:hAnsi="宋体" w:cs="宋体"/>
                <w:color w:val="auto"/>
                <w:kern w:val="2"/>
                <w:sz w:val="22"/>
                <w:szCs w:val="22"/>
                <w:highlight w:val="none"/>
                <w:lang w:val="en-US" w:eastAsia="zh-CN" w:bidi="ar-SA"/>
              </w:rPr>
              <w:t>5</w:t>
            </w:r>
            <w:r>
              <w:rPr>
                <w:rFonts w:hint="eastAsia" w:ascii="宋体" w:hAnsi="宋体" w:eastAsia="宋体" w:cs="宋体"/>
                <w:color w:val="auto"/>
                <w:kern w:val="2"/>
                <w:sz w:val="22"/>
                <w:szCs w:val="22"/>
                <w:highlight w:val="none"/>
                <w:lang w:val="en-US" w:eastAsia="zh-CN" w:bidi="ar-SA"/>
              </w:rPr>
              <w:t>分；</w:t>
            </w:r>
          </w:p>
          <w:p w14:paraId="5D10F1C3">
            <w:pPr>
              <w:autoSpaceDE w:val="0"/>
              <w:autoSpaceDN w:val="0"/>
              <w:adjustRightInd w:val="0"/>
              <w:spacing w:line="360" w:lineRule="auto"/>
              <w:textAlignment w:val="baseline"/>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（3）提供有方案，但内容不全面，针对性不强的得</w:t>
            </w:r>
            <w:r>
              <w:rPr>
                <w:rFonts w:hint="eastAsia" w:ascii="宋体" w:hAnsi="宋体" w:cs="宋体"/>
                <w:color w:val="auto"/>
                <w:kern w:val="2"/>
                <w:sz w:val="22"/>
                <w:szCs w:val="22"/>
                <w:highlight w:val="none"/>
                <w:lang w:val="en-US" w:eastAsia="zh-CN" w:bidi="ar-SA"/>
              </w:rPr>
              <w:t>2</w:t>
            </w:r>
            <w:r>
              <w:rPr>
                <w:rFonts w:hint="eastAsia" w:ascii="宋体" w:hAnsi="宋体" w:eastAsia="宋体" w:cs="宋体"/>
                <w:color w:val="auto"/>
                <w:kern w:val="2"/>
                <w:sz w:val="22"/>
                <w:szCs w:val="22"/>
                <w:highlight w:val="none"/>
                <w:lang w:val="en-US" w:eastAsia="zh-CN" w:bidi="ar-SA"/>
              </w:rPr>
              <w:t>分；</w:t>
            </w:r>
          </w:p>
          <w:p w14:paraId="78E20026">
            <w:pPr>
              <w:autoSpaceDE w:val="0"/>
              <w:autoSpaceDN w:val="0"/>
              <w:adjustRightInd w:val="0"/>
              <w:spacing w:line="360" w:lineRule="auto"/>
              <w:textAlignment w:val="baseline"/>
              <w:rPr>
                <w:rFonts w:hint="eastAsia"/>
                <w:sz w:val="22"/>
                <w:szCs w:val="22"/>
                <w:highlight w:val="none"/>
              </w:rPr>
            </w:pPr>
            <w:r>
              <w:rPr>
                <w:rFonts w:hint="eastAsia" w:ascii="宋体" w:hAnsi="宋体" w:eastAsia="宋体" w:cs="宋体"/>
                <w:color w:val="auto"/>
                <w:kern w:val="2"/>
                <w:sz w:val="22"/>
                <w:szCs w:val="22"/>
                <w:highlight w:val="none"/>
                <w:lang w:val="en-US" w:eastAsia="zh-CN" w:bidi="ar-SA"/>
              </w:rPr>
              <w:t>（4）未提供不得分。</w:t>
            </w:r>
          </w:p>
        </w:tc>
      </w:tr>
      <w:tr w14:paraId="443B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vMerge w:val="continue"/>
            <w:vAlign w:val="center"/>
          </w:tcPr>
          <w:p w14:paraId="2E231E9B">
            <w:pPr>
              <w:spacing w:line="500" w:lineRule="exact"/>
              <w:jc w:val="center"/>
              <w:rPr>
                <w:sz w:val="22"/>
                <w:szCs w:val="22"/>
                <w:highlight w:val="none"/>
              </w:rPr>
            </w:pPr>
          </w:p>
        </w:tc>
        <w:tc>
          <w:tcPr>
            <w:tcW w:w="1265" w:type="dxa"/>
            <w:vMerge w:val="continue"/>
            <w:vAlign w:val="center"/>
          </w:tcPr>
          <w:p w14:paraId="3647AE07">
            <w:pPr>
              <w:spacing w:line="500" w:lineRule="exact"/>
              <w:jc w:val="center"/>
              <w:rPr>
                <w:sz w:val="22"/>
                <w:szCs w:val="22"/>
                <w:highlight w:val="none"/>
              </w:rPr>
            </w:pPr>
          </w:p>
        </w:tc>
        <w:tc>
          <w:tcPr>
            <w:tcW w:w="2923" w:type="dxa"/>
            <w:vAlign w:val="center"/>
          </w:tcPr>
          <w:p w14:paraId="5A2D893F">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食材溯源方案</w:t>
            </w:r>
          </w:p>
          <w:p w14:paraId="5C0E59EE">
            <w:pPr>
              <w:spacing w:line="360" w:lineRule="auto"/>
              <w:jc w:val="center"/>
              <w:rPr>
                <w:rFonts w:hint="eastAsia" w:ascii="宋体" w:hAnsi="宋体" w:eastAsia="宋体" w:cs="宋体"/>
                <w:sz w:val="22"/>
                <w:szCs w:val="22"/>
                <w:highlight w:val="none"/>
              </w:rPr>
            </w:pPr>
            <w:r>
              <w:rPr>
                <w:rFonts w:hint="eastAsia" w:ascii="宋体" w:hAnsi="宋体" w:eastAsia="宋体" w:cs="宋体"/>
                <w:color w:val="auto"/>
                <w:kern w:val="2"/>
                <w:sz w:val="22"/>
                <w:szCs w:val="22"/>
                <w:highlight w:val="none"/>
                <w:lang w:val="en-US" w:eastAsia="zh-CN" w:bidi="ar-SA"/>
              </w:rPr>
              <w:t>（6分）</w:t>
            </w:r>
          </w:p>
        </w:tc>
        <w:tc>
          <w:tcPr>
            <w:tcW w:w="5151" w:type="dxa"/>
            <w:vAlign w:val="center"/>
          </w:tcPr>
          <w:p w14:paraId="51A4FE08">
            <w:pPr>
              <w:spacing w:line="36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提供食材溯源服务，确保食材来源可追溯方案；</w:t>
            </w:r>
          </w:p>
          <w:p w14:paraId="58A72523">
            <w:pPr>
              <w:spacing w:line="36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（1）方案内容全面详实，针对性强，整体科学合理，可操作性强的得6分；</w:t>
            </w:r>
          </w:p>
          <w:p w14:paraId="3CB84BA6">
            <w:pPr>
              <w:spacing w:line="36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（2）方案包含要求内容，针对性较好，整体较为合理，具有一定的可操作性的得4分；</w:t>
            </w:r>
          </w:p>
          <w:p w14:paraId="66E3D79C">
            <w:pPr>
              <w:spacing w:line="36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（3）提供有方案，但内容不全面，针对性不强的得</w:t>
            </w:r>
            <w:r>
              <w:rPr>
                <w:rFonts w:hint="eastAsia" w:ascii="宋体" w:hAnsi="宋体" w:cs="宋体"/>
                <w:color w:val="auto"/>
                <w:kern w:val="2"/>
                <w:sz w:val="22"/>
                <w:szCs w:val="22"/>
                <w:highlight w:val="none"/>
                <w:lang w:val="en-US" w:eastAsia="zh-CN" w:bidi="ar-SA"/>
              </w:rPr>
              <w:t>1</w:t>
            </w:r>
            <w:r>
              <w:rPr>
                <w:rFonts w:hint="eastAsia" w:ascii="宋体" w:hAnsi="宋体" w:eastAsia="宋体" w:cs="宋体"/>
                <w:color w:val="auto"/>
                <w:kern w:val="2"/>
                <w:sz w:val="22"/>
                <w:szCs w:val="22"/>
                <w:highlight w:val="none"/>
                <w:lang w:val="en-US" w:eastAsia="zh-CN" w:bidi="ar-SA"/>
              </w:rPr>
              <w:t>分；</w:t>
            </w:r>
          </w:p>
          <w:p w14:paraId="1AAF9CAB">
            <w:pPr>
              <w:spacing w:line="360" w:lineRule="auto"/>
              <w:rPr>
                <w:rFonts w:hint="eastAsia"/>
                <w:sz w:val="22"/>
                <w:szCs w:val="22"/>
                <w:highlight w:val="none"/>
              </w:rPr>
            </w:pPr>
            <w:r>
              <w:rPr>
                <w:rFonts w:hint="eastAsia" w:ascii="宋体" w:hAnsi="宋体" w:eastAsia="宋体" w:cs="宋体"/>
                <w:color w:val="auto"/>
                <w:kern w:val="2"/>
                <w:sz w:val="22"/>
                <w:szCs w:val="22"/>
                <w:highlight w:val="none"/>
                <w:lang w:val="en-US" w:eastAsia="zh-CN" w:bidi="ar-SA"/>
              </w:rPr>
              <w:t>（4）未提供不得分。</w:t>
            </w:r>
          </w:p>
        </w:tc>
      </w:tr>
      <w:tr w14:paraId="3140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vMerge w:val="continue"/>
            <w:vAlign w:val="center"/>
          </w:tcPr>
          <w:p w14:paraId="5C5311AB">
            <w:pPr>
              <w:spacing w:line="500" w:lineRule="exact"/>
              <w:jc w:val="center"/>
              <w:rPr>
                <w:sz w:val="22"/>
                <w:szCs w:val="22"/>
                <w:highlight w:val="none"/>
              </w:rPr>
            </w:pPr>
          </w:p>
        </w:tc>
        <w:tc>
          <w:tcPr>
            <w:tcW w:w="1265" w:type="dxa"/>
            <w:vMerge w:val="continue"/>
            <w:vAlign w:val="center"/>
          </w:tcPr>
          <w:p w14:paraId="1FA78C8A">
            <w:pPr>
              <w:spacing w:line="500" w:lineRule="exact"/>
              <w:jc w:val="center"/>
              <w:rPr>
                <w:sz w:val="22"/>
                <w:szCs w:val="22"/>
                <w:highlight w:val="none"/>
              </w:rPr>
            </w:pPr>
          </w:p>
        </w:tc>
        <w:tc>
          <w:tcPr>
            <w:tcW w:w="2923" w:type="dxa"/>
            <w:vAlign w:val="center"/>
          </w:tcPr>
          <w:p w14:paraId="2F183ADA">
            <w:pPr>
              <w:autoSpaceDE w:val="0"/>
              <w:autoSpaceDN w:val="0"/>
              <w:spacing w:line="360" w:lineRule="auto"/>
              <w:jc w:val="center"/>
              <w:rPr>
                <w:rFonts w:hint="eastAsia" w:ascii="宋体" w:hAnsi="宋体" w:eastAsia="宋体" w:cs="宋体"/>
                <w:sz w:val="22"/>
                <w:szCs w:val="22"/>
                <w:highlight w:val="none"/>
              </w:rPr>
            </w:pPr>
            <w:r>
              <w:rPr>
                <w:rFonts w:hint="eastAsia" w:ascii="宋体" w:hAnsi="宋体" w:cs="宋体"/>
                <w:color w:val="auto"/>
                <w:kern w:val="2"/>
                <w:sz w:val="22"/>
                <w:szCs w:val="22"/>
                <w:highlight w:val="none"/>
                <w:lang w:val="en-US" w:eastAsia="zh-CN" w:bidi="ar-SA"/>
              </w:rPr>
              <w:t>应急供货措施（6分）</w:t>
            </w:r>
          </w:p>
        </w:tc>
        <w:tc>
          <w:tcPr>
            <w:tcW w:w="5151" w:type="dxa"/>
            <w:vAlign w:val="center"/>
          </w:tcPr>
          <w:p w14:paraId="61452958">
            <w:pPr>
              <w:spacing w:line="360" w:lineRule="auto"/>
              <w:rPr>
                <w:rFonts w:hint="default"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应急配送服务，要确保突发情况下食材供应方案包括但不限于：1.补货及临时调配措施；2.食材短缺及突发食品安全问题处置措施；3.应急储备及供应链准备；4.因天气、 交通等不可控突发情况的处置措施等；</w:t>
            </w:r>
          </w:p>
          <w:p w14:paraId="6AC65E5D">
            <w:pPr>
              <w:spacing w:line="360" w:lineRule="auto"/>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（1）方案内容全面详实，针对性强，整体科学合理，可操作性强的得6分；</w:t>
            </w:r>
          </w:p>
          <w:p w14:paraId="427AF948">
            <w:pPr>
              <w:spacing w:line="360" w:lineRule="auto"/>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（2）方案包含要求内容，针对性较好，整体较为合理，具有一定的可操作性的得4分；</w:t>
            </w:r>
          </w:p>
          <w:p w14:paraId="45337479">
            <w:pPr>
              <w:spacing w:line="360" w:lineRule="auto"/>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（3）提供有方案，但内容不全面，针对性不强的得1分；</w:t>
            </w:r>
          </w:p>
          <w:p w14:paraId="5D5C9A41">
            <w:pPr>
              <w:spacing w:line="360" w:lineRule="auto"/>
              <w:rPr>
                <w:rFonts w:hint="eastAsia"/>
                <w:sz w:val="22"/>
                <w:szCs w:val="22"/>
                <w:highlight w:val="none"/>
              </w:rPr>
            </w:pPr>
            <w:r>
              <w:rPr>
                <w:rFonts w:hint="eastAsia" w:ascii="宋体" w:hAnsi="宋体" w:cs="宋体"/>
                <w:color w:val="auto"/>
                <w:kern w:val="2"/>
                <w:sz w:val="22"/>
                <w:szCs w:val="22"/>
                <w:highlight w:val="none"/>
                <w:lang w:val="en-US" w:eastAsia="zh-CN" w:bidi="ar-SA"/>
              </w:rPr>
              <w:t>（4）未提供不得分。</w:t>
            </w:r>
          </w:p>
        </w:tc>
      </w:tr>
      <w:tr w14:paraId="3CF8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jc w:val="center"/>
        </w:trPr>
        <w:tc>
          <w:tcPr>
            <w:tcW w:w="879" w:type="dxa"/>
            <w:vAlign w:val="center"/>
          </w:tcPr>
          <w:p w14:paraId="1325CDF9">
            <w:pPr>
              <w:spacing w:line="500" w:lineRule="exact"/>
              <w:jc w:val="center"/>
              <w:rPr>
                <w:rFonts w:ascii="宋体" w:hAnsi="宋体" w:cs="宋体"/>
                <w:sz w:val="22"/>
                <w:szCs w:val="22"/>
                <w:highlight w:val="none"/>
              </w:rPr>
            </w:pPr>
            <w:r>
              <w:rPr>
                <w:rFonts w:hint="eastAsia" w:ascii="宋体" w:hAnsi="宋体" w:cs="宋体"/>
                <w:sz w:val="22"/>
                <w:szCs w:val="22"/>
                <w:highlight w:val="none"/>
              </w:rPr>
              <w:t>2.2.2</w:t>
            </w:r>
          </w:p>
          <w:p w14:paraId="5A24B486">
            <w:pPr>
              <w:spacing w:line="500" w:lineRule="exact"/>
              <w:jc w:val="center"/>
              <w:rPr>
                <w:rFonts w:ascii="宋体" w:hAnsi="宋体" w:cs="宋体"/>
                <w:sz w:val="22"/>
                <w:szCs w:val="22"/>
                <w:highlight w:val="none"/>
              </w:rPr>
            </w:pPr>
            <w:r>
              <w:rPr>
                <w:rFonts w:hint="eastAsia" w:ascii="宋体" w:hAnsi="宋体" w:cs="宋体"/>
                <w:sz w:val="22"/>
                <w:szCs w:val="22"/>
                <w:highlight w:val="none"/>
              </w:rPr>
              <w:t>(2)</w:t>
            </w:r>
          </w:p>
        </w:tc>
        <w:tc>
          <w:tcPr>
            <w:tcW w:w="1265" w:type="dxa"/>
            <w:vAlign w:val="center"/>
          </w:tcPr>
          <w:p w14:paraId="7519D607">
            <w:pPr>
              <w:spacing w:line="500" w:lineRule="exact"/>
              <w:jc w:val="center"/>
              <w:rPr>
                <w:rFonts w:ascii="宋体" w:hAnsi="宋体" w:cs="宋体"/>
                <w:sz w:val="22"/>
                <w:szCs w:val="22"/>
                <w:highlight w:val="none"/>
              </w:rPr>
            </w:pPr>
            <w:r>
              <w:rPr>
                <w:rFonts w:hint="eastAsia" w:ascii="宋体" w:hAnsi="宋体" w:cs="宋体"/>
                <w:sz w:val="22"/>
                <w:szCs w:val="22"/>
                <w:highlight w:val="none"/>
              </w:rPr>
              <w:t>磋商报价评分标准</w:t>
            </w:r>
          </w:p>
          <w:p w14:paraId="09527FC1">
            <w:pPr>
              <w:spacing w:line="500" w:lineRule="exact"/>
              <w:jc w:val="center"/>
              <w:rPr>
                <w:rFonts w:ascii="宋体" w:hAnsi="宋体" w:cs="宋体"/>
                <w:sz w:val="22"/>
                <w:szCs w:val="22"/>
                <w:highlight w:val="none"/>
              </w:rPr>
            </w:pPr>
            <w:r>
              <w:rPr>
                <w:rFonts w:hint="eastAsia" w:ascii="宋体" w:hAnsi="宋体" w:cs="宋体"/>
                <w:sz w:val="22"/>
                <w:szCs w:val="22"/>
                <w:highlight w:val="none"/>
              </w:rPr>
              <w:t>（</w:t>
            </w:r>
            <w:r>
              <w:rPr>
                <w:rFonts w:hint="eastAsia" w:ascii="宋体" w:hAnsi="宋体" w:cs="宋体"/>
                <w:sz w:val="22"/>
                <w:szCs w:val="22"/>
                <w:highlight w:val="none"/>
                <w:lang w:val="en-US" w:eastAsia="zh-CN"/>
              </w:rPr>
              <w:t>10</w:t>
            </w:r>
            <w:r>
              <w:rPr>
                <w:rFonts w:hint="eastAsia" w:ascii="宋体" w:hAnsi="宋体" w:cs="宋体"/>
                <w:sz w:val="22"/>
                <w:szCs w:val="22"/>
                <w:highlight w:val="none"/>
              </w:rPr>
              <w:t>分）</w:t>
            </w:r>
          </w:p>
        </w:tc>
        <w:tc>
          <w:tcPr>
            <w:tcW w:w="2923" w:type="dxa"/>
            <w:vAlign w:val="center"/>
          </w:tcPr>
          <w:p w14:paraId="7E18432F">
            <w:pPr>
              <w:spacing w:line="500" w:lineRule="exact"/>
              <w:jc w:val="center"/>
              <w:rPr>
                <w:rFonts w:ascii="宋体" w:hAnsi="宋体" w:cs="宋体"/>
                <w:sz w:val="22"/>
                <w:szCs w:val="22"/>
                <w:highlight w:val="none"/>
              </w:rPr>
            </w:pPr>
            <w:r>
              <w:rPr>
                <w:rFonts w:hint="eastAsia" w:ascii="宋体" w:hAnsi="宋体" w:cs="宋体"/>
                <w:sz w:val="22"/>
                <w:szCs w:val="22"/>
                <w:highlight w:val="none"/>
              </w:rPr>
              <w:t>磋商报价</w:t>
            </w:r>
          </w:p>
        </w:tc>
        <w:tc>
          <w:tcPr>
            <w:tcW w:w="5151" w:type="dxa"/>
            <w:vAlign w:val="center"/>
          </w:tcPr>
          <w:p w14:paraId="24BF25ED">
            <w:pPr>
              <w:spacing w:line="360" w:lineRule="auto"/>
              <w:rPr>
                <w:rFonts w:hint="default" w:ascii="宋体" w:hAnsi="宋体" w:eastAsia="宋体" w:cs="宋体"/>
                <w:color w:val="auto"/>
                <w:spacing w:val="0"/>
                <w:sz w:val="22"/>
                <w:szCs w:val="22"/>
                <w:highlight w:val="none"/>
                <w:lang w:val="en-US"/>
              </w:rPr>
            </w:pPr>
            <w:r>
              <w:rPr>
                <w:rFonts w:hint="default" w:ascii="宋体" w:hAnsi="宋体" w:eastAsia="宋体" w:cs="宋体"/>
                <w:color w:val="auto"/>
                <w:spacing w:val="0"/>
                <w:sz w:val="22"/>
                <w:szCs w:val="22"/>
                <w:highlight w:val="none"/>
                <w:lang w:val="en-US"/>
              </w:rPr>
              <w:t>1、价格分采用低价优先法计算，即满足</w:t>
            </w:r>
            <w:r>
              <w:rPr>
                <w:rFonts w:hint="eastAsia" w:ascii="宋体" w:hAnsi="宋体" w:cs="宋体"/>
                <w:color w:val="auto"/>
                <w:spacing w:val="0"/>
                <w:sz w:val="22"/>
                <w:szCs w:val="22"/>
                <w:highlight w:val="none"/>
                <w:lang w:val="en-US" w:eastAsia="zh-CN"/>
              </w:rPr>
              <w:t>竞争性磋商文件</w:t>
            </w:r>
            <w:r>
              <w:rPr>
                <w:rFonts w:hint="default" w:ascii="宋体" w:hAnsi="宋体" w:eastAsia="宋体" w:cs="宋体"/>
                <w:color w:val="auto"/>
                <w:spacing w:val="0"/>
                <w:sz w:val="22"/>
                <w:szCs w:val="22"/>
                <w:highlight w:val="none"/>
                <w:lang w:val="en-US"/>
              </w:rPr>
              <w:t>通过资格性和形式性审查且</w:t>
            </w:r>
            <w:r>
              <w:rPr>
                <w:rFonts w:hint="eastAsia" w:ascii="宋体" w:hAnsi="宋体" w:cs="宋体"/>
                <w:color w:val="auto"/>
                <w:spacing w:val="0"/>
                <w:sz w:val="22"/>
                <w:szCs w:val="22"/>
                <w:highlight w:val="none"/>
                <w:lang w:val="en-US" w:eastAsia="zh-CN"/>
              </w:rPr>
              <w:t>报价</w:t>
            </w:r>
            <w:r>
              <w:rPr>
                <w:rFonts w:hint="default" w:ascii="宋体" w:hAnsi="宋体" w:eastAsia="宋体" w:cs="宋体"/>
                <w:color w:val="auto"/>
                <w:spacing w:val="0"/>
                <w:sz w:val="22"/>
                <w:szCs w:val="22"/>
                <w:highlight w:val="none"/>
                <w:lang w:val="en-US"/>
              </w:rPr>
              <w:t>最低的</w:t>
            </w:r>
            <w:r>
              <w:rPr>
                <w:rFonts w:hint="eastAsia" w:ascii="宋体" w:hAnsi="宋体" w:cs="宋体"/>
                <w:color w:val="auto"/>
                <w:spacing w:val="0"/>
                <w:sz w:val="22"/>
                <w:szCs w:val="22"/>
                <w:highlight w:val="none"/>
                <w:lang w:val="en-US" w:eastAsia="zh-CN"/>
              </w:rPr>
              <w:t>响应</w:t>
            </w:r>
            <w:r>
              <w:rPr>
                <w:rFonts w:hint="default" w:ascii="宋体" w:hAnsi="宋体" w:eastAsia="宋体" w:cs="宋体"/>
                <w:color w:val="auto"/>
                <w:spacing w:val="0"/>
                <w:sz w:val="22"/>
                <w:szCs w:val="22"/>
                <w:highlight w:val="none"/>
                <w:lang w:val="en-US"/>
              </w:rPr>
              <w:t>报价为</w:t>
            </w:r>
            <w:r>
              <w:rPr>
                <w:rFonts w:hint="eastAsia" w:ascii="宋体" w:hAnsi="宋体" w:cs="宋体"/>
                <w:color w:val="auto"/>
                <w:spacing w:val="0"/>
                <w:sz w:val="22"/>
                <w:szCs w:val="22"/>
                <w:highlight w:val="none"/>
                <w:lang w:val="en-US" w:eastAsia="zh-CN"/>
              </w:rPr>
              <w:t>评审</w:t>
            </w:r>
            <w:r>
              <w:rPr>
                <w:rFonts w:hint="default" w:ascii="宋体" w:hAnsi="宋体" w:eastAsia="宋体" w:cs="宋体"/>
                <w:color w:val="auto"/>
                <w:spacing w:val="0"/>
                <w:sz w:val="22"/>
                <w:szCs w:val="22"/>
                <w:highlight w:val="none"/>
                <w:lang w:val="en-US"/>
              </w:rPr>
              <w:t>基准价，其价格得分为满分</w:t>
            </w:r>
            <w:r>
              <w:rPr>
                <w:rFonts w:hint="eastAsia" w:ascii="宋体" w:hAnsi="宋体" w:cs="宋体"/>
                <w:color w:val="auto"/>
                <w:spacing w:val="0"/>
                <w:sz w:val="22"/>
                <w:szCs w:val="22"/>
                <w:highlight w:val="none"/>
                <w:lang w:val="en-US" w:eastAsia="zh-CN"/>
              </w:rPr>
              <w:t>10</w:t>
            </w:r>
            <w:r>
              <w:rPr>
                <w:rFonts w:hint="default" w:ascii="宋体" w:hAnsi="宋体" w:eastAsia="宋体" w:cs="宋体"/>
                <w:color w:val="auto"/>
                <w:spacing w:val="0"/>
                <w:sz w:val="22"/>
                <w:szCs w:val="22"/>
                <w:highlight w:val="none"/>
                <w:lang w:val="en-US"/>
              </w:rPr>
              <w:t>分。</w:t>
            </w:r>
          </w:p>
          <w:p w14:paraId="46BF7F1C">
            <w:pPr>
              <w:spacing w:line="360" w:lineRule="auto"/>
              <w:rPr>
                <w:rFonts w:hint="default" w:ascii="宋体" w:hAnsi="宋体" w:eastAsia="宋体" w:cs="宋体"/>
                <w:color w:val="auto"/>
                <w:spacing w:val="0"/>
                <w:sz w:val="22"/>
                <w:szCs w:val="22"/>
                <w:highlight w:val="none"/>
                <w:lang w:val="en-US"/>
              </w:rPr>
            </w:pPr>
            <w:r>
              <w:rPr>
                <w:rFonts w:hint="default" w:ascii="宋体" w:hAnsi="宋体" w:eastAsia="宋体" w:cs="宋体"/>
                <w:color w:val="auto"/>
                <w:spacing w:val="0"/>
                <w:sz w:val="22"/>
                <w:szCs w:val="22"/>
                <w:highlight w:val="none"/>
                <w:lang w:val="en-US"/>
              </w:rPr>
              <w:t>2、其他供应商的价格分统一按照下列公式计算：</w:t>
            </w:r>
          </w:p>
          <w:p w14:paraId="175674F4">
            <w:pPr>
              <w:spacing w:line="360" w:lineRule="auto"/>
              <w:rPr>
                <w:rFonts w:hint="default" w:ascii="宋体" w:hAnsi="宋体" w:eastAsia="宋体" w:cs="宋体"/>
                <w:color w:val="auto"/>
                <w:spacing w:val="0"/>
                <w:sz w:val="22"/>
                <w:szCs w:val="22"/>
                <w:highlight w:val="none"/>
                <w:lang w:val="en-US" w:eastAsia="zh-CN"/>
              </w:rPr>
            </w:pPr>
            <w:r>
              <w:rPr>
                <w:rFonts w:hint="eastAsia" w:ascii="宋体" w:hAnsi="宋体" w:cs="宋体"/>
                <w:color w:val="auto"/>
                <w:spacing w:val="0"/>
                <w:sz w:val="22"/>
                <w:szCs w:val="22"/>
                <w:highlight w:val="none"/>
                <w:lang w:val="en-US" w:eastAsia="zh-CN"/>
              </w:rPr>
              <w:t>响应</w:t>
            </w:r>
            <w:r>
              <w:rPr>
                <w:rFonts w:hint="default" w:ascii="宋体" w:hAnsi="宋体" w:eastAsia="宋体" w:cs="宋体"/>
                <w:color w:val="auto"/>
                <w:spacing w:val="0"/>
                <w:sz w:val="22"/>
                <w:szCs w:val="22"/>
                <w:highlight w:val="none"/>
                <w:lang w:val="en-US"/>
              </w:rPr>
              <w:t>报价得分=(</w:t>
            </w:r>
            <w:r>
              <w:rPr>
                <w:rFonts w:hint="eastAsia" w:ascii="宋体" w:hAnsi="宋体" w:cs="宋体"/>
                <w:color w:val="auto"/>
                <w:spacing w:val="0"/>
                <w:sz w:val="22"/>
                <w:szCs w:val="22"/>
                <w:highlight w:val="none"/>
                <w:lang w:val="en-US" w:eastAsia="zh-CN"/>
              </w:rPr>
              <w:t>评审</w:t>
            </w:r>
            <w:r>
              <w:rPr>
                <w:rFonts w:hint="default" w:ascii="宋体" w:hAnsi="宋体" w:eastAsia="宋体" w:cs="宋体"/>
                <w:color w:val="auto"/>
                <w:spacing w:val="0"/>
                <w:sz w:val="22"/>
                <w:szCs w:val="22"/>
                <w:highlight w:val="none"/>
                <w:lang w:val="en-US"/>
              </w:rPr>
              <w:t>基准价／</w:t>
            </w:r>
            <w:r>
              <w:rPr>
                <w:rFonts w:hint="eastAsia" w:ascii="宋体" w:hAnsi="宋体" w:cs="宋体"/>
                <w:color w:val="auto"/>
                <w:spacing w:val="0"/>
                <w:sz w:val="22"/>
                <w:szCs w:val="22"/>
                <w:highlight w:val="none"/>
                <w:lang w:val="en-US" w:eastAsia="zh-CN"/>
              </w:rPr>
              <w:t>响应</w:t>
            </w:r>
            <w:r>
              <w:rPr>
                <w:rFonts w:hint="default" w:ascii="宋体" w:hAnsi="宋体" w:eastAsia="宋体" w:cs="宋体"/>
                <w:color w:val="auto"/>
                <w:spacing w:val="0"/>
                <w:sz w:val="22"/>
                <w:szCs w:val="22"/>
                <w:highlight w:val="none"/>
                <w:lang w:val="en-US"/>
              </w:rPr>
              <w:t>报价)×</w:t>
            </w:r>
            <w:r>
              <w:rPr>
                <w:rFonts w:hint="eastAsia" w:ascii="宋体" w:hAnsi="宋体" w:cs="宋体"/>
                <w:color w:val="auto"/>
                <w:spacing w:val="0"/>
                <w:sz w:val="22"/>
                <w:szCs w:val="22"/>
                <w:highlight w:val="none"/>
                <w:lang w:val="en-US" w:eastAsia="zh-CN"/>
              </w:rPr>
              <w:t>10</w:t>
            </w:r>
          </w:p>
          <w:p w14:paraId="6A8B7C27">
            <w:pPr>
              <w:spacing w:line="360" w:lineRule="auto"/>
              <w:rPr>
                <w:rFonts w:hint="eastAsia" w:ascii="宋体" w:hAnsi="宋体" w:eastAsia="宋体" w:cs="宋体"/>
                <w:b/>
                <w:bCs/>
                <w:color w:val="auto"/>
                <w:spacing w:val="0"/>
                <w:sz w:val="22"/>
                <w:szCs w:val="22"/>
                <w:highlight w:val="none"/>
                <w:lang w:val="en-US"/>
              </w:rPr>
            </w:pPr>
            <w:r>
              <w:rPr>
                <w:rFonts w:hint="eastAsia" w:ascii="宋体" w:hAnsi="宋体" w:cs="宋体"/>
                <w:b/>
                <w:bCs/>
                <w:color w:val="auto"/>
                <w:spacing w:val="0"/>
                <w:sz w:val="22"/>
                <w:szCs w:val="22"/>
                <w:highlight w:val="none"/>
                <w:lang w:val="en-US" w:eastAsia="zh-CN"/>
              </w:rPr>
              <w:t>政府采购政策</w:t>
            </w:r>
            <w:r>
              <w:rPr>
                <w:rFonts w:hint="eastAsia" w:ascii="宋体" w:hAnsi="宋体" w:eastAsia="宋体" w:cs="宋体"/>
                <w:b/>
                <w:bCs/>
                <w:color w:val="auto"/>
                <w:spacing w:val="0"/>
                <w:sz w:val="22"/>
                <w:szCs w:val="22"/>
                <w:highlight w:val="none"/>
                <w:lang w:val="en-US"/>
              </w:rPr>
              <w:t>：</w:t>
            </w:r>
          </w:p>
          <w:p w14:paraId="6F7EF458">
            <w:pPr>
              <w:widowControl/>
              <w:numPr>
                <w:ilvl w:val="0"/>
                <w:numId w:val="9"/>
              </w:numPr>
              <w:spacing w:line="500" w:lineRule="exact"/>
              <w:jc w:val="left"/>
              <w:rPr>
                <w:rFonts w:hint="default" w:ascii="宋体" w:hAnsi="宋体" w:eastAsia="宋体" w:cs="宋体"/>
                <w:b/>
                <w:bCs/>
                <w:color w:val="auto"/>
                <w:spacing w:val="0"/>
                <w:sz w:val="22"/>
                <w:szCs w:val="22"/>
                <w:highlight w:val="none"/>
                <w:lang w:val="en-US" w:eastAsia="zh-CN"/>
              </w:rPr>
            </w:pPr>
            <w:r>
              <w:rPr>
                <w:rFonts w:hint="default" w:ascii="宋体" w:hAnsi="宋体" w:eastAsia="宋体" w:cs="宋体"/>
                <w:b/>
                <w:bCs/>
                <w:color w:val="auto"/>
                <w:spacing w:val="0"/>
                <w:sz w:val="22"/>
                <w:szCs w:val="22"/>
                <w:highlight w:val="none"/>
                <w:lang w:val="en-US" w:eastAsia="zh-CN"/>
              </w:rPr>
              <w:t>本项目专门面向中小企业采购，不再进行价格扣除。参加政府采购活动的中小企业应当提供《中小企业声明函》；（2）关于监狱企业：视同小微企业。须提供由省级以上监狱管理局、戒毒管理局（含新疆生产建设兵团）出具的属于监狱企业的证明文件；（3）关于残疾人福利性单位：视同小微企业。须提供完整的“残疾人福利性单位声明函”。</w:t>
            </w:r>
          </w:p>
          <w:p w14:paraId="62D8E5CE">
            <w:pPr>
              <w:widowControl/>
              <w:numPr>
                <w:ilvl w:val="0"/>
                <w:numId w:val="0"/>
              </w:numPr>
              <w:spacing w:line="500" w:lineRule="exact"/>
              <w:jc w:val="left"/>
              <w:rPr>
                <w:rFonts w:cs="宋体" w:asciiTheme="minorEastAsia" w:hAnsiTheme="minorEastAsia" w:eastAsiaTheme="minorEastAsia"/>
                <w:sz w:val="22"/>
                <w:szCs w:val="22"/>
                <w:highlight w:val="none"/>
              </w:rPr>
            </w:pPr>
            <w:r>
              <w:rPr>
                <w:rFonts w:hint="default" w:ascii="宋体" w:hAnsi="宋体" w:eastAsia="宋体" w:cs="宋体"/>
                <w:b/>
                <w:bCs/>
                <w:color w:val="auto"/>
                <w:spacing w:val="0"/>
                <w:sz w:val="22"/>
                <w:szCs w:val="22"/>
                <w:highlight w:val="none"/>
                <w:lang w:val="en-US"/>
              </w:rPr>
              <w:t>注：价格分计算保留小数点后二位。</w:t>
            </w:r>
          </w:p>
        </w:tc>
      </w:tr>
      <w:tr w14:paraId="640A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879" w:type="dxa"/>
            <w:vMerge w:val="restart"/>
            <w:vAlign w:val="center"/>
          </w:tcPr>
          <w:p w14:paraId="4186F751">
            <w:pPr>
              <w:spacing w:line="500" w:lineRule="exact"/>
              <w:jc w:val="center"/>
              <w:rPr>
                <w:rFonts w:ascii="宋体" w:hAnsi="宋体" w:cs="宋体"/>
                <w:sz w:val="22"/>
                <w:szCs w:val="22"/>
                <w:highlight w:val="none"/>
              </w:rPr>
            </w:pPr>
            <w:r>
              <w:rPr>
                <w:rFonts w:hint="eastAsia" w:ascii="宋体" w:hAnsi="宋体" w:cs="宋体"/>
                <w:sz w:val="22"/>
                <w:szCs w:val="22"/>
                <w:highlight w:val="none"/>
              </w:rPr>
              <w:t>2.2.2</w:t>
            </w:r>
          </w:p>
          <w:p w14:paraId="42B29667">
            <w:pPr>
              <w:spacing w:line="500" w:lineRule="exact"/>
              <w:jc w:val="center"/>
              <w:rPr>
                <w:rFonts w:ascii="宋体" w:hAnsi="宋体" w:cs="宋体"/>
                <w:sz w:val="22"/>
                <w:szCs w:val="22"/>
                <w:highlight w:val="none"/>
              </w:rPr>
            </w:pPr>
            <w:r>
              <w:rPr>
                <w:rFonts w:hint="eastAsia" w:ascii="宋体" w:hAnsi="宋体" w:cs="宋体"/>
                <w:sz w:val="22"/>
                <w:szCs w:val="22"/>
                <w:highlight w:val="none"/>
              </w:rPr>
              <w:t>(3)</w:t>
            </w:r>
          </w:p>
        </w:tc>
        <w:tc>
          <w:tcPr>
            <w:tcW w:w="1265" w:type="dxa"/>
            <w:vMerge w:val="restart"/>
            <w:vAlign w:val="center"/>
          </w:tcPr>
          <w:p w14:paraId="5592D43F">
            <w:pPr>
              <w:spacing w:line="500" w:lineRule="exact"/>
              <w:jc w:val="center"/>
              <w:rPr>
                <w:rFonts w:ascii="宋体" w:hAnsi="宋体" w:cs="宋体"/>
                <w:sz w:val="22"/>
                <w:szCs w:val="22"/>
                <w:highlight w:val="none"/>
              </w:rPr>
            </w:pPr>
            <w:r>
              <w:rPr>
                <w:rFonts w:hint="eastAsia" w:ascii="宋体" w:hAnsi="宋体" w:cs="宋体"/>
                <w:sz w:val="22"/>
                <w:szCs w:val="22"/>
                <w:highlight w:val="none"/>
              </w:rPr>
              <w:t>综合部分评分标准 （</w:t>
            </w:r>
            <w:r>
              <w:rPr>
                <w:rFonts w:hint="eastAsia" w:ascii="宋体" w:hAnsi="宋体" w:cs="宋体"/>
                <w:sz w:val="22"/>
                <w:szCs w:val="22"/>
                <w:highlight w:val="none"/>
                <w:lang w:val="en-US" w:eastAsia="zh-CN"/>
              </w:rPr>
              <w:t>30</w:t>
            </w:r>
            <w:r>
              <w:rPr>
                <w:rFonts w:hint="eastAsia" w:ascii="宋体" w:hAnsi="宋体" w:cs="宋体"/>
                <w:sz w:val="22"/>
                <w:szCs w:val="22"/>
                <w:highlight w:val="none"/>
              </w:rPr>
              <w:t>分）</w:t>
            </w:r>
          </w:p>
        </w:tc>
        <w:tc>
          <w:tcPr>
            <w:tcW w:w="2923" w:type="dxa"/>
            <w:vAlign w:val="center"/>
          </w:tcPr>
          <w:p w14:paraId="7D6C3B41">
            <w:pPr>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业绩</w:t>
            </w:r>
          </w:p>
          <w:p w14:paraId="2E2312A9">
            <w:pPr>
              <w:spacing w:line="360" w:lineRule="auto"/>
              <w:jc w:val="center"/>
              <w:rPr>
                <w:rFonts w:hint="eastAsia" w:ascii="宋体" w:hAnsi="宋体" w:eastAsia="宋体" w:cs="宋体"/>
                <w:sz w:val="22"/>
                <w:szCs w:val="22"/>
                <w:highlight w:val="none"/>
                <w:lang w:val="en-US" w:eastAsia="zh-CN"/>
              </w:rPr>
            </w:pPr>
            <w:r>
              <w:rPr>
                <w:rFonts w:hint="eastAsia" w:ascii="宋体" w:hAnsi="宋体" w:eastAsia="宋体" w:cs="宋体"/>
                <w:color w:val="auto"/>
                <w:kern w:val="0"/>
                <w:sz w:val="22"/>
                <w:szCs w:val="22"/>
                <w:highlight w:val="none"/>
              </w:rPr>
              <w:t>（</w:t>
            </w:r>
            <w:r>
              <w:rPr>
                <w:rFonts w:hint="eastAsia" w:ascii="宋体" w:hAnsi="宋体" w:cs="宋体"/>
                <w:color w:val="auto"/>
                <w:kern w:val="0"/>
                <w:sz w:val="22"/>
                <w:szCs w:val="22"/>
                <w:highlight w:val="none"/>
                <w:lang w:val="en-US" w:eastAsia="zh-CN"/>
              </w:rPr>
              <w:t>9</w:t>
            </w:r>
            <w:r>
              <w:rPr>
                <w:rFonts w:hint="eastAsia" w:ascii="宋体" w:hAnsi="宋体" w:eastAsia="宋体" w:cs="宋体"/>
                <w:color w:val="auto"/>
                <w:kern w:val="0"/>
                <w:sz w:val="22"/>
                <w:szCs w:val="22"/>
                <w:highlight w:val="none"/>
              </w:rPr>
              <w:t>分）</w:t>
            </w:r>
          </w:p>
        </w:tc>
        <w:tc>
          <w:tcPr>
            <w:tcW w:w="5151" w:type="dxa"/>
            <w:vAlign w:val="center"/>
          </w:tcPr>
          <w:p w14:paraId="49D078B1">
            <w:pPr>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提供202</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年1月1日（以合同签订时间为准）以来的类似业绩，每提供1份得</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分，最高得</w:t>
            </w:r>
            <w:r>
              <w:rPr>
                <w:rFonts w:hint="eastAsia" w:ascii="宋体" w:hAnsi="宋体" w:cs="宋体"/>
                <w:color w:val="auto"/>
                <w:sz w:val="22"/>
                <w:szCs w:val="22"/>
                <w:highlight w:val="none"/>
                <w:lang w:val="en-US" w:eastAsia="zh-CN"/>
              </w:rPr>
              <w:t>9</w:t>
            </w:r>
            <w:r>
              <w:rPr>
                <w:rFonts w:hint="eastAsia" w:ascii="宋体" w:hAnsi="宋体" w:eastAsia="宋体" w:cs="宋体"/>
                <w:color w:val="auto"/>
                <w:sz w:val="22"/>
                <w:szCs w:val="22"/>
                <w:highlight w:val="none"/>
              </w:rPr>
              <w:t>分</w:t>
            </w:r>
            <w:r>
              <w:rPr>
                <w:rFonts w:hint="eastAsia" w:ascii="宋体" w:hAnsi="宋体" w:cs="宋体"/>
                <w:color w:val="auto"/>
                <w:sz w:val="22"/>
                <w:szCs w:val="22"/>
                <w:highlight w:val="none"/>
                <w:lang w:eastAsia="zh-CN"/>
              </w:rPr>
              <w:t>；</w:t>
            </w:r>
          </w:p>
          <w:p w14:paraId="1125D4B6">
            <w:pPr>
              <w:wordWrap w:val="0"/>
              <w:topLinePunct/>
              <w:adjustRightInd w:val="0"/>
              <w:spacing w:line="360" w:lineRule="auto"/>
              <w:rPr>
                <w:rFonts w:hint="eastAsia" w:cs="宋体" w:asciiTheme="minorEastAsia" w:hAnsiTheme="minorEastAsia" w:eastAsiaTheme="minorEastAsia"/>
                <w:sz w:val="22"/>
                <w:szCs w:val="22"/>
                <w:highlight w:val="none"/>
              </w:rPr>
            </w:pPr>
            <w:r>
              <w:rPr>
                <w:rFonts w:hint="eastAsia" w:ascii="宋体" w:hAnsi="宋体" w:eastAsia="宋体" w:cs="宋体"/>
                <w:color w:val="auto"/>
                <w:sz w:val="22"/>
                <w:szCs w:val="22"/>
                <w:highlight w:val="none"/>
              </w:rPr>
              <w:t>注：需提供</w:t>
            </w:r>
            <w:r>
              <w:rPr>
                <w:rFonts w:hint="eastAsia" w:ascii="宋体" w:hAnsi="宋体" w:cs="宋体"/>
                <w:color w:val="auto"/>
                <w:sz w:val="22"/>
                <w:szCs w:val="22"/>
                <w:highlight w:val="none"/>
                <w:lang w:val="en-US" w:eastAsia="zh-CN"/>
              </w:rPr>
              <w:t>中标通知书及</w:t>
            </w:r>
            <w:r>
              <w:rPr>
                <w:rFonts w:hint="eastAsia" w:ascii="宋体" w:hAnsi="宋体" w:eastAsia="宋体" w:cs="宋体"/>
                <w:color w:val="auto"/>
                <w:sz w:val="22"/>
                <w:szCs w:val="22"/>
                <w:highlight w:val="none"/>
              </w:rPr>
              <w:t>合同扫描件。</w:t>
            </w:r>
          </w:p>
        </w:tc>
      </w:tr>
      <w:tr w14:paraId="62DF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879" w:type="dxa"/>
            <w:vMerge w:val="continue"/>
            <w:vAlign w:val="center"/>
          </w:tcPr>
          <w:p w14:paraId="521F8B51">
            <w:pPr>
              <w:spacing w:line="500" w:lineRule="exact"/>
              <w:jc w:val="center"/>
              <w:rPr>
                <w:rFonts w:hint="eastAsia" w:ascii="宋体" w:hAnsi="宋体" w:cs="宋体"/>
                <w:sz w:val="22"/>
                <w:szCs w:val="22"/>
                <w:highlight w:val="none"/>
              </w:rPr>
            </w:pPr>
          </w:p>
        </w:tc>
        <w:tc>
          <w:tcPr>
            <w:tcW w:w="1265" w:type="dxa"/>
            <w:vMerge w:val="continue"/>
            <w:vAlign w:val="center"/>
          </w:tcPr>
          <w:p w14:paraId="0EEB61B9">
            <w:pPr>
              <w:spacing w:line="500" w:lineRule="exact"/>
              <w:jc w:val="center"/>
              <w:rPr>
                <w:rFonts w:hint="eastAsia" w:ascii="宋体" w:hAnsi="宋体" w:cs="宋体"/>
                <w:sz w:val="22"/>
                <w:szCs w:val="22"/>
                <w:highlight w:val="none"/>
              </w:rPr>
            </w:pPr>
          </w:p>
        </w:tc>
        <w:tc>
          <w:tcPr>
            <w:tcW w:w="2923" w:type="dxa"/>
            <w:vAlign w:val="center"/>
          </w:tcPr>
          <w:p w14:paraId="071607D1">
            <w:pPr>
              <w:autoSpaceDE w:val="0"/>
              <w:autoSpaceDN w:val="0"/>
              <w:spacing w:line="360" w:lineRule="auto"/>
              <w:ind w:left="112" w:leftChars="28" w:right="97" w:rightChars="0" w:hanging="53" w:hangingChars="24"/>
              <w:jc w:val="center"/>
              <w:rPr>
                <w:rFonts w:hint="default" w:ascii="宋体" w:hAnsi="宋体" w:eastAsia="宋体" w:cs="宋体"/>
                <w:color w:val="auto"/>
                <w:sz w:val="22"/>
                <w:szCs w:val="22"/>
                <w:highlight w:val="none"/>
                <w:lang w:val="en-US" w:eastAsia="zh-CN"/>
              </w:rPr>
            </w:pPr>
            <w:r>
              <w:rPr>
                <w:rFonts w:hint="eastAsia" w:ascii="宋体" w:hAnsi="宋体" w:cs="宋体"/>
                <w:color w:val="auto"/>
                <w:spacing w:val="1"/>
                <w:kern w:val="0"/>
                <w:sz w:val="22"/>
                <w:szCs w:val="22"/>
                <w:highlight w:val="none"/>
                <w:lang w:val="en-US" w:eastAsia="zh-CN"/>
              </w:rPr>
              <w:t>仓储基地</w:t>
            </w:r>
            <w:r>
              <w:rPr>
                <w:rFonts w:hint="eastAsia" w:ascii="宋体" w:hAnsi="宋体" w:eastAsia="宋体" w:cs="宋体"/>
                <w:color w:val="auto"/>
                <w:spacing w:val="1"/>
                <w:kern w:val="0"/>
                <w:sz w:val="22"/>
                <w:szCs w:val="22"/>
                <w:highlight w:val="none"/>
              </w:rPr>
              <w:t>（</w:t>
            </w:r>
            <w:r>
              <w:rPr>
                <w:rFonts w:hint="eastAsia" w:ascii="宋体" w:hAnsi="宋体" w:cs="宋体"/>
                <w:color w:val="auto"/>
                <w:spacing w:val="1"/>
                <w:kern w:val="0"/>
                <w:sz w:val="22"/>
                <w:szCs w:val="22"/>
                <w:highlight w:val="none"/>
                <w:lang w:val="en-US" w:eastAsia="zh-CN"/>
              </w:rPr>
              <w:t>3</w:t>
            </w:r>
            <w:r>
              <w:rPr>
                <w:rFonts w:hint="eastAsia" w:ascii="宋体" w:hAnsi="宋体" w:eastAsia="宋体" w:cs="宋体"/>
                <w:color w:val="auto"/>
                <w:spacing w:val="1"/>
                <w:kern w:val="0"/>
                <w:sz w:val="22"/>
                <w:szCs w:val="22"/>
                <w:highlight w:val="none"/>
              </w:rPr>
              <w:t>分）</w:t>
            </w:r>
          </w:p>
        </w:tc>
        <w:tc>
          <w:tcPr>
            <w:tcW w:w="5151" w:type="dxa"/>
            <w:vAlign w:val="center"/>
          </w:tcPr>
          <w:p w14:paraId="776BC75F">
            <w:pPr>
              <w:autoSpaceDE w:val="0"/>
              <w:autoSpaceDN w:val="0"/>
              <w:spacing w:line="360" w:lineRule="auto"/>
              <w:rPr>
                <w:rFonts w:hint="eastAsia" w:cs="宋体" w:asciiTheme="minorEastAsia" w:hAnsiTheme="minorEastAsia" w:eastAsiaTheme="minorEastAsia"/>
                <w:color w:val="auto"/>
                <w:sz w:val="22"/>
                <w:szCs w:val="22"/>
                <w:highlight w:val="none"/>
              </w:rPr>
            </w:pPr>
            <w:r>
              <w:rPr>
                <w:rFonts w:hint="eastAsia" w:ascii="宋体" w:hAnsi="宋体" w:cs="宋体"/>
                <w:color w:val="auto"/>
                <w:kern w:val="0"/>
                <w:sz w:val="22"/>
                <w:szCs w:val="22"/>
                <w:highlight w:val="none"/>
                <w:lang w:val="en-US" w:eastAsia="zh-CN" w:bidi="ar-SA"/>
              </w:rPr>
              <w:t>1、具有食材配送仓储基地（如冷库等）的，面积500㎡及以上的得3分。（供应商自有的，提供房屋产权证书扫描件；供应商租赁的，提供租赁协议扫描件。场地面积以房屋产权证书或租赁协议中的面积为准，未提供不得分）</w:t>
            </w:r>
          </w:p>
        </w:tc>
      </w:tr>
      <w:tr w14:paraId="49CC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79" w:type="dxa"/>
            <w:vMerge w:val="continue"/>
            <w:vAlign w:val="center"/>
          </w:tcPr>
          <w:p w14:paraId="37E48923">
            <w:pPr>
              <w:spacing w:line="500" w:lineRule="exact"/>
              <w:jc w:val="center"/>
              <w:rPr>
                <w:rFonts w:ascii="宋体" w:hAnsi="宋体" w:cs="宋体"/>
                <w:sz w:val="22"/>
                <w:szCs w:val="22"/>
                <w:highlight w:val="none"/>
              </w:rPr>
            </w:pPr>
          </w:p>
        </w:tc>
        <w:tc>
          <w:tcPr>
            <w:tcW w:w="1265" w:type="dxa"/>
            <w:vMerge w:val="continue"/>
            <w:vAlign w:val="center"/>
          </w:tcPr>
          <w:p w14:paraId="7A82105B">
            <w:pPr>
              <w:spacing w:line="500" w:lineRule="exact"/>
              <w:jc w:val="center"/>
              <w:rPr>
                <w:rFonts w:ascii="宋体" w:hAnsi="宋体" w:cs="宋体"/>
                <w:sz w:val="22"/>
                <w:szCs w:val="22"/>
                <w:highlight w:val="none"/>
              </w:rPr>
            </w:pPr>
          </w:p>
        </w:tc>
        <w:tc>
          <w:tcPr>
            <w:tcW w:w="2923" w:type="dxa"/>
            <w:vAlign w:val="center"/>
          </w:tcPr>
          <w:p w14:paraId="6B6CAEEC">
            <w:pPr>
              <w:autoSpaceDE w:val="0"/>
              <w:autoSpaceDN w:val="0"/>
              <w:spacing w:line="360" w:lineRule="auto"/>
              <w:ind w:left="112" w:leftChars="28" w:right="97" w:rightChars="0" w:hanging="53" w:hangingChars="24"/>
              <w:jc w:val="center"/>
              <w:rPr>
                <w:rFonts w:hint="eastAsia" w:ascii="宋体" w:hAnsi="宋体" w:eastAsia="宋体" w:cs="宋体"/>
                <w:color w:val="auto"/>
                <w:sz w:val="22"/>
                <w:szCs w:val="22"/>
                <w:highlight w:val="none"/>
                <w:lang w:val="en-US" w:eastAsia="zh-CN"/>
              </w:rPr>
            </w:pPr>
            <w:r>
              <w:rPr>
                <w:rFonts w:hint="eastAsia" w:ascii="宋体" w:hAnsi="宋体" w:cs="宋体"/>
                <w:color w:val="auto"/>
                <w:spacing w:val="1"/>
                <w:kern w:val="0"/>
                <w:sz w:val="22"/>
                <w:szCs w:val="22"/>
                <w:highlight w:val="none"/>
                <w:lang w:val="en-US" w:eastAsia="zh-CN"/>
              </w:rPr>
              <w:t>人员配备（5分）</w:t>
            </w:r>
          </w:p>
        </w:tc>
        <w:tc>
          <w:tcPr>
            <w:tcW w:w="5151" w:type="dxa"/>
            <w:vAlign w:val="center"/>
          </w:tcPr>
          <w:p w14:paraId="67A07EBA">
            <w:pPr>
              <w:autoSpaceDE w:val="0"/>
              <w:autoSpaceDN w:val="0"/>
              <w:spacing w:line="360" w:lineRule="auto"/>
              <w:rPr>
                <w:rFonts w:hint="eastAsia" w:ascii="宋体" w:hAnsi="宋体" w:cs="宋体"/>
                <w:color w:val="auto"/>
                <w:kern w:val="0"/>
                <w:sz w:val="22"/>
                <w:szCs w:val="22"/>
                <w:highlight w:val="none"/>
                <w:lang w:val="en-US" w:eastAsia="zh-CN" w:bidi="ar-SA"/>
              </w:rPr>
            </w:pPr>
            <w:r>
              <w:rPr>
                <w:rFonts w:hint="eastAsia" w:ascii="宋体" w:hAnsi="宋体" w:cs="宋体"/>
                <w:color w:val="auto"/>
                <w:kern w:val="0"/>
                <w:sz w:val="22"/>
                <w:szCs w:val="22"/>
                <w:highlight w:val="none"/>
                <w:lang w:val="en-US" w:eastAsia="zh-CN" w:bidi="ar-SA"/>
              </w:rPr>
              <w:t>供应商为本项目配备专职配送人员，拟投入本项目人员（除项目负责人外）为3人的得3分，4人的得4分，5人及以上的得5分；</w:t>
            </w:r>
          </w:p>
          <w:p w14:paraId="1617DE5A">
            <w:pPr>
              <w:autoSpaceDE w:val="0"/>
              <w:autoSpaceDN w:val="0"/>
              <w:spacing w:line="360" w:lineRule="auto"/>
              <w:rPr>
                <w:rFonts w:hint="default" w:ascii="宋体" w:hAnsi="宋体" w:cs="宋体"/>
                <w:color w:val="auto"/>
                <w:kern w:val="0"/>
                <w:sz w:val="22"/>
                <w:szCs w:val="22"/>
                <w:highlight w:val="none"/>
                <w:lang w:val="en-US" w:eastAsia="zh-CN" w:bidi="ar-SA"/>
              </w:rPr>
            </w:pPr>
            <w:r>
              <w:rPr>
                <w:rFonts w:hint="eastAsia" w:ascii="宋体" w:hAnsi="宋体" w:cs="宋体"/>
                <w:color w:val="auto"/>
                <w:kern w:val="0"/>
                <w:sz w:val="22"/>
                <w:szCs w:val="22"/>
                <w:highlight w:val="none"/>
                <w:lang w:val="en-US" w:eastAsia="zh-CN" w:bidi="ar-SA"/>
              </w:rPr>
              <w:t>注：拟投入本项目的上述人员须提供有效的健康证及劳动合同扫描件，未提供或提供不齐全不得分。</w:t>
            </w:r>
          </w:p>
        </w:tc>
      </w:tr>
      <w:tr w14:paraId="0274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79" w:type="dxa"/>
            <w:vMerge w:val="continue"/>
            <w:vAlign w:val="center"/>
          </w:tcPr>
          <w:p w14:paraId="64701E3E">
            <w:pPr>
              <w:spacing w:line="500" w:lineRule="exact"/>
              <w:jc w:val="center"/>
              <w:rPr>
                <w:rFonts w:ascii="宋体" w:hAnsi="宋体" w:cs="宋体"/>
                <w:sz w:val="22"/>
                <w:szCs w:val="22"/>
                <w:highlight w:val="none"/>
              </w:rPr>
            </w:pPr>
          </w:p>
        </w:tc>
        <w:tc>
          <w:tcPr>
            <w:tcW w:w="1265" w:type="dxa"/>
            <w:vMerge w:val="continue"/>
            <w:vAlign w:val="center"/>
          </w:tcPr>
          <w:p w14:paraId="70F7A4A9">
            <w:pPr>
              <w:spacing w:line="500" w:lineRule="exact"/>
              <w:jc w:val="center"/>
              <w:rPr>
                <w:rFonts w:ascii="宋体" w:hAnsi="宋体" w:cs="宋体"/>
                <w:sz w:val="22"/>
                <w:szCs w:val="22"/>
                <w:highlight w:val="none"/>
              </w:rPr>
            </w:pPr>
          </w:p>
        </w:tc>
        <w:tc>
          <w:tcPr>
            <w:tcW w:w="2923" w:type="dxa"/>
            <w:vAlign w:val="center"/>
          </w:tcPr>
          <w:p w14:paraId="6EB81C8E">
            <w:pPr>
              <w:autoSpaceDE w:val="0"/>
              <w:autoSpaceDN w:val="0"/>
              <w:spacing w:line="360" w:lineRule="auto"/>
              <w:jc w:val="center"/>
              <w:rPr>
                <w:rFonts w:hint="eastAsia" w:ascii="宋体" w:hAnsi="宋体" w:eastAsia="宋体" w:cs="宋体"/>
                <w:sz w:val="22"/>
                <w:szCs w:val="22"/>
                <w:highlight w:val="none"/>
                <w:lang w:val="en-US" w:eastAsia="zh-CN"/>
              </w:rPr>
            </w:pPr>
            <w:r>
              <w:rPr>
                <w:rFonts w:hint="eastAsia" w:ascii="宋体" w:hAnsi="宋体" w:eastAsia="宋体" w:cs="宋体"/>
                <w:color w:val="auto"/>
                <w:kern w:val="0"/>
                <w:sz w:val="22"/>
                <w:szCs w:val="22"/>
                <w:highlight w:val="none"/>
                <w:lang w:val="en-US" w:eastAsia="zh-CN" w:bidi="ar-SA"/>
              </w:rPr>
              <w:t>配送能力（</w:t>
            </w:r>
            <w:r>
              <w:rPr>
                <w:rFonts w:hint="eastAsia" w:ascii="宋体" w:hAnsi="宋体" w:cs="宋体"/>
                <w:color w:val="auto"/>
                <w:kern w:val="0"/>
                <w:sz w:val="22"/>
                <w:szCs w:val="22"/>
                <w:highlight w:val="none"/>
                <w:lang w:val="en-US" w:eastAsia="zh-CN" w:bidi="ar-SA"/>
              </w:rPr>
              <w:t>6</w:t>
            </w:r>
            <w:r>
              <w:rPr>
                <w:rFonts w:hint="eastAsia" w:ascii="宋体" w:hAnsi="宋体" w:eastAsia="宋体" w:cs="宋体"/>
                <w:color w:val="auto"/>
                <w:kern w:val="0"/>
                <w:sz w:val="22"/>
                <w:szCs w:val="22"/>
                <w:highlight w:val="none"/>
                <w:lang w:val="en-US" w:eastAsia="zh-CN" w:bidi="ar-SA"/>
              </w:rPr>
              <w:t>分）</w:t>
            </w:r>
          </w:p>
        </w:tc>
        <w:tc>
          <w:tcPr>
            <w:tcW w:w="5151" w:type="dxa"/>
            <w:vAlign w:val="center"/>
          </w:tcPr>
          <w:p w14:paraId="490D46E5">
            <w:pPr>
              <w:autoSpaceDE w:val="0"/>
              <w:autoSpaceDN w:val="0"/>
              <w:adjustRightInd w:val="0"/>
              <w:spacing w:line="360" w:lineRule="auto"/>
              <w:textAlignment w:val="baseline"/>
              <w:rPr>
                <w:rFonts w:hint="eastAsia"/>
                <w:sz w:val="22"/>
                <w:szCs w:val="22"/>
                <w:highlight w:val="none"/>
              </w:rPr>
            </w:pPr>
            <w:r>
              <w:rPr>
                <w:rFonts w:hint="eastAsia" w:ascii="宋体" w:hAnsi="宋体" w:cs="宋体"/>
                <w:color w:val="auto"/>
                <w:kern w:val="0"/>
                <w:sz w:val="22"/>
                <w:szCs w:val="22"/>
                <w:highlight w:val="none"/>
                <w:lang w:val="en-US" w:eastAsia="zh-CN" w:bidi="ar-SA"/>
              </w:rPr>
              <w:t>供应商具有自有或租赁的的</w:t>
            </w:r>
            <w:r>
              <w:rPr>
                <w:rFonts w:hint="eastAsia" w:ascii="宋体" w:hAnsi="宋体" w:cs="宋体"/>
                <w:b/>
                <w:bCs/>
                <w:color w:val="auto"/>
                <w:kern w:val="0"/>
                <w:sz w:val="22"/>
                <w:szCs w:val="22"/>
                <w:highlight w:val="none"/>
                <w:lang w:val="en-US" w:eastAsia="zh-CN" w:bidi="ar-SA"/>
              </w:rPr>
              <w:t>厢式货车或冷链车</w:t>
            </w:r>
            <w:r>
              <w:rPr>
                <w:rFonts w:hint="eastAsia" w:ascii="宋体" w:hAnsi="宋体" w:cs="宋体"/>
                <w:color w:val="auto"/>
                <w:kern w:val="0"/>
                <w:sz w:val="22"/>
                <w:szCs w:val="22"/>
                <w:highlight w:val="none"/>
                <w:lang w:val="en-US" w:eastAsia="zh-CN" w:bidi="ar-SA"/>
              </w:rPr>
              <w:t>，每有一辆得2分，最多得6分；（如供应商是自有车辆，响应文件中需提供车辆行驶证扫描件、车辆外观照片；若供应商是租赁车辆，需提供车辆行驶证扫描件及租赁协议扫描件、车辆外观照片。没有车辆或证明资料不全的不得分）。</w:t>
            </w:r>
          </w:p>
        </w:tc>
      </w:tr>
      <w:tr w14:paraId="20F0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79" w:type="dxa"/>
            <w:vMerge w:val="continue"/>
            <w:vAlign w:val="center"/>
          </w:tcPr>
          <w:p w14:paraId="4B659DC1">
            <w:pPr>
              <w:spacing w:line="500" w:lineRule="exact"/>
              <w:jc w:val="center"/>
              <w:rPr>
                <w:rFonts w:ascii="宋体" w:hAnsi="宋体" w:cs="宋体"/>
                <w:sz w:val="22"/>
                <w:szCs w:val="22"/>
                <w:highlight w:val="none"/>
              </w:rPr>
            </w:pPr>
          </w:p>
        </w:tc>
        <w:tc>
          <w:tcPr>
            <w:tcW w:w="1265" w:type="dxa"/>
            <w:vMerge w:val="continue"/>
            <w:vAlign w:val="center"/>
          </w:tcPr>
          <w:p w14:paraId="541B1BE9">
            <w:pPr>
              <w:spacing w:line="500" w:lineRule="exact"/>
              <w:jc w:val="center"/>
              <w:rPr>
                <w:rFonts w:ascii="宋体" w:hAnsi="宋体" w:cs="宋体"/>
                <w:sz w:val="22"/>
                <w:szCs w:val="22"/>
                <w:highlight w:val="none"/>
              </w:rPr>
            </w:pPr>
          </w:p>
        </w:tc>
        <w:tc>
          <w:tcPr>
            <w:tcW w:w="2923" w:type="dxa"/>
            <w:vAlign w:val="center"/>
          </w:tcPr>
          <w:p w14:paraId="30E71354">
            <w:pPr>
              <w:autoSpaceDE w:val="0"/>
              <w:autoSpaceDN w:val="0"/>
              <w:spacing w:line="360" w:lineRule="auto"/>
              <w:jc w:val="center"/>
              <w:rPr>
                <w:rFonts w:hint="eastAsia" w:ascii="宋体" w:hAnsi="宋体" w:eastAsia="宋体" w:cs="宋体"/>
                <w:sz w:val="22"/>
                <w:szCs w:val="22"/>
                <w:highlight w:val="none"/>
                <w:lang w:val="en-US" w:eastAsia="zh-CN"/>
              </w:rPr>
            </w:pPr>
            <w:r>
              <w:rPr>
                <w:rFonts w:hint="eastAsia" w:ascii="宋体" w:hAnsi="宋体" w:eastAsia="宋体" w:cs="宋体"/>
                <w:color w:val="auto"/>
                <w:kern w:val="0"/>
                <w:sz w:val="22"/>
                <w:szCs w:val="22"/>
                <w:highlight w:val="none"/>
                <w:lang w:val="en-US" w:eastAsia="zh-CN" w:bidi="ar-SA"/>
              </w:rPr>
              <w:t>服务承诺（</w:t>
            </w:r>
            <w:r>
              <w:rPr>
                <w:rFonts w:hint="eastAsia" w:ascii="宋体" w:hAnsi="宋体" w:cs="宋体"/>
                <w:color w:val="auto"/>
                <w:kern w:val="0"/>
                <w:sz w:val="22"/>
                <w:szCs w:val="22"/>
                <w:highlight w:val="none"/>
                <w:lang w:val="en-US" w:eastAsia="zh-CN" w:bidi="ar-SA"/>
              </w:rPr>
              <w:t>7</w:t>
            </w:r>
            <w:r>
              <w:rPr>
                <w:rFonts w:hint="eastAsia" w:ascii="宋体" w:hAnsi="宋体" w:eastAsia="宋体" w:cs="宋体"/>
                <w:color w:val="auto"/>
                <w:kern w:val="0"/>
                <w:sz w:val="22"/>
                <w:szCs w:val="22"/>
                <w:highlight w:val="none"/>
                <w:lang w:val="en-US" w:eastAsia="zh-CN" w:bidi="ar-SA"/>
              </w:rPr>
              <w:t>分）</w:t>
            </w:r>
          </w:p>
        </w:tc>
        <w:tc>
          <w:tcPr>
            <w:tcW w:w="5151" w:type="dxa"/>
            <w:vAlign w:val="center"/>
          </w:tcPr>
          <w:p w14:paraId="65491AB0">
            <w:pPr>
              <w:autoSpaceDE w:val="0"/>
              <w:autoSpaceDN w:val="0"/>
              <w:adjustRightInd w:val="0"/>
              <w:spacing w:line="360" w:lineRule="auto"/>
              <w:textAlignment w:val="baseline"/>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根据响应文件中的服务承诺进行综合评价，包括但不限</w:t>
            </w:r>
            <w:r>
              <w:rPr>
                <w:rFonts w:hint="eastAsia" w:ascii="宋体" w:hAnsi="宋体" w:cs="宋体"/>
                <w:color w:val="auto"/>
                <w:kern w:val="0"/>
                <w:sz w:val="22"/>
                <w:szCs w:val="22"/>
                <w:highlight w:val="none"/>
                <w:lang w:val="en-US" w:eastAsia="zh-CN" w:bidi="ar-SA"/>
              </w:rPr>
              <w:t>于：1.</w:t>
            </w:r>
            <w:r>
              <w:rPr>
                <w:rFonts w:hint="eastAsia" w:ascii="宋体" w:hAnsi="宋体" w:eastAsia="宋体" w:cs="宋体"/>
                <w:color w:val="auto"/>
                <w:kern w:val="0"/>
                <w:sz w:val="22"/>
                <w:szCs w:val="22"/>
                <w:highlight w:val="none"/>
                <w:lang w:val="en-US" w:eastAsia="zh-CN" w:bidi="ar-SA"/>
              </w:rPr>
              <w:t>完善的售后服务体系；</w:t>
            </w:r>
            <w:r>
              <w:rPr>
                <w:rFonts w:hint="eastAsia" w:ascii="宋体" w:hAnsi="宋体" w:cs="宋体"/>
                <w:color w:val="auto"/>
                <w:kern w:val="0"/>
                <w:sz w:val="22"/>
                <w:szCs w:val="22"/>
                <w:highlight w:val="none"/>
                <w:lang w:val="en-US" w:eastAsia="zh-CN" w:bidi="ar-SA"/>
              </w:rPr>
              <w:t>2.</w:t>
            </w:r>
            <w:r>
              <w:rPr>
                <w:rFonts w:hint="eastAsia" w:ascii="宋体" w:hAnsi="宋体" w:eastAsia="宋体" w:cs="宋体"/>
                <w:color w:val="auto"/>
                <w:kern w:val="0"/>
                <w:sz w:val="22"/>
                <w:szCs w:val="22"/>
                <w:highlight w:val="none"/>
                <w:lang w:val="en-US" w:eastAsia="zh-CN" w:bidi="ar-SA"/>
              </w:rPr>
              <w:t>售后服务响应时间</w:t>
            </w:r>
            <w:r>
              <w:rPr>
                <w:rFonts w:hint="eastAsia" w:ascii="宋体" w:hAnsi="宋体" w:cs="宋体"/>
                <w:color w:val="auto"/>
                <w:kern w:val="0"/>
                <w:sz w:val="22"/>
                <w:szCs w:val="22"/>
                <w:highlight w:val="none"/>
                <w:lang w:val="en-US" w:eastAsia="zh-CN" w:bidi="ar-SA"/>
              </w:rPr>
              <w:t>及</w:t>
            </w:r>
            <w:r>
              <w:rPr>
                <w:rFonts w:hint="eastAsia" w:ascii="宋体" w:hAnsi="宋体" w:eastAsia="宋体" w:cs="宋体"/>
                <w:color w:val="auto"/>
                <w:kern w:val="0"/>
                <w:sz w:val="22"/>
                <w:szCs w:val="22"/>
                <w:highlight w:val="none"/>
                <w:lang w:val="en-US" w:eastAsia="zh-CN" w:bidi="ar-SA"/>
              </w:rPr>
              <w:t xml:space="preserve">问题的响应及处理时效； </w:t>
            </w:r>
            <w:r>
              <w:rPr>
                <w:rFonts w:hint="eastAsia" w:ascii="宋体" w:hAnsi="宋体" w:cs="宋体"/>
                <w:color w:val="auto"/>
                <w:kern w:val="0"/>
                <w:sz w:val="22"/>
                <w:szCs w:val="22"/>
                <w:highlight w:val="none"/>
                <w:lang w:val="en-US" w:eastAsia="zh-CN" w:bidi="ar-SA"/>
              </w:rPr>
              <w:t>3.</w:t>
            </w:r>
            <w:r>
              <w:rPr>
                <w:rFonts w:hint="eastAsia" w:ascii="宋体" w:hAnsi="宋体" w:eastAsia="宋体" w:cs="宋体"/>
                <w:color w:val="auto"/>
                <w:kern w:val="0"/>
                <w:sz w:val="22"/>
                <w:szCs w:val="22"/>
                <w:highlight w:val="none"/>
                <w:lang w:val="en-US" w:eastAsia="zh-CN" w:bidi="ar-SA"/>
              </w:rPr>
              <w:t>配合采购人验收的相关承诺</w:t>
            </w:r>
            <w:r>
              <w:rPr>
                <w:rFonts w:hint="eastAsia" w:ascii="宋体" w:hAnsi="宋体" w:cs="宋体"/>
                <w:color w:val="auto"/>
                <w:kern w:val="0"/>
                <w:sz w:val="22"/>
                <w:szCs w:val="22"/>
                <w:highlight w:val="none"/>
                <w:lang w:val="en-US" w:eastAsia="zh-CN" w:bidi="ar-SA"/>
              </w:rPr>
              <w:t>并</w:t>
            </w:r>
            <w:r>
              <w:rPr>
                <w:rFonts w:hint="eastAsia" w:ascii="宋体" w:hAnsi="宋体" w:eastAsia="宋体" w:cs="宋体"/>
                <w:color w:val="auto"/>
                <w:kern w:val="0"/>
                <w:sz w:val="22"/>
                <w:szCs w:val="22"/>
                <w:highlight w:val="none"/>
                <w:lang w:val="en-US" w:eastAsia="zh-CN" w:bidi="ar-SA"/>
              </w:rPr>
              <w:t>承诺遵守《中华人民共和国食品安全法》《中华人民共和国动物防疫法》等相关法律法规，接受采购人及相关监管部门的监督检查</w:t>
            </w:r>
            <w:r>
              <w:rPr>
                <w:rFonts w:hint="eastAsia" w:ascii="宋体" w:hAnsi="宋体" w:cs="宋体"/>
                <w:color w:val="auto"/>
                <w:kern w:val="0"/>
                <w:sz w:val="22"/>
                <w:szCs w:val="22"/>
                <w:highlight w:val="none"/>
                <w:lang w:val="en-US" w:eastAsia="zh-CN" w:bidi="ar-SA"/>
              </w:rPr>
              <w:t>；4.</w:t>
            </w:r>
            <w:r>
              <w:rPr>
                <w:rFonts w:hint="eastAsia" w:ascii="宋体" w:hAnsi="宋体" w:eastAsia="宋体" w:cs="宋体"/>
                <w:color w:val="auto"/>
                <w:kern w:val="0"/>
                <w:sz w:val="22"/>
                <w:szCs w:val="22"/>
                <w:highlight w:val="none"/>
                <w:lang w:val="en-US" w:eastAsia="zh-CN" w:bidi="ar-SA"/>
              </w:rPr>
              <w:t>承诺对出现的问题食品进行及时的召回和更换、供应商提供“企业产品若发生质量事故按《中华人民共和国食品安全法》相关规定执行赔偿承诺”</w:t>
            </w:r>
            <w:r>
              <w:rPr>
                <w:rFonts w:hint="eastAsia" w:ascii="宋体" w:hAnsi="宋体" w:cs="宋体"/>
                <w:color w:val="auto"/>
                <w:kern w:val="0"/>
                <w:sz w:val="22"/>
                <w:szCs w:val="22"/>
                <w:highlight w:val="none"/>
                <w:lang w:val="en-US" w:eastAsia="zh-CN" w:bidi="ar-SA"/>
              </w:rPr>
              <w:t>；5.</w:t>
            </w:r>
            <w:r>
              <w:rPr>
                <w:rFonts w:hint="eastAsia" w:ascii="宋体" w:hAnsi="宋体" w:eastAsia="宋体" w:cs="宋体"/>
                <w:color w:val="auto"/>
                <w:kern w:val="0"/>
                <w:sz w:val="22"/>
                <w:szCs w:val="22"/>
                <w:highlight w:val="none"/>
                <w:lang w:val="en-US" w:eastAsia="zh-CN" w:bidi="ar-SA"/>
              </w:rPr>
              <w:t>供应商承诺供货质量保证措施，坚决不提供对于临近保质期及已经过期产品等。</w:t>
            </w:r>
          </w:p>
          <w:p w14:paraId="345A7330">
            <w:pPr>
              <w:spacing w:line="36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w:t>
            </w:r>
            <w:r>
              <w:rPr>
                <w:rFonts w:hint="eastAsia" w:ascii="宋体" w:hAnsi="宋体" w:cs="宋体"/>
                <w:color w:val="auto"/>
                <w:kern w:val="2"/>
                <w:sz w:val="22"/>
                <w:szCs w:val="22"/>
                <w:highlight w:val="none"/>
                <w:lang w:val="en-US" w:eastAsia="zh-CN" w:bidi="ar-SA"/>
              </w:rPr>
              <w:t>以上承诺书</w:t>
            </w:r>
            <w:r>
              <w:rPr>
                <w:rFonts w:hint="eastAsia" w:ascii="宋体" w:hAnsi="宋体" w:eastAsia="宋体" w:cs="宋体"/>
                <w:color w:val="auto"/>
                <w:kern w:val="2"/>
                <w:sz w:val="22"/>
                <w:szCs w:val="22"/>
                <w:highlight w:val="none"/>
                <w:lang w:val="en-US" w:eastAsia="zh-CN" w:bidi="ar-SA"/>
              </w:rPr>
              <w:t>内容</w:t>
            </w:r>
            <w:r>
              <w:rPr>
                <w:rFonts w:hint="eastAsia" w:ascii="宋体" w:hAnsi="宋体" w:cs="宋体"/>
                <w:color w:val="auto"/>
                <w:kern w:val="2"/>
                <w:sz w:val="22"/>
                <w:szCs w:val="22"/>
                <w:highlight w:val="none"/>
                <w:lang w:val="en-US" w:eastAsia="zh-CN" w:bidi="ar-SA"/>
              </w:rPr>
              <w:t>完整</w:t>
            </w:r>
            <w:r>
              <w:rPr>
                <w:rFonts w:hint="eastAsia" w:ascii="宋体" w:hAnsi="宋体" w:eastAsia="宋体" w:cs="宋体"/>
                <w:color w:val="auto"/>
                <w:kern w:val="2"/>
                <w:sz w:val="22"/>
                <w:szCs w:val="22"/>
                <w:highlight w:val="none"/>
                <w:lang w:val="en-US" w:eastAsia="zh-CN" w:bidi="ar-SA"/>
              </w:rPr>
              <w:t>全面详实，针对性强，整体科学合理，可操作性强的得</w:t>
            </w:r>
            <w:r>
              <w:rPr>
                <w:rFonts w:hint="eastAsia" w:ascii="宋体" w:hAnsi="宋体" w:cs="宋体"/>
                <w:color w:val="auto"/>
                <w:kern w:val="2"/>
                <w:sz w:val="22"/>
                <w:szCs w:val="22"/>
                <w:highlight w:val="none"/>
                <w:lang w:val="en-US" w:eastAsia="zh-CN" w:bidi="ar-SA"/>
              </w:rPr>
              <w:t>7</w:t>
            </w:r>
            <w:r>
              <w:rPr>
                <w:rFonts w:hint="eastAsia" w:ascii="宋体" w:hAnsi="宋体" w:eastAsia="宋体" w:cs="宋体"/>
                <w:color w:val="auto"/>
                <w:kern w:val="2"/>
                <w:sz w:val="22"/>
                <w:szCs w:val="22"/>
                <w:highlight w:val="none"/>
                <w:lang w:val="en-US" w:eastAsia="zh-CN" w:bidi="ar-SA"/>
              </w:rPr>
              <w:t>分；</w:t>
            </w:r>
          </w:p>
          <w:p w14:paraId="7D2B7D30">
            <w:pPr>
              <w:spacing w:line="36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w:t>
            </w:r>
            <w:r>
              <w:rPr>
                <w:rFonts w:hint="eastAsia" w:ascii="宋体" w:hAnsi="宋体" w:cs="宋体"/>
                <w:color w:val="auto"/>
                <w:kern w:val="2"/>
                <w:sz w:val="22"/>
                <w:szCs w:val="22"/>
                <w:highlight w:val="none"/>
                <w:lang w:val="en-US" w:eastAsia="zh-CN" w:bidi="ar-SA"/>
              </w:rPr>
              <w:t>以上承诺内容基本完整</w:t>
            </w:r>
            <w:r>
              <w:rPr>
                <w:rFonts w:hint="eastAsia" w:ascii="宋体" w:hAnsi="宋体" w:eastAsia="宋体" w:cs="宋体"/>
                <w:color w:val="auto"/>
                <w:kern w:val="2"/>
                <w:sz w:val="22"/>
                <w:szCs w:val="22"/>
                <w:highlight w:val="none"/>
                <w:lang w:val="en-US" w:eastAsia="zh-CN" w:bidi="ar-SA"/>
              </w:rPr>
              <w:t>，针对性较好，整体较为合理，具有一定的可操作性的得</w:t>
            </w:r>
            <w:r>
              <w:rPr>
                <w:rFonts w:hint="eastAsia" w:ascii="宋体" w:hAnsi="宋体" w:cs="宋体"/>
                <w:color w:val="auto"/>
                <w:kern w:val="2"/>
                <w:sz w:val="22"/>
                <w:szCs w:val="22"/>
                <w:highlight w:val="none"/>
                <w:lang w:val="en-US" w:eastAsia="zh-CN" w:bidi="ar-SA"/>
              </w:rPr>
              <w:t>5</w:t>
            </w:r>
            <w:r>
              <w:rPr>
                <w:rFonts w:hint="eastAsia" w:ascii="宋体" w:hAnsi="宋体" w:eastAsia="宋体" w:cs="宋体"/>
                <w:color w:val="auto"/>
                <w:kern w:val="2"/>
                <w:sz w:val="22"/>
                <w:szCs w:val="22"/>
                <w:highlight w:val="none"/>
                <w:lang w:val="en-US" w:eastAsia="zh-CN" w:bidi="ar-SA"/>
              </w:rPr>
              <w:t>分；</w:t>
            </w:r>
          </w:p>
          <w:p w14:paraId="7117BE4E">
            <w:pPr>
              <w:spacing w:line="36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w:t>
            </w:r>
            <w:r>
              <w:rPr>
                <w:rFonts w:hint="eastAsia" w:ascii="宋体" w:hAnsi="宋体" w:cs="宋体"/>
                <w:color w:val="auto"/>
                <w:kern w:val="2"/>
                <w:sz w:val="22"/>
                <w:szCs w:val="22"/>
                <w:highlight w:val="none"/>
                <w:lang w:val="en-US" w:eastAsia="zh-CN" w:bidi="ar-SA"/>
              </w:rPr>
              <w:t>虽提供以上承诺，但内容不完整</w:t>
            </w:r>
            <w:r>
              <w:rPr>
                <w:rFonts w:hint="eastAsia" w:ascii="宋体" w:hAnsi="宋体" w:eastAsia="宋体" w:cs="宋体"/>
                <w:color w:val="auto"/>
                <w:kern w:val="2"/>
                <w:sz w:val="22"/>
                <w:szCs w:val="22"/>
                <w:highlight w:val="none"/>
                <w:lang w:val="en-US" w:eastAsia="zh-CN" w:bidi="ar-SA"/>
              </w:rPr>
              <w:t>，针对性</w:t>
            </w:r>
            <w:r>
              <w:rPr>
                <w:rFonts w:hint="eastAsia" w:ascii="宋体" w:hAnsi="宋体" w:cs="宋体"/>
                <w:color w:val="auto"/>
                <w:kern w:val="2"/>
                <w:sz w:val="22"/>
                <w:szCs w:val="22"/>
                <w:highlight w:val="none"/>
                <w:lang w:val="en-US" w:eastAsia="zh-CN" w:bidi="ar-SA"/>
              </w:rPr>
              <w:t>一般</w:t>
            </w:r>
            <w:r>
              <w:rPr>
                <w:rFonts w:hint="eastAsia" w:ascii="宋体" w:hAnsi="宋体" w:eastAsia="宋体" w:cs="宋体"/>
                <w:color w:val="auto"/>
                <w:kern w:val="2"/>
                <w:sz w:val="22"/>
                <w:szCs w:val="22"/>
                <w:highlight w:val="none"/>
                <w:lang w:val="en-US" w:eastAsia="zh-CN" w:bidi="ar-SA"/>
              </w:rPr>
              <w:t>，得</w:t>
            </w:r>
            <w:r>
              <w:rPr>
                <w:rFonts w:hint="eastAsia" w:ascii="宋体" w:hAnsi="宋体" w:cs="宋体"/>
                <w:color w:val="auto"/>
                <w:kern w:val="2"/>
                <w:sz w:val="22"/>
                <w:szCs w:val="22"/>
                <w:highlight w:val="none"/>
                <w:lang w:val="en-US" w:eastAsia="zh-CN" w:bidi="ar-SA"/>
              </w:rPr>
              <w:t>3</w:t>
            </w:r>
            <w:r>
              <w:rPr>
                <w:rFonts w:hint="eastAsia" w:ascii="宋体" w:hAnsi="宋体" w:eastAsia="宋体" w:cs="宋体"/>
                <w:color w:val="auto"/>
                <w:kern w:val="2"/>
                <w:sz w:val="22"/>
                <w:szCs w:val="22"/>
                <w:highlight w:val="none"/>
                <w:lang w:val="en-US" w:eastAsia="zh-CN" w:bidi="ar-SA"/>
              </w:rPr>
              <w:t>分；</w:t>
            </w:r>
          </w:p>
          <w:p w14:paraId="611AC350">
            <w:pPr>
              <w:spacing w:line="360" w:lineRule="auto"/>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（4）虽提供以上承诺，但是缺项较多，针对性较差的1分；</w:t>
            </w:r>
          </w:p>
          <w:p w14:paraId="718364F1">
            <w:pPr>
              <w:autoSpaceDE w:val="0"/>
              <w:autoSpaceDN w:val="0"/>
              <w:adjustRightInd w:val="0"/>
              <w:spacing w:line="360" w:lineRule="auto"/>
              <w:textAlignment w:val="baseline"/>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w:t>
            </w:r>
            <w:r>
              <w:rPr>
                <w:rFonts w:hint="eastAsia" w:ascii="宋体" w:hAnsi="宋体" w:cs="宋体"/>
                <w:color w:val="auto"/>
                <w:kern w:val="2"/>
                <w:sz w:val="22"/>
                <w:szCs w:val="22"/>
                <w:highlight w:val="none"/>
                <w:lang w:val="en-US" w:eastAsia="zh-CN" w:bidi="ar-SA"/>
              </w:rPr>
              <w:t>5</w:t>
            </w:r>
            <w:r>
              <w:rPr>
                <w:rFonts w:hint="eastAsia" w:ascii="宋体" w:hAnsi="宋体" w:eastAsia="宋体" w:cs="宋体"/>
                <w:color w:val="auto"/>
                <w:kern w:val="2"/>
                <w:sz w:val="22"/>
                <w:szCs w:val="22"/>
                <w:highlight w:val="none"/>
                <w:lang w:val="en-US" w:eastAsia="zh-CN" w:bidi="ar-SA"/>
              </w:rPr>
              <w:t>）未提供不得分。</w:t>
            </w:r>
          </w:p>
        </w:tc>
      </w:tr>
    </w:tbl>
    <w:p w14:paraId="44AD4514">
      <w:pPr>
        <w:spacing w:line="500" w:lineRule="exact"/>
        <w:rPr>
          <w:highlight w:val="none"/>
        </w:rPr>
      </w:pPr>
    </w:p>
    <w:p w14:paraId="5C1724D9">
      <w:pPr>
        <w:pStyle w:val="24"/>
        <w:ind w:firstLine="210"/>
        <w:rPr>
          <w:highlight w:val="none"/>
        </w:rPr>
      </w:pPr>
    </w:p>
    <w:p w14:paraId="09E99693">
      <w:pPr>
        <w:rPr>
          <w:rFonts w:hint="eastAsia"/>
          <w:b/>
          <w:bCs/>
          <w:sz w:val="32"/>
          <w:szCs w:val="32"/>
          <w:highlight w:val="none"/>
        </w:rPr>
      </w:pPr>
      <w:bookmarkStart w:id="209" w:name="_Toc19153"/>
      <w:r>
        <w:rPr>
          <w:rFonts w:hint="eastAsia"/>
          <w:b/>
          <w:bCs/>
          <w:sz w:val="32"/>
          <w:szCs w:val="32"/>
          <w:highlight w:val="none"/>
        </w:rPr>
        <w:br w:type="page"/>
      </w:r>
    </w:p>
    <w:p w14:paraId="36C233FD">
      <w:pPr>
        <w:spacing w:line="500" w:lineRule="exact"/>
        <w:jc w:val="center"/>
        <w:outlineLvl w:val="0"/>
        <w:rPr>
          <w:b/>
          <w:bCs/>
          <w:sz w:val="32"/>
          <w:szCs w:val="32"/>
          <w:highlight w:val="none"/>
        </w:rPr>
      </w:pPr>
      <w:r>
        <w:rPr>
          <w:rFonts w:hint="eastAsia"/>
          <w:b/>
          <w:bCs/>
          <w:sz w:val="32"/>
          <w:szCs w:val="32"/>
          <w:highlight w:val="none"/>
        </w:rPr>
        <w:t>第五章 合同条款及格式</w:t>
      </w:r>
      <w:bookmarkEnd w:id="209"/>
    </w:p>
    <w:p w14:paraId="534CF4B0">
      <w:pPr>
        <w:pStyle w:val="10"/>
        <w:tabs>
          <w:tab w:val="left" w:pos="3391"/>
        </w:tabs>
        <w:spacing w:line="500" w:lineRule="exact"/>
        <w:ind w:left="400" w:right="124"/>
        <w:jc w:val="center"/>
        <w:rPr>
          <w:rFonts w:ascii="宋体" w:hAnsi="宋体" w:eastAsia="宋体" w:cs="宋体"/>
          <w:sz w:val="24"/>
          <w:highlight w:val="none"/>
        </w:rPr>
      </w:pPr>
      <w:bookmarkStart w:id="210" w:name="_Toc512596662"/>
      <w:bookmarkEnd w:id="210"/>
      <w:bookmarkStart w:id="211" w:name="_Toc522798774"/>
      <w:bookmarkEnd w:id="211"/>
      <w:bookmarkStart w:id="212" w:name="_Toc521998004"/>
      <w:bookmarkEnd w:id="212"/>
      <w:bookmarkStart w:id="213" w:name="_Toc517257919"/>
      <w:bookmarkEnd w:id="213"/>
      <w:bookmarkStart w:id="214" w:name="_Toc18319_WPSOffice_Level2"/>
      <w:bookmarkEnd w:id="214"/>
      <w:bookmarkStart w:id="215" w:name="_Toc522085799"/>
      <w:bookmarkEnd w:id="215"/>
      <w:r>
        <w:rPr>
          <w:rFonts w:hint="eastAsia" w:ascii="宋体" w:hAnsi="宋体" w:eastAsia="宋体" w:cs="宋体"/>
          <w:sz w:val="24"/>
          <w:highlight w:val="none"/>
        </w:rPr>
        <w:t>（本格式仅供参考，具体合同以成交后甲乙双方签订合同为准）</w:t>
      </w:r>
    </w:p>
    <w:p w14:paraId="2EE9FB49">
      <w:pPr>
        <w:pStyle w:val="42"/>
        <w:rPr>
          <w:highlight w:val="none"/>
        </w:rPr>
      </w:pPr>
    </w:p>
    <w:p w14:paraId="0AF6C0FC">
      <w:pPr>
        <w:keepNext w:val="0"/>
        <w:keepLines w:val="0"/>
        <w:pageBreakBefore w:val="0"/>
        <w:widowControl w:val="0"/>
        <w:kinsoku/>
        <w:wordWrap/>
        <w:overflowPunct/>
        <w:topLinePunct w:val="0"/>
        <w:autoSpaceDE/>
        <w:autoSpaceDN/>
        <w:bidi w:val="0"/>
        <w:adjustRightInd/>
        <w:snapToGrid w:val="0"/>
        <w:spacing w:before="218" w:line="360" w:lineRule="auto"/>
        <w:ind w:firstLine="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10"/>
          <w:kern w:val="2"/>
          <w:sz w:val="24"/>
          <w:szCs w:val="24"/>
          <w:highlight w:val="none"/>
          <w:lang w:val="en-US" w:eastAsia="zh-CN" w:bidi="ar-SA"/>
        </w:rPr>
        <w:t>甲   方</w:t>
      </w:r>
      <w:r>
        <w:rPr>
          <w:rFonts w:hint="eastAsia" w:ascii="宋体" w:hAnsi="宋体" w:eastAsia="宋体" w:cs="宋体"/>
          <w:b/>
          <w:bCs/>
          <w:color w:val="auto"/>
          <w:spacing w:val="-11"/>
          <w:sz w:val="24"/>
          <w:szCs w:val="24"/>
          <w:highlight w:val="none"/>
        </w:rPr>
        <w:t>（需方</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2"/>
          <w:sz w:val="24"/>
          <w:szCs w:val="24"/>
          <w:highlight w:val="none"/>
          <w:u w:val="single" w:color="auto"/>
          <w:lang w:val="en-US" w:eastAsia="zh-CN"/>
        </w:rPr>
        <w:t xml:space="preserve">    </w:t>
      </w:r>
      <w:r>
        <w:rPr>
          <w:rFonts w:hint="eastAsia" w:ascii="宋体" w:hAnsi="宋体" w:cs="宋体"/>
          <w:b/>
          <w:bCs/>
          <w:color w:val="auto"/>
          <w:spacing w:val="-2"/>
          <w:sz w:val="24"/>
          <w:szCs w:val="24"/>
          <w:highlight w:val="none"/>
          <w:u w:val="single" w:color="auto"/>
          <w:lang w:val="en-US" w:eastAsia="zh-CN"/>
        </w:rPr>
        <w:t xml:space="preserve">                      </w:t>
      </w:r>
      <w:r>
        <w:rPr>
          <w:rFonts w:hint="eastAsia" w:ascii="宋体" w:hAnsi="宋体" w:eastAsia="宋体" w:cs="宋体"/>
          <w:b/>
          <w:bCs/>
          <w:color w:val="auto"/>
          <w:spacing w:val="-2"/>
          <w:sz w:val="24"/>
          <w:szCs w:val="24"/>
          <w:highlight w:val="none"/>
          <w:u w:val="single" w:color="auto"/>
          <w:lang w:val="en-US" w:eastAsia="zh-CN"/>
        </w:rPr>
        <w:t xml:space="preserve"> </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2"/>
          <w:sz w:val="24"/>
          <w:szCs w:val="24"/>
          <w:highlight w:val="none"/>
        </w:rPr>
        <w:t>(以下简称甲方)</w:t>
      </w:r>
    </w:p>
    <w:p w14:paraId="4E4E742C">
      <w:pPr>
        <w:pStyle w:val="10"/>
        <w:keepNext w:val="0"/>
        <w:keepLines w:val="0"/>
        <w:pageBreakBefore w:val="0"/>
        <w:widowControl w:val="0"/>
        <w:kinsoku/>
        <w:wordWrap/>
        <w:overflowPunct/>
        <w:topLinePunct w:val="0"/>
        <w:autoSpaceDE/>
        <w:autoSpaceDN/>
        <w:bidi w:val="0"/>
        <w:adjustRightInd/>
        <w:snapToGrid w:val="0"/>
        <w:spacing w:before="185" w:line="360" w:lineRule="auto"/>
        <w:ind w:firstLine="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乙</w:t>
      </w:r>
      <w:r>
        <w:rPr>
          <w:rFonts w:hint="eastAsia" w:ascii="宋体" w:hAnsi="宋体" w:eastAsia="宋体" w:cs="宋体"/>
          <w:color w:val="auto"/>
          <w:spacing w:val="8"/>
          <w:sz w:val="24"/>
          <w:szCs w:val="24"/>
          <w:highlight w:val="none"/>
        </w:rPr>
        <w:t xml:space="preserve">  </w:t>
      </w:r>
      <w:r>
        <w:rPr>
          <w:rFonts w:hint="eastAsia" w:ascii="宋体" w:hAnsi="宋体" w:eastAsia="宋体" w:cs="宋体"/>
          <w:b/>
          <w:bCs/>
          <w:color w:val="auto"/>
          <w:spacing w:val="-10"/>
          <w:sz w:val="24"/>
          <w:szCs w:val="24"/>
          <w:highlight w:val="none"/>
        </w:rPr>
        <w:t>方</w:t>
      </w:r>
      <w:r>
        <w:rPr>
          <w:rFonts w:hint="eastAsia" w:ascii="宋体" w:hAnsi="宋体" w:eastAsia="宋体" w:cs="宋体"/>
          <w:b/>
          <w:bCs/>
          <w:color w:val="auto"/>
          <w:spacing w:val="-10"/>
          <w:sz w:val="24"/>
          <w:szCs w:val="24"/>
          <w:highlight w:val="none"/>
          <w:lang w:eastAsia="zh-CN"/>
        </w:rPr>
        <w:t>（</w:t>
      </w:r>
      <w:r>
        <w:rPr>
          <w:rFonts w:hint="eastAsia" w:ascii="宋体" w:hAnsi="宋体" w:eastAsia="宋体" w:cs="宋体"/>
          <w:b/>
          <w:bCs/>
          <w:color w:val="auto"/>
          <w:spacing w:val="-10"/>
          <w:sz w:val="24"/>
          <w:szCs w:val="24"/>
          <w:highlight w:val="none"/>
          <w:lang w:val="en-US" w:eastAsia="zh-CN"/>
        </w:rPr>
        <w:t>供方）</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rPr>
        <w:t>(以下简</w:t>
      </w:r>
      <w:r>
        <w:rPr>
          <w:rFonts w:hint="eastAsia" w:ascii="宋体" w:hAnsi="宋体" w:eastAsia="宋体" w:cs="宋体"/>
          <w:color w:val="auto"/>
          <w:spacing w:val="4"/>
          <w:sz w:val="24"/>
          <w:szCs w:val="24"/>
          <w:highlight w:val="none"/>
        </w:rPr>
        <w:t>称乙方)</w:t>
      </w:r>
    </w:p>
    <w:p w14:paraId="159B153E">
      <w:pPr>
        <w:spacing w:before="78" w:line="360" w:lineRule="auto"/>
        <w:ind w:left="11" w:right="75" w:firstLine="478"/>
        <w:jc w:val="left"/>
        <w:rPr>
          <w:rFonts w:hint="eastAsia" w:ascii="宋体" w:hAnsi="宋体" w:eastAsia="宋体" w:cs="宋体"/>
          <w:b/>
          <w:bCs/>
          <w:color w:val="auto"/>
          <w:spacing w:val="-3"/>
          <w:sz w:val="24"/>
          <w:szCs w:val="24"/>
          <w:highlight w:val="none"/>
        </w:rPr>
      </w:pPr>
      <w:r>
        <w:rPr>
          <w:rFonts w:hint="eastAsia" w:ascii="宋体" w:hAnsi="宋体" w:eastAsia="宋体" w:cs="宋体"/>
          <w:color w:val="auto"/>
          <w:sz w:val="24"/>
          <w:szCs w:val="24"/>
          <w:highlight w:val="none"/>
        </w:rPr>
        <w:t>根据《中华人民共和国政府采购法》《中华人民共和国</w:t>
      </w:r>
      <w:r>
        <w:rPr>
          <w:rFonts w:hint="eastAsia" w:ascii="宋体" w:hAnsi="宋体" w:eastAsia="宋体" w:cs="宋体"/>
          <w:color w:val="auto"/>
          <w:spacing w:val="-1"/>
          <w:sz w:val="24"/>
          <w:szCs w:val="24"/>
          <w:highlight w:val="none"/>
        </w:rPr>
        <w:t>民法典》</w:t>
      </w:r>
      <w:r>
        <w:rPr>
          <w:rFonts w:hint="eastAsia" w:ascii="宋体" w:hAnsi="宋体" w:eastAsia="宋体" w:cs="宋体"/>
          <w:color w:val="auto"/>
          <w:spacing w:val="-1"/>
          <w:sz w:val="24"/>
          <w:szCs w:val="24"/>
          <w:highlight w:val="none"/>
          <w:lang w:val="en-US" w:eastAsia="zh-CN"/>
        </w:rPr>
        <w:t>等</w:t>
      </w:r>
      <w:r>
        <w:rPr>
          <w:rFonts w:hint="eastAsia" w:ascii="宋体" w:hAnsi="宋体" w:eastAsia="宋体" w:cs="宋体"/>
          <w:color w:val="auto"/>
          <w:spacing w:val="-1"/>
          <w:sz w:val="24"/>
          <w:szCs w:val="24"/>
          <w:highlight w:val="none"/>
        </w:rPr>
        <w:t>与项目行业有关的法律法规，以及</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lang w:val="en-US" w:eastAsia="zh-CN"/>
        </w:rPr>
        <w:t xml:space="preserve"> </w:t>
      </w:r>
      <w:r>
        <w:rPr>
          <w:rFonts w:hint="eastAsia" w:ascii="宋体" w:hAnsi="宋体" w:cs="宋体"/>
          <w:color w:val="auto"/>
          <w:spacing w:val="-1"/>
          <w:sz w:val="24"/>
          <w:szCs w:val="24"/>
          <w:highlight w:val="none"/>
          <w:u w:val="single" w:color="auto"/>
          <w:lang w:val="en-US" w:eastAsia="zh-CN"/>
        </w:rPr>
        <w:t xml:space="preserve">          </w:t>
      </w:r>
      <w:r>
        <w:rPr>
          <w:rFonts w:hint="eastAsia" w:ascii="宋体" w:hAnsi="宋体" w:eastAsia="宋体" w:cs="宋体"/>
          <w:color w:val="auto"/>
          <w:spacing w:val="-1"/>
          <w:sz w:val="24"/>
          <w:szCs w:val="24"/>
          <w:highlight w:val="none"/>
          <w:u w:val="single" w:color="auto"/>
          <w:lang w:val="en-US" w:eastAsia="zh-CN"/>
        </w:rPr>
        <w:t xml:space="preserve"> </w:t>
      </w:r>
      <w:r>
        <w:rPr>
          <w:rFonts w:hint="eastAsia" w:ascii="宋体" w:hAnsi="宋体" w:eastAsia="宋体" w:cs="宋体"/>
          <w:color w:val="auto"/>
          <w:spacing w:val="-99"/>
          <w:sz w:val="24"/>
          <w:szCs w:val="24"/>
          <w:highlight w:val="none"/>
        </w:rPr>
        <w:t xml:space="preserve"> </w:t>
      </w:r>
      <w:r>
        <w:rPr>
          <w:rFonts w:hint="eastAsia" w:ascii="宋体" w:hAnsi="宋体" w:eastAsia="宋体" w:cs="宋体"/>
          <w:color w:val="auto"/>
          <w:spacing w:val="-1"/>
          <w:sz w:val="24"/>
          <w:szCs w:val="24"/>
          <w:highlight w:val="none"/>
        </w:rPr>
        <w:t>项目</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z w:val="24"/>
          <w:szCs w:val="24"/>
          <w:highlight w:val="none"/>
        </w:rPr>
        <w:t xml:space="preserve">项目编号：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的《</w:t>
      </w:r>
      <w:r>
        <w:rPr>
          <w:rFonts w:hint="eastAsia" w:ascii="宋体" w:hAnsi="宋体" w:cs="宋体"/>
          <w:color w:val="auto"/>
          <w:sz w:val="24"/>
          <w:szCs w:val="24"/>
          <w:highlight w:val="none"/>
          <w:lang w:val="en-US" w:eastAsia="zh-CN"/>
        </w:rPr>
        <w:t>竞争性磋商文件</w:t>
      </w:r>
      <w:r>
        <w:rPr>
          <w:rFonts w:hint="eastAsia" w:ascii="宋体" w:hAnsi="宋体" w:eastAsia="宋体" w:cs="宋体"/>
          <w:color w:val="auto"/>
          <w:sz w:val="24"/>
          <w:szCs w:val="24"/>
          <w:highlight w:val="none"/>
        </w:rPr>
        <w:t>》，投标人的《</w:t>
      </w:r>
      <w:r>
        <w:rPr>
          <w:rFonts w:hint="eastAsia" w:ascii="宋体" w:hAnsi="宋体" w:cs="宋体"/>
          <w:color w:val="auto"/>
          <w:sz w:val="24"/>
          <w:szCs w:val="24"/>
          <w:highlight w:val="none"/>
          <w:lang w:val="en-US" w:eastAsia="zh-CN"/>
        </w:rPr>
        <w:t>响应文件</w:t>
      </w:r>
      <w:r>
        <w:rPr>
          <w:rFonts w:hint="eastAsia" w:ascii="宋体" w:hAnsi="宋体" w:eastAsia="宋体" w:cs="宋体"/>
          <w:color w:val="auto"/>
          <w:sz w:val="24"/>
          <w:szCs w:val="24"/>
          <w:highlight w:val="none"/>
        </w:rPr>
        <w:t>》及《</w:t>
      </w:r>
      <w:r>
        <w:rPr>
          <w:rFonts w:hint="eastAsia" w:ascii="宋体" w:hAnsi="宋体" w:cs="宋体"/>
          <w:color w:val="auto"/>
          <w:sz w:val="24"/>
          <w:szCs w:val="24"/>
          <w:highlight w:val="none"/>
          <w:lang w:val="en-US" w:eastAsia="zh-CN"/>
        </w:rPr>
        <w:t>成交通知书</w:t>
      </w:r>
      <w:r>
        <w:rPr>
          <w:rFonts w:hint="eastAsia" w:ascii="宋体" w:hAnsi="宋体" w:eastAsia="宋体" w:cs="宋体"/>
          <w:color w:val="auto"/>
          <w:sz w:val="24"/>
          <w:szCs w:val="24"/>
          <w:highlight w:val="none"/>
        </w:rPr>
        <w:t>》，遵循平等、自愿、 公平和诚实信用的原则，甲、乙双方就本采购项目协商一致，同意签订本合同。详细技术说明及其他有关合同项目的特定信息由合同附件予以说明，合同附件及本项目的《</w:t>
      </w:r>
      <w:r>
        <w:rPr>
          <w:rFonts w:hint="eastAsia" w:ascii="宋体" w:hAnsi="宋体" w:cs="宋体"/>
          <w:color w:val="auto"/>
          <w:sz w:val="24"/>
          <w:szCs w:val="24"/>
          <w:highlight w:val="none"/>
          <w:lang w:val="en-US" w:eastAsia="zh-CN"/>
        </w:rPr>
        <w:t>竞争性磋商文件</w:t>
      </w:r>
      <w:r>
        <w:rPr>
          <w:rFonts w:hint="eastAsia" w:ascii="宋体" w:hAnsi="宋体" w:eastAsia="宋体" w:cs="宋体"/>
          <w:color w:val="auto"/>
          <w:spacing w:val="-1"/>
          <w:sz w:val="24"/>
          <w:szCs w:val="24"/>
          <w:highlight w:val="none"/>
        </w:rPr>
        <w:t>》、《</w:t>
      </w:r>
      <w:r>
        <w:rPr>
          <w:rFonts w:hint="eastAsia" w:ascii="宋体" w:hAnsi="宋体" w:cs="宋体"/>
          <w:color w:val="auto"/>
          <w:spacing w:val="-1"/>
          <w:sz w:val="24"/>
          <w:szCs w:val="24"/>
          <w:highlight w:val="none"/>
          <w:lang w:val="en-US" w:eastAsia="zh-CN"/>
        </w:rPr>
        <w:t>响应文件</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w:t>
      </w:r>
      <w:r>
        <w:rPr>
          <w:rFonts w:hint="eastAsia" w:ascii="宋体" w:hAnsi="宋体" w:cs="宋体"/>
          <w:color w:val="auto"/>
          <w:spacing w:val="-1"/>
          <w:sz w:val="24"/>
          <w:szCs w:val="24"/>
          <w:highlight w:val="none"/>
          <w:lang w:eastAsia="zh-CN"/>
        </w:rPr>
        <w:t>成交通知书</w:t>
      </w:r>
      <w:r>
        <w:rPr>
          <w:rFonts w:hint="eastAsia" w:ascii="宋体" w:hAnsi="宋体" w:eastAsia="宋体" w:cs="宋体"/>
          <w:color w:val="auto"/>
          <w:spacing w:val="-1"/>
          <w:sz w:val="24"/>
          <w:szCs w:val="24"/>
          <w:highlight w:val="none"/>
        </w:rPr>
        <w:t>》等均为本合同的组成部分。</w:t>
      </w:r>
    </w:p>
    <w:p w14:paraId="730A391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一、合同标的</w:t>
      </w:r>
    </w:p>
    <w:p w14:paraId="37DB04E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1.乙方负责在合同有效期内向甲方食堂供应配送食材，具体采购内容及参数要求详见磋商文件（详见供货明细表，附后），甲方可根据实际需要选择货品。如甲方另有需求，乙方均可供货。</w:t>
      </w:r>
    </w:p>
    <w:p w14:paraId="0523BDC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2.乙方所供货物必须符合下列要求：</w:t>
      </w:r>
    </w:p>
    <w:p w14:paraId="1F1513E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（1）所供货物必须符合国家或行业主管部门执行的有关营养、卫生等质量标准、 符合</w:t>
      </w:r>
      <w:r>
        <w:rPr>
          <w:rFonts w:hint="eastAsia" w:ascii="宋体" w:hAnsi="宋体" w:cs="宋体"/>
          <w:color w:val="auto"/>
          <w:kern w:val="2"/>
          <w:sz w:val="24"/>
          <w:szCs w:val="24"/>
          <w:highlight w:val="none"/>
          <w:lang w:val="en-US" w:eastAsia="zh-CN" w:bidi="ar-SA"/>
        </w:rPr>
        <w:t>响应文件</w:t>
      </w:r>
      <w:r>
        <w:rPr>
          <w:rFonts w:hint="eastAsia" w:ascii="宋体" w:hAnsi="宋体" w:eastAsia="宋体" w:cs="宋体"/>
          <w:color w:val="auto"/>
          <w:kern w:val="2"/>
          <w:sz w:val="24"/>
          <w:szCs w:val="24"/>
          <w:highlight w:val="none"/>
          <w:lang w:val="en-US" w:eastAsia="zh-CN" w:bidi="ar-SA"/>
        </w:rPr>
        <w:t>中响应的技术指标要求。</w:t>
      </w:r>
    </w:p>
    <w:p w14:paraId="469DECB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（2）未经甲方允许，不得提供未经检验或未取得相关部门允许批量生产的新产品或试制品。</w:t>
      </w:r>
    </w:p>
    <w:p w14:paraId="67F44C7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（3）乙方所供货物必须具有质量检验合格证、产品检验检疫证等。</w:t>
      </w:r>
    </w:p>
    <w:p w14:paraId="4962DC6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（4）所供货物必须严格按照</w:t>
      </w:r>
      <w:r>
        <w:rPr>
          <w:rFonts w:hint="eastAsia" w:ascii="宋体" w:hAnsi="宋体" w:cs="宋体"/>
          <w:color w:val="auto"/>
          <w:spacing w:val="-3"/>
          <w:sz w:val="24"/>
          <w:szCs w:val="24"/>
          <w:highlight w:val="none"/>
          <w:lang w:eastAsia="zh-CN"/>
        </w:rPr>
        <w:t>响应文件</w:t>
      </w:r>
      <w:r>
        <w:rPr>
          <w:rFonts w:hint="eastAsia" w:ascii="宋体" w:hAnsi="宋体" w:eastAsia="宋体" w:cs="宋体"/>
          <w:color w:val="auto"/>
          <w:spacing w:val="-3"/>
          <w:sz w:val="24"/>
          <w:szCs w:val="24"/>
          <w:highlight w:val="none"/>
        </w:rPr>
        <w:t>中所报货物生产厂家、品牌一致的货物。</w:t>
      </w:r>
    </w:p>
    <w:p w14:paraId="3283BA7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二、供货期限</w:t>
      </w:r>
    </w:p>
    <w:p w14:paraId="1DAF436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自</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rPr>
        <w:t>年</w:t>
      </w:r>
      <w:r>
        <w:rPr>
          <w:rFonts w:hint="eastAsia" w:ascii="宋体" w:hAnsi="宋体" w:eastAsia="宋体" w:cs="宋体"/>
          <w:color w:val="auto"/>
          <w:spacing w:val="-3"/>
          <w:sz w:val="24"/>
          <w:szCs w:val="24"/>
          <w:highlight w:val="none"/>
          <w:u w:val="single"/>
        </w:rPr>
        <w:t xml:space="preserve"> </w:t>
      </w:r>
      <w:r>
        <w:rPr>
          <w:rFonts w:hint="eastAsia" w:ascii="宋体" w:hAnsi="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rPr>
        <w:t>月</w:t>
      </w:r>
      <w:r>
        <w:rPr>
          <w:rFonts w:hint="eastAsia" w:ascii="宋体" w:hAnsi="宋体" w:eastAsia="宋体" w:cs="宋体"/>
          <w:color w:val="auto"/>
          <w:spacing w:val="-3"/>
          <w:sz w:val="24"/>
          <w:szCs w:val="24"/>
          <w:highlight w:val="none"/>
          <w:u w:val="single"/>
        </w:rPr>
        <w:t xml:space="preserve">  </w:t>
      </w:r>
      <w:r>
        <w:rPr>
          <w:rFonts w:hint="eastAsia" w:ascii="宋体" w:hAnsi="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rPr>
        <w:t>日起至</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rPr>
        <w:t>年</w:t>
      </w:r>
      <w:r>
        <w:rPr>
          <w:rFonts w:hint="eastAsia" w:ascii="宋体" w:hAnsi="宋体" w:eastAsia="宋体" w:cs="宋体"/>
          <w:color w:val="auto"/>
          <w:spacing w:val="-3"/>
          <w:sz w:val="24"/>
          <w:szCs w:val="24"/>
          <w:highlight w:val="none"/>
          <w:u w:val="single"/>
        </w:rPr>
        <w:t xml:space="preserve"> </w:t>
      </w:r>
      <w:r>
        <w:rPr>
          <w:rFonts w:hint="eastAsia" w:ascii="宋体" w:hAnsi="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rPr>
        <w:t>月</w:t>
      </w:r>
      <w:r>
        <w:rPr>
          <w:rFonts w:hint="eastAsia" w:ascii="宋体" w:hAnsi="宋体" w:eastAsia="宋体" w:cs="宋体"/>
          <w:color w:val="auto"/>
          <w:spacing w:val="-3"/>
          <w:sz w:val="24"/>
          <w:szCs w:val="24"/>
          <w:highlight w:val="none"/>
          <w:u w:val="single"/>
        </w:rPr>
        <w:t xml:space="preserve">   </w:t>
      </w:r>
      <w:r>
        <w:rPr>
          <w:rFonts w:hint="eastAsia" w:ascii="宋体" w:hAnsi="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rPr>
        <w:t>日止。</w:t>
      </w:r>
    </w:p>
    <w:p w14:paraId="79EFA6B1">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default"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rPr>
        <w:t>三、成交</w:t>
      </w:r>
      <w:r>
        <w:rPr>
          <w:rFonts w:hint="eastAsia" w:ascii="宋体" w:hAnsi="宋体" w:cs="宋体"/>
          <w:b/>
          <w:bCs/>
          <w:color w:val="auto"/>
          <w:spacing w:val="-3"/>
          <w:sz w:val="24"/>
          <w:szCs w:val="24"/>
          <w:highlight w:val="none"/>
          <w:lang w:val="en-US" w:eastAsia="zh-CN"/>
        </w:rPr>
        <w:t>价格</w:t>
      </w:r>
    </w:p>
    <w:p w14:paraId="1EA58EC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default" w:ascii="宋体" w:hAnsi="宋体" w:eastAsia="宋体" w:cs="宋体"/>
          <w:color w:val="auto"/>
          <w:spacing w:val="-3"/>
          <w:sz w:val="24"/>
          <w:szCs w:val="24"/>
          <w:highlight w:val="none"/>
          <w:u w:val="single"/>
          <w:lang w:val="en-US" w:eastAsia="zh-CN"/>
        </w:rPr>
      </w:pPr>
      <w:r>
        <w:rPr>
          <w:rFonts w:hint="eastAsia" w:ascii="宋体" w:hAnsi="宋体" w:eastAsia="宋体" w:cs="宋体"/>
          <w:color w:val="auto"/>
          <w:spacing w:val="-3"/>
          <w:sz w:val="24"/>
          <w:szCs w:val="24"/>
          <w:highlight w:val="none"/>
        </w:rPr>
        <w:t>1.成交</w:t>
      </w:r>
      <w:r>
        <w:rPr>
          <w:rFonts w:hint="eastAsia" w:ascii="宋体" w:hAnsi="宋体" w:cs="宋体"/>
          <w:color w:val="auto"/>
          <w:spacing w:val="-3"/>
          <w:sz w:val="24"/>
          <w:szCs w:val="24"/>
          <w:highlight w:val="none"/>
          <w:lang w:val="en-US" w:eastAsia="zh-CN"/>
        </w:rPr>
        <w:t>价格</w:t>
      </w:r>
      <w:r>
        <w:rPr>
          <w:rFonts w:hint="eastAsia" w:ascii="宋体" w:hAnsi="宋体" w:eastAsia="宋体" w:cs="宋体"/>
          <w:color w:val="auto"/>
          <w:spacing w:val="-3"/>
          <w:sz w:val="24"/>
          <w:szCs w:val="24"/>
          <w:highlight w:val="none"/>
        </w:rPr>
        <w:t>：</w:t>
      </w:r>
      <w:r>
        <w:rPr>
          <w:rFonts w:hint="eastAsia" w:ascii="宋体" w:hAnsi="宋体" w:cs="宋体"/>
          <w:color w:val="auto"/>
          <w:spacing w:val="-3"/>
          <w:sz w:val="24"/>
          <w:szCs w:val="24"/>
          <w:highlight w:val="none"/>
          <w:u w:val="single"/>
          <w:lang w:val="en-US" w:eastAsia="zh-CN"/>
        </w:rPr>
        <w:t xml:space="preserve">                           </w:t>
      </w:r>
    </w:p>
    <w:p w14:paraId="54CD08B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成交</w:t>
      </w:r>
      <w:r>
        <w:rPr>
          <w:rFonts w:hint="eastAsia" w:ascii="宋体" w:hAnsi="宋体" w:cs="宋体"/>
          <w:color w:val="auto"/>
          <w:spacing w:val="-3"/>
          <w:sz w:val="24"/>
          <w:szCs w:val="24"/>
          <w:highlight w:val="none"/>
          <w:lang w:val="en-US" w:eastAsia="zh-CN"/>
        </w:rPr>
        <w:t>折扣</w:t>
      </w:r>
      <w:r>
        <w:rPr>
          <w:rFonts w:hint="eastAsia" w:ascii="宋体" w:hAnsi="宋体" w:eastAsia="宋体" w:cs="宋体"/>
          <w:color w:val="auto"/>
          <w:spacing w:val="-3"/>
          <w:sz w:val="24"/>
          <w:szCs w:val="24"/>
          <w:highlight w:val="none"/>
        </w:rPr>
        <w:t>：</w:t>
      </w:r>
      <w:r>
        <w:rPr>
          <w:rFonts w:hint="eastAsia" w:ascii="宋体" w:hAnsi="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u w:val="single"/>
        </w:rPr>
        <w:t xml:space="preserve">   </w:t>
      </w:r>
      <w:r>
        <w:rPr>
          <w:rFonts w:hint="eastAsia" w:ascii="宋体" w:hAnsi="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u w:val="single"/>
        </w:rPr>
        <w:t xml:space="preserve"> </w:t>
      </w:r>
    </w:p>
    <w:p w14:paraId="53FBC99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根据成交</w:t>
      </w:r>
      <w:r>
        <w:rPr>
          <w:rFonts w:hint="eastAsia" w:ascii="宋体" w:hAnsi="宋体" w:cs="宋体"/>
          <w:color w:val="auto"/>
          <w:spacing w:val="-3"/>
          <w:sz w:val="24"/>
          <w:szCs w:val="24"/>
          <w:highlight w:val="none"/>
          <w:lang w:val="en-US" w:eastAsia="zh-CN"/>
        </w:rPr>
        <w:t>折扣</w:t>
      </w:r>
      <w:r>
        <w:rPr>
          <w:rFonts w:hint="eastAsia" w:ascii="宋体" w:hAnsi="宋体" w:eastAsia="宋体" w:cs="宋体"/>
          <w:color w:val="auto"/>
          <w:spacing w:val="-3"/>
          <w:sz w:val="24"/>
          <w:szCs w:val="24"/>
          <w:highlight w:val="none"/>
        </w:rPr>
        <w:t>计算出的实际支付金额包含所供货物价格、运送到甲方指定地点所发生的运费、装卸费、调换等环节所发生的费用及其他相关费用和所需缴纳的一切相关税费。该成交金额为合同执行最高限价，实际支付金额不得超过该合同金额。成交</w:t>
      </w:r>
      <w:r>
        <w:rPr>
          <w:rFonts w:hint="eastAsia" w:ascii="宋体" w:hAnsi="宋体" w:cs="宋体"/>
          <w:color w:val="auto"/>
          <w:spacing w:val="-3"/>
          <w:sz w:val="24"/>
          <w:szCs w:val="24"/>
          <w:highlight w:val="none"/>
          <w:lang w:val="en-US" w:eastAsia="zh-CN"/>
        </w:rPr>
        <w:t>折扣</w:t>
      </w:r>
      <w:r>
        <w:rPr>
          <w:rFonts w:hint="eastAsia" w:ascii="宋体" w:hAnsi="宋体" w:eastAsia="宋体" w:cs="宋体"/>
          <w:color w:val="auto"/>
          <w:spacing w:val="-3"/>
          <w:sz w:val="24"/>
          <w:szCs w:val="24"/>
          <w:highlight w:val="none"/>
        </w:rPr>
        <w:t>在整个合同执行过程中，不因国家政策变化而变动。</w:t>
      </w:r>
    </w:p>
    <w:p w14:paraId="6BA3E32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四、执行单价的确定</w:t>
      </w:r>
    </w:p>
    <w:p w14:paraId="3B4446D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（1）甲方组建市场调研组，每</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rPr>
        <w:t>日为一个期限，确定一次执行单价，对所有所需货物进行市场询价。询价范围：本地批零市场（含超市）</w:t>
      </w:r>
    </w:p>
    <w:p w14:paraId="453A4CD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default" w:ascii="宋体" w:hAnsi="宋体" w:eastAsia="宋体" w:cs="宋体"/>
          <w:b/>
          <w:bCs/>
          <w:color w:val="auto"/>
          <w:spacing w:val="-3"/>
          <w:sz w:val="24"/>
          <w:szCs w:val="24"/>
          <w:highlight w:val="none"/>
          <w:lang w:val="en-US"/>
        </w:rPr>
      </w:pPr>
      <w:r>
        <w:rPr>
          <w:rFonts w:hint="eastAsia" w:ascii="宋体" w:hAnsi="宋体" w:eastAsia="宋体" w:cs="宋体"/>
          <w:b/>
          <w:bCs/>
          <w:color w:val="auto"/>
          <w:spacing w:val="-3"/>
          <w:sz w:val="24"/>
          <w:szCs w:val="24"/>
          <w:highlight w:val="none"/>
        </w:rPr>
        <w:t>（2）</w:t>
      </w:r>
      <w:r>
        <w:rPr>
          <w:rFonts w:hint="eastAsia" w:ascii="宋体" w:hAnsi="宋体" w:eastAsia="宋体" w:cs="宋体"/>
          <w:b/>
          <w:bCs/>
          <w:color w:val="auto"/>
          <w:spacing w:val="-3"/>
          <w:sz w:val="24"/>
          <w:szCs w:val="24"/>
          <w:highlight w:val="none"/>
          <w:lang w:val="en-US" w:eastAsia="zh-CN"/>
        </w:rPr>
        <w:t>综合执行单价=询价×成交</w:t>
      </w:r>
      <w:r>
        <w:rPr>
          <w:rFonts w:hint="eastAsia" w:ascii="宋体" w:hAnsi="宋体" w:cs="宋体"/>
          <w:b/>
          <w:bCs/>
          <w:color w:val="auto"/>
          <w:spacing w:val="-3"/>
          <w:sz w:val="24"/>
          <w:szCs w:val="24"/>
          <w:highlight w:val="none"/>
          <w:lang w:val="en-US" w:eastAsia="zh-CN"/>
        </w:rPr>
        <w:t>折扣</w:t>
      </w:r>
    </w:p>
    <w:p w14:paraId="44022CF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注：（</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rPr>
        <w:t>）如遇货物价格上涨幅度较大，</w:t>
      </w:r>
      <w:r>
        <w:rPr>
          <w:rFonts w:hint="eastAsia" w:ascii="宋体" w:hAnsi="宋体" w:eastAsia="宋体" w:cs="宋体"/>
          <w:color w:val="auto"/>
          <w:spacing w:val="-3"/>
          <w:sz w:val="24"/>
          <w:szCs w:val="24"/>
          <w:highlight w:val="none"/>
          <w:lang w:val="en-US" w:eastAsia="zh-CN"/>
        </w:rPr>
        <w:t>乙方需要调整货物供应价格</w:t>
      </w:r>
      <w:r>
        <w:rPr>
          <w:rFonts w:hint="eastAsia" w:ascii="宋体" w:hAnsi="宋体" w:eastAsia="宋体" w:cs="宋体"/>
          <w:color w:val="auto"/>
          <w:spacing w:val="-3"/>
          <w:sz w:val="24"/>
          <w:szCs w:val="24"/>
          <w:highlight w:val="none"/>
        </w:rPr>
        <w:t>，必须向甲方提交书面申请和相关证明材料。甲方对市场进行询价后，根据询价结果对申请进行审批。如确需调整价格，调整后价格由双方签字确认。</w:t>
      </w:r>
    </w:p>
    <w:p w14:paraId="00043EC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2</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如市场价格下浮低于执行价格，乙方必须立即调整货物供应价格，如甲方询价结果明显低于供应价格，甲方有权对乙方进行处罚，同时按照市场下浮价格进行结算，并有权选择解除合同，要求乙方承担</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lang w:val="en-US" w:eastAsia="zh-CN"/>
        </w:rPr>
        <w:t>元（大写：       ）的违约金，赔偿甲方损失。</w:t>
      </w:r>
    </w:p>
    <w:p w14:paraId="7E81300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）如遇国家政策变化发生价格调整，按相关规定执行。</w:t>
      </w:r>
    </w:p>
    <w:p w14:paraId="25C3ECB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4</w:t>
      </w:r>
      <w:r>
        <w:rPr>
          <w:rFonts w:hint="eastAsia" w:ascii="宋体" w:hAnsi="宋体" w:eastAsia="宋体" w:cs="宋体"/>
          <w:color w:val="auto"/>
          <w:spacing w:val="-3"/>
          <w:sz w:val="24"/>
          <w:szCs w:val="24"/>
          <w:highlight w:val="none"/>
        </w:rPr>
        <w:t>）确定的综合执行单价，包括货物价格、将货物运送至甲方指定地点所发生的运费、装卸费、货物调换费及所需缴纳的相关税费等费用。</w:t>
      </w:r>
    </w:p>
    <w:p w14:paraId="0451163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default" w:ascii="宋体" w:hAnsi="宋体" w:cs="宋体"/>
          <w:color w:val="auto"/>
          <w:spacing w:val="-3"/>
          <w:sz w:val="24"/>
          <w:szCs w:val="24"/>
          <w:highlight w:val="none"/>
          <w:u w:val="single"/>
          <w:lang w:val="en-US" w:eastAsia="zh-CN"/>
        </w:rPr>
      </w:pPr>
      <w:r>
        <w:rPr>
          <w:rFonts w:hint="eastAsia" w:ascii="宋体" w:hAnsi="宋体" w:eastAsia="宋体" w:cs="宋体"/>
          <w:b/>
          <w:bCs/>
          <w:color w:val="auto"/>
          <w:spacing w:val="-3"/>
          <w:sz w:val="24"/>
          <w:szCs w:val="24"/>
          <w:highlight w:val="none"/>
        </w:rPr>
        <w:t>五、款项支付</w:t>
      </w:r>
      <w:r>
        <w:rPr>
          <w:rFonts w:hint="eastAsia" w:ascii="宋体" w:hAnsi="宋体" w:cs="宋体"/>
          <w:b/>
          <w:bCs/>
          <w:color w:val="auto"/>
          <w:spacing w:val="-3"/>
          <w:sz w:val="24"/>
          <w:szCs w:val="24"/>
          <w:highlight w:val="none"/>
          <w:lang w:val="en-US" w:eastAsia="zh-CN"/>
        </w:rPr>
        <w:t>方式</w:t>
      </w:r>
      <w:r>
        <w:rPr>
          <w:rFonts w:hint="eastAsia" w:ascii="宋体" w:hAnsi="宋体" w:cs="宋体"/>
          <w:b/>
          <w:bCs/>
          <w:color w:val="auto"/>
          <w:spacing w:val="-3"/>
          <w:sz w:val="24"/>
          <w:szCs w:val="24"/>
          <w:highlight w:val="none"/>
          <w:lang w:eastAsia="zh-CN"/>
        </w:rPr>
        <w:t>：</w:t>
      </w:r>
      <w:r>
        <w:rPr>
          <w:rFonts w:hint="eastAsia" w:ascii="宋体" w:hAnsi="宋体" w:cs="宋体"/>
          <w:color w:val="auto"/>
          <w:spacing w:val="-3"/>
          <w:sz w:val="24"/>
          <w:szCs w:val="24"/>
          <w:highlight w:val="none"/>
          <w:u w:val="single"/>
          <w:lang w:val="en-US" w:eastAsia="zh-CN"/>
        </w:rPr>
        <w:t xml:space="preserve">                                          </w:t>
      </w:r>
    </w:p>
    <w:p w14:paraId="54E4022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b/>
          <w:bCs/>
          <w:color w:val="auto"/>
          <w:spacing w:val="-3"/>
          <w:sz w:val="24"/>
          <w:szCs w:val="24"/>
          <w:highlight w:val="none"/>
        </w:rPr>
        <w:t>六、验收</w:t>
      </w:r>
    </w:p>
    <w:p w14:paraId="7A6F551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初验：甲方对所供货物进行初验，初验包括但不限于对所供货物的品牌、数量、包装、生产日期、质量检测合格报告、许可证等证明文件进行验收，并做相应记录。经验收，所供货物品牌、规格、数量、生产厂家等与当批次所供货物清单一致</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证明材料齐全的，即为初验合格。</w:t>
      </w:r>
    </w:p>
    <w:p w14:paraId="28AAB1F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2．技术验收：对所供货物初验合格后，对所供货物通过称量、观色、闻味、品尝等方式进行验收，根据国家相关标准进行验收，并对所供货物各项指标均达到国家质量标准并做相应记录。若全部符合</w:t>
      </w:r>
      <w:r>
        <w:rPr>
          <w:rFonts w:hint="eastAsia" w:ascii="宋体" w:hAnsi="宋体" w:cs="宋体"/>
          <w:color w:val="auto"/>
          <w:spacing w:val="-3"/>
          <w:sz w:val="24"/>
          <w:szCs w:val="24"/>
          <w:highlight w:val="none"/>
          <w:lang w:eastAsia="zh-CN"/>
        </w:rPr>
        <w:t>响应文件</w:t>
      </w:r>
      <w:r>
        <w:rPr>
          <w:rFonts w:hint="eastAsia" w:ascii="宋体" w:hAnsi="宋体" w:eastAsia="宋体" w:cs="宋体"/>
          <w:color w:val="auto"/>
          <w:spacing w:val="-3"/>
          <w:sz w:val="24"/>
          <w:szCs w:val="24"/>
          <w:highlight w:val="none"/>
        </w:rPr>
        <w:t>中的技术指标要求，即为验收合格。</w:t>
      </w:r>
    </w:p>
    <w:p w14:paraId="009FABE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3．抽检：甲方随机抽取所供货物，进行质检，若货物质检报告和乙方提供的货物质检报告一致，即为验收合格。</w:t>
      </w:r>
    </w:p>
    <w:p w14:paraId="29CE90D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4.验收结果：若验收结果完全符合乙方</w:t>
      </w:r>
      <w:r>
        <w:rPr>
          <w:rFonts w:hint="eastAsia" w:ascii="宋体" w:hAnsi="宋体" w:cs="宋体"/>
          <w:color w:val="auto"/>
          <w:spacing w:val="-3"/>
          <w:sz w:val="24"/>
          <w:szCs w:val="24"/>
          <w:highlight w:val="none"/>
          <w:lang w:eastAsia="zh-CN"/>
        </w:rPr>
        <w:t>响应文件</w:t>
      </w:r>
      <w:r>
        <w:rPr>
          <w:rFonts w:hint="eastAsia" w:ascii="宋体" w:hAnsi="宋体" w:eastAsia="宋体" w:cs="宋体"/>
          <w:color w:val="auto"/>
          <w:spacing w:val="-3"/>
          <w:sz w:val="24"/>
          <w:szCs w:val="24"/>
          <w:highlight w:val="none"/>
        </w:rPr>
        <w:t>中技术指标或相关执行标准，经验收组成员签字后，验收结束，并将验收结果通知乙方。否则，以书面形式通知乙方在规定时间内进行整改。</w:t>
      </w:r>
    </w:p>
    <w:p w14:paraId="62905461">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5.甲方验收合格的结果仅表明货物在外观、数量、型号、规格上完好无缺失的证明及乙方履行其交货义务的必要证据，验收合格报告的签署不使甲方丧失因质量问题而向乙方索赔或求偿的权利，同时不免除乙方对于货物质量缺陷或瑕疵负有的责任。</w:t>
      </w:r>
    </w:p>
    <w:p w14:paraId="6D87DDF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七、甲方的责任与义务</w:t>
      </w:r>
    </w:p>
    <w:p w14:paraId="6BA57EFA">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 甲方根据实际需求，将供货计划提前至少1天通知乙方，供货计划包括货物品种、数量、配送地点、送达时间等信息。</w:t>
      </w:r>
    </w:p>
    <w:p w14:paraId="07F61DF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2．负责对所送达的货物进行称量，根据采购需求、乙方</w:t>
      </w:r>
      <w:r>
        <w:rPr>
          <w:rFonts w:hint="eastAsia" w:ascii="宋体" w:hAnsi="宋体" w:cs="宋体"/>
          <w:color w:val="auto"/>
          <w:spacing w:val="-3"/>
          <w:sz w:val="24"/>
          <w:szCs w:val="24"/>
          <w:highlight w:val="none"/>
          <w:lang w:eastAsia="zh-CN"/>
        </w:rPr>
        <w:t>响应文件</w:t>
      </w:r>
      <w:r>
        <w:rPr>
          <w:rFonts w:hint="eastAsia" w:ascii="宋体" w:hAnsi="宋体" w:eastAsia="宋体" w:cs="宋体"/>
          <w:color w:val="auto"/>
          <w:spacing w:val="-3"/>
          <w:sz w:val="24"/>
          <w:szCs w:val="24"/>
          <w:highlight w:val="none"/>
        </w:rPr>
        <w:t>承诺和国家相关质量标准进行验收，按类摆放入库，并按照相关储存要求进行储存。</w:t>
      </w:r>
    </w:p>
    <w:p w14:paraId="5480AC6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3．负责对各类货物现行价格进行市场询价、并核定综合单价。</w:t>
      </w:r>
    </w:p>
    <w:p w14:paraId="428A939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4．负责对每批查验货物的相关验收证明文件存档。</w:t>
      </w:r>
    </w:p>
    <w:p w14:paraId="48A1C29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5．甲方对乙方所供货物保质期不符合乙方</w:t>
      </w:r>
      <w:r>
        <w:rPr>
          <w:rFonts w:hint="eastAsia" w:ascii="宋体" w:hAnsi="宋体" w:cs="宋体"/>
          <w:color w:val="auto"/>
          <w:spacing w:val="-3"/>
          <w:sz w:val="24"/>
          <w:szCs w:val="24"/>
          <w:highlight w:val="none"/>
          <w:lang w:eastAsia="zh-CN"/>
        </w:rPr>
        <w:t>响应文件</w:t>
      </w:r>
      <w:r>
        <w:rPr>
          <w:rFonts w:hint="eastAsia" w:ascii="宋体" w:hAnsi="宋体" w:eastAsia="宋体" w:cs="宋体"/>
          <w:color w:val="auto"/>
          <w:spacing w:val="-3"/>
          <w:sz w:val="24"/>
          <w:szCs w:val="24"/>
          <w:highlight w:val="none"/>
        </w:rPr>
        <w:t>承诺的或质量不符合乙方</w:t>
      </w:r>
      <w:r>
        <w:rPr>
          <w:rFonts w:hint="eastAsia" w:ascii="宋体" w:hAnsi="宋体" w:cs="宋体"/>
          <w:color w:val="auto"/>
          <w:spacing w:val="-3"/>
          <w:sz w:val="24"/>
          <w:szCs w:val="24"/>
          <w:highlight w:val="none"/>
          <w:lang w:eastAsia="zh-CN"/>
        </w:rPr>
        <w:t>响应文件</w:t>
      </w:r>
      <w:r>
        <w:rPr>
          <w:rFonts w:hint="eastAsia" w:ascii="宋体" w:hAnsi="宋体" w:eastAsia="宋体" w:cs="宋体"/>
          <w:color w:val="auto"/>
          <w:spacing w:val="-3"/>
          <w:sz w:val="24"/>
          <w:szCs w:val="24"/>
          <w:highlight w:val="none"/>
        </w:rPr>
        <w:t>或相关承诺中技术指标的货物有权拒收，并要求乙方在指定的时间内重新提供合格货物，由此造成的损失由乙方承担。</w:t>
      </w:r>
    </w:p>
    <w:p w14:paraId="107B33D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6．负责按合同约定的方式支付货款。</w:t>
      </w:r>
    </w:p>
    <w:p w14:paraId="5D7185B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7．负责对所供货物进行分发。</w:t>
      </w:r>
    </w:p>
    <w:p w14:paraId="1702471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8．因乙方供应货物的质量问题或乙方工作中的其它问题，而导致甲方出现食品安全的任何问题或者造成甲方工作人员受到职能部门处罚、被负面报道、引发群体性事件的，</w:t>
      </w:r>
      <w:r>
        <w:rPr>
          <w:rFonts w:hint="eastAsia" w:ascii="宋体" w:hAnsi="宋体" w:eastAsia="宋体" w:cs="宋体"/>
          <w:color w:val="auto"/>
          <w:spacing w:val="-3"/>
          <w:sz w:val="24"/>
          <w:szCs w:val="24"/>
          <w:highlight w:val="none"/>
          <w:lang w:val="en-US" w:eastAsia="zh-CN"/>
        </w:rPr>
        <w:t>甲方有权立即解除合同，要求乙方承担</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lang w:val="en-US" w:eastAsia="zh-CN"/>
        </w:rPr>
        <w:t>元（大写：）的违约金，同时赔偿甲方、甲方人员、受害人因此遭受的全部损失（包括但不限于直接经济损失、可得利益损失、律师费、诉讼费、鉴定费等合理费用）。</w:t>
      </w:r>
    </w:p>
    <w:p w14:paraId="33BB38B1">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9.对综合执行单价负有解释权和执行权。</w:t>
      </w:r>
    </w:p>
    <w:p w14:paraId="133D4BB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八、乙方的权利与义务</w:t>
      </w:r>
    </w:p>
    <w:p w14:paraId="63DDE3D7">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rPr>
        <w:t>1．乙方在接到甲方通知后应及时组织货源，并在指定时间内按甲方要求免费送到指定位置</w:t>
      </w:r>
      <w:r>
        <w:rPr>
          <w:rFonts w:hint="eastAsia" w:ascii="宋体" w:hAnsi="宋体" w:eastAsia="宋体" w:cs="宋体"/>
          <w:color w:val="auto"/>
          <w:spacing w:val="-3"/>
          <w:sz w:val="24"/>
          <w:szCs w:val="24"/>
          <w:highlight w:val="none"/>
          <w:lang w:eastAsia="zh-CN"/>
        </w:rPr>
        <w:t>。</w:t>
      </w:r>
    </w:p>
    <w:p w14:paraId="0F89F35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2．乙方保证所供货物完全符合《中华人民共和国动物防疫法》、国家食品安全卫生标准和相关质量标准，并按要求提供每批次货物质量检验合格证明文件。</w:t>
      </w:r>
    </w:p>
    <w:p w14:paraId="69252B2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 保证所供货物新鲜、不腐烂、不变质。</w:t>
      </w:r>
    </w:p>
    <w:p w14:paraId="512588E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 乙方保证使用国家规定的保障运输货物安全的运输工具，包装符合国家食品包装要求，保证运输过程中货物之间不发生交叉污染、不变质。在运送过程中所发生的一切责任事故，均由乙方承担。</w:t>
      </w:r>
    </w:p>
    <w:p w14:paraId="28C8897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5．乙方保证所供食品原材料保质期不低于原保质期的</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rPr>
        <w:t>。</w:t>
      </w:r>
    </w:p>
    <w:p w14:paraId="3DC7CCA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 xml:space="preserve">6. </w:t>
      </w:r>
      <w:r>
        <w:rPr>
          <w:rFonts w:hint="eastAsia" w:ascii="宋体" w:hAnsi="宋体" w:eastAsia="宋体" w:cs="宋体"/>
          <w:color w:val="auto"/>
          <w:spacing w:val="-3"/>
          <w:sz w:val="24"/>
          <w:szCs w:val="24"/>
          <w:highlight w:val="none"/>
          <w:lang w:val="en-US" w:eastAsia="zh-CN"/>
        </w:rPr>
        <w:t>乙方如遇货源紧张或无法提供甲方所需货物时，应在供货期</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lang w:val="en-US" w:eastAsia="zh-CN"/>
        </w:rPr>
        <w:t>小时前通知甲方</w:t>
      </w:r>
      <w:r>
        <w:rPr>
          <w:rFonts w:hint="eastAsia" w:ascii="宋体" w:hAnsi="宋体" w:eastAsia="宋体" w:cs="宋体"/>
          <w:color w:val="auto"/>
          <w:spacing w:val="-3"/>
          <w:sz w:val="24"/>
          <w:szCs w:val="24"/>
          <w:highlight w:val="none"/>
        </w:rPr>
        <w:t>，以便甲方提前备货，避免因不能供货造成的损失。</w:t>
      </w:r>
    </w:p>
    <w:p w14:paraId="7D6F686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7．乙方按甲方要求，除对现行价格按期进行申报外，有权对综合执行单价提出异议。</w:t>
      </w:r>
    </w:p>
    <w:p w14:paraId="1DD7C7FA">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8．因乙方供应货物的质量问题或乙方工作中的其它问题，而导致甲方出现食品安全的任何问题，或者造成甲方工作人员受到职能部门处罚、被负面报道、引发群体性事件的，乙方承担由此造成的一切经济损失与法律责任。</w:t>
      </w:r>
    </w:p>
    <w:p w14:paraId="6E43016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9．所供货物存在不符合</w:t>
      </w:r>
      <w:r>
        <w:rPr>
          <w:rFonts w:hint="eastAsia" w:ascii="宋体" w:hAnsi="宋体" w:cs="宋体"/>
          <w:color w:val="auto"/>
          <w:spacing w:val="-3"/>
          <w:sz w:val="24"/>
          <w:szCs w:val="24"/>
          <w:highlight w:val="none"/>
          <w:lang w:eastAsia="zh-CN"/>
        </w:rPr>
        <w:t>响应文件</w:t>
      </w:r>
      <w:r>
        <w:rPr>
          <w:rFonts w:hint="eastAsia" w:ascii="宋体" w:hAnsi="宋体" w:eastAsia="宋体" w:cs="宋体"/>
          <w:color w:val="auto"/>
          <w:spacing w:val="-3"/>
          <w:sz w:val="24"/>
          <w:szCs w:val="24"/>
          <w:highlight w:val="none"/>
        </w:rPr>
        <w:t>技术指标要求或不能按合同规定时间供货或出现</w:t>
      </w:r>
      <w:r>
        <w:rPr>
          <w:rFonts w:hint="eastAsia" w:ascii="宋体" w:hAnsi="宋体" w:eastAsia="宋体" w:cs="宋体"/>
          <w:color w:val="auto"/>
          <w:spacing w:val="-3"/>
          <w:sz w:val="24"/>
          <w:szCs w:val="24"/>
          <w:highlight w:val="none"/>
          <w:lang w:eastAsia="zh-CN"/>
        </w:rPr>
        <w:t>“三无”产品</w:t>
      </w:r>
      <w:r>
        <w:rPr>
          <w:rFonts w:hint="eastAsia" w:ascii="宋体" w:hAnsi="宋体" w:eastAsia="宋体" w:cs="宋体"/>
          <w:color w:val="auto"/>
          <w:spacing w:val="-3"/>
          <w:sz w:val="24"/>
          <w:szCs w:val="24"/>
          <w:highlight w:val="none"/>
        </w:rPr>
        <w:t>等任何问题，</w:t>
      </w:r>
      <w:r>
        <w:rPr>
          <w:rFonts w:hint="eastAsia" w:ascii="宋体" w:hAnsi="宋体" w:eastAsia="宋体" w:cs="宋体"/>
          <w:color w:val="auto"/>
          <w:spacing w:val="-3"/>
          <w:sz w:val="24"/>
          <w:szCs w:val="24"/>
          <w:highlight w:val="none"/>
          <w:lang w:val="en-US" w:eastAsia="zh-CN"/>
        </w:rPr>
        <w:t>按本合同相关约定承担相应的违约责任</w:t>
      </w:r>
      <w:r>
        <w:rPr>
          <w:rFonts w:hint="eastAsia" w:ascii="宋体" w:hAnsi="宋体" w:eastAsia="宋体" w:cs="宋体"/>
          <w:color w:val="auto"/>
          <w:spacing w:val="-3"/>
          <w:sz w:val="24"/>
          <w:szCs w:val="24"/>
          <w:highlight w:val="none"/>
        </w:rPr>
        <w:t>。</w:t>
      </w:r>
    </w:p>
    <w:p w14:paraId="3AFFD50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10．配合甲方完成所供货物的验收。</w:t>
      </w:r>
    </w:p>
    <w:p w14:paraId="69F2A61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11</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乙方人员（包括受乙方委托提供送货、安装、调试等服务的人员）应提供安全、专业的服务，如在送货、安装、调试过程中造成乙方及乙方服务人员自身、甲方及甲方人员或者任何第三方的人身或财产损害，应由乙方自行承担责任。乙方及乙方人员不得以甲方人员的指示作为减轻或不承担责任的理由；如甲方人员的指示存在安全风险，则乙方及乙方人员应拒绝执行并说明理由。</w:t>
      </w:r>
    </w:p>
    <w:p w14:paraId="4A9B0AA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九、甲方违约责任</w:t>
      </w:r>
    </w:p>
    <w:p w14:paraId="1C43E4F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 甲方无正当理由拒收合同内货物的，甲方向乙方偿付当次货物金额</w:t>
      </w:r>
      <w:r>
        <w:rPr>
          <w:rFonts w:hint="eastAsia" w:ascii="宋体" w:hAnsi="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rPr>
        <w:t>%的违约金。</w:t>
      </w:r>
    </w:p>
    <w:p w14:paraId="0776856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 因甲方变更到货地点，未及时通知乙方，给乙方造成经济损失的，所增加费用由甲方承担。</w:t>
      </w:r>
    </w:p>
    <w:p w14:paraId="4CC0019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rPr>
        <w:t>3．</w:t>
      </w:r>
      <w:r>
        <w:rPr>
          <w:rFonts w:hint="eastAsia" w:ascii="宋体" w:hAnsi="宋体" w:eastAsia="宋体" w:cs="宋体"/>
          <w:color w:val="auto"/>
          <w:spacing w:val="-3"/>
          <w:sz w:val="24"/>
          <w:szCs w:val="24"/>
          <w:highlight w:val="none"/>
          <w:lang w:val="en-US" w:eastAsia="zh-CN"/>
        </w:rPr>
        <w:t>甲方未按合同约定的期限支付乙方货款，应以未付款项为基数，按照全国银行同业拆借中心公布的贷款市场报价利率向乙方支付违约金</w:t>
      </w:r>
      <w:r>
        <w:rPr>
          <w:rFonts w:hint="eastAsia" w:ascii="宋体" w:hAnsi="宋体" w:eastAsia="宋体" w:cs="宋体"/>
          <w:color w:val="auto"/>
          <w:spacing w:val="-3"/>
          <w:sz w:val="24"/>
          <w:szCs w:val="24"/>
          <w:highlight w:val="none"/>
        </w:rPr>
        <w:t>。因财政拨付程序或甲方结算内部程序导致的延期付款除外</w:t>
      </w:r>
      <w:r>
        <w:rPr>
          <w:rFonts w:hint="eastAsia" w:ascii="宋体" w:hAnsi="宋体" w:eastAsia="宋体" w:cs="宋体"/>
          <w:color w:val="auto"/>
          <w:spacing w:val="-3"/>
          <w:sz w:val="24"/>
          <w:szCs w:val="24"/>
          <w:highlight w:val="none"/>
          <w:lang w:eastAsia="zh-CN"/>
        </w:rPr>
        <w:t>。</w:t>
      </w:r>
    </w:p>
    <w:p w14:paraId="5D69D37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十、乙方违约责任</w:t>
      </w:r>
    </w:p>
    <w:p w14:paraId="72A9E42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 xml:space="preserve">1. </w:t>
      </w:r>
      <w:r>
        <w:rPr>
          <w:rFonts w:hint="eastAsia" w:ascii="宋体" w:hAnsi="宋体" w:eastAsia="宋体" w:cs="宋体"/>
          <w:color w:val="auto"/>
          <w:spacing w:val="-3"/>
          <w:sz w:val="24"/>
          <w:szCs w:val="24"/>
          <w:highlight w:val="none"/>
          <w:lang w:val="en-US" w:eastAsia="zh-CN"/>
        </w:rPr>
        <w:t>乙方无正当理由解除、终止或者明确表示、以自己的行为表示拒不履行本合同的</w:t>
      </w:r>
      <w:r>
        <w:rPr>
          <w:rFonts w:hint="eastAsia" w:ascii="宋体" w:hAnsi="宋体" w:eastAsia="宋体" w:cs="宋体"/>
          <w:color w:val="auto"/>
          <w:spacing w:val="-3"/>
          <w:sz w:val="24"/>
          <w:szCs w:val="24"/>
          <w:highlight w:val="none"/>
        </w:rPr>
        <w:t>，乙方承担未履行订单金额5%的违约金，同时赔偿因此给甲方造成的所有经济损失。</w:t>
      </w:r>
    </w:p>
    <w:p w14:paraId="4442B48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color w:val="auto"/>
          <w:spacing w:val="-3"/>
          <w:sz w:val="24"/>
          <w:szCs w:val="24"/>
          <w:highlight w:val="none"/>
        </w:rPr>
        <w:t>2. 乙方所提供货物与甲方要求、</w:t>
      </w:r>
      <w:r>
        <w:rPr>
          <w:rFonts w:hint="eastAsia" w:ascii="宋体" w:hAnsi="宋体" w:cs="宋体"/>
          <w:color w:val="auto"/>
          <w:spacing w:val="-3"/>
          <w:sz w:val="24"/>
          <w:szCs w:val="24"/>
          <w:highlight w:val="none"/>
          <w:lang w:eastAsia="zh-CN"/>
        </w:rPr>
        <w:t>响应文件</w:t>
      </w:r>
      <w:r>
        <w:rPr>
          <w:rFonts w:hint="eastAsia" w:ascii="宋体" w:hAnsi="宋体" w:eastAsia="宋体" w:cs="宋体"/>
          <w:color w:val="auto"/>
          <w:spacing w:val="-3"/>
          <w:sz w:val="24"/>
          <w:szCs w:val="24"/>
          <w:highlight w:val="none"/>
        </w:rPr>
        <w:t>或国家相关质量标准不符时，甲方有权拒收，乙方承担相关检测费用。</w:t>
      </w:r>
      <w:r>
        <w:rPr>
          <w:rFonts w:hint="eastAsia" w:ascii="宋体" w:hAnsi="宋体" w:eastAsia="宋体" w:cs="宋体"/>
          <w:b/>
          <w:bCs/>
          <w:color w:val="auto"/>
          <w:spacing w:val="-3"/>
          <w:sz w:val="24"/>
          <w:szCs w:val="24"/>
          <w:highlight w:val="none"/>
        </w:rPr>
        <w:t>拒收后，乙方在规定时间内，交付合格物质，未能在甲方规定的期限内交付合格货物，每逾 1 日，乙方承担该计划订单金额 20%</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的违约金，逾期超过 10 次，甲方有权解除合同。</w:t>
      </w:r>
      <w:r>
        <w:rPr>
          <w:rFonts w:hint="eastAsia" w:ascii="宋体" w:hAnsi="宋体" w:eastAsia="宋体" w:cs="宋体"/>
          <w:b/>
          <w:bCs/>
          <w:color w:val="auto"/>
          <w:spacing w:val="-3"/>
          <w:sz w:val="24"/>
          <w:szCs w:val="24"/>
          <w:highlight w:val="none"/>
          <w:lang w:val="en-US" w:eastAsia="zh-CN"/>
        </w:rPr>
        <w:t>对解除合同的，乙方须承担</w:t>
      </w:r>
      <w:r>
        <w:rPr>
          <w:rFonts w:hint="eastAsia" w:ascii="宋体" w:hAnsi="宋体" w:eastAsia="宋体" w:cs="宋体"/>
          <w:b/>
          <w:bCs/>
          <w:color w:val="auto"/>
          <w:spacing w:val="-3"/>
          <w:sz w:val="24"/>
          <w:szCs w:val="24"/>
          <w:highlight w:val="none"/>
          <w:u w:val="single"/>
          <w:lang w:val="en-US" w:eastAsia="zh-CN"/>
        </w:rPr>
        <w:t xml:space="preserve">           </w:t>
      </w:r>
      <w:r>
        <w:rPr>
          <w:rFonts w:hint="eastAsia" w:ascii="宋体" w:hAnsi="宋体" w:eastAsia="宋体" w:cs="宋体"/>
          <w:b/>
          <w:bCs/>
          <w:color w:val="auto"/>
          <w:spacing w:val="-3"/>
          <w:sz w:val="24"/>
          <w:szCs w:val="24"/>
          <w:highlight w:val="none"/>
          <w:lang w:val="en-US" w:eastAsia="zh-CN"/>
        </w:rPr>
        <w:t>元（大写：          ）的违约金，并赔偿甲方全部损失。</w:t>
      </w:r>
    </w:p>
    <w:p w14:paraId="2A129BA1">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rPr>
        <w:t>3.乙方保证按甲方要求的品种、规格、数量、时间和地点按质按量配送。在供货过程中，</w:t>
      </w:r>
      <w:r>
        <w:rPr>
          <w:rFonts w:hint="eastAsia" w:ascii="宋体" w:hAnsi="宋体" w:eastAsia="宋体" w:cs="宋体"/>
          <w:color w:val="auto"/>
          <w:spacing w:val="-3"/>
          <w:sz w:val="24"/>
          <w:szCs w:val="24"/>
          <w:highlight w:val="none"/>
          <w:lang w:val="en-US" w:eastAsia="zh-CN"/>
        </w:rPr>
        <w:t>若乙方以各种理由进行推诿，或因乙方自身原因导致供货不及时的，每发生一次，应承担当批次货物总额</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lang w:val="en-US" w:eastAsia="zh-CN"/>
        </w:rPr>
        <w:t>%的违约金，累计逾期供货超过</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lang w:val="en-US" w:eastAsia="zh-CN"/>
        </w:rPr>
        <w:t>次的，甲方有权解除、终止本合同，并要求乙方承担</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lang w:val="en-US" w:eastAsia="zh-CN"/>
        </w:rPr>
        <w:t>元（大写：     ）的违约金，并赔偿甲方损失。</w:t>
      </w:r>
    </w:p>
    <w:p w14:paraId="79F720A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4．如乙方拒绝接受甲方订单；无法完成甲方合理订单；无故放弃对执行单价的确认，均视为单方解除合同，同时应按本条第 1 款承担相应的违约责任。</w:t>
      </w:r>
    </w:p>
    <w:p w14:paraId="1FAC1C6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5．乙方因企业重大变动、国家政策因素等原因无法履行合同的，应提前 15 天向甲方提出解除合同申请，甲方确认属实的，不予追究违约责任。</w:t>
      </w:r>
    </w:p>
    <w:p w14:paraId="546FD6D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6．乙方因食品安全问题被相关单位处罚或造成任何食品安全事故（无论是否涉及甲方所采购的货物），本合同立即解除，同时承担给甲方造成的所有损失。</w:t>
      </w:r>
    </w:p>
    <w:p w14:paraId="30D2CDD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7</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乙方将本合同约定的义务全部或者部分转让给第三方的，甲方有权解除或者终止本合同，并要求乙方赔偿甲方损失（本合同或者双方另有约定的，与本条同时适用）。同时，乙方应当对其转让的第三方给甲方造成的损失承担连带责任。</w:t>
      </w:r>
    </w:p>
    <w:p w14:paraId="1274A2D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8</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因乙方的违约行为给甲方造成的损失包括但不限于直接经济损失、可得利益损失、律师费、诉讼费、鉴定费等合理费用。</w:t>
      </w:r>
    </w:p>
    <w:p w14:paraId="316D21E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十一、不可抗力</w:t>
      </w:r>
    </w:p>
    <w:p w14:paraId="34F8862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甲乙双方的任何一方由于不可抗力的原因不能履行合同时，应及时以书面形式向对方通报不能履行或不能完全履行合同的理由；在取得有关主管机关证明后，允许延期履行、部分履行或者不履行合同，并根据情况可部分或全部免予承担违约责任。</w:t>
      </w:r>
      <w:r>
        <w:rPr>
          <w:rFonts w:hint="eastAsia" w:ascii="宋体" w:hAnsi="宋体" w:eastAsia="宋体" w:cs="宋体"/>
          <w:color w:val="auto"/>
          <w:spacing w:val="-3"/>
          <w:sz w:val="24"/>
          <w:szCs w:val="24"/>
          <w:highlight w:val="none"/>
          <w:lang w:val="en-US" w:eastAsia="zh-CN"/>
        </w:rPr>
        <w:t>迟延履行后发生不可抗力的，不能免除违约责任。</w:t>
      </w:r>
    </w:p>
    <w:p w14:paraId="0965496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十二、合同生效及其他</w:t>
      </w:r>
    </w:p>
    <w:p w14:paraId="5E7D09E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 本合同自甲乙双方法定代表人（或授权代表）签字（或盖章）并加盖公章之日起生效。</w:t>
      </w:r>
    </w:p>
    <w:p w14:paraId="37CAF70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rPr>
        <w:t>2. 本合同一式</w:t>
      </w:r>
      <w:r>
        <w:rPr>
          <w:rFonts w:hint="eastAsia" w:ascii="宋体" w:hAnsi="宋体" w:eastAsia="宋体" w:cs="宋体"/>
          <w:color w:val="auto"/>
          <w:spacing w:val="-3"/>
          <w:sz w:val="24"/>
          <w:szCs w:val="24"/>
          <w:highlight w:val="none"/>
          <w:u w:val="single"/>
        </w:rPr>
        <w:t xml:space="preserve"> </w:t>
      </w:r>
      <w:r>
        <w:rPr>
          <w:rFonts w:hint="eastAsia" w:ascii="宋体" w:hAnsi="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rPr>
        <w:t>份，甲方持</w:t>
      </w:r>
      <w:r>
        <w:rPr>
          <w:rFonts w:hint="eastAsia" w:ascii="宋体" w:hAnsi="宋体" w:eastAsia="宋体" w:cs="宋体"/>
          <w:color w:val="auto"/>
          <w:spacing w:val="-3"/>
          <w:sz w:val="24"/>
          <w:szCs w:val="24"/>
          <w:highlight w:val="none"/>
          <w:u w:val="single"/>
        </w:rPr>
        <w:t xml:space="preserve"> </w:t>
      </w:r>
      <w:r>
        <w:rPr>
          <w:rFonts w:hint="eastAsia" w:ascii="宋体" w:hAnsi="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rPr>
        <w:t>份，乙方持</w:t>
      </w:r>
      <w:r>
        <w:rPr>
          <w:rFonts w:hint="eastAsia" w:ascii="宋体" w:hAnsi="宋体" w:eastAsia="宋体" w:cs="宋体"/>
          <w:color w:val="auto"/>
          <w:spacing w:val="-3"/>
          <w:sz w:val="24"/>
          <w:szCs w:val="24"/>
          <w:highlight w:val="none"/>
          <w:u w:val="single"/>
        </w:rPr>
        <w:t xml:space="preserve"> </w:t>
      </w:r>
      <w:r>
        <w:rPr>
          <w:rFonts w:hint="eastAsia" w:ascii="宋体" w:hAnsi="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rPr>
        <w:t>份</w:t>
      </w:r>
      <w:r>
        <w:rPr>
          <w:rFonts w:hint="eastAsia" w:ascii="宋体" w:hAnsi="宋体" w:eastAsia="宋体" w:cs="宋体"/>
          <w:color w:val="auto"/>
          <w:spacing w:val="-3"/>
          <w:sz w:val="24"/>
          <w:szCs w:val="24"/>
          <w:highlight w:val="none"/>
          <w:lang w:eastAsia="zh-CN"/>
        </w:rPr>
        <w:t>。</w:t>
      </w:r>
    </w:p>
    <w:p w14:paraId="1C3FB92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 凡执行本合同所发生的或与本合同有关的一切争议，依照《</w:t>
      </w:r>
      <w:r>
        <w:rPr>
          <w:rFonts w:hint="eastAsia" w:ascii="宋体" w:hAnsi="宋体" w:eastAsia="宋体" w:cs="宋体"/>
          <w:color w:val="auto"/>
          <w:spacing w:val="-3"/>
          <w:sz w:val="24"/>
          <w:szCs w:val="24"/>
          <w:highlight w:val="none"/>
          <w:lang w:eastAsia="zh-CN"/>
        </w:rPr>
        <w:t>中华人民共和国民法典</w:t>
      </w:r>
      <w:r>
        <w:rPr>
          <w:rFonts w:hint="eastAsia" w:ascii="宋体" w:hAnsi="宋体" w:eastAsia="宋体" w:cs="宋体"/>
          <w:color w:val="auto"/>
          <w:spacing w:val="-3"/>
          <w:sz w:val="24"/>
          <w:szCs w:val="24"/>
          <w:highlight w:val="none"/>
        </w:rPr>
        <w:t>》，在不违背本合同和招</w:t>
      </w:r>
      <w:r>
        <w:rPr>
          <w:rFonts w:hint="eastAsia" w:ascii="宋体" w:hAnsi="宋体" w:cs="宋体"/>
          <w:color w:val="auto"/>
          <w:spacing w:val="-3"/>
          <w:sz w:val="24"/>
          <w:szCs w:val="24"/>
          <w:highlight w:val="none"/>
          <w:lang w:eastAsia="zh-CN"/>
        </w:rPr>
        <w:t>响应文件</w:t>
      </w:r>
      <w:r>
        <w:rPr>
          <w:rFonts w:hint="eastAsia" w:ascii="宋体" w:hAnsi="宋体" w:eastAsia="宋体" w:cs="宋体"/>
          <w:color w:val="auto"/>
          <w:spacing w:val="-3"/>
          <w:sz w:val="24"/>
          <w:szCs w:val="24"/>
          <w:highlight w:val="none"/>
        </w:rPr>
        <w:t>的前提下，双方友好协商解决；协商结果以“纪要 ”形式作为合同附件，与合同具有同等效力。否则，双方均有权向向甲方所在地人民法院提请诉讼。</w:t>
      </w:r>
    </w:p>
    <w:p w14:paraId="7DE9FDB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 本合同不得转包或分包给他人，否则甲方有权拒付本次中标（成交）货物的货款，同时没收乙方合同质保金并取消今后的投标资格。</w:t>
      </w:r>
    </w:p>
    <w:p w14:paraId="7544BC4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5</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合同履行期限：本合同履行期限以供货期限或合同金额为限，即供货期限到期而应支付金额未达到合同金额或应支付金额达到合同金额而供货期未到期，合同均终止。</w:t>
      </w:r>
    </w:p>
    <w:p w14:paraId="4DFBAAE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6</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3"/>
          <w:sz w:val="24"/>
          <w:szCs w:val="24"/>
          <w:highlight w:val="none"/>
          <w:lang w:val="en-US" w:eastAsia="zh-CN"/>
        </w:rPr>
        <w:t>甲方对履行合同的任何宽限仅表示其同意继续履行本合同，但不表示甲方放弃追究乙方违约责任的权利。除非甲方以书面形式明确声明做出放弃，否则，甲方不应被视为放弃根据本合同中的任何条款所享受的权利或利益。</w:t>
      </w:r>
    </w:p>
    <w:p w14:paraId="1EB926A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十三、争议解决</w:t>
      </w:r>
    </w:p>
    <w:p w14:paraId="59B6DB4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1、因产品的质量问题发生争议，由食品药品监督部门或其指定的鉴定机构进行鉴定。鉴定费由乙方承担；</w:t>
      </w:r>
    </w:p>
    <w:p w14:paraId="265A1C7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2、合同履行期间</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若双方发生争议，双方应通过友好协商解决，经协商不能达成协议时，双方均有权向甲方所在地人民法院提起诉讼；</w:t>
      </w:r>
    </w:p>
    <w:p w14:paraId="565E68D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3、在诉讼期间，除正在进行诉讼部分外，合同其他部分继续执行。</w:t>
      </w:r>
    </w:p>
    <w:p w14:paraId="6AC141B1">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left"/>
        <w:textAlignment w:val="auto"/>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下列文件为本合同不可分割部分</w:t>
      </w:r>
    </w:p>
    <w:p w14:paraId="056B1458">
      <w:pPr>
        <w:keepNext w:val="0"/>
        <w:keepLines w:val="0"/>
        <w:pageBreakBefore w:val="0"/>
        <w:widowControl w:val="0"/>
        <w:numPr>
          <w:ilvl w:val="0"/>
          <w:numId w:val="0"/>
        </w:numPr>
        <w:kinsoku/>
        <w:wordWrap/>
        <w:overflowPunct/>
        <w:topLinePunct w:val="0"/>
        <w:autoSpaceDE/>
        <w:autoSpaceDN/>
        <w:bidi w:val="0"/>
        <w:adjustRightInd/>
        <w:snapToGrid w:val="0"/>
        <w:spacing w:before="109" w:line="360" w:lineRule="auto"/>
        <w:ind w:leftChars="200" w:right="87" w:rightChars="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rPr>
        <w:t>《</w:t>
      </w:r>
      <w:r>
        <w:rPr>
          <w:rFonts w:hint="eastAsia" w:ascii="宋体" w:hAnsi="宋体" w:cs="宋体"/>
          <w:color w:val="auto"/>
          <w:spacing w:val="-1"/>
          <w:sz w:val="24"/>
          <w:szCs w:val="24"/>
          <w:highlight w:val="none"/>
          <w:lang w:val="en-US" w:eastAsia="zh-CN"/>
        </w:rPr>
        <w:t>竞争性磋商文件</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2.乙方</w:t>
      </w:r>
      <w:r>
        <w:rPr>
          <w:rFonts w:hint="eastAsia" w:ascii="宋体" w:hAnsi="宋体" w:cs="宋体"/>
          <w:color w:val="auto"/>
          <w:spacing w:val="-3"/>
          <w:sz w:val="24"/>
          <w:szCs w:val="24"/>
          <w:highlight w:val="none"/>
          <w:lang w:val="en-US" w:eastAsia="zh-CN"/>
        </w:rPr>
        <w:t>响应文件</w:t>
      </w:r>
      <w:r>
        <w:rPr>
          <w:rFonts w:hint="eastAsia" w:ascii="宋体" w:hAnsi="宋体" w:eastAsia="宋体" w:cs="宋体"/>
          <w:color w:val="auto"/>
          <w:spacing w:val="-3"/>
          <w:sz w:val="24"/>
          <w:szCs w:val="24"/>
          <w:highlight w:val="none"/>
          <w:lang w:val="en-US" w:eastAsia="zh-CN"/>
        </w:rPr>
        <w:t xml:space="preserve"> 3.</w:t>
      </w:r>
      <w:r>
        <w:rPr>
          <w:rFonts w:hint="eastAsia" w:ascii="宋体" w:hAnsi="宋体" w:eastAsia="宋体" w:cs="宋体"/>
          <w:color w:val="auto"/>
          <w:spacing w:val="-1"/>
          <w:sz w:val="24"/>
          <w:szCs w:val="24"/>
          <w:highlight w:val="none"/>
        </w:rPr>
        <w:t>《</w:t>
      </w:r>
      <w:r>
        <w:rPr>
          <w:rFonts w:hint="eastAsia" w:ascii="宋体" w:hAnsi="宋体" w:cs="宋体"/>
          <w:color w:val="auto"/>
          <w:spacing w:val="-1"/>
          <w:sz w:val="24"/>
          <w:szCs w:val="24"/>
          <w:highlight w:val="none"/>
          <w:lang w:eastAsia="zh-CN"/>
        </w:rPr>
        <w:t>成交通知书</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color w:val="auto"/>
          <w:spacing w:val="-3"/>
          <w:sz w:val="24"/>
          <w:szCs w:val="24"/>
          <w:highlight w:val="none"/>
          <w:lang w:val="en-US" w:eastAsia="zh-CN"/>
        </w:rPr>
        <w:t>4</w:t>
      </w:r>
      <w:r>
        <w:rPr>
          <w:rFonts w:hint="eastAsia" w:ascii="宋体" w:hAnsi="宋体" w:eastAsia="宋体" w:cs="宋体"/>
          <w:color w:val="auto"/>
          <w:spacing w:val="-3"/>
          <w:sz w:val="24"/>
          <w:szCs w:val="24"/>
          <w:highlight w:val="none"/>
        </w:rPr>
        <w:t>.合同附件</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3"/>
          <w:sz w:val="24"/>
          <w:szCs w:val="24"/>
          <w:highlight w:val="none"/>
          <w:lang w:val="en-US" w:eastAsia="zh-CN"/>
        </w:rPr>
        <w:t>5.其他</w:t>
      </w:r>
    </w:p>
    <w:p w14:paraId="357CEB00">
      <w:pPr>
        <w:keepNext w:val="0"/>
        <w:keepLines w:val="0"/>
        <w:pageBreakBefore w:val="0"/>
        <w:widowControl w:val="0"/>
        <w:kinsoku/>
        <w:wordWrap/>
        <w:overflowPunct/>
        <w:topLinePunct w:val="0"/>
        <w:autoSpaceDE/>
        <w:autoSpaceDN/>
        <w:bidi w:val="0"/>
        <w:adjustRightInd/>
        <w:snapToGrid w:val="0"/>
        <w:spacing w:before="109" w:line="360" w:lineRule="auto"/>
        <w:ind w:right="87"/>
        <w:jc w:val="left"/>
        <w:textAlignment w:val="auto"/>
        <w:rPr>
          <w:rFonts w:hint="eastAsia" w:ascii="宋体" w:hAnsi="宋体" w:eastAsia="宋体" w:cs="宋体"/>
          <w:color w:val="auto"/>
          <w:spacing w:val="-3"/>
          <w:sz w:val="24"/>
          <w:szCs w:val="24"/>
          <w:highlight w:val="none"/>
        </w:rPr>
      </w:pPr>
    </w:p>
    <w:p w14:paraId="5C1CC7E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 xml:space="preserve">甲方（章）：                        </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 xml:space="preserve">  乙方（签章）：</w:t>
      </w:r>
    </w:p>
    <w:p w14:paraId="468EE4B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单位地址：                            单位地址：</w:t>
      </w:r>
    </w:p>
    <w:p w14:paraId="54BA943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法人或授权委托人签字：                法人或授权委托人签字：</w:t>
      </w:r>
    </w:p>
    <w:p w14:paraId="1F83C95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联系电话：                            联系电话：</w:t>
      </w:r>
    </w:p>
    <w:p w14:paraId="6E02C92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签订时间：       年   月   日</w:t>
      </w:r>
    </w:p>
    <w:p w14:paraId="20A7053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left"/>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rPr>
        <w:t>签约</w:t>
      </w:r>
      <w:r>
        <w:rPr>
          <w:rFonts w:hint="eastAsia" w:ascii="宋体" w:hAnsi="宋体" w:eastAsia="宋体" w:cs="宋体"/>
          <w:color w:val="auto"/>
          <w:spacing w:val="-3"/>
          <w:sz w:val="24"/>
          <w:szCs w:val="24"/>
          <w:highlight w:val="none"/>
          <w:lang w:val="en-US" w:eastAsia="zh-CN"/>
        </w:rPr>
        <w:t>地点：</w:t>
      </w:r>
    </w:p>
    <w:p w14:paraId="68CDCEA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highlight w:val="none"/>
        </w:rPr>
      </w:pPr>
    </w:p>
    <w:p w14:paraId="60CA94BD">
      <w:pPr>
        <w:spacing w:line="500" w:lineRule="exact"/>
        <w:ind w:firstLine="480" w:firstLineChars="200"/>
        <w:rPr>
          <w:rFonts w:asciiTheme="minorEastAsia" w:hAnsiTheme="minorEastAsia" w:eastAsiaTheme="minorEastAsia" w:cstheme="minorEastAsia"/>
          <w:sz w:val="24"/>
          <w:highlight w:val="none"/>
        </w:rPr>
      </w:pPr>
    </w:p>
    <w:p w14:paraId="1EB5BA1D">
      <w:pPr>
        <w:rPr>
          <w:rFonts w:hint="eastAsia" w:cs="宋体"/>
          <w:b/>
          <w:kern w:val="2"/>
          <w:sz w:val="36"/>
          <w:szCs w:val="36"/>
          <w:highlight w:val="none"/>
        </w:rPr>
      </w:pPr>
      <w:bookmarkStart w:id="216" w:name="_Toc522798868"/>
      <w:bookmarkStart w:id="217" w:name="_Toc14920"/>
      <w:bookmarkStart w:id="218" w:name="_Toc22719"/>
      <w:bookmarkStart w:id="219" w:name="_Toc19824_WPSOffice_Level1"/>
      <w:r>
        <w:rPr>
          <w:rFonts w:hint="eastAsia" w:cs="宋体"/>
          <w:b/>
          <w:kern w:val="2"/>
          <w:sz w:val="36"/>
          <w:szCs w:val="36"/>
          <w:highlight w:val="none"/>
        </w:rPr>
        <w:br w:type="page"/>
      </w:r>
    </w:p>
    <w:p w14:paraId="48F7F199">
      <w:pPr>
        <w:pStyle w:val="22"/>
        <w:widowControl w:val="0"/>
        <w:spacing w:before="0" w:beforeAutospacing="0" w:after="0" w:afterAutospacing="0" w:line="500" w:lineRule="exact"/>
        <w:ind w:firstLine="0" w:firstLineChars="0"/>
        <w:jc w:val="center"/>
        <w:outlineLvl w:val="0"/>
        <w:rPr>
          <w:rFonts w:cs="宋体"/>
          <w:kern w:val="44"/>
          <w:highlight w:val="none"/>
        </w:rPr>
      </w:pPr>
      <w:r>
        <w:rPr>
          <w:rFonts w:hint="eastAsia" w:cs="宋体"/>
          <w:b/>
          <w:kern w:val="2"/>
          <w:sz w:val="36"/>
          <w:szCs w:val="36"/>
          <w:highlight w:val="none"/>
        </w:rPr>
        <w:t>第六章  响应文件格式</w:t>
      </w:r>
      <w:bookmarkEnd w:id="216"/>
      <w:bookmarkEnd w:id="217"/>
      <w:bookmarkEnd w:id="218"/>
      <w:bookmarkEnd w:id="219"/>
    </w:p>
    <w:p w14:paraId="345B4BE3">
      <w:pPr>
        <w:pStyle w:val="22"/>
        <w:widowControl w:val="0"/>
        <w:spacing w:before="0" w:beforeAutospacing="0" w:after="0" w:afterAutospacing="0" w:line="500" w:lineRule="exact"/>
        <w:ind w:firstLine="480"/>
        <w:jc w:val="center"/>
        <w:rPr>
          <w:rFonts w:cs="宋体"/>
          <w:kern w:val="44"/>
          <w:highlight w:val="none"/>
        </w:rPr>
      </w:pPr>
    </w:p>
    <w:p w14:paraId="017A5079">
      <w:pPr>
        <w:pStyle w:val="22"/>
        <w:widowControl w:val="0"/>
        <w:spacing w:before="0" w:beforeAutospacing="0" w:after="0" w:afterAutospacing="0" w:line="500" w:lineRule="exact"/>
        <w:ind w:firstLine="480"/>
        <w:jc w:val="center"/>
        <w:rPr>
          <w:rFonts w:cs="宋体"/>
          <w:kern w:val="44"/>
          <w:highlight w:val="none"/>
        </w:rPr>
      </w:pPr>
      <w:bookmarkStart w:id="220" w:name="_Toc466278843"/>
      <w:bookmarkEnd w:id="220"/>
      <w:bookmarkStart w:id="221" w:name="_Toc495930596"/>
      <w:bookmarkEnd w:id="221"/>
      <w:bookmarkStart w:id="222" w:name="_Toc465990924"/>
      <w:bookmarkEnd w:id="222"/>
      <w:bookmarkStart w:id="223" w:name="_Toc512596667"/>
      <w:bookmarkEnd w:id="223"/>
      <w:bookmarkStart w:id="224" w:name="_Toc466275364"/>
      <w:bookmarkEnd w:id="224"/>
      <w:bookmarkStart w:id="225" w:name="_Toc465991521"/>
      <w:bookmarkEnd w:id="225"/>
    </w:p>
    <w:p w14:paraId="143AFCB5">
      <w:pPr>
        <w:pStyle w:val="22"/>
        <w:widowControl w:val="0"/>
        <w:spacing w:before="0" w:beforeAutospacing="0" w:after="0" w:afterAutospacing="0" w:line="500" w:lineRule="exact"/>
        <w:ind w:firstLine="480"/>
        <w:jc w:val="center"/>
        <w:rPr>
          <w:rFonts w:cs="宋体"/>
          <w:kern w:val="44"/>
          <w:highlight w:val="none"/>
        </w:rPr>
      </w:pPr>
    </w:p>
    <w:p w14:paraId="1DDDD2B0">
      <w:pPr>
        <w:spacing w:line="1000" w:lineRule="exact"/>
        <w:jc w:val="center"/>
        <w:rPr>
          <w:highlight w:val="none"/>
        </w:rPr>
      </w:pPr>
      <w:bookmarkStart w:id="226" w:name="_Toc29700_WPSOffice_Level1"/>
      <w:bookmarkEnd w:id="226"/>
      <w:bookmarkStart w:id="227" w:name="_Toc5037_WPSOffice_Level1"/>
      <w:bookmarkEnd w:id="227"/>
      <w:r>
        <w:rPr>
          <w:rFonts w:hint="eastAsia"/>
          <w:b/>
          <w:bCs/>
          <w:sz w:val="32"/>
          <w:szCs w:val="40"/>
          <w:highlight w:val="none"/>
        </w:rPr>
        <w:t>（项目名称）</w:t>
      </w:r>
    </w:p>
    <w:p w14:paraId="2646A916">
      <w:pPr>
        <w:spacing w:line="1000" w:lineRule="exact"/>
        <w:jc w:val="center"/>
        <w:rPr>
          <w:highlight w:val="none"/>
        </w:rPr>
      </w:pPr>
      <w:bookmarkStart w:id="228" w:name="_Toc22178_WPSOffice_Level1"/>
      <w:bookmarkEnd w:id="228"/>
      <w:bookmarkStart w:id="229" w:name="_Toc6820_WPSOffice_Level1"/>
      <w:bookmarkEnd w:id="229"/>
      <w:bookmarkStart w:id="230" w:name="_Toc14055_WPSOffice_Level1"/>
      <w:bookmarkStart w:id="231" w:name="_Toc8759_WPSOffice_Level1"/>
      <w:bookmarkStart w:id="232" w:name="_Toc25124_WPSOffice_Level1"/>
      <w:bookmarkStart w:id="233" w:name="_Toc32750_WPSOffice_Level1"/>
      <w:bookmarkStart w:id="234" w:name="_Toc11378_WPSOffice_Level1"/>
      <w:bookmarkStart w:id="235" w:name="_Toc21510_WPSOffice_Level1"/>
      <w:bookmarkStart w:id="236" w:name="_Toc12274_WPSOffice_Level1"/>
      <w:bookmarkStart w:id="237" w:name="_Toc8895_WPSOffice_Level1"/>
      <w:bookmarkStart w:id="238" w:name="_Toc25794"/>
      <w:r>
        <w:rPr>
          <w:rFonts w:hint="eastAsia"/>
          <w:sz w:val="72"/>
          <w:szCs w:val="72"/>
          <w:highlight w:val="none"/>
        </w:rPr>
        <w:t>响 应 文 件</w:t>
      </w:r>
      <w:bookmarkEnd w:id="230"/>
      <w:bookmarkEnd w:id="231"/>
      <w:bookmarkEnd w:id="232"/>
      <w:bookmarkEnd w:id="233"/>
      <w:bookmarkEnd w:id="234"/>
      <w:bookmarkEnd w:id="235"/>
      <w:bookmarkEnd w:id="236"/>
      <w:bookmarkEnd w:id="237"/>
      <w:bookmarkEnd w:id="238"/>
    </w:p>
    <w:p w14:paraId="16075B9D">
      <w:pPr>
        <w:spacing w:line="1000" w:lineRule="exact"/>
        <w:jc w:val="center"/>
        <w:rPr>
          <w:highlight w:val="none"/>
        </w:rPr>
      </w:pPr>
      <w:bookmarkStart w:id="239" w:name="_Toc5903_WPSOffice_Level1"/>
      <w:bookmarkStart w:id="240" w:name="_Toc21763_WPSOffice_Level1"/>
      <w:bookmarkStart w:id="241" w:name="_Toc11695_WPSOffice_Level1"/>
      <w:bookmarkStart w:id="242" w:name="_Toc31929_WPSOffice_Level1"/>
      <w:bookmarkStart w:id="243" w:name="_Toc10269_WPSOffice_Level1"/>
      <w:bookmarkStart w:id="244" w:name="_Toc23475_WPSOffice_Level1"/>
      <w:bookmarkStart w:id="245" w:name="_Toc28893_WPSOffice_Level1"/>
      <w:bookmarkStart w:id="246" w:name="_Toc2652"/>
      <w:r>
        <w:rPr>
          <w:rFonts w:hint="eastAsia"/>
          <w:highlight w:val="none"/>
        </w:rPr>
        <w:t>项目编号：</w:t>
      </w:r>
      <w:bookmarkEnd w:id="239"/>
      <w:bookmarkEnd w:id="240"/>
      <w:bookmarkEnd w:id="241"/>
      <w:bookmarkEnd w:id="242"/>
      <w:bookmarkEnd w:id="243"/>
      <w:bookmarkEnd w:id="244"/>
      <w:bookmarkEnd w:id="245"/>
      <w:bookmarkEnd w:id="246"/>
    </w:p>
    <w:p w14:paraId="34D37666">
      <w:pPr>
        <w:pStyle w:val="25"/>
        <w:ind w:firstLine="560"/>
        <w:rPr>
          <w:highlight w:val="none"/>
        </w:rPr>
      </w:pPr>
    </w:p>
    <w:p w14:paraId="5528864F">
      <w:pPr>
        <w:spacing w:line="1000" w:lineRule="exact"/>
        <w:rPr>
          <w:highlight w:val="none"/>
        </w:rPr>
      </w:pPr>
    </w:p>
    <w:p w14:paraId="1DB86164">
      <w:pPr>
        <w:spacing w:line="500" w:lineRule="exact"/>
        <w:rPr>
          <w:highlight w:val="none"/>
        </w:rPr>
      </w:pPr>
    </w:p>
    <w:p w14:paraId="36B79817">
      <w:pPr>
        <w:spacing w:line="500" w:lineRule="exact"/>
        <w:rPr>
          <w:highlight w:val="none"/>
        </w:rPr>
      </w:pPr>
    </w:p>
    <w:p w14:paraId="73FA6054">
      <w:pPr>
        <w:spacing w:line="500" w:lineRule="exact"/>
        <w:rPr>
          <w:highlight w:val="none"/>
        </w:rPr>
      </w:pPr>
    </w:p>
    <w:p w14:paraId="7AA3B629">
      <w:pPr>
        <w:spacing w:line="500" w:lineRule="exact"/>
        <w:rPr>
          <w:highlight w:val="none"/>
        </w:rPr>
      </w:pPr>
    </w:p>
    <w:p w14:paraId="41528085">
      <w:pPr>
        <w:spacing w:line="500" w:lineRule="exact"/>
        <w:rPr>
          <w:highlight w:val="none"/>
        </w:rPr>
      </w:pPr>
    </w:p>
    <w:p w14:paraId="7F72973C">
      <w:pPr>
        <w:spacing w:line="500" w:lineRule="exact"/>
        <w:rPr>
          <w:highlight w:val="none"/>
        </w:rPr>
      </w:pPr>
    </w:p>
    <w:p w14:paraId="561435B8">
      <w:pPr>
        <w:spacing w:line="500" w:lineRule="exact"/>
        <w:rPr>
          <w:highlight w:val="none"/>
        </w:rPr>
      </w:pPr>
    </w:p>
    <w:p w14:paraId="7531AB5D">
      <w:pPr>
        <w:spacing w:line="500" w:lineRule="exact"/>
        <w:ind w:firstLine="1400" w:firstLineChars="500"/>
        <w:rPr>
          <w:sz w:val="28"/>
          <w:szCs w:val="36"/>
          <w:highlight w:val="none"/>
        </w:rPr>
      </w:pPr>
      <w:bookmarkStart w:id="247" w:name="_Toc27065_WPSOffice_Level1"/>
      <w:bookmarkEnd w:id="247"/>
      <w:bookmarkStart w:id="248" w:name="_Toc3416_WPSOffice_Level1"/>
      <w:bookmarkEnd w:id="248"/>
      <w:bookmarkStart w:id="249" w:name="_Toc2595_WPSOffice_Level1"/>
      <w:bookmarkStart w:id="250" w:name="_Toc1959_WPSOffice_Level1"/>
      <w:bookmarkStart w:id="251" w:name="_Toc24376_WPSOffice_Level1"/>
      <w:bookmarkStart w:id="252" w:name="_Toc32011"/>
      <w:bookmarkStart w:id="253" w:name="_Toc28964_WPSOffice_Level1"/>
      <w:bookmarkStart w:id="254" w:name="_Toc24814_WPSOffice_Level1"/>
      <w:bookmarkStart w:id="255" w:name="_Toc21090_WPSOffice_Level1"/>
      <w:bookmarkStart w:id="256" w:name="_Toc7088_WPSOffice_Level1"/>
      <w:bookmarkStart w:id="257" w:name="_Toc14241_WPSOffice_Level1"/>
      <w:r>
        <w:rPr>
          <w:rFonts w:hint="eastAsia"/>
          <w:sz w:val="28"/>
          <w:szCs w:val="36"/>
          <w:highlight w:val="none"/>
        </w:rPr>
        <w:t>供应商名称：</w:t>
      </w:r>
      <w:bookmarkEnd w:id="249"/>
      <w:r>
        <w:rPr>
          <w:rFonts w:hint="eastAsia"/>
          <w:sz w:val="28"/>
          <w:szCs w:val="36"/>
          <w:highlight w:val="none"/>
        </w:rPr>
        <w:t>（</w:t>
      </w:r>
      <w:r>
        <w:rPr>
          <w:rFonts w:hint="eastAsia"/>
          <w:sz w:val="28"/>
          <w:szCs w:val="36"/>
          <w:highlight w:val="none"/>
          <w:lang w:val="en-US" w:eastAsia="zh-CN"/>
        </w:rPr>
        <w:t>电子签章</w:t>
      </w:r>
      <w:r>
        <w:rPr>
          <w:rFonts w:hint="eastAsia"/>
          <w:sz w:val="28"/>
          <w:szCs w:val="36"/>
          <w:highlight w:val="none"/>
        </w:rPr>
        <w:t>）</w:t>
      </w:r>
      <w:bookmarkEnd w:id="250"/>
      <w:bookmarkEnd w:id="251"/>
      <w:bookmarkEnd w:id="252"/>
      <w:bookmarkEnd w:id="253"/>
      <w:bookmarkEnd w:id="254"/>
      <w:bookmarkEnd w:id="255"/>
      <w:bookmarkEnd w:id="256"/>
      <w:bookmarkEnd w:id="257"/>
    </w:p>
    <w:p w14:paraId="20A4B5AC">
      <w:pPr>
        <w:spacing w:line="500" w:lineRule="exact"/>
        <w:ind w:firstLine="1400" w:firstLineChars="500"/>
        <w:rPr>
          <w:sz w:val="28"/>
          <w:szCs w:val="36"/>
          <w:highlight w:val="none"/>
        </w:rPr>
      </w:pPr>
      <w:bookmarkStart w:id="258" w:name="_Toc2975_WPSOffice_Level1"/>
      <w:bookmarkEnd w:id="258"/>
      <w:bookmarkStart w:id="259" w:name="_Toc20308_WPSOffice_Level1"/>
      <w:bookmarkEnd w:id="259"/>
      <w:bookmarkStart w:id="260" w:name="_Toc24820_WPSOffice_Level1"/>
      <w:bookmarkStart w:id="261" w:name="_Toc30725_WPSOffice_Level1"/>
      <w:bookmarkStart w:id="262" w:name="_Toc18613"/>
      <w:bookmarkStart w:id="263" w:name="_Toc12215_WPSOffice_Level1"/>
      <w:bookmarkStart w:id="264" w:name="_Toc4544_WPSOffice_Level1"/>
      <w:bookmarkStart w:id="265" w:name="_Toc10432_WPSOffice_Level1"/>
      <w:bookmarkStart w:id="266" w:name="_Toc21945_WPSOffice_Level1"/>
      <w:bookmarkStart w:id="267" w:name="_Toc14430_WPSOffice_Level1"/>
      <w:bookmarkStart w:id="268" w:name="_Toc5472_WPSOffice_Level1"/>
      <w:r>
        <w:rPr>
          <w:rFonts w:hint="eastAsia"/>
          <w:sz w:val="28"/>
          <w:szCs w:val="36"/>
          <w:highlight w:val="none"/>
        </w:rPr>
        <w:t>法定代表人：</w:t>
      </w:r>
      <w:bookmarkEnd w:id="260"/>
      <w:r>
        <w:rPr>
          <w:rFonts w:hint="eastAsia"/>
          <w:sz w:val="28"/>
          <w:szCs w:val="36"/>
          <w:highlight w:val="none"/>
        </w:rPr>
        <w:t>（</w:t>
      </w:r>
      <w:r>
        <w:rPr>
          <w:rFonts w:hint="eastAsia"/>
          <w:sz w:val="28"/>
          <w:szCs w:val="36"/>
          <w:highlight w:val="none"/>
          <w:lang w:val="en-US" w:eastAsia="zh-CN"/>
        </w:rPr>
        <w:t>电子签章</w:t>
      </w:r>
      <w:r>
        <w:rPr>
          <w:rFonts w:hint="eastAsia"/>
          <w:sz w:val="28"/>
          <w:szCs w:val="36"/>
          <w:highlight w:val="none"/>
        </w:rPr>
        <w:t>）</w:t>
      </w:r>
      <w:bookmarkEnd w:id="261"/>
      <w:bookmarkEnd w:id="262"/>
      <w:bookmarkEnd w:id="263"/>
      <w:bookmarkEnd w:id="264"/>
      <w:bookmarkEnd w:id="265"/>
      <w:bookmarkEnd w:id="266"/>
      <w:bookmarkEnd w:id="267"/>
      <w:bookmarkEnd w:id="268"/>
    </w:p>
    <w:p w14:paraId="2C60B132">
      <w:pPr>
        <w:spacing w:line="500" w:lineRule="exact"/>
        <w:ind w:firstLine="1400" w:firstLineChars="500"/>
        <w:rPr>
          <w:rFonts w:cs="宋体"/>
          <w:sz w:val="28"/>
          <w:szCs w:val="40"/>
          <w:highlight w:val="none"/>
        </w:rPr>
      </w:pPr>
      <w:bookmarkStart w:id="269" w:name="_Toc22775_WPSOffice_Level1"/>
      <w:bookmarkStart w:id="270" w:name="_Toc32586_WPSOffice_Level1"/>
      <w:bookmarkStart w:id="271" w:name="_Toc10800_WPSOffice_Level1"/>
      <w:bookmarkStart w:id="272" w:name="_Toc8514_WPSOffice_Level1"/>
      <w:bookmarkStart w:id="273" w:name="_Toc3068_WPSOffice_Level1"/>
      <w:bookmarkStart w:id="274" w:name="_Toc15785_WPSOffice_Level1"/>
      <w:bookmarkStart w:id="275" w:name="_Toc753_WPSOffice_Level1"/>
      <w:bookmarkStart w:id="276" w:name="_Toc20484"/>
      <w:r>
        <w:rPr>
          <w:rFonts w:hint="eastAsia"/>
          <w:sz w:val="28"/>
          <w:szCs w:val="36"/>
          <w:highlight w:val="none"/>
        </w:rPr>
        <w:t>日    期：</w:t>
      </w:r>
      <w:bookmarkStart w:id="277" w:name="_Toc1553_WPSOffice_Level1"/>
      <w:bookmarkEnd w:id="277"/>
      <w:bookmarkStart w:id="278" w:name="_Toc28129_WPSOffice_Level1"/>
      <w:bookmarkEnd w:id="278"/>
      <w:bookmarkStart w:id="279" w:name="_Toc4820_WPSOffice_Level1"/>
      <w:r>
        <w:rPr>
          <w:rFonts w:hint="eastAsia"/>
          <w:sz w:val="28"/>
          <w:szCs w:val="36"/>
          <w:highlight w:val="none"/>
        </w:rPr>
        <w:t xml:space="preserve">  年</w:t>
      </w:r>
      <w:bookmarkEnd w:id="279"/>
      <w:r>
        <w:rPr>
          <w:rFonts w:hint="eastAsia"/>
          <w:sz w:val="28"/>
          <w:szCs w:val="36"/>
          <w:highlight w:val="none"/>
        </w:rPr>
        <w:t xml:space="preserve">  月  日</w:t>
      </w:r>
      <w:bookmarkEnd w:id="269"/>
      <w:bookmarkEnd w:id="270"/>
      <w:bookmarkEnd w:id="271"/>
      <w:bookmarkEnd w:id="272"/>
      <w:bookmarkEnd w:id="273"/>
      <w:bookmarkEnd w:id="274"/>
      <w:bookmarkEnd w:id="275"/>
      <w:bookmarkEnd w:id="276"/>
    </w:p>
    <w:p w14:paraId="797820FB">
      <w:pPr>
        <w:spacing w:line="500" w:lineRule="exact"/>
        <w:rPr>
          <w:rFonts w:ascii="宋体" w:hAnsi="宋体" w:cs="宋体"/>
          <w:sz w:val="36"/>
          <w:szCs w:val="36"/>
          <w:highlight w:val="none"/>
        </w:rPr>
        <w:sectPr>
          <w:footerReference r:id="rId7" w:type="default"/>
          <w:pgSz w:w="11915" w:h="16840"/>
          <w:pgMar w:top="1417" w:right="1134" w:bottom="1417" w:left="1417" w:header="720" w:footer="720" w:gutter="0"/>
          <w:cols w:space="720" w:num="1"/>
          <w:docGrid w:type="lines" w:linePitch="312" w:charSpace="0"/>
        </w:sectPr>
      </w:pPr>
    </w:p>
    <w:p w14:paraId="0589F96B">
      <w:pPr>
        <w:pStyle w:val="3"/>
        <w:widowControl/>
        <w:tabs>
          <w:tab w:val="left" w:pos="0"/>
        </w:tabs>
        <w:spacing w:line="500" w:lineRule="exact"/>
        <w:rPr>
          <w:rFonts w:cs="宋体"/>
          <w:bCs/>
          <w:sz w:val="36"/>
          <w:szCs w:val="36"/>
          <w:highlight w:val="none"/>
        </w:rPr>
      </w:pPr>
      <w:bookmarkStart w:id="280" w:name="_Toc521998007"/>
      <w:bookmarkEnd w:id="280"/>
      <w:bookmarkStart w:id="281" w:name="_Toc522085803"/>
      <w:bookmarkEnd w:id="281"/>
      <w:bookmarkStart w:id="282" w:name="_Toc32240_WPSOffice_Level1"/>
      <w:bookmarkEnd w:id="282"/>
      <w:bookmarkStart w:id="283" w:name="_Toc517257925"/>
      <w:bookmarkEnd w:id="283"/>
      <w:bookmarkStart w:id="284" w:name="_Toc497301908"/>
      <w:bookmarkEnd w:id="284"/>
      <w:bookmarkStart w:id="285" w:name="_Toc3483_WPSOffice_Level1"/>
      <w:bookmarkEnd w:id="285"/>
      <w:bookmarkStart w:id="286" w:name="_Toc14477_WPSOffice_Level1"/>
      <w:bookmarkEnd w:id="286"/>
      <w:bookmarkStart w:id="287" w:name="_Toc512596668"/>
      <w:bookmarkEnd w:id="287"/>
      <w:bookmarkStart w:id="288" w:name="_Toc522798779"/>
      <w:bookmarkEnd w:id="288"/>
      <w:bookmarkStart w:id="289" w:name="_Toc522798869"/>
      <w:bookmarkStart w:id="290" w:name="_Toc120_WPSOffice_Level1"/>
      <w:bookmarkStart w:id="291" w:name="_Toc22556_WPSOffice_Level1"/>
      <w:bookmarkStart w:id="292" w:name="_Toc13553_WPSOffice_Level1"/>
      <w:bookmarkStart w:id="293" w:name="_Toc7451_WPSOffice_Level1"/>
      <w:bookmarkStart w:id="294" w:name="_Toc12_WPSOffice_Level1"/>
      <w:bookmarkStart w:id="295" w:name="_Toc2481"/>
      <w:bookmarkStart w:id="296" w:name="_Toc32752_WPSOffice_Level1"/>
      <w:bookmarkStart w:id="297" w:name="_Toc22965_WPSOffice_Level1"/>
      <w:r>
        <w:rPr>
          <w:rFonts w:hint="eastAsia" w:cs="宋体"/>
          <w:bCs/>
          <w:sz w:val="36"/>
          <w:szCs w:val="36"/>
          <w:highlight w:val="none"/>
        </w:rPr>
        <w:t>目</w:t>
      </w:r>
      <w:bookmarkEnd w:id="289"/>
      <w:r>
        <w:rPr>
          <w:rFonts w:hint="eastAsia" w:cs="宋体"/>
          <w:bCs/>
          <w:sz w:val="36"/>
          <w:szCs w:val="36"/>
          <w:highlight w:val="none"/>
        </w:rPr>
        <w:t xml:space="preserve">    录</w:t>
      </w:r>
      <w:bookmarkEnd w:id="290"/>
      <w:bookmarkEnd w:id="291"/>
      <w:bookmarkEnd w:id="292"/>
      <w:bookmarkEnd w:id="293"/>
      <w:bookmarkEnd w:id="294"/>
      <w:bookmarkEnd w:id="295"/>
      <w:bookmarkEnd w:id="296"/>
      <w:bookmarkEnd w:id="297"/>
    </w:p>
    <w:p w14:paraId="4F4F714D">
      <w:pPr>
        <w:spacing w:line="500" w:lineRule="exact"/>
        <w:jc w:val="center"/>
        <w:rPr>
          <w:rFonts w:ascii="宋体" w:hAnsi="宋体" w:cs="宋体"/>
          <w:b/>
          <w:sz w:val="28"/>
          <w:szCs w:val="28"/>
          <w:highlight w:val="none"/>
        </w:rPr>
      </w:pPr>
    </w:p>
    <w:p w14:paraId="0B4243CE">
      <w:pPr>
        <w:spacing w:line="500" w:lineRule="exact"/>
        <w:rPr>
          <w:sz w:val="22"/>
          <w:szCs w:val="28"/>
          <w:highlight w:val="none"/>
        </w:rPr>
      </w:pPr>
      <w:bookmarkStart w:id="298" w:name="_Toc10351_WPSOffice_Level1"/>
      <w:bookmarkEnd w:id="298"/>
    </w:p>
    <w:p w14:paraId="48F407BA">
      <w:pPr>
        <w:spacing w:line="500" w:lineRule="exact"/>
        <w:rPr>
          <w:rFonts w:hint="eastAsia"/>
          <w:sz w:val="22"/>
          <w:szCs w:val="28"/>
          <w:highlight w:val="none"/>
          <w:lang w:val="en-US" w:eastAsia="zh-CN"/>
        </w:rPr>
      </w:pPr>
      <w:bookmarkStart w:id="299" w:name="_Toc26459_WPSOffice_Level1"/>
      <w:bookmarkEnd w:id="299"/>
      <w:bookmarkStart w:id="300" w:name="_Toc9063_WPSOffice_Level1"/>
      <w:bookmarkEnd w:id="300"/>
      <w:bookmarkStart w:id="301" w:name="_Toc465990925"/>
      <w:bookmarkEnd w:id="301"/>
      <w:bookmarkStart w:id="302" w:name="_Toc522085804"/>
      <w:bookmarkEnd w:id="302"/>
      <w:bookmarkStart w:id="303" w:name="_Toc521998008"/>
      <w:bookmarkEnd w:id="303"/>
      <w:bookmarkStart w:id="304" w:name="_Toc522798780"/>
      <w:bookmarkEnd w:id="304"/>
      <w:bookmarkStart w:id="305" w:name="_Toc497301909"/>
      <w:bookmarkEnd w:id="305"/>
      <w:bookmarkStart w:id="306" w:name="_Toc14321_WPSOffice_Level1"/>
      <w:bookmarkStart w:id="307" w:name="_Toc29644_WPSOffice_Level1"/>
      <w:bookmarkStart w:id="308" w:name="_Toc22710_WPSOffice_Level1"/>
      <w:bookmarkStart w:id="309" w:name="_Toc20424_WPSOffice_Level1"/>
      <w:bookmarkStart w:id="310" w:name="_Toc21912_WPSOffice_Level1"/>
      <w:bookmarkStart w:id="311" w:name="_Toc12819_WPSOffice_Level1"/>
      <w:bookmarkStart w:id="312" w:name="_Toc22466_WPSOffice_Level1"/>
      <w:bookmarkStart w:id="313" w:name="_Toc15076"/>
      <w:bookmarkStart w:id="314" w:name="_Toc32115_WPSOffice_Level1"/>
      <w:bookmarkStart w:id="315" w:name="_Toc21240_WPSOffice_Level1"/>
      <w:bookmarkStart w:id="316" w:name="_Toc522798870"/>
      <w:bookmarkStart w:id="317" w:name="_Toc26136_WPSOffice_Level1"/>
      <w:bookmarkStart w:id="318" w:name="_Toc26377_WPSOffice_Level1"/>
      <w:bookmarkStart w:id="319" w:name="_Toc11242"/>
      <w:bookmarkStart w:id="320" w:name="_Toc11744_WPSOffice_Level1"/>
      <w:bookmarkStart w:id="321" w:name="_Toc25167_WPSOffice_Level1"/>
      <w:bookmarkStart w:id="322" w:name="_Toc13748_WPSOffice_Level1"/>
      <w:r>
        <w:rPr>
          <w:rFonts w:hint="eastAsia"/>
          <w:sz w:val="22"/>
          <w:szCs w:val="28"/>
          <w:highlight w:val="none"/>
          <w:lang w:val="en-US" w:eastAsia="zh-CN"/>
        </w:rPr>
        <w:t>一、响应函及响应函附录</w:t>
      </w:r>
      <w:bookmarkEnd w:id="306"/>
      <w:bookmarkEnd w:id="307"/>
      <w:bookmarkEnd w:id="308"/>
      <w:bookmarkEnd w:id="309"/>
      <w:bookmarkEnd w:id="310"/>
      <w:bookmarkEnd w:id="311"/>
      <w:bookmarkEnd w:id="312"/>
      <w:bookmarkEnd w:id="313"/>
    </w:p>
    <w:p w14:paraId="2E393F74">
      <w:pPr>
        <w:spacing w:line="500" w:lineRule="exact"/>
        <w:rPr>
          <w:rFonts w:hint="eastAsia"/>
          <w:sz w:val="22"/>
          <w:szCs w:val="28"/>
          <w:highlight w:val="none"/>
          <w:lang w:val="en-US" w:eastAsia="zh-CN"/>
        </w:rPr>
      </w:pPr>
      <w:bookmarkStart w:id="323" w:name="_Toc6284_WPSOffice_Level1"/>
      <w:bookmarkStart w:id="324" w:name="_Toc18335_WPSOffice_Level1"/>
      <w:bookmarkStart w:id="325" w:name="_Toc8272_WPSOffice_Level1"/>
      <w:bookmarkStart w:id="326" w:name="_Toc16885_WPSOffice_Level1"/>
      <w:bookmarkStart w:id="327" w:name="_Toc16563_WPSOffice_Level1"/>
      <w:bookmarkStart w:id="328" w:name="_Toc30928"/>
      <w:bookmarkStart w:id="329" w:name="_Toc32444_WPSOffice_Level1"/>
      <w:bookmarkStart w:id="330" w:name="_Toc27919_WPSOffice_Level1"/>
      <w:r>
        <w:rPr>
          <w:rFonts w:hint="eastAsia"/>
          <w:sz w:val="22"/>
          <w:szCs w:val="28"/>
          <w:highlight w:val="none"/>
          <w:lang w:val="en-US" w:eastAsia="zh-CN"/>
        </w:rPr>
        <w:t>二、法定代表人身份证明书</w:t>
      </w:r>
      <w:bookmarkEnd w:id="323"/>
      <w:bookmarkEnd w:id="324"/>
      <w:bookmarkEnd w:id="325"/>
      <w:bookmarkEnd w:id="326"/>
      <w:bookmarkEnd w:id="327"/>
      <w:bookmarkEnd w:id="328"/>
      <w:bookmarkEnd w:id="329"/>
      <w:bookmarkEnd w:id="330"/>
    </w:p>
    <w:p w14:paraId="7D784DF0">
      <w:pPr>
        <w:spacing w:line="500" w:lineRule="exact"/>
        <w:rPr>
          <w:rFonts w:hint="eastAsia"/>
          <w:sz w:val="22"/>
          <w:szCs w:val="28"/>
          <w:highlight w:val="none"/>
          <w:lang w:val="en-US" w:eastAsia="zh-CN"/>
        </w:rPr>
      </w:pPr>
      <w:bookmarkStart w:id="331" w:name="_Toc9435_WPSOffice_Level1"/>
      <w:bookmarkStart w:id="332" w:name="_Toc11559"/>
      <w:bookmarkStart w:id="333" w:name="_Toc27975_WPSOffice_Level1"/>
      <w:bookmarkStart w:id="334" w:name="_Toc12993_WPSOffice_Level1"/>
      <w:bookmarkStart w:id="335" w:name="_Toc29680_WPSOffice_Level1"/>
      <w:r>
        <w:rPr>
          <w:rFonts w:hint="eastAsia"/>
          <w:sz w:val="22"/>
          <w:szCs w:val="28"/>
          <w:highlight w:val="none"/>
          <w:lang w:val="en-US" w:eastAsia="zh-CN"/>
        </w:rPr>
        <w:t>三、</w:t>
      </w:r>
      <w:bookmarkEnd w:id="331"/>
      <w:bookmarkEnd w:id="332"/>
      <w:bookmarkEnd w:id="333"/>
      <w:bookmarkEnd w:id="334"/>
      <w:bookmarkEnd w:id="335"/>
      <w:r>
        <w:rPr>
          <w:rFonts w:hint="eastAsia"/>
          <w:sz w:val="22"/>
          <w:szCs w:val="28"/>
          <w:highlight w:val="none"/>
          <w:lang w:val="en-US" w:eastAsia="zh-CN"/>
        </w:rPr>
        <w:t>资格审查资料</w:t>
      </w:r>
    </w:p>
    <w:p w14:paraId="1CEDB70E">
      <w:pPr>
        <w:spacing w:line="500" w:lineRule="exact"/>
        <w:rPr>
          <w:rFonts w:hint="default"/>
          <w:sz w:val="22"/>
          <w:szCs w:val="28"/>
          <w:highlight w:val="none"/>
          <w:lang w:val="en-US" w:eastAsia="zh-CN"/>
        </w:rPr>
      </w:pPr>
      <w:r>
        <w:rPr>
          <w:rFonts w:hint="eastAsia"/>
          <w:sz w:val="22"/>
          <w:szCs w:val="28"/>
          <w:highlight w:val="none"/>
          <w:lang w:val="en-US" w:eastAsia="zh-CN"/>
        </w:rPr>
        <w:t>四、供应商基本情况</w:t>
      </w:r>
    </w:p>
    <w:p w14:paraId="45F34D44">
      <w:pPr>
        <w:spacing w:line="500" w:lineRule="exact"/>
        <w:rPr>
          <w:rFonts w:hint="eastAsia"/>
          <w:sz w:val="22"/>
          <w:szCs w:val="28"/>
          <w:highlight w:val="none"/>
          <w:lang w:val="en-US" w:eastAsia="zh-CN"/>
        </w:rPr>
      </w:pPr>
      <w:r>
        <w:rPr>
          <w:rFonts w:hint="eastAsia"/>
          <w:sz w:val="22"/>
          <w:szCs w:val="28"/>
          <w:highlight w:val="none"/>
          <w:lang w:val="en-US" w:eastAsia="zh-CN"/>
        </w:rPr>
        <w:t>五、服务方案</w:t>
      </w:r>
    </w:p>
    <w:p w14:paraId="3167E617">
      <w:pPr>
        <w:spacing w:line="500" w:lineRule="exact"/>
        <w:rPr>
          <w:rFonts w:hint="eastAsia"/>
          <w:sz w:val="22"/>
          <w:szCs w:val="28"/>
          <w:highlight w:val="none"/>
          <w:lang w:val="en-US" w:eastAsia="zh-CN"/>
        </w:rPr>
      </w:pPr>
      <w:bookmarkStart w:id="336" w:name="_Toc24588_WPSOffice_Level1"/>
      <w:bookmarkStart w:id="337" w:name="_Toc31663_WPSOffice_Level1"/>
      <w:bookmarkStart w:id="338" w:name="_Toc19143_WPSOffice_Level1"/>
      <w:bookmarkStart w:id="339" w:name="_Toc15598"/>
      <w:bookmarkStart w:id="340" w:name="_Toc16923_WPSOffice_Level1"/>
      <w:bookmarkStart w:id="341" w:name="_Toc23899_WPSOffice_Level1"/>
      <w:bookmarkStart w:id="342" w:name="_Toc7879_WPSOffice_Level1"/>
      <w:bookmarkStart w:id="343" w:name="_Toc27239_WPSOffice_Level1"/>
      <w:r>
        <w:rPr>
          <w:rFonts w:hint="eastAsia"/>
          <w:sz w:val="22"/>
          <w:szCs w:val="28"/>
          <w:highlight w:val="none"/>
          <w:lang w:val="en-US" w:eastAsia="zh-CN"/>
        </w:rPr>
        <w:t>六、</w:t>
      </w:r>
      <w:bookmarkEnd w:id="336"/>
      <w:bookmarkEnd w:id="337"/>
      <w:bookmarkEnd w:id="338"/>
      <w:bookmarkEnd w:id="339"/>
      <w:bookmarkEnd w:id="340"/>
      <w:bookmarkEnd w:id="341"/>
      <w:bookmarkEnd w:id="342"/>
      <w:bookmarkEnd w:id="343"/>
      <w:r>
        <w:rPr>
          <w:rFonts w:hint="eastAsia"/>
          <w:sz w:val="22"/>
          <w:szCs w:val="28"/>
          <w:highlight w:val="none"/>
          <w:lang w:val="en-US" w:eastAsia="zh-CN"/>
        </w:rPr>
        <w:t>服务承诺</w:t>
      </w:r>
    </w:p>
    <w:p w14:paraId="1E9925A9">
      <w:pPr>
        <w:spacing w:line="500" w:lineRule="exact"/>
        <w:rPr>
          <w:rFonts w:hint="eastAsia"/>
          <w:sz w:val="22"/>
          <w:szCs w:val="28"/>
          <w:highlight w:val="none"/>
          <w:lang w:val="en-US" w:eastAsia="zh-CN"/>
        </w:rPr>
      </w:pPr>
      <w:bookmarkStart w:id="344" w:name="_Toc29094_WPSOffice_Level1"/>
      <w:bookmarkStart w:id="345" w:name="_Toc14932"/>
      <w:bookmarkStart w:id="346" w:name="_Toc9498_WPSOffice_Level1"/>
      <w:bookmarkStart w:id="347" w:name="_Toc4816_WPSOffice_Level1"/>
      <w:bookmarkStart w:id="348" w:name="_Toc5142_WPSOffice_Level1"/>
      <w:bookmarkStart w:id="349" w:name="_Toc28824_WPSOffice_Level1"/>
      <w:bookmarkStart w:id="350" w:name="_Toc14343_WPSOffice_Level1"/>
      <w:bookmarkStart w:id="351" w:name="_Toc31892_WPSOffice_Level1"/>
      <w:r>
        <w:rPr>
          <w:rFonts w:hint="eastAsia"/>
          <w:sz w:val="22"/>
          <w:szCs w:val="28"/>
          <w:highlight w:val="none"/>
          <w:lang w:val="en-US" w:eastAsia="zh-CN"/>
        </w:rPr>
        <w:t>七、</w:t>
      </w:r>
      <w:bookmarkEnd w:id="344"/>
      <w:bookmarkEnd w:id="345"/>
      <w:bookmarkEnd w:id="346"/>
      <w:bookmarkEnd w:id="347"/>
      <w:bookmarkEnd w:id="348"/>
      <w:bookmarkEnd w:id="349"/>
      <w:bookmarkEnd w:id="350"/>
      <w:bookmarkEnd w:id="351"/>
      <w:r>
        <w:rPr>
          <w:rFonts w:hint="eastAsia"/>
          <w:sz w:val="22"/>
          <w:szCs w:val="28"/>
          <w:highlight w:val="none"/>
          <w:lang w:val="en-US" w:eastAsia="zh-CN"/>
        </w:rPr>
        <w:t>其他资料</w:t>
      </w:r>
    </w:p>
    <w:p w14:paraId="1722DBCB">
      <w:pPr>
        <w:spacing w:line="500" w:lineRule="exact"/>
        <w:rPr>
          <w:sz w:val="22"/>
          <w:szCs w:val="28"/>
          <w:highlight w:val="none"/>
        </w:rPr>
        <w:sectPr>
          <w:pgSz w:w="11915" w:h="16840"/>
          <w:pgMar w:top="1417" w:right="1134" w:bottom="1417" w:left="1417" w:header="720" w:footer="720" w:gutter="0"/>
          <w:cols w:space="720" w:num="1"/>
          <w:docGrid w:type="lines" w:linePitch="312" w:charSpace="0"/>
        </w:sectPr>
      </w:pPr>
    </w:p>
    <w:p w14:paraId="650E2F96">
      <w:pPr>
        <w:spacing w:line="500" w:lineRule="exact"/>
        <w:ind w:left="420"/>
        <w:jc w:val="center"/>
        <w:outlineLvl w:val="0"/>
        <w:rPr>
          <w:rFonts w:ascii="宋体" w:hAnsi="宋体" w:cs="宋体"/>
          <w:b/>
          <w:sz w:val="30"/>
          <w:szCs w:val="30"/>
          <w:highlight w:val="none"/>
        </w:rPr>
      </w:pPr>
      <w:bookmarkStart w:id="352" w:name="_Toc20182"/>
      <w:r>
        <w:rPr>
          <w:rFonts w:hint="eastAsia" w:ascii="宋体" w:hAnsi="宋体" w:cs="宋体"/>
          <w:b/>
          <w:sz w:val="30"/>
          <w:szCs w:val="30"/>
          <w:highlight w:val="none"/>
        </w:rPr>
        <w:t>一、响应函及响应函附录</w:t>
      </w:r>
      <w:bookmarkEnd w:id="314"/>
      <w:bookmarkEnd w:id="315"/>
      <w:bookmarkEnd w:id="316"/>
      <w:bookmarkEnd w:id="317"/>
      <w:bookmarkEnd w:id="318"/>
      <w:bookmarkEnd w:id="319"/>
      <w:bookmarkEnd w:id="320"/>
      <w:bookmarkEnd w:id="321"/>
      <w:bookmarkEnd w:id="322"/>
      <w:bookmarkEnd w:id="352"/>
    </w:p>
    <w:p w14:paraId="2E49408B">
      <w:pPr>
        <w:spacing w:line="500" w:lineRule="exact"/>
        <w:jc w:val="center"/>
        <w:rPr>
          <w:rFonts w:ascii="宋体" w:hAnsi="宋体" w:cs="宋体"/>
          <w:b/>
          <w:sz w:val="28"/>
          <w:szCs w:val="28"/>
          <w:highlight w:val="none"/>
        </w:rPr>
      </w:pPr>
      <w:bookmarkStart w:id="353" w:name="_Toc5021_WPSOffice_Level2"/>
      <w:bookmarkEnd w:id="353"/>
      <w:r>
        <w:rPr>
          <w:rFonts w:hint="eastAsia" w:ascii="宋体" w:hAnsi="宋体" w:cs="宋体"/>
          <w:b/>
          <w:sz w:val="28"/>
          <w:szCs w:val="28"/>
          <w:highlight w:val="none"/>
        </w:rPr>
        <w:t xml:space="preserve">（一）响应函  </w:t>
      </w:r>
    </w:p>
    <w:p w14:paraId="58CEE398">
      <w:pPr>
        <w:widowControl/>
        <w:spacing w:line="360" w:lineRule="auto"/>
        <w:jc w:val="left"/>
        <w:rPr>
          <w:rFonts w:hint="eastAsia" w:ascii="宋体" w:hAnsi="宋体" w:cs="宋体"/>
          <w:color w:val="000000"/>
          <w:kern w:val="0"/>
          <w:sz w:val="24"/>
          <w:szCs w:val="24"/>
          <w:lang w:val="en-US"/>
        </w:rPr>
      </w:pPr>
      <w:bookmarkStart w:id="354" w:name="_Toc30282_WPSOffice_Level2"/>
      <w:bookmarkEnd w:id="354"/>
      <w:r>
        <w:rPr>
          <w:rFonts w:hint="eastAsia" w:ascii="宋体" w:hAnsi="宋体" w:cs="宋体"/>
          <w:color w:val="000000"/>
          <w:kern w:val="0"/>
          <w:sz w:val="24"/>
          <w:szCs w:val="24"/>
          <w:lang w:val="en-US"/>
        </w:rPr>
        <w:t>致</w:t>
      </w:r>
      <w:r>
        <w:rPr>
          <w:rFonts w:hint="eastAsia" w:ascii="宋体" w:hAnsi="宋体" w:cs="宋体"/>
          <w:color w:val="000000"/>
          <w:kern w:val="0"/>
          <w:sz w:val="24"/>
          <w:szCs w:val="24"/>
          <w:u w:val="single" w:color="auto"/>
          <w:lang w:val="en-US"/>
        </w:rPr>
        <w:t xml:space="preserve">        </w:t>
      </w:r>
      <w:r>
        <w:rPr>
          <w:rFonts w:hint="eastAsia" w:ascii="宋体" w:hAnsi="宋体" w:cs="宋体"/>
          <w:color w:val="000000"/>
          <w:kern w:val="0"/>
          <w:sz w:val="24"/>
          <w:szCs w:val="24"/>
          <w:lang w:val="en-US"/>
        </w:rPr>
        <w:t>（ 采购人名称 ）：</w:t>
      </w:r>
    </w:p>
    <w:p w14:paraId="2973A782">
      <w:pPr>
        <w:widowControl/>
        <w:spacing w:line="360" w:lineRule="auto"/>
        <w:ind w:firstLine="480" w:firstLineChars="200"/>
        <w:jc w:val="left"/>
        <w:rPr>
          <w:rFonts w:hint="eastAsia" w:ascii="宋体" w:hAnsi="宋体" w:cs="宋体"/>
          <w:color w:val="000000"/>
          <w:kern w:val="0"/>
          <w:sz w:val="24"/>
          <w:szCs w:val="24"/>
          <w:lang w:val="en-US"/>
        </w:rPr>
      </w:pPr>
      <w:r>
        <w:rPr>
          <w:rFonts w:hint="eastAsia" w:ascii="宋体" w:hAnsi="宋体" w:cs="宋体"/>
          <w:color w:val="000000"/>
          <w:kern w:val="0"/>
          <w:sz w:val="24"/>
          <w:szCs w:val="24"/>
          <w:lang w:val="en-US"/>
        </w:rPr>
        <w:t>根据已收到贵方的</w:t>
      </w:r>
      <w:r>
        <w:rPr>
          <w:rFonts w:hint="eastAsia" w:ascii="宋体" w:hAnsi="宋体" w:cs="宋体"/>
          <w:color w:val="000000"/>
          <w:kern w:val="0"/>
          <w:sz w:val="24"/>
          <w:szCs w:val="24"/>
          <w:u w:val="single" w:color="auto"/>
          <w:lang w:val="en-US"/>
        </w:rPr>
        <w:t xml:space="preserve">       </w:t>
      </w:r>
      <w:r>
        <w:rPr>
          <w:rFonts w:hint="eastAsia" w:ascii="宋体" w:hAnsi="宋体" w:cs="宋体"/>
          <w:color w:val="000000"/>
          <w:kern w:val="0"/>
          <w:sz w:val="24"/>
          <w:szCs w:val="24"/>
          <w:lang w:val="en-US"/>
        </w:rPr>
        <w:t>（项目名称）</w:t>
      </w:r>
      <w:r>
        <w:rPr>
          <w:rFonts w:hint="eastAsia" w:ascii="宋体" w:hAnsi="宋体" w:cs="宋体"/>
          <w:color w:val="000000"/>
          <w:kern w:val="0"/>
          <w:sz w:val="24"/>
          <w:szCs w:val="24"/>
          <w:u w:val="single" w:color="auto"/>
          <w:lang w:val="en-US"/>
        </w:rPr>
        <w:t xml:space="preserve">   </w:t>
      </w:r>
      <w:r>
        <w:rPr>
          <w:rFonts w:hint="eastAsia" w:ascii="宋体" w:hAnsi="宋体" w:cs="宋体"/>
          <w:color w:val="000000"/>
          <w:kern w:val="0"/>
          <w:sz w:val="24"/>
          <w:szCs w:val="24"/>
          <w:u w:val="single" w:color="auto"/>
          <w:lang w:val="en-US" w:eastAsia="zh-CN"/>
        </w:rPr>
        <w:t xml:space="preserve">    </w:t>
      </w:r>
      <w:r>
        <w:rPr>
          <w:rFonts w:hint="eastAsia" w:ascii="宋体" w:hAnsi="宋体" w:cs="宋体"/>
          <w:color w:val="000000"/>
          <w:kern w:val="0"/>
          <w:sz w:val="24"/>
          <w:szCs w:val="24"/>
          <w:u w:val="single" w:color="auto"/>
          <w:lang w:val="en-US"/>
        </w:rPr>
        <w:t xml:space="preserve">   </w:t>
      </w:r>
      <w:r>
        <w:rPr>
          <w:rFonts w:hint="eastAsia" w:ascii="宋体" w:hAnsi="宋体" w:cs="宋体"/>
          <w:color w:val="000000"/>
          <w:kern w:val="0"/>
          <w:sz w:val="24"/>
          <w:szCs w:val="24"/>
          <w:lang w:val="en-US"/>
        </w:rPr>
        <w:t>（项目编号）竞争性磋商文件，</w:t>
      </w:r>
      <w:r>
        <w:rPr>
          <w:rFonts w:hint="eastAsia" w:ascii="宋体" w:hAnsi="宋体" w:cs="楷体"/>
          <w:color w:val="000000"/>
          <w:kern w:val="1"/>
          <w:sz w:val="24"/>
          <w:szCs w:val="24"/>
        </w:rPr>
        <w:t>经详细研究，我们决定参加</w:t>
      </w:r>
      <w:r>
        <w:rPr>
          <w:rFonts w:hint="eastAsia" w:ascii="宋体" w:hAnsi="宋体" w:cs="楷体"/>
          <w:color w:val="000000"/>
          <w:kern w:val="1"/>
          <w:sz w:val="24"/>
          <w:szCs w:val="24"/>
          <w:u w:val="single"/>
        </w:rPr>
        <w:t xml:space="preserve">          </w:t>
      </w:r>
      <w:r>
        <w:rPr>
          <w:rFonts w:hint="eastAsia" w:ascii="宋体" w:hAnsi="宋体" w:cs="楷体"/>
          <w:color w:val="000000"/>
          <w:kern w:val="1"/>
          <w:sz w:val="24"/>
          <w:szCs w:val="24"/>
        </w:rPr>
        <w:t>（项目名称）</w:t>
      </w:r>
      <w:r>
        <w:rPr>
          <w:rFonts w:hint="eastAsia" w:ascii="宋体" w:hAnsi="宋体" w:cs="楷体"/>
          <w:kern w:val="1"/>
          <w:sz w:val="24"/>
          <w:szCs w:val="24"/>
        </w:rPr>
        <w:t>的全部内容，我方愿意按</w:t>
      </w:r>
      <w:r>
        <w:rPr>
          <w:rFonts w:hint="eastAsia" w:ascii="宋体" w:hAnsi="宋体" w:cs="楷体"/>
          <w:kern w:val="1"/>
          <w:sz w:val="24"/>
          <w:szCs w:val="24"/>
          <w:lang w:val="en-US" w:eastAsia="zh-CN"/>
        </w:rPr>
        <w:t>采购人</w:t>
      </w:r>
      <w:r>
        <w:rPr>
          <w:rFonts w:hint="eastAsia" w:ascii="宋体" w:hAnsi="宋体" w:cs="楷体"/>
          <w:kern w:val="1"/>
          <w:sz w:val="24"/>
          <w:szCs w:val="24"/>
        </w:rPr>
        <w:t>的要求承担所委托项目的服务工作，</w:t>
      </w:r>
      <w:r>
        <w:rPr>
          <w:rFonts w:hint="eastAsia" w:ascii="宋体" w:hAnsi="宋体" w:cs="楷体"/>
          <w:kern w:val="1"/>
          <w:sz w:val="24"/>
          <w:szCs w:val="24"/>
          <w:lang w:val="en-US" w:eastAsia="zh-CN"/>
        </w:rPr>
        <w:t>磋商报价：</w:t>
      </w:r>
      <w:r>
        <w:rPr>
          <w:rFonts w:hint="eastAsia" w:ascii="宋体" w:hAnsi="宋体" w:eastAsia="宋体" w:cs="宋体"/>
          <w:color w:val="auto"/>
          <w:kern w:val="2"/>
          <w:sz w:val="24"/>
          <w:szCs w:val="24"/>
          <w:u w:val="single"/>
          <w:lang w:val="en-US" w:eastAsia="zh-CN"/>
        </w:rPr>
        <w:t>大写：      （小写：     元）</w:t>
      </w:r>
      <w:r>
        <w:rPr>
          <w:rFonts w:hint="eastAsia" w:ascii="宋体" w:hAnsi="宋体" w:cs="宋体"/>
          <w:color w:val="000000"/>
          <w:kern w:val="0"/>
          <w:sz w:val="24"/>
          <w:szCs w:val="24"/>
          <w:lang w:val="en-US"/>
        </w:rPr>
        <w:t>，</w:t>
      </w:r>
      <w:r>
        <w:rPr>
          <w:rFonts w:hint="eastAsia" w:ascii="宋体" w:hAnsi="宋体" w:cs="宋体"/>
          <w:color w:val="000000"/>
          <w:kern w:val="0"/>
          <w:sz w:val="24"/>
          <w:szCs w:val="24"/>
          <w:lang w:val="en-US" w:eastAsia="zh-CN"/>
        </w:rPr>
        <w:t>服务期</w:t>
      </w:r>
      <w:r>
        <w:rPr>
          <w:rFonts w:hint="eastAsia" w:ascii="宋体" w:hAnsi="宋体" w:eastAsia="宋体" w:cs="宋体"/>
          <w:color w:val="auto"/>
          <w:kern w:val="2"/>
          <w:sz w:val="24"/>
          <w:szCs w:val="24"/>
        </w:rPr>
        <w:t>：</w:t>
      </w:r>
      <w:r>
        <w:rPr>
          <w:rFonts w:hint="eastAsia" w:ascii="宋体" w:hAnsi="宋体" w:eastAsia="宋体" w:cs="宋体"/>
          <w:color w:val="auto"/>
          <w:kern w:val="2"/>
          <w:sz w:val="24"/>
          <w:szCs w:val="24"/>
          <w:u w:val="single"/>
          <w:lang w:val="en-US" w:eastAsia="zh-CN"/>
        </w:rPr>
        <w:t xml:space="preserve">      </w:t>
      </w:r>
      <w:r>
        <w:rPr>
          <w:rFonts w:hint="eastAsia" w:ascii="宋体" w:hAnsi="宋体" w:cs="宋体"/>
          <w:color w:val="000000"/>
          <w:kern w:val="0"/>
          <w:sz w:val="24"/>
          <w:szCs w:val="24"/>
          <w:lang w:val="en-US"/>
        </w:rPr>
        <w:t>，质量</w:t>
      </w:r>
      <w:r>
        <w:rPr>
          <w:rFonts w:hint="eastAsia" w:ascii="宋体" w:hAnsi="宋体" w:cs="宋体"/>
          <w:color w:val="000000"/>
          <w:kern w:val="0"/>
          <w:sz w:val="24"/>
          <w:szCs w:val="24"/>
          <w:lang w:val="en-US" w:eastAsia="zh-CN"/>
        </w:rPr>
        <w:t>标准</w:t>
      </w:r>
      <w:r>
        <w:rPr>
          <w:rFonts w:hint="eastAsia" w:ascii="宋体" w:hAnsi="宋体" w:cs="宋体"/>
          <w:color w:val="000000"/>
          <w:kern w:val="0"/>
          <w:sz w:val="24"/>
          <w:szCs w:val="24"/>
          <w:lang w:val="en-US"/>
        </w:rPr>
        <w:t>：</w:t>
      </w:r>
      <w:r>
        <w:rPr>
          <w:rFonts w:hint="eastAsia" w:ascii="宋体" w:hAnsi="宋体" w:cs="宋体"/>
          <w:color w:val="000000"/>
          <w:kern w:val="0"/>
          <w:sz w:val="24"/>
          <w:szCs w:val="24"/>
          <w:u w:val="single" w:color="auto"/>
          <w:lang w:val="en-US"/>
        </w:rPr>
        <w:t xml:space="preserve">     </w:t>
      </w:r>
      <w:r>
        <w:rPr>
          <w:rFonts w:hint="eastAsia" w:ascii="宋体" w:hAnsi="宋体" w:cs="宋体"/>
          <w:color w:val="000000"/>
          <w:kern w:val="0"/>
          <w:sz w:val="24"/>
          <w:szCs w:val="24"/>
          <w:lang w:val="en-US"/>
        </w:rPr>
        <w:t>，</w:t>
      </w:r>
      <w:r>
        <w:rPr>
          <w:rFonts w:hint="eastAsia" w:ascii="宋体" w:hAnsi="宋体" w:cs="宋体"/>
          <w:color w:val="000000"/>
          <w:kern w:val="0"/>
          <w:sz w:val="24"/>
          <w:szCs w:val="24"/>
          <w:lang w:val="en-US" w:eastAsia="zh-CN"/>
        </w:rPr>
        <w:t>磋商有效期：</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none"/>
          <w:lang w:val="en-US" w:eastAsia="zh-CN"/>
        </w:rPr>
        <w:t>；</w:t>
      </w:r>
      <w:r>
        <w:rPr>
          <w:rFonts w:hint="eastAsia" w:ascii="宋体" w:hAnsi="宋体" w:cs="宋体"/>
          <w:color w:val="000000"/>
          <w:kern w:val="0"/>
          <w:sz w:val="24"/>
          <w:szCs w:val="24"/>
          <w:lang w:val="en-US"/>
        </w:rPr>
        <w:t>按合同约定实施和完成本项目</w:t>
      </w:r>
      <w:r>
        <w:rPr>
          <w:rFonts w:hint="eastAsia" w:ascii="宋体" w:hAnsi="宋体" w:cs="宋体"/>
          <w:color w:val="000000"/>
          <w:kern w:val="0"/>
          <w:sz w:val="24"/>
          <w:szCs w:val="24"/>
          <w:lang w:val="en-US" w:eastAsia="zh-CN"/>
        </w:rPr>
        <w:t>服务</w:t>
      </w:r>
      <w:r>
        <w:rPr>
          <w:rFonts w:hint="eastAsia" w:ascii="宋体" w:hAnsi="宋体" w:cs="宋体"/>
          <w:color w:val="000000"/>
          <w:kern w:val="0"/>
          <w:sz w:val="24"/>
          <w:szCs w:val="24"/>
          <w:lang w:val="en-US"/>
        </w:rPr>
        <w:t>的内容。据此函，</w:t>
      </w:r>
      <w:r>
        <w:rPr>
          <w:rFonts w:hint="eastAsia" w:ascii="宋体" w:hAnsi="宋体" w:cs="宋体"/>
          <w:color w:val="000000"/>
          <w:kern w:val="0"/>
          <w:sz w:val="24"/>
          <w:szCs w:val="24"/>
          <w:lang w:val="en-US" w:eastAsia="zh-CN"/>
        </w:rPr>
        <w:t>承诺</w:t>
      </w:r>
      <w:r>
        <w:rPr>
          <w:rFonts w:hint="eastAsia" w:ascii="宋体" w:hAnsi="宋体" w:cs="宋体"/>
          <w:color w:val="000000"/>
          <w:kern w:val="0"/>
          <w:sz w:val="24"/>
          <w:szCs w:val="24"/>
          <w:lang w:val="en-US"/>
        </w:rPr>
        <w:t>如下：</w:t>
      </w:r>
    </w:p>
    <w:p w14:paraId="174F7B8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1、我方同意在本项目竞争性磋商文件中规定的</w:t>
      </w:r>
      <w:r>
        <w:rPr>
          <w:rFonts w:hint="eastAsia" w:ascii="宋体" w:hAnsi="宋体" w:cs="宋体"/>
          <w:color w:val="000000"/>
          <w:kern w:val="0"/>
          <w:sz w:val="24"/>
          <w:szCs w:val="24"/>
          <w:lang w:eastAsia="zh-CN"/>
        </w:rPr>
        <w:t>磋商</w:t>
      </w:r>
      <w:r>
        <w:rPr>
          <w:rFonts w:hint="eastAsia" w:ascii="宋体" w:hAnsi="宋体" w:cs="宋体"/>
          <w:color w:val="000000"/>
          <w:kern w:val="0"/>
          <w:sz w:val="24"/>
          <w:szCs w:val="24"/>
          <w:lang w:val="en-US" w:eastAsia="zh-CN"/>
        </w:rPr>
        <w:t>有效期内</w:t>
      </w:r>
      <w:r>
        <w:rPr>
          <w:rFonts w:hint="eastAsia" w:ascii="宋体" w:hAnsi="宋体" w:cs="宋体"/>
          <w:color w:val="000000"/>
          <w:kern w:val="0"/>
          <w:sz w:val="24"/>
          <w:szCs w:val="24"/>
        </w:rPr>
        <w:t>遵守本响应文件中的承诺且在此期限期满之前均具有约束力。</w:t>
      </w:r>
    </w:p>
    <w:p w14:paraId="6BF21F2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rPr>
      </w:pPr>
      <w:r>
        <w:rPr>
          <w:rFonts w:hint="eastAsia" w:ascii="宋体" w:hAnsi="宋体" w:cs="宋体"/>
          <w:color w:val="000000"/>
          <w:kern w:val="0"/>
          <w:sz w:val="24"/>
          <w:szCs w:val="24"/>
        </w:rPr>
        <w:t>2、我方承诺已经具备《中华人民共和国政府采购法》中规定的参加政府采购活动的供应商应当具备的条件。</w:t>
      </w:r>
    </w:p>
    <w:p w14:paraId="2D79E9D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、我方保证忠实地执行双方所签订的合同，并承担合同规定的责任和义务。</w:t>
      </w:r>
    </w:p>
    <w:p w14:paraId="16FF689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、我方承诺完全满足和响应竞争性磋商文件中的各项商务和技术要求，若有偏差，已在响应文件商务条款偏离表中予以明确特别说明。</w:t>
      </w:r>
    </w:p>
    <w:p w14:paraId="2D7D540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、我方完全理解贵方不一定接受最低价的</w:t>
      </w:r>
      <w:r>
        <w:rPr>
          <w:rFonts w:hint="eastAsia" w:ascii="宋体" w:hAnsi="宋体" w:cs="宋体"/>
          <w:color w:val="000000"/>
          <w:kern w:val="0"/>
          <w:sz w:val="24"/>
          <w:szCs w:val="24"/>
          <w:lang w:eastAsia="zh-CN"/>
        </w:rPr>
        <w:t>磋商</w:t>
      </w:r>
      <w:r>
        <w:rPr>
          <w:rFonts w:hint="eastAsia" w:ascii="宋体" w:hAnsi="宋体" w:cs="宋体"/>
          <w:color w:val="000000"/>
          <w:kern w:val="0"/>
          <w:sz w:val="24"/>
          <w:szCs w:val="24"/>
        </w:rPr>
        <w:t>。</w:t>
      </w:r>
    </w:p>
    <w:p w14:paraId="1131E9A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、我方愿意向贵方提供任何与本项</w:t>
      </w:r>
      <w:r>
        <w:rPr>
          <w:rFonts w:hint="eastAsia" w:ascii="宋体" w:hAnsi="宋体" w:cs="宋体"/>
          <w:color w:val="000000"/>
          <w:kern w:val="0"/>
          <w:sz w:val="24"/>
          <w:szCs w:val="24"/>
          <w:lang w:eastAsia="zh-CN"/>
        </w:rPr>
        <w:t>磋商</w:t>
      </w:r>
      <w:r>
        <w:rPr>
          <w:rFonts w:hint="eastAsia" w:ascii="宋体" w:hAnsi="宋体" w:cs="宋体"/>
          <w:color w:val="000000"/>
          <w:kern w:val="0"/>
          <w:sz w:val="24"/>
          <w:szCs w:val="24"/>
        </w:rPr>
        <w:t>有关的数据、情况和技术资料。若贵方需要，我方愿意提供我方作出的一切承诺的证明材料。</w:t>
      </w:r>
    </w:p>
    <w:p w14:paraId="533A575B">
      <w:pPr>
        <w:spacing w:line="360" w:lineRule="auto"/>
        <w:jc w:val="left"/>
        <w:rPr>
          <w:rFonts w:hint="eastAsia" w:ascii="宋体" w:hAnsi="宋体" w:cs="宋体"/>
          <w:color w:val="000000"/>
          <w:kern w:val="0"/>
          <w:sz w:val="24"/>
          <w:szCs w:val="24"/>
          <w:lang w:eastAsia="zh-CN"/>
        </w:rPr>
      </w:pPr>
    </w:p>
    <w:p w14:paraId="69B46CCC">
      <w:pPr>
        <w:spacing w:line="360" w:lineRule="auto"/>
        <w:jc w:val="left"/>
        <w:rPr>
          <w:rFonts w:hint="eastAsia" w:ascii="宋体" w:hAnsi="宋体" w:cs="宋体"/>
          <w:color w:val="000000"/>
          <w:kern w:val="0"/>
          <w:sz w:val="24"/>
          <w:szCs w:val="24"/>
          <w:lang w:eastAsia="zh-CN"/>
        </w:rPr>
      </w:pPr>
    </w:p>
    <w:p w14:paraId="581492AD">
      <w:pPr>
        <w:spacing w:line="360" w:lineRule="auto"/>
        <w:jc w:val="left"/>
        <w:rPr>
          <w:rFonts w:hint="eastAsia" w:ascii="宋体" w:hAnsi="宋体" w:cs="宋体"/>
          <w:color w:val="000000"/>
          <w:kern w:val="0"/>
          <w:sz w:val="24"/>
          <w:szCs w:val="24"/>
          <w:lang w:eastAsia="zh-CN"/>
        </w:rPr>
      </w:pPr>
    </w:p>
    <w:p w14:paraId="089FBC81">
      <w:pPr>
        <w:spacing w:line="360" w:lineRule="auto"/>
        <w:jc w:val="left"/>
        <w:rPr>
          <w:rFonts w:hint="eastAsia" w:ascii="宋体" w:hAnsi="宋体" w:cs="宋体"/>
          <w:color w:val="000000"/>
          <w:kern w:val="0"/>
          <w:sz w:val="24"/>
          <w:szCs w:val="24"/>
          <w:lang w:eastAsia="zh-CN"/>
        </w:rPr>
      </w:pPr>
    </w:p>
    <w:p w14:paraId="4E900063">
      <w:pPr>
        <w:spacing w:line="360" w:lineRule="auto"/>
        <w:jc w:val="left"/>
        <w:rPr>
          <w:rFonts w:hint="eastAsia" w:ascii="宋体" w:hAnsi="宋体" w:cs="宋体"/>
          <w:color w:val="000000"/>
          <w:kern w:val="0"/>
          <w:sz w:val="24"/>
          <w:szCs w:val="24"/>
          <w:lang w:eastAsia="zh-CN"/>
        </w:rPr>
      </w:pPr>
    </w:p>
    <w:p w14:paraId="05BB3E1D">
      <w:pPr>
        <w:spacing w:line="360" w:lineRule="auto"/>
        <w:ind w:firstLine="480" w:firstLineChars="200"/>
        <w:jc w:val="left"/>
        <w:rPr>
          <w:rFonts w:hint="eastAsia" w:ascii="宋体" w:hAnsi="宋体" w:cs="楷体"/>
          <w:color w:val="000000"/>
          <w:kern w:val="1"/>
          <w:sz w:val="24"/>
          <w:szCs w:val="24"/>
        </w:rPr>
      </w:pPr>
      <w:r>
        <w:rPr>
          <w:rFonts w:hint="eastAsia" w:ascii="宋体" w:hAnsi="宋体" w:cs="宋体"/>
          <w:color w:val="000000"/>
          <w:kern w:val="0"/>
          <w:sz w:val="24"/>
          <w:szCs w:val="24"/>
          <w:lang w:eastAsia="zh-CN"/>
        </w:rPr>
        <w:t>供应商</w:t>
      </w:r>
      <w:r>
        <w:rPr>
          <w:rFonts w:hint="eastAsia" w:ascii="宋体" w:hAnsi="宋体" w:cs="宋体"/>
          <w:color w:val="000000"/>
          <w:kern w:val="0"/>
          <w:sz w:val="24"/>
          <w:szCs w:val="24"/>
        </w:rPr>
        <w:t>：</w:t>
      </w:r>
      <w:r>
        <w:rPr>
          <w:rFonts w:hint="eastAsia" w:ascii="宋体" w:hAnsi="宋体" w:cs="楷体"/>
          <w:color w:val="000000"/>
          <w:kern w:val="1"/>
          <w:sz w:val="24"/>
          <w:szCs w:val="24"/>
          <w:u w:val="single"/>
        </w:rPr>
        <w:t xml:space="preserve">               </w:t>
      </w:r>
      <w:r>
        <w:rPr>
          <w:rFonts w:hint="eastAsia" w:ascii="宋体" w:hAnsi="宋体" w:cs="楷体"/>
          <w:color w:val="000000"/>
          <w:kern w:val="1"/>
          <w:sz w:val="24"/>
          <w:szCs w:val="24"/>
        </w:rPr>
        <w:t>（盖</w:t>
      </w:r>
      <w:r>
        <w:rPr>
          <w:rFonts w:hint="eastAsia" w:ascii="宋体" w:hAnsi="宋体" w:cs="楷体"/>
          <w:color w:val="000000"/>
          <w:kern w:val="1"/>
          <w:sz w:val="24"/>
          <w:szCs w:val="24"/>
          <w:lang w:val="en-US" w:eastAsia="zh-CN"/>
        </w:rPr>
        <w:t>电子</w:t>
      </w:r>
      <w:r>
        <w:rPr>
          <w:rFonts w:hint="eastAsia" w:ascii="宋体" w:hAnsi="宋体" w:cs="楷体"/>
          <w:color w:val="000000"/>
          <w:kern w:val="1"/>
          <w:sz w:val="24"/>
          <w:szCs w:val="24"/>
        </w:rPr>
        <w:t>章）</w:t>
      </w:r>
    </w:p>
    <w:p w14:paraId="41D5515E">
      <w:pPr>
        <w:spacing w:line="360" w:lineRule="auto"/>
        <w:ind w:firstLine="460" w:firstLineChars="200"/>
        <w:jc w:val="left"/>
        <w:rPr>
          <w:rFonts w:hint="eastAsia" w:ascii="宋体" w:hAnsi="宋体" w:cs="楷体"/>
          <w:color w:val="000000"/>
          <w:kern w:val="1"/>
          <w:sz w:val="24"/>
          <w:szCs w:val="24"/>
        </w:rPr>
      </w:pPr>
      <w:r>
        <w:rPr>
          <w:rFonts w:hint="eastAsia"/>
          <w:snapToGrid w:val="0"/>
          <w:color w:val="000000"/>
          <w:spacing w:val="-5"/>
          <w:kern w:val="0"/>
          <w:sz w:val="24"/>
          <w:szCs w:val="24"/>
          <w:lang w:val="en-US" w:eastAsia="zh-CN"/>
        </w:rPr>
        <w:t>法定代表人或授权委托人</w:t>
      </w:r>
      <w:r>
        <w:rPr>
          <w:rFonts w:hint="eastAsia" w:ascii="宋体" w:hAnsi="宋体" w:cs="楷体"/>
          <w:color w:val="000000"/>
          <w:kern w:val="1"/>
          <w:sz w:val="24"/>
          <w:szCs w:val="24"/>
        </w:rPr>
        <w:t>：</w:t>
      </w:r>
      <w:r>
        <w:rPr>
          <w:rFonts w:hint="eastAsia" w:ascii="宋体" w:hAnsi="宋体" w:cs="楷体"/>
          <w:color w:val="000000"/>
          <w:kern w:val="1"/>
          <w:sz w:val="24"/>
          <w:szCs w:val="24"/>
          <w:u w:val="single"/>
        </w:rPr>
        <w:t xml:space="preserve">                  </w:t>
      </w:r>
      <w:r>
        <w:rPr>
          <w:rFonts w:hint="eastAsia" w:ascii="宋体" w:hAnsi="宋体" w:cs="楷体"/>
          <w:color w:val="000000"/>
          <w:kern w:val="1"/>
          <w:sz w:val="24"/>
          <w:szCs w:val="24"/>
        </w:rPr>
        <w:t>（</w:t>
      </w:r>
      <w:r>
        <w:rPr>
          <w:rFonts w:hint="eastAsia" w:ascii="宋体" w:hAnsi="宋体" w:cs="楷体"/>
          <w:color w:val="000000"/>
          <w:kern w:val="1"/>
          <w:sz w:val="24"/>
          <w:szCs w:val="24"/>
          <w:lang w:val="en-US" w:eastAsia="zh-CN"/>
        </w:rPr>
        <w:t>电子签章</w:t>
      </w:r>
      <w:r>
        <w:rPr>
          <w:rFonts w:hint="eastAsia" w:ascii="宋体" w:hAnsi="宋体" w:cs="楷体"/>
          <w:color w:val="000000"/>
          <w:kern w:val="1"/>
          <w:sz w:val="24"/>
          <w:szCs w:val="24"/>
        </w:rPr>
        <w:t>）</w:t>
      </w:r>
    </w:p>
    <w:p w14:paraId="697F73FE">
      <w:pPr>
        <w:spacing w:line="360" w:lineRule="auto"/>
        <w:ind w:firstLine="480" w:firstLineChars="200"/>
        <w:rPr>
          <w:rFonts w:hint="eastAsia" w:ascii="宋体" w:hAnsi="宋体" w:cs="楷体"/>
          <w:color w:val="000000"/>
          <w:kern w:val="1"/>
          <w:sz w:val="24"/>
          <w:szCs w:val="24"/>
        </w:rPr>
      </w:pPr>
      <w:r>
        <w:rPr>
          <w:rFonts w:hint="eastAsia" w:ascii="宋体" w:hAnsi="宋体" w:cs="宋体"/>
          <w:color w:val="000000"/>
          <w:kern w:val="0"/>
          <w:sz w:val="24"/>
          <w:szCs w:val="24"/>
        </w:rPr>
        <w:t>日</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期：</w:t>
      </w:r>
      <w:r>
        <w:rPr>
          <w:rFonts w:hint="eastAsia" w:ascii="宋体" w:hAnsi="宋体" w:cs="楷体"/>
          <w:color w:val="000000"/>
          <w:kern w:val="1"/>
          <w:sz w:val="24"/>
          <w:szCs w:val="24"/>
        </w:rPr>
        <w:t>____年____月_____日</w:t>
      </w:r>
    </w:p>
    <w:p w14:paraId="478301D9">
      <w:pPr>
        <w:pStyle w:val="48"/>
        <w:spacing w:line="500" w:lineRule="exact"/>
        <w:jc w:val="center"/>
        <w:rPr>
          <w:rFonts w:ascii="宋体" w:hAnsi="宋体" w:cs="宋体"/>
          <w:b/>
          <w:sz w:val="28"/>
          <w:szCs w:val="28"/>
          <w:highlight w:val="none"/>
        </w:rPr>
      </w:pPr>
      <w:r>
        <w:rPr>
          <w:rFonts w:hint="eastAsia" w:ascii="宋体" w:hAnsi="Courier New"/>
          <w:sz w:val="24"/>
          <w:szCs w:val="24"/>
          <w:highlight w:val="none"/>
        </w:rPr>
        <w:br w:type="page"/>
      </w:r>
      <w:bookmarkStart w:id="355" w:name="_Toc12360_WPSOffice_Level2"/>
      <w:bookmarkEnd w:id="355"/>
      <w:r>
        <w:rPr>
          <w:rFonts w:hint="eastAsia" w:ascii="宋体" w:hAnsi="宋体" w:cs="宋体"/>
          <w:b/>
          <w:sz w:val="28"/>
          <w:szCs w:val="28"/>
          <w:highlight w:val="none"/>
        </w:rPr>
        <w:t>（二）响应函附录</w:t>
      </w:r>
    </w:p>
    <w:tbl>
      <w:tblPr>
        <w:tblStyle w:val="26"/>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475"/>
        <w:gridCol w:w="6893"/>
      </w:tblGrid>
      <w:tr w14:paraId="5A550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jc w:val="center"/>
        </w:trPr>
        <w:tc>
          <w:tcPr>
            <w:tcW w:w="1321" w:type="pct"/>
            <w:noWrap w:val="0"/>
            <w:vAlign w:val="center"/>
          </w:tcPr>
          <w:p w14:paraId="16EB2A82">
            <w:pPr>
              <w:pStyle w:val="60"/>
              <w:spacing w:before="292" w:line="221"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3678" w:type="pct"/>
            <w:noWrap w:val="0"/>
            <w:vAlign w:val="top"/>
          </w:tcPr>
          <w:p w14:paraId="71243A1C">
            <w:pPr>
              <w:rPr>
                <w:rFonts w:hint="eastAsia" w:ascii="宋体" w:hAnsi="宋体" w:eastAsia="宋体" w:cs="宋体"/>
                <w:color w:val="auto"/>
                <w:spacing w:val="0"/>
                <w:sz w:val="24"/>
                <w:szCs w:val="24"/>
                <w:highlight w:val="none"/>
              </w:rPr>
            </w:pPr>
          </w:p>
        </w:tc>
      </w:tr>
      <w:tr w14:paraId="4CAB3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jc w:val="center"/>
        </w:trPr>
        <w:tc>
          <w:tcPr>
            <w:tcW w:w="1321" w:type="pct"/>
            <w:noWrap w:val="0"/>
            <w:vAlign w:val="center"/>
          </w:tcPr>
          <w:p w14:paraId="22249EAF">
            <w:pPr>
              <w:pStyle w:val="60"/>
              <w:spacing w:before="78" w:line="219" w:lineRule="auto"/>
              <w:jc w:val="center"/>
              <w:rPr>
                <w:rFonts w:hint="eastAsia" w:ascii="宋体" w:hAnsi="宋体" w:eastAsia="宋体" w:cs="宋体"/>
                <w:color w:val="auto"/>
                <w:spacing w:val="0"/>
                <w:sz w:val="24"/>
                <w:szCs w:val="24"/>
                <w:highlight w:val="none"/>
              </w:rPr>
            </w:pPr>
            <w:r>
              <w:rPr>
                <w:rFonts w:hint="eastAsia" w:cs="宋体"/>
                <w:color w:val="auto"/>
                <w:spacing w:val="0"/>
                <w:sz w:val="24"/>
                <w:szCs w:val="24"/>
                <w:highlight w:val="none"/>
                <w:lang w:val="en-US" w:eastAsia="zh-CN"/>
              </w:rPr>
              <w:t>供应商</w:t>
            </w:r>
            <w:r>
              <w:rPr>
                <w:rFonts w:hint="eastAsia" w:ascii="宋体" w:hAnsi="宋体" w:eastAsia="宋体" w:cs="宋体"/>
                <w:color w:val="auto"/>
                <w:spacing w:val="0"/>
                <w:sz w:val="24"/>
                <w:szCs w:val="24"/>
                <w:highlight w:val="none"/>
              </w:rPr>
              <w:t>名称</w:t>
            </w:r>
          </w:p>
        </w:tc>
        <w:tc>
          <w:tcPr>
            <w:tcW w:w="3678" w:type="pct"/>
            <w:noWrap w:val="0"/>
            <w:vAlign w:val="center"/>
          </w:tcPr>
          <w:p w14:paraId="1EE3218A">
            <w:pPr>
              <w:jc w:val="both"/>
              <w:rPr>
                <w:rFonts w:hint="eastAsia" w:ascii="宋体" w:hAnsi="宋体" w:eastAsia="宋体" w:cs="宋体"/>
                <w:color w:val="auto"/>
                <w:spacing w:val="0"/>
                <w:sz w:val="24"/>
                <w:szCs w:val="24"/>
                <w:highlight w:val="none"/>
              </w:rPr>
            </w:pPr>
          </w:p>
        </w:tc>
      </w:tr>
      <w:tr w14:paraId="6008E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1321" w:type="pct"/>
            <w:noWrap w:val="0"/>
            <w:vAlign w:val="center"/>
          </w:tcPr>
          <w:p w14:paraId="77D9E1D5">
            <w:pPr>
              <w:spacing w:line="271" w:lineRule="auto"/>
              <w:jc w:val="center"/>
              <w:rPr>
                <w:rFonts w:hint="eastAsia" w:ascii="宋体" w:hAnsi="宋体" w:eastAsia="宋体" w:cs="宋体"/>
                <w:color w:val="auto"/>
                <w:spacing w:val="0"/>
                <w:sz w:val="24"/>
                <w:szCs w:val="24"/>
                <w:highlight w:val="none"/>
                <w:lang w:eastAsia="zh-CN"/>
              </w:rPr>
            </w:pPr>
            <w:r>
              <w:rPr>
                <w:rFonts w:hint="eastAsia" w:ascii="宋体" w:hAnsi="宋体" w:cs="宋体"/>
                <w:color w:val="auto"/>
                <w:spacing w:val="0"/>
                <w:sz w:val="24"/>
                <w:szCs w:val="24"/>
                <w:highlight w:val="none"/>
                <w:lang w:val="en-US" w:eastAsia="zh-CN"/>
              </w:rPr>
              <w:t>响应</w:t>
            </w:r>
            <w:r>
              <w:rPr>
                <w:rFonts w:hint="eastAsia" w:ascii="宋体" w:hAnsi="宋体" w:eastAsia="宋体" w:cs="宋体"/>
                <w:color w:val="auto"/>
                <w:spacing w:val="0"/>
                <w:sz w:val="24"/>
                <w:szCs w:val="24"/>
                <w:highlight w:val="none"/>
              </w:rPr>
              <w:t>报价</w:t>
            </w:r>
          </w:p>
        </w:tc>
        <w:tc>
          <w:tcPr>
            <w:tcW w:w="3678" w:type="pct"/>
            <w:tcBorders>
              <w:right w:val="single" w:color="000000" w:sz="6" w:space="0"/>
            </w:tcBorders>
            <w:noWrap w:val="0"/>
            <w:vAlign w:val="center"/>
          </w:tcPr>
          <w:p w14:paraId="377CA8F6">
            <w:pPr>
              <w:pStyle w:val="60"/>
              <w:spacing w:before="79" w:line="221" w:lineRule="auto"/>
              <w:ind w:left="15"/>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大写：</w:t>
            </w:r>
          </w:p>
          <w:p w14:paraId="27770013">
            <w:pPr>
              <w:pStyle w:val="60"/>
              <w:spacing w:before="79" w:line="221" w:lineRule="auto"/>
              <w:ind w:left="15"/>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小写：</w:t>
            </w:r>
          </w:p>
        </w:tc>
      </w:tr>
      <w:tr w14:paraId="16B7A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jc w:val="center"/>
        </w:trPr>
        <w:tc>
          <w:tcPr>
            <w:tcW w:w="1321" w:type="pct"/>
            <w:noWrap w:val="0"/>
            <w:vAlign w:val="center"/>
          </w:tcPr>
          <w:p w14:paraId="05478876">
            <w:pPr>
              <w:spacing w:line="271" w:lineRule="auto"/>
              <w:jc w:val="center"/>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rPr>
              <w:t>质量</w:t>
            </w:r>
            <w:r>
              <w:rPr>
                <w:rFonts w:hint="eastAsia" w:ascii="宋体" w:hAnsi="宋体" w:cs="宋体"/>
                <w:color w:val="auto"/>
                <w:spacing w:val="0"/>
                <w:sz w:val="24"/>
                <w:szCs w:val="24"/>
                <w:highlight w:val="none"/>
                <w:lang w:val="en-US" w:eastAsia="zh-CN"/>
              </w:rPr>
              <w:t>标准</w:t>
            </w:r>
          </w:p>
        </w:tc>
        <w:tc>
          <w:tcPr>
            <w:tcW w:w="3678" w:type="pct"/>
            <w:noWrap w:val="0"/>
            <w:vAlign w:val="top"/>
          </w:tcPr>
          <w:p w14:paraId="577130C6">
            <w:pPr>
              <w:rPr>
                <w:rFonts w:hint="eastAsia" w:ascii="宋体" w:hAnsi="宋体" w:eastAsia="宋体" w:cs="宋体"/>
                <w:color w:val="auto"/>
                <w:spacing w:val="0"/>
                <w:sz w:val="24"/>
                <w:szCs w:val="24"/>
                <w:highlight w:val="none"/>
              </w:rPr>
            </w:pPr>
          </w:p>
        </w:tc>
      </w:tr>
      <w:tr w14:paraId="3B1E6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jc w:val="center"/>
        </w:trPr>
        <w:tc>
          <w:tcPr>
            <w:tcW w:w="1321" w:type="pct"/>
            <w:noWrap w:val="0"/>
            <w:vAlign w:val="center"/>
          </w:tcPr>
          <w:p w14:paraId="1E11AE23">
            <w:pPr>
              <w:spacing w:line="271" w:lineRule="auto"/>
              <w:jc w:val="center"/>
              <w:rPr>
                <w:rFonts w:hint="default" w:ascii="宋体" w:hAnsi="宋体" w:eastAsia="宋体" w:cs="宋体"/>
                <w:color w:val="auto"/>
                <w:spacing w:val="0"/>
                <w:sz w:val="24"/>
                <w:szCs w:val="24"/>
                <w:highlight w:val="none"/>
                <w:lang w:val="en-US" w:eastAsia="zh-CN"/>
              </w:rPr>
            </w:pPr>
            <w:r>
              <w:rPr>
                <w:rFonts w:hint="eastAsia" w:ascii="宋体" w:hAnsi="宋体" w:cs="宋体"/>
                <w:color w:val="auto"/>
                <w:spacing w:val="0"/>
                <w:sz w:val="24"/>
                <w:szCs w:val="24"/>
                <w:highlight w:val="none"/>
                <w:lang w:val="en-US" w:eastAsia="zh-CN"/>
              </w:rPr>
              <w:t>服务期</w:t>
            </w:r>
          </w:p>
        </w:tc>
        <w:tc>
          <w:tcPr>
            <w:tcW w:w="3678" w:type="pct"/>
            <w:noWrap w:val="0"/>
            <w:vAlign w:val="top"/>
          </w:tcPr>
          <w:p w14:paraId="62C0DA65">
            <w:pPr>
              <w:rPr>
                <w:rFonts w:hint="eastAsia" w:ascii="宋体" w:hAnsi="宋体" w:eastAsia="宋体" w:cs="宋体"/>
                <w:color w:val="auto"/>
                <w:spacing w:val="0"/>
                <w:sz w:val="24"/>
                <w:szCs w:val="24"/>
                <w:highlight w:val="none"/>
              </w:rPr>
            </w:pPr>
          </w:p>
        </w:tc>
      </w:tr>
      <w:tr w14:paraId="54D93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jc w:val="center"/>
        </w:trPr>
        <w:tc>
          <w:tcPr>
            <w:tcW w:w="1321" w:type="pct"/>
            <w:noWrap w:val="0"/>
            <w:vAlign w:val="center"/>
          </w:tcPr>
          <w:p w14:paraId="336BEBB4">
            <w:pPr>
              <w:spacing w:line="271" w:lineRule="auto"/>
              <w:jc w:val="center"/>
              <w:rPr>
                <w:rFonts w:hint="default" w:ascii="宋体" w:hAnsi="宋体" w:cs="宋体"/>
                <w:color w:val="auto"/>
                <w:spacing w:val="0"/>
                <w:sz w:val="24"/>
                <w:szCs w:val="24"/>
                <w:highlight w:val="none"/>
                <w:lang w:val="en-US" w:eastAsia="zh-CN"/>
              </w:rPr>
            </w:pPr>
            <w:r>
              <w:rPr>
                <w:rFonts w:hint="eastAsia" w:ascii="宋体" w:hAnsi="宋体" w:cs="宋体"/>
                <w:color w:val="auto"/>
                <w:spacing w:val="0"/>
                <w:sz w:val="24"/>
                <w:szCs w:val="24"/>
                <w:highlight w:val="none"/>
                <w:lang w:val="en-US" w:eastAsia="zh-CN"/>
              </w:rPr>
              <w:t>磋商有效期</w:t>
            </w:r>
          </w:p>
        </w:tc>
        <w:tc>
          <w:tcPr>
            <w:tcW w:w="3678" w:type="pct"/>
            <w:noWrap w:val="0"/>
            <w:vAlign w:val="top"/>
          </w:tcPr>
          <w:p w14:paraId="65144865">
            <w:pPr>
              <w:rPr>
                <w:rFonts w:hint="eastAsia" w:ascii="宋体" w:hAnsi="宋体" w:eastAsia="宋体" w:cs="宋体"/>
                <w:color w:val="auto"/>
                <w:spacing w:val="0"/>
                <w:sz w:val="24"/>
                <w:szCs w:val="24"/>
                <w:highlight w:val="none"/>
              </w:rPr>
            </w:pPr>
          </w:p>
        </w:tc>
      </w:tr>
      <w:tr w14:paraId="43F7F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jc w:val="center"/>
        </w:trPr>
        <w:tc>
          <w:tcPr>
            <w:tcW w:w="1321" w:type="pct"/>
            <w:noWrap w:val="0"/>
            <w:vAlign w:val="center"/>
          </w:tcPr>
          <w:p w14:paraId="2547E332">
            <w:pPr>
              <w:spacing w:line="271" w:lineRule="auto"/>
              <w:jc w:val="center"/>
              <w:rPr>
                <w:rFonts w:hint="default"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项目负责人</w:t>
            </w:r>
            <w:r>
              <w:rPr>
                <w:rFonts w:hint="eastAsia" w:ascii="宋体" w:hAnsi="宋体" w:cs="宋体"/>
                <w:color w:val="auto"/>
                <w:spacing w:val="0"/>
                <w:sz w:val="24"/>
                <w:szCs w:val="24"/>
                <w:highlight w:val="none"/>
                <w:lang w:val="en-US" w:eastAsia="zh-CN"/>
              </w:rPr>
              <w:t>及</w:t>
            </w:r>
            <w:r>
              <w:rPr>
                <w:rFonts w:hint="eastAsia" w:ascii="宋体" w:hAnsi="宋体" w:eastAsia="宋体" w:cs="宋体"/>
                <w:color w:val="auto"/>
                <w:spacing w:val="0"/>
                <w:sz w:val="24"/>
                <w:szCs w:val="24"/>
                <w:highlight w:val="none"/>
                <w:lang w:val="en-US" w:eastAsia="zh-CN"/>
              </w:rPr>
              <w:t>联系电话</w:t>
            </w:r>
          </w:p>
        </w:tc>
        <w:tc>
          <w:tcPr>
            <w:tcW w:w="3678" w:type="pct"/>
            <w:noWrap w:val="0"/>
            <w:vAlign w:val="top"/>
          </w:tcPr>
          <w:p w14:paraId="75CD5B90">
            <w:pPr>
              <w:rPr>
                <w:rFonts w:hint="eastAsia" w:ascii="宋体" w:hAnsi="宋体" w:eastAsia="宋体" w:cs="宋体"/>
                <w:color w:val="auto"/>
                <w:spacing w:val="0"/>
                <w:sz w:val="24"/>
                <w:szCs w:val="24"/>
                <w:highlight w:val="none"/>
              </w:rPr>
            </w:pPr>
          </w:p>
        </w:tc>
      </w:tr>
      <w:tr w14:paraId="63BB1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1" w:hRule="atLeast"/>
          <w:jc w:val="center"/>
        </w:trPr>
        <w:tc>
          <w:tcPr>
            <w:tcW w:w="1321" w:type="pct"/>
            <w:noWrap w:val="0"/>
            <w:vAlign w:val="center"/>
          </w:tcPr>
          <w:p w14:paraId="1CD706AD">
            <w:pPr>
              <w:spacing w:line="271"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c>
          <w:tcPr>
            <w:tcW w:w="3678" w:type="pct"/>
            <w:noWrap w:val="0"/>
            <w:vAlign w:val="top"/>
          </w:tcPr>
          <w:p w14:paraId="28905210">
            <w:pPr>
              <w:spacing w:line="271" w:lineRule="auto"/>
              <w:jc w:val="left"/>
              <w:rPr>
                <w:rFonts w:hint="eastAsia" w:ascii="宋体" w:hAnsi="宋体" w:eastAsia="宋体" w:cs="宋体"/>
                <w:color w:val="auto"/>
                <w:spacing w:val="0"/>
                <w:sz w:val="24"/>
                <w:szCs w:val="24"/>
                <w:highlight w:val="none"/>
              </w:rPr>
            </w:pPr>
          </w:p>
        </w:tc>
      </w:tr>
    </w:tbl>
    <w:p w14:paraId="05D4E1B9">
      <w:pPr>
        <w:autoSpaceDE w:val="0"/>
        <w:autoSpaceDN w:val="0"/>
        <w:adjustRightInd w:val="0"/>
        <w:spacing w:line="500" w:lineRule="exact"/>
        <w:rPr>
          <w:rFonts w:hint="eastAsia" w:ascii="宋体" w:hAnsi="宋体" w:cs="宋体"/>
          <w:b/>
          <w:bCs/>
          <w:sz w:val="24"/>
          <w:highlight w:val="yellow"/>
          <w:lang w:val="en-US" w:eastAsia="zh-CN"/>
        </w:rPr>
      </w:pPr>
    </w:p>
    <w:p w14:paraId="4B55D1C6">
      <w:pPr>
        <w:autoSpaceDE w:val="0"/>
        <w:autoSpaceDN w:val="0"/>
        <w:adjustRightInd w:val="0"/>
        <w:spacing w:line="500" w:lineRule="exact"/>
        <w:ind w:firstLine="4200" w:firstLineChars="1750"/>
        <w:rPr>
          <w:rFonts w:ascii="宋体" w:hAnsi="宋体" w:cs="宋体"/>
          <w:sz w:val="24"/>
          <w:highlight w:val="none"/>
          <w:u w:val="single"/>
        </w:rPr>
      </w:pPr>
      <w:r>
        <w:rPr>
          <w:rFonts w:hint="eastAsia" w:ascii="宋体" w:hAnsi="宋体" w:cs="宋体"/>
          <w:sz w:val="24"/>
          <w:highlight w:val="none"/>
        </w:rPr>
        <w:t>供应商名称：（</w:t>
      </w:r>
      <w:r>
        <w:rPr>
          <w:rFonts w:hint="eastAsia" w:ascii="宋体" w:hAnsi="宋体" w:cs="宋体"/>
          <w:sz w:val="24"/>
          <w:highlight w:val="none"/>
          <w:lang w:val="en-US" w:eastAsia="zh-CN"/>
        </w:rPr>
        <w:t>电子签章</w:t>
      </w:r>
      <w:r>
        <w:rPr>
          <w:rFonts w:hint="eastAsia" w:ascii="宋体" w:hAnsi="宋体" w:cs="宋体"/>
          <w:sz w:val="24"/>
          <w:highlight w:val="none"/>
        </w:rPr>
        <w:t>）</w:t>
      </w:r>
    </w:p>
    <w:p w14:paraId="116880A6">
      <w:pPr>
        <w:autoSpaceDE w:val="0"/>
        <w:autoSpaceDN w:val="0"/>
        <w:adjustRightInd w:val="0"/>
        <w:spacing w:line="500" w:lineRule="exact"/>
        <w:rPr>
          <w:rFonts w:ascii="宋体" w:hAnsi="宋体" w:cs="宋体"/>
          <w:sz w:val="24"/>
          <w:highlight w:val="none"/>
          <w:u w:val="single"/>
        </w:rPr>
      </w:pPr>
      <w:r>
        <w:rPr>
          <w:rFonts w:hint="eastAsia" w:ascii="宋体" w:hAnsi="宋体" w:cs="宋体"/>
          <w:sz w:val="24"/>
          <w:highlight w:val="none"/>
        </w:rPr>
        <w:t xml:space="preserve">                                   法定代表人：（</w:t>
      </w:r>
      <w:r>
        <w:rPr>
          <w:rFonts w:hint="eastAsia" w:ascii="宋体" w:hAnsi="宋体" w:cs="宋体"/>
          <w:sz w:val="24"/>
          <w:highlight w:val="none"/>
          <w:lang w:val="en-US" w:eastAsia="zh-CN"/>
        </w:rPr>
        <w:t>电子签章</w:t>
      </w:r>
      <w:r>
        <w:rPr>
          <w:rFonts w:hint="eastAsia" w:ascii="宋体" w:hAnsi="宋体" w:cs="宋体"/>
          <w:sz w:val="24"/>
          <w:highlight w:val="none"/>
        </w:rPr>
        <w:t>）</w:t>
      </w:r>
    </w:p>
    <w:p w14:paraId="2BC12A08">
      <w:pPr>
        <w:pStyle w:val="42"/>
        <w:spacing w:line="500" w:lineRule="exact"/>
        <w:ind w:firstLine="240" w:firstLineChars="100"/>
        <w:rPr>
          <w:highlight w:val="none"/>
        </w:rPr>
      </w:pPr>
      <w:r>
        <w:rPr>
          <w:rFonts w:hint="eastAsia" w:hAnsi="宋体"/>
          <w:color w:val="auto"/>
          <w:highlight w:val="none"/>
        </w:rPr>
        <w:t xml:space="preserve">                                 日      期：   年   月  日</w:t>
      </w:r>
    </w:p>
    <w:p w14:paraId="7A8070B2">
      <w:pPr>
        <w:rPr>
          <w:rFonts w:hint="eastAsia" w:ascii="宋体" w:hAnsi="宋体" w:cs="宋体"/>
          <w:b/>
          <w:sz w:val="30"/>
          <w:szCs w:val="30"/>
          <w:highlight w:val="none"/>
        </w:rPr>
      </w:pPr>
      <w:bookmarkStart w:id="356" w:name="_Toc2616"/>
      <w:r>
        <w:rPr>
          <w:rFonts w:hint="eastAsia" w:ascii="宋体" w:hAnsi="宋体" w:cs="宋体"/>
          <w:b/>
          <w:sz w:val="30"/>
          <w:szCs w:val="30"/>
          <w:highlight w:val="none"/>
        </w:rPr>
        <w:br w:type="page"/>
      </w:r>
    </w:p>
    <w:bookmarkEnd w:id="356"/>
    <w:p w14:paraId="78B4B9D9">
      <w:pPr>
        <w:spacing w:line="500" w:lineRule="exact"/>
        <w:ind w:left="420"/>
        <w:jc w:val="center"/>
        <w:outlineLvl w:val="0"/>
        <w:rPr>
          <w:rFonts w:ascii="宋体" w:hAnsi="宋体" w:cs="宋体"/>
          <w:b/>
          <w:sz w:val="30"/>
          <w:szCs w:val="30"/>
          <w:highlight w:val="none"/>
        </w:rPr>
      </w:pPr>
      <w:bookmarkStart w:id="357" w:name="_Toc11316_WPSOffice_Level1"/>
      <w:bookmarkStart w:id="358" w:name="_Toc30370_WPSOffice_Level1"/>
      <w:bookmarkStart w:id="359" w:name="_Toc25331_WPSOffice_Level1"/>
      <w:bookmarkStart w:id="360" w:name="_Toc18494_WPSOffice_Level1"/>
      <w:bookmarkStart w:id="361" w:name="_Toc218"/>
      <w:bookmarkStart w:id="362" w:name="_Toc1670"/>
      <w:bookmarkStart w:id="363" w:name="_Toc14849_WPSOffice_Level1"/>
      <w:bookmarkStart w:id="364" w:name="_Toc10964_WPSOffice_Level1"/>
      <w:bookmarkStart w:id="365" w:name="_Toc10817_WPSOffice_Level1"/>
      <w:bookmarkStart w:id="366" w:name="_Toc9086_WPSOffice_Level1"/>
      <w:r>
        <w:rPr>
          <w:rFonts w:hint="eastAsia" w:ascii="宋体" w:hAnsi="宋体" w:cs="宋体"/>
          <w:b/>
          <w:sz w:val="30"/>
          <w:szCs w:val="30"/>
          <w:highlight w:val="none"/>
          <w:lang w:val="en-US" w:eastAsia="zh-CN"/>
        </w:rPr>
        <w:t>二</w:t>
      </w:r>
      <w:r>
        <w:rPr>
          <w:rFonts w:hint="eastAsia" w:ascii="宋体" w:hAnsi="宋体" w:cs="宋体"/>
          <w:b/>
          <w:sz w:val="30"/>
          <w:szCs w:val="30"/>
          <w:highlight w:val="none"/>
        </w:rPr>
        <w:t>、法定代表人身份证明</w:t>
      </w:r>
      <w:bookmarkEnd w:id="357"/>
      <w:bookmarkEnd w:id="358"/>
      <w:bookmarkEnd w:id="359"/>
      <w:bookmarkEnd w:id="360"/>
      <w:bookmarkEnd w:id="361"/>
      <w:bookmarkEnd w:id="362"/>
      <w:bookmarkEnd w:id="363"/>
      <w:bookmarkEnd w:id="364"/>
      <w:bookmarkEnd w:id="365"/>
      <w:bookmarkEnd w:id="366"/>
    </w:p>
    <w:p w14:paraId="400CFFFB">
      <w:pPr>
        <w:spacing w:line="500" w:lineRule="exact"/>
        <w:jc w:val="center"/>
        <w:rPr>
          <w:rFonts w:ascii="宋体" w:hAnsi="宋体" w:cs="宋体"/>
          <w:sz w:val="24"/>
          <w:highlight w:val="none"/>
        </w:rPr>
      </w:pPr>
    </w:p>
    <w:p w14:paraId="2C8E0E3F">
      <w:pPr>
        <w:spacing w:line="500" w:lineRule="exact"/>
        <w:ind w:left="718" w:leftChars="342"/>
        <w:rPr>
          <w:rFonts w:ascii="宋体" w:hAnsi="宋体" w:cs="宋体"/>
          <w:sz w:val="24"/>
          <w:highlight w:val="none"/>
          <w:u w:val="single"/>
        </w:rPr>
      </w:pPr>
      <w:r>
        <w:rPr>
          <w:rFonts w:hint="eastAsia" w:ascii="宋体" w:hAnsi="宋体" w:cs="宋体"/>
          <w:sz w:val="24"/>
          <w:highlight w:val="none"/>
        </w:rPr>
        <w:t>供应商名称：</w:t>
      </w:r>
    </w:p>
    <w:p w14:paraId="7178A854">
      <w:pPr>
        <w:spacing w:line="500" w:lineRule="exact"/>
        <w:ind w:left="718" w:leftChars="342"/>
        <w:rPr>
          <w:rFonts w:ascii="宋体" w:hAnsi="宋体" w:cs="宋体"/>
          <w:sz w:val="24"/>
          <w:highlight w:val="none"/>
        </w:rPr>
      </w:pPr>
      <w:r>
        <w:rPr>
          <w:rFonts w:hint="eastAsia" w:ascii="宋体" w:hAnsi="宋体" w:cs="宋体"/>
          <w:sz w:val="24"/>
          <w:highlight w:val="none"/>
        </w:rPr>
        <w:t>单位性质：</w:t>
      </w:r>
    </w:p>
    <w:p w14:paraId="1BBC48A5">
      <w:pPr>
        <w:spacing w:line="500" w:lineRule="exact"/>
        <w:ind w:left="718" w:leftChars="342"/>
        <w:rPr>
          <w:rFonts w:ascii="宋体" w:hAnsi="宋体" w:cs="宋体"/>
          <w:sz w:val="24"/>
          <w:highlight w:val="none"/>
        </w:rPr>
      </w:pPr>
      <w:r>
        <w:rPr>
          <w:rFonts w:hint="eastAsia" w:ascii="宋体" w:hAnsi="宋体" w:cs="宋体"/>
          <w:sz w:val="24"/>
          <w:highlight w:val="none"/>
        </w:rPr>
        <w:t>地    址：</w:t>
      </w:r>
    </w:p>
    <w:p w14:paraId="3BD2821A">
      <w:pPr>
        <w:spacing w:line="500" w:lineRule="exact"/>
        <w:ind w:left="718" w:leftChars="342"/>
        <w:rPr>
          <w:rFonts w:ascii="宋体" w:hAnsi="宋体" w:cs="宋体"/>
          <w:sz w:val="24"/>
          <w:highlight w:val="none"/>
        </w:rPr>
      </w:pPr>
      <w:r>
        <w:rPr>
          <w:rFonts w:hint="eastAsia" w:ascii="宋体" w:hAnsi="宋体" w:cs="宋体"/>
          <w:sz w:val="24"/>
          <w:highlight w:val="none"/>
        </w:rPr>
        <w:t>成立时间：   年   月   日</w:t>
      </w:r>
    </w:p>
    <w:p w14:paraId="64FA6B74">
      <w:pPr>
        <w:spacing w:line="500" w:lineRule="exact"/>
        <w:ind w:left="718" w:leftChars="342"/>
        <w:rPr>
          <w:rFonts w:ascii="宋体" w:hAnsi="宋体" w:cs="宋体"/>
          <w:sz w:val="24"/>
          <w:highlight w:val="none"/>
        </w:rPr>
      </w:pPr>
      <w:r>
        <w:rPr>
          <w:rFonts w:hint="eastAsia" w:ascii="宋体" w:hAnsi="宋体" w:cs="宋体"/>
          <w:sz w:val="24"/>
          <w:highlight w:val="none"/>
        </w:rPr>
        <w:t>经营期限：</w:t>
      </w:r>
    </w:p>
    <w:p w14:paraId="4F9E3800">
      <w:pPr>
        <w:spacing w:line="500" w:lineRule="exact"/>
        <w:ind w:left="718" w:leftChars="342"/>
        <w:rPr>
          <w:rFonts w:ascii="宋体" w:hAnsi="宋体" w:cs="宋体"/>
          <w:sz w:val="24"/>
          <w:highlight w:val="none"/>
        </w:rPr>
      </w:pPr>
      <w:r>
        <w:rPr>
          <w:rFonts w:hint="eastAsia" w:ascii="宋体" w:hAnsi="宋体" w:cs="宋体"/>
          <w:sz w:val="24"/>
          <w:highlight w:val="none"/>
        </w:rPr>
        <w:t>姓名：</w:t>
      </w:r>
      <w:r>
        <w:rPr>
          <w:rFonts w:hint="eastAsia" w:ascii="宋体" w:hAnsi="宋体" w:cs="宋体"/>
          <w:sz w:val="24"/>
          <w:highlight w:val="none"/>
          <w:lang w:val="en-US" w:eastAsia="zh-CN"/>
        </w:rPr>
        <w:t xml:space="preserve">   </w:t>
      </w:r>
      <w:r>
        <w:rPr>
          <w:rFonts w:hint="eastAsia" w:ascii="宋体" w:hAnsi="宋体" w:cs="宋体"/>
          <w:sz w:val="24"/>
          <w:highlight w:val="none"/>
        </w:rPr>
        <w:t>性别：</w:t>
      </w:r>
      <w:r>
        <w:rPr>
          <w:rFonts w:hint="eastAsia" w:ascii="宋体" w:hAnsi="宋体" w:cs="宋体"/>
          <w:sz w:val="24"/>
          <w:highlight w:val="none"/>
          <w:lang w:val="en-US" w:eastAsia="zh-CN"/>
        </w:rPr>
        <w:t xml:space="preserve">   </w:t>
      </w:r>
      <w:r>
        <w:rPr>
          <w:rFonts w:hint="eastAsia" w:ascii="宋体" w:hAnsi="宋体" w:cs="宋体"/>
          <w:sz w:val="24"/>
          <w:highlight w:val="none"/>
        </w:rPr>
        <w:t>年龄：</w:t>
      </w:r>
      <w:r>
        <w:rPr>
          <w:rFonts w:hint="eastAsia" w:ascii="宋体" w:hAnsi="宋体" w:cs="宋体"/>
          <w:sz w:val="24"/>
          <w:highlight w:val="none"/>
          <w:lang w:val="en-US" w:eastAsia="zh-CN"/>
        </w:rPr>
        <w:t xml:space="preserve">   </w:t>
      </w:r>
      <w:r>
        <w:rPr>
          <w:rFonts w:hint="eastAsia" w:ascii="宋体" w:hAnsi="宋体" w:cs="宋体"/>
          <w:sz w:val="24"/>
          <w:highlight w:val="none"/>
        </w:rPr>
        <w:t>职务：</w:t>
      </w:r>
    </w:p>
    <w:p w14:paraId="5940C90B">
      <w:pPr>
        <w:spacing w:line="500" w:lineRule="exact"/>
        <w:ind w:left="718" w:leftChars="342"/>
        <w:rPr>
          <w:rFonts w:ascii="宋体" w:hAnsi="宋体" w:cs="宋体"/>
          <w:sz w:val="24"/>
          <w:highlight w:val="none"/>
        </w:rPr>
      </w:pPr>
      <w:r>
        <w:rPr>
          <w:rFonts w:hint="eastAsia" w:ascii="宋体" w:hAnsi="宋体" w:cs="宋体"/>
          <w:sz w:val="24"/>
          <w:highlight w:val="none"/>
        </w:rPr>
        <w:t>系</w:t>
      </w:r>
      <w:r>
        <w:rPr>
          <w:rFonts w:hint="eastAsia" w:ascii="宋体" w:hAnsi="宋体" w:cs="宋体"/>
          <w:sz w:val="24"/>
          <w:highlight w:val="none"/>
          <w:u w:val="single"/>
        </w:rPr>
        <w:t xml:space="preserve">             </w:t>
      </w:r>
      <w:r>
        <w:rPr>
          <w:rFonts w:hint="eastAsia" w:ascii="宋体" w:hAnsi="宋体" w:cs="宋体"/>
          <w:sz w:val="24"/>
          <w:highlight w:val="none"/>
        </w:rPr>
        <w:t>（供应商单位名称）的法定代表人。</w:t>
      </w:r>
    </w:p>
    <w:p w14:paraId="01FC541A">
      <w:pPr>
        <w:spacing w:line="500" w:lineRule="exact"/>
        <w:ind w:left="718" w:leftChars="342"/>
        <w:rPr>
          <w:rFonts w:ascii="宋体" w:hAnsi="宋体" w:cs="宋体"/>
          <w:sz w:val="24"/>
          <w:highlight w:val="none"/>
        </w:rPr>
      </w:pPr>
      <w:r>
        <w:rPr>
          <w:rFonts w:hint="eastAsia" w:ascii="宋体" w:hAnsi="宋体" w:cs="宋体"/>
          <w:sz w:val="24"/>
          <w:highlight w:val="none"/>
        </w:rPr>
        <w:t>特此证明。</w:t>
      </w:r>
    </w:p>
    <w:p w14:paraId="12CD4456">
      <w:pPr>
        <w:spacing w:line="500" w:lineRule="exact"/>
        <w:rPr>
          <w:rFonts w:ascii="宋体" w:hAnsi="宋体" w:cs="宋体"/>
          <w:sz w:val="24"/>
          <w:highlight w:val="none"/>
        </w:rPr>
      </w:pPr>
    </w:p>
    <w:p w14:paraId="485D2424">
      <w:pPr>
        <w:spacing w:line="500" w:lineRule="exact"/>
        <w:ind w:left="718" w:leftChars="342"/>
        <w:rPr>
          <w:rFonts w:ascii="宋体" w:hAnsi="宋体" w:cs="宋体"/>
          <w:sz w:val="24"/>
          <w:highlight w:val="none"/>
        </w:rPr>
      </w:pPr>
      <w:r>
        <w:rPr>
          <w:rFonts w:hint="eastAsia" w:ascii="宋体" w:hAnsi="宋体" w:cs="宋体"/>
          <w:sz w:val="24"/>
          <w:highlight w:val="none"/>
        </w:rPr>
        <w:t>附：法定代表人身份证扫描件</w:t>
      </w:r>
    </w:p>
    <w:p w14:paraId="2B6FCCEE">
      <w:pPr>
        <w:spacing w:line="500" w:lineRule="exact"/>
        <w:rPr>
          <w:rFonts w:ascii="宋体" w:hAnsi="宋体" w:cs="宋体"/>
          <w:sz w:val="24"/>
          <w:highlight w:val="none"/>
        </w:rPr>
      </w:pPr>
    </w:p>
    <w:p w14:paraId="7596EBDD">
      <w:pPr>
        <w:spacing w:line="500" w:lineRule="exact"/>
        <w:rPr>
          <w:rFonts w:ascii="宋体" w:hAnsi="宋体" w:cs="宋体"/>
          <w:sz w:val="24"/>
          <w:highlight w:val="none"/>
        </w:rPr>
      </w:pPr>
    </w:p>
    <w:p w14:paraId="141ABB54">
      <w:pPr>
        <w:spacing w:line="500" w:lineRule="exact"/>
        <w:ind w:left="4808" w:leftChars="1957" w:hanging="698" w:hangingChars="291"/>
        <w:rPr>
          <w:rFonts w:ascii="宋体" w:hAnsi="宋体" w:cs="宋体"/>
          <w:sz w:val="24"/>
          <w:highlight w:val="none"/>
        </w:rPr>
      </w:pPr>
    </w:p>
    <w:p w14:paraId="5FC80485">
      <w:pPr>
        <w:spacing w:line="500" w:lineRule="exact"/>
        <w:ind w:left="4808" w:leftChars="1957" w:hanging="698" w:hangingChars="291"/>
        <w:rPr>
          <w:rFonts w:ascii="宋体" w:hAnsi="宋体" w:cs="宋体"/>
          <w:sz w:val="24"/>
          <w:highlight w:val="none"/>
        </w:rPr>
      </w:pPr>
    </w:p>
    <w:p w14:paraId="550CFBAB">
      <w:pPr>
        <w:spacing w:line="500" w:lineRule="exact"/>
        <w:ind w:left="4808" w:leftChars="1957" w:hanging="698" w:hangingChars="291"/>
        <w:rPr>
          <w:rFonts w:ascii="宋体" w:hAnsi="宋体" w:cs="宋体"/>
          <w:sz w:val="24"/>
          <w:highlight w:val="none"/>
        </w:rPr>
      </w:pPr>
    </w:p>
    <w:p w14:paraId="3CDA03FE">
      <w:pPr>
        <w:spacing w:line="500" w:lineRule="exact"/>
        <w:ind w:left="4808" w:leftChars="1957" w:hanging="698" w:hangingChars="291"/>
        <w:rPr>
          <w:rFonts w:ascii="宋体" w:hAnsi="宋体" w:cs="宋体"/>
          <w:sz w:val="24"/>
          <w:highlight w:val="none"/>
        </w:rPr>
      </w:pPr>
    </w:p>
    <w:p w14:paraId="01DFB19C">
      <w:pPr>
        <w:spacing w:line="500" w:lineRule="exact"/>
        <w:ind w:left="4808" w:leftChars="1957" w:hanging="698" w:hangingChars="291"/>
        <w:rPr>
          <w:rFonts w:ascii="宋体" w:hAnsi="宋体" w:cs="宋体"/>
          <w:sz w:val="24"/>
          <w:highlight w:val="none"/>
        </w:rPr>
      </w:pPr>
      <w:r>
        <w:rPr>
          <w:rFonts w:hint="eastAsia" w:ascii="宋体" w:hAnsi="宋体" w:cs="宋体"/>
          <w:sz w:val="24"/>
          <w:highlight w:val="none"/>
        </w:rPr>
        <w:t>供应商名称：（</w:t>
      </w:r>
      <w:r>
        <w:rPr>
          <w:rFonts w:hint="eastAsia" w:ascii="宋体" w:hAnsi="宋体" w:cs="宋体"/>
          <w:sz w:val="24"/>
          <w:highlight w:val="none"/>
          <w:lang w:val="en-US" w:eastAsia="zh-CN"/>
        </w:rPr>
        <w:t>电子签章</w:t>
      </w:r>
      <w:r>
        <w:rPr>
          <w:rFonts w:hint="eastAsia" w:ascii="宋体" w:hAnsi="宋体" w:cs="宋体"/>
          <w:sz w:val="24"/>
          <w:highlight w:val="none"/>
        </w:rPr>
        <w:t>）</w:t>
      </w:r>
    </w:p>
    <w:p w14:paraId="49E1EB4F">
      <w:pPr>
        <w:spacing w:line="500" w:lineRule="exact"/>
        <w:ind w:left="4828" w:leftChars="2299" w:firstLine="501" w:firstLineChars="209"/>
        <w:rPr>
          <w:rFonts w:ascii="宋体" w:hAnsi="宋体" w:cs="宋体"/>
          <w:sz w:val="24"/>
          <w:highlight w:val="none"/>
          <w:u w:val="single"/>
        </w:rPr>
      </w:pPr>
    </w:p>
    <w:p w14:paraId="4080DBF5">
      <w:pPr>
        <w:spacing w:line="500" w:lineRule="exact"/>
        <w:ind w:left="4828" w:leftChars="2299" w:firstLine="501" w:firstLineChars="209"/>
        <w:rPr>
          <w:rFonts w:ascii="宋体" w:hAnsi="宋体" w:cs="宋体"/>
          <w:b/>
          <w:sz w:val="28"/>
          <w:szCs w:val="28"/>
          <w:highlight w:val="none"/>
        </w:rPr>
        <w:sectPr>
          <w:pgSz w:w="11915" w:h="16840"/>
          <w:pgMar w:top="1417" w:right="1134" w:bottom="1417" w:left="1417" w:header="720" w:footer="720" w:gutter="0"/>
          <w:cols w:space="720" w:num="1"/>
          <w:docGrid w:type="lines" w:linePitch="312" w:charSpace="0"/>
        </w:sectPr>
      </w:pPr>
      <w:r>
        <w:rPr>
          <w:rFonts w:hint="eastAsia" w:ascii="宋体" w:hAnsi="宋体" w:cs="宋体"/>
          <w:sz w:val="24"/>
          <w:highlight w:val="none"/>
        </w:rPr>
        <w:t>年月日</w:t>
      </w:r>
    </w:p>
    <w:p w14:paraId="73E8814F">
      <w:pPr>
        <w:spacing w:line="500" w:lineRule="exact"/>
        <w:jc w:val="center"/>
        <w:outlineLvl w:val="0"/>
        <w:rPr>
          <w:rFonts w:ascii="宋体" w:hAnsi="宋体" w:cs="宋体"/>
          <w:b/>
          <w:sz w:val="30"/>
          <w:szCs w:val="30"/>
          <w:highlight w:val="none"/>
        </w:rPr>
      </w:pPr>
      <w:bookmarkStart w:id="367" w:name="_Toc521998010"/>
      <w:bookmarkEnd w:id="367"/>
      <w:bookmarkStart w:id="368" w:name="_Toc465990928"/>
      <w:bookmarkEnd w:id="368"/>
      <w:bookmarkStart w:id="369" w:name="_Toc522798782"/>
      <w:bookmarkEnd w:id="369"/>
      <w:bookmarkStart w:id="370" w:name="_Toc9668_WPSOffice_Level1"/>
      <w:bookmarkEnd w:id="370"/>
      <w:bookmarkStart w:id="371" w:name="_Toc29831_WPSOffice_Level1"/>
      <w:bookmarkEnd w:id="371"/>
      <w:bookmarkStart w:id="372" w:name="_Toc9989_WPSOffice_Level1"/>
      <w:bookmarkEnd w:id="372"/>
      <w:bookmarkStart w:id="373" w:name="_Toc28375_WPSOffice_Level1"/>
      <w:bookmarkEnd w:id="373"/>
      <w:bookmarkStart w:id="374" w:name="_Toc522798783"/>
      <w:bookmarkEnd w:id="374"/>
      <w:bookmarkStart w:id="375" w:name="_Toc465990927"/>
      <w:bookmarkEnd w:id="375"/>
      <w:bookmarkStart w:id="376" w:name="_Toc11216_WPSOffice_Level1"/>
      <w:bookmarkEnd w:id="376"/>
      <w:bookmarkStart w:id="377" w:name="_Toc522798873"/>
      <w:bookmarkEnd w:id="377"/>
      <w:bookmarkStart w:id="378" w:name="_Toc497301912"/>
      <w:bookmarkEnd w:id="378"/>
      <w:bookmarkStart w:id="379" w:name="_Toc522798784"/>
      <w:bookmarkEnd w:id="379"/>
      <w:bookmarkStart w:id="380" w:name="_Toc497301915"/>
      <w:bookmarkEnd w:id="380"/>
      <w:bookmarkStart w:id="381" w:name="_Toc522798874"/>
      <w:bookmarkEnd w:id="381"/>
      <w:bookmarkStart w:id="382" w:name="_Toc497301911"/>
      <w:bookmarkEnd w:id="382"/>
      <w:bookmarkStart w:id="383" w:name="_Toc6592_WPSOffice_Level1"/>
      <w:bookmarkEnd w:id="383"/>
      <w:bookmarkStart w:id="384" w:name="_Toc522085806"/>
      <w:bookmarkEnd w:id="384"/>
      <w:bookmarkStart w:id="385" w:name="_Toc19289_WPSOffice_Level1"/>
      <w:bookmarkEnd w:id="385"/>
      <w:bookmarkStart w:id="386" w:name="_Toc14173_WPSOffice_Level1"/>
      <w:bookmarkEnd w:id="386"/>
      <w:bookmarkStart w:id="387" w:name="_Toc1100_WPSOffice_Level1"/>
      <w:bookmarkEnd w:id="387"/>
      <w:bookmarkStart w:id="388" w:name="_Toc522085808"/>
      <w:bookmarkEnd w:id="388"/>
      <w:bookmarkStart w:id="389" w:name="_Toc522085807"/>
      <w:bookmarkEnd w:id="389"/>
      <w:bookmarkStart w:id="390" w:name="_Toc521998012"/>
      <w:bookmarkStart w:id="391" w:name="_Toc3509_WPSOffice_Level1"/>
      <w:bookmarkStart w:id="392" w:name="_Toc16255_WPSOffice_Level1"/>
      <w:bookmarkStart w:id="393" w:name="_Toc32033"/>
      <w:bookmarkStart w:id="394" w:name="_Toc28468_WPSOffice_Level1"/>
      <w:bookmarkStart w:id="395" w:name="_Toc26307_WPSOffice_Level1"/>
      <w:bookmarkStart w:id="396" w:name="_Toc20284_WPSOffice_Level1"/>
      <w:bookmarkStart w:id="397" w:name="_Toc10677"/>
      <w:bookmarkStart w:id="398" w:name="_Toc12265_WPSOffice_Level1"/>
      <w:bookmarkStart w:id="399" w:name="_Toc17311_WPSOffice_Level1"/>
      <w:r>
        <w:rPr>
          <w:rFonts w:hint="eastAsia" w:ascii="宋体" w:hAnsi="宋体" w:cs="宋体"/>
          <w:b/>
          <w:sz w:val="30"/>
          <w:szCs w:val="30"/>
          <w:highlight w:val="none"/>
          <w:lang w:val="en-US" w:eastAsia="zh-CN"/>
        </w:rPr>
        <w:t>三</w:t>
      </w:r>
      <w:r>
        <w:rPr>
          <w:rFonts w:hint="eastAsia" w:ascii="宋体" w:hAnsi="宋体" w:cs="宋体"/>
          <w:b/>
          <w:sz w:val="30"/>
          <w:szCs w:val="30"/>
          <w:highlight w:val="none"/>
        </w:rPr>
        <w:t>、资格审查资料</w:t>
      </w:r>
      <w:bookmarkEnd w:id="390"/>
      <w:bookmarkEnd w:id="391"/>
      <w:bookmarkEnd w:id="392"/>
      <w:bookmarkEnd w:id="393"/>
      <w:bookmarkEnd w:id="394"/>
      <w:bookmarkEnd w:id="395"/>
      <w:bookmarkEnd w:id="396"/>
      <w:bookmarkEnd w:id="397"/>
      <w:bookmarkEnd w:id="398"/>
      <w:bookmarkEnd w:id="399"/>
    </w:p>
    <w:p w14:paraId="0DD1D74A">
      <w:pPr>
        <w:rPr>
          <w:rFonts w:hint="eastAsia" w:ascii="宋体" w:hAnsi="宋体" w:cs="宋体"/>
          <w:b/>
          <w:sz w:val="24"/>
          <w:highlight w:val="none"/>
        </w:rPr>
      </w:pPr>
      <w:bookmarkStart w:id="400" w:name="_Toc18334_WPSOffice_Level2"/>
      <w:bookmarkEnd w:id="400"/>
      <w:bookmarkStart w:id="401" w:name="_Toc6366_WPSOffice_Level2"/>
    </w:p>
    <w:p w14:paraId="2A770F94">
      <w:pPr>
        <w:numPr>
          <w:ilvl w:val="0"/>
          <w:numId w:val="10"/>
        </w:numPr>
        <w:wordWrap w:val="0"/>
        <w:spacing w:line="500" w:lineRule="exact"/>
        <w:ind w:firstLine="482" w:firstLineChars="201"/>
        <w:rPr>
          <w:rFonts w:hint="eastAsia" w:ascii="宋体" w:hAnsi="宋体"/>
          <w:sz w:val="24"/>
          <w:highlight w:val="none"/>
        </w:rPr>
      </w:pPr>
      <w:r>
        <w:rPr>
          <w:rFonts w:hint="eastAsia" w:ascii="宋体" w:hAnsi="宋体"/>
          <w:sz w:val="24"/>
          <w:highlight w:val="none"/>
        </w:rPr>
        <w:t>满足《中华人民共和国政府采购法》第二十二条规定；</w:t>
      </w:r>
    </w:p>
    <w:p w14:paraId="2FA937FC">
      <w:pPr>
        <w:spacing w:before="312" w:beforeLines="100" w:after="312" w:afterLines="100"/>
        <w:jc w:val="center"/>
        <w:rPr>
          <w:rFonts w:ascii="宋体" w:hAnsi="宋体"/>
          <w:sz w:val="28"/>
          <w:szCs w:val="28"/>
          <w:highlight w:val="none"/>
        </w:rPr>
      </w:pPr>
      <w:r>
        <w:rPr>
          <w:rFonts w:hint="eastAsia" w:ascii="宋体" w:hAnsi="宋体"/>
          <w:sz w:val="28"/>
          <w:szCs w:val="28"/>
          <w:highlight w:val="none"/>
        </w:rPr>
        <w:t>承诺书</w:t>
      </w:r>
    </w:p>
    <w:p w14:paraId="50660AFD">
      <w:pPr>
        <w:spacing w:after="312" w:afterLines="100" w:line="440" w:lineRule="exact"/>
        <w:rPr>
          <w:rFonts w:ascii="宋体" w:hAnsi="宋体"/>
          <w:sz w:val="24"/>
          <w:highlight w:val="none"/>
        </w:rPr>
      </w:pPr>
      <w:r>
        <w:rPr>
          <w:rFonts w:hint="eastAsia" w:ascii="宋体" w:hAnsi="宋体"/>
          <w:sz w:val="24"/>
          <w:highlight w:val="none"/>
        </w:rPr>
        <w:t>（采购人名称）：</w:t>
      </w:r>
    </w:p>
    <w:p w14:paraId="1B1B8FFD">
      <w:pPr>
        <w:spacing w:line="480" w:lineRule="auto"/>
        <w:ind w:firstLine="480" w:firstLineChars="200"/>
        <w:rPr>
          <w:rFonts w:ascii="宋体" w:hAnsi="宋体"/>
          <w:sz w:val="24"/>
          <w:highlight w:val="none"/>
        </w:rPr>
      </w:pPr>
      <w:r>
        <w:rPr>
          <w:rFonts w:hint="eastAsia" w:ascii="宋体" w:hAnsi="宋体"/>
          <w:sz w:val="24"/>
          <w:highlight w:val="none"/>
        </w:rPr>
        <w:t>我方在此声明，我方满足《中华人民共和国政府采购法》第二十二条的规定：</w:t>
      </w:r>
    </w:p>
    <w:p w14:paraId="028E1605">
      <w:pPr>
        <w:spacing w:line="480" w:lineRule="auto"/>
        <w:ind w:firstLine="480" w:firstLineChars="200"/>
        <w:rPr>
          <w:rFonts w:ascii="宋体" w:hAnsi="宋体"/>
          <w:sz w:val="24"/>
          <w:highlight w:val="none"/>
        </w:rPr>
      </w:pPr>
      <w:r>
        <w:rPr>
          <w:rFonts w:hint="eastAsia" w:ascii="宋体" w:hAnsi="宋体"/>
          <w:sz w:val="24"/>
          <w:highlight w:val="none"/>
        </w:rPr>
        <w:t>1.具有独立承担民事责任的能力；</w:t>
      </w:r>
    </w:p>
    <w:p w14:paraId="2D23BA17">
      <w:pPr>
        <w:spacing w:line="480" w:lineRule="auto"/>
        <w:ind w:firstLine="480" w:firstLineChars="200"/>
        <w:rPr>
          <w:rFonts w:ascii="宋体" w:hAnsi="宋体"/>
          <w:sz w:val="24"/>
          <w:highlight w:val="none"/>
        </w:rPr>
      </w:pPr>
      <w:r>
        <w:rPr>
          <w:rFonts w:hint="eastAsia" w:ascii="宋体" w:hAnsi="宋体"/>
          <w:sz w:val="24"/>
          <w:highlight w:val="none"/>
        </w:rPr>
        <w:t>2.具有良好的商业信誉和健全的财务会计制度；</w:t>
      </w:r>
    </w:p>
    <w:p w14:paraId="1C33AB16">
      <w:pPr>
        <w:spacing w:line="480" w:lineRule="auto"/>
        <w:ind w:firstLine="480" w:firstLineChars="200"/>
        <w:rPr>
          <w:rFonts w:ascii="宋体" w:hAnsi="宋体"/>
          <w:sz w:val="24"/>
          <w:highlight w:val="none"/>
        </w:rPr>
      </w:pPr>
      <w:r>
        <w:rPr>
          <w:rFonts w:hint="eastAsia" w:ascii="宋体" w:hAnsi="宋体"/>
          <w:sz w:val="24"/>
          <w:highlight w:val="none"/>
        </w:rPr>
        <w:t>3.具有履行合同所必需的设备和专业能力；</w:t>
      </w:r>
    </w:p>
    <w:p w14:paraId="3B5E5807">
      <w:pPr>
        <w:spacing w:line="480" w:lineRule="auto"/>
        <w:ind w:firstLine="480" w:firstLineChars="200"/>
        <w:rPr>
          <w:rFonts w:ascii="宋体" w:hAnsi="宋体"/>
          <w:sz w:val="24"/>
          <w:highlight w:val="none"/>
        </w:rPr>
      </w:pPr>
      <w:r>
        <w:rPr>
          <w:rFonts w:hint="eastAsia" w:ascii="宋体" w:hAnsi="宋体"/>
          <w:sz w:val="24"/>
          <w:highlight w:val="none"/>
        </w:rPr>
        <w:t>4.有依法缴纳税收和社会保障资金的良好记录；</w:t>
      </w:r>
    </w:p>
    <w:p w14:paraId="5291B9E5">
      <w:pPr>
        <w:spacing w:line="480" w:lineRule="auto"/>
        <w:ind w:firstLine="480" w:firstLineChars="200"/>
        <w:rPr>
          <w:rFonts w:ascii="宋体" w:hAnsi="宋体"/>
          <w:sz w:val="24"/>
          <w:highlight w:val="none"/>
        </w:rPr>
      </w:pPr>
      <w:r>
        <w:rPr>
          <w:rFonts w:hint="eastAsia" w:ascii="宋体" w:hAnsi="宋体"/>
          <w:sz w:val="24"/>
          <w:highlight w:val="none"/>
        </w:rPr>
        <w:t>5.参加政府采购活动前三年内，在经营活动中没有重大违法记录；</w:t>
      </w:r>
    </w:p>
    <w:p w14:paraId="7EF33445">
      <w:pPr>
        <w:spacing w:line="480" w:lineRule="auto"/>
        <w:ind w:firstLine="480" w:firstLineChars="200"/>
        <w:rPr>
          <w:rFonts w:ascii="宋体" w:hAnsi="宋体"/>
          <w:sz w:val="24"/>
          <w:highlight w:val="none"/>
        </w:rPr>
      </w:pPr>
      <w:r>
        <w:rPr>
          <w:rFonts w:hint="eastAsia" w:ascii="宋体" w:hAnsi="宋体"/>
          <w:sz w:val="24"/>
          <w:highlight w:val="none"/>
        </w:rPr>
        <w:t>6.法律、行政法规规定的其他条件。</w:t>
      </w:r>
    </w:p>
    <w:p w14:paraId="13433927">
      <w:pPr>
        <w:spacing w:line="480" w:lineRule="auto"/>
        <w:ind w:firstLine="480" w:firstLineChars="200"/>
        <w:rPr>
          <w:rFonts w:ascii="宋体" w:hAnsi="宋体"/>
          <w:sz w:val="24"/>
          <w:highlight w:val="none"/>
        </w:rPr>
      </w:pPr>
      <w:r>
        <w:rPr>
          <w:rFonts w:hint="eastAsia" w:ascii="宋体" w:hAnsi="宋体"/>
          <w:sz w:val="24"/>
          <w:highlight w:val="none"/>
        </w:rPr>
        <w:t>我方保证上述信息的真实和准确，并愿意承担因我方就此弄虚作假所引起的一切法律后果。</w:t>
      </w:r>
    </w:p>
    <w:p w14:paraId="11B36AE4">
      <w:pPr>
        <w:spacing w:line="480" w:lineRule="auto"/>
        <w:ind w:firstLine="480" w:firstLineChars="200"/>
        <w:rPr>
          <w:rFonts w:ascii="宋体" w:hAnsi="宋体"/>
          <w:sz w:val="24"/>
          <w:highlight w:val="none"/>
        </w:rPr>
      </w:pPr>
    </w:p>
    <w:p w14:paraId="6B617956">
      <w:pPr>
        <w:spacing w:line="440" w:lineRule="exact"/>
        <w:ind w:firstLine="480" w:firstLineChars="200"/>
        <w:rPr>
          <w:rFonts w:ascii="宋体" w:hAnsi="宋体"/>
          <w:sz w:val="24"/>
          <w:highlight w:val="none"/>
        </w:rPr>
      </w:pPr>
    </w:p>
    <w:p w14:paraId="30610F17">
      <w:pPr>
        <w:spacing w:line="440" w:lineRule="exact"/>
        <w:ind w:firstLine="480" w:firstLineChars="200"/>
        <w:rPr>
          <w:rFonts w:ascii="宋体" w:hAnsi="宋体"/>
          <w:sz w:val="24"/>
          <w:highlight w:val="none"/>
        </w:rPr>
      </w:pPr>
      <w:r>
        <w:rPr>
          <w:rFonts w:hint="eastAsia" w:ascii="宋体" w:hAnsi="宋体"/>
          <w:sz w:val="24"/>
          <w:highlight w:val="none"/>
        </w:rPr>
        <w:t>特此承诺</w:t>
      </w:r>
    </w:p>
    <w:p w14:paraId="7947BBF0">
      <w:pPr>
        <w:spacing w:line="440" w:lineRule="exact"/>
        <w:ind w:firstLine="480" w:firstLineChars="200"/>
        <w:rPr>
          <w:rFonts w:ascii="宋体" w:hAnsi="宋体"/>
          <w:sz w:val="24"/>
          <w:highlight w:val="none"/>
        </w:rPr>
      </w:pPr>
    </w:p>
    <w:p w14:paraId="53D44C54">
      <w:pPr>
        <w:spacing w:line="440" w:lineRule="exact"/>
        <w:rPr>
          <w:rFonts w:ascii="宋体" w:hAnsi="宋体"/>
          <w:sz w:val="24"/>
          <w:highlight w:val="none"/>
        </w:rPr>
      </w:pPr>
    </w:p>
    <w:p w14:paraId="427DA941">
      <w:pPr>
        <w:spacing w:line="440" w:lineRule="exact"/>
        <w:ind w:firstLine="480" w:firstLineChars="200"/>
        <w:rPr>
          <w:rFonts w:ascii="宋体" w:hAnsi="宋体"/>
          <w:sz w:val="24"/>
          <w:highlight w:val="none"/>
        </w:rPr>
      </w:pPr>
    </w:p>
    <w:p w14:paraId="3CEB8F8C">
      <w:pPr>
        <w:spacing w:line="480" w:lineRule="auto"/>
        <w:ind w:right="480"/>
        <w:jc w:val="center"/>
        <w:rPr>
          <w:rFonts w:ascii="宋体" w:hAnsi="宋体"/>
          <w:sz w:val="24"/>
          <w:highlight w:val="none"/>
        </w:rPr>
      </w:pPr>
      <w:r>
        <w:rPr>
          <w:rFonts w:hint="eastAsia" w:ascii="宋体" w:hAnsi="宋体"/>
          <w:sz w:val="24"/>
          <w:highlight w:val="none"/>
        </w:rPr>
        <w:t xml:space="preserve">                                          单位公章：（</w:t>
      </w:r>
      <w:r>
        <w:rPr>
          <w:rFonts w:hint="eastAsia" w:ascii="宋体" w:hAnsi="宋体" w:cs="宋体"/>
          <w:sz w:val="24"/>
          <w:highlight w:val="none"/>
          <w:lang w:val="en-US" w:eastAsia="zh-CN"/>
        </w:rPr>
        <w:t>电子签章</w:t>
      </w:r>
      <w:r>
        <w:rPr>
          <w:rFonts w:hint="eastAsia" w:ascii="宋体" w:hAnsi="宋体"/>
          <w:sz w:val="24"/>
          <w:highlight w:val="none"/>
        </w:rPr>
        <w:t>）</w:t>
      </w:r>
    </w:p>
    <w:p w14:paraId="178351A8">
      <w:pPr>
        <w:spacing w:line="480" w:lineRule="auto"/>
        <w:ind w:right="480" w:firstLine="5400" w:firstLineChars="2250"/>
        <w:rPr>
          <w:rFonts w:ascii="宋体" w:hAnsi="宋体"/>
          <w:sz w:val="24"/>
          <w:highlight w:val="none"/>
        </w:rPr>
      </w:pPr>
      <w:r>
        <w:rPr>
          <w:rFonts w:hint="eastAsia" w:ascii="宋体" w:hAnsi="宋体"/>
          <w:sz w:val="24"/>
          <w:highlight w:val="none"/>
        </w:rPr>
        <w:t>法定代表人：（</w:t>
      </w:r>
      <w:r>
        <w:rPr>
          <w:rFonts w:hint="eastAsia" w:ascii="宋体" w:hAnsi="宋体" w:cs="宋体"/>
          <w:sz w:val="24"/>
          <w:highlight w:val="none"/>
          <w:lang w:val="en-US" w:eastAsia="zh-CN"/>
        </w:rPr>
        <w:t>电子签章</w:t>
      </w:r>
      <w:r>
        <w:rPr>
          <w:rFonts w:hint="eastAsia" w:ascii="宋体" w:hAnsi="宋体"/>
          <w:sz w:val="24"/>
          <w:highlight w:val="none"/>
        </w:rPr>
        <w:t>）</w:t>
      </w:r>
    </w:p>
    <w:p w14:paraId="77DF1559">
      <w:pPr>
        <w:spacing w:line="480" w:lineRule="auto"/>
        <w:ind w:right="600" w:firstLine="5400" w:firstLineChars="2250"/>
        <w:rPr>
          <w:highlight w:val="none"/>
        </w:rPr>
      </w:pPr>
      <w:r>
        <w:rPr>
          <w:rFonts w:hint="eastAsia" w:ascii="宋体" w:hAnsi="宋体"/>
          <w:sz w:val="24"/>
          <w:highlight w:val="none"/>
        </w:rPr>
        <w:t>日期： 年  月  日</w:t>
      </w:r>
    </w:p>
    <w:p w14:paraId="0539F072">
      <w:pPr>
        <w:wordWrap w:val="0"/>
        <w:spacing w:line="500" w:lineRule="exact"/>
        <w:ind w:firstLine="482" w:firstLineChars="201"/>
        <w:rPr>
          <w:rFonts w:hint="eastAsia" w:ascii="宋体" w:hAnsi="宋体"/>
          <w:sz w:val="24"/>
          <w:highlight w:val="none"/>
        </w:rPr>
      </w:pPr>
      <w:r>
        <w:rPr>
          <w:rFonts w:hint="eastAsia" w:ascii="宋体" w:hAnsi="宋体"/>
          <w:sz w:val="24"/>
          <w:highlight w:val="none"/>
        </w:rPr>
        <w:t>2、落实政府采购政策需满足的资格要求：</w:t>
      </w:r>
    </w:p>
    <w:p w14:paraId="1A553779">
      <w:pPr>
        <w:wordWrap w:val="0"/>
        <w:spacing w:line="500" w:lineRule="exact"/>
        <w:ind w:firstLine="482" w:firstLineChars="201"/>
        <w:rPr>
          <w:rFonts w:hint="eastAsia" w:ascii="宋体" w:hAnsi="宋体"/>
          <w:sz w:val="24"/>
          <w:highlight w:val="none"/>
        </w:rPr>
      </w:pPr>
      <w:r>
        <w:rPr>
          <w:rFonts w:hint="eastAsia" w:ascii="宋体" w:hAnsi="宋体"/>
          <w:sz w:val="24"/>
          <w:highlight w:val="none"/>
        </w:rPr>
        <w:t>本项目为专门面向中小微企业采购项目,执行促进中小企业（监狱企业、残疾人福利性企业</w:t>
      </w:r>
      <w:r>
        <w:rPr>
          <w:rFonts w:hint="eastAsia" w:ascii="宋体" w:hAnsi="宋体"/>
          <w:sz w:val="24"/>
          <w:highlight w:val="none"/>
          <w:lang w:val="en-US" w:eastAsia="zh-CN"/>
        </w:rPr>
        <w:t>视为小微企业</w:t>
      </w:r>
      <w:r>
        <w:rPr>
          <w:rFonts w:hint="eastAsia" w:ascii="宋体" w:hAnsi="宋体"/>
          <w:sz w:val="24"/>
          <w:highlight w:val="none"/>
        </w:rPr>
        <w:t>）发展等政府采购政策。</w:t>
      </w:r>
    </w:p>
    <w:p w14:paraId="65E7521C">
      <w:pPr>
        <w:pStyle w:val="2"/>
        <w:spacing w:line="500" w:lineRule="exact"/>
        <w:rPr>
          <w:rFonts w:cs="宋体"/>
          <w:iCs/>
          <w:szCs w:val="28"/>
          <w:highlight w:val="none"/>
        </w:rPr>
      </w:pPr>
      <w:bookmarkStart w:id="402" w:name="_Toc7416"/>
      <w:r>
        <w:rPr>
          <w:rFonts w:hint="eastAsia" w:cs="宋体"/>
          <w:iCs/>
          <w:szCs w:val="28"/>
          <w:highlight w:val="none"/>
        </w:rPr>
        <w:t>中小企业声明函</w:t>
      </w:r>
      <w:bookmarkEnd w:id="402"/>
    </w:p>
    <w:p w14:paraId="0B0B924B">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本公司（联合体） 郑重声明， 根据《政府采购促进中小企业发展管理办法》（财库﹝ 2020﹞ 46 号） 的规定， 本公司（联合体） 参加</w:t>
      </w:r>
      <w:r>
        <w:rPr>
          <w:rFonts w:hint="eastAsia" w:ascii="宋体" w:hAnsi="宋体" w:eastAsia="宋体" w:cs="宋体"/>
          <w:color w:val="000000"/>
          <w:sz w:val="24"/>
          <w:szCs w:val="24"/>
          <w:highlight w:val="none"/>
          <w:u w:val="single"/>
        </w:rPr>
        <w:t>（单位名称）</w:t>
      </w:r>
      <w:r>
        <w:rPr>
          <w:rFonts w:hint="eastAsia" w:ascii="宋体" w:hAnsi="宋体" w:eastAsia="宋体" w:cs="宋体"/>
          <w:color w:val="000000"/>
          <w:sz w:val="24"/>
          <w:szCs w:val="24"/>
          <w:highlight w:val="none"/>
        </w:rPr>
        <w:t xml:space="preserve"> 的</w:t>
      </w:r>
      <w:r>
        <w:rPr>
          <w:rFonts w:hint="eastAsia" w:ascii="宋体" w:hAnsi="宋体" w:eastAsia="宋体" w:cs="宋体"/>
          <w:color w:val="000000"/>
          <w:sz w:val="24"/>
          <w:szCs w:val="24"/>
          <w:highlight w:val="none"/>
          <w:u w:val="single"/>
        </w:rPr>
        <w:t>（项目名称）</w:t>
      </w:r>
      <w:r>
        <w:rPr>
          <w:rFonts w:hint="eastAsia" w:ascii="宋体" w:hAnsi="宋体" w:eastAsia="宋体" w:cs="宋体"/>
          <w:color w:val="000000"/>
          <w:sz w:val="24"/>
          <w:szCs w:val="24"/>
          <w:highlight w:val="none"/>
        </w:rPr>
        <w:t xml:space="preserve"> 采购活动， 工程的施工单位全部为符合政策要求的中小企业（或者：服务全部由符合政策要求的中小企业承接）。相关企业（含联合体中的中小企业、 签订分包意向协议的中小企业）的具体情况如下：</w:t>
      </w:r>
    </w:p>
    <w:p w14:paraId="7031E940">
      <w:pPr>
        <w:spacing w:line="360" w:lineRule="auto"/>
        <w:ind w:firstLine="480" w:firstLineChars="200"/>
        <w:rPr>
          <w:rFonts w:hint="eastAsia" w:ascii="宋体" w:hAnsi="宋体" w:eastAsia="宋体" w:cs="宋体"/>
          <w:color w:val="000000"/>
          <w:sz w:val="24"/>
          <w:szCs w:val="24"/>
          <w:highlight w:val="none"/>
          <w:u w:val="single"/>
        </w:rPr>
      </w:pPr>
      <w:r>
        <w:rPr>
          <w:rFonts w:hint="eastAsia" w:ascii="宋体" w:hAnsi="宋体" w:cs="宋体"/>
          <w:color w:val="000000"/>
          <w:sz w:val="24"/>
          <w:szCs w:val="24"/>
          <w:highlight w:val="none"/>
          <w:u w:val="none"/>
          <w:lang w:val="en-US" w:eastAsia="zh-CN"/>
        </w:rPr>
        <w:t>1.</w:t>
      </w:r>
      <w:r>
        <w:rPr>
          <w:rFonts w:hint="eastAsia" w:ascii="宋体" w:hAnsi="宋体" w:eastAsia="宋体" w:cs="宋体"/>
          <w:color w:val="000000"/>
          <w:sz w:val="24"/>
          <w:szCs w:val="24"/>
          <w:highlight w:val="none"/>
          <w:u w:val="single"/>
        </w:rPr>
        <w:t>（标的名称）</w:t>
      </w:r>
      <w:r>
        <w:rPr>
          <w:rFonts w:hint="eastAsia" w:ascii="宋体" w:hAnsi="宋体" w:eastAsia="宋体" w:cs="宋体"/>
          <w:color w:val="000000"/>
          <w:sz w:val="24"/>
          <w:szCs w:val="24"/>
          <w:highlight w:val="none"/>
        </w:rPr>
        <w:t xml:space="preserve"> ， 属于</w:t>
      </w:r>
      <w:r>
        <w:rPr>
          <w:rFonts w:hint="eastAsia" w:ascii="宋体" w:hAnsi="宋体" w:eastAsia="宋体" w:cs="宋体"/>
          <w:color w:val="000000"/>
          <w:sz w:val="24"/>
          <w:szCs w:val="24"/>
          <w:highlight w:val="none"/>
          <w:u w:val="single"/>
        </w:rPr>
        <w:t>（采购文件中明确的所属行业）</w:t>
      </w:r>
      <w:r>
        <w:rPr>
          <w:rFonts w:hint="eastAsia" w:ascii="宋体" w:hAnsi="宋体" w:eastAsia="宋体" w:cs="宋体"/>
          <w:color w:val="000000"/>
          <w:sz w:val="24"/>
          <w:szCs w:val="24"/>
          <w:highlight w:val="none"/>
        </w:rPr>
        <w:t>； 承建（承接）企业为为</w:t>
      </w:r>
      <w:r>
        <w:rPr>
          <w:rFonts w:hint="eastAsia" w:ascii="宋体" w:hAnsi="宋体" w:eastAsia="宋体" w:cs="宋体"/>
          <w:color w:val="000000"/>
          <w:sz w:val="24"/>
          <w:szCs w:val="24"/>
          <w:highlight w:val="none"/>
          <w:u w:val="single"/>
        </w:rPr>
        <w:t>（ 企业名称）</w:t>
      </w:r>
      <w:r>
        <w:rPr>
          <w:rFonts w:hint="eastAsia" w:ascii="宋体" w:hAnsi="宋体" w:eastAsia="宋体" w:cs="宋体"/>
          <w:color w:val="000000"/>
          <w:sz w:val="24"/>
          <w:szCs w:val="24"/>
          <w:highlight w:val="none"/>
        </w:rPr>
        <w:t>， 从业人员</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人， 营业收入为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万元1， 资产总额为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万元， 属于</w:t>
      </w:r>
      <w:r>
        <w:rPr>
          <w:rFonts w:hint="eastAsia" w:ascii="宋体" w:hAnsi="宋体" w:eastAsia="宋体" w:cs="宋体"/>
          <w:color w:val="000000"/>
          <w:sz w:val="24"/>
          <w:szCs w:val="24"/>
          <w:highlight w:val="none"/>
          <w:u w:val="single"/>
        </w:rPr>
        <w:t>（中型企业、 小型企业、 微型企业）</w:t>
      </w:r>
      <w:r>
        <w:rPr>
          <w:rFonts w:hint="eastAsia" w:ascii="宋体" w:hAnsi="宋体" w:eastAsia="宋体" w:cs="宋体"/>
          <w:color w:val="000000"/>
          <w:sz w:val="24"/>
          <w:szCs w:val="24"/>
          <w:highlight w:val="none"/>
        </w:rPr>
        <w:t>。</w:t>
      </w:r>
    </w:p>
    <w:p w14:paraId="50950718">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以上企业， 不属于大企业的分支机构， 不存在控股股东为大企业的情形， 也不存在与大企业的负责人为同一人的情形。</w:t>
      </w:r>
    </w:p>
    <w:p w14:paraId="543AB008">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本企业对上述声明内容的真实性负责。 如有虚假， 将依法承担相应责任。</w:t>
      </w:r>
    </w:p>
    <w:p w14:paraId="043268A8">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企业名称（</w:t>
      </w:r>
      <w:r>
        <w:rPr>
          <w:rFonts w:hint="eastAsia" w:ascii="宋体" w:hAnsi="宋体" w:cs="宋体"/>
          <w:sz w:val="24"/>
          <w:highlight w:val="none"/>
          <w:lang w:val="en-US" w:eastAsia="zh-CN"/>
        </w:rPr>
        <w:t>电子签章</w:t>
      </w:r>
      <w:r>
        <w:rPr>
          <w:rFonts w:hint="eastAsia" w:ascii="宋体" w:hAnsi="宋体" w:eastAsia="宋体" w:cs="宋体"/>
          <w:color w:val="000000"/>
          <w:sz w:val="24"/>
          <w:szCs w:val="24"/>
          <w:highlight w:val="none"/>
        </w:rPr>
        <w:t>）：</w:t>
      </w:r>
    </w:p>
    <w:p w14:paraId="55CD2F57">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日 期：</w:t>
      </w:r>
    </w:p>
    <w:p w14:paraId="484B6100">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注：1.从业人员、 营业收入、 资产总额填报上一年度数据， 无上一年度数据的新成立企业可不填报。</w:t>
      </w:r>
    </w:p>
    <w:p w14:paraId="12992E23">
      <w:pPr>
        <w:spacing w:after="120" w:line="360" w:lineRule="auto"/>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w:t>
      </w:r>
      <w:r>
        <w:rPr>
          <w:rFonts w:hint="eastAsia" w:ascii="宋体" w:hAnsi="宋体" w:eastAsia="宋体" w:cs="宋体"/>
          <w:bCs/>
          <w:color w:val="000000"/>
          <w:kern w:val="0"/>
          <w:sz w:val="24"/>
          <w:szCs w:val="24"/>
          <w:highlight w:val="none"/>
        </w:rPr>
        <w:t>供应商提供《中小企业声明函》内容不实的,属于“隐瞒真实情况,提供虚假资料的”情形,依照《政府采购法》的有关规定追究相应责任。</w:t>
      </w:r>
    </w:p>
    <w:p w14:paraId="134FFA90">
      <w:pPr>
        <w:pStyle w:val="25"/>
        <w:ind w:firstLine="560"/>
        <w:rPr>
          <w:highlight w:val="none"/>
        </w:rPr>
      </w:pPr>
    </w:p>
    <w:p w14:paraId="52A1F60B">
      <w:pPr>
        <w:pStyle w:val="10"/>
        <w:spacing w:line="500" w:lineRule="exact"/>
        <w:rPr>
          <w:sz w:val="24"/>
          <w:highlight w:val="none"/>
        </w:rPr>
      </w:pPr>
      <w:r>
        <w:rPr>
          <w:rFonts w:hint="eastAsia" w:ascii="宋体" w:hAnsi="宋体" w:eastAsia="宋体" w:cs="宋体"/>
          <w:b/>
          <w:sz w:val="24"/>
          <w:highlight w:val="none"/>
        </w:rPr>
        <w:t>（提醒：1.本项目专门面向中小企业采购，参加政府采购活动的中小企业</w:t>
      </w:r>
      <w:r>
        <w:rPr>
          <w:rFonts w:hint="eastAsia" w:ascii="宋体" w:hAnsi="宋体" w:cs="宋体"/>
          <w:b/>
          <w:sz w:val="24"/>
          <w:highlight w:val="none"/>
        </w:rPr>
        <w:t>须</w:t>
      </w:r>
      <w:r>
        <w:rPr>
          <w:rFonts w:hint="eastAsia" w:ascii="宋体" w:hAnsi="宋体" w:eastAsia="宋体" w:cs="宋体"/>
          <w:b/>
          <w:sz w:val="24"/>
          <w:highlight w:val="none"/>
        </w:rPr>
        <w:t>提供《中小企业声明函》；2.关于监狱企业：视同小微企业。须提供由省级以上监狱管理局、戒毒管理局（含新疆生产建设兵团）出具的属于监狱企业的证明文件；3.关于残疾人福利性单位：视同小微企业。须提供完整的“残疾人福利性单位声明函”。）。</w:t>
      </w:r>
    </w:p>
    <w:p w14:paraId="0ABE8750">
      <w:pPr>
        <w:pStyle w:val="10"/>
        <w:spacing w:line="500" w:lineRule="exact"/>
        <w:jc w:val="center"/>
        <w:rPr>
          <w:b/>
          <w:bCs/>
          <w:sz w:val="24"/>
          <w:highlight w:val="none"/>
        </w:rPr>
      </w:pPr>
    </w:p>
    <w:p w14:paraId="6AF94E10">
      <w:pPr>
        <w:rPr>
          <w:rFonts w:hint="eastAsia" w:cs="宋体"/>
          <w:iCs/>
          <w:szCs w:val="28"/>
          <w:highlight w:val="none"/>
        </w:rPr>
      </w:pPr>
      <w:bookmarkStart w:id="403" w:name="_Toc24343"/>
      <w:bookmarkStart w:id="404" w:name="_Toc22816"/>
      <w:bookmarkStart w:id="405" w:name="_Toc15388"/>
      <w:bookmarkStart w:id="406" w:name="_Toc22084"/>
      <w:bookmarkStart w:id="407" w:name="_Toc3686"/>
      <w:bookmarkStart w:id="408" w:name="OLE_LINK13"/>
      <w:bookmarkStart w:id="409" w:name="_Toc25719"/>
      <w:bookmarkStart w:id="410" w:name="OLE_LINK14"/>
      <w:bookmarkStart w:id="411" w:name="_Toc21261"/>
      <w:bookmarkStart w:id="412" w:name="_Toc25504"/>
      <w:bookmarkStart w:id="413" w:name="_Toc1407"/>
      <w:bookmarkStart w:id="414" w:name="_Toc7278"/>
      <w:bookmarkStart w:id="415" w:name="_Toc14656"/>
      <w:bookmarkStart w:id="416" w:name="_Toc18758"/>
      <w:bookmarkStart w:id="417" w:name="_Toc23527"/>
      <w:bookmarkStart w:id="418" w:name="_Toc10802"/>
      <w:bookmarkStart w:id="419" w:name="_Toc14029"/>
      <w:r>
        <w:rPr>
          <w:rFonts w:hint="eastAsia" w:cs="宋体"/>
          <w:iCs/>
          <w:szCs w:val="28"/>
          <w:highlight w:val="none"/>
        </w:rPr>
        <w:br w:type="page"/>
      </w:r>
    </w:p>
    <w:p w14:paraId="2513CFCC">
      <w:pPr>
        <w:pStyle w:val="3"/>
        <w:widowControl/>
        <w:spacing w:before="160" w:after="160" w:line="500" w:lineRule="exact"/>
        <w:rPr>
          <w:rFonts w:cs="宋体"/>
          <w:iCs/>
          <w:szCs w:val="28"/>
          <w:highlight w:val="none"/>
        </w:rPr>
      </w:pPr>
      <w:r>
        <w:rPr>
          <w:rFonts w:hint="eastAsia" w:cs="宋体"/>
          <w:iCs/>
          <w:szCs w:val="28"/>
          <w:highlight w:val="none"/>
        </w:rPr>
        <w:t>残疾人福利性单位声明函</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6DE44AF0">
      <w:pPr>
        <w:spacing w:line="500" w:lineRule="exact"/>
        <w:ind w:firstLine="444" w:firstLineChars="200"/>
        <w:rPr>
          <w:rFonts w:ascii="宋体" w:hAnsi="宋体" w:cs="宋体"/>
          <w:spacing w:val="6"/>
          <w:highlight w:val="none"/>
        </w:rPr>
      </w:pPr>
      <w:r>
        <w:rPr>
          <w:rFonts w:hint="eastAsia" w:ascii="宋体" w:hAnsi="宋体" w:cs="宋体"/>
          <w:spacing w:val="6"/>
          <w:highlight w:val="none"/>
        </w:rPr>
        <w:t>本单位郑重声明，根据《财政部 民政部 中国残疾人联合会关于促进残疾人就业政府采购政策的通知》（财库</w:t>
      </w:r>
      <w:r>
        <w:rPr>
          <w:rFonts w:hint="eastAsia" w:ascii="宋体" w:hAnsi="宋体" w:cs="宋体"/>
          <w:highlight w:val="none"/>
        </w:rPr>
        <w:t>〔2017〕141</w:t>
      </w:r>
      <w:r>
        <w:rPr>
          <w:rFonts w:hint="eastAsia" w:ascii="宋体" w:hAnsi="宋体" w:cs="宋体"/>
          <w:spacing w:val="6"/>
          <w:highlight w:val="none"/>
        </w:rPr>
        <w:t>号）的规定，本单位为符合条件的残疾人福利性单位，且本单位参加</w:t>
      </w:r>
      <w:r>
        <w:rPr>
          <w:rFonts w:hint="eastAsia" w:ascii="宋体" w:hAnsi="宋体" w:cs="宋体"/>
          <w:spacing w:val="6"/>
          <w:highlight w:val="none"/>
          <w:u w:val="single"/>
        </w:rPr>
        <w:t xml:space="preserve">       </w:t>
      </w:r>
      <w:r>
        <w:rPr>
          <w:rFonts w:hint="eastAsia" w:ascii="宋体" w:hAnsi="宋体" w:cs="宋体"/>
          <w:spacing w:val="6"/>
          <w:highlight w:val="none"/>
        </w:rPr>
        <w:t>单位的</w:t>
      </w:r>
      <w:r>
        <w:rPr>
          <w:rFonts w:hint="eastAsia" w:ascii="宋体" w:hAnsi="宋体" w:cs="宋体"/>
          <w:spacing w:val="6"/>
          <w:highlight w:val="none"/>
          <w:u w:val="single"/>
        </w:rPr>
        <w:t xml:space="preserve">      </w:t>
      </w:r>
      <w:r>
        <w:rPr>
          <w:rFonts w:hint="eastAsia" w:ascii="宋体" w:hAnsi="宋体" w:cs="宋体"/>
          <w:spacing w:val="6"/>
          <w:highlight w:val="none"/>
        </w:rPr>
        <w:t>项目采购活动提供本单位制造的货物（由本单位承担工程/提供服务），或者提供其他残疾人福利性单位制造的货物（不包括使用非残疾人福利性单位注册商标的货物）。</w:t>
      </w:r>
    </w:p>
    <w:p w14:paraId="13B78D8E">
      <w:pPr>
        <w:spacing w:line="500" w:lineRule="exact"/>
        <w:ind w:firstLine="444" w:firstLineChars="200"/>
        <w:rPr>
          <w:rFonts w:ascii="宋体" w:hAnsi="宋体" w:cs="宋体"/>
          <w:spacing w:val="6"/>
          <w:highlight w:val="none"/>
        </w:rPr>
      </w:pPr>
      <w:r>
        <w:rPr>
          <w:rFonts w:hint="eastAsia" w:ascii="宋体" w:hAnsi="宋体" w:cs="宋体"/>
          <w:spacing w:val="6"/>
          <w:highlight w:val="none"/>
        </w:rPr>
        <w:t>本单位对上述声明的真实性负责。如有虚假，将依法承担相应责任。</w:t>
      </w:r>
    </w:p>
    <w:p w14:paraId="15E05412">
      <w:pPr>
        <w:spacing w:line="500" w:lineRule="exact"/>
        <w:ind w:firstLine="444" w:firstLineChars="200"/>
        <w:rPr>
          <w:rFonts w:ascii="宋体" w:hAnsi="宋体" w:cs="宋体"/>
          <w:spacing w:val="6"/>
          <w:highlight w:val="none"/>
        </w:rPr>
      </w:pPr>
    </w:p>
    <w:p w14:paraId="038637EC">
      <w:pPr>
        <w:tabs>
          <w:tab w:val="left" w:pos="4860"/>
        </w:tabs>
        <w:spacing w:line="500" w:lineRule="exact"/>
        <w:ind w:right="1560" w:firstLine="444" w:firstLineChars="200"/>
        <w:jc w:val="center"/>
        <w:rPr>
          <w:rFonts w:ascii="宋体" w:hAnsi="宋体" w:cs="宋体"/>
          <w:spacing w:val="6"/>
          <w:highlight w:val="none"/>
          <w:u w:val="single"/>
        </w:rPr>
      </w:pPr>
      <w:r>
        <w:rPr>
          <w:rFonts w:hint="eastAsia" w:ascii="宋体" w:hAnsi="宋体" w:cs="宋体"/>
          <w:spacing w:val="6"/>
          <w:highlight w:val="none"/>
        </w:rPr>
        <w:t xml:space="preserve">               单位名称（</w:t>
      </w:r>
      <w:r>
        <w:rPr>
          <w:rFonts w:hint="eastAsia" w:ascii="宋体" w:hAnsi="宋体" w:cs="宋体"/>
          <w:sz w:val="24"/>
          <w:highlight w:val="none"/>
          <w:lang w:val="en-US" w:eastAsia="zh-CN"/>
        </w:rPr>
        <w:t>电子签章</w:t>
      </w:r>
      <w:r>
        <w:rPr>
          <w:rFonts w:hint="eastAsia" w:ascii="宋体" w:hAnsi="宋体" w:cs="宋体"/>
          <w:spacing w:val="6"/>
          <w:highlight w:val="none"/>
        </w:rPr>
        <w:t>）：</w:t>
      </w:r>
      <w:r>
        <w:rPr>
          <w:rFonts w:hint="eastAsia" w:ascii="宋体" w:hAnsi="宋体" w:cs="宋体"/>
          <w:spacing w:val="6"/>
          <w:highlight w:val="none"/>
          <w:u w:val="single"/>
        </w:rPr>
        <w:t xml:space="preserve">                </w:t>
      </w:r>
    </w:p>
    <w:p w14:paraId="79CE1ECA">
      <w:pPr>
        <w:tabs>
          <w:tab w:val="left" w:pos="4860"/>
        </w:tabs>
        <w:spacing w:line="500" w:lineRule="exact"/>
        <w:ind w:right="1560" w:firstLine="444" w:firstLineChars="200"/>
        <w:jc w:val="center"/>
        <w:rPr>
          <w:rFonts w:ascii="宋体" w:hAnsi="宋体" w:cs="宋体"/>
          <w:spacing w:val="6"/>
          <w:highlight w:val="none"/>
        </w:rPr>
      </w:pPr>
      <w:r>
        <w:rPr>
          <w:rFonts w:hint="eastAsia" w:ascii="宋体" w:hAnsi="宋体" w:cs="宋体"/>
          <w:spacing w:val="6"/>
          <w:highlight w:val="none"/>
        </w:rPr>
        <w:t xml:space="preserve">       日  期：</w:t>
      </w:r>
    </w:p>
    <w:p w14:paraId="2050DD52">
      <w:pPr>
        <w:tabs>
          <w:tab w:val="left" w:pos="840"/>
        </w:tabs>
        <w:autoSpaceDE w:val="0"/>
        <w:autoSpaceDN w:val="0"/>
        <w:adjustRightInd w:val="0"/>
        <w:spacing w:line="500" w:lineRule="exact"/>
        <w:jc w:val="center"/>
        <w:rPr>
          <w:rFonts w:ascii="宋体" w:hAnsi="宋体" w:cs="宋体"/>
          <w:b/>
          <w:sz w:val="24"/>
          <w:highlight w:val="none"/>
        </w:rPr>
      </w:pPr>
    </w:p>
    <w:p w14:paraId="43D5E229">
      <w:pPr>
        <w:widowControl/>
        <w:spacing w:line="500" w:lineRule="exact"/>
        <w:rPr>
          <w:rFonts w:ascii="宋体" w:hAnsi="宋体" w:cs="宋体"/>
          <w:b/>
          <w:highlight w:val="none"/>
        </w:rPr>
      </w:pPr>
      <w:r>
        <w:rPr>
          <w:rFonts w:hint="eastAsia" w:ascii="宋体" w:hAnsi="宋体" w:cs="宋体"/>
          <w:b/>
          <w:highlight w:val="none"/>
        </w:rPr>
        <w:t>（提醒：如果供应商</w:t>
      </w:r>
      <w:r>
        <w:rPr>
          <w:rFonts w:hint="eastAsia" w:ascii="宋体" w:hAnsi="宋体" w:cs="宋体"/>
          <w:b/>
          <w:spacing w:val="10"/>
          <w:kern w:val="0"/>
          <w:highlight w:val="none"/>
        </w:rPr>
        <w:t>不是残疾人福利性单位</w:t>
      </w:r>
      <w:r>
        <w:rPr>
          <w:rFonts w:hint="eastAsia" w:ascii="宋体" w:hAnsi="宋体" w:cs="宋体"/>
          <w:b/>
          <w:highlight w:val="none"/>
        </w:rPr>
        <w:t>，则不需要提供《残疾人福利性单位声明函》。否则，因此导致虚假投标的后果由供应商自行承担。）</w:t>
      </w:r>
    </w:p>
    <w:p w14:paraId="528FEC28">
      <w:pPr>
        <w:tabs>
          <w:tab w:val="left" w:pos="840"/>
        </w:tabs>
        <w:autoSpaceDE w:val="0"/>
        <w:autoSpaceDN w:val="0"/>
        <w:adjustRightInd w:val="0"/>
        <w:spacing w:line="500" w:lineRule="exact"/>
        <w:rPr>
          <w:rFonts w:ascii="宋体" w:hAnsi="宋体" w:cs="宋体"/>
          <w:b/>
          <w:sz w:val="24"/>
          <w:highlight w:val="none"/>
        </w:rPr>
      </w:pPr>
    </w:p>
    <w:p w14:paraId="3D532E64">
      <w:pPr>
        <w:spacing w:line="500" w:lineRule="exact"/>
        <w:rPr>
          <w:rFonts w:ascii="宋体" w:hAnsi="宋体" w:cs="宋体"/>
          <w:highlight w:val="none"/>
        </w:rPr>
      </w:pPr>
      <w:r>
        <w:rPr>
          <w:rFonts w:hint="eastAsia" w:ascii="宋体" w:hAnsi="宋体" w:cs="宋体"/>
          <w:highlight w:val="none"/>
        </w:rPr>
        <w:t>《财政部民政部中国残疾人联合会关于促进残疾人就业政府采购政策的通知》（财库2017〔141〕号）的规定：</w:t>
      </w:r>
    </w:p>
    <w:p w14:paraId="52B28A82">
      <w:pPr>
        <w:spacing w:line="500" w:lineRule="exact"/>
        <w:ind w:firstLine="420" w:firstLineChars="200"/>
        <w:rPr>
          <w:rFonts w:ascii="宋体" w:hAnsi="宋体" w:cs="宋体"/>
          <w:highlight w:val="none"/>
        </w:rPr>
      </w:pPr>
      <w:r>
        <w:rPr>
          <w:rFonts w:hint="eastAsia" w:ascii="宋体" w:hAnsi="宋体" w:cs="宋体"/>
          <w:highlight w:val="none"/>
        </w:rPr>
        <w:t>1. 享受政府采购支持政策的残疾人福利性单位应当同时满足以下条件：</w:t>
      </w:r>
    </w:p>
    <w:p w14:paraId="71BF1C92">
      <w:pPr>
        <w:spacing w:line="500" w:lineRule="exact"/>
        <w:rPr>
          <w:rFonts w:ascii="宋体" w:hAnsi="宋体" w:cs="宋体"/>
          <w:highlight w:val="none"/>
        </w:rPr>
      </w:pPr>
      <w:r>
        <w:rPr>
          <w:rFonts w:hint="eastAsia" w:ascii="宋体" w:hAnsi="宋体" w:cs="宋体"/>
          <w:highlight w:val="none"/>
        </w:rPr>
        <w:t>（1）安置的残疾人占本单位在职职工人数的比例不低于25%（含25%），并且安置的残疾人人数不少于10人（含10人）；</w:t>
      </w:r>
    </w:p>
    <w:p w14:paraId="1F61AA2C">
      <w:pPr>
        <w:spacing w:line="500" w:lineRule="exact"/>
        <w:rPr>
          <w:rFonts w:ascii="宋体" w:hAnsi="宋体" w:cs="宋体"/>
          <w:highlight w:val="none"/>
        </w:rPr>
      </w:pPr>
      <w:r>
        <w:rPr>
          <w:rFonts w:hint="eastAsia" w:ascii="宋体" w:hAnsi="宋体" w:cs="宋体"/>
          <w:highlight w:val="none"/>
        </w:rPr>
        <w:t>（2）依法与安置的每位残疾人签订了一年以上（含一年）的劳动合同或服务协议；</w:t>
      </w:r>
    </w:p>
    <w:p w14:paraId="2BEBF48F">
      <w:pPr>
        <w:spacing w:line="500" w:lineRule="exact"/>
        <w:rPr>
          <w:rFonts w:ascii="宋体" w:hAnsi="宋体" w:cs="宋体"/>
          <w:highlight w:val="none"/>
        </w:rPr>
      </w:pPr>
      <w:r>
        <w:rPr>
          <w:rFonts w:hint="eastAsia" w:ascii="宋体" w:hAnsi="宋体" w:cs="宋体"/>
          <w:highlight w:val="none"/>
        </w:rPr>
        <w:t>（3）为安置的每位残疾人按月足额缴纳了基本养老保险、基本医疗保险、失业保险、工伤保险和生育保险等社会保险费；</w:t>
      </w:r>
    </w:p>
    <w:p w14:paraId="68A01B90">
      <w:pPr>
        <w:spacing w:line="500" w:lineRule="exact"/>
        <w:rPr>
          <w:rFonts w:ascii="宋体" w:hAnsi="宋体" w:cs="宋体"/>
          <w:highlight w:val="none"/>
        </w:rPr>
      </w:pPr>
      <w:r>
        <w:rPr>
          <w:rFonts w:hint="eastAsia" w:ascii="宋体" w:hAnsi="宋体" w:cs="宋体"/>
          <w:highlight w:val="none"/>
        </w:rPr>
        <w:t>（4）通过银行等金融机构向安置的每位残疾人，按月支付了不低于单位所在区县适用的经省级人民政府批准的月最低工资标准的工资；</w:t>
      </w:r>
    </w:p>
    <w:p w14:paraId="4B3B28E8">
      <w:pPr>
        <w:spacing w:line="500" w:lineRule="exact"/>
        <w:rPr>
          <w:rFonts w:ascii="宋体" w:hAnsi="宋体" w:cs="宋体"/>
          <w:highlight w:val="none"/>
        </w:rPr>
      </w:pPr>
      <w:r>
        <w:rPr>
          <w:rFonts w:hint="eastAsia" w:ascii="宋体" w:hAnsi="宋体" w:cs="宋体"/>
          <w:highlight w:val="none"/>
        </w:rPr>
        <w:t>（5）提供本单位制造的货物、承担的工程或者服务（以下简称产品），或者提供其他残疾人福利性单位制造的货物（不包括使用非残疾人福利性单位注册商标的货物）。</w:t>
      </w:r>
    </w:p>
    <w:p w14:paraId="38B7962A">
      <w:pPr>
        <w:spacing w:line="500" w:lineRule="exact"/>
        <w:ind w:firstLine="420" w:firstLineChars="200"/>
        <w:rPr>
          <w:rFonts w:ascii="宋体" w:hAnsi="宋体" w:cs="宋体"/>
          <w:highlight w:val="none"/>
        </w:rPr>
      </w:pPr>
      <w:r>
        <w:rPr>
          <w:rFonts w:hint="eastAsia" w:ascii="宋体" w:hAnsi="宋体" w:cs="宋体"/>
          <w:highlight w:val="none"/>
        </w:rPr>
        <w:t xml:space="preserve">2. 成交人为残疾人福利性单位的，采购人或者其委托的采购代理机构应当随成交、成交结果同时公告其《残疾人福利性单位声明函》，接受社会监督。   </w:t>
      </w:r>
    </w:p>
    <w:p w14:paraId="41D91EC4">
      <w:pPr>
        <w:pStyle w:val="25"/>
        <w:spacing w:line="500" w:lineRule="exact"/>
        <w:ind w:firstLine="562"/>
        <w:rPr>
          <w:b/>
          <w:bCs/>
          <w:szCs w:val="28"/>
          <w:highlight w:val="none"/>
        </w:rPr>
      </w:pPr>
    </w:p>
    <w:p w14:paraId="1DFC3994">
      <w:pPr>
        <w:pStyle w:val="3"/>
        <w:numPr>
          <w:ilvl w:val="1"/>
          <w:numId w:val="0"/>
        </w:numPr>
        <w:wordWrap w:val="0"/>
        <w:topLinePunct/>
        <w:spacing w:before="0" w:after="0" w:line="500" w:lineRule="exact"/>
        <w:rPr>
          <w:rFonts w:ascii="宋体" w:hAnsi="宋体" w:cs="宋体"/>
          <w:highlight w:val="none"/>
        </w:rPr>
      </w:pPr>
      <w:r>
        <w:rPr>
          <w:rFonts w:hint="eastAsia" w:ascii="宋体" w:hAnsi="宋体" w:cs="宋体"/>
          <w:highlight w:val="none"/>
        </w:rPr>
        <w:t xml:space="preserve"> 监狱企业证明文件</w:t>
      </w:r>
    </w:p>
    <w:p w14:paraId="5EF3CC56">
      <w:pPr>
        <w:spacing w:before="156" w:beforeLines="50" w:after="312" w:afterLines="100" w:line="500" w:lineRule="exact"/>
        <w:rPr>
          <w:rFonts w:ascii="宋体" w:hAnsi="宋体" w:cs="宋体"/>
          <w:highlight w:val="none"/>
        </w:rPr>
      </w:pPr>
      <w:r>
        <w:rPr>
          <w:rFonts w:hint="eastAsia" w:ascii="宋体" w:hAnsi="宋体" w:cs="宋体"/>
          <w:highlight w:val="none"/>
        </w:rPr>
        <w:t>（监狱企业参加政府采购活动时，应当提供由省级以上监狱管理局、戒毒管理局(含新疆生产建</w:t>
      </w:r>
    </w:p>
    <w:p w14:paraId="079A66DD">
      <w:pPr>
        <w:spacing w:before="156" w:beforeLines="50" w:after="312" w:afterLines="100" w:line="500" w:lineRule="exact"/>
        <w:rPr>
          <w:rFonts w:ascii="宋体" w:hAnsi="宋体" w:cs="宋体"/>
          <w:highlight w:val="none"/>
        </w:rPr>
      </w:pPr>
      <w:r>
        <w:rPr>
          <w:rFonts w:hint="eastAsia" w:ascii="宋体" w:hAnsi="宋体" w:cs="宋体"/>
          <w:highlight w:val="none"/>
        </w:rPr>
        <w:t>设兵团)出具的属于监狱企业的证明文件。</w:t>
      </w:r>
    </w:p>
    <w:p w14:paraId="03DD96FE">
      <w:pPr>
        <w:rPr>
          <w:rFonts w:hint="eastAsia" w:ascii="宋体" w:hAnsi="宋体" w:cs="宋体"/>
          <w:b/>
          <w:sz w:val="24"/>
          <w:highlight w:val="none"/>
        </w:rPr>
      </w:pPr>
      <w:r>
        <w:rPr>
          <w:rFonts w:hint="eastAsia" w:ascii="宋体" w:hAnsi="宋体" w:cs="宋体"/>
          <w:b/>
          <w:sz w:val="24"/>
          <w:highlight w:val="none"/>
        </w:rPr>
        <w:br w:type="page"/>
      </w:r>
    </w:p>
    <w:p w14:paraId="5DCFD4DB">
      <w:pPr>
        <w:wordWrap w:val="0"/>
        <w:spacing w:line="500" w:lineRule="exact"/>
        <w:ind w:firstLine="482" w:firstLineChars="201"/>
        <w:rPr>
          <w:rFonts w:hint="eastAsia" w:ascii="宋体" w:hAnsi="宋体"/>
          <w:color w:val="auto"/>
          <w:sz w:val="24"/>
          <w:highlight w:val="none"/>
        </w:rPr>
      </w:pPr>
      <w:r>
        <w:rPr>
          <w:rFonts w:hint="eastAsia" w:ascii="宋体" w:hAnsi="宋体"/>
          <w:color w:val="auto"/>
          <w:sz w:val="24"/>
          <w:highlight w:val="none"/>
        </w:rPr>
        <w:t>3、本项目的特定资格要求</w:t>
      </w:r>
      <w:r>
        <w:rPr>
          <w:rFonts w:hint="eastAsia" w:ascii="宋体" w:hAnsi="宋体"/>
          <w:color w:val="auto"/>
          <w:sz w:val="24"/>
          <w:highlight w:val="none"/>
        </w:rPr>
        <w:tab/>
      </w:r>
    </w:p>
    <w:p w14:paraId="2C24A619">
      <w:pPr>
        <w:rPr>
          <w:rFonts w:hint="eastAsia" w:ascii="宋体" w:hAnsi="宋体" w:cs="宋体"/>
          <w:b/>
          <w:sz w:val="24"/>
          <w:highlight w:val="none"/>
        </w:rPr>
      </w:pPr>
    </w:p>
    <w:p w14:paraId="7AEAAA82">
      <w:pPr>
        <w:jc w:val="both"/>
        <w:rPr>
          <w:rFonts w:hint="default" w:ascii="宋体" w:hAnsi="宋体" w:eastAsia="宋体" w:cs="宋体"/>
          <w:b w:val="0"/>
          <w:bCs/>
          <w:sz w:val="24"/>
          <w:highlight w:val="none"/>
          <w:lang w:val="en-US" w:eastAsia="zh-CN"/>
        </w:rPr>
      </w:pPr>
      <w:r>
        <w:rPr>
          <w:rFonts w:hint="eastAsia" w:ascii="宋体" w:hAnsi="宋体" w:cs="宋体"/>
          <w:b w:val="0"/>
          <w:bCs/>
          <w:sz w:val="24"/>
          <w:highlight w:val="none"/>
          <w:lang w:val="en-US" w:eastAsia="zh-CN"/>
        </w:rPr>
        <w:t>在此附供应商须知前附表“供应商资格要求”中的本项目的特定资格要求相关内容。</w:t>
      </w:r>
    </w:p>
    <w:p w14:paraId="0FAFCF04">
      <w:pPr>
        <w:rPr>
          <w:rFonts w:hint="eastAsia" w:ascii="宋体" w:hAnsi="宋体" w:eastAsia="宋体" w:cs="宋体"/>
          <w:b/>
          <w:sz w:val="24"/>
          <w:highlight w:val="none"/>
          <w:lang w:val="en-US" w:eastAsia="zh-CN"/>
        </w:rPr>
      </w:pPr>
    </w:p>
    <w:p w14:paraId="287701D9">
      <w:pPr>
        <w:rPr>
          <w:rFonts w:hint="eastAsia" w:ascii="宋体" w:hAnsi="宋体" w:eastAsia="宋体" w:cs="宋体"/>
          <w:b/>
          <w:sz w:val="24"/>
          <w:highlight w:val="none"/>
          <w:lang w:val="en-US" w:eastAsia="zh-CN"/>
        </w:rPr>
      </w:pPr>
    </w:p>
    <w:p w14:paraId="4B3E17F3">
      <w:pPr>
        <w:rPr>
          <w:rFonts w:hint="eastAsia" w:ascii="宋体" w:hAnsi="宋体" w:eastAsia="宋体" w:cs="宋体"/>
          <w:b/>
          <w:sz w:val="24"/>
          <w:highlight w:val="none"/>
          <w:lang w:val="en-US" w:eastAsia="zh-CN"/>
        </w:rPr>
      </w:pPr>
    </w:p>
    <w:p w14:paraId="2FCAA9FB">
      <w:pPr>
        <w:rPr>
          <w:rFonts w:hint="eastAsia" w:ascii="宋体" w:hAnsi="宋体" w:eastAsia="宋体" w:cs="宋体"/>
          <w:b/>
          <w:sz w:val="24"/>
          <w:highlight w:val="none"/>
          <w:lang w:val="en-US" w:eastAsia="zh-CN"/>
        </w:rPr>
      </w:pPr>
    </w:p>
    <w:p w14:paraId="51E0387C">
      <w:pPr>
        <w:rPr>
          <w:rFonts w:hint="eastAsia" w:ascii="宋体" w:hAnsi="宋体" w:eastAsia="宋体" w:cs="宋体"/>
          <w:b/>
          <w:sz w:val="24"/>
          <w:highlight w:val="none"/>
          <w:lang w:val="en-US" w:eastAsia="zh-CN"/>
        </w:rPr>
      </w:pPr>
    </w:p>
    <w:p w14:paraId="673ECA29">
      <w:pPr>
        <w:rPr>
          <w:rFonts w:hint="eastAsia" w:ascii="宋体" w:hAnsi="宋体" w:eastAsia="宋体" w:cs="宋体"/>
          <w:b/>
          <w:sz w:val="24"/>
          <w:highlight w:val="none"/>
          <w:lang w:val="en-US" w:eastAsia="zh-CN"/>
        </w:rPr>
      </w:pPr>
    </w:p>
    <w:p w14:paraId="11AAB4CD">
      <w:pPr>
        <w:rPr>
          <w:rFonts w:hint="eastAsia" w:ascii="宋体" w:hAnsi="宋体" w:eastAsia="宋体" w:cs="宋体"/>
          <w:b/>
          <w:sz w:val="24"/>
          <w:highlight w:val="none"/>
          <w:lang w:val="en-US" w:eastAsia="zh-CN"/>
        </w:rPr>
      </w:pPr>
    </w:p>
    <w:p w14:paraId="71BD83C0">
      <w:pPr>
        <w:rPr>
          <w:rFonts w:hint="eastAsia" w:ascii="宋体" w:hAnsi="宋体" w:eastAsia="宋体" w:cs="宋体"/>
          <w:b/>
          <w:sz w:val="24"/>
          <w:highlight w:val="none"/>
          <w:lang w:val="en-US" w:eastAsia="zh-CN"/>
        </w:rPr>
      </w:pPr>
    </w:p>
    <w:p w14:paraId="75F08225">
      <w:pPr>
        <w:rPr>
          <w:rFonts w:hint="eastAsia" w:ascii="宋体" w:hAnsi="宋体" w:eastAsia="宋体" w:cs="宋体"/>
          <w:b/>
          <w:sz w:val="24"/>
          <w:highlight w:val="none"/>
          <w:lang w:val="en-US" w:eastAsia="zh-CN"/>
        </w:rPr>
      </w:pPr>
    </w:p>
    <w:p w14:paraId="11F2D970">
      <w:pPr>
        <w:rPr>
          <w:rFonts w:hint="eastAsia" w:ascii="宋体" w:hAnsi="宋体" w:eastAsia="宋体" w:cs="宋体"/>
          <w:b/>
          <w:sz w:val="24"/>
          <w:highlight w:val="none"/>
          <w:lang w:val="en-US" w:eastAsia="zh-CN"/>
        </w:rPr>
      </w:pPr>
    </w:p>
    <w:p w14:paraId="0EECD5D1">
      <w:pPr>
        <w:rPr>
          <w:rFonts w:hint="eastAsia" w:ascii="宋体" w:hAnsi="宋体" w:eastAsia="宋体" w:cs="宋体"/>
          <w:b/>
          <w:sz w:val="24"/>
          <w:highlight w:val="none"/>
          <w:lang w:val="en-US" w:eastAsia="zh-CN"/>
        </w:rPr>
      </w:pPr>
    </w:p>
    <w:p w14:paraId="12BA3B32">
      <w:pPr>
        <w:rPr>
          <w:rFonts w:hint="eastAsia" w:ascii="宋体" w:hAnsi="宋体" w:eastAsia="宋体" w:cs="宋体"/>
          <w:b/>
          <w:sz w:val="24"/>
          <w:highlight w:val="none"/>
          <w:lang w:val="en-US" w:eastAsia="zh-CN"/>
        </w:rPr>
      </w:pPr>
    </w:p>
    <w:p w14:paraId="1A9ECB9C">
      <w:pPr>
        <w:rPr>
          <w:rFonts w:hint="eastAsia" w:ascii="宋体" w:hAnsi="宋体" w:eastAsia="宋体" w:cs="宋体"/>
          <w:b/>
          <w:sz w:val="24"/>
          <w:highlight w:val="none"/>
          <w:lang w:val="en-US" w:eastAsia="zh-CN"/>
        </w:rPr>
      </w:pPr>
    </w:p>
    <w:p w14:paraId="527B38CD">
      <w:pPr>
        <w:rPr>
          <w:rFonts w:hint="eastAsia" w:ascii="宋体" w:hAnsi="宋体" w:eastAsia="宋体" w:cs="宋体"/>
          <w:b/>
          <w:sz w:val="24"/>
          <w:highlight w:val="none"/>
          <w:lang w:val="en-US" w:eastAsia="zh-CN"/>
        </w:rPr>
      </w:pPr>
    </w:p>
    <w:p w14:paraId="654BADF8">
      <w:pPr>
        <w:rPr>
          <w:rFonts w:hint="eastAsia" w:ascii="宋体" w:hAnsi="宋体" w:eastAsia="宋体" w:cs="宋体"/>
          <w:b/>
          <w:sz w:val="24"/>
          <w:highlight w:val="none"/>
          <w:lang w:val="en-US" w:eastAsia="zh-CN"/>
        </w:rPr>
      </w:pPr>
    </w:p>
    <w:p w14:paraId="161418A4">
      <w:pPr>
        <w:rPr>
          <w:rFonts w:hint="eastAsia" w:ascii="宋体" w:hAnsi="宋体" w:eastAsia="宋体" w:cs="宋体"/>
          <w:b/>
          <w:sz w:val="24"/>
          <w:highlight w:val="none"/>
          <w:lang w:val="en-US" w:eastAsia="zh-CN"/>
        </w:rPr>
      </w:pPr>
    </w:p>
    <w:p w14:paraId="6D457FF6">
      <w:pPr>
        <w:rPr>
          <w:rFonts w:hint="eastAsia" w:ascii="宋体" w:hAnsi="宋体" w:eastAsia="宋体" w:cs="宋体"/>
          <w:b/>
          <w:sz w:val="24"/>
          <w:highlight w:val="none"/>
          <w:lang w:val="en-US" w:eastAsia="zh-CN"/>
        </w:rPr>
      </w:pPr>
    </w:p>
    <w:p w14:paraId="6BC95D7C">
      <w:pPr>
        <w:rPr>
          <w:rFonts w:hint="eastAsia" w:ascii="宋体" w:hAnsi="宋体" w:eastAsia="宋体" w:cs="宋体"/>
          <w:b/>
          <w:sz w:val="24"/>
          <w:highlight w:val="none"/>
          <w:lang w:val="en-US" w:eastAsia="zh-CN"/>
        </w:rPr>
      </w:pPr>
    </w:p>
    <w:p w14:paraId="66714707">
      <w:pPr>
        <w:rPr>
          <w:rFonts w:hint="eastAsia" w:ascii="宋体" w:hAnsi="宋体" w:eastAsia="宋体" w:cs="宋体"/>
          <w:b/>
          <w:sz w:val="24"/>
          <w:highlight w:val="none"/>
          <w:lang w:val="en-US" w:eastAsia="zh-CN"/>
        </w:rPr>
      </w:pPr>
    </w:p>
    <w:p w14:paraId="2E873991">
      <w:pPr>
        <w:rPr>
          <w:rFonts w:hint="eastAsia" w:ascii="宋体" w:hAnsi="宋体" w:eastAsia="宋体" w:cs="宋体"/>
          <w:b/>
          <w:sz w:val="24"/>
          <w:highlight w:val="none"/>
          <w:lang w:val="en-US" w:eastAsia="zh-CN"/>
        </w:rPr>
      </w:pPr>
    </w:p>
    <w:p w14:paraId="3E31D4BB">
      <w:pPr>
        <w:rPr>
          <w:rFonts w:hint="eastAsia" w:ascii="宋体" w:hAnsi="宋体" w:eastAsia="宋体" w:cs="宋体"/>
          <w:b/>
          <w:sz w:val="24"/>
          <w:highlight w:val="none"/>
          <w:lang w:val="en-US" w:eastAsia="zh-CN"/>
        </w:rPr>
      </w:pPr>
    </w:p>
    <w:p w14:paraId="0D9284CD">
      <w:pPr>
        <w:rPr>
          <w:rFonts w:hint="eastAsia" w:ascii="宋体" w:hAnsi="宋体" w:eastAsia="宋体" w:cs="宋体"/>
          <w:b/>
          <w:sz w:val="24"/>
          <w:highlight w:val="none"/>
          <w:lang w:val="en-US" w:eastAsia="zh-CN"/>
        </w:rPr>
      </w:pPr>
    </w:p>
    <w:p w14:paraId="069C5A5E">
      <w:pPr>
        <w:rPr>
          <w:rFonts w:hint="eastAsia" w:ascii="宋体" w:hAnsi="宋体" w:eastAsia="宋体" w:cs="宋体"/>
          <w:b/>
          <w:sz w:val="24"/>
          <w:highlight w:val="none"/>
          <w:lang w:val="en-US" w:eastAsia="zh-CN"/>
        </w:rPr>
      </w:pPr>
    </w:p>
    <w:p w14:paraId="0F19CB22">
      <w:pPr>
        <w:rPr>
          <w:rFonts w:hint="eastAsia" w:ascii="宋体" w:hAnsi="宋体" w:eastAsia="宋体" w:cs="宋体"/>
          <w:b/>
          <w:sz w:val="24"/>
          <w:highlight w:val="none"/>
          <w:lang w:val="en-US" w:eastAsia="zh-CN"/>
        </w:rPr>
      </w:pPr>
    </w:p>
    <w:p w14:paraId="28D43E7F">
      <w:pPr>
        <w:rPr>
          <w:rFonts w:hint="eastAsia" w:ascii="宋体" w:hAnsi="宋体" w:eastAsia="宋体" w:cs="宋体"/>
          <w:b/>
          <w:sz w:val="24"/>
          <w:highlight w:val="none"/>
          <w:lang w:val="en-US" w:eastAsia="zh-CN"/>
        </w:rPr>
      </w:pPr>
    </w:p>
    <w:p w14:paraId="59B009BA">
      <w:pPr>
        <w:rPr>
          <w:rFonts w:hint="eastAsia" w:ascii="宋体" w:hAnsi="宋体" w:eastAsia="宋体" w:cs="宋体"/>
          <w:b/>
          <w:sz w:val="24"/>
          <w:highlight w:val="none"/>
          <w:lang w:val="en-US" w:eastAsia="zh-CN"/>
        </w:rPr>
      </w:pPr>
    </w:p>
    <w:p w14:paraId="14ACB35C">
      <w:pPr>
        <w:rPr>
          <w:rFonts w:hint="eastAsia" w:ascii="宋体" w:hAnsi="宋体" w:eastAsia="宋体" w:cs="宋体"/>
          <w:b/>
          <w:sz w:val="24"/>
          <w:highlight w:val="none"/>
          <w:lang w:val="en-US" w:eastAsia="zh-CN"/>
        </w:rPr>
      </w:pPr>
    </w:p>
    <w:p w14:paraId="57C442FB">
      <w:pPr>
        <w:rPr>
          <w:rFonts w:hint="eastAsia" w:ascii="宋体" w:hAnsi="宋体" w:eastAsia="宋体" w:cs="宋体"/>
          <w:b/>
          <w:sz w:val="24"/>
          <w:highlight w:val="none"/>
          <w:lang w:val="en-US" w:eastAsia="zh-CN"/>
        </w:rPr>
      </w:pPr>
    </w:p>
    <w:p w14:paraId="2F3B5FBA">
      <w:pPr>
        <w:rPr>
          <w:rFonts w:hint="eastAsia" w:ascii="宋体" w:hAnsi="宋体" w:eastAsia="宋体" w:cs="宋体"/>
          <w:b/>
          <w:sz w:val="24"/>
          <w:highlight w:val="none"/>
          <w:lang w:val="en-US" w:eastAsia="zh-CN"/>
        </w:rPr>
      </w:pPr>
    </w:p>
    <w:p w14:paraId="3E2BC177">
      <w:pPr>
        <w:rPr>
          <w:rFonts w:hint="eastAsia" w:ascii="宋体" w:hAnsi="宋体" w:eastAsia="宋体" w:cs="宋体"/>
          <w:b/>
          <w:sz w:val="24"/>
          <w:highlight w:val="none"/>
          <w:lang w:val="en-US" w:eastAsia="zh-CN"/>
        </w:rPr>
      </w:pPr>
    </w:p>
    <w:p w14:paraId="658D2B71">
      <w:pPr>
        <w:rPr>
          <w:rFonts w:hint="eastAsia" w:ascii="宋体" w:hAnsi="宋体" w:eastAsia="宋体" w:cs="宋体"/>
          <w:b/>
          <w:sz w:val="24"/>
          <w:highlight w:val="none"/>
          <w:lang w:val="en-US" w:eastAsia="zh-CN"/>
        </w:rPr>
      </w:pPr>
    </w:p>
    <w:p w14:paraId="7B83A690">
      <w:pPr>
        <w:rPr>
          <w:rFonts w:hint="eastAsia" w:ascii="宋体" w:hAnsi="宋体" w:eastAsia="宋体" w:cs="宋体"/>
          <w:b/>
          <w:sz w:val="24"/>
          <w:highlight w:val="none"/>
          <w:lang w:val="en-US" w:eastAsia="zh-CN"/>
        </w:rPr>
      </w:pPr>
    </w:p>
    <w:p w14:paraId="28079722">
      <w:pPr>
        <w:rPr>
          <w:rFonts w:hint="eastAsia" w:ascii="宋体" w:hAnsi="宋体" w:eastAsia="宋体" w:cs="宋体"/>
          <w:b/>
          <w:sz w:val="24"/>
          <w:highlight w:val="none"/>
          <w:lang w:val="en-US" w:eastAsia="zh-CN"/>
        </w:rPr>
      </w:pPr>
    </w:p>
    <w:p w14:paraId="2C571A19">
      <w:pPr>
        <w:rPr>
          <w:rFonts w:hint="eastAsia" w:ascii="宋体" w:hAnsi="宋体" w:eastAsia="宋体" w:cs="宋体"/>
          <w:b/>
          <w:sz w:val="24"/>
          <w:highlight w:val="none"/>
          <w:lang w:val="en-US" w:eastAsia="zh-CN"/>
        </w:rPr>
      </w:pPr>
    </w:p>
    <w:p w14:paraId="3BB86775">
      <w:pPr>
        <w:rPr>
          <w:rFonts w:hint="eastAsia" w:ascii="宋体" w:hAnsi="宋体" w:eastAsia="宋体" w:cs="宋体"/>
          <w:b/>
          <w:sz w:val="24"/>
          <w:highlight w:val="none"/>
          <w:lang w:val="en-US" w:eastAsia="zh-CN"/>
        </w:rPr>
      </w:pPr>
    </w:p>
    <w:p w14:paraId="7FA5D965">
      <w:pPr>
        <w:rPr>
          <w:rFonts w:hint="eastAsia" w:ascii="宋体" w:hAnsi="宋体" w:eastAsia="宋体" w:cs="宋体"/>
          <w:b/>
          <w:sz w:val="24"/>
          <w:highlight w:val="none"/>
          <w:lang w:val="en-US" w:eastAsia="zh-CN"/>
        </w:rPr>
      </w:pPr>
    </w:p>
    <w:p w14:paraId="0E68EEA1">
      <w:pPr>
        <w:rPr>
          <w:rFonts w:hint="eastAsia" w:ascii="宋体" w:hAnsi="宋体" w:eastAsia="宋体" w:cs="宋体"/>
          <w:b/>
          <w:sz w:val="24"/>
          <w:highlight w:val="none"/>
          <w:lang w:val="en-US" w:eastAsia="zh-CN"/>
        </w:rPr>
      </w:pPr>
    </w:p>
    <w:p w14:paraId="5B065DAF">
      <w:pPr>
        <w:rPr>
          <w:rFonts w:hint="eastAsia" w:ascii="宋体" w:hAnsi="宋体" w:eastAsia="宋体" w:cs="宋体"/>
          <w:b/>
          <w:sz w:val="24"/>
          <w:highlight w:val="none"/>
          <w:lang w:val="en-US" w:eastAsia="zh-CN"/>
        </w:rPr>
      </w:pPr>
    </w:p>
    <w:p w14:paraId="187365B9">
      <w:pPr>
        <w:rPr>
          <w:rFonts w:hint="eastAsia" w:ascii="宋体" w:hAnsi="宋体" w:eastAsia="宋体" w:cs="宋体"/>
          <w:b/>
          <w:sz w:val="24"/>
          <w:highlight w:val="none"/>
          <w:lang w:val="en-US" w:eastAsia="zh-CN"/>
        </w:rPr>
      </w:pPr>
    </w:p>
    <w:p w14:paraId="447D5A19">
      <w:pPr>
        <w:rPr>
          <w:rFonts w:hint="eastAsia" w:ascii="宋体" w:hAnsi="宋体" w:eastAsia="宋体" w:cs="宋体"/>
          <w:b/>
          <w:sz w:val="24"/>
          <w:highlight w:val="none"/>
          <w:lang w:val="en-US" w:eastAsia="zh-CN"/>
        </w:rPr>
      </w:pPr>
    </w:p>
    <w:p w14:paraId="50BBBF70">
      <w:pPr>
        <w:spacing w:line="500" w:lineRule="exact"/>
        <w:jc w:val="center"/>
        <w:rPr>
          <w:rFonts w:hint="eastAsia" w:ascii="宋体" w:hAnsi="宋体" w:eastAsia="宋体" w:cs="宋体"/>
          <w:b/>
          <w:sz w:val="24"/>
          <w:highlight w:val="none"/>
          <w:lang w:val="en-US" w:eastAsia="zh-CN"/>
        </w:rPr>
      </w:pPr>
      <w:r>
        <w:rPr>
          <w:rFonts w:hint="eastAsia" w:ascii="宋体" w:hAnsi="宋体" w:cs="宋体"/>
          <w:b/>
          <w:sz w:val="24"/>
          <w:highlight w:val="none"/>
          <w:lang w:val="en-US" w:eastAsia="zh-CN"/>
        </w:rPr>
        <w:t>四、供应商基本情况</w:t>
      </w:r>
    </w:p>
    <w:p w14:paraId="745623C2">
      <w:pPr>
        <w:spacing w:line="500" w:lineRule="exact"/>
        <w:jc w:val="center"/>
        <w:rPr>
          <w:rFonts w:ascii="宋体" w:hAnsi="宋体" w:cs="宋体"/>
          <w:b/>
          <w:sz w:val="24"/>
          <w:highlight w:val="none"/>
        </w:rPr>
      </w:pPr>
      <w:r>
        <w:rPr>
          <w:rFonts w:hint="eastAsia" w:ascii="宋体" w:hAnsi="宋体" w:cs="宋体"/>
          <w:b/>
          <w:sz w:val="24"/>
          <w:highlight w:val="none"/>
        </w:rPr>
        <w:t>（一）基本情况表</w:t>
      </w:r>
      <w:bookmarkEnd w:id="401"/>
    </w:p>
    <w:p w14:paraId="7D77A2FB">
      <w:pPr>
        <w:spacing w:line="500" w:lineRule="exact"/>
        <w:rPr>
          <w:rFonts w:ascii="宋体" w:hAnsi="宋体" w:cs="宋体"/>
          <w:szCs w:val="21"/>
          <w:highlight w:val="none"/>
        </w:rPr>
      </w:pPr>
    </w:p>
    <w:tbl>
      <w:tblPr>
        <w:tblStyle w:val="26"/>
        <w:tblW w:w="9694" w:type="dxa"/>
        <w:jc w:val="center"/>
        <w:tblLayout w:type="fixed"/>
        <w:tblCellMar>
          <w:top w:w="0" w:type="dxa"/>
          <w:left w:w="28" w:type="dxa"/>
          <w:bottom w:w="0" w:type="dxa"/>
          <w:right w:w="28" w:type="dxa"/>
        </w:tblCellMar>
      </w:tblPr>
      <w:tblGrid>
        <w:gridCol w:w="2015"/>
        <w:gridCol w:w="1095"/>
        <w:gridCol w:w="1834"/>
        <w:gridCol w:w="727"/>
        <w:gridCol w:w="547"/>
        <w:gridCol w:w="1107"/>
        <w:gridCol w:w="180"/>
        <w:gridCol w:w="735"/>
        <w:gridCol w:w="1454"/>
      </w:tblGrid>
      <w:tr w14:paraId="6F80C61F">
        <w:tblPrEx>
          <w:tblCellMar>
            <w:top w:w="0" w:type="dxa"/>
            <w:left w:w="28" w:type="dxa"/>
            <w:bottom w:w="0" w:type="dxa"/>
            <w:right w:w="28" w:type="dxa"/>
          </w:tblCellMar>
        </w:tblPrEx>
        <w:trPr>
          <w:trHeight w:val="567" w:hRule="atLeast"/>
          <w:jc w:val="center"/>
        </w:trPr>
        <w:tc>
          <w:tcPr>
            <w:tcW w:w="2015" w:type="dxa"/>
            <w:tcBorders>
              <w:top w:val="single" w:color="auto" w:sz="4" w:space="0"/>
              <w:left w:val="single" w:color="auto" w:sz="4" w:space="0"/>
              <w:bottom w:val="single" w:color="auto" w:sz="4" w:space="0"/>
              <w:right w:val="single" w:color="auto" w:sz="4" w:space="0"/>
            </w:tcBorders>
            <w:noWrap w:val="0"/>
            <w:vAlign w:val="center"/>
          </w:tcPr>
          <w:p w14:paraId="7618B361">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供应商名称</w:t>
            </w:r>
          </w:p>
        </w:tc>
        <w:tc>
          <w:tcPr>
            <w:tcW w:w="7679" w:type="dxa"/>
            <w:gridSpan w:val="8"/>
            <w:tcBorders>
              <w:top w:val="single" w:color="auto" w:sz="4" w:space="0"/>
              <w:left w:val="nil"/>
              <w:bottom w:val="single" w:color="auto" w:sz="4" w:space="0"/>
              <w:right w:val="single" w:color="auto" w:sz="4" w:space="0"/>
            </w:tcBorders>
            <w:noWrap w:val="0"/>
            <w:vAlign w:val="center"/>
          </w:tcPr>
          <w:p w14:paraId="29A84287">
            <w:pPr>
              <w:spacing w:line="360" w:lineRule="auto"/>
              <w:jc w:val="center"/>
              <w:rPr>
                <w:rFonts w:hint="eastAsia" w:ascii="宋体" w:hAnsi="宋体" w:eastAsia="宋体" w:cs="宋体"/>
                <w:color w:val="000000"/>
                <w:sz w:val="24"/>
                <w:szCs w:val="24"/>
                <w:highlight w:val="none"/>
              </w:rPr>
            </w:pPr>
          </w:p>
        </w:tc>
      </w:tr>
      <w:tr w14:paraId="66130A81">
        <w:tblPrEx>
          <w:tblCellMar>
            <w:top w:w="0" w:type="dxa"/>
            <w:left w:w="28" w:type="dxa"/>
            <w:bottom w:w="0" w:type="dxa"/>
            <w:right w:w="28" w:type="dxa"/>
          </w:tblCellMar>
        </w:tblPrEx>
        <w:trPr>
          <w:trHeight w:val="567" w:hRule="atLeast"/>
          <w:jc w:val="center"/>
        </w:trPr>
        <w:tc>
          <w:tcPr>
            <w:tcW w:w="2015" w:type="dxa"/>
            <w:tcBorders>
              <w:top w:val="single" w:color="auto" w:sz="4" w:space="0"/>
              <w:left w:val="single" w:color="auto" w:sz="4" w:space="0"/>
              <w:bottom w:val="single" w:color="auto" w:sz="4" w:space="0"/>
              <w:right w:val="single" w:color="auto" w:sz="4" w:space="0"/>
            </w:tcBorders>
            <w:noWrap w:val="0"/>
            <w:vAlign w:val="center"/>
          </w:tcPr>
          <w:p w14:paraId="20BC5776">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注册地址</w:t>
            </w:r>
          </w:p>
        </w:tc>
        <w:tc>
          <w:tcPr>
            <w:tcW w:w="4203" w:type="dxa"/>
            <w:gridSpan w:val="4"/>
            <w:tcBorders>
              <w:top w:val="single" w:color="auto" w:sz="4" w:space="0"/>
              <w:left w:val="nil"/>
              <w:bottom w:val="single" w:color="auto" w:sz="4" w:space="0"/>
              <w:right w:val="single" w:color="auto" w:sz="4" w:space="0"/>
            </w:tcBorders>
            <w:noWrap w:val="0"/>
            <w:vAlign w:val="center"/>
          </w:tcPr>
          <w:p w14:paraId="6BDB14B7">
            <w:pPr>
              <w:spacing w:line="360" w:lineRule="auto"/>
              <w:jc w:val="center"/>
              <w:rPr>
                <w:rFonts w:hint="eastAsia" w:ascii="宋体" w:hAnsi="宋体" w:eastAsia="宋体" w:cs="宋体"/>
                <w:color w:val="000000"/>
                <w:sz w:val="24"/>
                <w:szCs w:val="24"/>
                <w:highlight w:val="none"/>
              </w:rPr>
            </w:pPr>
          </w:p>
        </w:tc>
        <w:tc>
          <w:tcPr>
            <w:tcW w:w="1107" w:type="dxa"/>
            <w:tcBorders>
              <w:top w:val="single" w:color="auto" w:sz="4" w:space="0"/>
              <w:left w:val="nil"/>
              <w:bottom w:val="single" w:color="auto" w:sz="4" w:space="0"/>
              <w:right w:val="single" w:color="auto" w:sz="4" w:space="0"/>
            </w:tcBorders>
            <w:noWrap w:val="0"/>
            <w:vAlign w:val="center"/>
          </w:tcPr>
          <w:p w14:paraId="005CB477">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邮政编码</w:t>
            </w:r>
          </w:p>
        </w:tc>
        <w:tc>
          <w:tcPr>
            <w:tcW w:w="2369" w:type="dxa"/>
            <w:gridSpan w:val="3"/>
            <w:tcBorders>
              <w:top w:val="single" w:color="auto" w:sz="4" w:space="0"/>
              <w:left w:val="nil"/>
              <w:bottom w:val="single" w:color="auto" w:sz="4" w:space="0"/>
              <w:right w:val="single" w:color="auto" w:sz="4" w:space="0"/>
            </w:tcBorders>
            <w:noWrap w:val="0"/>
            <w:vAlign w:val="center"/>
          </w:tcPr>
          <w:p w14:paraId="44C4C54C">
            <w:pPr>
              <w:spacing w:line="360" w:lineRule="auto"/>
              <w:jc w:val="center"/>
              <w:rPr>
                <w:rFonts w:hint="eastAsia" w:ascii="宋体" w:hAnsi="宋体" w:eastAsia="宋体" w:cs="宋体"/>
                <w:color w:val="000000"/>
                <w:sz w:val="24"/>
                <w:szCs w:val="24"/>
                <w:highlight w:val="none"/>
              </w:rPr>
            </w:pPr>
          </w:p>
        </w:tc>
      </w:tr>
      <w:tr w14:paraId="70264A4F">
        <w:tblPrEx>
          <w:tblCellMar>
            <w:top w:w="0" w:type="dxa"/>
            <w:left w:w="28" w:type="dxa"/>
            <w:bottom w:w="0" w:type="dxa"/>
            <w:right w:w="28" w:type="dxa"/>
          </w:tblCellMar>
        </w:tblPrEx>
        <w:trPr>
          <w:trHeight w:val="657" w:hRule="atLeast"/>
          <w:jc w:val="center"/>
        </w:trPr>
        <w:tc>
          <w:tcPr>
            <w:tcW w:w="2015" w:type="dxa"/>
            <w:vMerge w:val="restart"/>
            <w:tcBorders>
              <w:top w:val="nil"/>
              <w:left w:val="single" w:color="auto" w:sz="4" w:space="0"/>
              <w:bottom w:val="single" w:color="auto" w:sz="4" w:space="0"/>
              <w:right w:val="single" w:color="auto" w:sz="4" w:space="0"/>
            </w:tcBorders>
            <w:noWrap w:val="0"/>
            <w:vAlign w:val="center"/>
          </w:tcPr>
          <w:p w14:paraId="0E42D011">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联系方式</w:t>
            </w:r>
          </w:p>
        </w:tc>
        <w:tc>
          <w:tcPr>
            <w:tcW w:w="1095" w:type="dxa"/>
            <w:tcBorders>
              <w:top w:val="single" w:color="auto" w:sz="4" w:space="0"/>
              <w:left w:val="nil"/>
              <w:bottom w:val="single" w:color="auto" w:sz="4" w:space="0"/>
              <w:right w:val="single" w:color="auto" w:sz="4" w:space="0"/>
            </w:tcBorders>
            <w:noWrap w:val="0"/>
            <w:vAlign w:val="center"/>
          </w:tcPr>
          <w:p w14:paraId="42933244">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联系人</w:t>
            </w:r>
          </w:p>
        </w:tc>
        <w:tc>
          <w:tcPr>
            <w:tcW w:w="3108" w:type="dxa"/>
            <w:gridSpan w:val="3"/>
            <w:tcBorders>
              <w:top w:val="single" w:color="auto" w:sz="4" w:space="0"/>
              <w:left w:val="nil"/>
              <w:bottom w:val="single" w:color="auto" w:sz="4" w:space="0"/>
              <w:right w:val="single" w:color="auto" w:sz="4" w:space="0"/>
            </w:tcBorders>
            <w:noWrap w:val="0"/>
            <w:vAlign w:val="center"/>
          </w:tcPr>
          <w:p w14:paraId="245E2E42">
            <w:pPr>
              <w:spacing w:line="360" w:lineRule="auto"/>
              <w:jc w:val="center"/>
              <w:rPr>
                <w:rFonts w:hint="eastAsia" w:ascii="宋体" w:hAnsi="宋体" w:eastAsia="宋体" w:cs="宋体"/>
                <w:color w:val="000000"/>
                <w:sz w:val="24"/>
                <w:szCs w:val="24"/>
                <w:highlight w:val="none"/>
              </w:rPr>
            </w:pPr>
          </w:p>
        </w:tc>
        <w:tc>
          <w:tcPr>
            <w:tcW w:w="1107" w:type="dxa"/>
            <w:tcBorders>
              <w:top w:val="single" w:color="auto" w:sz="4" w:space="0"/>
              <w:left w:val="nil"/>
              <w:bottom w:val="single" w:color="auto" w:sz="4" w:space="0"/>
              <w:right w:val="single" w:color="auto" w:sz="4" w:space="0"/>
            </w:tcBorders>
            <w:noWrap w:val="0"/>
            <w:vAlign w:val="center"/>
          </w:tcPr>
          <w:p w14:paraId="08D5187A">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电话</w:t>
            </w:r>
          </w:p>
        </w:tc>
        <w:tc>
          <w:tcPr>
            <w:tcW w:w="2369" w:type="dxa"/>
            <w:gridSpan w:val="3"/>
            <w:tcBorders>
              <w:top w:val="single" w:color="auto" w:sz="4" w:space="0"/>
              <w:left w:val="nil"/>
              <w:bottom w:val="single" w:color="auto" w:sz="4" w:space="0"/>
              <w:right w:val="single" w:color="auto" w:sz="4" w:space="0"/>
            </w:tcBorders>
            <w:noWrap w:val="0"/>
            <w:vAlign w:val="center"/>
          </w:tcPr>
          <w:p w14:paraId="4873E16E">
            <w:pPr>
              <w:spacing w:line="360" w:lineRule="auto"/>
              <w:jc w:val="center"/>
              <w:rPr>
                <w:rFonts w:hint="eastAsia" w:ascii="宋体" w:hAnsi="宋体" w:eastAsia="宋体" w:cs="宋体"/>
                <w:color w:val="000000"/>
                <w:sz w:val="24"/>
                <w:szCs w:val="24"/>
                <w:highlight w:val="none"/>
              </w:rPr>
            </w:pPr>
          </w:p>
        </w:tc>
      </w:tr>
      <w:tr w14:paraId="0F0C5D60">
        <w:tblPrEx>
          <w:tblCellMar>
            <w:top w:w="0" w:type="dxa"/>
            <w:left w:w="28" w:type="dxa"/>
            <w:bottom w:w="0" w:type="dxa"/>
            <w:right w:w="28" w:type="dxa"/>
          </w:tblCellMar>
        </w:tblPrEx>
        <w:trPr>
          <w:trHeight w:val="567" w:hRule="atLeast"/>
          <w:jc w:val="center"/>
        </w:trPr>
        <w:tc>
          <w:tcPr>
            <w:tcW w:w="2015" w:type="dxa"/>
            <w:vMerge w:val="continue"/>
            <w:tcBorders>
              <w:top w:val="nil"/>
              <w:left w:val="single" w:color="auto" w:sz="4" w:space="0"/>
              <w:bottom w:val="single" w:color="auto" w:sz="4" w:space="0"/>
              <w:right w:val="single" w:color="auto" w:sz="4" w:space="0"/>
            </w:tcBorders>
            <w:noWrap w:val="0"/>
            <w:vAlign w:val="center"/>
          </w:tcPr>
          <w:p w14:paraId="084EC9ED">
            <w:pPr>
              <w:widowControl/>
              <w:spacing w:line="360" w:lineRule="auto"/>
              <w:rPr>
                <w:rFonts w:hint="eastAsia" w:ascii="宋体" w:hAnsi="宋体" w:eastAsia="宋体" w:cs="宋体"/>
                <w:color w:val="000000"/>
                <w:sz w:val="24"/>
                <w:szCs w:val="24"/>
                <w:highlight w:val="none"/>
              </w:rPr>
            </w:pPr>
          </w:p>
        </w:tc>
        <w:tc>
          <w:tcPr>
            <w:tcW w:w="1095" w:type="dxa"/>
            <w:tcBorders>
              <w:top w:val="single" w:color="auto" w:sz="4" w:space="0"/>
              <w:left w:val="nil"/>
              <w:bottom w:val="single" w:color="auto" w:sz="4" w:space="0"/>
              <w:right w:val="single" w:color="auto" w:sz="4" w:space="0"/>
            </w:tcBorders>
            <w:noWrap w:val="0"/>
            <w:vAlign w:val="center"/>
          </w:tcPr>
          <w:p w14:paraId="2DD55345">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传真</w:t>
            </w:r>
          </w:p>
        </w:tc>
        <w:tc>
          <w:tcPr>
            <w:tcW w:w="3108" w:type="dxa"/>
            <w:gridSpan w:val="3"/>
            <w:tcBorders>
              <w:top w:val="single" w:color="auto" w:sz="4" w:space="0"/>
              <w:left w:val="nil"/>
              <w:bottom w:val="single" w:color="auto" w:sz="4" w:space="0"/>
              <w:right w:val="single" w:color="auto" w:sz="4" w:space="0"/>
            </w:tcBorders>
            <w:noWrap w:val="0"/>
            <w:vAlign w:val="center"/>
          </w:tcPr>
          <w:p w14:paraId="22AE99D3">
            <w:pPr>
              <w:spacing w:line="360" w:lineRule="auto"/>
              <w:jc w:val="center"/>
              <w:rPr>
                <w:rFonts w:hint="eastAsia" w:ascii="宋体" w:hAnsi="宋体" w:eastAsia="宋体" w:cs="宋体"/>
                <w:color w:val="000000"/>
                <w:sz w:val="24"/>
                <w:szCs w:val="24"/>
                <w:highlight w:val="none"/>
              </w:rPr>
            </w:pPr>
          </w:p>
        </w:tc>
        <w:tc>
          <w:tcPr>
            <w:tcW w:w="1107" w:type="dxa"/>
            <w:tcBorders>
              <w:top w:val="single" w:color="auto" w:sz="4" w:space="0"/>
              <w:left w:val="nil"/>
              <w:bottom w:val="single" w:color="auto" w:sz="4" w:space="0"/>
              <w:right w:val="single" w:color="auto" w:sz="4" w:space="0"/>
            </w:tcBorders>
            <w:noWrap w:val="0"/>
            <w:vAlign w:val="center"/>
          </w:tcPr>
          <w:p w14:paraId="7FA887BC">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网址</w:t>
            </w:r>
          </w:p>
        </w:tc>
        <w:tc>
          <w:tcPr>
            <w:tcW w:w="2369" w:type="dxa"/>
            <w:gridSpan w:val="3"/>
            <w:tcBorders>
              <w:top w:val="single" w:color="auto" w:sz="4" w:space="0"/>
              <w:left w:val="nil"/>
              <w:bottom w:val="single" w:color="auto" w:sz="4" w:space="0"/>
              <w:right w:val="single" w:color="auto" w:sz="4" w:space="0"/>
            </w:tcBorders>
            <w:noWrap w:val="0"/>
            <w:vAlign w:val="center"/>
          </w:tcPr>
          <w:p w14:paraId="7D8C7017">
            <w:pPr>
              <w:spacing w:line="360" w:lineRule="auto"/>
              <w:jc w:val="center"/>
              <w:rPr>
                <w:rFonts w:hint="eastAsia" w:ascii="宋体" w:hAnsi="宋体" w:eastAsia="宋体" w:cs="宋体"/>
                <w:color w:val="000000"/>
                <w:sz w:val="24"/>
                <w:szCs w:val="24"/>
                <w:highlight w:val="none"/>
              </w:rPr>
            </w:pPr>
          </w:p>
        </w:tc>
      </w:tr>
      <w:tr w14:paraId="10BC3D1C">
        <w:tblPrEx>
          <w:tblCellMar>
            <w:top w:w="0" w:type="dxa"/>
            <w:left w:w="28" w:type="dxa"/>
            <w:bottom w:w="0" w:type="dxa"/>
            <w:right w:w="28" w:type="dxa"/>
          </w:tblCellMar>
        </w:tblPrEx>
        <w:trPr>
          <w:trHeight w:val="567" w:hRule="atLeast"/>
          <w:jc w:val="center"/>
        </w:trPr>
        <w:tc>
          <w:tcPr>
            <w:tcW w:w="2015" w:type="dxa"/>
            <w:tcBorders>
              <w:top w:val="single" w:color="auto" w:sz="4" w:space="0"/>
              <w:left w:val="single" w:color="auto" w:sz="4" w:space="0"/>
              <w:bottom w:val="single" w:color="auto" w:sz="4" w:space="0"/>
              <w:right w:val="single" w:color="auto" w:sz="4" w:space="0"/>
            </w:tcBorders>
            <w:noWrap w:val="0"/>
            <w:vAlign w:val="center"/>
          </w:tcPr>
          <w:p w14:paraId="0033BC63">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组织结构</w:t>
            </w:r>
          </w:p>
        </w:tc>
        <w:tc>
          <w:tcPr>
            <w:tcW w:w="7679" w:type="dxa"/>
            <w:gridSpan w:val="8"/>
            <w:tcBorders>
              <w:top w:val="single" w:color="auto" w:sz="4" w:space="0"/>
              <w:left w:val="nil"/>
              <w:bottom w:val="single" w:color="auto" w:sz="4" w:space="0"/>
              <w:right w:val="single" w:color="auto" w:sz="4" w:space="0"/>
            </w:tcBorders>
            <w:noWrap w:val="0"/>
            <w:vAlign w:val="center"/>
          </w:tcPr>
          <w:p w14:paraId="6D632A8B">
            <w:pPr>
              <w:spacing w:line="360" w:lineRule="auto"/>
              <w:jc w:val="center"/>
              <w:rPr>
                <w:rFonts w:hint="eastAsia" w:ascii="宋体" w:hAnsi="宋体" w:eastAsia="宋体" w:cs="宋体"/>
                <w:color w:val="000000"/>
                <w:sz w:val="24"/>
                <w:szCs w:val="24"/>
                <w:highlight w:val="none"/>
              </w:rPr>
            </w:pPr>
          </w:p>
        </w:tc>
      </w:tr>
      <w:tr w14:paraId="7FB38C3D">
        <w:tblPrEx>
          <w:tblCellMar>
            <w:top w:w="0" w:type="dxa"/>
            <w:left w:w="28" w:type="dxa"/>
            <w:bottom w:w="0" w:type="dxa"/>
            <w:right w:w="28" w:type="dxa"/>
          </w:tblCellMar>
        </w:tblPrEx>
        <w:trPr>
          <w:trHeight w:val="567" w:hRule="atLeast"/>
          <w:jc w:val="center"/>
        </w:trPr>
        <w:tc>
          <w:tcPr>
            <w:tcW w:w="2015" w:type="dxa"/>
            <w:tcBorders>
              <w:top w:val="single" w:color="auto" w:sz="4" w:space="0"/>
              <w:left w:val="single" w:color="auto" w:sz="4" w:space="0"/>
              <w:bottom w:val="single" w:color="auto" w:sz="4" w:space="0"/>
              <w:right w:val="single" w:color="auto" w:sz="4" w:space="0"/>
            </w:tcBorders>
            <w:noWrap w:val="0"/>
            <w:vAlign w:val="center"/>
          </w:tcPr>
          <w:p w14:paraId="575246A4">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w:t>
            </w:r>
          </w:p>
        </w:tc>
        <w:tc>
          <w:tcPr>
            <w:tcW w:w="1095" w:type="dxa"/>
            <w:tcBorders>
              <w:top w:val="single" w:color="auto" w:sz="4" w:space="0"/>
              <w:left w:val="nil"/>
              <w:bottom w:val="single" w:color="auto" w:sz="4" w:space="0"/>
              <w:right w:val="single" w:color="auto" w:sz="4" w:space="0"/>
            </w:tcBorders>
            <w:noWrap w:val="0"/>
            <w:vAlign w:val="center"/>
          </w:tcPr>
          <w:p w14:paraId="6A83257B">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姓名</w:t>
            </w:r>
          </w:p>
        </w:tc>
        <w:tc>
          <w:tcPr>
            <w:tcW w:w="1834" w:type="dxa"/>
            <w:tcBorders>
              <w:top w:val="single" w:color="auto" w:sz="4" w:space="0"/>
              <w:left w:val="nil"/>
              <w:bottom w:val="single" w:color="auto" w:sz="4" w:space="0"/>
              <w:right w:val="single" w:color="auto" w:sz="4" w:space="0"/>
            </w:tcBorders>
            <w:noWrap w:val="0"/>
            <w:vAlign w:val="center"/>
          </w:tcPr>
          <w:p w14:paraId="245D46BC">
            <w:pPr>
              <w:spacing w:line="360" w:lineRule="auto"/>
              <w:jc w:val="center"/>
              <w:rPr>
                <w:rFonts w:hint="eastAsia" w:ascii="宋体" w:hAnsi="宋体" w:eastAsia="宋体" w:cs="宋体"/>
                <w:color w:val="000000"/>
                <w:sz w:val="24"/>
                <w:szCs w:val="24"/>
                <w:highlight w:val="none"/>
              </w:rPr>
            </w:pPr>
          </w:p>
        </w:tc>
        <w:tc>
          <w:tcPr>
            <w:tcW w:w="1274" w:type="dxa"/>
            <w:gridSpan w:val="2"/>
            <w:tcBorders>
              <w:top w:val="single" w:color="auto" w:sz="4" w:space="0"/>
              <w:left w:val="nil"/>
              <w:bottom w:val="single" w:color="auto" w:sz="4" w:space="0"/>
              <w:right w:val="single" w:color="auto" w:sz="4" w:space="0"/>
            </w:tcBorders>
            <w:noWrap w:val="0"/>
            <w:vAlign w:val="center"/>
          </w:tcPr>
          <w:p w14:paraId="38F0D7B0">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技术职称</w:t>
            </w:r>
          </w:p>
        </w:tc>
        <w:tc>
          <w:tcPr>
            <w:tcW w:w="1287" w:type="dxa"/>
            <w:gridSpan w:val="2"/>
            <w:tcBorders>
              <w:top w:val="single" w:color="auto" w:sz="4" w:space="0"/>
              <w:left w:val="nil"/>
              <w:bottom w:val="single" w:color="auto" w:sz="4" w:space="0"/>
              <w:right w:val="single" w:color="auto" w:sz="4" w:space="0"/>
            </w:tcBorders>
            <w:noWrap w:val="0"/>
            <w:vAlign w:val="center"/>
          </w:tcPr>
          <w:p w14:paraId="275550A1">
            <w:pPr>
              <w:spacing w:line="360" w:lineRule="auto"/>
              <w:jc w:val="center"/>
              <w:rPr>
                <w:rFonts w:hint="eastAsia" w:ascii="宋体" w:hAnsi="宋体" w:eastAsia="宋体" w:cs="宋体"/>
                <w:color w:val="000000"/>
                <w:sz w:val="24"/>
                <w:szCs w:val="24"/>
                <w:highlight w:val="none"/>
              </w:rPr>
            </w:pPr>
          </w:p>
        </w:tc>
        <w:tc>
          <w:tcPr>
            <w:tcW w:w="735" w:type="dxa"/>
            <w:tcBorders>
              <w:top w:val="single" w:color="auto" w:sz="4" w:space="0"/>
              <w:left w:val="nil"/>
              <w:bottom w:val="single" w:color="auto" w:sz="4" w:space="0"/>
              <w:right w:val="single" w:color="auto" w:sz="4" w:space="0"/>
            </w:tcBorders>
            <w:noWrap w:val="0"/>
            <w:vAlign w:val="center"/>
          </w:tcPr>
          <w:p w14:paraId="2E9072CE">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电话</w:t>
            </w:r>
          </w:p>
        </w:tc>
        <w:tc>
          <w:tcPr>
            <w:tcW w:w="1454" w:type="dxa"/>
            <w:tcBorders>
              <w:top w:val="single" w:color="auto" w:sz="4" w:space="0"/>
              <w:left w:val="nil"/>
              <w:bottom w:val="single" w:color="auto" w:sz="4" w:space="0"/>
              <w:right w:val="single" w:color="auto" w:sz="4" w:space="0"/>
            </w:tcBorders>
            <w:noWrap w:val="0"/>
            <w:vAlign w:val="center"/>
          </w:tcPr>
          <w:p w14:paraId="22A6224B">
            <w:pPr>
              <w:spacing w:line="360" w:lineRule="auto"/>
              <w:jc w:val="center"/>
              <w:rPr>
                <w:rFonts w:hint="eastAsia" w:ascii="宋体" w:hAnsi="宋体" w:eastAsia="宋体" w:cs="宋体"/>
                <w:color w:val="000000"/>
                <w:sz w:val="24"/>
                <w:szCs w:val="24"/>
                <w:highlight w:val="none"/>
              </w:rPr>
            </w:pPr>
          </w:p>
        </w:tc>
      </w:tr>
      <w:tr w14:paraId="7E1EB7AB">
        <w:tblPrEx>
          <w:tblCellMar>
            <w:top w:w="0" w:type="dxa"/>
            <w:left w:w="28" w:type="dxa"/>
            <w:bottom w:w="0" w:type="dxa"/>
            <w:right w:w="28" w:type="dxa"/>
          </w:tblCellMar>
        </w:tblPrEx>
        <w:trPr>
          <w:trHeight w:val="567" w:hRule="atLeast"/>
          <w:jc w:val="center"/>
        </w:trPr>
        <w:tc>
          <w:tcPr>
            <w:tcW w:w="2015" w:type="dxa"/>
            <w:tcBorders>
              <w:top w:val="single" w:color="auto" w:sz="4" w:space="0"/>
              <w:left w:val="single" w:color="auto" w:sz="4" w:space="0"/>
              <w:bottom w:val="single" w:color="auto" w:sz="4" w:space="0"/>
              <w:right w:val="single" w:color="auto" w:sz="4" w:space="0"/>
            </w:tcBorders>
            <w:noWrap w:val="0"/>
            <w:vAlign w:val="center"/>
          </w:tcPr>
          <w:p w14:paraId="778B6927">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项目负责人</w:t>
            </w:r>
          </w:p>
        </w:tc>
        <w:tc>
          <w:tcPr>
            <w:tcW w:w="1095" w:type="dxa"/>
            <w:tcBorders>
              <w:top w:val="single" w:color="auto" w:sz="4" w:space="0"/>
              <w:left w:val="nil"/>
              <w:bottom w:val="single" w:color="auto" w:sz="4" w:space="0"/>
              <w:right w:val="single" w:color="auto" w:sz="4" w:space="0"/>
            </w:tcBorders>
            <w:noWrap w:val="0"/>
            <w:vAlign w:val="center"/>
          </w:tcPr>
          <w:p w14:paraId="346134F0">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姓名</w:t>
            </w:r>
          </w:p>
        </w:tc>
        <w:tc>
          <w:tcPr>
            <w:tcW w:w="1834" w:type="dxa"/>
            <w:tcBorders>
              <w:top w:val="single" w:color="auto" w:sz="4" w:space="0"/>
              <w:left w:val="nil"/>
              <w:bottom w:val="single" w:color="auto" w:sz="4" w:space="0"/>
              <w:right w:val="single" w:color="auto" w:sz="4" w:space="0"/>
            </w:tcBorders>
            <w:noWrap w:val="0"/>
            <w:vAlign w:val="center"/>
          </w:tcPr>
          <w:p w14:paraId="21918AC5">
            <w:pPr>
              <w:spacing w:line="360" w:lineRule="auto"/>
              <w:jc w:val="center"/>
              <w:rPr>
                <w:rFonts w:hint="eastAsia" w:ascii="宋体" w:hAnsi="宋体" w:eastAsia="宋体" w:cs="宋体"/>
                <w:color w:val="000000"/>
                <w:sz w:val="24"/>
                <w:szCs w:val="24"/>
                <w:highlight w:val="none"/>
              </w:rPr>
            </w:pPr>
          </w:p>
        </w:tc>
        <w:tc>
          <w:tcPr>
            <w:tcW w:w="1274" w:type="dxa"/>
            <w:gridSpan w:val="2"/>
            <w:tcBorders>
              <w:top w:val="single" w:color="auto" w:sz="4" w:space="0"/>
              <w:left w:val="nil"/>
              <w:bottom w:val="single" w:color="auto" w:sz="4" w:space="0"/>
              <w:right w:val="single" w:color="auto" w:sz="4" w:space="0"/>
            </w:tcBorders>
            <w:noWrap w:val="0"/>
            <w:vAlign w:val="center"/>
          </w:tcPr>
          <w:p w14:paraId="58C36E6E">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技术职称</w:t>
            </w:r>
          </w:p>
        </w:tc>
        <w:tc>
          <w:tcPr>
            <w:tcW w:w="1287" w:type="dxa"/>
            <w:gridSpan w:val="2"/>
            <w:tcBorders>
              <w:top w:val="single" w:color="auto" w:sz="4" w:space="0"/>
              <w:left w:val="nil"/>
              <w:bottom w:val="single" w:color="auto" w:sz="4" w:space="0"/>
              <w:right w:val="single" w:color="auto" w:sz="4" w:space="0"/>
            </w:tcBorders>
            <w:noWrap w:val="0"/>
            <w:vAlign w:val="center"/>
          </w:tcPr>
          <w:p w14:paraId="3F5E8434">
            <w:pPr>
              <w:spacing w:line="360" w:lineRule="auto"/>
              <w:jc w:val="center"/>
              <w:rPr>
                <w:rFonts w:hint="eastAsia" w:ascii="宋体" w:hAnsi="宋体" w:eastAsia="宋体" w:cs="宋体"/>
                <w:color w:val="000000"/>
                <w:sz w:val="24"/>
                <w:szCs w:val="24"/>
                <w:highlight w:val="none"/>
              </w:rPr>
            </w:pPr>
          </w:p>
        </w:tc>
        <w:tc>
          <w:tcPr>
            <w:tcW w:w="735" w:type="dxa"/>
            <w:tcBorders>
              <w:top w:val="single" w:color="auto" w:sz="4" w:space="0"/>
              <w:left w:val="nil"/>
              <w:bottom w:val="single" w:color="auto" w:sz="4" w:space="0"/>
              <w:right w:val="single" w:color="auto" w:sz="4" w:space="0"/>
            </w:tcBorders>
            <w:noWrap w:val="0"/>
            <w:vAlign w:val="center"/>
          </w:tcPr>
          <w:p w14:paraId="67077852">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电话</w:t>
            </w:r>
          </w:p>
        </w:tc>
        <w:tc>
          <w:tcPr>
            <w:tcW w:w="1454" w:type="dxa"/>
            <w:tcBorders>
              <w:top w:val="single" w:color="auto" w:sz="4" w:space="0"/>
              <w:left w:val="nil"/>
              <w:bottom w:val="single" w:color="auto" w:sz="4" w:space="0"/>
              <w:right w:val="single" w:color="auto" w:sz="4" w:space="0"/>
            </w:tcBorders>
            <w:noWrap w:val="0"/>
            <w:vAlign w:val="center"/>
          </w:tcPr>
          <w:p w14:paraId="782E7483">
            <w:pPr>
              <w:spacing w:line="360" w:lineRule="auto"/>
              <w:jc w:val="center"/>
              <w:rPr>
                <w:rFonts w:hint="eastAsia" w:ascii="宋体" w:hAnsi="宋体" w:eastAsia="宋体" w:cs="宋体"/>
                <w:color w:val="000000"/>
                <w:sz w:val="24"/>
                <w:szCs w:val="24"/>
                <w:highlight w:val="none"/>
              </w:rPr>
            </w:pPr>
          </w:p>
        </w:tc>
      </w:tr>
      <w:tr w14:paraId="19863392">
        <w:tblPrEx>
          <w:tblCellMar>
            <w:top w:w="0" w:type="dxa"/>
            <w:left w:w="28" w:type="dxa"/>
            <w:bottom w:w="0" w:type="dxa"/>
            <w:right w:w="28" w:type="dxa"/>
          </w:tblCellMar>
        </w:tblPrEx>
        <w:trPr>
          <w:trHeight w:val="567" w:hRule="atLeast"/>
          <w:jc w:val="center"/>
        </w:trPr>
        <w:tc>
          <w:tcPr>
            <w:tcW w:w="2015" w:type="dxa"/>
            <w:tcBorders>
              <w:top w:val="single" w:color="auto" w:sz="4" w:space="0"/>
              <w:left w:val="single" w:color="auto" w:sz="4" w:space="0"/>
              <w:bottom w:val="single" w:color="auto" w:sz="4" w:space="0"/>
              <w:right w:val="single" w:color="auto" w:sz="4" w:space="0"/>
            </w:tcBorders>
            <w:noWrap w:val="0"/>
            <w:vAlign w:val="center"/>
          </w:tcPr>
          <w:p w14:paraId="58A0A453">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成立时间</w:t>
            </w:r>
          </w:p>
        </w:tc>
        <w:tc>
          <w:tcPr>
            <w:tcW w:w="2929" w:type="dxa"/>
            <w:gridSpan w:val="2"/>
            <w:tcBorders>
              <w:top w:val="single" w:color="auto" w:sz="4" w:space="0"/>
              <w:left w:val="nil"/>
              <w:bottom w:val="single" w:color="auto" w:sz="4" w:space="0"/>
              <w:right w:val="single" w:color="auto" w:sz="4" w:space="0"/>
            </w:tcBorders>
            <w:noWrap w:val="0"/>
            <w:vAlign w:val="center"/>
          </w:tcPr>
          <w:p w14:paraId="1BD73DC0">
            <w:pPr>
              <w:spacing w:line="360" w:lineRule="auto"/>
              <w:jc w:val="center"/>
              <w:rPr>
                <w:rFonts w:hint="eastAsia" w:ascii="宋体" w:hAnsi="宋体" w:eastAsia="宋体" w:cs="宋体"/>
                <w:color w:val="000000"/>
                <w:sz w:val="24"/>
                <w:szCs w:val="24"/>
                <w:highlight w:val="none"/>
              </w:rPr>
            </w:pPr>
          </w:p>
        </w:tc>
        <w:tc>
          <w:tcPr>
            <w:tcW w:w="4750" w:type="dxa"/>
            <w:gridSpan w:val="6"/>
            <w:tcBorders>
              <w:top w:val="single" w:color="auto" w:sz="4" w:space="0"/>
              <w:left w:val="nil"/>
              <w:bottom w:val="single" w:color="auto" w:sz="4" w:space="0"/>
              <w:right w:val="single" w:color="auto" w:sz="4" w:space="0"/>
            </w:tcBorders>
            <w:noWrap w:val="0"/>
            <w:vAlign w:val="center"/>
          </w:tcPr>
          <w:p w14:paraId="11554FCB">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员工总人数：</w:t>
            </w:r>
          </w:p>
        </w:tc>
      </w:tr>
      <w:tr w14:paraId="68600F96">
        <w:tblPrEx>
          <w:tblCellMar>
            <w:top w:w="0" w:type="dxa"/>
            <w:left w:w="28" w:type="dxa"/>
            <w:bottom w:w="0" w:type="dxa"/>
            <w:right w:w="28" w:type="dxa"/>
          </w:tblCellMar>
        </w:tblPrEx>
        <w:trPr>
          <w:trHeight w:val="567" w:hRule="atLeast"/>
          <w:jc w:val="center"/>
        </w:trPr>
        <w:tc>
          <w:tcPr>
            <w:tcW w:w="2015" w:type="dxa"/>
            <w:tcBorders>
              <w:top w:val="single" w:color="auto" w:sz="4" w:space="0"/>
              <w:left w:val="single" w:color="auto" w:sz="4" w:space="0"/>
              <w:bottom w:val="single" w:color="auto" w:sz="4" w:space="0"/>
              <w:right w:val="single" w:color="auto" w:sz="4" w:space="0"/>
            </w:tcBorders>
            <w:noWrap w:val="0"/>
            <w:vAlign w:val="center"/>
          </w:tcPr>
          <w:p w14:paraId="57A98828">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营业执照号</w:t>
            </w:r>
          </w:p>
        </w:tc>
        <w:tc>
          <w:tcPr>
            <w:tcW w:w="2929" w:type="dxa"/>
            <w:gridSpan w:val="2"/>
            <w:tcBorders>
              <w:top w:val="single" w:color="auto" w:sz="4" w:space="0"/>
              <w:left w:val="nil"/>
              <w:bottom w:val="single" w:color="auto" w:sz="4" w:space="0"/>
              <w:right w:val="single" w:color="auto" w:sz="4" w:space="0"/>
            </w:tcBorders>
            <w:noWrap w:val="0"/>
            <w:vAlign w:val="center"/>
          </w:tcPr>
          <w:p w14:paraId="1368D2BD">
            <w:pPr>
              <w:spacing w:line="360" w:lineRule="auto"/>
              <w:jc w:val="center"/>
              <w:rPr>
                <w:rFonts w:hint="eastAsia" w:ascii="宋体" w:hAnsi="宋体" w:eastAsia="宋体" w:cs="宋体"/>
                <w:color w:val="000000"/>
                <w:sz w:val="24"/>
                <w:szCs w:val="24"/>
                <w:highlight w:val="none"/>
              </w:rPr>
            </w:pPr>
          </w:p>
        </w:tc>
        <w:tc>
          <w:tcPr>
            <w:tcW w:w="727" w:type="dxa"/>
            <w:vMerge w:val="restart"/>
            <w:tcBorders>
              <w:top w:val="nil"/>
              <w:left w:val="nil"/>
              <w:bottom w:val="single" w:color="auto" w:sz="4" w:space="0"/>
              <w:right w:val="single" w:color="auto" w:sz="4" w:space="0"/>
            </w:tcBorders>
            <w:noWrap w:val="0"/>
            <w:vAlign w:val="center"/>
          </w:tcPr>
          <w:p w14:paraId="36B015B7">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其中</w:t>
            </w:r>
          </w:p>
        </w:tc>
        <w:tc>
          <w:tcPr>
            <w:tcW w:w="1834" w:type="dxa"/>
            <w:gridSpan w:val="3"/>
            <w:tcBorders>
              <w:top w:val="single" w:color="auto" w:sz="4" w:space="0"/>
              <w:left w:val="nil"/>
              <w:bottom w:val="single" w:color="auto" w:sz="4" w:space="0"/>
              <w:right w:val="single" w:color="auto" w:sz="4" w:space="0"/>
            </w:tcBorders>
            <w:noWrap w:val="0"/>
            <w:vAlign w:val="center"/>
          </w:tcPr>
          <w:p w14:paraId="2F6C3017">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高级职称人员</w:t>
            </w:r>
          </w:p>
        </w:tc>
        <w:tc>
          <w:tcPr>
            <w:tcW w:w="2189" w:type="dxa"/>
            <w:gridSpan w:val="2"/>
            <w:tcBorders>
              <w:top w:val="single" w:color="auto" w:sz="4" w:space="0"/>
              <w:left w:val="nil"/>
              <w:bottom w:val="single" w:color="auto" w:sz="4" w:space="0"/>
              <w:right w:val="single" w:color="auto" w:sz="4" w:space="0"/>
            </w:tcBorders>
            <w:noWrap w:val="0"/>
            <w:vAlign w:val="center"/>
          </w:tcPr>
          <w:p w14:paraId="3BB84BB2">
            <w:pPr>
              <w:spacing w:line="360" w:lineRule="auto"/>
              <w:jc w:val="center"/>
              <w:rPr>
                <w:rFonts w:hint="eastAsia" w:ascii="宋体" w:hAnsi="宋体" w:eastAsia="宋体" w:cs="宋体"/>
                <w:color w:val="000000"/>
                <w:sz w:val="24"/>
                <w:szCs w:val="24"/>
                <w:highlight w:val="none"/>
              </w:rPr>
            </w:pPr>
          </w:p>
        </w:tc>
      </w:tr>
      <w:tr w14:paraId="6A9C7EEB">
        <w:tblPrEx>
          <w:tblCellMar>
            <w:top w:w="0" w:type="dxa"/>
            <w:left w:w="28" w:type="dxa"/>
            <w:bottom w:w="0" w:type="dxa"/>
            <w:right w:w="28" w:type="dxa"/>
          </w:tblCellMar>
        </w:tblPrEx>
        <w:trPr>
          <w:trHeight w:val="567" w:hRule="atLeast"/>
          <w:jc w:val="center"/>
        </w:trPr>
        <w:tc>
          <w:tcPr>
            <w:tcW w:w="2015" w:type="dxa"/>
            <w:tcBorders>
              <w:top w:val="single" w:color="auto" w:sz="4" w:space="0"/>
              <w:left w:val="single" w:color="auto" w:sz="4" w:space="0"/>
              <w:bottom w:val="single" w:color="auto" w:sz="4" w:space="0"/>
              <w:right w:val="single" w:color="auto" w:sz="4" w:space="0"/>
            </w:tcBorders>
            <w:noWrap w:val="0"/>
            <w:vAlign w:val="center"/>
          </w:tcPr>
          <w:p w14:paraId="7FE4DCA0">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注册资金</w:t>
            </w:r>
          </w:p>
        </w:tc>
        <w:tc>
          <w:tcPr>
            <w:tcW w:w="2929" w:type="dxa"/>
            <w:gridSpan w:val="2"/>
            <w:tcBorders>
              <w:top w:val="single" w:color="auto" w:sz="4" w:space="0"/>
              <w:left w:val="nil"/>
              <w:bottom w:val="single" w:color="auto" w:sz="4" w:space="0"/>
              <w:right w:val="single" w:color="auto" w:sz="4" w:space="0"/>
            </w:tcBorders>
            <w:noWrap w:val="0"/>
            <w:vAlign w:val="center"/>
          </w:tcPr>
          <w:p w14:paraId="14453B2A">
            <w:pPr>
              <w:spacing w:line="360" w:lineRule="auto"/>
              <w:jc w:val="center"/>
              <w:rPr>
                <w:rFonts w:hint="eastAsia" w:ascii="宋体" w:hAnsi="宋体" w:eastAsia="宋体" w:cs="宋体"/>
                <w:color w:val="000000"/>
                <w:sz w:val="24"/>
                <w:szCs w:val="24"/>
                <w:highlight w:val="none"/>
              </w:rPr>
            </w:pPr>
          </w:p>
        </w:tc>
        <w:tc>
          <w:tcPr>
            <w:tcW w:w="727" w:type="dxa"/>
            <w:vMerge w:val="continue"/>
            <w:tcBorders>
              <w:top w:val="nil"/>
              <w:left w:val="nil"/>
              <w:bottom w:val="single" w:color="auto" w:sz="4" w:space="0"/>
              <w:right w:val="single" w:color="auto" w:sz="4" w:space="0"/>
            </w:tcBorders>
            <w:noWrap w:val="0"/>
            <w:vAlign w:val="center"/>
          </w:tcPr>
          <w:p w14:paraId="2751BCEB">
            <w:pPr>
              <w:widowControl/>
              <w:spacing w:line="360" w:lineRule="auto"/>
              <w:rPr>
                <w:rFonts w:hint="eastAsia" w:ascii="宋体" w:hAnsi="宋体" w:eastAsia="宋体" w:cs="宋体"/>
                <w:color w:val="000000"/>
                <w:sz w:val="24"/>
                <w:szCs w:val="24"/>
                <w:highlight w:val="none"/>
              </w:rPr>
            </w:pPr>
          </w:p>
        </w:tc>
        <w:tc>
          <w:tcPr>
            <w:tcW w:w="1834" w:type="dxa"/>
            <w:gridSpan w:val="3"/>
            <w:tcBorders>
              <w:top w:val="single" w:color="auto" w:sz="4" w:space="0"/>
              <w:left w:val="nil"/>
              <w:bottom w:val="single" w:color="auto" w:sz="4" w:space="0"/>
              <w:right w:val="single" w:color="auto" w:sz="4" w:space="0"/>
            </w:tcBorders>
            <w:noWrap w:val="0"/>
            <w:vAlign w:val="center"/>
          </w:tcPr>
          <w:p w14:paraId="2D6A4072">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中级职称人员</w:t>
            </w:r>
          </w:p>
        </w:tc>
        <w:tc>
          <w:tcPr>
            <w:tcW w:w="2189" w:type="dxa"/>
            <w:gridSpan w:val="2"/>
            <w:tcBorders>
              <w:top w:val="single" w:color="auto" w:sz="4" w:space="0"/>
              <w:left w:val="nil"/>
              <w:bottom w:val="single" w:color="auto" w:sz="4" w:space="0"/>
              <w:right w:val="single" w:color="auto" w:sz="4" w:space="0"/>
            </w:tcBorders>
            <w:noWrap w:val="0"/>
            <w:vAlign w:val="center"/>
          </w:tcPr>
          <w:p w14:paraId="552BCE12">
            <w:pPr>
              <w:spacing w:line="360" w:lineRule="auto"/>
              <w:jc w:val="center"/>
              <w:rPr>
                <w:rFonts w:hint="eastAsia" w:ascii="宋体" w:hAnsi="宋体" w:eastAsia="宋体" w:cs="宋体"/>
                <w:color w:val="000000"/>
                <w:sz w:val="24"/>
                <w:szCs w:val="24"/>
                <w:highlight w:val="none"/>
              </w:rPr>
            </w:pPr>
          </w:p>
        </w:tc>
      </w:tr>
      <w:tr w14:paraId="1CFF82B6">
        <w:tblPrEx>
          <w:tblCellMar>
            <w:top w:w="0" w:type="dxa"/>
            <w:left w:w="28" w:type="dxa"/>
            <w:bottom w:w="0" w:type="dxa"/>
            <w:right w:w="28" w:type="dxa"/>
          </w:tblCellMar>
        </w:tblPrEx>
        <w:trPr>
          <w:trHeight w:val="567" w:hRule="atLeast"/>
          <w:jc w:val="center"/>
        </w:trPr>
        <w:tc>
          <w:tcPr>
            <w:tcW w:w="2015" w:type="dxa"/>
            <w:tcBorders>
              <w:top w:val="single" w:color="auto" w:sz="4" w:space="0"/>
              <w:left w:val="single" w:color="auto" w:sz="4" w:space="0"/>
              <w:bottom w:val="single" w:color="auto" w:sz="4" w:space="0"/>
              <w:right w:val="single" w:color="auto" w:sz="4" w:space="0"/>
            </w:tcBorders>
            <w:noWrap w:val="0"/>
            <w:vAlign w:val="center"/>
          </w:tcPr>
          <w:p w14:paraId="318FC89C">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开户银行</w:t>
            </w:r>
          </w:p>
        </w:tc>
        <w:tc>
          <w:tcPr>
            <w:tcW w:w="2929" w:type="dxa"/>
            <w:gridSpan w:val="2"/>
            <w:tcBorders>
              <w:top w:val="single" w:color="auto" w:sz="4" w:space="0"/>
              <w:left w:val="nil"/>
              <w:bottom w:val="single" w:color="auto" w:sz="4" w:space="0"/>
              <w:right w:val="single" w:color="auto" w:sz="4" w:space="0"/>
            </w:tcBorders>
            <w:noWrap w:val="0"/>
            <w:vAlign w:val="center"/>
          </w:tcPr>
          <w:p w14:paraId="2ADBF862">
            <w:pPr>
              <w:spacing w:line="360" w:lineRule="auto"/>
              <w:jc w:val="center"/>
              <w:rPr>
                <w:rFonts w:hint="eastAsia" w:ascii="宋体" w:hAnsi="宋体" w:eastAsia="宋体" w:cs="宋体"/>
                <w:color w:val="000000"/>
                <w:sz w:val="24"/>
                <w:szCs w:val="24"/>
                <w:highlight w:val="none"/>
              </w:rPr>
            </w:pPr>
          </w:p>
        </w:tc>
        <w:tc>
          <w:tcPr>
            <w:tcW w:w="727" w:type="dxa"/>
            <w:vMerge w:val="continue"/>
            <w:tcBorders>
              <w:top w:val="nil"/>
              <w:left w:val="nil"/>
              <w:bottom w:val="single" w:color="auto" w:sz="4" w:space="0"/>
              <w:right w:val="single" w:color="auto" w:sz="4" w:space="0"/>
            </w:tcBorders>
            <w:noWrap w:val="0"/>
            <w:vAlign w:val="center"/>
          </w:tcPr>
          <w:p w14:paraId="19D0B323">
            <w:pPr>
              <w:widowControl/>
              <w:spacing w:line="360" w:lineRule="auto"/>
              <w:rPr>
                <w:rFonts w:hint="eastAsia" w:ascii="宋体" w:hAnsi="宋体" w:eastAsia="宋体" w:cs="宋体"/>
                <w:color w:val="000000"/>
                <w:sz w:val="24"/>
                <w:szCs w:val="24"/>
                <w:highlight w:val="none"/>
              </w:rPr>
            </w:pPr>
          </w:p>
        </w:tc>
        <w:tc>
          <w:tcPr>
            <w:tcW w:w="1834" w:type="dxa"/>
            <w:gridSpan w:val="3"/>
            <w:tcBorders>
              <w:top w:val="single" w:color="auto" w:sz="4" w:space="0"/>
              <w:left w:val="nil"/>
              <w:bottom w:val="single" w:color="auto" w:sz="4" w:space="0"/>
              <w:right w:val="single" w:color="auto" w:sz="4" w:space="0"/>
            </w:tcBorders>
            <w:noWrap w:val="0"/>
            <w:vAlign w:val="center"/>
          </w:tcPr>
          <w:p w14:paraId="276880BB">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初级职称人员</w:t>
            </w:r>
          </w:p>
        </w:tc>
        <w:tc>
          <w:tcPr>
            <w:tcW w:w="2189" w:type="dxa"/>
            <w:gridSpan w:val="2"/>
            <w:tcBorders>
              <w:top w:val="single" w:color="auto" w:sz="4" w:space="0"/>
              <w:left w:val="nil"/>
              <w:bottom w:val="single" w:color="auto" w:sz="4" w:space="0"/>
              <w:right w:val="single" w:color="auto" w:sz="4" w:space="0"/>
            </w:tcBorders>
            <w:noWrap w:val="0"/>
            <w:vAlign w:val="center"/>
          </w:tcPr>
          <w:p w14:paraId="763AF20F">
            <w:pPr>
              <w:spacing w:line="360" w:lineRule="auto"/>
              <w:jc w:val="center"/>
              <w:rPr>
                <w:rFonts w:hint="eastAsia" w:ascii="宋体" w:hAnsi="宋体" w:eastAsia="宋体" w:cs="宋体"/>
                <w:color w:val="000000"/>
                <w:sz w:val="24"/>
                <w:szCs w:val="24"/>
                <w:highlight w:val="none"/>
              </w:rPr>
            </w:pPr>
          </w:p>
        </w:tc>
      </w:tr>
      <w:tr w14:paraId="2BD4584B">
        <w:tblPrEx>
          <w:tblCellMar>
            <w:top w:w="0" w:type="dxa"/>
            <w:left w:w="28" w:type="dxa"/>
            <w:bottom w:w="0" w:type="dxa"/>
            <w:right w:w="28" w:type="dxa"/>
          </w:tblCellMar>
        </w:tblPrEx>
        <w:trPr>
          <w:trHeight w:val="567" w:hRule="atLeast"/>
          <w:jc w:val="center"/>
        </w:trPr>
        <w:tc>
          <w:tcPr>
            <w:tcW w:w="2015" w:type="dxa"/>
            <w:tcBorders>
              <w:top w:val="single" w:color="auto" w:sz="4" w:space="0"/>
              <w:left w:val="single" w:color="auto" w:sz="4" w:space="0"/>
              <w:bottom w:val="single" w:color="auto" w:sz="4" w:space="0"/>
              <w:right w:val="single" w:color="auto" w:sz="4" w:space="0"/>
            </w:tcBorders>
            <w:noWrap w:val="0"/>
            <w:vAlign w:val="center"/>
          </w:tcPr>
          <w:p w14:paraId="5BBCD2A5">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账号</w:t>
            </w:r>
          </w:p>
        </w:tc>
        <w:tc>
          <w:tcPr>
            <w:tcW w:w="2929" w:type="dxa"/>
            <w:gridSpan w:val="2"/>
            <w:tcBorders>
              <w:top w:val="single" w:color="auto" w:sz="4" w:space="0"/>
              <w:left w:val="nil"/>
              <w:bottom w:val="single" w:color="auto" w:sz="4" w:space="0"/>
              <w:right w:val="single" w:color="auto" w:sz="4" w:space="0"/>
            </w:tcBorders>
            <w:noWrap w:val="0"/>
            <w:vAlign w:val="center"/>
          </w:tcPr>
          <w:p w14:paraId="7F13EA8B">
            <w:pPr>
              <w:spacing w:line="360" w:lineRule="auto"/>
              <w:jc w:val="center"/>
              <w:rPr>
                <w:rFonts w:hint="eastAsia" w:ascii="宋体" w:hAnsi="宋体" w:eastAsia="宋体" w:cs="宋体"/>
                <w:color w:val="000000"/>
                <w:sz w:val="24"/>
                <w:szCs w:val="24"/>
                <w:highlight w:val="none"/>
              </w:rPr>
            </w:pPr>
          </w:p>
        </w:tc>
        <w:tc>
          <w:tcPr>
            <w:tcW w:w="727" w:type="dxa"/>
            <w:vMerge w:val="continue"/>
            <w:tcBorders>
              <w:top w:val="nil"/>
              <w:left w:val="nil"/>
              <w:bottom w:val="single" w:color="auto" w:sz="4" w:space="0"/>
              <w:right w:val="single" w:color="auto" w:sz="4" w:space="0"/>
            </w:tcBorders>
            <w:noWrap w:val="0"/>
            <w:vAlign w:val="center"/>
          </w:tcPr>
          <w:p w14:paraId="7C3FFD50">
            <w:pPr>
              <w:widowControl/>
              <w:spacing w:line="360" w:lineRule="auto"/>
              <w:rPr>
                <w:rFonts w:hint="eastAsia" w:ascii="宋体" w:hAnsi="宋体" w:eastAsia="宋体" w:cs="宋体"/>
                <w:color w:val="000000"/>
                <w:sz w:val="24"/>
                <w:szCs w:val="24"/>
                <w:highlight w:val="none"/>
              </w:rPr>
            </w:pPr>
          </w:p>
        </w:tc>
        <w:tc>
          <w:tcPr>
            <w:tcW w:w="1834" w:type="dxa"/>
            <w:gridSpan w:val="3"/>
            <w:tcBorders>
              <w:top w:val="single" w:color="auto" w:sz="4" w:space="0"/>
              <w:left w:val="nil"/>
              <w:bottom w:val="single" w:color="auto" w:sz="4" w:space="0"/>
              <w:right w:val="single" w:color="auto" w:sz="4" w:space="0"/>
            </w:tcBorders>
            <w:noWrap w:val="0"/>
            <w:vAlign w:val="center"/>
          </w:tcPr>
          <w:p w14:paraId="77FCE289">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技工</w:t>
            </w:r>
          </w:p>
        </w:tc>
        <w:tc>
          <w:tcPr>
            <w:tcW w:w="2189" w:type="dxa"/>
            <w:gridSpan w:val="2"/>
            <w:tcBorders>
              <w:top w:val="single" w:color="auto" w:sz="4" w:space="0"/>
              <w:left w:val="nil"/>
              <w:bottom w:val="single" w:color="auto" w:sz="4" w:space="0"/>
              <w:right w:val="single" w:color="auto" w:sz="4" w:space="0"/>
            </w:tcBorders>
            <w:noWrap w:val="0"/>
            <w:vAlign w:val="center"/>
          </w:tcPr>
          <w:p w14:paraId="4AA09214">
            <w:pPr>
              <w:spacing w:line="360" w:lineRule="auto"/>
              <w:jc w:val="center"/>
              <w:rPr>
                <w:rFonts w:hint="eastAsia" w:ascii="宋体" w:hAnsi="宋体" w:eastAsia="宋体" w:cs="宋体"/>
                <w:color w:val="000000"/>
                <w:sz w:val="24"/>
                <w:szCs w:val="24"/>
                <w:highlight w:val="none"/>
              </w:rPr>
            </w:pPr>
          </w:p>
        </w:tc>
      </w:tr>
      <w:tr w14:paraId="17227272">
        <w:tblPrEx>
          <w:tblCellMar>
            <w:top w:w="0" w:type="dxa"/>
            <w:left w:w="28" w:type="dxa"/>
            <w:bottom w:w="0" w:type="dxa"/>
            <w:right w:w="28" w:type="dxa"/>
          </w:tblCellMar>
        </w:tblPrEx>
        <w:trPr>
          <w:trHeight w:val="2072" w:hRule="atLeast"/>
          <w:jc w:val="center"/>
        </w:trPr>
        <w:tc>
          <w:tcPr>
            <w:tcW w:w="2015" w:type="dxa"/>
            <w:tcBorders>
              <w:top w:val="single" w:color="auto" w:sz="4" w:space="0"/>
              <w:left w:val="single" w:color="auto" w:sz="4" w:space="0"/>
              <w:bottom w:val="single" w:color="auto" w:sz="4" w:space="0"/>
              <w:right w:val="single" w:color="auto" w:sz="4" w:space="0"/>
            </w:tcBorders>
            <w:noWrap w:val="0"/>
            <w:vAlign w:val="center"/>
          </w:tcPr>
          <w:p w14:paraId="21B5FFBB">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经营范围</w:t>
            </w:r>
          </w:p>
        </w:tc>
        <w:tc>
          <w:tcPr>
            <w:tcW w:w="7679" w:type="dxa"/>
            <w:gridSpan w:val="8"/>
            <w:tcBorders>
              <w:top w:val="single" w:color="auto" w:sz="4" w:space="0"/>
              <w:left w:val="nil"/>
              <w:bottom w:val="single" w:color="auto" w:sz="4" w:space="0"/>
              <w:right w:val="single" w:color="auto" w:sz="4" w:space="0"/>
            </w:tcBorders>
            <w:noWrap w:val="0"/>
            <w:vAlign w:val="center"/>
          </w:tcPr>
          <w:p w14:paraId="7A8DB480">
            <w:pPr>
              <w:spacing w:line="360" w:lineRule="auto"/>
              <w:ind w:firstLine="480" w:firstLineChars="200"/>
              <w:jc w:val="center"/>
              <w:rPr>
                <w:rFonts w:hint="eastAsia" w:ascii="宋体" w:hAnsi="宋体" w:eastAsia="宋体" w:cs="宋体"/>
                <w:color w:val="000000"/>
                <w:sz w:val="24"/>
                <w:szCs w:val="24"/>
                <w:highlight w:val="none"/>
              </w:rPr>
            </w:pPr>
          </w:p>
        </w:tc>
      </w:tr>
    </w:tbl>
    <w:p w14:paraId="13FF050F">
      <w:pPr>
        <w:spacing w:line="500" w:lineRule="exact"/>
        <w:ind w:firstLine="120" w:firstLineChars="50"/>
        <w:rPr>
          <w:rFonts w:hint="eastAsia" w:ascii="宋体" w:hAnsi="宋体" w:cs="宋体"/>
          <w:sz w:val="24"/>
          <w:highlight w:val="none"/>
        </w:rPr>
      </w:pPr>
    </w:p>
    <w:p w14:paraId="7601AC2A">
      <w:pPr>
        <w:rPr>
          <w:rFonts w:ascii="宋体" w:hAnsi="宋体" w:cs="宋体"/>
          <w:b/>
          <w:sz w:val="24"/>
          <w:highlight w:val="none"/>
        </w:rPr>
      </w:pPr>
      <w:r>
        <w:rPr>
          <w:rFonts w:ascii="宋体" w:hAnsi="宋体" w:cs="宋体"/>
          <w:b/>
          <w:sz w:val="24"/>
          <w:highlight w:val="none"/>
        </w:rPr>
        <w:br w:type="page"/>
      </w:r>
    </w:p>
    <w:p w14:paraId="51353AA1">
      <w:pPr>
        <w:pStyle w:val="16"/>
        <w:rPr>
          <w:highlight w:val="none"/>
        </w:rPr>
        <w:sectPr>
          <w:pgSz w:w="11915" w:h="16840"/>
          <w:pgMar w:top="1417" w:right="1134" w:bottom="1417" w:left="1417" w:header="720" w:footer="720" w:gutter="0"/>
          <w:cols w:space="720" w:num="1"/>
          <w:docGrid w:type="lines" w:linePitch="312" w:charSpace="0"/>
        </w:sectPr>
      </w:pPr>
    </w:p>
    <w:p w14:paraId="67F7FA04">
      <w:pPr>
        <w:keepNext/>
        <w:keepLines/>
        <w:spacing w:line="500" w:lineRule="exact"/>
        <w:jc w:val="center"/>
        <w:textAlignment w:val="baseline"/>
        <w:outlineLvl w:val="1"/>
        <w:rPr>
          <w:rFonts w:hint="eastAsia" w:ascii="宋体" w:hAnsi="宋体" w:eastAsia="宋体" w:cs="宋体"/>
          <w:b/>
          <w:color w:val="000000"/>
          <w:sz w:val="24"/>
          <w:szCs w:val="24"/>
          <w:highlight w:val="none"/>
          <w:lang w:eastAsia="zh-CN"/>
        </w:rPr>
      </w:pPr>
      <w:bookmarkStart w:id="420" w:name="_Toc912_WPSOffice_Level2"/>
      <w:bookmarkEnd w:id="420"/>
      <w:bookmarkStart w:id="421" w:name="_Toc25207_WPSOffice_Level2"/>
      <w:bookmarkEnd w:id="421"/>
      <w:bookmarkStart w:id="422" w:name="page81"/>
      <w:bookmarkEnd w:id="422"/>
      <w:bookmarkStart w:id="423" w:name="_Toc28371_WPSOffice_Level2"/>
      <w:r>
        <w:rPr>
          <w:rFonts w:hint="eastAsia" w:ascii="宋体" w:hAnsi="宋体" w:eastAsia="宋体" w:cs="宋体"/>
          <w:b/>
          <w:sz w:val="24"/>
          <w:szCs w:val="24"/>
          <w:highlight w:val="none"/>
        </w:rPr>
        <w:t>（</w:t>
      </w:r>
      <w:r>
        <w:rPr>
          <w:rFonts w:hint="eastAsia" w:ascii="宋体" w:hAnsi="宋体" w:cs="宋体"/>
          <w:b/>
          <w:sz w:val="24"/>
          <w:szCs w:val="24"/>
          <w:highlight w:val="none"/>
          <w:lang w:val="en-US" w:eastAsia="zh-CN"/>
        </w:rPr>
        <w:t>二</w:t>
      </w:r>
      <w:r>
        <w:rPr>
          <w:rFonts w:hint="eastAsia" w:ascii="宋体" w:hAnsi="宋体" w:eastAsia="宋体" w:cs="宋体"/>
          <w:b/>
          <w:sz w:val="24"/>
          <w:szCs w:val="24"/>
          <w:highlight w:val="none"/>
        </w:rPr>
        <w:t>）</w:t>
      </w:r>
      <w:r>
        <w:rPr>
          <w:rFonts w:hint="eastAsia" w:ascii="宋体" w:hAnsi="宋体" w:cs="宋体"/>
          <w:b/>
          <w:color w:val="000000"/>
          <w:sz w:val="24"/>
          <w:szCs w:val="24"/>
          <w:highlight w:val="none"/>
          <w:lang w:val="en-US" w:eastAsia="zh-CN"/>
        </w:rPr>
        <w:t>类似项目业绩</w:t>
      </w:r>
    </w:p>
    <w:tbl>
      <w:tblPr>
        <w:tblStyle w:val="26"/>
        <w:tblW w:w="90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37"/>
        <w:gridCol w:w="2534"/>
        <w:gridCol w:w="2144"/>
        <w:gridCol w:w="1632"/>
        <w:gridCol w:w="1230"/>
      </w:tblGrid>
      <w:tr w14:paraId="747AF8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2" w:hRule="atLeast"/>
          <w:jc w:val="center"/>
        </w:trPr>
        <w:tc>
          <w:tcPr>
            <w:tcW w:w="1537" w:type="dxa"/>
            <w:tcBorders>
              <w:top w:val="single" w:color="auto" w:sz="12" w:space="0"/>
              <w:left w:val="single" w:color="auto" w:sz="12" w:space="0"/>
              <w:bottom w:val="single" w:color="auto" w:sz="6" w:space="0"/>
              <w:right w:val="single" w:color="auto" w:sz="6" w:space="0"/>
            </w:tcBorders>
            <w:noWrap w:val="0"/>
            <w:vAlign w:val="center"/>
          </w:tcPr>
          <w:p w14:paraId="6F0F651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采购单位</w:t>
            </w:r>
          </w:p>
        </w:tc>
        <w:tc>
          <w:tcPr>
            <w:tcW w:w="2534" w:type="dxa"/>
            <w:tcBorders>
              <w:top w:val="single" w:color="auto" w:sz="12" w:space="0"/>
              <w:left w:val="single" w:color="auto" w:sz="6" w:space="0"/>
              <w:bottom w:val="single" w:color="auto" w:sz="6" w:space="0"/>
              <w:right w:val="single" w:color="auto" w:sz="6" w:space="0"/>
            </w:tcBorders>
            <w:noWrap w:val="0"/>
            <w:vAlign w:val="center"/>
          </w:tcPr>
          <w:p w14:paraId="3E847A4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2144" w:type="dxa"/>
            <w:tcBorders>
              <w:top w:val="single" w:color="auto" w:sz="12" w:space="0"/>
              <w:left w:val="single" w:color="auto" w:sz="6" w:space="0"/>
              <w:bottom w:val="single" w:color="auto" w:sz="6" w:space="0"/>
              <w:right w:val="single" w:color="auto" w:sz="6" w:space="0"/>
            </w:tcBorders>
            <w:noWrap w:val="0"/>
            <w:vAlign w:val="center"/>
          </w:tcPr>
          <w:p w14:paraId="76A23BD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项目规模（元）</w:t>
            </w:r>
          </w:p>
        </w:tc>
        <w:tc>
          <w:tcPr>
            <w:tcW w:w="1632" w:type="dxa"/>
            <w:tcBorders>
              <w:top w:val="single" w:color="auto" w:sz="12" w:space="0"/>
              <w:left w:val="single" w:color="auto" w:sz="6" w:space="0"/>
              <w:bottom w:val="single" w:color="auto" w:sz="6" w:space="0"/>
              <w:right w:val="single" w:color="auto" w:sz="6" w:space="0"/>
            </w:tcBorders>
            <w:noWrap w:val="0"/>
            <w:vAlign w:val="center"/>
          </w:tcPr>
          <w:p w14:paraId="5DCD8A1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w:t>
            </w:r>
          </w:p>
        </w:tc>
        <w:tc>
          <w:tcPr>
            <w:tcW w:w="1230" w:type="dxa"/>
            <w:tcBorders>
              <w:top w:val="single" w:color="auto" w:sz="12" w:space="0"/>
              <w:left w:val="single" w:color="auto" w:sz="6" w:space="0"/>
              <w:bottom w:val="single" w:color="auto" w:sz="6" w:space="0"/>
              <w:right w:val="single" w:color="auto" w:sz="12" w:space="0"/>
            </w:tcBorders>
            <w:noWrap w:val="0"/>
            <w:vAlign w:val="center"/>
          </w:tcPr>
          <w:p w14:paraId="5A26CAF2">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备注</w:t>
            </w:r>
          </w:p>
        </w:tc>
      </w:tr>
      <w:tr w14:paraId="294AFB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0" w:hRule="atLeast"/>
          <w:jc w:val="center"/>
        </w:trPr>
        <w:tc>
          <w:tcPr>
            <w:tcW w:w="1537" w:type="dxa"/>
            <w:tcBorders>
              <w:top w:val="single" w:color="auto" w:sz="6" w:space="0"/>
              <w:left w:val="single" w:color="auto" w:sz="12" w:space="0"/>
              <w:bottom w:val="single" w:color="auto" w:sz="6" w:space="0"/>
              <w:right w:val="single" w:color="auto" w:sz="6" w:space="0"/>
            </w:tcBorders>
            <w:noWrap w:val="0"/>
            <w:vAlign w:val="center"/>
          </w:tcPr>
          <w:p w14:paraId="0DE3BD03">
            <w:pPr>
              <w:jc w:val="center"/>
              <w:rPr>
                <w:rFonts w:hint="eastAsia" w:ascii="宋体" w:hAnsi="宋体" w:eastAsia="宋体" w:cs="宋体"/>
                <w:color w:val="auto"/>
                <w:sz w:val="24"/>
                <w:szCs w:val="24"/>
                <w:highlight w:val="none"/>
              </w:rPr>
            </w:pPr>
          </w:p>
        </w:tc>
        <w:tc>
          <w:tcPr>
            <w:tcW w:w="2534" w:type="dxa"/>
            <w:tcBorders>
              <w:top w:val="single" w:color="auto" w:sz="6" w:space="0"/>
              <w:left w:val="single" w:color="auto" w:sz="6" w:space="0"/>
              <w:bottom w:val="single" w:color="auto" w:sz="6" w:space="0"/>
              <w:right w:val="single" w:color="auto" w:sz="6" w:space="0"/>
            </w:tcBorders>
            <w:noWrap w:val="0"/>
            <w:vAlign w:val="center"/>
          </w:tcPr>
          <w:p w14:paraId="5712BED5">
            <w:pPr>
              <w:jc w:val="center"/>
              <w:rPr>
                <w:rFonts w:hint="eastAsia" w:ascii="宋体" w:hAnsi="宋体" w:eastAsia="宋体" w:cs="宋体"/>
                <w:color w:val="auto"/>
                <w:sz w:val="24"/>
                <w:szCs w:val="24"/>
                <w:highlight w:val="none"/>
              </w:rPr>
            </w:pPr>
          </w:p>
        </w:tc>
        <w:tc>
          <w:tcPr>
            <w:tcW w:w="2144" w:type="dxa"/>
            <w:tcBorders>
              <w:top w:val="single" w:color="auto" w:sz="6" w:space="0"/>
              <w:left w:val="single" w:color="auto" w:sz="6" w:space="0"/>
              <w:bottom w:val="single" w:color="auto" w:sz="6" w:space="0"/>
              <w:right w:val="single" w:color="auto" w:sz="6" w:space="0"/>
            </w:tcBorders>
            <w:noWrap w:val="0"/>
            <w:vAlign w:val="center"/>
          </w:tcPr>
          <w:p w14:paraId="32E21F1E">
            <w:pPr>
              <w:jc w:val="center"/>
              <w:rPr>
                <w:rFonts w:hint="eastAsia" w:ascii="宋体" w:hAnsi="宋体" w:eastAsia="宋体" w:cs="宋体"/>
                <w:color w:val="auto"/>
                <w:sz w:val="24"/>
                <w:szCs w:val="24"/>
                <w:highlight w:val="none"/>
              </w:rPr>
            </w:pPr>
          </w:p>
        </w:tc>
        <w:tc>
          <w:tcPr>
            <w:tcW w:w="1632" w:type="dxa"/>
            <w:tcBorders>
              <w:top w:val="single" w:color="auto" w:sz="6" w:space="0"/>
              <w:left w:val="single" w:color="auto" w:sz="6" w:space="0"/>
              <w:bottom w:val="single" w:color="auto" w:sz="6" w:space="0"/>
              <w:right w:val="single" w:color="auto" w:sz="6" w:space="0"/>
            </w:tcBorders>
            <w:noWrap w:val="0"/>
            <w:vAlign w:val="center"/>
          </w:tcPr>
          <w:p w14:paraId="13326FC3">
            <w:pPr>
              <w:jc w:val="center"/>
              <w:rPr>
                <w:rFonts w:hint="eastAsia" w:ascii="宋体" w:hAnsi="宋体" w:eastAsia="宋体" w:cs="宋体"/>
                <w:color w:val="auto"/>
                <w:sz w:val="24"/>
                <w:szCs w:val="24"/>
                <w:highlight w:val="none"/>
              </w:rPr>
            </w:pPr>
          </w:p>
        </w:tc>
        <w:tc>
          <w:tcPr>
            <w:tcW w:w="1230" w:type="dxa"/>
            <w:tcBorders>
              <w:top w:val="single" w:color="auto" w:sz="6" w:space="0"/>
              <w:left w:val="single" w:color="auto" w:sz="6" w:space="0"/>
              <w:bottom w:val="single" w:color="auto" w:sz="6" w:space="0"/>
              <w:right w:val="single" w:color="auto" w:sz="12" w:space="0"/>
            </w:tcBorders>
            <w:noWrap w:val="0"/>
            <w:vAlign w:val="top"/>
          </w:tcPr>
          <w:p w14:paraId="5694B71D">
            <w:pPr>
              <w:jc w:val="center"/>
              <w:rPr>
                <w:rFonts w:hint="eastAsia" w:ascii="宋体" w:hAnsi="宋体" w:eastAsia="宋体" w:cs="宋体"/>
                <w:color w:val="auto"/>
                <w:sz w:val="24"/>
                <w:szCs w:val="24"/>
                <w:highlight w:val="none"/>
              </w:rPr>
            </w:pPr>
          </w:p>
        </w:tc>
      </w:tr>
      <w:tr w14:paraId="3D94A7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0" w:hRule="atLeast"/>
          <w:jc w:val="center"/>
        </w:trPr>
        <w:tc>
          <w:tcPr>
            <w:tcW w:w="1537" w:type="dxa"/>
            <w:tcBorders>
              <w:top w:val="single" w:color="auto" w:sz="6" w:space="0"/>
              <w:left w:val="single" w:color="auto" w:sz="12" w:space="0"/>
              <w:bottom w:val="single" w:color="auto" w:sz="6" w:space="0"/>
              <w:right w:val="single" w:color="auto" w:sz="6" w:space="0"/>
            </w:tcBorders>
            <w:noWrap w:val="0"/>
            <w:vAlign w:val="center"/>
          </w:tcPr>
          <w:p w14:paraId="50568F3F">
            <w:pPr>
              <w:jc w:val="center"/>
              <w:rPr>
                <w:rFonts w:hint="eastAsia" w:ascii="宋体" w:hAnsi="宋体" w:eastAsia="宋体" w:cs="宋体"/>
                <w:color w:val="auto"/>
                <w:sz w:val="24"/>
                <w:szCs w:val="24"/>
                <w:highlight w:val="none"/>
              </w:rPr>
            </w:pPr>
          </w:p>
        </w:tc>
        <w:tc>
          <w:tcPr>
            <w:tcW w:w="2534" w:type="dxa"/>
            <w:tcBorders>
              <w:top w:val="single" w:color="auto" w:sz="6" w:space="0"/>
              <w:left w:val="single" w:color="auto" w:sz="6" w:space="0"/>
              <w:bottom w:val="single" w:color="auto" w:sz="6" w:space="0"/>
              <w:right w:val="single" w:color="auto" w:sz="6" w:space="0"/>
            </w:tcBorders>
            <w:noWrap w:val="0"/>
            <w:vAlign w:val="center"/>
          </w:tcPr>
          <w:p w14:paraId="63667824">
            <w:pPr>
              <w:jc w:val="center"/>
              <w:rPr>
                <w:rFonts w:hint="eastAsia" w:ascii="宋体" w:hAnsi="宋体" w:eastAsia="宋体" w:cs="宋体"/>
                <w:color w:val="auto"/>
                <w:sz w:val="24"/>
                <w:szCs w:val="24"/>
                <w:highlight w:val="none"/>
              </w:rPr>
            </w:pPr>
          </w:p>
        </w:tc>
        <w:tc>
          <w:tcPr>
            <w:tcW w:w="2144" w:type="dxa"/>
            <w:tcBorders>
              <w:top w:val="single" w:color="auto" w:sz="6" w:space="0"/>
              <w:left w:val="single" w:color="auto" w:sz="6" w:space="0"/>
              <w:bottom w:val="single" w:color="auto" w:sz="6" w:space="0"/>
              <w:right w:val="single" w:color="auto" w:sz="6" w:space="0"/>
            </w:tcBorders>
            <w:noWrap w:val="0"/>
            <w:vAlign w:val="center"/>
          </w:tcPr>
          <w:p w14:paraId="3800DE90">
            <w:pPr>
              <w:jc w:val="center"/>
              <w:rPr>
                <w:rFonts w:hint="eastAsia" w:ascii="宋体" w:hAnsi="宋体" w:eastAsia="宋体" w:cs="宋体"/>
                <w:color w:val="auto"/>
                <w:sz w:val="24"/>
                <w:szCs w:val="24"/>
                <w:highlight w:val="none"/>
              </w:rPr>
            </w:pPr>
          </w:p>
        </w:tc>
        <w:tc>
          <w:tcPr>
            <w:tcW w:w="1632" w:type="dxa"/>
            <w:tcBorders>
              <w:top w:val="single" w:color="auto" w:sz="6" w:space="0"/>
              <w:left w:val="single" w:color="auto" w:sz="6" w:space="0"/>
              <w:bottom w:val="single" w:color="auto" w:sz="6" w:space="0"/>
              <w:right w:val="single" w:color="auto" w:sz="6" w:space="0"/>
            </w:tcBorders>
            <w:noWrap w:val="0"/>
            <w:vAlign w:val="center"/>
          </w:tcPr>
          <w:p w14:paraId="6069AD83">
            <w:pPr>
              <w:jc w:val="center"/>
              <w:rPr>
                <w:rFonts w:hint="eastAsia" w:ascii="宋体" w:hAnsi="宋体" w:eastAsia="宋体" w:cs="宋体"/>
                <w:color w:val="auto"/>
                <w:sz w:val="24"/>
                <w:szCs w:val="24"/>
                <w:highlight w:val="none"/>
              </w:rPr>
            </w:pPr>
          </w:p>
        </w:tc>
        <w:tc>
          <w:tcPr>
            <w:tcW w:w="1230" w:type="dxa"/>
            <w:tcBorders>
              <w:top w:val="single" w:color="auto" w:sz="6" w:space="0"/>
              <w:left w:val="single" w:color="auto" w:sz="6" w:space="0"/>
              <w:bottom w:val="single" w:color="auto" w:sz="6" w:space="0"/>
              <w:right w:val="single" w:color="auto" w:sz="12" w:space="0"/>
            </w:tcBorders>
            <w:noWrap w:val="0"/>
            <w:vAlign w:val="top"/>
          </w:tcPr>
          <w:p w14:paraId="3505749E">
            <w:pPr>
              <w:jc w:val="center"/>
              <w:rPr>
                <w:rFonts w:hint="eastAsia" w:ascii="宋体" w:hAnsi="宋体" w:eastAsia="宋体" w:cs="宋体"/>
                <w:color w:val="auto"/>
                <w:sz w:val="24"/>
                <w:szCs w:val="24"/>
                <w:highlight w:val="none"/>
              </w:rPr>
            </w:pPr>
          </w:p>
        </w:tc>
      </w:tr>
      <w:tr w14:paraId="6A1F79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0" w:hRule="atLeast"/>
          <w:jc w:val="center"/>
        </w:trPr>
        <w:tc>
          <w:tcPr>
            <w:tcW w:w="1537" w:type="dxa"/>
            <w:tcBorders>
              <w:top w:val="single" w:color="auto" w:sz="6" w:space="0"/>
              <w:left w:val="single" w:color="auto" w:sz="12" w:space="0"/>
              <w:bottom w:val="single" w:color="auto" w:sz="6" w:space="0"/>
              <w:right w:val="single" w:color="auto" w:sz="6" w:space="0"/>
            </w:tcBorders>
            <w:noWrap w:val="0"/>
            <w:vAlign w:val="center"/>
          </w:tcPr>
          <w:p w14:paraId="4191AE2B">
            <w:pPr>
              <w:jc w:val="center"/>
              <w:rPr>
                <w:rFonts w:hint="eastAsia" w:ascii="宋体" w:hAnsi="宋体" w:eastAsia="宋体" w:cs="宋体"/>
                <w:color w:val="auto"/>
                <w:sz w:val="24"/>
                <w:szCs w:val="24"/>
                <w:highlight w:val="none"/>
              </w:rPr>
            </w:pPr>
          </w:p>
        </w:tc>
        <w:tc>
          <w:tcPr>
            <w:tcW w:w="2534" w:type="dxa"/>
            <w:tcBorders>
              <w:top w:val="single" w:color="auto" w:sz="6" w:space="0"/>
              <w:left w:val="single" w:color="auto" w:sz="6" w:space="0"/>
              <w:bottom w:val="single" w:color="auto" w:sz="6" w:space="0"/>
              <w:right w:val="single" w:color="auto" w:sz="6" w:space="0"/>
            </w:tcBorders>
            <w:noWrap w:val="0"/>
            <w:vAlign w:val="center"/>
          </w:tcPr>
          <w:p w14:paraId="1DCD69F4">
            <w:pPr>
              <w:jc w:val="center"/>
              <w:rPr>
                <w:rFonts w:hint="eastAsia" w:ascii="宋体" w:hAnsi="宋体" w:eastAsia="宋体" w:cs="宋体"/>
                <w:color w:val="auto"/>
                <w:sz w:val="24"/>
                <w:szCs w:val="24"/>
                <w:highlight w:val="none"/>
              </w:rPr>
            </w:pPr>
          </w:p>
        </w:tc>
        <w:tc>
          <w:tcPr>
            <w:tcW w:w="2144" w:type="dxa"/>
            <w:tcBorders>
              <w:top w:val="single" w:color="auto" w:sz="6" w:space="0"/>
              <w:left w:val="single" w:color="auto" w:sz="6" w:space="0"/>
              <w:bottom w:val="single" w:color="auto" w:sz="6" w:space="0"/>
              <w:right w:val="single" w:color="auto" w:sz="6" w:space="0"/>
            </w:tcBorders>
            <w:noWrap w:val="0"/>
            <w:vAlign w:val="center"/>
          </w:tcPr>
          <w:p w14:paraId="2D220DFA">
            <w:pPr>
              <w:jc w:val="center"/>
              <w:rPr>
                <w:rFonts w:hint="eastAsia" w:ascii="宋体" w:hAnsi="宋体" w:eastAsia="宋体" w:cs="宋体"/>
                <w:color w:val="auto"/>
                <w:sz w:val="24"/>
                <w:szCs w:val="24"/>
                <w:highlight w:val="none"/>
              </w:rPr>
            </w:pPr>
          </w:p>
        </w:tc>
        <w:tc>
          <w:tcPr>
            <w:tcW w:w="1632" w:type="dxa"/>
            <w:tcBorders>
              <w:top w:val="single" w:color="auto" w:sz="6" w:space="0"/>
              <w:left w:val="single" w:color="auto" w:sz="6" w:space="0"/>
              <w:bottom w:val="single" w:color="auto" w:sz="6" w:space="0"/>
              <w:right w:val="single" w:color="auto" w:sz="6" w:space="0"/>
            </w:tcBorders>
            <w:noWrap w:val="0"/>
            <w:vAlign w:val="center"/>
          </w:tcPr>
          <w:p w14:paraId="711712CB">
            <w:pPr>
              <w:jc w:val="center"/>
              <w:rPr>
                <w:rFonts w:hint="eastAsia" w:ascii="宋体" w:hAnsi="宋体" w:eastAsia="宋体" w:cs="宋体"/>
                <w:color w:val="auto"/>
                <w:sz w:val="24"/>
                <w:szCs w:val="24"/>
                <w:highlight w:val="none"/>
              </w:rPr>
            </w:pPr>
          </w:p>
        </w:tc>
        <w:tc>
          <w:tcPr>
            <w:tcW w:w="1230" w:type="dxa"/>
            <w:tcBorders>
              <w:top w:val="single" w:color="auto" w:sz="6" w:space="0"/>
              <w:left w:val="single" w:color="auto" w:sz="6" w:space="0"/>
              <w:bottom w:val="single" w:color="auto" w:sz="6" w:space="0"/>
              <w:right w:val="single" w:color="auto" w:sz="12" w:space="0"/>
            </w:tcBorders>
            <w:noWrap w:val="0"/>
            <w:vAlign w:val="top"/>
          </w:tcPr>
          <w:p w14:paraId="1D22BEFA">
            <w:pPr>
              <w:jc w:val="center"/>
              <w:rPr>
                <w:rFonts w:hint="eastAsia" w:ascii="宋体" w:hAnsi="宋体" w:eastAsia="宋体" w:cs="宋体"/>
                <w:color w:val="auto"/>
                <w:sz w:val="24"/>
                <w:szCs w:val="24"/>
                <w:highlight w:val="none"/>
              </w:rPr>
            </w:pPr>
          </w:p>
        </w:tc>
      </w:tr>
      <w:tr w14:paraId="394FBF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9" w:hRule="atLeast"/>
          <w:jc w:val="center"/>
        </w:trPr>
        <w:tc>
          <w:tcPr>
            <w:tcW w:w="1537" w:type="dxa"/>
            <w:tcBorders>
              <w:top w:val="single" w:color="auto" w:sz="6" w:space="0"/>
              <w:left w:val="single" w:color="auto" w:sz="12" w:space="0"/>
              <w:bottom w:val="single" w:color="auto" w:sz="6" w:space="0"/>
              <w:right w:val="single" w:color="auto" w:sz="6" w:space="0"/>
            </w:tcBorders>
            <w:noWrap w:val="0"/>
            <w:vAlign w:val="center"/>
          </w:tcPr>
          <w:p w14:paraId="3089A403">
            <w:pPr>
              <w:jc w:val="center"/>
              <w:rPr>
                <w:rFonts w:hint="eastAsia" w:ascii="宋体" w:hAnsi="宋体" w:eastAsia="宋体" w:cs="宋体"/>
                <w:color w:val="auto"/>
                <w:sz w:val="24"/>
                <w:szCs w:val="24"/>
                <w:highlight w:val="none"/>
              </w:rPr>
            </w:pPr>
          </w:p>
        </w:tc>
        <w:tc>
          <w:tcPr>
            <w:tcW w:w="2534" w:type="dxa"/>
            <w:tcBorders>
              <w:top w:val="single" w:color="auto" w:sz="6" w:space="0"/>
              <w:left w:val="single" w:color="auto" w:sz="6" w:space="0"/>
              <w:bottom w:val="single" w:color="auto" w:sz="6" w:space="0"/>
              <w:right w:val="single" w:color="auto" w:sz="6" w:space="0"/>
            </w:tcBorders>
            <w:noWrap w:val="0"/>
            <w:vAlign w:val="center"/>
          </w:tcPr>
          <w:p w14:paraId="2373FA84">
            <w:pPr>
              <w:jc w:val="center"/>
              <w:rPr>
                <w:rFonts w:hint="eastAsia" w:ascii="宋体" w:hAnsi="宋体" w:eastAsia="宋体" w:cs="宋体"/>
                <w:color w:val="auto"/>
                <w:sz w:val="24"/>
                <w:szCs w:val="24"/>
                <w:highlight w:val="none"/>
              </w:rPr>
            </w:pPr>
          </w:p>
        </w:tc>
        <w:tc>
          <w:tcPr>
            <w:tcW w:w="2144" w:type="dxa"/>
            <w:tcBorders>
              <w:top w:val="single" w:color="auto" w:sz="6" w:space="0"/>
              <w:left w:val="single" w:color="auto" w:sz="6" w:space="0"/>
              <w:bottom w:val="single" w:color="auto" w:sz="6" w:space="0"/>
              <w:right w:val="single" w:color="auto" w:sz="6" w:space="0"/>
            </w:tcBorders>
            <w:noWrap w:val="0"/>
            <w:vAlign w:val="center"/>
          </w:tcPr>
          <w:p w14:paraId="3EF02362">
            <w:pPr>
              <w:jc w:val="center"/>
              <w:rPr>
                <w:rFonts w:hint="eastAsia" w:ascii="宋体" w:hAnsi="宋体" w:eastAsia="宋体" w:cs="宋体"/>
                <w:color w:val="auto"/>
                <w:sz w:val="24"/>
                <w:szCs w:val="24"/>
                <w:highlight w:val="none"/>
              </w:rPr>
            </w:pPr>
          </w:p>
        </w:tc>
        <w:tc>
          <w:tcPr>
            <w:tcW w:w="1632" w:type="dxa"/>
            <w:tcBorders>
              <w:top w:val="single" w:color="auto" w:sz="6" w:space="0"/>
              <w:left w:val="single" w:color="auto" w:sz="6" w:space="0"/>
              <w:bottom w:val="single" w:color="auto" w:sz="6" w:space="0"/>
              <w:right w:val="single" w:color="auto" w:sz="6" w:space="0"/>
            </w:tcBorders>
            <w:noWrap w:val="0"/>
            <w:vAlign w:val="center"/>
          </w:tcPr>
          <w:p w14:paraId="0EF6F136">
            <w:pPr>
              <w:jc w:val="center"/>
              <w:rPr>
                <w:rFonts w:hint="eastAsia" w:ascii="宋体" w:hAnsi="宋体" w:eastAsia="宋体" w:cs="宋体"/>
                <w:color w:val="auto"/>
                <w:sz w:val="24"/>
                <w:szCs w:val="24"/>
                <w:highlight w:val="none"/>
              </w:rPr>
            </w:pPr>
          </w:p>
        </w:tc>
        <w:tc>
          <w:tcPr>
            <w:tcW w:w="1230" w:type="dxa"/>
            <w:tcBorders>
              <w:top w:val="single" w:color="auto" w:sz="6" w:space="0"/>
              <w:left w:val="single" w:color="auto" w:sz="6" w:space="0"/>
              <w:bottom w:val="single" w:color="auto" w:sz="6" w:space="0"/>
              <w:right w:val="single" w:color="auto" w:sz="12" w:space="0"/>
            </w:tcBorders>
            <w:noWrap w:val="0"/>
            <w:vAlign w:val="top"/>
          </w:tcPr>
          <w:p w14:paraId="1A099995">
            <w:pPr>
              <w:jc w:val="center"/>
              <w:rPr>
                <w:rFonts w:hint="eastAsia" w:ascii="宋体" w:hAnsi="宋体" w:eastAsia="宋体" w:cs="宋体"/>
                <w:color w:val="auto"/>
                <w:sz w:val="24"/>
                <w:szCs w:val="24"/>
                <w:highlight w:val="none"/>
              </w:rPr>
            </w:pPr>
          </w:p>
        </w:tc>
      </w:tr>
      <w:tr w14:paraId="22FE49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4" w:hRule="atLeast"/>
          <w:jc w:val="center"/>
        </w:trPr>
        <w:tc>
          <w:tcPr>
            <w:tcW w:w="1537" w:type="dxa"/>
            <w:tcBorders>
              <w:top w:val="single" w:color="auto" w:sz="6" w:space="0"/>
              <w:left w:val="single" w:color="auto" w:sz="12" w:space="0"/>
              <w:bottom w:val="single" w:color="auto" w:sz="12" w:space="0"/>
              <w:right w:val="single" w:color="auto" w:sz="6" w:space="0"/>
            </w:tcBorders>
            <w:noWrap w:val="0"/>
            <w:vAlign w:val="center"/>
          </w:tcPr>
          <w:p w14:paraId="1B0E66F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534" w:type="dxa"/>
            <w:tcBorders>
              <w:top w:val="single" w:color="auto" w:sz="6" w:space="0"/>
              <w:left w:val="single" w:color="auto" w:sz="6" w:space="0"/>
              <w:bottom w:val="single" w:color="auto" w:sz="12" w:space="0"/>
              <w:right w:val="single" w:color="auto" w:sz="6" w:space="0"/>
            </w:tcBorders>
            <w:noWrap w:val="0"/>
            <w:vAlign w:val="center"/>
          </w:tcPr>
          <w:p w14:paraId="4EDD1618">
            <w:pPr>
              <w:jc w:val="center"/>
              <w:rPr>
                <w:rFonts w:hint="eastAsia" w:ascii="宋体" w:hAnsi="宋体" w:eastAsia="宋体" w:cs="宋体"/>
                <w:color w:val="auto"/>
                <w:sz w:val="24"/>
                <w:szCs w:val="24"/>
                <w:highlight w:val="none"/>
              </w:rPr>
            </w:pPr>
          </w:p>
        </w:tc>
        <w:tc>
          <w:tcPr>
            <w:tcW w:w="2144" w:type="dxa"/>
            <w:tcBorders>
              <w:top w:val="single" w:color="auto" w:sz="6" w:space="0"/>
              <w:left w:val="single" w:color="auto" w:sz="6" w:space="0"/>
              <w:bottom w:val="single" w:color="auto" w:sz="12" w:space="0"/>
              <w:right w:val="single" w:color="auto" w:sz="6" w:space="0"/>
            </w:tcBorders>
            <w:noWrap w:val="0"/>
            <w:vAlign w:val="center"/>
          </w:tcPr>
          <w:p w14:paraId="05643445">
            <w:pPr>
              <w:jc w:val="center"/>
              <w:rPr>
                <w:rFonts w:hint="eastAsia" w:ascii="宋体" w:hAnsi="宋体" w:eastAsia="宋体" w:cs="宋体"/>
                <w:color w:val="auto"/>
                <w:sz w:val="24"/>
                <w:szCs w:val="24"/>
                <w:highlight w:val="none"/>
              </w:rPr>
            </w:pPr>
          </w:p>
        </w:tc>
        <w:tc>
          <w:tcPr>
            <w:tcW w:w="1632" w:type="dxa"/>
            <w:tcBorders>
              <w:top w:val="single" w:color="auto" w:sz="6" w:space="0"/>
              <w:left w:val="single" w:color="auto" w:sz="6" w:space="0"/>
              <w:bottom w:val="single" w:color="auto" w:sz="12" w:space="0"/>
              <w:right w:val="single" w:color="auto" w:sz="6" w:space="0"/>
            </w:tcBorders>
            <w:noWrap w:val="0"/>
            <w:vAlign w:val="center"/>
          </w:tcPr>
          <w:p w14:paraId="53E906F1">
            <w:pPr>
              <w:jc w:val="center"/>
              <w:rPr>
                <w:rFonts w:hint="eastAsia" w:ascii="宋体" w:hAnsi="宋体" w:eastAsia="宋体" w:cs="宋体"/>
                <w:color w:val="auto"/>
                <w:sz w:val="24"/>
                <w:szCs w:val="24"/>
                <w:highlight w:val="none"/>
              </w:rPr>
            </w:pPr>
          </w:p>
        </w:tc>
        <w:tc>
          <w:tcPr>
            <w:tcW w:w="1230" w:type="dxa"/>
            <w:tcBorders>
              <w:top w:val="single" w:color="auto" w:sz="6" w:space="0"/>
              <w:left w:val="single" w:color="auto" w:sz="6" w:space="0"/>
              <w:bottom w:val="single" w:color="auto" w:sz="12" w:space="0"/>
              <w:right w:val="single" w:color="auto" w:sz="12" w:space="0"/>
            </w:tcBorders>
            <w:noWrap w:val="0"/>
            <w:vAlign w:val="top"/>
          </w:tcPr>
          <w:p w14:paraId="6F5124C4">
            <w:pPr>
              <w:jc w:val="center"/>
              <w:rPr>
                <w:rFonts w:hint="eastAsia" w:ascii="宋体" w:hAnsi="宋体" w:eastAsia="宋体" w:cs="宋体"/>
                <w:color w:val="auto"/>
                <w:sz w:val="24"/>
                <w:szCs w:val="24"/>
                <w:highlight w:val="none"/>
              </w:rPr>
            </w:pPr>
          </w:p>
        </w:tc>
      </w:tr>
    </w:tbl>
    <w:p w14:paraId="3A372921">
      <w:pPr>
        <w:spacing w:line="500" w:lineRule="exact"/>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注：后附证明材料</w:t>
      </w:r>
    </w:p>
    <w:p w14:paraId="4CA1317C">
      <w:pPr>
        <w:spacing w:line="48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p>
    <w:p w14:paraId="23375A94">
      <w:pPr>
        <w:spacing w:line="500" w:lineRule="exact"/>
        <w:jc w:val="both"/>
        <w:rPr>
          <w:rFonts w:hint="eastAsia" w:ascii="宋体" w:hAnsi="宋体" w:eastAsia="宋体" w:cs="宋体"/>
          <w:b/>
          <w:sz w:val="24"/>
          <w:szCs w:val="24"/>
          <w:highlight w:val="none"/>
        </w:rPr>
      </w:pPr>
    </w:p>
    <w:p w14:paraId="51951510">
      <w:pPr>
        <w:rPr>
          <w:rFonts w:hint="eastAsia" w:ascii="宋体" w:hAnsi="宋体" w:eastAsia="宋体" w:cs="宋体"/>
          <w:b/>
          <w:sz w:val="24"/>
          <w:szCs w:val="24"/>
          <w:highlight w:val="none"/>
        </w:rPr>
      </w:pPr>
    </w:p>
    <w:p w14:paraId="7B72998C">
      <w:pPr>
        <w:rPr>
          <w:rFonts w:hint="eastAsia" w:ascii="宋体" w:hAnsi="宋体" w:eastAsia="宋体" w:cs="宋体"/>
          <w:b/>
          <w:sz w:val="24"/>
          <w:szCs w:val="24"/>
          <w:highlight w:val="none"/>
        </w:rPr>
      </w:pPr>
      <w:r>
        <w:rPr>
          <w:rFonts w:hint="eastAsia" w:ascii="宋体" w:hAnsi="宋体" w:eastAsia="宋体" w:cs="宋体"/>
          <w:b/>
          <w:sz w:val="24"/>
          <w:szCs w:val="24"/>
          <w:highlight w:val="none"/>
        </w:rPr>
        <w:br w:type="page"/>
      </w:r>
      <w:bookmarkEnd w:id="423"/>
      <w:bookmarkStart w:id="424" w:name="_Toc522798875"/>
      <w:bookmarkStart w:id="425" w:name="_Toc30046_WPSOffice_Level1"/>
      <w:bookmarkStart w:id="426" w:name="_Toc9414_WPSOffice_Level1"/>
      <w:bookmarkStart w:id="427" w:name="_Toc24310_WPSOffice_Level1"/>
    </w:p>
    <w:p w14:paraId="20D535C2">
      <w:pPr>
        <w:rPr>
          <w:rFonts w:hint="default" w:ascii="宋体" w:hAnsi="宋体" w:eastAsia="宋体" w:cs="宋体"/>
          <w:b/>
          <w:sz w:val="24"/>
          <w:szCs w:val="24"/>
          <w:highlight w:val="none"/>
          <w:lang w:val="en-US" w:eastAsia="zh-CN"/>
        </w:rPr>
      </w:pPr>
      <w:r>
        <w:rPr>
          <w:rFonts w:hint="eastAsia" w:ascii="宋体" w:hAnsi="宋体" w:cs="宋体"/>
          <w:b/>
          <w:sz w:val="24"/>
          <w:szCs w:val="24"/>
          <w:highlight w:val="none"/>
          <w:lang w:eastAsia="zh-CN"/>
        </w:rPr>
        <w:t>（</w:t>
      </w:r>
      <w:r>
        <w:rPr>
          <w:rFonts w:hint="eastAsia" w:ascii="宋体" w:hAnsi="宋体" w:cs="宋体"/>
          <w:b/>
          <w:sz w:val="24"/>
          <w:szCs w:val="24"/>
          <w:highlight w:val="none"/>
          <w:lang w:val="en-US" w:eastAsia="zh-CN"/>
        </w:rPr>
        <w:t>三</w:t>
      </w:r>
      <w:r>
        <w:rPr>
          <w:rFonts w:hint="eastAsia" w:ascii="宋体" w:hAnsi="宋体" w:cs="宋体"/>
          <w:b/>
          <w:sz w:val="24"/>
          <w:szCs w:val="24"/>
          <w:highlight w:val="none"/>
          <w:lang w:eastAsia="zh-CN"/>
        </w:rPr>
        <w:t>）</w:t>
      </w:r>
      <w:r>
        <w:rPr>
          <w:rFonts w:hint="eastAsia" w:ascii="宋体" w:hAnsi="宋体" w:cs="宋体"/>
          <w:b/>
          <w:sz w:val="24"/>
          <w:szCs w:val="24"/>
          <w:highlight w:val="none"/>
          <w:lang w:val="en-US" w:eastAsia="zh-CN"/>
        </w:rPr>
        <w:t>拟投入本项目的人员</w:t>
      </w:r>
    </w:p>
    <w:p w14:paraId="218D8AD9">
      <w:pPr>
        <w:rPr>
          <w:rFonts w:hint="eastAsia" w:ascii="宋体" w:hAnsi="宋体" w:cs="宋体"/>
          <w:b/>
          <w:sz w:val="24"/>
          <w:szCs w:val="24"/>
          <w:highlight w:val="none"/>
          <w:lang w:val="en-US" w:eastAsia="zh-CN"/>
        </w:rPr>
      </w:pPr>
    </w:p>
    <w:p w14:paraId="289D7099">
      <w:pPr>
        <w:rPr>
          <w:rFonts w:hint="default" w:ascii="宋体" w:hAnsi="宋体" w:cs="宋体"/>
          <w:b/>
          <w:sz w:val="24"/>
          <w:szCs w:val="24"/>
          <w:highlight w:val="none"/>
          <w:lang w:val="en-US" w:eastAsia="zh-CN"/>
        </w:rPr>
      </w:pPr>
      <w:r>
        <w:rPr>
          <w:rFonts w:hint="eastAsia" w:ascii="宋体" w:hAnsi="宋体" w:cs="宋体"/>
          <w:b/>
          <w:sz w:val="24"/>
          <w:szCs w:val="24"/>
          <w:highlight w:val="none"/>
          <w:lang w:val="en-US" w:eastAsia="zh-CN"/>
        </w:rPr>
        <w:t>注：附评审办法中综合部分对人员配备要求的相关内容。</w:t>
      </w:r>
    </w:p>
    <w:p w14:paraId="6876FCA4">
      <w:pPr>
        <w:rPr>
          <w:rFonts w:hint="eastAsia" w:ascii="宋体" w:hAnsi="宋体" w:eastAsia="宋体" w:cs="宋体"/>
          <w:b/>
          <w:sz w:val="24"/>
          <w:szCs w:val="24"/>
          <w:highlight w:val="none"/>
        </w:rPr>
      </w:pPr>
    </w:p>
    <w:p w14:paraId="144C2CB5">
      <w:pPr>
        <w:rPr>
          <w:rFonts w:hint="eastAsia" w:ascii="宋体" w:hAnsi="宋体" w:eastAsia="宋体" w:cs="宋体"/>
          <w:b/>
          <w:sz w:val="24"/>
          <w:szCs w:val="24"/>
          <w:highlight w:val="none"/>
        </w:rPr>
      </w:pPr>
    </w:p>
    <w:p w14:paraId="3DEC6994">
      <w:pPr>
        <w:rPr>
          <w:rFonts w:hint="eastAsia" w:ascii="宋体" w:hAnsi="宋体" w:eastAsia="宋体" w:cs="宋体"/>
          <w:b/>
          <w:sz w:val="24"/>
          <w:szCs w:val="24"/>
          <w:highlight w:val="none"/>
        </w:rPr>
      </w:pPr>
    </w:p>
    <w:p w14:paraId="08A58EE8">
      <w:pPr>
        <w:rPr>
          <w:rFonts w:hint="eastAsia" w:ascii="宋体" w:hAnsi="宋体" w:eastAsia="宋体" w:cs="宋体"/>
          <w:b/>
          <w:sz w:val="24"/>
          <w:szCs w:val="24"/>
          <w:highlight w:val="none"/>
        </w:rPr>
      </w:pPr>
    </w:p>
    <w:p w14:paraId="52BAB539">
      <w:pPr>
        <w:rPr>
          <w:rFonts w:hint="eastAsia" w:ascii="宋体" w:hAnsi="宋体" w:eastAsia="宋体" w:cs="宋体"/>
          <w:b/>
          <w:sz w:val="24"/>
          <w:szCs w:val="24"/>
          <w:highlight w:val="none"/>
        </w:rPr>
      </w:pPr>
    </w:p>
    <w:p w14:paraId="74540FFE">
      <w:pPr>
        <w:rPr>
          <w:rFonts w:hint="eastAsia" w:ascii="宋体" w:hAnsi="宋体" w:eastAsia="宋体" w:cs="宋体"/>
          <w:b/>
          <w:sz w:val="24"/>
          <w:szCs w:val="24"/>
          <w:highlight w:val="none"/>
        </w:rPr>
      </w:pPr>
    </w:p>
    <w:p w14:paraId="3D7DE9A7">
      <w:pPr>
        <w:rPr>
          <w:rFonts w:hint="eastAsia" w:ascii="宋体" w:hAnsi="宋体" w:eastAsia="宋体" w:cs="宋体"/>
          <w:b/>
          <w:sz w:val="24"/>
          <w:szCs w:val="24"/>
          <w:highlight w:val="none"/>
        </w:rPr>
      </w:pPr>
    </w:p>
    <w:p w14:paraId="34FC46C6">
      <w:pPr>
        <w:rPr>
          <w:rFonts w:hint="eastAsia" w:ascii="宋体" w:hAnsi="宋体" w:eastAsia="宋体" w:cs="宋体"/>
          <w:b/>
          <w:sz w:val="24"/>
          <w:szCs w:val="24"/>
          <w:highlight w:val="none"/>
        </w:rPr>
      </w:pPr>
    </w:p>
    <w:p w14:paraId="2ACFF439">
      <w:pPr>
        <w:rPr>
          <w:rFonts w:hint="eastAsia" w:ascii="宋体" w:hAnsi="宋体" w:eastAsia="宋体" w:cs="宋体"/>
          <w:b/>
          <w:sz w:val="24"/>
          <w:szCs w:val="24"/>
          <w:highlight w:val="none"/>
        </w:rPr>
      </w:pPr>
    </w:p>
    <w:p w14:paraId="7D7B5A89">
      <w:pPr>
        <w:rPr>
          <w:rFonts w:hint="eastAsia" w:ascii="宋体" w:hAnsi="宋体" w:eastAsia="宋体" w:cs="宋体"/>
          <w:b/>
          <w:sz w:val="24"/>
          <w:szCs w:val="24"/>
          <w:highlight w:val="none"/>
        </w:rPr>
      </w:pPr>
    </w:p>
    <w:p w14:paraId="5A49B525">
      <w:pPr>
        <w:rPr>
          <w:rFonts w:hint="eastAsia" w:ascii="宋体" w:hAnsi="宋体" w:eastAsia="宋体" w:cs="宋体"/>
          <w:b/>
          <w:sz w:val="24"/>
          <w:szCs w:val="24"/>
          <w:highlight w:val="none"/>
        </w:rPr>
      </w:pPr>
    </w:p>
    <w:p w14:paraId="0CE9D135">
      <w:pPr>
        <w:rPr>
          <w:rFonts w:hint="eastAsia" w:ascii="宋体" w:hAnsi="宋体" w:eastAsia="宋体" w:cs="宋体"/>
          <w:b/>
          <w:sz w:val="24"/>
          <w:szCs w:val="24"/>
          <w:highlight w:val="none"/>
        </w:rPr>
      </w:pPr>
    </w:p>
    <w:p w14:paraId="23601B64">
      <w:pPr>
        <w:rPr>
          <w:rFonts w:hint="eastAsia" w:ascii="宋体" w:hAnsi="宋体" w:eastAsia="宋体" w:cs="宋体"/>
          <w:b/>
          <w:sz w:val="24"/>
          <w:szCs w:val="24"/>
          <w:highlight w:val="none"/>
        </w:rPr>
      </w:pPr>
    </w:p>
    <w:p w14:paraId="71F43B5B">
      <w:pPr>
        <w:rPr>
          <w:rFonts w:hint="eastAsia" w:ascii="宋体" w:hAnsi="宋体" w:eastAsia="宋体" w:cs="宋体"/>
          <w:b/>
          <w:sz w:val="24"/>
          <w:szCs w:val="24"/>
          <w:highlight w:val="none"/>
        </w:rPr>
      </w:pPr>
    </w:p>
    <w:p w14:paraId="59857C70">
      <w:pPr>
        <w:rPr>
          <w:rFonts w:hint="eastAsia" w:ascii="宋体" w:hAnsi="宋体" w:eastAsia="宋体" w:cs="宋体"/>
          <w:b/>
          <w:sz w:val="24"/>
          <w:szCs w:val="24"/>
          <w:highlight w:val="none"/>
        </w:rPr>
      </w:pPr>
    </w:p>
    <w:p w14:paraId="774E8722">
      <w:pPr>
        <w:rPr>
          <w:rFonts w:hint="eastAsia" w:ascii="宋体" w:hAnsi="宋体" w:eastAsia="宋体" w:cs="宋体"/>
          <w:b/>
          <w:sz w:val="24"/>
          <w:szCs w:val="24"/>
          <w:highlight w:val="none"/>
        </w:rPr>
      </w:pPr>
    </w:p>
    <w:p w14:paraId="27F7C933">
      <w:pPr>
        <w:rPr>
          <w:rFonts w:hint="eastAsia" w:ascii="宋体" w:hAnsi="宋体" w:eastAsia="宋体" w:cs="宋体"/>
          <w:b/>
          <w:sz w:val="24"/>
          <w:szCs w:val="24"/>
          <w:highlight w:val="none"/>
        </w:rPr>
      </w:pPr>
    </w:p>
    <w:p w14:paraId="50C8FAEC">
      <w:pPr>
        <w:rPr>
          <w:rFonts w:hint="eastAsia" w:ascii="宋体" w:hAnsi="宋体" w:eastAsia="宋体" w:cs="宋体"/>
          <w:b/>
          <w:sz w:val="24"/>
          <w:szCs w:val="24"/>
          <w:highlight w:val="none"/>
        </w:rPr>
      </w:pPr>
    </w:p>
    <w:p w14:paraId="7AF1D0E6">
      <w:pPr>
        <w:rPr>
          <w:rFonts w:hint="eastAsia" w:ascii="宋体" w:hAnsi="宋体" w:eastAsia="宋体" w:cs="宋体"/>
          <w:b/>
          <w:sz w:val="24"/>
          <w:szCs w:val="24"/>
          <w:highlight w:val="none"/>
        </w:rPr>
      </w:pPr>
    </w:p>
    <w:p w14:paraId="2387B4CC">
      <w:pPr>
        <w:rPr>
          <w:rFonts w:hint="eastAsia" w:ascii="宋体" w:hAnsi="宋体" w:eastAsia="宋体" w:cs="宋体"/>
          <w:b/>
          <w:sz w:val="24"/>
          <w:szCs w:val="24"/>
          <w:highlight w:val="none"/>
        </w:rPr>
      </w:pPr>
    </w:p>
    <w:p w14:paraId="487A0657">
      <w:pPr>
        <w:rPr>
          <w:rFonts w:hint="eastAsia" w:ascii="宋体" w:hAnsi="宋体" w:eastAsia="宋体" w:cs="宋体"/>
          <w:b/>
          <w:sz w:val="24"/>
          <w:szCs w:val="24"/>
          <w:highlight w:val="none"/>
        </w:rPr>
      </w:pPr>
    </w:p>
    <w:p w14:paraId="5EB2840B">
      <w:pPr>
        <w:rPr>
          <w:rFonts w:hint="eastAsia" w:ascii="宋体" w:hAnsi="宋体" w:eastAsia="宋体" w:cs="宋体"/>
          <w:b/>
          <w:sz w:val="24"/>
          <w:szCs w:val="24"/>
          <w:highlight w:val="none"/>
        </w:rPr>
      </w:pPr>
    </w:p>
    <w:p w14:paraId="7BE83169">
      <w:pPr>
        <w:rPr>
          <w:rFonts w:hint="eastAsia" w:ascii="宋体" w:hAnsi="宋体" w:eastAsia="宋体" w:cs="宋体"/>
          <w:b/>
          <w:sz w:val="24"/>
          <w:szCs w:val="24"/>
          <w:highlight w:val="none"/>
        </w:rPr>
      </w:pPr>
    </w:p>
    <w:p w14:paraId="355DFD40">
      <w:pPr>
        <w:rPr>
          <w:rFonts w:hint="eastAsia" w:ascii="宋体" w:hAnsi="宋体" w:eastAsia="宋体" w:cs="宋体"/>
          <w:b/>
          <w:sz w:val="24"/>
          <w:szCs w:val="24"/>
          <w:highlight w:val="none"/>
        </w:rPr>
      </w:pPr>
    </w:p>
    <w:p w14:paraId="5FBC8C78">
      <w:pPr>
        <w:rPr>
          <w:rFonts w:hint="eastAsia" w:ascii="宋体" w:hAnsi="宋体" w:eastAsia="宋体" w:cs="宋体"/>
          <w:b/>
          <w:sz w:val="24"/>
          <w:szCs w:val="24"/>
          <w:highlight w:val="none"/>
        </w:rPr>
      </w:pPr>
    </w:p>
    <w:p w14:paraId="77FAD138">
      <w:pPr>
        <w:rPr>
          <w:rFonts w:hint="eastAsia" w:ascii="宋体" w:hAnsi="宋体" w:eastAsia="宋体" w:cs="宋体"/>
          <w:b/>
          <w:sz w:val="24"/>
          <w:szCs w:val="24"/>
          <w:highlight w:val="none"/>
        </w:rPr>
      </w:pPr>
    </w:p>
    <w:p w14:paraId="2213BDDC">
      <w:pPr>
        <w:rPr>
          <w:rFonts w:hint="eastAsia" w:ascii="宋体" w:hAnsi="宋体" w:eastAsia="宋体" w:cs="宋体"/>
          <w:b/>
          <w:sz w:val="24"/>
          <w:szCs w:val="24"/>
          <w:highlight w:val="none"/>
        </w:rPr>
      </w:pPr>
    </w:p>
    <w:p w14:paraId="790F9C56">
      <w:pPr>
        <w:rPr>
          <w:rFonts w:hint="eastAsia" w:ascii="宋体" w:hAnsi="宋体" w:eastAsia="宋体" w:cs="宋体"/>
          <w:b/>
          <w:sz w:val="24"/>
          <w:szCs w:val="24"/>
          <w:highlight w:val="none"/>
        </w:rPr>
      </w:pPr>
    </w:p>
    <w:p w14:paraId="7D690926">
      <w:pPr>
        <w:rPr>
          <w:rFonts w:hint="eastAsia" w:ascii="宋体" w:hAnsi="宋体" w:eastAsia="宋体" w:cs="宋体"/>
          <w:b/>
          <w:sz w:val="24"/>
          <w:szCs w:val="24"/>
          <w:highlight w:val="none"/>
        </w:rPr>
      </w:pPr>
    </w:p>
    <w:p w14:paraId="7A7204D5">
      <w:pPr>
        <w:rPr>
          <w:rFonts w:hint="eastAsia" w:ascii="宋体" w:hAnsi="宋体" w:eastAsia="宋体" w:cs="宋体"/>
          <w:b/>
          <w:sz w:val="24"/>
          <w:szCs w:val="24"/>
          <w:highlight w:val="none"/>
        </w:rPr>
      </w:pPr>
    </w:p>
    <w:p w14:paraId="2F748ADF">
      <w:pPr>
        <w:rPr>
          <w:rFonts w:hint="eastAsia" w:ascii="宋体" w:hAnsi="宋体" w:eastAsia="宋体" w:cs="宋体"/>
          <w:b/>
          <w:sz w:val="24"/>
          <w:szCs w:val="24"/>
          <w:highlight w:val="none"/>
        </w:rPr>
      </w:pPr>
    </w:p>
    <w:p w14:paraId="6D266976">
      <w:pPr>
        <w:rPr>
          <w:rFonts w:hint="eastAsia" w:ascii="宋体" w:hAnsi="宋体" w:eastAsia="宋体" w:cs="宋体"/>
          <w:b/>
          <w:sz w:val="24"/>
          <w:szCs w:val="24"/>
          <w:highlight w:val="none"/>
        </w:rPr>
      </w:pPr>
    </w:p>
    <w:p w14:paraId="3632CEA4">
      <w:pPr>
        <w:rPr>
          <w:rFonts w:hint="eastAsia" w:ascii="宋体" w:hAnsi="宋体" w:eastAsia="宋体" w:cs="宋体"/>
          <w:b/>
          <w:sz w:val="24"/>
          <w:szCs w:val="24"/>
          <w:highlight w:val="none"/>
        </w:rPr>
      </w:pPr>
    </w:p>
    <w:p w14:paraId="64E367D6">
      <w:pPr>
        <w:rPr>
          <w:rFonts w:hint="eastAsia" w:ascii="宋体" w:hAnsi="宋体" w:eastAsia="宋体" w:cs="宋体"/>
          <w:b/>
          <w:sz w:val="24"/>
          <w:szCs w:val="24"/>
          <w:highlight w:val="none"/>
        </w:rPr>
      </w:pPr>
    </w:p>
    <w:p w14:paraId="4221DA03">
      <w:pPr>
        <w:rPr>
          <w:rFonts w:hint="eastAsia" w:ascii="宋体" w:hAnsi="宋体" w:eastAsia="宋体" w:cs="宋体"/>
          <w:b/>
          <w:sz w:val="24"/>
          <w:szCs w:val="24"/>
          <w:highlight w:val="none"/>
        </w:rPr>
      </w:pPr>
    </w:p>
    <w:p w14:paraId="20DB39A3">
      <w:pPr>
        <w:rPr>
          <w:rFonts w:hint="eastAsia" w:ascii="宋体" w:hAnsi="宋体" w:eastAsia="宋体" w:cs="宋体"/>
          <w:b/>
          <w:sz w:val="24"/>
          <w:szCs w:val="24"/>
          <w:highlight w:val="none"/>
        </w:rPr>
      </w:pPr>
    </w:p>
    <w:p w14:paraId="4EDD4A46">
      <w:pPr>
        <w:rPr>
          <w:rFonts w:hint="eastAsia" w:ascii="宋体" w:hAnsi="宋体" w:eastAsia="宋体" w:cs="宋体"/>
          <w:b/>
          <w:sz w:val="24"/>
          <w:szCs w:val="24"/>
          <w:highlight w:val="none"/>
        </w:rPr>
      </w:pPr>
    </w:p>
    <w:p w14:paraId="1E8DFC14">
      <w:pPr>
        <w:rPr>
          <w:rFonts w:hint="eastAsia" w:ascii="宋体" w:hAnsi="宋体" w:eastAsia="宋体" w:cs="宋体"/>
          <w:b/>
          <w:sz w:val="24"/>
          <w:szCs w:val="24"/>
          <w:highlight w:val="none"/>
        </w:rPr>
      </w:pPr>
    </w:p>
    <w:p w14:paraId="0B6F0B90">
      <w:pPr>
        <w:rPr>
          <w:rFonts w:hint="eastAsia" w:ascii="宋体" w:hAnsi="宋体" w:eastAsia="宋体" w:cs="宋体"/>
          <w:b/>
          <w:sz w:val="24"/>
          <w:szCs w:val="24"/>
          <w:highlight w:val="none"/>
        </w:rPr>
      </w:pPr>
    </w:p>
    <w:p w14:paraId="3221E9C4">
      <w:pPr>
        <w:rPr>
          <w:rFonts w:hint="eastAsia" w:ascii="宋体" w:hAnsi="宋体" w:eastAsia="宋体" w:cs="宋体"/>
          <w:b/>
          <w:sz w:val="24"/>
          <w:szCs w:val="24"/>
          <w:highlight w:val="none"/>
        </w:rPr>
      </w:pPr>
    </w:p>
    <w:p w14:paraId="4957A161">
      <w:pPr>
        <w:rPr>
          <w:rFonts w:hint="eastAsia" w:ascii="宋体" w:hAnsi="宋体" w:eastAsia="宋体" w:cs="宋体"/>
          <w:b/>
          <w:sz w:val="24"/>
          <w:szCs w:val="24"/>
          <w:highlight w:val="none"/>
        </w:rPr>
      </w:pPr>
    </w:p>
    <w:p w14:paraId="35969884">
      <w:pPr>
        <w:numPr>
          <w:ilvl w:val="0"/>
          <w:numId w:val="11"/>
        </w:numPr>
        <w:autoSpaceDE w:val="0"/>
        <w:autoSpaceDN w:val="0"/>
        <w:snapToGrid w:val="0"/>
        <w:spacing w:line="500" w:lineRule="exact"/>
        <w:jc w:val="center"/>
        <w:rPr>
          <w:rFonts w:hint="default" w:ascii="Times New Roman" w:hAnsi="Times New Roman"/>
          <w:b/>
          <w:sz w:val="24"/>
          <w:highlight w:val="none"/>
          <w:lang w:val="en-US" w:eastAsia="zh-CN"/>
        </w:rPr>
      </w:pPr>
      <w:r>
        <w:rPr>
          <w:rFonts w:hint="eastAsia" w:ascii="Times New Roman" w:hAnsi="Times New Roman"/>
          <w:b/>
          <w:sz w:val="24"/>
          <w:highlight w:val="none"/>
          <w:lang w:val="en-US" w:eastAsia="zh-CN"/>
        </w:rPr>
        <w:t>供应商的仓储基地及配送能力</w:t>
      </w:r>
    </w:p>
    <w:p w14:paraId="35CC2C9F">
      <w:pPr>
        <w:numPr>
          <w:ilvl w:val="0"/>
          <w:numId w:val="0"/>
        </w:numPr>
        <w:autoSpaceDE w:val="0"/>
        <w:autoSpaceDN w:val="0"/>
        <w:snapToGrid w:val="0"/>
        <w:spacing w:line="500" w:lineRule="exact"/>
        <w:jc w:val="both"/>
        <w:rPr>
          <w:rFonts w:hint="default" w:ascii="Times New Roman" w:hAnsi="Times New Roman"/>
          <w:b/>
          <w:sz w:val="24"/>
          <w:highlight w:val="none"/>
          <w:lang w:val="en-US" w:eastAsia="zh-CN"/>
        </w:rPr>
      </w:pPr>
    </w:p>
    <w:p w14:paraId="56036685">
      <w:pPr>
        <w:rPr>
          <w:rFonts w:hint="default" w:ascii="宋体" w:hAnsi="宋体" w:cs="宋体"/>
          <w:b/>
          <w:sz w:val="24"/>
          <w:szCs w:val="24"/>
          <w:highlight w:val="none"/>
          <w:lang w:val="en-US" w:eastAsia="zh-CN"/>
        </w:rPr>
      </w:pPr>
      <w:r>
        <w:rPr>
          <w:rFonts w:hint="eastAsia" w:ascii="宋体" w:hAnsi="宋体" w:cs="宋体"/>
          <w:b/>
          <w:sz w:val="24"/>
          <w:szCs w:val="24"/>
          <w:highlight w:val="none"/>
          <w:lang w:val="en-US" w:eastAsia="zh-CN"/>
        </w:rPr>
        <w:t>注：此项内容格式自拟，内容应包括但不限制于评审办法提到的内容。</w:t>
      </w:r>
    </w:p>
    <w:p w14:paraId="31BD2294">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32E043DB">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1AB4D08A">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6AFFAB6C">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0FEA6FB3">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104E6436">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536F6F3A">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5A0E7F20">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18685E92">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7728B7B0">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166FB17D">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79535B52">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3C01062D">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09E187A1">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446426A8">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5A3CCF2E">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27993444">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339191F7">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458E5CE4">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681E17D5">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2280A4CD">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6F7C37AD">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4F589E00">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273B8B59">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30577838">
      <w:pPr>
        <w:widowControl w:val="0"/>
        <w:numPr>
          <w:ilvl w:val="0"/>
          <w:numId w:val="0"/>
        </w:numPr>
        <w:autoSpaceDE w:val="0"/>
        <w:autoSpaceDN w:val="0"/>
        <w:snapToGrid w:val="0"/>
        <w:spacing w:line="500" w:lineRule="exact"/>
        <w:jc w:val="center"/>
        <w:rPr>
          <w:rFonts w:hint="default" w:ascii="Times New Roman" w:hAnsi="Times New Roman"/>
          <w:b/>
          <w:sz w:val="24"/>
          <w:highlight w:val="none"/>
          <w:lang w:val="en-US" w:eastAsia="zh-CN"/>
        </w:rPr>
      </w:pPr>
    </w:p>
    <w:p w14:paraId="4D58D5E2">
      <w:pPr>
        <w:autoSpaceDE w:val="0"/>
        <w:autoSpaceDN w:val="0"/>
        <w:snapToGrid w:val="0"/>
        <w:spacing w:line="500" w:lineRule="exact"/>
        <w:jc w:val="center"/>
        <w:rPr>
          <w:rFonts w:ascii="Times New Roman" w:hAnsi="Times New Roman"/>
          <w:b/>
          <w:sz w:val="24"/>
          <w:highlight w:val="none"/>
        </w:rPr>
      </w:pPr>
      <w:r>
        <w:rPr>
          <w:rFonts w:hint="eastAsia" w:ascii="Times New Roman" w:hAnsi="Times New Roman"/>
          <w:b/>
          <w:sz w:val="24"/>
          <w:highlight w:val="none"/>
        </w:rPr>
        <w:t>（</w:t>
      </w:r>
      <w:r>
        <w:rPr>
          <w:rFonts w:hint="eastAsia" w:ascii="Times New Roman" w:hAnsi="Times New Roman"/>
          <w:b/>
          <w:sz w:val="24"/>
          <w:highlight w:val="none"/>
          <w:lang w:val="en-US" w:eastAsia="zh-CN"/>
        </w:rPr>
        <w:t>五</w:t>
      </w:r>
      <w:r>
        <w:rPr>
          <w:rFonts w:hint="eastAsia" w:ascii="Times New Roman" w:hAnsi="Times New Roman"/>
          <w:b/>
          <w:sz w:val="24"/>
          <w:highlight w:val="none"/>
        </w:rPr>
        <w:t>）</w:t>
      </w:r>
      <w:r>
        <w:rPr>
          <w:rFonts w:hint="eastAsia" w:ascii="宋体" w:hAnsi="宋体" w:cs="宋体"/>
          <w:b/>
          <w:sz w:val="24"/>
          <w:highlight w:val="none"/>
        </w:rPr>
        <w:t>近三年发生的诉讼及仲裁情况</w:t>
      </w:r>
    </w:p>
    <w:p w14:paraId="5A03A93B">
      <w:pPr>
        <w:autoSpaceDE w:val="0"/>
        <w:autoSpaceDN w:val="0"/>
        <w:snapToGrid w:val="0"/>
        <w:spacing w:line="500" w:lineRule="exact"/>
        <w:ind w:left="561" w:firstLine="480" w:firstLineChars="200"/>
        <w:jc w:val="left"/>
        <w:rPr>
          <w:rFonts w:ascii="宋体" w:hAnsi="宋体" w:cs="宋体"/>
          <w:b/>
          <w:kern w:val="0"/>
          <w:sz w:val="24"/>
          <w:highlight w:val="none"/>
        </w:rPr>
      </w:pPr>
      <w:r>
        <w:rPr>
          <w:rFonts w:hint="eastAsia" w:ascii="宋体" w:hAnsi="宋体" w:cs="宋体"/>
          <w:kern w:val="0"/>
          <w:sz w:val="24"/>
          <w:highlight w:val="none"/>
        </w:rPr>
        <w:t>“近年发生的诉讼及仲裁情况”及应附的一些相关材料，包括判决、裁决等法律文件的复印件，应按时间先后次序编排相关文件。</w:t>
      </w:r>
      <w:r>
        <w:rPr>
          <w:rFonts w:hint="eastAsia" w:ascii="宋体" w:hAnsi="宋体" w:cs="宋体"/>
          <w:b/>
          <w:kern w:val="0"/>
          <w:sz w:val="24"/>
          <w:highlight w:val="none"/>
        </w:rPr>
        <w:t>有一项填一份材料，没有的就直接写“无”。</w:t>
      </w:r>
    </w:p>
    <w:p w14:paraId="40403DA0">
      <w:pPr>
        <w:spacing w:line="500" w:lineRule="exact"/>
        <w:rPr>
          <w:highlight w:val="none"/>
        </w:rPr>
      </w:pPr>
    </w:p>
    <w:p w14:paraId="13D4FE1F">
      <w:pPr>
        <w:spacing w:line="500" w:lineRule="exact"/>
        <w:rPr>
          <w:highlight w:val="none"/>
        </w:rPr>
      </w:pPr>
    </w:p>
    <w:p w14:paraId="7893751A">
      <w:pPr>
        <w:spacing w:line="500" w:lineRule="exact"/>
        <w:rPr>
          <w:highlight w:val="none"/>
        </w:rPr>
      </w:pPr>
    </w:p>
    <w:p w14:paraId="5E18AF4E">
      <w:pPr>
        <w:spacing w:line="500" w:lineRule="exact"/>
        <w:rPr>
          <w:highlight w:val="none"/>
        </w:rPr>
      </w:pPr>
      <w:bookmarkStart w:id="428" w:name="_Toc25873_WPSOffice_Level1"/>
      <w:bookmarkStart w:id="429" w:name="_Toc15427_WPSOffice_Level1"/>
      <w:bookmarkStart w:id="430" w:name="_Toc21138"/>
      <w:bookmarkStart w:id="431" w:name="_Toc6140_WPSOffice_Level1"/>
      <w:bookmarkStart w:id="432" w:name="_Toc13936_WPSOffice_Level1"/>
    </w:p>
    <w:p w14:paraId="15998481">
      <w:pPr>
        <w:spacing w:line="500" w:lineRule="exact"/>
        <w:rPr>
          <w:highlight w:val="none"/>
        </w:rPr>
      </w:pPr>
    </w:p>
    <w:p w14:paraId="73AFDBDD">
      <w:pPr>
        <w:spacing w:line="500" w:lineRule="exact"/>
        <w:rPr>
          <w:highlight w:val="none"/>
        </w:rPr>
      </w:pPr>
    </w:p>
    <w:p w14:paraId="0304A31B">
      <w:pPr>
        <w:spacing w:line="500" w:lineRule="exact"/>
        <w:rPr>
          <w:highlight w:val="none"/>
        </w:rPr>
      </w:pPr>
    </w:p>
    <w:p w14:paraId="2DA93766">
      <w:pPr>
        <w:spacing w:line="500" w:lineRule="exact"/>
        <w:rPr>
          <w:highlight w:val="none"/>
        </w:rPr>
      </w:pPr>
    </w:p>
    <w:p w14:paraId="058A4D38">
      <w:pPr>
        <w:spacing w:line="500" w:lineRule="exact"/>
        <w:rPr>
          <w:highlight w:val="none"/>
        </w:rPr>
      </w:pPr>
    </w:p>
    <w:p w14:paraId="7275CC21">
      <w:pPr>
        <w:spacing w:line="500" w:lineRule="exact"/>
        <w:rPr>
          <w:highlight w:val="none"/>
        </w:rPr>
      </w:pPr>
    </w:p>
    <w:p w14:paraId="7ABBA787">
      <w:pPr>
        <w:spacing w:line="500" w:lineRule="exact"/>
        <w:rPr>
          <w:highlight w:val="none"/>
        </w:rPr>
      </w:pPr>
    </w:p>
    <w:p w14:paraId="43C31EFB">
      <w:pPr>
        <w:spacing w:line="500" w:lineRule="exact"/>
        <w:rPr>
          <w:highlight w:val="none"/>
        </w:rPr>
      </w:pPr>
    </w:p>
    <w:p w14:paraId="3AB97974">
      <w:pPr>
        <w:spacing w:line="500" w:lineRule="exact"/>
        <w:rPr>
          <w:highlight w:val="none"/>
        </w:rPr>
      </w:pPr>
    </w:p>
    <w:p w14:paraId="4FDF72F4">
      <w:pPr>
        <w:spacing w:line="500" w:lineRule="exact"/>
        <w:rPr>
          <w:highlight w:val="none"/>
        </w:rPr>
      </w:pPr>
    </w:p>
    <w:p w14:paraId="33870FE7">
      <w:pPr>
        <w:spacing w:line="500" w:lineRule="exact"/>
        <w:rPr>
          <w:highlight w:val="none"/>
        </w:rPr>
      </w:pPr>
    </w:p>
    <w:p w14:paraId="22A1BC6D">
      <w:pPr>
        <w:spacing w:line="500" w:lineRule="exact"/>
        <w:rPr>
          <w:highlight w:val="none"/>
        </w:rPr>
      </w:pPr>
    </w:p>
    <w:p w14:paraId="38BE2A56">
      <w:pPr>
        <w:spacing w:line="500" w:lineRule="exact"/>
        <w:rPr>
          <w:highlight w:val="none"/>
        </w:rPr>
      </w:pPr>
    </w:p>
    <w:p w14:paraId="42D7C6A2">
      <w:pPr>
        <w:spacing w:line="500" w:lineRule="exact"/>
        <w:rPr>
          <w:highlight w:val="none"/>
        </w:rPr>
      </w:pPr>
    </w:p>
    <w:p w14:paraId="63FE23C3">
      <w:pPr>
        <w:spacing w:line="500" w:lineRule="exact"/>
        <w:rPr>
          <w:highlight w:val="none"/>
        </w:rPr>
      </w:pPr>
    </w:p>
    <w:p w14:paraId="57E669CC">
      <w:pPr>
        <w:spacing w:line="500" w:lineRule="exact"/>
        <w:rPr>
          <w:highlight w:val="none"/>
        </w:rPr>
      </w:pPr>
    </w:p>
    <w:p w14:paraId="19E7459B">
      <w:pPr>
        <w:spacing w:line="500" w:lineRule="exact"/>
        <w:rPr>
          <w:highlight w:val="none"/>
        </w:rPr>
      </w:pPr>
    </w:p>
    <w:p w14:paraId="00D9DB92">
      <w:pPr>
        <w:spacing w:line="500" w:lineRule="exact"/>
        <w:rPr>
          <w:highlight w:val="none"/>
        </w:rPr>
      </w:pPr>
    </w:p>
    <w:p w14:paraId="62398263">
      <w:pPr>
        <w:spacing w:line="500" w:lineRule="exact"/>
        <w:rPr>
          <w:highlight w:val="none"/>
        </w:rPr>
      </w:pPr>
    </w:p>
    <w:p w14:paraId="400C267D">
      <w:pPr>
        <w:spacing w:line="500" w:lineRule="exact"/>
        <w:ind w:left="420"/>
        <w:jc w:val="center"/>
        <w:outlineLvl w:val="0"/>
        <w:rPr>
          <w:rFonts w:ascii="宋体" w:hAnsi="宋体" w:cs="宋体"/>
          <w:b/>
          <w:sz w:val="30"/>
          <w:szCs w:val="30"/>
          <w:highlight w:val="none"/>
        </w:rPr>
      </w:pPr>
      <w:bookmarkStart w:id="433" w:name="_Toc11406"/>
      <w:r>
        <w:rPr>
          <w:rFonts w:hint="eastAsia" w:ascii="宋体" w:hAnsi="宋体" w:cs="宋体"/>
          <w:b/>
          <w:sz w:val="30"/>
          <w:szCs w:val="30"/>
          <w:highlight w:val="none"/>
          <w:lang w:val="en-US" w:eastAsia="zh-CN"/>
        </w:rPr>
        <w:t>五</w:t>
      </w:r>
      <w:r>
        <w:rPr>
          <w:rFonts w:hint="eastAsia" w:ascii="宋体" w:hAnsi="宋体" w:cs="宋体"/>
          <w:b/>
          <w:sz w:val="30"/>
          <w:szCs w:val="30"/>
          <w:highlight w:val="none"/>
        </w:rPr>
        <w:t>、</w:t>
      </w:r>
      <w:r>
        <w:rPr>
          <w:rFonts w:hint="eastAsia" w:ascii="宋体" w:hAnsi="宋体" w:cs="宋体"/>
          <w:b/>
          <w:sz w:val="30"/>
          <w:szCs w:val="30"/>
          <w:highlight w:val="none"/>
          <w:lang w:val="en-US" w:eastAsia="zh-CN"/>
        </w:rPr>
        <w:t>技术</w:t>
      </w:r>
      <w:r>
        <w:rPr>
          <w:rFonts w:hint="eastAsia" w:ascii="宋体" w:hAnsi="宋体" w:cs="宋体"/>
          <w:b/>
          <w:sz w:val="30"/>
          <w:szCs w:val="30"/>
          <w:highlight w:val="none"/>
        </w:rPr>
        <w:t>方案</w:t>
      </w:r>
      <w:bookmarkEnd w:id="424"/>
      <w:bookmarkEnd w:id="425"/>
      <w:bookmarkEnd w:id="426"/>
      <w:bookmarkEnd w:id="427"/>
      <w:bookmarkEnd w:id="428"/>
      <w:bookmarkEnd w:id="429"/>
      <w:bookmarkEnd w:id="430"/>
      <w:bookmarkEnd w:id="431"/>
      <w:bookmarkEnd w:id="432"/>
      <w:bookmarkEnd w:id="433"/>
    </w:p>
    <w:p w14:paraId="4E006775">
      <w:pPr>
        <w:spacing w:line="500" w:lineRule="exact"/>
        <w:jc w:val="center"/>
        <w:rPr>
          <w:rFonts w:ascii="宋体" w:hAnsi="宋体" w:cs="宋体"/>
          <w:szCs w:val="21"/>
          <w:highlight w:val="none"/>
        </w:rPr>
      </w:pPr>
    </w:p>
    <w:p w14:paraId="03D94724">
      <w:pPr>
        <w:spacing w:line="5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此项内容格式自拟，内容应包括但不限制于</w:t>
      </w:r>
      <w:r>
        <w:rPr>
          <w:rFonts w:hint="eastAsia" w:ascii="宋体" w:hAnsi="宋体" w:cs="宋体"/>
          <w:b/>
          <w:bCs/>
          <w:sz w:val="24"/>
          <w:szCs w:val="24"/>
          <w:highlight w:val="none"/>
          <w:lang w:val="en-US" w:eastAsia="zh-CN"/>
        </w:rPr>
        <w:t>评审</w:t>
      </w:r>
      <w:r>
        <w:rPr>
          <w:rFonts w:hint="eastAsia" w:ascii="宋体" w:hAnsi="宋体" w:eastAsia="宋体" w:cs="宋体"/>
          <w:b/>
          <w:bCs/>
          <w:sz w:val="24"/>
          <w:szCs w:val="24"/>
          <w:highlight w:val="none"/>
          <w:lang w:val="en-US" w:eastAsia="zh-CN"/>
        </w:rPr>
        <w:t>办法提到的内容</w:t>
      </w:r>
      <w:r>
        <w:rPr>
          <w:rFonts w:hint="eastAsia" w:ascii="宋体" w:hAnsi="宋体" w:eastAsia="宋体" w:cs="宋体"/>
          <w:b/>
          <w:bCs/>
          <w:sz w:val="24"/>
          <w:szCs w:val="24"/>
          <w:highlight w:val="none"/>
        </w:rPr>
        <w:t>）</w:t>
      </w:r>
    </w:p>
    <w:p w14:paraId="4BA7A1A0">
      <w:pPr>
        <w:spacing w:line="500" w:lineRule="exact"/>
        <w:rPr>
          <w:rFonts w:ascii="宋体" w:hAnsi="宋体" w:cs="宋体"/>
          <w:highlight w:val="none"/>
        </w:rPr>
      </w:pPr>
    </w:p>
    <w:p w14:paraId="7961C867">
      <w:pPr>
        <w:spacing w:line="500" w:lineRule="exact"/>
        <w:rPr>
          <w:rFonts w:ascii="宋体" w:hAnsi="宋体" w:cs="宋体"/>
          <w:highlight w:val="none"/>
        </w:rPr>
      </w:pPr>
    </w:p>
    <w:p w14:paraId="2248AFEE">
      <w:pPr>
        <w:spacing w:line="500" w:lineRule="exact"/>
        <w:rPr>
          <w:rFonts w:ascii="宋体" w:hAnsi="宋体" w:cs="宋体"/>
          <w:highlight w:val="none"/>
        </w:rPr>
      </w:pPr>
    </w:p>
    <w:p w14:paraId="100BA7E3">
      <w:pPr>
        <w:spacing w:line="500" w:lineRule="exact"/>
        <w:rPr>
          <w:rFonts w:ascii="宋体" w:hAnsi="宋体" w:cs="宋体"/>
          <w:highlight w:val="none"/>
        </w:rPr>
      </w:pPr>
      <w:bookmarkStart w:id="434" w:name="page89"/>
      <w:bookmarkEnd w:id="434"/>
    </w:p>
    <w:p w14:paraId="267E3B7E">
      <w:pPr>
        <w:pStyle w:val="2"/>
        <w:spacing w:line="500" w:lineRule="exact"/>
        <w:rPr>
          <w:rFonts w:ascii="宋体" w:hAnsi="宋体" w:cs="宋体"/>
          <w:sz w:val="30"/>
          <w:szCs w:val="30"/>
          <w:highlight w:val="none"/>
        </w:rPr>
      </w:pPr>
      <w:r>
        <w:rPr>
          <w:rFonts w:hint="eastAsia" w:ascii="宋体" w:hAnsi="宋体" w:cs="宋体"/>
          <w:sz w:val="30"/>
          <w:szCs w:val="30"/>
          <w:highlight w:val="none"/>
        </w:rPr>
        <w:br w:type="page"/>
      </w:r>
      <w:bookmarkStart w:id="435" w:name="_Toc19584_WPSOffice_Level1"/>
      <w:bookmarkEnd w:id="435"/>
      <w:bookmarkStart w:id="436" w:name="_Toc522085810"/>
      <w:bookmarkEnd w:id="436"/>
      <w:bookmarkStart w:id="437" w:name="_Toc1256_WPSOffice_Level1"/>
      <w:bookmarkEnd w:id="437"/>
      <w:bookmarkStart w:id="438" w:name="_Toc522798786"/>
      <w:bookmarkEnd w:id="438"/>
      <w:bookmarkStart w:id="439" w:name="_Toc11279_WPSOffice_Level1"/>
      <w:bookmarkEnd w:id="439"/>
      <w:bookmarkStart w:id="440" w:name="_Toc521998014"/>
      <w:bookmarkEnd w:id="440"/>
      <w:bookmarkStart w:id="441" w:name="_Toc6136_WPSOffice_Level1"/>
      <w:bookmarkStart w:id="442" w:name="_Toc9122"/>
      <w:bookmarkStart w:id="443" w:name="_Toc1254_WPSOffice_Level1"/>
      <w:bookmarkStart w:id="444" w:name="_Toc7619_WPSOffice_Level1"/>
      <w:bookmarkStart w:id="445" w:name="_Toc31485_WPSOffice_Level1"/>
      <w:bookmarkStart w:id="446" w:name="_Toc7115_WPSOffice_Level1"/>
      <w:bookmarkStart w:id="447" w:name="_Toc522798876"/>
      <w:bookmarkStart w:id="448" w:name="_Toc19510_WPSOffice_Level1"/>
      <w:bookmarkStart w:id="449" w:name="_Toc4672_WPSOffice_Level1"/>
      <w:r>
        <w:rPr>
          <w:rFonts w:hint="eastAsia" w:ascii="宋体" w:hAnsi="宋体" w:cs="宋体"/>
          <w:sz w:val="30"/>
          <w:szCs w:val="30"/>
          <w:highlight w:val="none"/>
          <w:lang w:val="en-US" w:eastAsia="zh-CN"/>
        </w:rPr>
        <w:t>六</w:t>
      </w:r>
      <w:r>
        <w:rPr>
          <w:rFonts w:hint="eastAsia" w:ascii="宋体" w:hAnsi="宋体" w:cs="宋体"/>
          <w:sz w:val="30"/>
          <w:szCs w:val="30"/>
          <w:highlight w:val="none"/>
        </w:rPr>
        <w:t>、服务</w:t>
      </w:r>
      <w:bookmarkEnd w:id="441"/>
      <w:bookmarkEnd w:id="442"/>
      <w:bookmarkEnd w:id="443"/>
      <w:bookmarkEnd w:id="444"/>
      <w:bookmarkEnd w:id="445"/>
      <w:bookmarkEnd w:id="446"/>
      <w:bookmarkEnd w:id="447"/>
      <w:bookmarkEnd w:id="448"/>
      <w:bookmarkEnd w:id="449"/>
      <w:r>
        <w:rPr>
          <w:rFonts w:hint="eastAsia" w:ascii="宋体" w:hAnsi="宋体" w:cs="宋体"/>
          <w:sz w:val="30"/>
          <w:szCs w:val="30"/>
          <w:highlight w:val="none"/>
        </w:rPr>
        <w:t>承诺</w:t>
      </w:r>
    </w:p>
    <w:p w14:paraId="3A0A6E18">
      <w:pPr>
        <w:pStyle w:val="42"/>
        <w:spacing w:line="500" w:lineRule="exact"/>
        <w:jc w:val="center"/>
        <w:rPr>
          <w:rFonts w:hAnsi="宋体"/>
          <w:color w:val="auto"/>
          <w:highlight w:val="none"/>
        </w:rPr>
      </w:pPr>
      <w:r>
        <w:rPr>
          <w:rFonts w:hint="eastAsia" w:hAnsi="宋体"/>
          <w:color w:val="auto"/>
          <w:highlight w:val="none"/>
        </w:rPr>
        <w:t xml:space="preserve">    </w:t>
      </w:r>
      <w:r>
        <w:rPr>
          <w:rFonts w:hint="eastAsia" w:hAnsi="宋体"/>
          <w:b/>
          <w:bCs/>
          <w:color w:val="auto"/>
          <w:highlight w:val="none"/>
        </w:rPr>
        <w:t xml:space="preserve"> （</w:t>
      </w:r>
      <w:r>
        <w:rPr>
          <w:rFonts w:hint="eastAsia" w:hAnsi="宋体"/>
          <w:b/>
          <w:bCs/>
          <w:color w:val="auto"/>
          <w:highlight w:val="none"/>
          <w:lang w:val="en-US" w:eastAsia="zh-CN"/>
        </w:rPr>
        <w:t>此项内容格式自拟，内容应包括但不限制于评审办法提到的内容</w:t>
      </w:r>
      <w:r>
        <w:rPr>
          <w:rFonts w:hint="eastAsia" w:hAnsi="宋体"/>
          <w:b/>
          <w:bCs/>
          <w:color w:val="auto"/>
          <w:highlight w:val="none"/>
        </w:rPr>
        <w:t>）</w:t>
      </w:r>
    </w:p>
    <w:p w14:paraId="6DF1FB6A">
      <w:pPr>
        <w:spacing w:line="500" w:lineRule="exact"/>
        <w:rPr>
          <w:rFonts w:ascii="宋体" w:hAnsi="宋体" w:cs="宋体"/>
          <w:szCs w:val="21"/>
          <w:highlight w:val="none"/>
        </w:rPr>
      </w:pPr>
    </w:p>
    <w:p w14:paraId="3C0D9BFF">
      <w:pPr>
        <w:spacing w:line="500" w:lineRule="exact"/>
        <w:rPr>
          <w:rFonts w:ascii="宋体" w:hAnsi="宋体" w:cs="宋体"/>
          <w:highlight w:val="none"/>
        </w:rPr>
      </w:pPr>
    </w:p>
    <w:p w14:paraId="16BDF0E1">
      <w:pPr>
        <w:spacing w:line="500" w:lineRule="exact"/>
        <w:rPr>
          <w:rFonts w:ascii="宋体" w:hAnsi="宋体" w:cs="宋体"/>
          <w:highlight w:val="none"/>
        </w:rPr>
      </w:pPr>
    </w:p>
    <w:p w14:paraId="643C65DE">
      <w:pPr>
        <w:spacing w:line="500" w:lineRule="exact"/>
        <w:rPr>
          <w:rFonts w:ascii="宋体" w:hAnsi="宋体" w:cs="宋体"/>
          <w:highlight w:val="none"/>
        </w:rPr>
      </w:pPr>
    </w:p>
    <w:p w14:paraId="0C341A6A">
      <w:pPr>
        <w:spacing w:line="500" w:lineRule="exact"/>
        <w:rPr>
          <w:rFonts w:ascii="宋体" w:hAnsi="宋体" w:cs="宋体"/>
          <w:highlight w:val="none"/>
        </w:rPr>
      </w:pPr>
    </w:p>
    <w:p w14:paraId="555F932D">
      <w:pPr>
        <w:spacing w:line="500" w:lineRule="exact"/>
        <w:rPr>
          <w:highlight w:val="none"/>
        </w:rPr>
      </w:pPr>
      <w:bookmarkStart w:id="450" w:name="page90"/>
      <w:bookmarkEnd w:id="450"/>
    </w:p>
    <w:p w14:paraId="107E6359">
      <w:pPr>
        <w:spacing w:line="500" w:lineRule="exact"/>
        <w:rPr>
          <w:highlight w:val="none"/>
        </w:rPr>
      </w:pPr>
    </w:p>
    <w:p w14:paraId="28CDD472">
      <w:pPr>
        <w:spacing w:line="500" w:lineRule="exact"/>
        <w:rPr>
          <w:highlight w:val="none"/>
        </w:rPr>
      </w:pPr>
    </w:p>
    <w:p w14:paraId="1BF668BE">
      <w:pPr>
        <w:spacing w:line="500" w:lineRule="exact"/>
        <w:rPr>
          <w:highlight w:val="none"/>
        </w:rPr>
      </w:pPr>
    </w:p>
    <w:p w14:paraId="5551000B">
      <w:pPr>
        <w:spacing w:line="500" w:lineRule="exact"/>
        <w:rPr>
          <w:highlight w:val="none"/>
        </w:rPr>
      </w:pPr>
    </w:p>
    <w:p w14:paraId="7B9AACE3">
      <w:pPr>
        <w:spacing w:line="500" w:lineRule="exact"/>
        <w:rPr>
          <w:highlight w:val="none"/>
        </w:rPr>
      </w:pPr>
    </w:p>
    <w:p w14:paraId="06BD7B26">
      <w:pPr>
        <w:spacing w:line="500" w:lineRule="exact"/>
        <w:rPr>
          <w:highlight w:val="none"/>
        </w:rPr>
      </w:pPr>
    </w:p>
    <w:p w14:paraId="25D64162">
      <w:pPr>
        <w:spacing w:line="500" w:lineRule="exact"/>
        <w:rPr>
          <w:highlight w:val="none"/>
        </w:rPr>
      </w:pPr>
    </w:p>
    <w:p w14:paraId="52C9731A">
      <w:pPr>
        <w:spacing w:line="500" w:lineRule="exact"/>
        <w:rPr>
          <w:highlight w:val="none"/>
        </w:rPr>
      </w:pPr>
    </w:p>
    <w:p w14:paraId="54A916B1">
      <w:pPr>
        <w:spacing w:line="500" w:lineRule="exact"/>
        <w:rPr>
          <w:highlight w:val="none"/>
        </w:rPr>
      </w:pPr>
    </w:p>
    <w:p w14:paraId="5BF41348">
      <w:pPr>
        <w:spacing w:line="500" w:lineRule="exact"/>
        <w:rPr>
          <w:highlight w:val="none"/>
        </w:rPr>
      </w:pPr>
    </w:p>
    <w:p w14:paraId="6DA35BDB">
      <w:pPr>
        <w:spacing w:line="500" w:lineRule="exact"/>
        <w:rPr>
          <w:highlight w:val="none"/>
        </w:rPr>
      </w:pPr>
    </w:p>
    <w:p w14:paraId="5CCAF8AC">
      <w:pPr>
        <w:spacing w:line="500" w:lineRule="exact"/>
        <w:rPr>
          <w:highlight w:val="none"/>
        </w:rPr>
      </w:pPr>
    </w:p>
    <w:p w14:paraId="5CD5910B">
      <w:pPr>
        <w:spacing w:line="500" w:lineRule="exact"/>
        <w:rPr>
          <w:highlight w:val="none"/>
        </w:rPr>
      </w:pPr>
    </w:p>
    <w:p w14:paraId="12CBE8A1">
      <w:pPr>
        <w:spacing w:line="500" w:lineRule="exact"/>
        <w:rPr>
          <w:highlight w:val="none"/>
        </w:rPr>
      </w:pPr>
    </w:p>
    <w:p w14:paraId="16ED9040">
      <w:pPr>
        <w:spacing w:line="500" w:lineRule="exact"/>
        <w:rPr>
          <w:highlight w:val="none"/>
        </w:rPr>
      </w:pPr>
    </w:p>
    <w:p w14:paraId="513605BA">
      <w:pPr>
        <w:spacing w:line="500" w:lineRule="exact"/>
        <w:rPr>
          <w:highlight w:val="none"/>
        </w:rPr>
      </w:pPr>
    </w:p>
    <w:p w14:paraId="2D280F95">
      <w:pPr>
        <w:spacing w:line="500" w:lineRule="exact"/>
        <w:rPr>
          <w:highlight w:val="none"/>
        </w:rPr>
      </w:pPr>
    </w:p>
    <w:p w14:paraId="2E60D565">
      <w:pPr>
        <w:spacing w:line="500" w:lineRule="exact"/>
        <w:rPr>
          <w:highlight w:val="none"/>
        </w:rPr>
      </w:pPr>
    </w:p>
    <w:p w14:paraId="58C71B1B">
      <w:pPr>
        <w:pStyle w:val="2"/>
        <w:rPr>
          <w:highlight w:val="none"/>
        </w:rPr>
      </w:pPr>
      <w:r>
        <w:rPr>
          <w:rFonts w:hint="eastAsia"/>
          <w:highlight w:val="none"/>
          <w:lang w:val="en-US" w:eastAsia="zh-CN"/>
        </w:rPr>
        <w:t>七</w:t>
      </w:r>
      <w:r>
        <w:rPr>
          <w:rFonts w:hint="eastAsia"/>
          <w:highlight w:val="none"/>
        </w:rPr>
        <w:t>、其他材料</w:t>
      </w:r>
    </w:p>
    <w:p w14:paraId="0840A2A5">
      <w:pPr>
        <w:pStyle w:val="48"/>
        <w:spacing w:line="500" w:lineRule="exact"/>
        <w:rPr>
          <w:b/>
          <w:bCs/>
          <w:highlight w:val="none"/>
        </w:rPr>
      </w:pPr>
      <w:r>
        <w:rPr>
          <w:rFonts w:hint="eastAsia"/>
          <w:b/>
          <w:bCs/>
          <w:highlight w:val="none"/>
          <w:lang w:val="en-US" w:eastAsia="zh-CN"/>
        </w:rPr>
        <w:t>1</w:t>
      </w:r>
      <w:r>
        <w:rPr>
          <w:rFonts w:hint="eastAsia"/>
          <w:b/>
          <w:bCs/>
          <w:highlight w:val="none"/>
        </w:rPr>
        <w:t>、供应商认为应附的其他材料</w:t>
      </w:r>
    </w:p>
    <w:p w14:paraId="1ACAD872">
      <w:pPr>
        <w:spacing w:line="500" w:lineRule="exact"/>
        <w:rPr>
          <w:highlight w:val="none"/>
        </w:rPr>
      </w:pPr>
    </w:p>
    <w:p w14:paraId="737173CF">
      <w:pPr>
        <w:spacing w:line="500" w:lineRule="exact"/>
        <w:rPr>
          <w:highlight w:val="none"/>
        </w:rPr>
      </w:pPr>
    </w:p>
    <w:p w14:paraId="60FD0091">
      <w:pPr>
        <w:spacing w:line="500" w:lineRule="exact"/>
        <w:rPr>
          <w:highlight w:val="none"/>
        </w:rPr>
      </w:pPr>
    </w:p>
    <w:p w14:paraId="501F50EF">
      <w:pPr>
        <w:spacing w:line="500" w:lineRule="exact"/>
        <w:rPr>
          <w:highlight w:val="none"/>
        </w:rPr>
      </w:pPr>
    </w:p>
    <w:p w14:paraId="155C6769">
      <w:pPr>
        <w:spacing w:line="500" w:lineRule="exact"/>
        <w:rPr>
          <w:highlight w:val="none"/>
        </w:rPr>
      </w:pPr>
    </w:p>
    <w:p w14:paraId="1F591AC2">
      <w:pPr>
        <w:spacing w:line="500" w:lineRule="exact"/>
        <w:rPr>
          <w:highlight w:val="none"/>
        </w:rPr>
      </w:pPr>
    </w:p>
    <w:p w14:paraId="2701F39E">
      <w:pPr>
        <w:spacing w:line="500" w:lineRule="exact"/>
        <w:rPr>
          <w:highlight w:val="none"/>
        </w:rPr>
      </w:pPr>
    </w:p>
    <w:p w14:paraId="3626A839">
      <w:pPr>
        <w:spacing w:line="500" w:lineRule="exact"/>
        <w:rPr>
          <w:highlight w:val="none"/>
        </w:rPr>
      </w:pPr>
    </w:p>
    <w:p w14:paraId="627176A2">
      <w:pPr>
        <w:spacing w:line="500" w:lineRule="exact"/>
        <w:rPr>
          <w:highlight w:val="none"/>
        </w:rPr>
      </w:pPr>
    </w:p>
    <w:p w14:paraId="66458274">
      <w:pPr>
        <w:spacing w:line="500" w:lineRule="exact"/>
        <w:rPr>
          <w:highlight w:val="none"/>
        </w:rPr>
      </w:pPr>
    </w:p>
    <w:p w14:paraId="18773947">
      <w:pPr>
        <w:spacing w:line="500" w:lineRule="exact"/>
        <w:rPr>
          <w:highlight w:val="none"/>
        </w:rPr>
      </w:pPr>
    </w:p>
    <w:p w14:paraId="7188AC5B">
      <w:pPr>
        <w:spacing w:line="500" w:lineRule="exact"/>
        <w:rPr>
          <w:highlight w:val="none"/>
        </w:rPr>
      </w:pPr>
    </w:p>
    <w:p w14:paraId="2E42904F">
      <w:pPr>
        <w:spacing w:line="500" w:lineRule="exact"/>
        <w:rPr>
          <w:highlight w:val="none"/>
        </w:rPr>
      </w:pPr>
    </w:p>
    <w:p w14:paraId="0EF1B14D">
      <w:pPr>
        <w:spacing w:line="500" w:lineRule="exact"/>
        <w:rPr>
          <w:highlight w:val="none"/>
        </w:rPr>
      </w:pPr>
    </w:p>
    <w:p w14:paraId="2053A2AD">
      <w:pPr>
        <w:spacing w:line="500" w:lineRule="exact"/>
        <w:rPr>
          <w:highlight w:val="none"/>
        </w:rPr>
      </w:pPr>
    </w:p>
    <w:p w14:paraId="2E6FEB4D">
      <w:pPr>
        <w:spacing w:line="500" w:lineRule="exact"/>
        <w:rPr>
          <w:highlight w:val="none"/>
        </w:rPr>
      </w:pPr>
    </w:p>
    <w:p w14:paraId="24947BA9">
      <w:pPr>
        <w:spacing w:line="500" w:lineRule="exact"/>
        <w:rPr>
          <w:highlight w:val="none"/>
        </w:rPr>
      </w:pPr>
    </w:p>
    <w:p w14:paraId="7739ABA4">
      <w:pPr>
        <w:spacing w:line="500" w:lineRule="exact"/>
        <w:rPr>
          <w:highlight w:val="none"/>
        </w:rPr>
      </w:pPr>
    </w:p>
    <w:p w14:paraId="60499712">
      <w:pPr>
        <w:spacing w:line="500" w:lineRule="exact"/>
        <w:rPr>
          <w:highlight w:val="none"/>
        </w:rPr>
      </w:pPr>
    </w:p>
    <w:p w14:paraId="4FC5274A">
      <w:pPr>
        <w:spacing w:line="500" w:lineRule="exact"/>
        <w:rPr>
          <w:highlight w:val="none"/>
        </w:rPr>
      </w:pPr>
    </w:p>
    <w:p w14:paraId="11E7ECBF">
      <w:pPr>
        <w:spacing w:line="500" w:lineRule="exact"/>
        <w:rPr>
          <w:highlight w:val="none"/>
        </w:rPr>
      </w:pPr>
    </w:p>
    <w:p w14:paraId="65DEF10F">
      <w:pPr>
        <w:spacing w:line="500" w:lineRule="exact"/>
        <w:rPr>
          <w:highlight w:val="none"/>
        </w:rPr>
      </w:pPr>
    </w:p>
    <w:p w14:paraId="1C7ABD46">
      <w:pPr>
        <w:spacing w:line="500" w:lineRule="exact"/>
        <w:rPr>
          <w:highlight w:val="none"/>
        </w:rPr>
      </w:pPr>
    </w:p>
    <w:p w14:paraId="70E5D4D9">
      <w:pPr>
        <w:spacing w:line="500" w:lineRule="exact"/>
        <w:rPr>
          <w:highlight w:val="none"/>
        </w:rPr>
      </w:pPr>
    </w:p>
    <w:p w14:paraId="2BF61292">
      <w:pPr>
        <w:spacing w:line="500" w:lineRule="exact"/>
        <w:rPr>
          <w:highlight w:val="none"/>
        </w:rPr>
      </w:pPr>
    </w:p>
    <w:p w14:paraId="07014D1A">
      <w:pPr>
        <w:spacing w:line="500" w:lineRule="exact"/>
        <w:rPr>
          <w:highlight w:val="none"/>
        </w:rPr>
      </w:pPr>
    </w:p>
    <w:p w14:paraId="1286CD26">
      <w:pPr>
        <w:spacing w:line="500" w:lineRule="exact"/>
        <w:rPr>
          <w:highlight w:val="none"/>
        </w:rPr>
      </w:pPr>
    </w:p>
    <w:p w14:paraId="01FAF29B">
      <w:pPr>
        <w:spacing w:line="500" w:lineRule="exact"/>
        <w:rPr>
          <w:highlight w:val="none"/>
        </w:rPr>
      </w:pPr>
    </w:p>
    <w:p w14:paraId="591F75D0">
      <w:pPr>
        <w:spacing w:line="500" w:lineRule="exact"/>
        <w:rPr>
          <w:highlight w:val="none"/>
        </w:rPr>
      </w:pPr>
    </w:p>
    <w:p w14:paraId="19B2B867">
      <w:pPr>
        <w:spacing w:line="500" w:lineRule="exact"/>
        <w:rPr>
          <w:highlight w:val="none"/>
        </w:rPr>
      </w:pPr>
    </w:p>
    <w:p w14:paraId="1A664A91">
      <w:pPr>
        <w:spacing w:line="500" w:lineRule="exact"/>
        <w:rPr>
          <w:highlight w:val="none"/>
        </w:rPr>
      </w:pPr>
    </w:p>
    <w:p w14:paraId="6F0FB922">
      <w:pPr>
        <w:spacing w:line="500" w:lineRule="exact"/>
        <w:rPr>
          <w:highlight w:val="none"/>
        </w:rPr>
      </w:pPr>
    </w:p>
    <w:sectPr>
      <w:pgSz w:w="11906" w:h="16838"/>
      <w:pgMar w:top="1417" w:right="1134"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_5b8b_4f53">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1E119">
    <w:pPr>
      <w:pStyle w:val="17"/>
      <w:tabs>
        <w:tab w:val="center" w:pos="4320"/>
        <w:tab w:val="clear" w:pos="4153"/>
      </w:tabs>
      <w:ind w:firstLine="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427AE">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1B427AE">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E81CD">
    <w:pPr>
      <w:pStyle w:val="17"/>
      <w:framePr w:wrap="around" w:vAnchor="text" w:hAnchor="margin" w:xAlign="center" w:y="1"/>
      <w:rPr>
        <w:rStyle w:val="30"/>
      </w:rPr>
    </w:pPr>
    <w:r>
      <w:fldChar w:fldCharType="begin"/>
    </w:r>
    <w:r>
      <w:rPr>
        <w:rStyle w:val="30"/>
      </w:rPr>
      <w:instrText xml:space="preserve">PAGE  </w:instrText>
    </w:r>
    <w:r>
      <w:fldChar w:fldCharType="end"/>
    </w:r>
  </w:p>
  <w:p w14:paraId="7DA9152F">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DACB7">
    <w:pPr>
      <w:pStyle w:val="17"/>
      <w:jc w:val="center"/>
    </w:pPr>
    <w:r>
      <w:rPr>
        <w:rFonts w:hint="eastAsia"/>
      </w:rPr>
      <w:t>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60C18">
    <w:pPr>
      <w:pStyle w:val="1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10105390</wp:posOffset>
              </wp:positionV>
              <wp:extent cx="167005"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3166F6CF">
                          <w:pPr>
                            <w:spacing w:line="203" w:lineRule="exact"/>
                            <w:ind w:left="40"/>
                            <w:jc w:val="left"/>
                            <w:rPr>
                              <w:sz w:val="18"/>
                            </w:rPr>
                          </w:pPr>
                          <w:r>
                            <w:fldChar w:fldCharType="begin"/>
                          </w:r>
                          <w:r>
                            <w:rPr>
                              <w:sz w:val="18"/>
                            </w:rPr>
                            <w:instrText xml:space="preserve"> PAGE </w:instrText>
                          </w:r>
                          <w:r>
                            <w:fldChar w:fldCharType="separate"/>
                          </w:r>
                          <w:r>
                            <w:rPr>
                              <w:sz w:val="18"/>
                            </w:rPr>
                            <w:t>4</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1pt;margin-top:795.7pt;height:11pt;width:13.15pt;mso-position-horizontal-relative:page;mso-position-vertical-relative:page;z-index:-251657216;mso-width-relative:page;mso-height-relative:page;" filled="f" stroked="f" coordsize="21600,21600" o:gfxdata="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8I7DNdwAAAANAQAADwAAAAAAAAABACAAAAAiAAAAZHJzL2Rvd25yZXYueG1sUEsB&#10;AhQAFAAAAAgAh07iQLIZB6+4AQAAcQMAAA4AAAAAAAAAAQAgAAAAKwEAAGRycy9lMm9Eb2MueG1s&#10;UEsFBgAAAAAGAAYAWQEAAFUFAAAAAA==&#10;">
              <v:fill on="f" focussize="0,0"/>
              <v:stroke on="f"/>
              <v:imagedata o:title=""/>
              <o:lock v:ext="edit" aspectratio="f"/>
              <v:textbox inset="0mm,0mm,0mm,0mm">
                <w:txbxContent>
                  <w:p w14:paraId="3166F6CF">
                    <w:pPr>
                      <w:spacing w:line="203" w:lineRule="exact"/>
                      <w:ind w:left="40"/>
                      <w:jc w:val="left"/>
                      <w:rPr>
                        <w:sz w:val="18"/>
                      </w:rPr>
                    </w:pPr>
                    <w:r>
                      <w:fldChar w:fldCharType="begin"/>
                    </w:r>
                    <w:r>
                      <w:rPr>
                        <w:sz w:val="18"/>
                      </w:rPr>
                      <w:instrText xml:space="preserve"> PAGE </w:instrText>
                    </w:r>
                    <w:r>
                      <w:fldChar w:fldCharType="separate"/>
                    </w:r>
                    <w:r>
                      <w:rPr>
                        <w:sz w:val="18"/>
                      </w:rP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5CE74">
    <w:pPr>
      <w:spacing w:before="120" w:beforeLines="50" w:after="120" w:afterLines="50"/>
      <w:ind w:firstLine="420" w:firstLineChars="200"/>
      <w:jc w:val="center"/>
      <w:rPr>
        <w:b/>
      </w:rPr>
    </w:pPr>
    <w:r>
      <w:rPr>
        <w:rFonts w:hint="eastAsia"/>
      </w:rPr>
      <w:t xml:space="preserve">                         </w:t>
    </w:r>
  </w:p>
  <w:p w14:paraId="050EDBDB">
    <w:pPr>
      <w:rPr>
        <w:rFonts w:asci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1DB4E"/>
    <w:multiLevelType w:val="singleLevel"/>
    <w:tmpl w:val="8051DB4E"/>
    <w:lvl w:ilvl="0" w:tentative="0">
      <w:start w:val="1"/>
      <w:numFmt w:val="decimal"/>
      <w:suff w:val="nothing"/>
      <w:lvlText w:val="%1、"/>
      <w:lvlJc w:val="left"/>
    </w:lvl>
  </w:abstractNum>
  <w:abstractNum w:abstractNumId="1">
    <w:nsid w:val="8AF260AA"/>
    <w:multiLevelType w:val="singleLevel"/>
    <w:tmpl w:val="8AF260AA"/>
    <w:lvl w:ilvl="0" w:tentative="0">
      <w:start w:val="1"/>
      <w:numFmt w:val="decimal"/>
      <w:lvlText w:val="%1."/>
      <w:lvlJc w:val="left"/>
      <w:pPr>
        <w:tabs>
          <w:tab w:val="left" w:pos="312"/>
        </w:tabs>
      </w:pPr>
    </w:lvl>
  </w:abstractNum>
  <w:abstractNum w:abstractNumId="2">
    <w:nsid w:val="8D3D601D"/>
    <w:multiLevelType w:val="singleLevel"/>
    <w:tmpl w:val="8D3D601D"/>
    <w:lvl w:ilvl="0" w:tentative="0">
      <w:start w:val="1"/>
      <w:numFmt w:val="decimal"/>
      <w:lvlText w:val="%1."/>
      <w:lvlJc w:val="left"/>
      <w:pPr>
        <w:tabs>
          <w:tab w:val="left" w:pos="312"/>
        </w:tabs>
      </w:pPr>
    </w:lvl>
  </w:abstractNum>
  <w:abstractNum w:abstractNumId="3">
    <w:nsid w:val="AA6B980A"/>
    <w:multiLevelType w:val="singleLevel"/>
    <w:tmpl w:val="AA6B980A"/>
    <w:lvl w:ilvl="0" w:tentative="0">
      <w:start w:val="1"/>
      <w:numFmt w:val="decimal"/>
      <w:lvlText w:val="%1."/>
      <w:lvlJc w:val="left"/>
      <w:pPr>
        <w:tabs>
          <w:tab w:val="left" w:pos="312"/>
        </w:tabs>
      </w:pPr>
    </w:lvl>
  </w:abstractNum>
  <w:abstractNum w:abstractNumId="4">
    <w:nsid w:val="CAF3EEB9"/>
    <w:multiLevelType w:val="singleLevel"/>
    <w:tmpl w:val="CAF3EEB9"/>
    <w:lvl w:ilvl="0" w:tentative="0">
      <w:start w:val="1"/>
      <w:numFmt w:val="decimal"/>
      <w:lvlText w:val="%1."/>
      <w:lvlJc w:val="left"/>
      <w:pPr>
        <w:tabs>
          <w:tab w:val="left" w:pos="312"/>
        </w:tabs>
      </w:pPr>
    </w:lvl>
  </w:abstractNum>
  <w:abstractNum w:abstractNumId="5">
    <w:nsid w:val="06C82C94"/>
    <w:multiLevelType w:val="singleLevel"/>
    <w:tmpl w:val="06C82C94"/>
    <w:lvl w:ilvl="0" w:tentative="0">
      <w:start w:val="4"/>
      <w:numFmt w:val="chineseCounting"/>
      <w:suff w:val="nothing"/>
      <w:lvlText w:val="（%1）"/>
      <w:lvlJc w:val="left"/>
      <w:rPr>
        <w:rFonts w:hint="eastAsia"/>
      </w:rPr>
    </w:lvl>
  </w:abstractNum>
  <w:abstractNum w:abstractNumId="6">
    <w:nsid w:val="1625B15E"/>
    <w:multiLevelType w:val="singleLevel"/>
    <w:tmpl w:val="1625B15E"/>
    <w:lvl w:ilvl="0" w:tentative="0">
      <w:start w:val="1"/>
      <w:numFmt w:val="decimal"/>
      <w:suff w:val="nothing"/>
      <w:lvlText w:val="（%1）"/>
      <w:lvlJc w:val="left"/>
    </w:lvl>
  </w:abstractNum>
  <w:abstractNum w:abstractNumId="7">
    <w:nsid w:val="463B3679"/>
    <w:multiLevelType w:val="singleLevel"/>
    <w:tmpl w:val="463B3679"/>
    <w:lvl w:ilvl="0" w:tentative="0">
      <w:start w:val="1"/>
      <w:numFmt w:val="chineseCounting"/>
      <w:suff w:val="nothing"/>
      <w:lvlText w:val="%1、"/>
      <w:lvlJc w:val="left"/>
      <w:rPr>
        <w:rFonts w:hint="eastAsia"/>
      </w:rPr>
    </w:lvl>
  </w:abstractNum>
  <w:abstractNum w:abstractNumId="8">
    <w:nsid w:val="489FDE03"/>
    <w:multiLevelType w:val="singleLevel"/>
    <w:tmpl w:val="489FDE03"/>
    <w:lvl w:ilvl="0" w:tentative="0">
      <w:start w:val="2"/>
      <w:numFmt w:val="decimal"/>
      <w:suff w:val="nothing"/>
      <w:lvlText w:val="%1、"/>
      <w:lvlJc w:val="left"/>
    </w:lvl>
  </w:abstractNum>
  <w:abstractNum w:abstractNumId="9">
    <w:nsid w:val="5E67CC12"/>
    <w:multiLevelType w:val="singleLevel"/>
    <w:tmpl w:val="5E67CC12"/>
    <w:lvl w:ilvl="0" w:tentative="0">
      <w:start w:val="1"/>
      <w:numFmt w:val="decimal"/>
      <w:lvlText w:val="%1."/>
      <w:lvlJc w:val="left"/>
      <w:pPr>
        <w:tabs>
          <w:tab w:val="left" w:pos="312"/>
        </w:tabs>
      </w:pPr>
    </w:lvl>
  </w:abstractNum>
  <w:abstractNum w:abstractNumId="10">
    <w:nsid w:val="6974AF06"/>
    <w:multiLevelType w:val="singleLevel"/>
    <w:tmpl w:val="6974AF06"/>
    <w:lvl w:ilvl="0" w:tentative="0">
      <w:start w:val="1"/>
      <w:numFmt w:val="decimal"/>
      <w:lvlText w:val="%1."/>
      <w:lvlJc w:val="left"/>
      <w:pPr>
        <w:tabs>
          <w:tab w:val="left" w:pos="312"/>
        </w:tabs>
      </w:pPr>
    </w:lvl>
  </w:abstractNum>
  <w:num w:numId="1">
    <w:abstractNumId w:val="8"/>
  </w:num>
  <w:num w:numId="2">
    <w:abstractNumId w:val="9"/>
  </w:num>
  <w:num w:numId="3">
    <w:abstractNumId w:val="1"/>
  </w:num>
  <w:num w:numId="4">
    <w:abstractNumId w:val="3"/>
  </w:num>
  <w:num w:numId="5">
    <w:abstractNumId w:val="7"/>
  </w:num>
  <w:num w:numId="6">
    <w:abstractNumId w:val="10"/>
  </w:num>
  <w:num w:numId="7">
    <w:abstractNumId w:val="2"/>
  </w:num>
  <w:num w:numId="8">
    <w:abstractNumId w:val="4"/>
  </w:num>
  <w:num w:numId="9">
    <w:abstractNumId w:val="6"/>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JjzOOCmOHX+d87ZD45oURE4Dz9o=" w:salt="w1Nc86eW24mcj2E6H4OEB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MDMxOWZkMDZlMjUzZGQwYWQ0OWEyMWY3NzgxNWEifQ=="/>
  </w:docVars>
  <w:rsids>
    <w:rsidRoot w:val="26433C94"/>
    <w:rsid w:val="00037F10"/>
    <w:rsid w:val="003E4CA0"/>
    <w:rsid w:val="00456228"/>
    <w:rsid w:val="00462F1B"/>
    <w:rsid w:val="005B5303"/>
    <w:rsid w:val="006F542E"/>
    <w:rsid w:val="008B4215"/>
    <w:rsid w:val="00911421"/>
    <w:rsid w:val="00977B14"/>
    <w:rsid w:val="00A74E3F"/>
    <w:rsid w:val="00B22986"/>
    <w:rsid w:val="00B36675"/>
    <w:rsid w:val="00C1320D"/>
    <w:rsid w:val="00CD47D9"/>
    <w:rsid w:val="00F05477"/>
    <w:rsid w:val="016B60C3"/>
    <w:rsid w:val="018D11A8"/>
    <w:rsid w:val="01995BA6"/>
    <w:rsid w:val="01AF494B"/>
    <w:rsid w:val="01CB7837"/>
    <w:rsid w:val="01EE7F0F"/>
    <w:rsid w:val="0213141D"/>
    <w:rsid w:val="021E42F5"/>
    <w:rsid w:val="023E2081"/>
    <w:rsid w:val="025D3A3F"/>
    <w:rsid w:val="027864B6"/>
    <w:rsid w:val="027E724C"/>
    <w:rsid w:val="02A532B5"/>
    <w:rsid w:val="02BA5D3C"/>
    <w:rsid w:val="02D23086"/>
    <w:rsid w:val="02DB792B"/>
    <w:rsid w:val="02E456EA"/>
    <w:rsid w:val="02F94AB6"/>
    <w:rsid w:val="02FE3E7B"/>
    <w:rsid w:val="03010721"/>
    <w:rsid w:val="030559EB"/>
    <w:rsid w:val="03311E36"/>
    <w:rsid w:val="0348166A"/>
    <w:rsid w:val="035D3297"/>
    <w:rsid w:val="036D7252"/>
    <w:rsid w:val="037507CF"/>
    <w:rsid w:val="037642A1"/>
    <w:rsid w:val="03836A76"/>
    <w:rsid w:val="038A1BB2"/>
    <w:rsid w:val="03974F68"/>
    <w:rsid w:val="03A60299"/>
    <w:rsid w:val="03B34F06"/>
    <w:rsid w:val="03C912CB"/>
    <w:rsid w:val="03D1158F"/>
    <w:rsid w:val="03DD3834"/>
    <w:rsid w:val="03E03692"/>
    <w:rsid w:val="03E55E56"/>
    <w:rsid w:val="04106AF7"/>
    <w:rsid w:val="042457FA"/>
    <w:rsid w:val="042F184C"/>
    <w:rsid w:val="04320D0B"/>
    <w:rsid w:val="044D2BED"/>
    <w:rsid w:val="0450155A"/>
    <w:rsid w:val="04564DE0"/>
    <w:rsid w:val="049B6A3C"/>
    <w:rsid w:val="04A40580"/>
    <w:rsid w:val="05120775"/>
    <w:rsid w:val="05237BC9"/>
    <w:rsid w:val="053E4A3F"/>
    <w:rsid w:val="054A784B"/>
    <w:rsid w:val="05960DCF"/>
    <w:rsid w:val="059E0929"/>
    <w:rsid w:val="05A22991"/>
    <w:rsid w:val="05C018BB"/>
    <w:rsid w:val="05D34306"/>
    <w:rsid w:val="05E80E12"/>
    <w:rsid w:val="05ED16DF"/>
    <w:rsid w:val="05FB62A8"/>
    <w:rsid w:val="061A2F8B"/>
    <w:rsid w:val="06314567"/>
    <w:rsid w:val="063302DF"/>
    <w:rsid w:val="064814D3"/>
    <w:rsid w:val="067F1777"/>
    <w:rsid w:val="069A77C7"/>
    <w:rsid w:val="06B0260C"/>
    <w:rsid w:val="06B801DA"/>
    <w:rsid w:val="06CE59E5"/>
    <w:rsid w:val="06D32867"/>
    <w:rsid w:val="06D3526B"/>
    <w:rsid w:val="06D612B7"/>
    <w:rsid w:val="071113C5"/>
    <w:rsid w:val="071219D6"/>
    <w:rsid w:val="07124399"/>
    <w:rsid w:val="07267E44"/>
    <w:rsid w:val="072F4F4B"/>
    <w:rsid w:val="07372051"/>
    <w:rsid w:val="07484826"/>
    <w:rsid w:val="074A2C9F"/>
    <w:rsid w:val="075A7EF8"/>
    <w:rsid w:val="079B0C6D"/>
    <w:rsid w:val="07D625B0"/>
    <w:rsid w:val="07FB50B6"/>
    <w:rsid w:val="08167EB9"/>
    <w:rsid w:val="082C320A"/>
    <w:rsid w:val="085960CC"/>
    <w:rsid w:val="087A4E0A"/>
    <w:rsid w:val="08920FB6"/>
    <w:rsid w:val="08C50193"/>
    <w:rsid w:val="08D40DD7"/>
    <w:rsid w:val="0900014E"/>
    <w:rsid w:val="090D306A"/>
    <w:rsid w:val="09181A0E"/>
    <w:rsid w:val="09262D34"/>
    <w:rsid w:val="093E76C7"/>
    <w:rsid w:val="094D6A8B"/>
    <w:rsid w:val="096C5F37"/>
    <w:rsid w:val="097708D2"/>
    <w:rsid w:val="097B1A63"/>
    <w:rsid w:val="098C352A"/>
    <w:rsid w:val="09B3229D"/>
    <w:rsid w:val="09BC683E"/>
    <w:rsid w:val="09F86EA3"/>
    <w:rsid w:val="0A271134"/>
    <w:rsid w:val="0A732FAF"/>
    <w:rsid w:val="0A7B606B"/>
    <w:rsid w:val="0A8C5139"/>
    <w:rsid w:val="0A981059"/>
    <w:rsid w:val="0AC979F6"/>
    <w:rsid w:val="0ACF3CFA"/>
    <w:rsid w:val="0AE41BA8"/>
    <w:rsid w:val="0B125A8D"/>
    <w:rsid w:val="0B1B01BC"/>
    <w:rsid w:val="0B2638FB"/>
    <w:rsid w:val="0B372F10"/>
    <w:rsid w:val="0B5323F2"/>
    <w:rsid w:val="0B562DA6"/>
    <w:rsid w:val="0B5F7BB0"/>
    <w:rsid w:val="0B626D96"/>
    <w:rsid w:val="0B8357C9"/>
    <w:rsid w:val="0BB2296A"/>
    <w:rsid w:val="0BC37D1A"/>
    <w:rsid w:val="0BCA0A59"/>
    <w:rsid w:val="0BD161DF"/>
    <w:rsid w:val="0BF01C42"/>
    <w:rsid w:val="0BFF0B93"/>
    <w:rsid w:val="0C0D75DD"/>
    <w:rsid w:val="0C161CE1"/>
    <w:rsid w:val="0C1B3CF0"/>
    <w:rsid w:val="0C202512"/>
    <w:rsid w:val="0C49623D"/>
    <w:rsid w:val="0C712F68"/>
    <w:rsid w:val="0CA5699A"/>
    <w:rsid w:val="0CE045F1"/>
    <w:rsid w:val="0CE41AC4"/>
    <w:rsid w:val="0D017352"/>
    <w:rsid w:val="0D0A0B5D"/>
    <w:rsid w:val="0D1521A1"/>
    <w:rsid w:val="0D1D3A97"/>
    <w:rsid w:val="0D224E3C"/>
    <w:rsid w:val="0D4F3848"/>
    <w:rsid w:val="0D4F5FBA"/>
    <w:rsid w:val="0D51709D"/>
    <w:rsid w:val="0D827973"/>
    <w:rsid w:val="0DC02D7B"/>
    <w:rsid w:val="0DD220D0"/>
    <w:rsid w:val="0DF776DB"/>
    <w:rsid w:val="0E034A3B"/>
    <w:rsid w:val="0E0E3B8F"/>
    <w:rsid w:val="0E2E6D15"/>
    <w:rsid w:val="0E3433BE"/>
    <w:rsid w:val="0E421A82"/>
    <w:rsid w:val="0E480DA5"/>
    <w:rsid w:val="0E8A4519"/>
    <w:rsid w:val="0EB75826"/>
    <w:rsid w:val="0EC342A0"/>
    <w:rsid w:val="0EE92A92"/>
    <w:rsid w:val="0EED3869"/>
    <w:rsid w:val="0F160CE2"/>
    <w:rsid w:val="0F1D1B2D"/>
    <w:rsid w:val="0F2D40A3"/>
    <w:rsid w:val="0F301F18"/>
    <w:rsid w:val="0F506785"/>
    <w:rsid w:val="0F5337A0"/>
    <w:rsid w:val="0F755A28"/>
    <w:rsid w:val="0F783207"/>
    <w:rsid w:val="0F800BB1"/>
    <w:rsid w:val="0F807BE0"/>
    <w:rsid w:val="0FCC498E"/>
    <w:rsid w:val="0FD10087"/>
    <w:rsid w:val="0FD71C70"/>
    <w:rsid w:val="101E5D12"/>
    <w:rsid w:val="1030200B"/>
    <w:rsid w:val="103111B0"/>
    <w:rsid w:val="104A17D7"/>
    <w:rsid w:val="10A6125E"/>
    <w:rsid w:val="10EE5021"/>
    <w:rsid w:val="110460F1"/>
    <w:rsid w:val="110A2E86"/>
    <w:rsid w:val="112305D7"/>
    <w:rsid w:val="113139A6"/>
    <w:rsid w:val="113325A7"/>
    <w:rsid w:val="113C38DE"/>
    <w:rsid w:val="11515AB4"/>
    <w:rsid w:val="11551A52"/>
    <w:rsid w:val="11922A45"/>
    <w:rsid w:val="11987799"/>
    <w:rsid w:val="11A07411"/>
    <w:rsid w:val="11B97375"/>
    <w:rsid w:val="11BA430D"/>
    <w:rsid w:val="11E61CB7"/>
    <w:rsid w:val="11EA5308"/>
    <w:rsid w:val="11F168D8"/>
    <w:rsid w:val="11F3112D"/>
    <w:rsid w:val="12373AA0"/>
    <w:rsid w:val="1282750C"/>
    <w:rsid w:val="12C74642"/>
    <w:rsid w:val="131B272A"/>
    <w:rsid w:val="133F1EB2"/>
    <w:rsid w:val="133F31A0"/>
    <w:rsid w:val="13524654"/>
    <w:rsid w:val="135F6E9C"/>
    <w:rsid w:val="137A25EC"/>
    <w:rsid w:val="1384239C"/>
    <w:rsid w:val="13D841C6"/>
    <w:rsid w:val="13FB2BEB"/>
    <w:rsid w:val="141B23B3"/>
    <w:rsid w:val="142517AF"/>
    <w:rsid w:val="14397C16"/>
    <w:rsid w:val="14467AFD"/>
    <w:rsid w:val="1461314B"/>
    <w:rsid w:val="146510EA"/>
    <w:rsid w:val="147F7925"/>
    <w:rsid w:val="14C03686"/>
    <w:rsid w:val="14D61776"/>
    <w:rsid w:val="14F7392E"/>
    <w:rsid w:val="15261CD5"/>
    <w:rsid w:val="152D05F0"/>
    <w:rsid w:val="153C3B89"/>
    <w:rsid w:val="1546345F"/>
    <w:rsid w:val="15561C29"/>
    <w:rsid w:val="155720A0"/>
    <w:rsid w:val="155C5E53"/>
    <w:rsid w:val="15793DE0"/>
    <w:rsid w:val="157F712A"/>
    <w:rsid w:val="15890E39"/>
    <w:rsid w:val="15D65000"/>
    <w:rsid w:val="15E17E67"/>
    <w:rsid w:val="162C51EA"/>
    <w:rsid w:val="163A40A1"/>
    <w:rsid w:val="163A6349"/>
    <w:rsid w:val="16541C25"/>
    <w:rsid w:val="16587283"/>
    <w:rsid w:val="169504D5"/>
    <w:rsid w:val="169E637F"/>
    <w:rsid w:val="16CF59CD"/>
    <w:rsid w:val="16F615E1"/>
    <w:rsid w:val="1713195E"/>
    <w:rsid w:val="171B49C6"/>
    <w:rsid w:val="17365EA3"/>
    <w:rsid w:val="173C7878"/>
    <w:rsid w:val="174A146B"/>
    <w:rsid w:val="175D340E"/>
    <w:rsid w:val="177D1A7E"/>
    <w:rsid w:val="178224F8"/>
    <w:rsid w:val="17A813AE"/>
    <w:rsid w:val="17B844F8"/>
    <w:rsid w:val="17BE2920"/>
    <w:rsid w:val="17C62561"/>
    <w:rsid w:val="17E51298"/>
    <w:rsid w:val="17E8085B"/>
    <w:rsid w:val="17F61621"/>
    <w:rsid w:val="17FB6783"/>
    <w:rsid w:val="18201BDB"/>
    <w:rsid w:val="1830047B"/>
    <w:rsid w:val="18432D30"/>
    <w:rsid w:val="18573883"/>
    <w:rsid w:val="187513FD"/>
    <w:rsid w:val="187A19A6"/>
    <w:rsid w:val="188449CB"/>
    <w:rsid w:val="18A44B4F"/>
    <w:rsid w:val="18A84B5D"/>
    <w:rsid w:val="18AC21FD"/>
    <w:rsid w:val="18B33342"/>
    <w:rsid w:val="18B436A1"/>
    <w:rsid w:val="18CD11CA"/>
    <w:rsid w:val="18DA5941"/>
    <w:rsid w:val="18F172BE"/>
    <w:rsid w:val="190653E0"/>
    <w:rsid w:val="19354096"/>
    <w:rsid w:val="19941DF9"/>
    <w:rsid w:val="19C72DC1"/>
    <w:rsid w:val="19D060DE"/>
    <w:rsid w:val="19EF65D1"/>
    <w:rsid w:val="1A0B252C"/>
    <w:rsid w:val="1A2A0944"/>
    <w:rsid w:val="1A2D2811"/>
    <w:rsid w:val="1A757F60"/>
    <w:rsid w:val="1A7E33A5"/>
    <w:rsid w:val="1A855A0E"/>
    <w:rsid w:val="1A862C7C"/>
    <w:rsid w:val="1A950BA5"/>
    <w:rsid w:val="1AA34B51"/>
    <w:rsid w:val="1ABB663F"/>
    <w:rsid w:val="1ACB68E1"/>
    <w:rsid w:val="1AE8013E"/>
    <w:rsid w:val="1B4349BC"/>
    <w:rsid w:val="1B480BB4"/>
    <w:rsid w:val="1B5C52C6"/>
    <w:rsid w:val="1B610ECB"/>
    <w:rsid w:val="1B684142"/>
    <w:rsid w:val="1B7C0D0C"/>
    <w:rsid w:val="1B883DCF"/>
    <w:rsid w:val="1B962F34"/>
    <w:rsid w:val="1B9956F6"/>
    <w:rsid w:val="1B9D75FA"/>
    <w:rsid w:val="1BC36923"/>
    <w:rsid w:val="1BCB0AE7"/>
    <w:rsid w:val="1BCB2B72"/>
    <w:rsid w:val="1BCC2910"/>
    <w:rsid w:val="1BE13475"/>
    <w:rsid w:val="1C0A7489"/>
    <w:rsid w:val="1C4501EF"/>
    <w:rsid w:val="1C513FDD"/>
    <w:rsid w:val="1C606F52"/>
    <w:rsid w:val="1C6E39C8"/>
    <w:rsid w:val="1C6F51B5"/>
    <w:rsid w:val="1C88302A"/>
    <w:rsid w:val="1CA800D8"/>
    <w:rsid w:val="1CA92C52"/>
    <w:rsid w:val="1CAE3285"/>
    <w:rsid w:val="1CF27B97"/>
    <w:rsid w:val="1CF3317D"/>
    <w:rsid w:val="1CFD4D4B"/>
    <w:rsid w:val="1D182820"/>
    <w:rsid w:val="1D1A5D06"/>
    <w:rsid w:val="1D2642A2"/>
    <w:rsid w:val="1D3364DA"/>
    <w:rsid w:val="1D684420"/>
    <w:rsid w:val="1D6D3158"/>
    <w:rsid w:val="1D801CC9"/>
    <w:rsid w:val="1D8316F5"/>
    <w:rsid w:val="1D845875"/>
    <w:rsid w:val="1D8B699F"/>
    <w:rsid w:val="1D8F1E47"/>
    <w:rsid w:val="1DB23D88"/>
    <w:rsid w:val="1DB31B31"/>
    <w:rsid w:val="1DC0511C"/>
    <w:rsid w:val="1DC934B1"/>
    <w:rsid w:val="1DCD43C4"/>
    <w:rsid w:val="1DF51CE6"/>
    <w:rsid w:val="1DFD6643"/>
    <w:rsid w:val="1E071C02"/>
    <w:rsid w:val="1E291879"/>
    <w:rsid w:val="1E3841A9"/>
    <w:rsid w:val="1E48649A"/>
    <w:rsid w:val="1E631416"/>
    <w:rsid w:val="1E6919B2"/>
    <w:rsid w:val="1E6C2189"/>
    <w:rsid w:val="1E77651A"/>
    <w:rsid w:val="1E935967"/>
    <w:rsid w:val="1EA628BB"/>
    <w:rsid w:val="1EB570AF"/>
    <w:rsid w:val="1ECA6EAF"/>
    <w:rsid w:val="1ED4610C"/>
    <w:rsid w:val="1EDA5E51"/>
    <w:rsid w:val="1EDD07F3"/>
    <w:rsid w:val="1EDD4E34"/>
    <w:rsid w:val="1F12304F"/>
    <w:rsid w:val="1F225C4D"/>
    <w:rsid w:val="1F4B516F"/>
    <w:rsid w:val="1F524949"/>
    <w:rsid w:val="1F5C0403"/>
    <w:rsid w:val="1F84141D"/>
    <w:rsid w:val="1F93294A"/>
    <w:rsid w:val="1FB41292"/>
    <w:rsid w:val="1FB50281"/>
    <w:rsid w:val="1FC57DA2"/>
    <w:rsid w:val="1FCF6E73"/>
    <w:rsid w:val="1FE567CB"/>
    <w:rsid w:val="20360CA0"/>
    <w:rsid w:val="2053573E"/>
    <w:rsid w:val="20587782"/>
    <w:rsid w:val="205D490B"/>
    <w:rsid w:val="206518D3"/>
    <w:rsid w:val="207E43F5"/>
    <w:rsid w:val="20880DD0"/>
    <w:rsid w:val="209604F7"/>
    <w:rsid w:val="209B4FA7"/>
    <w:rsid w:val="20BC17B5"/>
    <w:rsid w:val="20CA763A"/>
    <w:rsid w:val="20CB4CDE"/>
    <w:rsid w:val="20CD6468"/>
    <w:rsid w:val="20D32B3E"/>
    <w:rsid w:val="21356828"/>
    <w:rsid w:val="21617F9F"/>
    <w:rsid w:val="21706064"/>
    <w:rsid w:val="21732629"/>
    <w:rsid w:val="21B87493"/>
    <w:rsid w:val="21CA1C53"/>
    <w:rsid w:val="21CC491E"/>
    <w:rsid w:val="22160D89"/>
    <w:rsid w:val="222D5184"/>
    <w:rsid w:val="22343084"/>
    <w:rsid w:val="22393715"/>
    <w:rsid w:val="22460F43"/>
    <w:rsid w:val="2267797E"/>
    <w:rsid w:val="22852F64"/>
    <w:rsid w:val="22871333"/>
    <w:rsid w:val="228757E3"/>
    <w:rsid w:val="229D1EC4"/>
    <w:rsid w:val="22B70284"/>
    <w:rsid w:val="22B934C3"/>
    <w:rsid w:val="22F2190D"/>
    <w:rsid w:val="23040BE2"/>
    <w:rsid w:val="23243032"/>
    <w:rsid w:val="233640A6"/>
    <w:rsid w:val="233D769D"/>
    <w:rsid w:val="233F60BE"/>
    <w:rsid w:val="23447230"/>
    <w:rsid w:val="2346744C"/>
    <w:rsid w:val="235262A0"/>
    <w:rsid w:val="235731E7"/>
    <w:rsid w:val="236E0751"/>
    <w:rsid w:val="23924A52"/>
    <w:rsid w:val="23924F51"/>
    <w:rsid w:val="239F1807"/>
    <w:rsid w:val="23B44609"/>
    <w:rsid w:val="23C441FE"/>
    <w:rsid w:val="23C72515"/>
    <w:rsid w:val="23CD7AD3"/>
    <w:rsid w:val="23D51634"/>
    <w:rsid w:val="23DB0987"/>
    <w:rsid w:val="23DB3C24"/>
    <w:rsid w:val="23DF37D6"/>
    <w:rsid w:val="240A0BD1"/>
    <w:rsid w:val="240A2C1D"/>
    <w:rsid w:val="240B27B7"/>
    <w:rsid w:val="24122E0B"/>
    <w:rsid w:val="24284DA4"/>
    <w:rsid w:val="24290CAB"/>
    <w:rsid w:val="24466FD8"/>
    <w:rsid w:val="24A73F1B"/>
    <w:rsid w:val="24CA5E5B"/>
    <w:rsid w:val="24D12D46"/>
    <w:rsid w:val="24F36C39"/>
    <w:rsid w:val="24F54BEE"/>
    <w:rsid w:val="251400E7"/>
    <w:rsid w:val="25192DBC"/>
    <w:rsid w:val="25387FF3"/>
    <w:rsid w:val="25505BA0"/>
    <w:rsid w:val="255110F3"/>
    <w:rsid w:val="2565149B"/>
    <w:rsid w:val="25AB3597"/>
    <w:rsid w:val="25BB2FE3"/>
    <w:rsid w:val="25D71782"/>
    <w:rsid w:val="25E8567F"/>
    <w:rsid w:val="25FE400E"/>
    <w:rsid w:val="260648E0"/>
    <w:rsid w:val="26073F14"/>
    <w:rsid w:val="260D30FD"/>
    <w:rsid w:val="26233A75"/>
    <w:rsid w:val="262766CE"/>
    <w:rsid w:val="26433C94"/>
    <w:rsid w:val="26574FB5"/>
    <w:rsid w:val="2665408D"/>
    <w:rsid w:val="26B91CE3"/>
    <w:rsid w:val="26E90788"/>
    <w:rsid w:val="26FC06C6"/>
    <w:rsid w:val="271323C7"/>
    <w:rsid w:val="27AE7A61"/>
    <w:rsid w:val="27BA5D13"/>
    <w:rsid w:val="27C5255F"/>
    <w:rsid w:val="27D17500"/>
    <w:rsid w:val="27F31225"/>
    <w:rsid w:val="280B656E"/>
    <w:rsid w:val="280C6233"/>
    <w:rsid w:val="281A2C55"/>
    <w:rsid w:val="282E6E9D"/>
    <w:rsid w:val="284213B4"/>
    <w:rsid w:val="28463A4A"/>
    <w:rsid w:val="28852C8C"/>
    <w:rsid w:val="288600E0"/>
    <w:rsid w:val="28862CC8"/>
    <w:rsid w:val="28AC5FA3"/>
    <w:rsid w:val="28AE421D"/>
    <w:rsid w:val="28B05A8E"/>
    <w:rsid w:val="28BE5CD7"/>
    <w:rsid w:val="28C56C73"/>
    <w:rsid w:val="28CD0B68"/>
    <w:rsid w:val="28D41CA2"/>
    <w:rsid w:val="29061888"/>
    <w:rsid w:val="290F310C"/>
    <w:rsid w:val="293146FB"/>
    <w:rsid w:val="29327670"/>
    <w:rsid w:val="294A30C6"/>
    <w:rsid w:val="296E3062"/>
    <w:rsid w:val="2970367C"/>
    <w:rsid w:val="29936F3F"/>
    <w:rsid w:val="29A433CA"/>
    <w:rsid w:val="29AA1DB7"/>
    <w:rsid w:val="29BF1D06"/>
    <w:rsid w:val="29E70739"/>
    <w:rsid w:val="29F847A3"/>
    <w:rsid w:val="2A0F77B2"/>
    <w:rsid w:val="2A257AF8"/>
    <w:rsid w:val="2A3E70CF"/>
    <w:rsid w:val="2A441F08"/>
    <w:rsid w:val="2A4C22B1"/>
    <w:rsid w:val="2A720B27"/>
    <w:rsid w:val="2A7378CC"/>
    <w:rsid w:val="2A866380"/>
    <w:rsid w:val="2AAE2B7D"/>
    <w:rsid w:val="2AC97660"/>
    <w:rsid w:val="2ACC61EB"/>
    <w:rsid w:val="2ADA66CC"/>
    <w:rsid w:val="2B0A3502"/>
    <w:rsid w:val="2B1C07A0"/>
    <w:rsid w:val="2B3F5D27"/>
    <w:rsid w:val="2B660615"/>
    <w:rsid w:val="2B716ABA"/>
    <w:rsid w:val="2B7A106D"/>
    <w:rsid w:val="2B952529"/>
    <w:rsid w:val="2B971398"/>
    <w:rsid w:val="2B976F30"/>
    <w:rsid w:val="2BA34F9F"/>
    <w:rsid w:val="2BB62FE3"/>
    <w:rsid w:val="2BB90D56"/>
    <w:rsid w:val="2BE82B52"/>
    <w:rsid w:val="2BF53AD4"/>
    <w:rsid w:val="2BFB2D9E"/>
    <w:rsid w:val="2C0156E3"/>
    <w:rsid w:val="2C11436F"/>
    <w:rsid w:val="2C1D190B"/>
    <w:rsid w:val="2C474A6F"/>
    <w:rsid w:val="2C484F73"/>
    <w:rsid w:val="2C4A2FA6"/>
    <w:rsid w:val="2C6170A5"/>
    <w:rsid w:val="2C98683F"/>
    <w:rsid w:val="2C9F2AB9"/>
    <w:rsid w:val="2CA04CF5"/>
    <w:rsid w:val="2CA0696F"/>
    <w:rsid w:val="2CAE7F95"/>
    <w:rsid w:val="2CEC7D9B"/>
    <w:rsid w:val="2CF744F2"/>
    <w:rsid w:val="2D1F6099"/>
    <w:rsid w:val="2D2A29EC"/>
    <w:rsid w:val="2D545DD9"/>
    <w:rsid w:val="2D60735C"/>
    <w:rsid w:val="2D6A5ADB"/>
    <w:rsid w:val="2D71136F"/>
    <w:rsid w:val="2D7E3C87"/>
    <w:rsid w:val="2D8D0335"/>
    <w:rsid w:val="2D8E211C"/>
    <w:rsid w:val="2D9A4C88"/>
    <w:rsid w:val="2DA05C94"/>
    <w:rsid w:val="2DCB7A40"/>
    <w:rsid w:val="2DE57588"/>
    <w:rsid w:val="2E5E10ED"/>
    <w:rsid w:val="2E766DC1"/>
    <w:rsid w:val="2E9848D4"/>
    <w:rsid w:val="2ECB59AE"/>
    <w:rsid w:val="2ED86DD7"/>
    <w:rsid w:val="2F3A781F"/>
    <w:rsid w:val="2F414CB4"/>
    <w:rsid w:val="2F4A63B9"/>
    <w:rsid w:val="2F6618F9"/>
    <w:rsid w:val="2F8445C0"/>
    <w:rsid w:val="2F9741D0"/>
    <w:rsid w:val="2FBA3923"/>
    <w:rsid w:val="30005CAB"/>
    <w:rsid w:val="300F364E"/>
    <w:rsid w:val="301339CC"/>
    <w:rsid w:val="30143AC1"/>
    <w:rsid w:val="301B4509"/>
    <w:rsid w:val="30330D58"/>
    <w:rsid w:val="3056190F"/>
    <w:rsid w:val="305831AF"/>
    <w:rsid w:val="30734564"/>
    <w:rsid w:val="3075311F"/>
    <w:rsid w:val="30935465"/>
    <w:rsid w:val="30A35D3F"/>
    <w:rsid w:val="30A532D8"/>
    <w:rsid w:val="30A82ED6"/>
    <w:rsid w:val="30B67293"/>
    <w:rsid w:val="30F023E2"/>
    <w:rsid w:val="30F56F37"/>
    <w:rsid w:val="310A2DDF"/>
    <w:rsid w:val="311C1AD4"/>
    <w:rsid w:val="3122480D"/>
    <w:rsid w:val="312A6D01"/>
    <w:rsid w:val="314629EF"/>
    <w:rsid w:val="315636BC"/>
    <w:rsid w:val="31732F2F"/>
    <w:rsid w:val="317621F9"/>
    <w:rsid w:val="3186310A"/>
    <w:rsid w:val="31B00C5B"/>
    <w:rsid w:val="31CF2D03"/>
    <w:rsid w:val="31FD161E"/>
    <w:rsid w:val="320B0C9E"/>
    <w:rsid w:val="320B2021"/>
    <w:rsid w:val="320F5D28"/>
    <w:rsid w:val="322C303C"/>
    <w:rsid w:val="323639C8"/>
    <w:rsid w:val="323E037D"/>
    <w:rsid w:val="32406DCC"/>
    <w:rsid w:val="324A5B0D"/>
    <w:rsid w:val="32560D2E"/>
    <w:rsid w:val="32582CF8"/>
    <w:rsid w:val="327235F8"/>
    <w:rsid w:val="32840E04"/>
    <w:rsid w:val="32896D68"/>
    <w:rsid w:val="32B83797"/>
    <w:rsid w:val="32C56014"/>
    <w:rsid w:val="32FC18D5"/>
    <w:rsid w:val="331B1421"/>
    <w:rsid w:val="332826CA"/>
    <w:rsid w:val="332B2B6A"/>
    <w:rsid w:val="33357EDB"/>
    <w:rsid w:val="333F101E"/>
    <w:rsid w:val="3348166F"/>
    <w:rsid w:val="336C35DF"/>
    <w:rsid w:val="33722DDE"/>
    <w:rsid w:val="337324BA"/>
    <w:rsid w:val="338F137F"/>
    <w:rsid w:val="33904618"/>
    <w:rsid w:val="33AD7722"/>
    <w:rsid w:val="33BD2A9A"/>
    <w:rsid w:val="33C111BF"/>
    <w:rsid w:val="33D8552F"/>
    <w:rsid w:val="33FC4FD9"/>
    <w:rsid w:val="33FC5905"/>
    <w:rsid w:val="34054394"/>
    <w:rsid w:val="34234DD5"/>
    <w:rsid w:val="34245C06"/>
    <w:rsid w:val="34270E8D"/>
    <w:rsid w:val="342A2472"/>
    <w:rsid w:val="343D3474"/>
    <w:rsid w:val="344D6161"/>
    <w:rsid w:val="345A454D"/>
    <w:rsid w:val="34657EE4"/>
    <w:rsid w:val="346F60D7"/>
    <w:rsid w:val="34820436"/>
    <w:rsid w:val="34916604"/>
    <w:rsid w:val="34C04B85"/>
    <w:rsid w:val="34CC1318"/>
    <w:rsid w:val="34EE4F05"/>
    <w:rsid w:val="34F715C7"/>
    <w:rsid w:val="352326C9"/>
    <w:rsid w:val="352C3FC8"/>
    <w:rsid w:val="355754E9"/>
    <w:rsid w:val="356814A4"/>
    <w:rsid w:val="35717762"/>
    <w:rsid w:val="357D4824"/>
    <w:rsid w:val="35887450"/>
    <w:rsid w:val="358941C1"/>
    <w:rsid w:val="35AD6EB7"/>
    <w:rsid w:val="35CA124E"/>
    <w:rsid w:val="35D20381"/>
    <w:rsid w:val="35FF348B"/>
    <w:rsid w:val="36046015"/>
    <w:rsid w:val="363B0902"/>
    <w:rsid w:val="36541A28"/>
    <w:rsid w:val="366644B7"/>
    <w:rsid w:val="367970EC"/>
    <w:rsid w:val="367E0853"/>
    <w:rsid w:val="369A43F5"/>
    <w:rsid w:val="36A815F8"/>
    <w:rsid w:val="36C941C4"/>
    <w:rsid w:val="36CF1672"/>
    <w:rsid w:val="36E65335"/>
    <w:rsid w:val="36E8670F"/>
    <w:rsid w:val="37296C09"/>
    <w:rsid w:val="375A48CB"/>
    <w:rsid w:val="37661A13"/>
    <w:rsid w:val="376823DC"/>
    <w:rsid w:val="376A486B"/>
    <w:rsid w:val="376D1C3D"/>
    <w:rsid w:val="377C2FE5"/>
    <w:rsid w:val="3795250C"/>
    <w:rsid w:val="37D82760"/>
    <w:rsid w:val="37F444FC"/>
    <w:rsid w:val="37F76B0F"/>
    <w:rsid w:val="385678DB"/>
    <w:rsid w:val="3862667F"/>
    <w:rsid w:val="38631B64"/>
    <w:rsid w:val="387E3FF8"/>
    <w:rsid w:val="38AB1F00"/>
    <w:rsid w:val="38AE47C4"/>
    <w:rsid w:val="38B33FA2"/>
    <w:rsid w:val="38E04BA8"/>
    <w:rsid w:val="38E0710D"/>
    <w:rsid w:val="38F97057"/>
    <w:rsid w:val="38FA46DC"/>
    <w:rsid w:val="39162DFF"/>
    <w:rsid w:val="3926030C"/>
    <w:rsid w:val="392A3FD0"/>
    <w:rsid w:val="3949409C"/>
    <w:rsid w:val="395A0FC8"/>
    <w:rsid w:val="39766233"/>
    <w:rsid w:val="399A7CBE"/>
    <w:rsid w:val="399F2FBB"/>
    <w:rsid w:val="39AC16A8"/>
    <w:rsid w:val="39D2686C"/>
    <w:rsid w:val="39D8471E"/>
    <w:rsid w:val="39ED148D"/>
    <w:rsid w:val="39EF7364"/>
    <w:rsid w:val="39F01A68"/>
    <w:rsid w:val="3A115BBC"/>
    <w:rsid w:val="3A1219DE"/>
    <w:rsid w:val="3A174C1D"/>
    <w:rsid w:val="3A3C157F"/>
    <w:rsid w:val="3A7033D3"/>
    <w:rsid w:val="3A740D82"/>
    <w:rsid w:val="3A830B2E"/>
    <w:rsid w:val="3ADD6129"/>
    <w:rsid w:val="3AE9310F"/>
    <w:rsid w:val="3AEF3ACE"/>
    <w:rsid w:val="3AEF4285"/>
    <w:rsid w:val="3AFD3FF3"/>
    <w:rsid w:val="3B0A7826"/>
    <w:rsid w:val="3B305C39"/>
    <w:rsid w:val="3B585DFB"/>
    <w:rsid w:val="3B6C0226"/>
    <w:rsid w:val="3B70047F"/>
    <w:rsid w:val="3BB46701"/>
    <w:rsid w:val="3C08315E"/>
    <w:rsid w:val="3C221FBB"/>
    <w:rsid w:val="3C3628E8"/>
    <w:rsid w:val="3C497F17"/>
    <w:rsid w:val="3C6F14AD"/>
    <w:rsid w:val="3CA8487C"/>
    <w:rsid w:val="3CC0446D"/>
    <w:rsid w:val="3D020BF8"/>
    <w:rsid w:val="3D0B7AC4"/>
    <w:rsid w:val="3D12018D"/>
    <w:rsid w:val="3D3175A1"/>
    <w:rsid w:val="3D324176"/>
    <w:rsid w:val="3D364487"/>
    <w:rsid w:val="3D3A0CB0"/>
    <w:rsid w:val="3D3B2FFA"/>
    <w:rsid w:val="3D3B60B6"/>
    <w:rsid w:val="3D592EA6"/>
    <w:rsid w:val="3D664129"/>
    <w:rsid w:val="3D902FEA"/>
    <w:rsid w:val="3D947320"/>
    <w:rsid w:val="3DB42248"/>
    <w:rsid w:val="3DC37C4C"/>
    <w:rsid w:val="3DD87A69"/>
    <w:rsid w:val="3DE4588E"/>
    <w:rsid w:val="3DE6364D"/>
    <w:rsid w:val="3DF1321E"/>
    <w:rsid w:val="3DF569A7"/>
    <w:rsid w:val="3E0B1539"/>
    <w:rsid w:val="3E0E14A2"/>
    <w:rsid w:val="3E1605DF"/>
    <w:rsid w:val="3E2F4943"/>
    <w:rsid w:val="3E3A6DCE"/>
    <w:rsid w:val="3E6B14FD"/>
    <w:rsid w:val="3E6B2B11"/>
    <w:rsid w:val="3EB73C3D"/>
    <w:rsid w:val="3EC314F9"/>
    <w:rsid w:val="3EDC080D"/>
    <w:rsid w:val="3EDC25BB"/>
    <w:rsid w:val="3EF83163"/>
    <w:rsid w:val="3F116709"/>
    <w:rsid w:val="3F134431"/>
    <w:rsid w:val="3F3E6459"/>
    <w:rsid w:val="3FA300F2"/>
    <w:rsid w:val="3FD2204D"/>
    <w:rsid w:val="3FF75BE3"/>
    <w:rsid w:val="401329C5"/>
    <w:rsid w:val="40147383"/>
    <w:rsid w:val="40300A76"/>
    <w:rsid w:val="40401CAC"/>
    <w:rsid w:val="404A137E"/>
    <w:rsid w:val="40880C4C"/>
    <w:rsid w:val="4089605A"/>
    <w:rsid w:val="408F3FB0"/>
    <w:rsid w:val="40B34FDF"/>
    <w:rsid w:val="40F06653"/>
    <w:rsid w:val="40F77D9A"/>
    <w:rsid w:val="410A78B3"/>
    <w:rsid w:val="411E510D"/>
    <w:rsid w:val="415A01F3"/>
    <w:rsid w:val="415B1EBD"/>
    <w:rsid w:val="415D6147"/>
    <w:rsid w:val="4173318A"/>
    <w:rsid w:val="419204FF"/>
    <w:rsid w:val="419A1DC5"/>
    <w:rsid w:val="41B24CC4"/>
    <w:rsid w:val="41BA5DCC"/>
    <w:rsid w:val="41C16147"/>
    <w:rsid w:val="41D0227A"/>
    <w:rsid w:val="420B1352"/>
    <w:rsid w:val="422A1F39"/>
    <w:rsid w:val="423D470D"/>
    <w:rsid w:val="423E006E"/>
    <w:rsid w:val="42CC5E21"/>
    <w:rsid w:val="430876BF"/>
    <w:rsid w:val="432637B8"/>
    <w:rsid w:val="43531FBA"/>
    <w:rsid w:val="436551BA"/>
    <w:rsid w:val="43AA6FC0"/>
    <w:rsid w:val="43AF4B46"/>
    <w:rsid w:val="43C81360"/>
    <w:rsid w:val="43DA390A"/>
    <w:rsid w:val="43DB726E"/>
    <w:rsid w:val="43F605F1"/>
    <w:rsid w:val="440F51E1"/>
    <w:rsid w:val="44237D6C"/>
    <w:rsid w:val="44246EDE"/>
    <w:rsid w:val="442B375A"/>
    <w:rsid w:val="445671D3"/>
    <w:rsid w:val="44832E54"/>
    <w:rsid w:val="449241DE"/>
    <w:rsid w:val="44C76BF4"/>
    <w:rsid w:val="44CA6634"/>
    <w:rsid w:val="44DE5453"/>
    <w:rsid w:val="44EE129A"/>
    <w:rsid w:val="44F12B1F"/>
    <w:rsid w:val="44F65221"/>
    <w:rsid w:val="45045C3D"/>
    <w:rsid w:val="45112376"/>
    <w:rsid w:val="45215744"/>
    <w:rsid w:val="453A31F7"/>
    <w:rsid w:val="454F7C17"/>
    <w:rsid w:val="455B12EB"/>
    <w:rsid w:val="458169E1"/>
    <w:rsid w:val="45854D5F"/>
    <w:rsid w:val="45A25F97"/>
    <w:rsid w:val="45A81449"/>
    <w:rsid w:val="45BF3C2A"/>
    <w:rsid w:val="45C75D73"/>
    <w:rsid w:val="45CC15DB"/>
    <w:rsid w:val="45CE477D"/>
    <w:rsid w:val="45F124CD"/>
    <w:rsid w:val="45FA234C"/>
    <w:rsid w:val="46003033"/>
    <w:rsid w:val="46146ADE"/>
    <w:rsid w:val="4618037D"/>
    <w:rsid w:val="461967D0"/>
    <w:rsid w:val="461D180F"/>
    <w:rsid w:val="46336B3E"/>
    <w:rsid w:val="467C4AB2"/>
    <w:rsid w:val="469379E3"/>
    <w:rsid w:val="46C83E13"/>
    <w:rsid w:val="46CB7CD3"/>
    <w:rsid w:val="46E267FC"/>
    <w:rsid w:val="46FC1976"/>
    <w:rsid w:val="46FF658E"/>
    <w:rsid w:val="47015D1A"/>
    <w:rsid w:val="471E1AB3"/>
    <w:rsid w:val="4724718B"/>
    <w:rsid w:val="47270B60"/>
    <w:rsid w:val="474C5E98"/>
    <w:rsid w:val="475D213E"/>
    <w:rsid w:val="4779406A"/>
    <w:rsid w:val="477A7E19"/>
    <w:rsid w:val="47AF2F63"/>
    <w:rsid w:val="47BF001F"/>
    <w:rsid w:val="47C34240"/>
    <w:rsid w:val="47C46D2D"/>
    <w:rsid w:val="47CB37B9"/>
    <w:rsid w:val="47D84AE3"/>
    <w:rsid w:val="47DA41E3"/>
    <w:rsid w:val="47DC0E49"/>
    <w:rsid w:val="47FE7A46"/>
    <w:rsid w:val="4803774D"/>
    <w:rsid w:val="48287942"/>
    <w:rsid w:val="482B2C25"/>
    <w:rsid w:val="486D225E"/>
    <w:rsid w:val="4877114A"/>
    <w:rsid w:val="489D42EF"/>
    <w:rsid w:val="48A0799F"/>
    <w:rsid w:val="48A952B4"/>
    <w:rsid w:val="48AB1F1A"/>
    <w:rsid w:val="48B63926"/>
    <w:rsid w:val="48B84099"/>
    <w:rsid w:val="48C57A58"/>
    <w:rsid w:val="48E2637A"/>
    <w:rsid w:val="49242691"/>
    <w:rsid w:val="49496E11"/>
    <w:rsid w:val="498503A7"/>
    <w:rsid w:val="49995C78"/>
    <w:rsid w:val="499F5B1A"/>
    <w:rsid w:val="49C7566B"/>
    <w:rsid w:val="49F27137"/>
    <w:rsid w:val="4A11104B"/>
    <w:rsid w:val="4A207C29"/>
    <w:rsid w:val="4A26656D"/>
    <w:rsid w:val="4A43057F"/>
    <w:rsid w:val="4A5D3462"/>
    <w:rsid w:val="4A7D4A2E"/>
    <w:rsid w:val="4A8020D3"/>
    <w:rsid w:val="4A804B61"/>
    <w:rsid w:val="4AA42FEC"/>
    <w:rsid w:val="4AA7729B"/>
    <w:rsid w:val="4AAB24F7"/>
    <w:rsid w:val="4AC26B09"/>
    <w:rsid w:val="4AC27C53"/>
    <w:rsid w:val="4AC76815"/>
    <w:rsid w:val="4ADA2CE8"/>
    <w:rsid w:val="4B5A31E5"/>
    <w:rsid w:val="4B934F45"/>
    <w:rsid w:val="4BC0573E"/>
    <w:rsid w:val="4BDE02E1"/>
    <w:rsid w:val="4BE30C14"/>
    <w:rsid w:val="4BEF4C0F"/>
    <w:rsid w:val="4C071C65"/>
    <w:rsid w:val="4C1A4FD5"/>
    <w:rsid w:val="4C4D68A6"/>
    <w:rsid w:val="4C862F72"/>
    <w:rsid w:val="4CA36A27"/>
    <w:rsid w:val="4CA72F5C"/>
    <w:rsid w:val="4CAE1B64"/>
    <w:rsid w:val="4CD771A2"/>
    <w:rsid w:val="4D03457F"/>
    <w:rsid w:val="4D155616"/>
    <w:rsid w:val="4D284F97"/>
    <w:rsid w:val="4D7A3F64"/>
    <w:rsid w:val="4D81544B"/>
    <w:rsid w:val="4DB35F12"/>
    <w:rsid w:val="4DD23507"/>
    <w:rsid w:val="4DE726DA"/>
    <w:rsid w:val="4E1D1556"/>
    <w:rsid w:val="4E2757B6"/>
    <w:rsid w:val="4E313AA4"/>
    <w:rsid w:val="4E551E41"/>
    <w:rsid w:val="4E612ADD"/>
    <w:rsid w:val="4E80736F"/>
    <w:rsid w:val="4E8733DF"/>
    <w:rsid w:val="4EA50589"/>
    <w:rsid w:val="4EDA079D"/>
    <w:rsid w:val="4EDA2DA5"/>
    <w:rsid w:val="4EF90007"/>
    <w:rsid w:val="4F007C4E"/>
    <w:rsid w:val="4F0B3174"/>
    <w:rsid w:val="4F1B699F"/>
    <w:rsid w:val="4F301DE5"/>
    <w:rsid w:val="4F554338"/>
    <w:rsid w:val="4F973BB1"/>
    <w:rsid w:val="4FA62C99"/>
    <w:rsid w:val="4FB601C1"/>
    <w:rsid w:val="4FCC3222"/>
    <w:rsid w:val="4FF26BE4"/>
    <w:rsid w:val="4FFC534F"/>
    <w:rsid w:val="500F3DEE"/>
    <w:rsid w:val="50150222"/>
    <w:rsid w:val="501C315F"/>
    <w:rsid w:val="50267B3A"/>
    <w:rsid w:val="504D0B67"/>
    <w:rsid w:val="505F1371"/>
    <w:rsid w:val="507216C6"/>
    <w:rsid w:val="51102BDE"/>
    <w:rsid w:val="511B7A28"/>
    <w:rsid w:val="5122108E"/>
    <w:rsid w:val="512C5624"/>
    <w:rsid w:val="513A6AEE"/>
    <w:rsid w:val="515C7753"/>
    <w:rsid w:val="517103BD"/>
    <w:rsid w:val="518F6AB4"/>
    <w:rsid w:val="51907961"/>
    <w:rsid w:val="519D6CBC"/>
    <w:rsid w:val="51AE0A5C"/>
    <w:rsid w:val="51B10243"/>
    <w:rsid w:val="51B14148"/>
    <w:rsid w:val="51C62F4C"/>
    <w:rsid w:val="51D35A9F"/>
    <w:rsid w:val="520029C8"/>
    <w:rsid w:val="52034337"/>
    <w:rsid w:val="520E6AD8"/>
    <w:rsid w:val="52211ED5"/>
    <w:rsid w:val="52232E2C"/>
    <w:rsid w:val="52396B6C"/>
    <w:rsid w:val="523A36CE"/>
    <w:rsid w:val="523C3CA1"/>
    <w:rsid w:val="52460BB4"/>
    <w:rsid w:val="524F3418"/>
    <w:rsid w:val="52644BB1"/>
    <w:rsid w:val="52686602"/>
    <w:rsid w:val="527053FC"/>
    <w:rsid w:val="527756D6"/>
    <w:rsid w:val="52AD428A"/>
    <w:rsid w:val="52C54323"/>
    <w:rsid w:val="52CC2C1B"/>
    <w:rsid w:val="531533B0"/>
    <w:rsid w:val="531F62E3"/>
    <w:rsid w:val="53316F22"/>
    <w:rsid w:val="53360094"/>
    <w:rsid w:val="533802B0"/>
    <w:rsid w:val="537037F2"/>
    <w:rsid w:val="53843DE9"/>
    <w:rsid w:val="539A02BF"/>
    <w:rsid w:val="53A828FB"/>
    <w:rsid w:val="53DA4EC3"/>
    <w:rsid w:val="541736F7"/>
    <w:rsid w:val="5429409D"/>
    <w:rsid w:val="542E520F"/>
    <w:rsid w:val="54374914"/>
    <w:rsid w:val="543C1920"/>
    <w:rsid w:val="54420BB3"/>
    <w:rsid w:val="5490662A"/>
    <w:rsid w:val="549B6519"/>
    <w:rsid w:val="54A150E5"/>
    <w:rsid w:val="54A448CA"/>
    <w:rsid w:val="54A66A5B"/>
    <w:rsid w:val="54A94256"/>
    <w:rsid w:val="54C65448"/>
    <w:rsid w:val="5500726D"/>
    <w:rsid w:val="55095FB2"/>
    <w:rsid w:val="551B1625"/>
    <w:rsid w:val="551E7FE8"/>
    <w:rsid w:val="55591D3F"/>
    <w:rsid w:val="55620D75"/>
    <w:rsid w:val="556257AB"/>
    <w:rsid w:val="55764D2C"/>
    <w:rsid w:val="55812A2E"/>
    <w:rsid w:val="559117C5"/>
    <w:rsid w:val="559D5F92"/>
    <w:rsid w:val="55D30991"/>
    <w:rsid w:val="55EB120F"/>
    <w:rsid w:val="55EC5382"/>
    <w:rsid w:val="560C5AA1"/>
    <w:rsid w:val="56405EBD"/>
    <w:rsid w:val="5646122F"/>
    <w:rsid w:val="564D7967"/>
    <w:rsid w:val="56856A02"/>
    <w:rsid w:val="56863904"/>
    <w:rsid w:val="568850AA"/>
    <w:rsid w:val="56B41E25"/>
    <w:rsid w:val="56B440F1"/>
    <w:rsid w:val="56B713E3"/>
    <w:rsid w:val="56B71937"/>
    <w:rsid w:val="56F157DE"/>
    <w:rsid w:val="570A1709"/>
    <w:rsid w:val="57176AD4"/>
    <w:rsid w:val="571921A6"/>
    <w:rsid w:val="572677E8"/>
    <w:rsid w:val="572A285B"/>
    <w:rsid w:val="5739788F"/>
    <w:rsid w:val="573F4439"/>
    <w:rsid w:val="574A3A7E"/>
    <w:rsid w:val="5789229C"/>
    <w:rsid w:val="57B25113"/>
    <w:rsid w:val="57B46AE6"/>
    <w:rsid w:val="57ED1ACF"/>
    <w:rsid w:val="58090325"/>
    <w:rsid w:val="58134862"/>
    <w:rsid w:val="583B3505"/>
    <w:rsid w:val="584D2039"/>
    <w:rsid w:val="584E40D2"/>
    <w:rsid w:val="584F0E57"/>
    <w:rsid w:val="58514E7E"/>
    <w:rsid w:val="58626540"/>
    <w:rsid w:val="586344E9"/>
    <w:rsid w:val="58767185"/>
    <w:rsid w:val="58850D81"/>
    <w:rsid w:val="588C5303"/>
    <w:rsid w:val="58922210"/>
    <w:rsid w:val="58A426D0"/>
    <w:rsid w:val="58AE2766"/>
    <w:rsid w:val="58B47241"/>
    <w:rsid w:val="58C92E19"/>
    <w:rsid w:val="58F5279F"/>
    <w:rsid w:val="58F703F2"/>
    <w:rsid w:val="58FE1654"/>
    <w:rsid w:val="59011D15"/>
    <w:rsid w:val="590B1FC3"/>
    <w:rsid w:val="5927572B"/>
    <w:rsid w:val="593266B7"/>
    <w:rsid w:val="59414ACC"/>
    <w:rsid w:val="59460892"/>
    <w:rsid w:val="59657925"/>
    <w:rsid w:val="596C3C11"/>
    <w:rsid w:val="59777658"/>
    <w:rsid w:val="59851D75"/>
    <w:rsid w:val="59C04B5B"/>
    <w:rsid w:val="59D34872"/>
    <w:rsid w:val="59DB7BE7"/>
    <w:rsid w:val="59ED1AD4"/>
    <w:rsid w:val="59FD190B"/>
    <w:rsid w:val="5A0804C6"/>
    <w:rsid w:val="5A4A466A"/>
    <w:rsid w:val="5A546305"/>
    <w:rsid w:val="5A601E9A"/>
    <w:rsid w:val="5A612D65"/>
    <w:rsid w:val="5A655703"/>
    <w:rsid w:val="5A744514"/>
    <w:rsid w:val="5A793B64"/>
    <w:rsid w:val="5A867B53"/>
    <w:rsid w:val="5ABD72ED"/>
    <w:rsid w:val="5AD30AB8"/>
    <w:rsid w:val="5AD42FAA"/>
    <w:rsid w:val="5ADA6D0C"/>
    <w:rsid w:val="5AE64A95"/>
    <w:rsid w:val="5AEC105F"/>
    <w:rsid w:val="5B075440"/>
    <w:rsid w:val="5B082187"/>
    <w:rsid w:val="5B0B0058"/>
    <w:rsid w:val="5B1D54D2"/>
    <w:rsid w:val="5B3834B9"/>
    <w:rsid w:val="5B3E042E"/>
    <w:rsid w:val="5B420BD4"/>
    <w:rsid w:val="5B615892"/>
    <w:rsid w:val="5B6836FC"/>
    <w:rsid w:val="5B6C3B57"/>
    <w:rsid w:val="5B89029B"/>
    <w:rsid w:val="5B8A0BEC"/>
    <w:rsid w:val="5B9F42B7"/>
    <w:rsid w:val="5BAA5AC3"/>
    <w:rsid w:val="5BDE3BB2"/>
    <w:rsid w:val="5BF63A7F"/>
    <w:rsid w:val="5BF649C8"/>
    <w:rsid w:val="5BF82712"/>
    <w:rsid w:val="5C052CBB"/>
    <w:rsid w:val="5C0A23C6"/>
    <w:rsid w:val="5C0A6562"/>
    <w:rsid w:val="5C0B2C47"/>
    <w:rsid w:val="5C1F025F"/>
    <w:rsid w:val="5C1F42A8"/>
    <w:rsid w:val="5C237623"/>
    <w:rsid w:val="5C25339C"/>
    <w:rsid w:val="5C417AAD"/>
    <w:rsid w:val="5C59378E"/>
    <w:rsid w:val="5C69454C"/>
    <w:rsid w:val="5C7B5759"/>
    <w:rsid w:val="5C864CF4"/>
    <w:rsid w:val="5C8C4AAD"/>
    <w:rsid w:val="5C8F57F7"/>
    <w:rsid w:val="5CAA2E2B"/>
    <w:rsid w:val="5CB9464E"/>
    <w:rsid w:val="5CF97B6B"/>
    <w:rsid w:val="5D0811C9"/>
    <w:rsid w:val="5D1F2369"/>
    <w:rsid w:val="5D28781B"/>
    <w:rsid w:val="5D2B5513"/>
    <w:rsid w:val="5D6E48CE"/>
    <w:rsid w:val="5D734403"/>
    <w:rsid w:val="5D8B36D2"/>
    <w:rsid w:val="5D8E6CC9"/>
    <w:rsid w:val="5D8F09DC"/>
    <w:rsid w:val="5D924E5B"/>
    <w:rsid w:val="5DFE20F6"/>
    <w:rsid w:val="5E040DBE"/>
    <w:rsid w:val="5E095BEF"/>
    <w:rsid w:val="5E4E7AE0"/>
    <w:rsid w:val="5E5E1429"/>
    <w:rsid w:val="5E7A7009"/>
    <w:rsid w:val="5E902217"/>
    <w:rsid w:val="5E912F77"/>
    <w:rsid w:val="5EAB267A"/>
    <w:rsid w:val="5EB6477F"/>
    <w:rsid w:val="5EB72AB6"/>
    <w:rsid w:val="5EBE3E05"/>
    <w:rsid w:val="5EFB3FE5"/>
    <w:rsid w:val="5EFC73A8"/>
    <w:rsid w:val="5EFF27C0"/>
    <w:rsid w:val="5F28352A"/>
    <w:rsid w:val="5F5B251A"/>
    <w:rsid w:val="5F660C8F"/>
    <w:rsid w:val="5F663E35"/>
    <w:rsid w:val="5F6E08EE"/>
    <w:rsid w:val="5F717301"/>
    <w:rsid w:val="5F775FA5"/>
    <w:rsid w:val="5F97141E"/>
    <w:rsid w:val="5FAB1E0A"/>
    <w:rsid w:val="5FAD1E05"/>
    <w:rsid w:val="5FB52C88"/>
    <w:rsid w:val="5FC86518"/>
    <w:rsid w:val="5FD438B8"/>
    <w:rsid w:val="60033FB7"/>
    <w:rsid w:val="60073A37"/>
    <w:rsid w:val="601103EE"/>
    <w:rsid w:val="6025360D"/>
    <w:rsid w:val="60961A4A"/>
    <w:rsid w:val="60B506D8"/>
    <w:rsid w:val="60EA6962"/>
    <w:rsid w:val="60EC555F"/>
    <w:rsid w:val="611D6D37"/>
    <w:rsid w:val="612B6453"/>
    <w:rsid w:val="616701CF"/>
    <w:rsid w:val="61860438"/>
    <w:rsid w:val="61903065"/>
    <w:rsid w:val="61946A19"/>
    <w:rsid w:val="61D07096"/>
    <w:rsid w:val="61D672CA"/>
    <w:rsid w:val="61E2068B"/>
    <w:rsid w:val="621C1451"/>
    <w:rsid w:val="621D15CF"/>
    <w:rsid w:val="622B7232"/>
    <w:rsid w:val="623705B2"/>
    <w:rsid w:val="623E4F7F"/>
    <w:rsid w:val="62426A55"/>
    <w:rsid w:val="62495601"/>
    <w:rsid w:val="62797BB2"/>
    <w:rsid w:val="62A20419"/>
    <w:rsid w:val="62A406E3"/>
    <w:rsid w:val="62BD60DC"/>
    <w:rsid w:val="62C15DE7"/>
    <w:rsid w:val="62CF1BD7"/>
    <w:rsid w:val="62DA5B45"/>
    <w:rsid w:val="62F372F4"/>
    <w:rsid w:val="63144ED1"/>
    <w:rsid w:val="631F6C28"/>
    <w:rsid w:val="6321597F"/>
    <w:rsid w:val="63217375"/>
    <w:rsid w:val="6322267B"/>
    <w:rsid w:val="633D31BE"/>
    <w:rsid w:val="63481E7E"/>
    <w:rsid w:val="634B210E"/>
    <w:rsid w:val="635301FD"/>
    <w:rsid w:val="637526A2"/>
    <w:rsid w:val="63974B7F"/>
    <w:rsid w:val="639A5690"/>
    <w:rsid w:val="63B0096C"/>
    <w:rsid w:val="63B438FA"/>
    <w:rsid w:val="63DE49A4"/>
    <w:rsid w:val="63EF49BB"/>
    <w:rsid w:val="63EF6111"/>
    <w:rsid w:val="63FE4C1B"/>
    <w:rsid w:val="64306950"/>
    <w:rsid w:val="64315368"/>
    <w:rsid w:val="64351345"/>
    <w:rsid w:val="646F4EB4"/>
    <w:rsid w:val="64882012"/>
    <w:rsid w:val="64A52124"/>
    <w:rsid w:val="64A60B23"/>
    <w:rsid w:val="64B063A0"/>
    <w:rsid w:val="64D03E1F"/>
    <w:rsid w:val="64D92127"/>
    <w:rsid w:val="64E9172C"/>
    <w:rsid w:val="651C3839"/>
    <w:rsid w:val="65202561"/>
    <w:rsid w:val="653F088C"/>
    <w:rsid w:val="65413DF5"/>
    <w:rsid w:val="655F527B"/>
    <w:rsid w:val="657C7170"/>
    <w:rsid w:val="65853495"/>
    <w:rsid w:val="658E6AD7"/>
    <w:rsid w:val="65A75A3F"/>
    <w:rsid w:val="65B7452D"/>
    <w:rsid w:val="65C578B1"/>
    <w:rsid w:val="65CB1579"/>
    <w:rsid w:val="65E10333"/>
    <w:rsid w:val="65E642EF"/>
    <w:rsid w:val="66025ADB"/>
    <w:rsid w:val="66124991"/>
    <w:rsid w:val="662D5327"/>
    <w:rsid w:val="664062E7"/>
    <w:rsid w:val="66486604"/>
    <w:rsid w:val="664B2D3D"/>
    <w:rsid w:val="6667539A"/>
    <w:rsid w:val="66793D3B"/>
    <w:rsid w:val="66833819"/>
    <w:rsid w:val="669707A8"/>
    <w:rsid w:val="669929BC"/>
    <w:rsid w:val="669F6ADC"/>
    <w:rsid w:val="66A01F9C"/>
    <w:rsid w:val="66AA7C7F"/>
    <w:rsid w:val="66B71DB0"/>
    <w:rsid w:val="66CD4D5B"/>
    <w:rsid w:val="66D9725C"/>
    <w:rsid w:val="66F87E26"/>
    <w:rsid w:val="67080D03"/>
    <w:rsid w:val="67303449"/>
    <w:rsid w:val="67491539"/>
    <w:rsid w:val="67495B35"/>
    <w:rsid w:val="6759214B"/>
    <w:rsid w:val="67664D0D"/>
    <w:rsid w:val="676B3F22"/>
    <w:rsid w:val="677044D9"/>
    <w:rsid w:val="67772223"/>
    <w:rsid w:val="67A1616C"/>
    <w:rsid w:val="67A32110"/>
    <w:rsid w:val="67B94882"/>
    <w:rsid w:val="67C922A0"/>
    <w:rsid w:val="67EA24B0"/>
    <w:rsid w:val="67F00D02"/>
    <w:rsid w:val="682E5386"/>
    <w:rsid w:val="683B285E"/>
    <w:rsid w:val="68464DC5"/>
    <w:rsid w:val="68537082"/>
    <w:rsid w:val="686B482C"/>
    <w:rsid w:val="68751207"/>
    <w:rsid w:val="688914CA"/>
    <w:rsid w:val="6896624F"/>
    <w:rsid w:val="68983EF4"/>
    <w:rsid w:val="68992B9B"/>
    <w:rsid w:val="68A432E1"/>
    <w:rsid w:val="68BC14FB"/>
    <w:rsid w:val="68BD4417"/>
    <w:rsid w:val="68DD00FA"/>
    <w:rsid w:val="68E22815"/>
    <w:rsid w:val="69417918"/>
    <w:rsid w:val="69420380"/>
    <w:rsid w:val="69474951"/>
    <w:rsid w:val="697A1F9F"/>
    <w:rsid w:val="697A4935"/>
    <w:rsid w:val="699A629F"/>
    <w:rsid w:val="69A42944"/>
    <w:rsid w:val="69E01866"/>
    <w:rsid w:val="69E509F7"/>
    <w:rsid w:val="69E72383"/>
    <w:rsid w:val="69EA7547"/>
    <w:rsid w:val="6A1E4597"/>
    <w:rsid w:val="6A2D75E5"/>
    <w:rsid w:val="6A303637"/>
    <w:rsid w:val="6A437437"/>
    <w:rsid w:val="6A6F42D7"/>
    <w:rsid w:val="6A8A6E9B"/>
    <w:rsid w:val="6A9C2E2B"/>
    <w:rsid w:val="6AA0026A"/>
    <w:rsid w:val="6AA139F7"/>
    <w:rsid w:val="6ABD371E"/>
    <w:rsid w:val="6ADA35A3"/>
    <w:rsid w:val="6B15282D"/>
    <w:rsid w:val="6B435ECC"/>
    <w:rsid w:val="6B436378"/>
    <w:rsid w:val="6B5B138C"/>
    <w:rsid w:val="6B7B2FD8"/>
    <w:rsid w:val="6B83465A"/>
    <w:rsid w:val="6B9717A7"/>
    <w:rsid w:val="6BA02A3F"/>
    <w:rsid w:val="6BAC787B"/>
    <w:rsid w:val="6BB72B50"/>
    <w:rsid w:val="6BD54768"/>
    <w:rsid w:val="6BEC17E0"/>
    <w:rsid w:val="6BF9053F"/>
    <w:rsid w:val="6BFD258B"/>
    <w:rsid w:val="6BFF79F9"/>
    <w:rsid w:val="6C3B4D3F"/>
    <w:rsid w:val="6C4258A4"/>
    <w:rsid w:val="6C733C7B"/>
    <w:rsid w:val="6C81461E"/>
    <w:rsid w:val="6CAA14EC"/>
    <w:rsid w:val="6CB0280D"/>
    <w:rsid w:val="6CF546C4"/>
    <w:rsid w:val="6CF74795"/>
    <w:rsid w:val="6D1424E1"/>
    <w:rsid w:val="6D194848"/>
    <w:rsid w:val="6D224A27"/>
    <w:rsid w:val="6D655CEE"/>
    <w:rsid w:val="6D7054EE"/>
    <w:rsid w:val="6D726375"/>
    <w:rsid w:val="6D810AE2"/>
    <w:rsid w:val="6D951112"/>
    <w:rsid w:val="6DB049CF"/>
    <w:rsid w:val="6DB206F5"/>
    <w:rsid w:val="6E0C21BD"/>
    <w:rsid w:val="6E0E3640"/>
    <w:rsid w:val="6E193B95"/>
    <w:rsid w:val="6E2A78B2"/>
    <w:rsid w:val="6E2E629D"/>
    <w:rsid w:val="6E472BDA"/>
    <w:rsid w:val="6E6164B5"/>
    <w:rsid w:val="6E7903C8"/>
    <w:rsid w:val="6E874502"/>
    <w:rsid w:val="6EA748A8"/>
    <w:rsid w:val="6EA75E92"/>
    <w:rsid w:val="6EAF2BE1"/>
    <w:rsid w:val="6EB160B4"/>
    <w:rsid w:val="6EDA5D29"/>
    <w:rsid w:val="6EEB5783"/>
    <w:rsid w:val="6EFD2775"/>
    <w:rsid w:val="6F3D4836"/>
    <w:rsid w:val="6F4011AC"/>
    <w:rsid w:val="6F6D0E8A"/>
    <w:rsid w:val="6F7C10CD"/>
    <w:rsid w:val="6F7C5E7E"/>
    <w:rsid w:val="6FA77175"/>
    <w:rsid w:val="6FAC19B2"/>
    <w:rsid w:val="6FD809F9"/>
    <w:rsid w:val="6FF01740"/>
    <w:rsid w:val="70185150"/>
    <w:rsid w:val="70294FD2"/>
    <w:rsid w:val="7029592E"/>
    <w:rsid w:val="702D7369"/>
    <w:rsid w:val="7031075C"/>
    <w:rsid w:val="703457D6"/>
    <w:rsid w:val="704240C4"/>
    <w:rsid w:val="705B05DF"/>
    <w:rsid w:val="70A51593"/>
    <w:rsid w:val="70A67ADE"/>
    <w:rsid w:val="70C95CE0"/>
    <w:rsid w:val="710069BD"/>
    <w:rsid w:val="717E1CFD"/>
    <w:rsid w:val="717E58F3"/>
    <w:rsid w:val="719B3EAF"/>
    <w:rsid w:val="719B7F30"/>
    <w:rsid w:val="71A2796A"/>
    <w:rsid w:val="71B52674"/>
    <w:rsid w:val="71D46F9E"/>
    <w:rsid w:val="72074EA5"/>
    <w:rsid w:val="721F482B"/>
    <w:rsid w:val="722C26ED"/>
    <w:rsid w:val="72377C2E"/>
    <w:rsid w:val="72667A82"/>
    <w:rsid w:val="72706B69"/>
    <w:rsid w:val="727226CC"/>
    <w:rsid w:val="727D5888"/>
    <w:rsid w:val="72930C07"/>
    <w:rsid w:val="72B24BAA"/>
    <w:rsid w:val="72E256EB"/>
    <w:rsid w:val="72E70F53"/>
    <w:rsid w:val="733C6B59"/>
    <w:rsid w:val="735E1215"/>
    <w:rsid w:val="7375655F"/>
    <w:rsid w:val="73786DE9"/>
    <w:rsid w:val="737D6FAA"/>
    <w:rsid w:val="73AD38E2"/>
    <w:rsid w:val="73CC2623"/>
    <w:rsid w:val="73E86D31"/>
    <w:rsid w:val="74084B7E"/>
    <w:rsid w:val="740F39E0"/>
    <w:rsid w:val="74162C1F"/>
    <w:rsid w:val="74170CB4"/>
    <w:rsid w:val="745368A0"/>
    <w:rsid w:val="748548D6"/>
    <w:rsid w:val="748F6204"/>
    <w:rsid w:val="74AB65E8"/>
    <w:rsid w:val="74B620B0"/>
    <w:rsid w:val="74B72586"/>
    <w:rsid w:val="74C42745"/>
    <w:rsid w:val="74CA0D3E"/>
    <w:rsid w:val="74D4368C"/>
    <w:rsid w:val="74E43487"/>
    <w:rsid w:val="75053C80"/>
    <w:rsid w:val="751E27C4"/>
    <w:rsid w:val="753C5586"/>
    <w:rsid w:val="75466405"/>
    <w:rsid w:val="75AE47A9"/>
    <w:rsid w:val="75BA11FE"/>
    <w:rsid w:val="75CA4BAD"/>
    <w:rsid w:val="75CF05CD"/>
    <w:rsid w:val="75DF5F11"/>
    <w:rsid w:val="75EF2AAE"/>
    <w:rsid w:val="76155804"/>
    <w:rsid w:val="765C10C3"/>
    <w:rsid w:val="76603B2F"/>
    <w:rsid w:val="76775A25"/>
    <w:rsid w:val="76793EB0"/>
    <w:rsid w:val="76872831"/>
    <w:rsid w:val="76C417C0"/>
    <w:rsid w:val="76D43C60"/>
    <w:rsid w:val="76EB7264"/>
    <w:rsid w:val="76F36A4F"/>
    <w:rsid w:val="771A36A5"/>
    <w:rsid w:val="77344FC9"/>
    <w:rsid w:val="776C1D33"/>
    <w:rsid w:val="77721D4A"/>
    <w:rsid w:val="777320B9"/>
    <w:rsid w:val="778126C1"/>
    <w:rsid w:val="77974721"/>
    <w:rsid w:val="779A40F5"/>
    <w:rsid w:val="77BC023D"/>
    <w:rsid w:val="77C712E3"/>
    <w:rsid w:val="77F6515C"/>
    <w:rsid w:val="78307C29"/>
    <w:rsid w:val="78322C5E"/>
    <w:rsid w:val="783F4846"/>
    <w:rsid w:val="78402250"/>
    <w:rsid w:val="78455A5A"/>
    <w:rsid w:val="78616480"/>
    <w:rsid w:val="786C6182"/>
    <w:rsid w:val="786C6E8A"/>
    <w:rsid w:val="78B652F4"/>
    <w:rsid w:val="78C02044"/>
    <w:rsid w:val="78F57355"/>
    <w:rsid w:val="78F7797E"/>
    <w:rsid w:val="78FC43C8"/>
    <w:rsid w:val="79050385"/>
    <w:rsid w:val="79167E9C"/>
    <w:rsid w:val="791A7AD6"/>
    <w:rsid w:val="79204303"/>
    <w:rsid w:val="792A0CD3"/>
    <w:rsid w:val="79315C1F"/>
    <w:rsid w:val="794D6A64"/>
    <w:rsid w:val="79697269"/>
    <w:rsid w:val="796B7D84"/>
    <w:rsid w:val="79723409"/>
    <w:rsid w:val="7985134A"/>
    <w:rsid w:val="79CD4D38"/>
    <w:rsid w:val="79EB4F57"/>
    <w:rsid w:val="7A140880"/>
    <w:rsid w:val="7A1826BB"/>
    <w:rsid w:val="7A562688"/>
    <w:rsid w:val="7A5959E7"/>
    <w:rsid w:val="7A607EF5"/>
    <w:rsid w:val="7A8D06A2"/>
    <w:rsid w:val="7AAA4D40"/>
    <w:rsid w:val="7AC965C8"/>
    <w:rsid w:val="7AF62560"/>
    <w:rsid w:val="7B294BCD"/>
    <w:rsid w:val="7B497C16"/>
    <w:rsid w:val="7B6E3687"/>
    <w:rsid w:val="7B747DD7"/>
    <w:rsid w:val="7B861045"/>
    <w:rsid w:val="7B8E140C"/>
    <w:rsid w:val="7B8F11F1"/>
    <w:rsid w:val="7BA40C0D"/>
    <w:rsid w:val="7BBA01C6"/>
    <w:rsid w:val="7BD35461"/>
    <w:rsid w:val="7C121BE6"/>
    <w:rsid w:val="7C4E5B9F"/>
    <w:rsid w:val="7C711A06"/>
    <w:rsid w:val="7C751768"/>
    <w:rsid w:val="7C7626FE"/>
    <w:rsid w:val="7C8B294F"/>
    <w:rsid w:val="7C9C37BC"/>
    <w:rsid w:val="7CB93543"/>
    <w:rsid w:val="7CBA1174"/>
    <w:rsid w:val="7CE7227B"/>
    <w:rsid w:val="7CEC333E"/>
    <w:rsid w:val="7D277F79"/>
    <w:rsid w:val="7D3E46CE"/>
    <w:rsid w:val="7D5316BF"/>
    <w:rsid w:val="7DAD00E4"/>
    <w:rsid w:val="7DBA6297"/>
    <w:rsid w:val="7DD35230"/>
    <w:rsid w:val="7DD93A6A"/>
    <w:rsid w:val="7DF4546D"/>
    <w:rsid w:val="7DF62D3A"/>
    <w:rsid w:val="7DFF4448"/>
    <w:rsid w:val="7E007610"/>
    <w:rsid w:val="7E1A79BA"/>
    <w:rsid w:val="7E372D8F"/>
    <w:rsid w:val="7E6C3827"/>
    <w:rsid w:val="7E6E2528"/>
    <w:rsid w:val="7E6F5A14"/>
    <w:rsid w:val="7E9E1BDC"/>
    <w:rsid w:val="7EA954B0"/>
    <w:rsid w:val="7EAA17B2"/>
    <w:rsid w:val="7EB1390D"/>
    <w:rsid w:val="7EB237B7"/>
    <w:rsid w:val="7EB35392"/>
    <w:rsid w:val="7EC30FA3"/>
    <w:rsid w:val="7EF37B3D"/>
    <w:rsid w:val="7F144E7E"/>
    <w:rsid w:val="7F323556"/>
    <w:rsid w:val="7F392B36"/>
    <w:rsid w:val="7F476174"/>
    <w:rsid w:val="7F567244"/>
    <w:rsid w:val="7F802A63"/>
    <w:rsid w:val="7F944F25"/>
    <w:rsid w:val="7F9871D5"/>
    <w:rsid w:val="7F9C2720"/>
    <w:rsid w:val="7FA11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9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jc w:val="center"/>
      <w:outlineLvl w:val="0"/>
    </w:pPr>
    <w:rPr>
      <w:b/>
      <w:kern w:val="44"/>
      <w:sz w:val="32"/>
    </w:rPr>
  </w:style>
  <w:style w:type="paragraph" w:styleId="3">
    <w:name w:val="heading 2"/>
    <w:basedOn w:val="1"/>
    <w:next w:val="1"/>
    <w:autoRedefine/>
    <w:unhideWhenUsed/>
    <w:qFormat/>
    <w:uiPriority w:val="0"/>
    <w:pPr>
      <w:keepNext/>
      <w:keepLines/>
      <w:spacing w:before="260" w:after="260"/>
      <w:jc w:val="center"/>
      <w:outlineLvl w:val="1"/>
    </w:pPr>
    <w:rPr>
      <w:rFonts w:ascii="Arial" w:hAnsi="Arial"/>
      <w:b/>
      <w:sz w:val="28"/>
    </w:rPr>
  </w:style>
  <w:style w:type="paragraph" w:styleId="4">
    <w:name w:val="heading 3"/>
    <w:basedOn w:val="1"/>
    <w:next w:val="1"/>
    <w:autoRedefine/>
    <w:qFormat/>
    <w:uiPriority w:val="0"/>
    <w:pPr>
      <w:keepNext/>
      <w:keepLines/>
      <w:spacing w:before="260" w:after="260"/>
      <w:jc w:val="left"/>
      <w:outlineLvl w:val="2"/>
    </w:pPr>
    <w:rPr>
      <w:b/>
      <w:bCs/>
      <w:sz w:val="28"/>
      <w:szCs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7"/>
    <w:basedOn w:val="1"/>
    <w:next w:val="1"/>
    <w:autoRedefine/>
    <w:qFormat/>
    <w:uiPriority w:val="0"/>
    <w:pPr>
      <w:keepNext/>
      <w:keepLines/>
      <w:spacing w:before="240" w:after="64" w:line="320" w:lineRule="auto"/>
      <w:outlineLvl w:val="6"/>
    </w:pPr>
    <w:rPr>
      <w:b/>
      <w:bCs/>
      <w:sz w:val="24"/>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7">
    <w:name w:val="index 8"/>
    <w:basedOn w:val="1"/>
    <w:next w:val="1"/>
    <w:autoRedefine/>
    <w:qFormat/>
    <w:uiPriority w:val="0"/>
    <w:pPr>
      <w:ind w:left="1400" w:leftChars="1400"/>
    </w:pPr>
  </w:style>
  <w:style w:type="paragraph" w:styleId="8">
    <w:name w:val="Normal Indent"/>
    <w:basedOn w:val="1"/>
    <w:autoRedefine/>
    <w:qFormat/>
    <w:uiPriority w:val="0"/>
    <w:pPr>
      <w:spacing w:line="360" w:lineRule="auto"/>
      <w:ind w:firstLine="480" w:firstLineChars="200"/>
    </w:pPr>
    <w:rPr>
      <w:rFonts w:ascii="Times New Roman" w:hAnsi="Times New Roman"/>
      <w:szCs w:val="20"/>
    </w:rPr>
  </w:style>
  <w:style w:type="paragraph" w:styleId="9">
    <w:name w:val="annotation text"/>
    <w:basedOn w:val="1"/>
    <w:autoRedefine/>
    <w:qFormat/>
    <w:uiPriority w:val="0"/>
    <w:pPr>
      <w:jc w:val="left"/>
    </w:pPr>
  </w:style>
  <w:style w:type="paragraph" w:styleId="10">
    <w:name w:val="Body Text"/>
    <w:basedOn w:val="1"/>
    <w:autoRedefine/>
    <w:qFormat/>
    <w:uiPriority w:val="0"/>
    <w:rPr>
      <w:rFonts w:eastAsia="楷体_GB2312"/>
      <w:sz w:val="28"/>
    </w:rPr>
  </w:style>
  <w:style w:type="paragraph" w:styleId="11">
    <w:name w:val="Body Text Indent"/>
    <w:basedOn w:val="1"/>
    <w:next w:val="12"/>
    <w:autoRedefine/>
    <w:qFormat/>
    <w:uiPriority w:val="99"/>
    <w:pPr>
      <w:ind w:firstLine="538" w:firstLineChars="192"/>
    </w:pPr>
    <w:rPr>
      <w:rFonts w:eastAsia="楷体_GB2312"/>
      <w:sz w:val="28"/>
    </w:rPr>
  </w:style>
  <w:style w:type="paragraph" w:styleId="12">
    <w:name w:val="envelope return"/>
    <w:basedOn w:val="1"/>
    <w:autoRedefine/>
    <w:qFormat/>
    <w:uiPriority w:val="0"/>
    <w:pPr>
      <w:snapToGrid w:val="0"/>
    </w:pPr>
    <w:rPr>
      <w:rFonts w:ascii="Arial" w:hAnsi="Arial"/>
    </w:rPr>
  </w:style>
  <w:style w:type="paragraph" w:styleId="13">
    <w:name w:val="Block Text"/>
    <w:basedOn w:val="1"/>
    <w:autoRedefine/>
    <w:qFormat/>
    <w:uiPriority w:val="99"/>
    <w:pPr>
      <w:ind w:left="-526" w:leftChars="-188" w:right="-1030" w:rightChars="-368" w:firstLine="560" w:firstLineChars="200"/>
    </w:pPr>
    <w:rPr>
      <w:sz w:val="28"/>
    </w:rPr>
  </w:style>
  <w:style w:type="paragraph" w:styleId="14">
    <w:name w:val="toc 3"/>
    <w:basedOn w:val="1"/>
    <w:next w:val="1"/>
    <w:autoRedefine/>
    <w:qFormat/>
    <w:uiPriority w:val="0"/>
    <w:pPr>
      <w:ind w:left="840" w:leftChars="400"/>
    </w:pPr>
  </w:style>
  <w:style w:type="paragraph" w:styleId="15">
    <w:name w:val="Plain Text"/>
    <w:basedOn w:val="1"/>
    <w:autoRedefine/>
    <w:qFormat/>
    <w:uiPriority w:val="99"/>
    <w:rPr>
      <w:rFonts w:ascii="宋体" w:hAnsi="Courier New"/>
    </w:rPr>
  </w:style>
  <w:style w:type="paragraph" w:styleId="16">
    <w:name w:val="Body Text Indent 2"/>
    <w:basedOn w:val="1"/>
    <w:autoRedefine/>
    <w:qFormat/>
    <w:uiPriority w:val="0"/>
    <w:pPr>
      <w:spacing w:after="120" w:line="480" w:lineRule="auto"/>
      <w:ind w:left="420" w:leftChars="200"/>
    </w:pPr>
  </w:style>
  <w:style w:type="paragraph" w:styleId="17">
    <w:name w:val="footer"/>
    <w:basedOn w:val="1"/>
    <w:autoRedefine/>
    <w:qFormat/>
    <w:uiPriority w:val="0"/>
    <w:pPr>
      <w:tabs>
        <w:tab w:val="center" w:pos="4153"/>
        <w:tab w:val="right" w:pos="8306"/>
      </w:tabs>
      <w:snapToGrid w:val="0"/>
      <w:jc w:val="left"/>
    </w:pPr>
    <w:rPr>
      <w:sz w:val="18"/>
      <w:szCs w:val="18"/>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99"/>
    <w:pPr>
      <w:tabs>
        <w:tab w:val="right" w:leader="dot" w:pos="9345"/>
      </w:tabs>
      <w:spacing w:before="120" w:after="120" w:line="440" w:lineRule="exact"/>
    </w:pPr>
    <w:rPr>
      <w:rFonts w:ascii="仿宋_GB2312" w:eastAsia="仿宋_GB2312"/>
      <w:b/>
      <w:bCs/>
      <w:caps/>
    </w:rPr>
  </w:style>
  <w:style w:type="paragraph" w:styleId="20">
    <w:name w:val="toc 2"/>
    <w:basedOn w:val="1"/>
    <w:next w:val="1"/>
    <w:autoRedefine/>
    <w:qFormat/>
    <w:uiPriority w:val="39"/>
    <w:pPr>
      <w:ind w:left="210"/>
      <w:jc w:val="left"/>
    </w:pPr>
    <w:rPr>
      <w:smallCaps/>
      <w:sz w:val="20"/>
      <w:szCs w:val="20"/>
    </w:rPr>
  </w:style>
  <w:style w:type="paragraph" w:styleId="21">
    <w:name w:val="Message Header"/>
    <w:basedOn w:val="1"/>
    <w:autoRedefine/>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22">
    <w:name w:val="Normal (Web)"/>
    <w:basedOn w:val="1"/>
    <w:autoRedefine/>
    <w:qFormat/>
    <w:uiPriority w:val="99"/>
    <w:pPr>
      <w:widowControl/>
      <w:adjustRightInd w:val="0"/>
      <w:snapToGrid w:val="0"/>
      <w:spacing w:before="100" w:beforeAutospacing="1" w:after="100" w:afterAutospacing="1" w:line="440" w:lineRule="atLeast"/>
      <w:ind w:firstLine="200" w:firstLineChars="200"/>
      <w:jc w:val="left"/>
    </w:pPr>
    <w:rPr>
      <w:rFonts w:ascii="宋体" w:hAnsi="宋体"/>
      <w:kern w:val="0"/>
      <w:sz w:val="24"/>
    </w:rPr>
  </w:style>
  <w:style w:type="paragraph" w:styleId="23">
    <w:name w:val="Title"/>
    <w:basedOn w:val="1"/>
    <w:qFormat/>
    <w:uiPriority w:val="0"/>
    <w:pPr>
      <w:spacing w:before="240" w:beforeLines="0" w:after="60" w:afterLines="0"/>
      <w:jc w:val="center"/>
      <w:outlineLvl w:val="0"/>
    </w:pPr>
    <w:rPr>
      <w:rFonts w:ascii="Arial" w:hAnsi="Arial" w:eastAsia="宋体" w:cs="Arial"/>
      <w:b/>
      <w:bCs/>
      <w:sz w:val="32"/>
      <w:szCs w:val="32"/>
    </w:rPr>
  </w:style>
  <w:style w:type="paragraph" w:styleId="24">
    <w:name w:val="Body Text First Indent"/>
    <w:basedOn w:val="1"/>
    <w:next w:val="25"/>
    <w:autoRedefine/>
    <w:qFormat/>
    <w:uiPriority w:val="0"/>
    <w:pPr>
      <w:ind w:firstLine="420" w:firstLineChars="100"/>
    </w:pPr>
  </w:style>
  <w:style w:type="paragraph" w:styleId="25">
    <w:name w:val="Body Text First Indent 2"/>
    <w:basedOn w:val="11"/>
    <w:next w:val="1"/>
    <w:autoRedefine/>
    <w:qFormat/>
    <w:uiPriority w:val="0"/>
    <w:pPr>
      <w:ind w:firstLine="420" w:firstLineChars="200"/>
    </w:pPr>
  </w:style>
  <w:style w:type="table" w:styleId="27">
    <w:name w:val="Table Grid"/>
    <w:basedOn w:val="26"/>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bCs/>
    </w:rPr>
  </w:style>
  <w:style w:type="character" w:styleId="30">
    <w:name w:val="page number"/>
    <w:autoRedefine/>
    <w:qFormat/>
    <w:uiPriority w:val="99"/>
    <w:rPr>
      <w:rFonts w:cs="Times New Roman"/>
    </w:rPr>
  </w:style>
  <w:style w:type="character" w:styleId="31">
    <w:name w:val="FollowedHyperlink"/>
    <w:basedOn w:val="28"/>
    <w:autoRedefine/>
    <w:qFormat/>
    <w:uiPriority w:val="0"/>
    <w:rPr>
      <w:color w:val="800080"/>
      <w:u w:val="none"/>
    </w:rPr>
  </w:style>
  <w:style w:type="character" w:styleId="32">
    <w:name w:val="Emphasis"/>
    <w:basedOn w:val="28"/>
    <w:autoRedefine/>
    <w:qFormat/>
    <w:uiPriority w:val="0"/>
    <w:rPr>
      <w:b/>
    </w:rPr>
  </w:style>
  <w:style w:type="character" w:styleId="33">
    <w:name w:val="HTML Definition"/>
    <w:basedOn w:val="28"/>
    <w:autoRedefine/>
    <w:qFormat/>
    <w:uiPriority w:val="0"/>
  </w:style>
  <w:style w:type="character" w:styleId="34">
    <w:name w:val="HTML Typewriter"/>
    <w:basedOn w:val="28"/>
    <w:autoRedefine/>
    <w:qFormat/>
    <w:uiPriority w:val="0"/>
    <w:rPr>
      <w:rFonts w:hint="default" w:ascii="monospace" w:hAnsi="monospace" w:eastAsia="monospace" w:cs="monospace"/>
      <w:sz w:val="20"/>
    </w:rPr>
  </w:style>
  <w:style w:type="character" w:styleId="35">
    <w:name w:val="HTML Acronym"/>
    <w:basedOn w:val="28"/>
    <w:autoRedefine/>
    <w:qFormat/>
    <w:uiPriority w:val="0"/>
  </w:style>
  <w:style w:type="character" w:styleId="36">
    <w:name w:val="HTML Variable"/>
    <w:basedOn w:val="28"/>
    <w:autoRedefine/>
    <w:qFormat/>
    <w:uiPriority w:val="0"/>
  </w:style>
  <w:style w:type="character" w:styleId="37">
    <w:name w:val="Hyperlink"/>
    <w:autoRedefine/>
    <w:qFormat/>
    <w:uiPriority w:val="0"/>
    <w:rPr>
      <w:rFonts w:cs="Times New Roman"/>
      <w:color w:val="0000FF"/>
      <w:u w:val="single"/>
    </w:rPr>
  </w:style>
  <w:style w:type="character" w:styleId="38">
    <w:name w:val="HTML Code"/>
    <w:basedOn w:val="28"/>
    <w:autoRedefine/>
    <w:qFormat/>
    <w:uiPriority w:val="0"/>
    <w:rPr>
      <w:rFonts w:hint="default" w:ascii="monospace" w:hAnsi="monospace" w:eastAsia="monospace" w:cs="monospace"/>
      <w:sz w:val="20"/>
    </w:rPr>
  </w:style>
  <w:style w:type="character" w:styleId="39">
    <w:name w:val="HTML Cite"/>
    <w:basedOn w:val="28"/>
    <w:autoRedefine/>
    <w:qFormat/>
    <w:uiPriority w:val="0"/>
  </w:style>
  <w:style w:type="character" w:styleId="40">
    <w:name w:val="HTML Keyboard"/>
    <w:basedOn w:val="28"/>
    <w:autoRedefine/>
    <w:qFormat/>
    <w:uiPriority w:val="0"/>
    <w:rPr>
      <w:rFonts w:ascii="monospace" w:hAnsi="monospace" w:eastAsia="monospace" w:cs="monospace"/>
      <w:sz w:val="20"/>
    </w:rPr>
  </w:style>
  <w:style w:type="character" w:styleId="41">
    <w:name w:val="HTML Sample"/>
    <w:basedOn w:val="28"/>
    <w:autoRedefine/>
    <w:qFormat/>
    <w:uiPriority w:val="0"/>
    <w:rPr>
      <w:rFonts w:hint="default" w:ascii="monospace" w:hAnsi="monospace" w:eastAsia="monospace" w:cs="monospace"/>
      <w:bdr w:val="single" w:color="BDBEC1" w:sz="6" w:space="0"/>
      <w:shd w:val="clear" w:color="auto" w:fill="FFFFFF"/>
    </w:rPr>
  </w:style>
  <w:style w:type="paragraph" w:customStyle="1" w:styleId="42">
    <w:name w:val="Default"/>
    <w:next w:val="43"/>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3">
    <w:name w:val="大标题"/>
    <w:basedOn w:val="1"/>
    <w:next w:val="25"/>
    <w:autoRedefine/>
    <w:qFormat/>
    <w:uiPriority w:val="0"/>
    <w:pPr>
      <w:jc w:val="center"/>
    </w:pPr>
    <w:rPr>
      <w:rFonts w:ascii="Arial" w:hAnsi="Arial"/>
      <w:b/>
      <w:sz w:val="28"/>
    </w:rPr>
  </w:style>
  <w:style w:type="paragraph" w:customStyle="1" w:styleId="44">
    <w:name w:val="WPSOffice手动目录 1"/>
    <w:autoRedefine/>
    <w:qFormat/>
    <w:uiPriority w:val="0"/>
    <w:rPr>
      <w:rFonts w:ascii="Calibri" w:hAnsi="Calibri" w:eastAsia="宋体" w:cs="Times New Roman"/>
      <w:lang w:val="en-US" w:eastAsia="zh-CN" w:bidi="ar-SA"/>
    </w:rPr>
  </w:style>
  <w:style w:type="paragraph" w:customStyle="1" w:styleId="45">
    <w:name w:val="Table Paragraph"/>
    <w:basedOn w:val="1"/>
    <w:autoRedefine/>
    <w:qFormat/>
    <w:uiPriority w:val="1"/>
    <w:rPr>
      <w:rFonts w:ascii="宋体" w:hAnsi="宋体" w:cs="宋体"/>
      <w:lang w:val="zh-CN" w:bidi="zh-CN"/>
    </w:rPr>
  </w:style>
  <w:style w:type="paragraph" w:customStyle="1" w:styleId="46">
    <w:name w:val="cjk"/>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7">
    <w:name w:val="msolistparagraph"/>
    <w:basedOn w:val="1"/>
    <w:autoRedefine/>
    <w:qFormat/>
    <w:uiPriority w:val="0"/>
    <w:pPr>
      <w:ind w:firstLine="420" w:firstLineChars="200"/>
    </w:pPr>
    <w:rPr>
      <w:rFonts w:ascii="Times New Roman" w:hAnsi="Times New Roman"/>
    </w:rPr>
  </w:style>
  <w:style w:type="paragraph" w:customStyle="1" w:styleId="48">
    <w:name w:val="表格文字"/>
    <w:basedOn w:val="1"/>
    <w:next w:val="10"/>
    <w:autoRedefine/>
    <w:qFormat/>
    <w:uiPriority w:val="0"/>
    <w:pPr>
      <w:adjustRightInd w:val="0"/>
      <w:spacing w:line="420" w:lineRule="atLeast"/>
      <w:jc w:val="left"/>
      <w:textAlignment w:val="baseline"/>
    </w:pPr>
    <w:rPr>
      <w:kern w:val="0"/>
      <w:szCs w:val="20"/>
    </w:rPr>
  </w:style>
  <w:style w:type="paragraph" w:customStyle="1" w:styleId="49">
    <w:name w:val="正文_13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0">
    <w:name w:val="List Paragraph"/>
    <w:basedOn w:val="1"/>
    <w:autoRedefine/>
    <w:qFormat/>
    <w:uiPriority w:val="1"/>
    <w:pPr>
      <w:ind w:left="400" w:firstLine="420"/>
    </w:pPr>
    <w:rPr>
      <w:rFonts w:ascii="宋体" w:hAnsi="宋体" w:cs="宋体"/>
      <w:lang w:val="zh-CN" w:bidi="zh-CN"/>
    </w:rPr>
  </w:style>
  <w:style w:type="character" w:customStyle="1" w:styleId="51">
    <w:name w:val="hover"/>
    <w:basedOn w:val="28"/>
    <w:autoRedefine/>
    <w:qFormat/>
    <w:uiPriority w:val="0"/>
    <w:rPr>
      <w:color w:val="2590EB"/>
    </w:rPr>
  </w:style>
  <w:style w:type="character" w:customStyle="1" w:styleId="52">
    <w:name w:val="hover1"/>
    <w:basedOn w:val="28"/>
    <w:autoRedefine/>
    <w:qFormat/>
    <w:uiPriority w:val="0"/>
    <w:rPr>
      <w:color w:val="2590EB"/>
    </w:rPr>
  </w:style>
  <w:style w:type="character" w:customStyle="1" w:styleId="53">
    <w:name w:val="hover2"/>
    <w:basedOn w:val="28"/>
    <w:autoRedefine/>
    <w:qFormat/>
    <w:uiPriority w:val="0"/>
  </w:style>
  <w:style w:type="character" w:customStyle="1" w:styleId="54">
    <w:name w:val="mini-outputtext1"/>
    <w:basedOn w:val="28"/>
    <w:autoRedefine/>
    <w:qFormat/>
    <w:uiPriority w:val="0"/>
  </w:style>
  <w:style w:type="character" w:customStyle="1" w:styleId="55">
    <w:name w:val="hover3"/>
    <w:basedOn w:val="28"/>
    <w:autoRedefine/>
    <w:qFormat/>
    <w:uiPriority w:val="0"/>
    <w:rPr>
      <w:color w:val="2590EB"/>
    </w:rPr>
  </w:style>
  <w:style w:type="paragraph" w:customStyle="1" w:styleId="56">
    <w:name w:val="No Spacing_ad81b47b-6779-4c76-b471-79375858c8cb"/>
    <w:basedOn w:val="1"/>
    <w:autoRedefine/>
    <w:qFormat/>
    <w:uiPriority w:val="0"/>
  </w:style>
  <w:style w:type="paragraph" w:customStyle="1" w:styleId="57">
    <w:name w:val="样式9 Char"/>
    <w:basedOn w:val="1"/>
    <w:autoRedefine/>
    <w:qFormat/>
    <w:uiPriority w:val="99"/>
    <w:pPr>
      <w:spacing w:line="440" w:lineRule="exact"/>
      <w:ind w:firstLine="200" w:firstLineChars="200"/>
    </w:pPr>
    <w:rPr>
      <w:spacing w:val="6"/>
      <w:sz w:val="24"/>
    </w:rPr>
  </w:style>
  <w:style w:type="paragraph" w:customStyle="1" w:styleId="58">
    <w:name w:val="Char"/>
    <w:basedOn w:val="1"/>
    <w:autoRedefine/>
    <w:qFormat/>
    <w:uiPriority w:val="99"/>
    <w:rPr>
      <w:rFonts w:ascii="仿宋_GB2312" w:eastAsia="仿宋_GB2312"/>
      <w:b/>
      <w:sz w:val="32"/>
      <w:szCs w:val="32"/>
    </w:rPr>
  </w:style>
  <w:style w:type="paragraph" w:customStyle="1" w:styleId="59">
    <w:name w:val="样式29"/>
    <w:basedOn w:val="1"/>
    <w:autoRedefine/>
    <w:qFormat/>
    <w:uiPriority w:val="99"/>
    <w:rPr>
      <w:rFonts w:eastAsia="楷体_GB2312"/>
    </w:rPr>
  </w:style>
  <w:style w:type="paragraph" w:customStyle="1" w:styleId="60">
    <w:name w:val="Table Text"/>
    <w:basedOn w:val="1"/>
    <w:semiHidden/>
    <w:qFormat/>
    <w:uiPriority w:val="0"/>
    <w:rPr>
      <w:rFonts w:ascii="宋体" w:hAnsi="宋体" w:eastAsia="宋体" w:cs="宋体"/>
      <w:sz w:val="24"/>
      <w:szCs w:val="24"/>
      <w:lang w:val="en-US" w:eastAsia="en-US" w:bidi="ar-SA"/>
    </w:rPr>
  </w:style>
  <w:style w:type="paragraph" w:customStyle="1" w:styleId="61">
    <w:name w:val="无间隔1"/>
    <w:basedOn w:val="1"/>
    <w:qFormat/>
    <w:uiPriority w:val="0"/>
    <w:pPr>
      <w:spacing w:line="400" w:lineRule="exact"/>
    </w:pPr>
    <w:rPr>
      <w:rFonts w:eastAsia="宋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HHGHOST.COM</Company>
  <Pages>70</Pages>
  <Words>7190</Words>
  <Characters>8253</Characters>
  <Lines>182</Lines>
  <Paragraphs>51</Paragraphs>
  <TotalTime>1</TotalTime>
  <ScaleCrop>false</ScaleCrop>
  <LinksUpToDate>false</LinksUpToDate>
  <CharactersWithSpaces>8315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2021-12-02T03:44:00Z</dcterms:created>
  <dc:creator>陈鸽</dc:creator>
  <cp:lastModifiedBy>陈鸽</cp:lastModifiedBy>
  <cp:lastPrinted>2026-08-07T00:28:00Z</cp:lastPrinted>
  <dcterms:modified xsi:type="dcterms:W3CDTF">2026-08-07T02:16:02Z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710816CEAED44756AC3C163CC5C13387_13</vt:lpwstr>
  </property>
  <property fmtid="{D5CDD505-2E9C-101B-9397-08002B2CF9AE}" pid="4" name="KSOTemplateDocerSaveRecord">
    <vt:lpwstr>eyJoZGlkIjoiMjVmMmYyYjRkNDBmYjIyZGUzNTkzNWJjZGY2ZjEyYTYiLCJ1c2VySWQiOiI3Njc2ODcxNDIifQ==</vt:lpwstr>
  </property>
</Properties>
</file>