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67F908">
      <w:pPr>
        <w:spacing w:line="240" w:lineRule="auto"/>
        <w:jc w:val="center"/>
        <w:rPr>
          <w:rFonts w:hint="eastAsia" w:ascii="宋体" w:hAnsi="宋体" w:eastAsia="宋体" w:cs="宋体"/>
          <w:b/>
          <w:snapToGrid w:val="0"/>
          <w:color w:val="auto"/>
          <w:spacing w:val="0"/>
          <w:kern w:val="21"/>
          <w:sz w:val="48"/>
          <w:szCs w:val="36"/>
        </w:rPr>
      </w:pPr>
    </w:p>
    <w:p w14:paraId="2F3737C0">
      <w:pPr>
        <w:widowControl/>
        <w:jc w:val="center"/>
        <w:rPr>
          <w:rFonts w:hint="eastAsia" w:ascii="宋体" w:hAnsi="宋体" w:eastAsia="宋体" w:cs="宋体"/>
          <w:b/>
          <w:snapToGrid w:val="0"/>
          <w:color w:val="auto"/>
          <w:spacing w:val="0"/>
          <w:kern w:val="21"/>
          <w:sz w:val="48"/>
          <w:szCs w:val="48"/>
          <w:lang w:eastAsia="zh-CN"/>
        </w:rPr>
      </w:pPr>
      <w:r>
        <w:rPr>
          <w:rFonts w:hint="eastAsia" w:ascii="宋体" w:hAnsi="宋体" w:cs="宋体"/>
          <w:b/>
          <w:snapToGrid w:val="0"/>
          <w:color w:val="auto"/>
          <w:spacing w:val="0"/>
          <w:kern w:val="21"/>
          <w:sz w:val="48"/>
          <w:szCs w:val="48"/>
          <w:lang w:eastAsia="zh-CN"/>
        </w:rPr>
        <w:t>卢氏县养老服务中心2026-2027年度集中供养人员餐厅食材采购项目</w:t>
      </w:r>
    </w:p>
    <w:p w14:paraId="5AE0096A">
      <w:pPr>
        <w:widowControl/>
        <w:jc w:val="center"/>
        <w:rPr>
          <w:rFonts w:hint="eastAsia" w:ascii="宋体" w:hAnsi="宋体" w:eastAsia="宋体" w:cs="宋体"/>
          <w:b/>
          <w:snapToGrid w:val="0"/>
          <w:color w:val="auto"/>
          <w:spacing w:val="0"/>
          <w:kern w:val="21"/>
          <w:sz w:val="72"/>
          <w:szCs w:val="72"/>
        </w:rPr>
      </w:pPr>
    </w:p>
    <w:p w14:paraId="57D3F433">
      <w:pPr>
        <w:widowControl/>
        <w:jc w:val="center"/>
        <w:rPr>
          <w:rFonts w:hint="eastAsia" w:ascii="宋体" w:hAnsi="宋体" w:eastAsia="宋体" w:cs="宋体"/>
          <w:b/>
          <w:snapToGrid w:val="0"/>
          <w:color w:val="auto"/>
          <w:spacing w:val="0"/>
          <w:kern w:val="21"/>
          <w:sz w:val="72"/>
          <w:szCs w:val="72"/>
        </w:rPr>
      </w:pPr>
      <w:r>
        <w:rPr>
          <w:rFonts w:hint="eastAsia" w:ascii="宋体" w:hAnsi="宋体" w:cs="宋体"/>
          <w:b/>
          <w:color w:val="auto"/>
          <w:sz w:val="84"/>
          <w:szCs w:val="84"/>
          <w:highlight w:val="none"/>
          <w:lang w:val="en-US" w:eastAsia="zh-CN"/>
        </w:rPr>
        <w:t xml:space="preserve">招 标 </w:t>
      </w:r>
      <w:r>
        <w:rPr>
          <w:rFonts w:hint="eastAsia" w:ascii="宋体" w:hAnsi="宋体" w:eastAsia="宋体" w:cs="宋体"/>
          <w:b/>
          <w:color w:val="auto"/>
          <w:sz w:val="84"/>
          <w:szCs w:val="84"/>
          <w:highlight w:val="none"/>
        </w:rPr>
        <w:t>文</w:t>
      </w:r>
      <w:r>
        <w:rPr>
          <w:rFonts w:hint="eastAsia" w:ascii="宋体" w:hAnsi="宋体" w:cs="宋体"/>
          <w:b/>
          <w:color w:val="auto"/>
          <w:sz w:val="84"/>
          <w:szCs w:val="84"/>
          <w:highlight w:val="none"/>
          <w:lang w:val="en-US" w:eastAsia="zh-CN"/>
        </w:rPr>
        <w:t xml:space="preserve"> </w:t>
      </w:r>
      <w:r>
        <w:rPr>
          <w:rFonts w:hint="eastAsia" w:ascii="宋体" w:hAnsi="宋体" w:eastAsia="宋体" w:cs="宋体"/>
          <w:b/>
          <w:color w:val="auto"/>
          <w:sz w:val="84"/>
          <w:szCs w:val="84"/>
          <w:highlight w:val="none"/>
        </w:rPr>
        <w:t>件</w:t>
      </w:r>
    </w:p>
    <w:p w14:paraId="2E2C9A96">
      <w:pPr>
        <w:keepNext w:val="0"/>
        <w:keepLines w:val="0"/>
        <w:widowControl/>
        <w:suppressLineNumbers w:val="0"/>
        <w:jc w:val="center"/>
        <w:rPr>
          <w:b/>
          <w:bCs/>
          <w:color w:val="auto"/>
          <w:sz w:val="28"/>
          <w:szCs w:val="28"/>
          <w:highlight w:val="none"/>
        </w:rPr>
      </w:pPr>
      <w:r>
        <w:rPr>
          <w:rFonts w:hint="eastAsia"/>
          <w:b/>
          <w:bCs/>
          <w:color w:val="auto"/>
          <w:sz w:val="28"/>
          <w:szCs w:val="28"/>
          <w:highlight w:val="none"/>
        </w:rPr>
        <w:t>项目编号：三卢公开采购-2026-25</w:t>
      </w:r>
      <w:r>
        <w:rPr>
          <w:rFonts w:hint="eastAsia"/>
          <w:b/>
          <w:bCs/>
          <w:color w:val="auto"/>
          <w:sz w:val="28"/>
          <w:szCs w:val="28"/>
          <w:highlight w:val="none"/>
          <w:lang w:eastAsia="zh-CN"/>
        </w:rPr>
        <w:t>、LSGZ[2026]126-ZC097</w:t>
      </w:r>
    </w:p>
    <w:p w14:paraId="38B8B06B">
      <w:pPr>
        <w:keepNext w:val="0"/>
        <w:keepLines w:val="0"/>
        <w:widowControl/>
        <w:suppressLineNumbers w:val="0"/>
        <w:jc w:val="center"/>
        <w:rPr>
          <w:color w:val="auto"/>
          <w:sz w:val="28"/>
          <w:szCs w:val="28"/>
          <w:highlight w:val="none"/>
        </w:rPr>
      </w:pPr>
    </w:p>
    <w:p w14:paraId="3BF61001">
      <w:pPr>
        <w:pStyle w:val="4"/>
        <w:spacing w:line="360" w:lineRule="auto"/>
        <w:jc w:val="center"/>
        <w:rPr>
          <w:rFonts w:hint="eastAsia" w:ascii="宋体" w:hAnsi="宋体" w:eastAsia="宋体" w:cs="宋体"/>
          <w:color w:val="auto"/>
          <w:spacing w:val="0"/>
          <w:lang w:val="en-US" w:eastAsia="zh-CN"/>
        </w:rPr>
      </w:pPr>
      <w:r>
        <w:rPr>
          <w:rFonts w:hint="eastAsia" w:ascii="宋体" w:hAnsi="宋体" w:eastAsia="宋体" w:cs="黑体"/>
          <w:color w:val="auto"/>
          <w:sz w:val="22"/>
          <w:szCs w:val="22"/>
          <w:highlight w:val="none"/>
          <w:lang w:eastAsia="zh-CN"/>
        </w:rPr>
        <w:drawing>
          <wp:anchor distT="0" distB="0" distL="114300" distR="114300" simplePos="0" relativeHeight="251660288" behindDoc="1" locked="0" layoutInCell="1" allowOverlap="1">
            <wp:simplePos x="0" y="0"/>
            <wp:positionH relativeFrom="column">
              <wp:posOffset>1615440</wp:posOffset>
            </wp:positionH>
            <wp:positionV relativeFrom="paragraph">
              <wp:posOffset>270510</wp:posOffset>
            </wp:positionV>
            <wp:extent cx="2434590" cy="2320290"/>
            <wp:effectExtent l="0" t="0" r="3810" b="3810"/>
            <wp:wrapTight wrapText="bothSides">
              <wp:wrapPolygon>
                <wp:start x="0" y="0"/>
                <wp:lineTo x="0" y="21458"/>
                <wp:lineTo x="21465" y="21458"/>
                <wp:lineTo x="21465" y="0"/>
                <wp:lineTo x="0" y="0"/>
              </wp:wrapPolygon>
            </wp:wrapTight>
            <wp:docPr id="16"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descr="LOGO"/>
                    <pic:cNvPicPr>
                      <a:picLocks noChangeAspect="1"/>
                    </pic:cNvPicPr>
                  </pic:nvPicPr>
                  <pic:blipFill>
                    <a:blip r:embed="rId23"/>
                    <a:srcRect l="13492" t="13984" r="16697" b="19483"/>
                    <a:stretch>
                      <a:fillRect/>
                    </a:stretch>
                  </pic:blipFill>
                  <pic:spPr>
                    <a:xfrm>
                      <a:off x="0" y="0"/>
                      <a:ext cx="2434590" cy="2320290"/>
                    </a:xfrm>
                    <a:prstGeom prst="rect">
                      <a:avLst/>
                    </a:prstGeom>
                    <a:noFill/>
                    <a:ln>
                      <a:noFill/>
                    </a:ln>
                  </pic:spPr>
                </pic:pic>
              </a:graphicData>
            </a:graphic>
          </wp:anchor>
        </w:drawing>
      </w:r>
      <w:r>
        <w:rPr>
          <w:rFonts w:hint="eastAsia" w:ascii="宋体" w:hAnsi="宋体" w:eastAsia="宋体" w:cs="宋体"/>
          <w:b w:val="0"/>
          <w:snapToGrid w:val="0"/>
          <w:color w:val="auto"/>
          <w:spacing w:val="0"/>
          <w:kern w:val="21"/>
        </w:rPr>
        <w:t xml:space="preserve">  </w:t>
      </w:r>
    </w:p>
    <w:p w14:paraId="7C58B90A">
      <w:pPr>
        <w:widowControl/>
        <w:spacing w:line="240" w:lineRule="auto"/>
        <w:ind w:firstLine="2508" w:firstLineChars="896"/>
        <w:jc w:val="left"/>
        <w:rPr>
          <w:rFonts w:hint="eastAsia" w:ascii="宋体" w:hAnsi="宋体" w:eastAsia="宋体" w:cs="宋体"/>
          <w:snapToGrid w:val="0"/>
          <w:color w:val="auto"/>
          <w:spacing w:val="0"/>
          <w:kern w:val="21"/>
          <w:sz w:val="28"/>
          <w:szCs w:val="28"/>
        </w:rPr>
      </w:pPr>
    </w:p>
    <w:p w14:paraId="33CE7CC5">
      <w:pPr>
        <w:widowControl/>
        <w:jc w:val="left"/>
        <w:rPr>
          <w:rFonts w:hint="eastAsia" w:ascii="宋体" w:hAnsi="宋体" w:eastAsia="宋体" w:cs="宋体"/>
          <w:color w:val="auto"/>
          <w:spacing w:val="0"/>
        </w:rPr>
      </w:pPr>
    </w:p>
    <w:p w14:paraId="16BC7897">
      <w:pPr>
        <w:pStyle w:val="16"/>
        <w:rPr>
          <w:rFonts w:hint="eastAsia" w:ascii="宋体" w:hAnsi="宋体" w:eastAsia="宋体" w:cs="宋体"/>
          <w:snapToGrid w:val="0"/>
          <w:color w:val="auto"/>
          <w:spacing w:val="0"/>
          <w:kern w:val="21"/>
        </w:rPr>
      </w:pPr>
    </w:p>
    <w:p w14:paraId="7897A7F7">
      <w:pPr>
        <w:widowControl/>
        <w:jc w:val="center"/>
        <w:rPr>
          <w:rFonts w:hint="eastAsia" w:ascii="宋体" w:hAnsi="宋体" w:eastAsia="宋体" w:cs="宋体"/>
          <w:b/>
          <w:snapToGrid w:val="0"/>
          <w:color w:val="auto"/>
          <w:spacing w:val="0"/>
          <w:kern w:val="21"/>
          <w:szCs w:val="21"/>
        </w:rPr>
      </w:pPr>
    </w:p>
    <w:p w14:paraId="2B1E4FDD">
      <w:pPr>
        <w:pStyle w:val="3"/>
        <w:rPr>
          <w:rFonts w:hint="eastAsia" w:ascii="宋体" w:hAnsi="宋体" w:eastAsia="宋体" w:cs="宋体"/>
          <w:b/>
          <w:snapToGrid w:val="0"/>
          <w:color w:val="auto"/>
          <w:spacing w:val="0"/>
          <w:kern w:val="21"/>
          <w:szCs w:val="21"/>
        </w:rPr>
      </w:pPr>
    </w:p>
    <w:p w14:paraId="1BE99357">
      <w:pPr>
        <w:pStyle w:val="10"/>
        <w:rPr>
          <w:rFonts w:hint="eastAsia" w:ascii="宋体" w:hAnsi="宋体" w:eastAsia="宋体" w:cs="宋体"/>
          <w:b/>
          <w:snapToGrid w:val="0"/>
          <w:color w:val="auto"/>
          <w:spacing w:val="0"/>
          <w:kern w:val="21"/>
          <w:szCs w:val="21"/>
        </w:rPr>
      </w:pPr>
    </w:p>
    <w:p w14:paraId="7932B0EF">
      <w:pPr>
        <w:pStyle w:val="10"/>
        <w:rPr>
          <w:rFonts w:hint="eastAsia" w:ascii="宋体" w:hAnsi="宋体" w:eastAsia="宋体" w:cs="宋体"/>
          <w:b/>
          <w:snapToGrid w:val="0"/>
          <w:color w:val="auto"/>
          <w:spacing w:val="0"/>
          <w:kern w:val="21"/>
          <w:szCs w:val="21"/>
        </w:rPr>
      </w:pPr>
    </w:p>
    <w:p w14:paraId="32978915">
      <w:pPr>
        <w:widowControl/>
        <w:jc w:val="left"/>
        <w:rPr>
          <w:rFonts w:hint="eastAsia" w:ascii="宋体" w:hAnsi="宋体" w:eastAsia="宋体" w:cs="宋体"/>
          <w:b/>
          <w:snapToGrid w:val="0"/>
          <w:color w:val="auto"/>
          <w:spacing w:val="0"/>
          <w:kern w:val="21"/>
          <w:szCs w:val="21"/>
        </w:rPr>
      </w:pPr>
    </w:p>
    <w:p w14:paraId="55E0A19C">
      <w:pPr>
        <w:widowControl/>
        <w:ind w:left="2264" w:leftChars="619" w:hanging="964" w:hangingChars="300"/>
        <w:jc w:val="left"/>
        <w:rPr>
          <w:rFonts w:hint="eastAsia" w:ascii="宋体" w:hAnsi="宋体" w:eastAsia="宋体" w:cs="宋体"/>
          <w:b/>
          <w:snapToGrid w:val="0"/>
          <w:color w:val="auto"/>
          <w:spacing w:val="0"/>
          <w:kern w:val="21"/>
          <w:sz w:val="32"/>
          <w:szCs w:val="32"/>
        </w:rPr>
      </w:pPr>
    </w:p>
    <w:p w14:paraId="7F6FF09B">
      <w:pPr>
        <w:widowControl/>
        <w:tabs>
          <w:tab w:val="right" w:leader="dot" w:pos="9345"/>
        </w:tabs>
        <w:spacing w:before="120" w:after="120" w:line="440" w:lineRule="exact"/>
        <w:ind w:firstLine="1606" w:firstLineChars="500"/>
        <w:rPr>
          <w:rFonts w:hint="eastAsia" w:ascii="宋体" w:hAnsi="宋体" w:eastAsia="宋体" w:cs="宋体"/>
          <w:b/>
          <w:snapToGrid w:val="0"/>
          <w:color w:val="auto"/>
          <w:spacing w:val="0"/>
          <w:kern w:val="21"/>
          <w:sz w:val="32"/>
          <w:szCs w:val="32"/>
          <w:lang w:eastAsia="zh-CN"/>
        </w:rPr>
      </w:pPr>
      <w:r>
        <w:rPr>
          <w:rFonts w:hint="eastAsia" w:ascii="宋体" w:hAnsi="宋体" w:eastAsia="宋体" w:cs="宋体"/>
          <w:b/>
          <w:snapToGrid w:val="0"/>
          <w:color w:val="auto"/>
          <w:spacing w:val="0"/>
          <w:kern w:val="21"/>
          <w:sz w:val="32"/>
          <w:szCs w:val="32"/>
          <w:lang w:val="en-US" w:eastAsia="zh-CN"/>
        </w:rPr>
        <w:t>采 购 人</w:t>
      </w:r>
      <w:r>
        <w:rPr>
          <w:rFonts w:hint="eastAsia" w:ascii="宋体" w:hAnsi="宋体" w:eastAsia="宋体" w:cs="宋体"/>
          <w:b/>
          <w:snapToGrid w:val="0"/>
          <w:color w:val="auto"/>
          <w:spacing w:val="0"/>
          <w:kern w:val="21"/>
          <w:sz w:val="32"/>
          <w:szCs w:val="32"/>
        </w:rPr>
        <w:t>：</w:t>
      </w:r>
      <w:r>
        <w:rPr>
          <w:rFonts w:hint="eastAsia" w:ascii="宋体" w:hAnsi="宋体" w:cs="宋体"/>
          <w:b/>
          <w:snapToGrid w:val="0"/>
          <w:color w:val="auto"/>
          <w:spacing w:val="0"/>
          <w:kern w:val="21"/>
          <w:sz w:val="32"/>
          <w:szCs w:val="32"/>
          <w:lang w:eastAsia="zh-CN"/>
        </w:rPr>
        <w:t>卢氏县养老服务中心</w:t>
      </w:r>
    </w:p>
    <w:p w14:paraId="76B93D59">
      <w:pPr>
        <w:widowControl/>
        <w:tabs>
          <w:tab w:val="right" w:leader="dot" w:pos="9345"/>
        </w:tabs>
        <w:spacing w:before="120" w:after="120" w:line="440" w:lineRule="exact"/>
        <w:ind w:firstLine="1606" w:firstLineChars="500"/>
        <w:rPr>
          <w:rFonts w:hint="eastAsia" w:ascii="宋体" w:hAnsi="宋体" w:eastAsia="宋体" w:cs="宋体"/>
          <w:b/>
          <w:snapToGrid w:val="0"/>
          <w:color w:val="auto"/>
          <w:spacing w:val="0"/>
          <w:kern w:val="21"/>
          <w:sz w:val="32"/>
          <w:szCs w:val="32"/>
          <w:lang w:eastAsia="zh-CN"/>
        </w:rPr>
      </w:pPr>
      <w:r>
        <w:rPr>
          <w:rFonts w:hint="eastAsia" w:ascii="宋体" w:hAnsi="宋体" w:eastAsia="宋体" w:cs="宋体"/>
          <w:b/>
          <w:snapToGrid w:val="0"/>
          <w:color w:val="auto"/>
          <w:spacing w:val="0"/>
          <w:kern w:val="21"/>
          <w:sz w:val="32"/>
          <w:szCs w:val="32"/>
        </w:rPr>
        <w:t>代理机构：</w:t>
      </w:r>
      <w:r>
        <w:rPr>
          <w:rFonts w:hint="eastAsia" w:ascii="宋体" w:hAnsi="宋体" w:cs="宋体"/>
          <w:b/>
          <w:snapToGrid w:val="0"/>
          <w:color w:val="auto"/>
          <w:spacing w:val="0"/>
          <w:kern w:val="21"/>
          <w:sz w:val="32"/>
          <w:szCs w:val="32"/>
          <w:lang w:eastAsia="zh-CN"/>
        </w:rPr>
        <w:t>河南良智行工程管理咨询有限公司</w:t>
      </w:r>
    </w:p>
    <w:p w14:paraId="7099F932">
      <w:pPr>
        <w:widowControl/>
        <w:tabs>
          <w:tab w:val="right" w:leader="dot" w:pos="9345"/>
        </w:tabs>
        <w:spacing w:before="120" w:after="120" w:line="440" w:lineRule="exact"/>
        <w:ind w:firstLine="1606" w:firstLineChars="500"/>
        <w:rPr>
          <w:rFonts w:hint="eastAsia" w:ascii="宋体" w:hAnsi="宋体" w:eastAsia="宋体" w:cs="宋体"/>
          <w:b/>
          <w:bCs/>
          <w:snapToGrid w:val="0"/>
          <w:color w:val="auto"/>
          <w:spacing w:val="0"/>
          <w:kern w:val="21"/>
          <w:sz w:val="44"/>
          <w:szCs w:val="44"/>
        </w:rPr>
        <w:sectPr>
          <w:footerReference r:id="rId8" w:type="first"/>
          <w:headerReference r:id="rId5" w:type="default"/>
          <w:footerReference r:id="rId6" w:type="default"/>
          <w:footerReference r:id="rId7" w:type="even"/>
          <w:pgSz w:w="11905" w:h="16838"/>
          <w:pgMar w:top="1440" w:right="1440" w:bottom="1440" w:left="1440" w:header="0" w:footer="986" w:gutter="0"/>
          <w:pgNumType w:start="1"/>
          <w:cols w:space="720" w:num="1"/>
          <w:rtlGutter w:val="0"/>
          <w:docGrid w:linePitch="0" w:charSpace="0"/>
        </w:sectPr>
      </w:pPr>
      <w:r>
        <w:rPr>
          <w:rFonts w:hint="eastAsia" w:ascii="宋体" w:hAnsi="宋体" w:cs="宋体"/>
          <w:b/>
          <w:snapToGrid w:val="0"/>
          <w:color w:val="auto"/>
          <w:spacing w:val="0"/>
          <w:kern w:val="21"/>
          <w:sz w:val="32"/>
          <w:szCs w:val="32"/>
          <w:lang w:val="en-US" w:eastAsia="zh-CN"/>
        </w:rPr>
        <w:t>日</w:t>
      </w:r>
      <w:r>
        <w:rPr>
          <w:rFonts w:hint="eastAsia" w:ascii="宋体" w:hAnsi="宋体" w:eastAsia="宋体" w:cs="宋体"/>
          <w:b/>
          <w:snapToGrid w:val="0"/>
          <w:color w:val="auto"/>
          <w:spacing w:val="0"/>
          <w:kern w:val="21"/>
          <w:sz w:val="32"/>
          <w:szCs w:val="32"/>
        </w:rPr>
        <w:t xml:space="preserve">    </w:t>
      </w:r>
      <w:r>
        <w:rPr>
          <w:rFonts w:hint="eastAsia" w:ascii="宋体" w:hAnsi="宋体" w:cs="宋体"/>
          <w:b/>
          <w:snapToGrid w:val="0"/>
          <w:color w:val="auto"/>
          <w:spacing w:val="0"/>
          <w:kern w:val="21"/>
          <w:sz w:val="32"/>
          <w:szCs w:val="32"/>
          <w:lang w:val="en-US" w:eastAsia="zh-CN"/>
        </w:rPr>
        <w:t>期</w:t>
      </w:r>
      <w:r>
        <w:rPr>
          <w:rFonts w:hint="eastAsia" w:ascii="宋体" w:hAnsi="宋体" w:eastAsia="宋体" w:cs="宋体"/>
          <w:b/>
          <w:snapToGrid w:val="0"/>
          <w:color w:val="auto"/>
          <w:spacing w:val="0"/>
          <w:kern w:val="21"/>
          <w:sz w:val="32"/>
          <w:szCs w:val="32"/>
        </w:rPr>
        <w:t>：二〇二</w:t>
      </w:r>
      <w:r>
        <w:rPr>
          <w:rFonts w:hint="eastAsia" w:ascii="宋体" w:hAnsi="宋体" w:cs="宋体"/>
          <w:b/>
          <w:snapToGrid w:val="0"/>
          <w:color w:val="auto"/>
          <w:spacing w:val="0"/>
          <w:kern w:val="21"/>
          <w:sz w:val="32"/>
          <w:szCs w:val="32"/>
          <w:lang w:val="en-US" w:eastAsia="zh-CN"/>
        </w:rPr>
        <w:t>六</w:t>
      </w:r>
      <w:r>
        <w:rPr>
          <w:rFonts w:hint="eastAsia" w:ascii="宋体" w:hAnsi="宋体" w:eastAsia="宋体" w:cs="宋体"/>
          <w:b/>
          <w:snapToGrid w:val="0"/>
          <w:color w:val="auto"/>
          <w:spacing w:val="0"/>
          <w:kern w:val="21"/>
          <w:sz w:val="32"/>
          <w:szCs w:val="32"/>
        </w:rPr>
        <w:t>年</w:t>
      </w:r>
      <w:r>
        <w:rPr>
          <w:rFonts w:hint="eastAsia" w:ascii="宋体" w:hAnsi="宋体" w:cs="宋体"/>
          <w:b/>
          <w:snapToGrid w:val="0"/>
          <w:color w:val="auto"/>
          <w:spacing w:val="0"/>
          <w:kern w:val="21"/>
          <w:sz w:val="32"/>
          <w:szCs w:val="32"/>
          <w:lang w:val="en-US" w:eastAsia="zh-CN"/>
        </w:rPr>
        <w:t>七</w:t>
      </w:r>
      <w:r>
        <w:rPr>
          <w:rFonts w:hint="eastAsia" w:ascii="宋体" w:hAnsi="宋体" w:eastAsia="宋体" w:cs="宋体"/>
          <w:b/>
          <w:snapToGrid w:val="0"/>
          <w:color w:val="auto"/>
          <w:spacing w:val="0"/>
          <w:kern w:val="21"/>
          <w:sz w:val="32"/>
          <w:szCs w:val="32"/>
        </w:rPr>
        <w:t>月</w:t>
      </w:r>
    </w:p>
    <w:p w14:paraId="49214F86">
      <w:pPr>
        <w:spacing w:after="240" w:line="440" w:lineRule="exact"/>
        <w:jc w:val="center"/>
        <w:rPr>
          <w:rFonts w:hint="eastAsia" w:ascii="宋体" w:hAnsi="宋体" w:eastAsia="宋体" w:cs="宋体"/>
          <w:b/>
          <w:bCs/>
          <w:snapToGrid w:val="0"/>
          <w:color w:val="auto"/>
          <w:spacing w:val="0"/>
          <w:kern w:val="21"/>
          <w:sz w:val="44"/>
          <w:szCs w:val="20"/>
        </w:rPr>
      </w:pPr>
      <w:r>
        <w:rPr>
          <w:rFonts w:hint="eastAsia" w:ascii="宋体" w:hAnsi="宋体" w:eastAsia="宋体" w:cs="宋体"/>
          <w:b/>
          <w:bCs/>
          <w:snapToGrid w:val="0"/>
          <w:color w:val="auto"/>
          <w:spacing w:val="0"/>
          <w:kern w:val="21"/>
          <w:sz w:val="44"/>
          <w:szCs w:val="20"/>
        </w:rPr>
        <w:t>目录</w:t>
      </w:r>
    </w:p>
    <w:p w14:paraId="2F0E7A5D">
      <w:pPr>
        <w:spacing w:after="240" w:line="440" w:lineRule="exact"/>
        <w:jc w:val="center"/>
        <w:rPr>
          <w:rFonts w:hint="eastAsia" w:ascii="宋体" w:hAnsi="宋体" w:eastAsia="宋体" w:cs="宋体"/>
          <w:b/>
          <w:bCs/>
          <w:snapToGrid w:val="0"/>
          <w:color w:val="auto"/>
          <w:spacing w:val="0"/>
          <w:kern w:val="21"/>
          <w:sz w:val="44"/>
          <w:szCs w:val="20"/>
        </w:rPr>
      </w:pPr>
    </w:p>
    <w:p w14:paraId="0A74EAF8">
      <w:pPr>
        <w:widowControl/>
        <w:tabs>
          <w:tab w:val="right" w:leader="dot" w:pos="9345"/>
        </w:tabs>
        <w:spacing w:before="120" w:after="120" w:line="480" w:lineRule="auto"/>
        <w:jc w:val="left"/>
        <w:rPr>
          <w:rFonts w:hint="eastAsia" w:ascii="宋体" w:hAnsi="宋体" w:eastAsia="宋体" w:cs="宋体"/>
          <w:snapToGrid w:val="0"/>
          <w:color w:val="auto"/>
          <w:spacing w:val="0"/>
          <w:kern w:val="21"/>
          <w:sz w:val="30"/>
          <w:szCs w:val="30"/>
        </w:rPr>
      </w:pPr>
      <w:r>
        <w:rPr>
          <w:rFonts w:hint="eastAsia" w:ascii="宋体" w:hAnsi="宋体" w:eastAsia="宋体" w:cs="宋体"/>
          <w:bCs/>
          <w:snapToGrid w:val="0"/>
          <w:color w:val="auto"/>
          <w:spacing w:val="0"/>
          <w:kern w:val="21"/>
          <w:sz w:val="30"/>
          <w:szCs w:val="30"/>
        </w:rPr>
        <w:fldChar w:fldCharType="begin"/>
      </w:r>
      <w:r>
        <w:rPr>
          <w:rFonts w:hint="eastAsia" w:ascii="宋体" w:hAnsi="宋体" w:eastAsia="宋体" w:cs="宋体"/>
          <w:bCs/>
          <w:snapToGrid w:val="0"/>
          <w:color w:val="auto"/>
          <w:spacing w:val="0"/>
          <w:kern w:val="21"/>
          <w:sz w:val="30"/>
          <w:szCs w:val="30"/>
        </w:rPr>
        <w:instrText xml:space="preserve"> TOC \h \z \t "样式19,4,样式3,2,样式4,3,样式7,1"</w:instrText>
      </w:r>
      <w:r>
        <w:rPr>
          <w:rFonts w:hint="eastAsia" w:ascii="宋体" w:hAnsi="宋体" w:eastAsia="宋体" w:cs="宋体"/>
          <w:bCs/>
          <w:snapToGrid w:val="0"/>
          <w:color w:val="auto"/>
          <w:spacing w:val="0"/>
          <w:kern w:val="21"/>
          <w:sz w:val="30"/>
          <w:szCs w:val="30"/>
        </w:rPr>
        <w:fldChar w:fldCharType="separate"/>
      </w:r>
      <w:r>
        <w:rPr>
          <w:rFonts w:hint="eastAsia" w:ascii="宋体" w:hAnsi="宋体" w:eastAsia="宋体" w:cs="宋体"/>
          <w:b/>
          <w:bCs/>
          <w:snapToGrid w:val="0"/>
          <w:color w:val="auto"/>
          <w:spacing w:val="0"/>
          <w:kern w:val="21"/>
          <w:sz w:val="30"/>
          <w:szCs w:val="30"/>
        </w:rPr>
        <w:fldChar w:fldCharType="begin"/>
      </w:r>
      <w:r>
        <w:rPr>
          <w:rFonts w:hint="eastAsia" w:ascii="宋体" w:hAnsi="宋体" w:eastAsia="宋体" w:cs="宋体"/>
          <w:b/>
          <w:bCs/>
          <w:snapToGrid w:val="0"/>
          <w:color w:val="auto"/>
          <w:spacing w:val="0"/>
          <w:kern w:val="21"/>
          <w:sz w:val="30"/>
          <w:szCs w:val="30"/>
          <w:u w:val="single"/>
        </w:rPr>
        <w:instrText xml:space="preserve"> </w:instrText>
      </w:r>
      <w:r>
        <w:rPr>
          <w:rFonts w:hint="eastAsia" w:ascii="宋体" w:hAnsi="宋体" w:eastAsia="宋体" w:cs="宋体"/>
          <w:b/>
          <w:bCs/>
          <w:snapToGrid w:val="0"/>
          <w:color w:val="auto"/>
          <w:spacing w:val="0"/>
          <w:kern w:val="21"/>
          <w:sz w:val="30"/>
          <w:szCs w:val="30"/>
        </w:rPr>
        <w:instrText xml:space="preserve">HYPERLINK \l "_Toc485222549"</w:instrText>
      </w:r>
      <w:r>
        <w:rPr>
          <w:rFonts w:hint="eastAsia" w:ascii="宋体" w:hAnsi="宋体" w:eastAsia="宋体" w:cs="宋体"/>
          <w:b/>
          <w:bCs/>
          <w:snapToGrid w:val="0"/>
          <w:color w:val="auto"/>
          <w:spacing w:val="0"/>
          <w:kern w:val="21"/>
          <w:sz w:val="30"/>
          <w:szCs w:val="30"/>
          <w:u w:val="single"/>
        </w:rPr>
        <w:instrText xml:space="preserve"> </w:instrText>
      </w:r>
      <w:r>
        <w:rPr>
          <w:rFonts w:hint="eastAsia" w:ascii="宋体" w:hAnsi="宋体" w:eastAsia="宋体" w:cs="宋体"/>
          <w:b/>
          <w:bCs/>
          <w:snapToGrid w:val="0"/>
          <w:color w:val="auto"/>
          <w:spacing w:val="0"/>
          <w:kern w:val="21"/>
          <w:sz w:val="30"/>
          <w:szCs w:val="30"/>
        </w:rPr>
        <w:fldChar w:fldCharType="separate"/>
      </w:r>
      <w:r>
        <w:rPr>
          <w:rFonts w:hint="eastAsia" w:ascii="宋体" w:hAnsi="宋体" w:eastAsia="宋体" w:cs="宋体"/>
          <w:b/>
          <w:bCs/>
          <w:snapToGrid w:val="0"/>
          <w:color w:val="auto"/>
          <w:spacing w:val="0"/>
          <w:kern w:val="21"/>
          <w:sz w:val="30"/>
          <w:szCs w:val="30"/>
          <w:u w:val="single"/>
        </w:rPr>
        <w:t>第一</w:t>
      </w:r>
      <w:r>
        <w:rPr>
          <w:rFonts w:hint="eastAsia" w:ascii="宋体" w:hAnsi="宋体" w:eastAsia="宋体" w:cs="宋体"/>
          <w:b/>
          <w:bCs/>
          <w:snapToGrid w:val="0"/>
          <w:color w:val="auto"/>
          <w:spacing w:val="0"/>
          <w:kern w:val="21"/>
          <w:sz w:val="30"/>
          <w:szCs w:val="30"/>
          <w:u w:val="single"/>
          <w:lang w:val="en-US" w:eastAsia="zh-CN"/>
        </w:rPr>
        <w:t>章</w:t>
      </w:r>
      <w:r>
        <w:rPr>
          <w:rFonts w:hint="eastAsia" w:ascii="宋体" w:hAnsi="宋体" w:eastAsia="宋体" w:cs="宋体"/>
          <w:b/>
          <w:bCs/>
          <w:snapToGrid w:val="0"/>
          <w:color w:val="auto"/>
          <w:spacing w:val="0"/>
          <w:kern w:val="21"/>
          <w:sz w:val="30"/>
          <w:szCs w:val="30"/>
          <w:u w:val="single"/>
        </w:rPr>
        <w:t xml:space="preserve">  </w:t>
      </w:r>
      <w:r>
        <w:rPr>
          <w:rFonts w:hint="eastAsia" w:ascii="宋体" w:hAnsi="宋体" w:eastAsia="宋体" w:cs="宋体"/>
          <w:b/>
          <w:bCs/>
          <w:snapToGrid w:val="0"/>
          <w:color w:val="auto"/>
          <w:spacing w:val="0"/>
          <w:kern w:val="21"/>
          <w:sz w:val="30"/>
          <w:szCs w:val="30"/>
          <w:u w:val="single"/>
          <w:lang w:val="en-US" w:eastAsia="zh-CN"/>
        </w:rPr>
        <w:t>招标</w:t>
      </w:r>
      <w:r>
        <w:rPr>
          <w:rFonts w:hint="eastAsia" w:ascii="宋体" w:hAnsi="宋体" w:eastAsia="宋体" w:cs="宋体"/>
          <w:b/>
          <w:bCs/>
          <w:snapToGrid w:val="0"/>
          <w:color w:val="auto"/>
          <w:spacing w:val="0"/>
          <w:kern w:val="21"/>
          <w:sz w:val="30"/>
          <w:szCs w:val="30"/>
          <w:u w:val="single"/>
        </w:rPr>
        <w:t>公告</w:t>
      </w:r>
      <w:r>
        <w:rPr>
          <w:rFonts w:hint="eastAsia" w:ascii="宋体" w:hAnsi="宋体" w:eastAsia="宋体" w:cs="宋体"/>
          <w:b/>
          <w:bCs/>
          <w:snapToGrid w:val="0"/>
          <w:color w:val="auto"/>
          <w:spacing w:val="0"/>
          <w:kern w:val="21"/>
          <w:sz w:val="30"/>
          <w:szCs w:val="30"/>
        </w:rPr>
        <w:tab/>
      </w:r>
      <w:r>
        <w:rPr>
          <w:rFonts w:hint="eastAsia" w:ascii="宋体" w:hAnsi="宋体" w:eastAsia="宋体" w:cs="宋体"/>
          <w:b/>
          <w:bCs/>
          <w:snapToGrid w:val="0"/>
          <w:color w:val="auto"/>
          <w:spacing w:val="0"/>
          <w:kern w:val="21"/>
          <w:sz w:val="30"/>
          <w:szCs w:val="30"/>
        </w:rPr>
        <w:fldChar w:fldCharType="begin"/>
      </w:r>
      <w:r>
        <w:rPr>
          <w:rFonts w:hint="eastAsia" w:ascii="宋体" w:hAnsi="宋体" w:eastAsia="宋体" w:cs="宋体"/>
          <w:b/>
          <w:bCs/>
          <w:snapToGrid w:val="0"/>
          <w:color w:val="auto"/>
          <w:spacing w:val="0"/>
          <w:kern w:val="21"/>
          <w:sz w:val="30"/>
          <w:szCs w:val="30"/>
        </w:rPr>
        <w:instrText xml:space="preserve"> PAGEREF _Toc485222549 \h </w:instrText>
      </w:r>
      <w:r>
        <w:rPr>
          <w:rFonts w:hint="eastAsia" w:ascii="宋体" w:hAnsi="宋体" w:eastAsia="宋体" w:cs="宋体"/>
          <w:b/>
          <w:bCs/>
          <w:snapToGrid w:val="0"/>
          <w:color w:val="auto"/>
          <w:spacing w:val="0"/>
          <w:kern w:val="21"/>
          <w:sz w:val="30"/>
          <w:szCs w:val="30"/>
        </w:rPr>
        <w:fldChar w:fldCharType="separate"/>
      </w:r>
      <w:r>
        <w:rPr>
          <w:rFonts w:hint="eastAsia" w:ascii="宋体" w:hAnsi="宋体" w:eastAsia="宋体" w:cs="宋体"/>
          <w:b/>
          <w:bCs/>
          <w:snapToGrid w:val="0"/>
          <w:color w:val="auto"/>
          <w:spacing w:val="0"/>
          <w:kern w:val="21"/>
          <w:sz w:val="30"/>
          <w:szCs w:val="30"/>
        </w:rPr>
        <w:t>1</w:t>
      </w:r>
      <w:r>
        <w:rPr>
          <w:rFonts w:hint="eastAsia" w:ascii="宋体" w:hAnsi="宋体" w:eastAsia="宋体" w:cs="宋体"/>
          <w:b/>
          <w:bCs/>
          <w:snapToGrid w:val="0"/>
          <w:color w:val="auto"/>
          <w:spacing w:val="0"/>
          <w:kern w:val="21"/>
          <w:sz w:val="30"/>
          <w:szCs w:val="30"/>
        </w:rPr>
        <w:fldChar w:fldCharType="end"/>
      </w:r>
      <w:r>
        <w:rPr>
          <w:rFonts w:hint="eastAsia" w:ascii="宋体" w:hAnsi="宋体" w:eastAsia="宋体" w:cs="宋体"/>
          <w:b/>
          <w:bCs/>
          <w:snapToGrid w:val="0"/>
          <w:color w:val="auto"/>
          <w:spacing w:val="0"/>
          <w:kern w:val="21"/>
          <w:sz w:val="30"/>
          <w:szCs w:val="30"/>
        </w:rPr>
        <w:fldChar w:fldCharType="end"/>
      </w:r>
    </w:p>
    <w:p w14:paraId="45C914C0">
      <w:pPr>
        <w:widowControl/>
        <w:tabs>
          <w:tab w:val="right" w:leader="dot" w:pos="9345"/>
        </w:tabs>
        <w:spacing w:line="480" w:lineRule="auto"/>
        <w:jc w:val="left"/>
        <w:rPr>
          <w:rFonts w:hint="eastAsia" w:ascii="宋体" w:hAnsi="宋体" w:eastAsia="宋体" w:cs="宋体"/>
          <w:snapToGrid w:val="0"/>
          <w:color w:val="auto"/>
          <w:spacing w:val="0"/>
          <w:kern w:val="21"/>
          <w:sz w:val="30"/>
          <w:szCs w:val="30"/>
        </w:rPr>
      </w:pPr>
      <w:r>
        <w:rPr>
          <w:rFonts w:hint="eastAsia" w:ascii="宋体" w:hAnsi="宋体" w:eastAsia="宋体" w:cs="宋体"/>
          <w:b/>
          <w:bCs/>
          <w:snapToGrid w:val="0"/>
          <w:color w:val="auto"/>
          <w:spacing w:val="0"/>
          <w:kern w:val="21"/>
          <w:sz w:val="30"/>
          <w:szCs w:val="30"/>
        </w:rPr>
        <w:fldChar w:fldCharType="begin"/>
      </w:r>
      <w:r>
        <w:rPr>
          <w:rFonts w:hint="eastAsia" w:ascii="宋体" w:hAnsi="宋体" w:eastAsia="宋体" w:cs="宋体"/>
          <w:b/>
          <w:bCs/>
          <w:snapToGrid w:val="0"/>
          <w:color w:val="auto"/>
          <w:spacing w:val="0"/>
          <w:kern w:val="21"/>
          <w:sz w:val="30"/>
          <w:szCs w:val="30"/>
          <w:u w:val="single"/>
        </w:rPr>
        <w:instrText xml:space="preserve"> </w:instrText>
      </w:r>
      <w:r>
        <w:rPr>
          <w:rFonts w:hint="eastAsia" w:ascii="宋体" w:hAnsi="宋体" w:eastAsia="宋体" w:cs="宋体"/>
          <w:b/>
          <w:bCs/>
          <w:snapToGrid w:val="0"/>
          <w:color w:val="auto"/>
          <w:spacing w:val="0"/>
          <w:kern w:val="21"/>
          <w:sz w:val="30"/>
          <w:szCs w:val="30"/>
        </w:rPr>
        <w:instrText xml:space="preserve">HYPERLINK \l "_Toc485222550"</w:instrText>
      </w:r>
      <w:r>
        <w:rPr>
          <w:rFonts w:hint="eastAsia" w:ascii="宋体" w:hAnsi="宋体" w:eastAsia="宋体" w:cs="宋体"/>
          <w:b/>
          <w:bCs/>
          <w:snapToGrid w:val="0"/>
          <w:color w:val="auto"/>
          <w:spacing w:val="0"/>
          <w:kern w:val="21"/>
          <w:sz w:val="30"/>
          <w:szCs w:val="30"/>
          <w:u w:val="single"/>
        </w:rPr>
        <w:instrText xml:space="preserve"> </w:instrText>
      </w:r>
      <w:r>
        <w:rPr>
          <w:rFonts w:hint="eastAsia" w:ascii="宋体" w:hAnsi="宋体" w:eastAsia="宋体" w:cs="宋体"/>
          <w:b/>
          <w:bCs/>
          <w:snapToGrid w:val="0"/>
          <w:color w:val="auto"/>
          <w:spacing w:val="0"/>
          <w:kern w:val="21"/>
          <w:sz w:val="30"/>
          <w:szCs w:val="30"/>
        </w:rPr>
        <w:fldChar w:fldCharType="separate"/>
      </w:r>
      <w:r>
        <w:rPr>
          <w:rFonts w:hint="eastAsia" w:ascii="宋体" w:hAnsi="宋体" w:eastAsia="宋体" w:cs="宋体"/>
          <w:b/>
          <w:bCs/>
          <w:snapToGrid w:val="0"/>
          <w:color w:val="auto"/>
          <w:spacing w:val="0"/>
          <w:kern w:val="21"/>
          <w:sz w:val="30"/>
          <w:szCs w:val="30"/>
          <w:u w:val="single"/>
        </w:rPr>
        <w:t>第二</w:t>
      </w:r>
      <w:r>
        <w:rPr>
          <w:rFonts w:hint="eastAsia" w:ascii="宋体" w:hAnsi="宋体" w:eastAsia="宋体" w:cs="宋体"/>
          <w:b/>
          <w:bCs/>
          <w:snapToGrid w:val="0"/>
          <w:color w:val="auto"/>
          <w:spacing w:val="0"/>
          <w:kern w:val="21"/>
          <w:sz w:val="30"/>
          <w:szCs w:val="30"/>
          <w:u w:val="single"/>
          <w:lang w:val="en-US" w:eastAsia="zh-CN"/>
        </w:rPr>
        <w:t>章</w:t>
      </w:r>
      <w:r>
        <w:rPr>
          <w:rFonts w:hint="eastAsia" w:ascii="宋体" w:hAnsi="宋体" w:eastAsia="宋体" w:cs="宋体"/>
          <w:b/>
          <w:bCs/>
          <w:snapToGrid w:val="0"/>
          <w:color w:val="auto"/>
          <w:spacing w:val="0"/>
          <w:kern w:val="21"/>
          <w:sz w:val="30"/>
          <w:szCs w:val="30"/>
          <w:u w:val="single"/>
        </w:rPr>
        <w:t xml:space="preserve">  </w:t>
      </w:r>
      <w:r>
        <w:rPr>
          <w:rFonts w:hint="eastAsia" w:ascii="宋体" w:hAnsi="宋体" w:eastAsia="宋体" w:cs="宋体"/>
          <w:b/>
          <w:bCs/>
          <w:snapToGrid w:val="0"/>
          <w:color w:val="auto"/>
          <w:spacing w:val="0"/>
          <w:kern w:val="21"/>
          <w:sz w:val="30"/>
          <w:szCs w:val="30"/>
          <w:u w:val="single"/>
          <w:lang w:eastAsia="zh-CN"/>
        </w:rPr>
        <w:t>投标人</w:t>
      </w:r>
      <w:r>
        <w:rPr>
          <w:rFonts w:hint="eastAsia" w:ascii="宋体" w:hAnsi="宋体" w:eastAsia="宋体" w:cs="宋体"/>
          <w:b/>
          <w:bCs/>
          <w:snapToGrid w:val="0"/>
          <w:color w:val="auto"/>
          <w:spacing w:val="0"/>
          <w:kern w:val="21"/>
          <w:sz w:val="30"/>
          <w:szCs w:val="30"/>
          <w:u w:val="single"/>
        </w:rPr>
        <w:t>须知</w:t>
      </w:r>
      <w:r>
        <w:rPr>
          <w:rFonts w:hint="eastAsia" w:ascii="宋体" w:hAnsi="宋体" w:eastAsia="宋体" w:cs="宋体"/>
          <w:b/>
          <w:bCs/>
          <w:snapToGrid w:val="0"/>
          <w:color w:val="auto"/>
          <w:spacing w:val="0"/>
          <w:kern w:val="21"/>
          <w:sz w:val="30"/>
          <w:szCs w:val="30"/>
        </w:rPr>
        <w:tab/>
      </w:r>
      <w:r>
        <w:rPr>
          <w:rFonts w:hint="eastAsia" w:ascii="宋体" w:hAnsi="宋体" w:eastAsia="宋体" w:cs="宋体"/>
          <w:b/>
          <w:bCs/>
          <w:snapToGrid w:val="0"/>
          <w:color w:val="auto"/>
          <w:spacing w:val="0"/>
          <w:kern w:val="21"/>
          <w:sz w:val="30"/>
          <w:szCs w:val="30"/>
        </w:rPr>
        <w:fldChar w:fldCharType="begin"/>
      </w:r>
      <w:r>
        <w:rPr>
          <w:rFonts w:hint="eastAsia" w:ascii="宋体" w:hAnsi="宋体" w:eastAsia="宋体" w:cs="宋体"/>
          <w:b/>
          <w:bCs/>
          <w:snapToGrid w:val="0"/>
          <w:color w:val="auto"/>
          <w:spacing w:val="0"/>
          <w:kern w:val="21"/>
          <w:sz w:val="30"/>
          <w:szCs w:val="30"/>
        </w:rPr>
        <w:instrText xml:space="preserve"> PAGEREF _Toc485222550 \h </w:instrText>
      </w:r>
      <w:r>
        <w:rPr>
          <w:rFonts w:hint="eastAsia" w:ascii="宋体" w:hAnsi="宋体" w:eastAsia="宋体" w:cs="宋体"/>
          <w:b/>
          <w:bCs/>
          <w:snapToGrid w:val="0"/>
          <w:color w:val="auto"/>
          <w:spacing w:val="0"/>
          <w:kern w:val="21"/>
          <w:sz w:val="30"/>
          <w:szCs w:val="30"/>
        </w:rPr>
        <w:fldChar w:fldCharType="separate"/>
      </w:r>
      <w:r>
        <w:rPr>
          <w:rFonts w:hint="eastAsia" w:ascii="宋体" w:hAnsi="宋体" w:eastAsia="宋体" w:cs="宋体"/>
          <w:b/>
          <w:bCs/>
          <w:snapToGrid w:val="0"/>
          <w:color w:val="auto"/>
          <w:spacing w:val="0"/>
          <w:kern w:val="21"/>
          <w:sz w:val="30"/>
          <w:szCs w:val="30"/>
        </w:rPr>
        <w:t>6</w:t>
      </w:r>
      <w:r>
        <w:rPr>
          <w:rFonts w:hint="eastAsia" w:ascii="宋体" w:hAnsi="宋体" w:eastAsia="宋体" w:cs="宋体"/>
          <w:b/>
          <w:bCs/>
          <w:snapToGrid w:val="0"/>
          <w:color w:val="auto"/>
          <w:spacing w:val="0"/>
          <w:kern w:val="21"/>
          <w:sz w:val="30"/>
          <w:szCs w:val="30"/>
        </w:rPr>
        <w:fldChar w:fldCharType="end"/>
      </w:r>
      <w:r>
        <w:rPr>
          <w:rFonts w:hint="eastAsia" w:ascii="宋体" w:hAnsi="宋体" w:eastAsia="宋体" w:cs="宋体"/>
          <w:b/>
          <w:bCs/>
          <w:snapToGrid w:val="0"/>
          <w:color w:val="auto"/>
          <w:spacing w:val="0"/>
          <w:kern w:val="21"/>
          <w:sz w:val="30"/>
          <w:szCs w:val="30"/>
        </w:rPr>
        <w:fldChar w:fldCharType="end"/>
      </w:r>
    </w:p>
    <w:p w14:paraId="657B8869">
      <w:pPr>
        <w:widowControl/>
        <w:tabs>
          <w:tab w:val="right" w:leader="dot" w:pos="9345"/>
        </w:tabs>
        <w:spacing w:before="120" w:after="120" w:line="480" w:lineRule="auto"/>
        <w:jc w:val="left"/>
        <w:rPr>
          <w:rFonts w:hint="default" w:ascii="宋体" w:hAnsi="宋体" w:eastAsia="宋体" w:cs="宋体"/>
          <w:b/>
          <w:bCs/>
          <w:snapToGrid w:val="0"/>
          <w:color w:val="auto"/>
          <w:spacing w:val="0"/>
          <w:kern w:val="21"/>
          <w:sz w:val="30"/>
          <w:szCs w:val="30"/>
          <w:lang w:val="en-US" w:eastAsia="zh-CN"/>
        </w:rPr>
      </w:pPr>
      <w:r>
        <w:rPr>
          <w:rFonts w:hint="eastAsia" w:ascii="宋体" w:hAnsi="宋体" w:eastAsia="宋体" w:cs="宋体"/>
          <w:b/>
          <w:bCs/>
          <w:snapToGrid w:val="0"/>
          <w:color w:val="auto"/>
          <w:spacing w:val="0"/>
          <w:kern w:val="21"/>
          <w:sz w:val="30"/>
          <w:szCs w:val="30"/>
        </w:rPr>
        <w:fldChar w:fldCharType="begin"/>
      </w:r>
      <w:r>
        <w:rPr>
          <w:rFonts w:hint="eastAsia" w:ascii="宋体" w:hAnsi="宋体" w:eastAsia="宋体" w:cs="宋体"/>
          <w:b/>
          <w:bCs/>
          <w:snapToGrid w:val="0"/>
          <w:color w:val="auto"/>
          <w:spacing w:val="0"/>
          <w:kern w:val="21"/>
          <w:sz w:val="30"/>
          <w:szCs w:val="30"/>
          <w:u w:val="single"/>
        </w:rPr>
        <w:instrText xml:space="preserve"> HYPERLINK \l "_Toc485222558" </w:instrText>
      </w:r>
      <w:r>
        <w:rPr>
          <w:rFonts w:hint="eastAsia" w:ascii="宋体" w:hAnsi="宋体" w:eastAsia="宋体" w:cs="宋体"/>
          <w:b/>
          <w:bCs/>
          <w:snapToGrid w:val="0"/>
          <w:color w:val="auto"/>
          <w:spacing w:val="0"/>
          <w:kern w:val="21"/>
          <w:sz w:val="30"/>
          <w:szCs w:val="30"/>
        </w:rPr>
        <w:fldChar w:fldCharType="separate"/>
      </w:r>
      <w:r>
        <w:rPr>
          <w:rFonts w:hint="eastAsia" w:ascii="宋体" w:hAnsi="宋体" w:eastAsia="宋体" w:cs="宋体"/>
          <w:b/>
          <w:bCs/>
          <w:snapToGrid w:val="0"/>
          <w:color w:val="auto"/>
          <w:spacing w:val="0"/>
          <w:kern w:val="21"/>
          <w:sz w:val="30"/>
          <w:szCs w:val="30"/>
          <w:u w:val="single"/>
        </w:rPr>
        <w:t>第</w:t>
      </w:r>
      <w:r>
        <w:rPr>
          <w:rFonts w:hint="eastAsia" w:ascii="宋体" w:hAnsi="宋体" w:eastAsia="宋体" w:cs="宋体"/>
          <w:b/>
          <w:bCs/>
          <w:snapToGrid w:val="0"/>
          <w:color w:val="auto"/>
          <w:spacing w:val="0"/>
          <w:kern w:val="21"/>
          <w:sz w:val="30"/>
          <w:szCs w:val="30"/>
          <w:u w:val="single"/>
          <w:lang w:val="en-US" w:eastAsia="zh-CN"/>
        </w:rPr>
        <w:t>三章</w:t>
      </w:r>
      <w:r>
        <w:rPr>
          <w:rFonts w:hint="eastAsia" w:ascii="宋体" w:hAnsi="宋体" w:eastAsia="宋体" w:cs="宋体"/>
          <w:b/>
          <w:bCs/>
          <w:snapToGrid w:val="0"/>
          <w:color w:val="auto"/>
          <w:spacing w:val="0"/>
          <w:kern w:val="21"/>
          <w:sz w:val="30"/>
          <w:szCs w:val="30"/>
          <w:u w:val="single"/>
        </w:rPr>
        <w:t xml:space="preserve">  服务内容及要求</w:t>
      </w:r>
      <w:r>
        <w:rPr>
          <w:rFonts w:hint="eastAsia" w:ascii="宋体" w:hAnsi="宋体" w:eastAsia="宋体" w:cs="宋体"/>
          <w:b/>
          <w:bCs/>
          <w:snapToGrid w:val="0"/>
          <w:color w:val="auto"/>
          <w:spacing w:val="0"/>
          <w:kern w:val="21"/>
          <w:sz w:val="30"/>
          <w:szCs w:val="30"/>
          <w:u w:val="single"/>
        </w:rPr>
        <w:tab/>
      </w:r>
      <w:r>
        <w:rPr>
          <w:rFonts w:hint="eastAsia" w:ascii="宋体" w:hAnsi="宋体" w:eastAsia="宋体" w:cs="宋体"/>
          <w:b/>
          <w:bCs/>
          <w:snapToGrid w:val="0"/>
          <w:color w:val="auto"/>
          <w:spacing w:val="0"/>
          <w:kern w:val="21"/>
          <w:sz w:val="30"/>
          <w:szCs w:val="30"/>
        </w:rPr>
        <w:fldChar w:fldCharType="end"/>
      </w:r>
      <w:r>
        <w:rPr>
          <w:rFonts w:hint="eastAsia" w:ascii="宋体" w:hAnsi="宋体" w:cs="宋体"/>
          <w:b/>
          <w:bCs/>
          <w:snapToGrid w:val="0"/>
          <w:color w:val="auto"/>
          <w:spacing w:val="0"/>
          <w:kern w:val="21"/>
          <w:sz w:val="30"/>
          <w:szCs w:val="30"/>
          <w:lang w:val="en-US" w:eastAsia="zh-CN"/>
        </w:rPr>
        <w:t>33</w:t>
      </w:r>
    </w:p>
    <w:p w14:paraId="60A7066A">
      <w:pPr>
        <w:widowControl/>
        <w:tabs>
          <w:tab w:val="right" w:leader="dot" w:pos="9345"/>
        </w:tabs>
        <w:spacing w:before="120" w:after="120" w:line="480" w:lineRule="auto"/>
        <w:jc w:val="left"/>
        <w:rPr>
          <w:rFonts w:hint="eastAsia" w:ascii="宋体" w:hAnsi="宋体" w:eastAsia="宋体" w:cs="宋体"/>
          <w:snapToGrid w:val="0"/>
          <w:color w:val="auto"/>
          <w:spacing w:val="0"/>
          <w:kern w:val="21"/>
          <w:sz w:val="30"/>
          <w:szCs w:val="30"/>
          <w:lang w:val="en-US" w:eastAsia="zh-CN"/>
        </w:rPr>
      </w:pPr>
      <w:r>
        <w:rPr>
          <w:rFonts w:hint="eastAsia" w:ascii="宋体" w:hAnsi="宋体" w:eastAsia="宋体" w:cs="宋体"/>
          <w:b/>
          <w:bCs/>
          <w:snapToGrid w:val="0"/>
          <w:color w:val="auto"/>
          <w:spacing w:val="0"/>
          <w:kern w:val="21"/>
          <w:sz w:val="30"/>
          <w:szCs w:val="30"/>
        </w:rPr>
        <w:fldChar w:fldCharType="begin"/>
      </w:r>
      <w:r>
        <w:rPr>
          <w:rFonts w:hint="eastAsia" w:ascii="宋体" w:hAnsi="宋体" w:eastAsia="宋体" w:cs="宋体"/>
          <w:b/>
          <w:bCs/>
          <w:snapToGrid w:val="0"/>
          <w:color w:val="auto"/>
          <w:spacing w:val="0"/>
          <w:kern w:val="21"/>
          <w:sz w:val="30"/>
          <w:szCs w:val="30"/>
          <w:u w:val="single"/>
        </w:rPr>
        <w:instrText xml:space="preserve"> </w:instrText>
      </w:r>
      <w:r>
        <w:rPr>
          <w:rFonts w:hint="eastAsia" w:ascii="宋体" w:hAnsi="宋体" w:eastAsia="宋体" w:cs="宋体"/>
          <w:b/>
          <w:bCs/>
          <w:snapToGrid w:val="0"/>
          <w:color w:val="auto"/>
          <w:spacing w:val="0"/>
          <w:kern w:val="21"/>
          <w:sz w:val="30"/>
          <w:szCs w:val="30"/>
        </w:rPr>
        <w:instrText xml:space="preserve">HYPERLINK \l "_Toc485222551"</w:instrText>
      </w:r>
      <w:r>
        <w:rPr>
          <w:rFonts w:hint="eastAsia" w:ascii="宋体" w:hAnsi="宋体" w:eastAsia="宋体" w:cs="宋体"/>
          <w:b/>
          <w:bCs/>
          <w:snapToGrid w:val="0"/>
          <w:color w:val="auto"/>
          <w:spacing w:val="0"/>
          <w:kern w:val="21"/>
          <w:sz w:val="30"/>
          <w:szCs w:val="30"/>
          <w:u w:val="single"/>
        </w:rPr>
        <w:instrText xml:space="preserve"> </w:instrText>
      </w:r>
      <w:r>
        <w:rPr>
          <w:rFonts w:hint="eastAsia" w:ascii="宋体" w:hAnsi="宋体" w:eastAsia="宋体" w:cs="宋体"/>
          <w:b/>
          <w:bCs/>
          <w:snapToGrid w:val="0"/>
          <w:color w:val="auto"/>
          <w:spacing w:val="0"/>
          <w:kern w:val="21"/>
          <w:sz w:val="30"/>
          <w:szCs w:val="30"/>
        </w:rPr>
        <w:fldChar w:fldCharType="separate"/>
      </w:r>
      <w:r>
        <w:rPr>
          <w:rFonts w:hint="eastAsia" w:ascii="宋体" w:hAnsi="宋体" w:eastAsia="宋体" w:cs="宋体"/>
          <w:b/>
          <w:bCs/>
          <w:snapToGrid w:val="0"/>
          <w:color w:val="auto"/>
          <w:spacing w:val="0"/>
          <w:kern w:val="21"/>
          <w:sz w:val="30"/>
          <w:szCs w:val="30"/>
          <w:u w:val="single"/>
        </w:rPr>
        <w:t>第</w:t>
      </w:r>
      <w:r>
        <w:rPr>
          <w:rFonts w:hint="eastAsia" w:ascii="宋体" w:hAnsi="宋体" w:eastAsia="宋体" w:cs="宋体"/>
          <w:b/>
          <w:bCs/>
          <w:snapToGrid w:val="0"/>
          <w:color w:val="auto"/>
          <w:spacing w:val="0"/>
          <w:kern w:val="21"/>
          <w:sz w:val="30"/>
          <w:szCs w:val="30"/>
          <w:u w:val="single"/>
          <w:lang w:val="en-US" w:eastAsia="zh-CN"/>
        </w:rPr>
        <w:t>四章</w:t>
      </w:r>
      <w:r>
        <w:rPr>
          <w:rFonts w:hint="eastAsia" w:ascii="宋体" w:hAnsi="宋体" w:eastAsia="宋体" w:cs="宋体"/>
          <w:b/>
          <w:bCs/>
          <w:snapToGrid w:val="0"/>
          <w:color w:val="auto"/>
          <w:spacing w:val="0"/>
          <w:kern w:val="21"/>
          <w:sz w:val="30"/>
          <w:szCs w:val="30"/>
          <w:u w:val="single"/>
        </w:rPr>
        <w:t xml:space="preserve">  </w:t>
      </w:r>
      <w:r>
        <w:rPr>
          <w:rFonts w:hint="eastAsia" w:ascii="宋体" w:hAnsi="宋体" w:eastAsia="宋体" w:cs="宋体"/>
          <w:b/>
          <w:bCs/>
          <w:snapToGrid w:val="0"/>
          <w:color w:val="auto"/>
          <w:spacing w:val="0"/>
          <w:kern w:val="21"/>
          <w:sz w:val="30"/>
          <w:szCs w:val="30"/>
          <w:u w:val="single"/>
          <w:lang w:val="en-US" w:eastAsia="zh-CN"/>
        </w:rPr>
        <w:t>评标</w:t>
      </w:r>
      <w:r>
        <w:rPr>
          <w:rFonts w:hint="eastAsia" w:ascii="宋体" w:hAnsi="宋体" w:eastAsia="宋体" w:cs="宋体"/>
          <w:b/>
          <w:bCs/>
          <w:snapToGrid w:val="0"/>
          <w:color w:val="auto"/>
          <w:spacing w:val="0"/>
          <w:kern w:val="21"/>
          <w:sz w:val="30"/>
          <w:szCs w:val="30"/>
          <w:u w:val="single"/>
        </w:rPr>
        <w:t>办法</w:t>
      </w:r>
      <w:r>
        <w:rPr>
          <w:rFonts w:hint="eastAsia" w:ascii="宋体" w:hAnsi="宋体" w:eastAsia="宋体" w:cs="宋体"/>
          <w:b/>
          <w:bCs/>
          <w:snapToGrid w:val="0"/>
          <w:color w:val="auto"/>
          <w:spacing w:val="0"/>
          <w:kern w:val="21"/>
          <w:sz w:val="30"/>
          <w:szCs w:val="30"/>
        </w:rPr>
        <w:tab/>
      </w:r>
      <w:r>
        <w:rPr>
          <w:rFonts w:hint="eastAsia" w:ascii="宋体" w:hAnsi="宋体" w:cs="宋体"/>
          <w:b/>
          <w:bCs/>
          <w:snapToGrid w:val="0"/>
          <w:color w:val="auto"/>
          <w:spacing w:val="0"/>
          <w:kern w:val="21"/>
          <w:sz w:val="30"/>
          <w:szCs w:val="30"/>
          <w:lang w:val="en-US" w:eastAsia="zh-CN"/>
        </w:rPr>
        <w:t>4</w:t>
      </w:r>
      <w:r>
        <w:rPr>
          <w:rFonts w:hint="eastAsia" w:ascii="宋体" w:hAnsi="宋体" w:eastAsia="宋体" w:cs="宋体"/>
          <w:b/>
          <w:bCs/>
          <w:snapToGrid w:val="0"/>
          <w:color w:val="auto"/>
          <w:spacing w:val="0"/>
          <w:kern w:val="21"/>
          <w:sz w:val="30"/>
          <w:szCs w:val="30"/>
        </w:rPr>
        <w:fldChar w:fldCharType="end"/>
      </w:r>
      <w:r>
        <w:rPr>
          <w:rFonts w:hint="eastAsia" w:ascii="宋体" w:hAnsi="宋体" w:cs="宋体"/>
          <w:b/>
          <w:bCs/>
          <w:snapToGrid w:val="0"/>
          <w:color w:val="auto"/>
          <w:spacing w:val="0"/>
          <w:kern w:val="21"/>
          <w:sz w:val="30"/>
          <w:szCs w:val="30"/>
          <w:lang w:val="en-US" w:eastAsia="zh-CN"/>
        </w:rPr>
        <w:t>0</w:t>
      </w:r>
    </w:p>
    <w:p w14:paraId="6E15FD90">
      <w:pPr>
        <w:widowControl/>
        <w:tabs>
          <w:tab w:val="right" w:leader="dot" w:pos="9345"/>
        </w:tabs>
        <w:spacing w:before="120" w:after="120" w:line="480" w:lineRule="auto"/>
        <w:jc w:val="left"/>
        <w:rPr>
          <w:rFonts w:hint="eastAsia" w:ascii="宋体" w:hAnsi="宋体" w:eastAsia="宋体" w:cs="宋体"/>
          <w:b/>
          <w:bCs/>
          <w:snapToGrid w:val="0"/>
          <w:color w:val="auto"/>
          <w:spacing w:val="0"/>
          <w:kern w:val="21"/>
          <w:sz w:val="30"/>
          <w:szCs w:val="30"/>
          <w:u w:val="single"/>
        </w:rPr>
      </w:pPr>
      <w:r>
        <w:rPr>
          <w:rFonts w:hint="eastAsia" w:ascii="宋体" w:hAnsi="宋体" w:eastAsia="宋体" w:cs="宋体"/>
          <w:b/>
          <w:bCs/>
          <w:snapToGrid w:val="0"/>
          <w:color w:val="auto"/>
          <w:spacing w:val="0"/>
          <w:kern w:val="21"/>
          <w:sz w:val="30"/>
          <w:szCs w:val="30"/>
        </w:rPr>
        <w:fldChar w:fldCharType="begin"/>
      </w:r>
      <w:r>
        <w:rPr>
          <w:rFonts w:hint="eastAsia" w:ascii="宋体" w:hAnsi="宋体" w:eastAsia="宋体" w:cs="宋体"/>
          <w:b/>
          <w:bCs/>
          <w:snapToGrid w:val="0"/>
          <w:color w:val="auto"/>
          <w:spacing w:val="0"/>
          <w:kern w:val="21"/>
          <w:sz w:val="30"/>
          <w:szCs w:val="30"/>
          <w:u w:val="single"/>
        </w:rPr>
        <w:instrText xml:space="preserve"> </w:instrText>
      </w:r>
      <w:r>
        <w:rPr>
          <w:rFonts w:hint="eastAsia" w:ascii="宋体" w:hAnsi="宋体" w:eastAsia="宋体" w:cs="宋体"/>
          <w:b/>
          <w:bCs/>
          <w:snapToGrid w:val="0"/>
          <w:color w:val="auto"/>
          <w:spacing w:val="0"/>
          <w:kern w:val="21"/>
          <w:sz w:val="30"/>
          <w:szCs w:val="30"/>
        </w:rPr>
        <w:instrText xml:space="preserve">HYPERLINK \l "_Toc485222557"</w:instrText>
      </w:r>
      <w:r>
        <w:rPr>
          <w:rFonts w:hint="eastAsia" w:ascii="宋体" w:hAnsi="宋体" w:eastAsia="宋体" w:cs="宋体"/>
          <w:b/>
          <w:bCs/>
          <w:snapToGrid w:val="0"/>
          <w:color w:val="auto"/>
          <w:spacing w:val="0"/>
          <w:kern w:val="21"/>
          <w:sz w:val="30"/>
          <w:szCs w:val="30"/>
          <w:u w:val="single"/>
        </w:rPr>
        <w:instrText xml:space="preserve"> </w:instrText>
      </w:r>
      <w:r>
        <w:rPr>
          <w:rFonts w:hint="eastAsia" w:ascii="宋体" w:hAnsi="宋体" w:eastAsia="宋体" w:cs="宋体"/>
          <w:b/>
          <w:bCs/>
          <w:snapToGrid w:val="0"/>
          <w:color w:val="auto"/>
          <w:spacing w:val="0"/>
          <w:kern w:val="21"/>
          <w:sz w:val="30"/>
          <w:szCs w:val="30"/>
        </w:rPr>
        <w:fldChar w:fldCharType="separate"/>
      </w:r>
      <w:r>
        <w:rPr>
          <w:rFonts w:hint="eastAsia" w:ascii="宋体" w:hAnsi="宋体" w:eastAsia="宋体" w:cs="宋体"/>
          <w:b/>
          <w:bCs/>
          <w:snapToGrid w:val="0"/>
          <w:color w:val="auto"/>
          <w:spacing w:val="0"/>
          <w:kern w:val="21"/>
          <w:sz w:val="30"/>
          <w:szCs w:val="30"/>
          <w:u w:val="single"/>
        </w:rPr>
        <w:t>第</w:t>
      </w:r>
      <w:r>
        <w:rPr>
          <w:rFonts w:hint="eastAsia" w:ascii="宋体" w:hAnsi="宋体" w:eastAsia="宋体" w:cs="宋体"/>
          <w:b/>
          <w:bCs/>
          <w:snapToGrid w:val="0"/>
          <w:color w:val="auto"/>
          <w:spacing w:val="0"/>
          <w:kern w:val="21"/>
          <w:sz w:val="30"/>
          <w:szCs w:val="30"/>
          <w:u w:val="single"/>
          <w:lang w:val="en-US" w:eastAsia="zh-CN"/>
        </w:rPr>
        <w:t>五章</w:t>
      </w:r>
      <w:r>
        <w:rPr>
          <w:rFonts w:hint="eastAsia" w:ascii="宋体" w:hAnsi="宋体" w:eastAsia="宋体" w:cs="宋体"/>
          <w:b/>
          <w:bCs/>
          <w:snapToGrid w:val="0"/>
          <w:color w:val="auto"/>
          <w:spacing w:val="0"/>
          <w:kern w:val="21"/>
          <w:sz w:val="30"/>
          <w:szCs w:val="30"/>
          <w:u w:val="single"/>
        </w:rPr>
        <w:t xml:space="preserve">  合同条款及格式</w:t>
      </w:r>
      <w:r>
        <w:rPr>
          <w:rFonts w:hint="eastAsia" w:ascii="宋体" w:hAnsi="宋体" w:eastAsia="宋体" w:cs="宋体"/>
          <w:b/>
          <w:bCs/>
          <w:snapToGrid w:val="0"/>
          <w:color w:val="auto"/>
          <w:spacing w:val="0"/>
          <w:kern w:val="21"/>
          <w:sz w:val="30"/>
          <w:szCs w:val="30"/>
        </w:rPr>
        <w:tab/>
      </w:r>
      <w:r>
        <w:rPr>
          <w:rFonts w:hint="eastAsia" w:ascii="宋体" w:hAnsi="宋体" w:eastAsia="宋体" w:cs="宋体"/>
          <w:b/>
          <w:bCs/>
          <w:snapToGrid w:val="0"/>
          <w:color w:val="auto"/>
          <w:spacing w:val="0"/>
          <w:kern w:val="21"/>
          <w:sz w:val="30"/>
          <w:szCs w:val="30"/>
        </w:rPr>
        <w:fldChar w:fldCharType="begin"/>
      </w:r>
      <w:r>
        <w:rPr>
          <w:rFonts w:hint="eastAsia" w:ascii="宋体" w:hAnsi="宋体" w:eastAsia="宋体" w:cs="宋体"/>
          <w:b/>
          <w:bCs/>
          <w:snapToGrid w:val="0"/>
          <w:color w:val="auto"/>
          <w:spacing w:val="0"/>
          <w:kern w:val="21"/>
          <w:sz w:val="30"/>
          <w:szCs w:val="30"/>
        </w:rPr>
        <w:instrText xml:space="preserve"> PAGEREF _Toc485222557 \h </w:instrText>
      </w:r>
      <w:r>
        <w:rPr>
          <w:rFonts w:hint="eastAsia" w:ascii="宋体" w:hAnsi="宋体" w:eastAsia="宋体" w:cs="宋体"/>
          <w:b/>
          <w:bCs/>
          <w:snapToGrid w:val="0"/>
          <w:color w:val="auto"/>
          <w:spacing w:val="0"/>
          <w:kern w:val="21"/>
          <w:sz w:val="30"/>
          <w:szCs w:val="30"/>
        </w:rPr>
        <w:fldChar w:fldCharType="separate"/>
      </w:r>
      <w:r>
        <w:rPr>
          <w:rFonts w:hint="eastAsia" w:ascii="宋体" w:hAnsi="宋体" w:eastAsia="宋体" w:cs="宋体"/>
          <w:b/>
          <w:bCs/>
          <w:snapToGrid w:val="0"/>
          <w:color w:val="auto"/>
          <w:spacing w:val="0"/>
          <w:kern w:val="21"/>
          <w:sz w:val="30"/>
          <w:szCs w:val="30"/>
        </w:rPr>
        <w:t>48</w:t>
      </w:r>
      <w:r>
        <w:rPr>
          <w:rFonts w:hint="eastAsia" w:ascii="宋体" w:hAnsi="宋体" w:eastAsia="宋体" w:cs="宋体"/>
          <w:b/>
          <w:bCs/>
          <w:snapToGrid w:val="0"/>
          <w:color w:val="auto"/>
          <w:spacing w:val="0"/>
          <w:kern w:val="21"/>
          <w:sz w:val="30"/>
          <w:szCs w:val="30"/>
        </w:rPr>
        <w:fldChar w:fldCharType="end"/>
      </w:r>
      <w:r>
        <w:rPr>
          <w:rFonts w:hint="eastAsia" w:ascii="宋体" w:hAnsi="宋体" w:eastAsia="宋体" w:cs="宋体"/>
          <w:b/>
          <w:bCs/>
          <w:snapToGrid w:val="0"/>
          <w:color w:val="auto"/>
          <w:spacing w:val="0"/>
          <w:kern w:val="21"/>
          <w:sz w:val="30"/>
          <w:szCs w:val="30"/>
        </w:rPr>
        <w:fldChar w:fldCharType="end"/>
      </w:r>
    </w:p>
    <w:p w14:paraId="6B64776B">
      <w:pPr>
        <w:widowControl/>
        <w:tabs>
          <w:tab w:val="right" w:leader="dot" w:pos="9345"/>
        </w:tabs>
        <w:spacing w:before="120" w:after="120" w:line="480" w:lineRule="auto"/>
        <w:jc w:val="left"/>
        <w:rPr>
          <w:rFonts w:hint="default" w:ascii="宋体" w:hAnsi="宋体" w:eastAsia="宋体" w:cs="宋体"/>
          <w:b/>
          <w:bCs/>
          <w:snapToGrid w:val="0"/>
          <w:color w:val="auto"/>
          <w:spacing w:val="0"/>
          <w:kern w:val="21"/>
          <w:sz w:val="30"/>
          <w:szCs w:val="30"/>
          <w:u w:val="single"/>
          <w:lang w:val="en-US" w:eastAsia="zh-CN"/>
        </w:rPr>
      </w:pPr>
      <w:r>
        <w:rPr>
          <w:rFonts w:hint="eastAsia" w:ascii="宋体" w:hAnsi="宋体" w:eastAsia="宋体" w:cs="宋体"/>
          <w:b/>
          <w:bCs/>
          <w:snapToGrid w:val="0"/>
          <w:color w:val="auto"/>
          <w:spacing w:val="0"/>
          <w:kern w:val="21"/>
          <w:sz w:val="30"/>
          <w:szCs w:val="30"/>
        </w:rPr>
        <w:fldChar w:fldCharType="begin"/>
      </w:r>
      <w:r>
        <w:rPr>
          <w:rFonts w:hint="eastAsia" w:ascii="宋体" w:hAnsi="宋体" w:eastAsia="宋体" w:cs="宋体"/>
          <w:b/>
          <w:bCs/>
          <w:snapToGrid w:val="0"/>
          <w:color w:val="auto"/>
          <w:spacing w:val="0"/>
          <w:kern w:val="21"/>
          <w:sz w:val="30"/>
          <w:szCs w:val="30"/>
          <w:u w:val="single"/>
        </w:rPr>
        <w:instrText xml:space="preserve"> HYPERLINK \l "_Toc485222561" </w:instrText>
      </w:r>
      <w:r>
        <w:rPr>
          <w:rFonts w:hint="eastAsia" w:ascii="宋体" w:hAnsi="宋体" w:eastAsia="宋体" w:cs="宋体"/>
          <w:b/>
          <w:bCs/>
          <w:snapToGrid w:val="0"/>
          <w:color w:val="auto"/>
          <w:spacing w:val="0"/>
          <w:kern w:val="21"/>
          <w:sz w:val="30"/>
          <w:szCs w:val="30"/>
        </w:rPr>
        <w:fldChar w:fldCharType="separate"/>
      </w:r>
      <w:r>
        <w:rPr>
          <w:rFonts w:hint="eastAsia" w:ascii="宋体" w:hAnsi="宋体" w:eastAsia="宋体" w:cs="宋体"/>
          <w:b/>
          <w:bCs/>
          <w:snapToGrid w:val="0"/>
          <w:color w:val="auto"/>
          <w:spacing w:val="0"/>
          <w:kern w:val="21"/>
          <w:sz w:val="30"/>
          <w:szCs w:val="30"/>
          <w:u w:val="single"/>
        </w:rPr>
        <w:t>第六</w:t>
      </w:r>
      <w:r>
        <w:rPr>
          <w:rFonts w:hint="eastAsia" w:ascii="宋体" w:hAnsi="宋体" w:eastAsia="宋体" w:cs="宋体"/>
          <w:b/>
          <w:bCs/>
          <w:snapToGrid w:val="0"/>
          <w:color w:val="auto"/>
          <w:spacing w:val="0"/>
          <w:kern w:val="21"/>
          <w:sz w:val="30"/>
          <w:szCs w:val="30"/>
          <w:u w:val="single"/>
          <w:lang w:val="en-US" w:eastAsia="zh-CN"/>
        </w:rPr>
        <w:t>章</w:t>
      </w:r>
      <w:r>
        <w:rPr>
          <w:rFonts w:hint="eastAsia" w:ascii="宋体" w:hAnsi="宋体" w:eastAsia="宋体" w:cs="宋体"/>
          <w:b/>
          <w:bCs/>
          <w:snapToGrid w:val="0"/>
          <w:color w:val="auto"/>
          <w:spacing w:val="0"/>
          <w:kern w:val="21"/>
          <w:sz w:val="30"/>
          <w:szCs w:val="30"/>
          <w:u w:val="single"/>
        </w:rPr>
        <w:t xml:space="preserve">  </w:t>
      </w:r>
      <w:r>
        <w:rPr>
          <w:rFonts w:hint="eastAsia" w:ascii="宋体" w:hAnsi="宋体" w:eastAsia="宋体" w:cs="宋体"/>
          <w:b/>
          <w:bCs/>
          <w:snapToGrid w:val="0"/>
          <w:color w:val="auto"/>
          <w:spacing w:val="0"/>
          <w:kern w:val="21"/>
          <w:sz w:val="30"/>
          <w:szCs w:val="30"/>
          <w:u w:val="single"/>
          <w:lang w:val="en-US" w:eastAsia="zh-CN"/>
        </w:rPr>
        <w:t>投标</w:t>
      </w:r>
      <w:r>
        <w:rPr>
          <w:rFonts w:hint="eastAsia" w:ascii="宋体" w:hAnsi="宋体" w:eastAsia="宋体" w:cs="宋体"/>
          <w:b/>
          <w:bCs/>
          <w:snapToGrid w:val="0"/>
          <w:color w:val="auto"/>
          <w:spacing w:val="0"/>
          <w:kern w:val="21"/>
          <w:sz w:val="30"/>
          <w:szCs w:val="30"/>
          <w:u w:val="single"/>
        </w:rPr>
        <w:t>文</w:t>
      </w:r>
      <w:bookmarkStart w:id="0" w:name="_Hlt12629658"/>
      <w:bookmarkStart w:id="1" w:name="_Hlt12629659"/>
      <w:r>
        <w:rPr>
          <w:rFonts w:hint="eastAsia" w:ascii="宋体" w:hAnsi="宋体" w:eastAsia="宋体" w:cs="宋体"/>
          <w:b/>
          <w:bCs/>
          <w:snapToGrid w:val="0"/>
          <w:color w:val="auto"/>
          <w:spacing w:val="0"/>
          <w:kern w:val="21"/>
          <w:sz w:val="30"/>
          <w:szCs w:val="30"/>
          <w:u w:val="single"/>
        </w:rPr>
        <w:t>件</w:t>
      </w:r>
      <w:bookmarkEnd w:id="0"/>
      <w:bookmarkEnd w:id="1"/>
      <w:r>
        <w:rPr>
          <w:rFonts w:hint="eastAsia" w:ascii="宋体" w:hAnsi="宋体" w:eastAsia="宋体" w:cs="宋体"/>
          <w:b/>
          <w:bCs/>
          <w:snapToGrid w:val="0"/>
          <w:color w:val="auto"/>
          <w:spacing w:val="0"/>
          <w:kern w:val="21"/>
          <w:sz w:val="30"/>
          <w:szCs w:val="30"/>
          <w:u w:val="single"/>
        </w:rPr>
        <w:t>格式</w:t>
      </w:r>
      <w:r>
        <w:rPr>
          <w:rFonts w:hint="eastAsia" w:ascii="宋体" w:hAnsi="宋体" w:eastAsia="宋体" w:cs="宋体"/>
          <w:b/>
          <w:bCs/>
          <w:snapToGrid w:val="0"/>
          <w:color w:val="auto"/>
          <w:spacing w:val="0"/>
          <w:kern w:val="21"/>
          <w:sz w:val="30"/>
          <w:szCs w:val="30"/>
          <w:u w:val="single"/>
        </w:rPr>
        <w:tab/>
      </w:r>
      <w:r>
        <w:rPr>
          <w:rFonts w:hint="eastAsia" w:ascii="宋体" w:hAnsi="宋体" w:eastAsia="宋体" w:cs="宋体"/>
          <w:b/>
          <w:bCs/>
          <w:snapToGrid w:val="0"/>
          <w:color w:val="auto"/>
          <w:spacing w:val="0"/>
          <w:kern w:val="21"/>
          <w:sz w:val="30"/>
          <w:szCs w:val="30"/>
        </w:rPr>
        <w:fldChar w:fldCharType="end"/>
      </w:r>
      <w:r>
        <w:rPr>
          <w:rFonts w:hint="eastAsia" w:ascii="宋体" w:hAnsi="宋体" w:eastAsia="宋体" w:cs="宋体"/>
          <w:b/>
          <w:bCs/>
          <w:snapToGrid w:val="0"/>
          <w:color w:val="auto"/>
          <w:spacing w:val="0"/>
          <w:kern w:val="21"/>
          <w:sz w:val="30"/>
          <w:szCs w:val="30"/>
          <w:lang w:val="en-US" w:eastAsia="zh-CN"/>
        </w:rPr>
        <w:t>5</w:t>
      </w:r>
      <w:r>
        <w:rPr>
          <w:rFonts w:hint="eastAsia" w:ascii="宋体" w:hAnsi="宋体" w:cs="宋体"/>
          <w:b/>
          <w:bCs/>
          <w:snapToGrid w:val="0"/>
          <w:color w:val="auto"/>
          <w:spacing w:val="0"/>
          <w:kern w:val="21"/>
          <w:sz w:val="30"/>
          <w:szCs w:val="30"/>
          <w:lang w:val="en-US" w:eastAsia="zh-CN"/>
        </w:rPr>
        <w:t>1</w:t>
      </w:r>
    </w:p>
    <w:p w14:paraId="4485D492">
      <w:pPr>
        <w:tabs>
          <w:tab w:val="right" w:leader="dot" w:pos="8729"/>
        </w:tabs>
        <w:spacing w:line="480" w:lineRule="auto"/>
        <w:jc w:val="left"/>
        <w:rPr>
          <w:rFonts w:hint="eastAsia" w:ascii="宋体" w:hAnsi="宋体" w:eastAsia="宋体" w:cs="宋体"/>
          <w:b/>
          <w:snapToGrid w:val="0"/>
          <w:color w:val="auto"/>
          <w:spacing w:val="0"/>
          <w:kern w:val="21"/>
          <w:sz w:val="36"/>
          <w:szCs w:val="36"/>
        </w:rPr>
        <w:sectPr>
          <w:footerReference r:id="rId9" w:type="default"/>
          <w:pgSz w:w="11905" w:h="16838"/>
          <w:pgMar w:top="1440" w:right="1440" w:bottom="1440" w:left="1440" w:header="0" w:footer="986" w:gutter="0"/>
          <w:pgNumType w:start="1"/>
          <w:cols w:space="720" w:num="1"/>
          <w:rtlGutter w:val="0"/>
          <w:docGrid w:linePitch="0" w:charSpace="0"/>
        </w:sectPr>
      </w:pPr>
      <w:r>
        <w:rPr>
          <w:rFonts w:hint="eastAsia" w:ascii="宋体" w:hAnsi="宋体" w:eastAsia="宋体" w:cs="宋体"/>
          <w:b/>
          <w:snapToGrid w:val="0"/>
          <w:color w:val="auto"/>
          <w:spacing w:val="0"/>
          <w:kern w:val="21"/>
          <w:sz w:val="30"/>
          <w:szCs w:val="30"/>
        </w:rPr>
        <w:fldChar w:fldCharType="end"/>
      </w:r>
      <w:bookmarkStart w:id="2" w:name="_Toc485222549"/>
      <w:bookmarkStart w:id="3" w:name="_Toc183264282"/>
      <w:bookmarkStart w:id="4" w:name="_Toc181180296"/>
    </w:p>
    <w:p w14:paraId="2F205A6B">
      <w:pPr>
        <w:tabs>
          <w:tab w:val="right" w:leader="dot" w:pos="8729"/>
        </w:tabs>
        <w:spacing w:line="480" w:lineRule="auto"/>
        <w:jc w:val="center"/>
        <w:rPr>
          <w:rFonts w:hint="eastAsia" w:ascii="宋体" w:hAnsi="宋体" w:eastAsia="宋体" w:cs="宋体"/>
          <w:b/>
          <w:bCs/>
          <w:snapToGrid w:val="0"/>
          <w:color w:val="auto"/>
          <w:spacing w:val="0"/>
          <w:kern w:val="21"/>
          <w:sz w:val="36"/>
          <w:szCs w:val="36"/>
        </w:rPr>
      </w:pPr>
      <w:r>
        <w:rPr>
          <w:rFonts w:hint="eastAsia" w:ascii="宋体" w:hAnsi="宋体" w:eastAsia="宋体" w:cs="宋体"/>
          <w:b/>
          <w:bCs/>
          <w:snapToGrid w:val="0"/>
          <w:color w:val="auto"/>
          <w:spacing w:val="0"/>
          <w:kern w:val="21"/>
          <w:sz w:val="36"/>
          <w:szCs w:val="36"/>
        </w:rPr>
        <w:t>第一</w:t>
      </w:r>
      <w:r>
        <w:rPr>
          <w:rFonts w:hint="eastAsia" w:ascii="宋体" w:hAnsi="宋体" w:eastAsia="宋体" w:cs="宋体"/>
          <w:b/>
          <w:bCs/>
          <w:snapToGrid w:val="0"/>
          <w:color w:val="auto"/>
          <w:spacing w:val="0"/>
          <w:kern w:val="21"/>
          <w:sz w:val="36"/>
          <w:szCs w:val="36"/>
          <w:lang w:val="en-US" w:eastAsia="zh-CN"/>
        </w:rPr>
        <w:t>章</w:t>
      </w:r>
      <w:r>
        <w:rPr>
          <w:rFonts w:hint="eastAsia" w:ascii="宋体" w:hAnsi="宋体" w:eastAsia="宋体" w:cs="宋体"/>
          <w:b/>
          <w:bCs/>
          <w:snapToGrid w:val="0"/>
          <w:color w:val="auto"/>
          <w:spacing w:val="0"/>
          <w:kern w:val="21"/>
          <w:sz w:val="36"/>
          <w:szCs w:val="36"/>
        </w:rPr>
        <w:t xml:space="preserve">  </w:t>
      </w:r>
      <w:r>
        <w:rPr>
          <w:rFonts w:hint="eastAsia" w:ascii="宋体" w:hAnsi="宋体" w:eastAsia="宋体" w:cs="宋体"/>
          <w:b/>
          <w:bCs/>
          <w:snapToGrid w:val="0"/>
          <w:color w:val="auto"/>
          <w:spacing w:val="0"/>
          <w:kern w:val="21"/>
          <w:sz w:val="36"/>
          <w:szCs w:val="36"/>
          <w:lang w:val="en-US" w:eastAsia="zh-CN"/>
        </w:rPr>
        <w:t>招标</w:t>
      </w:r>
      <w:r>
        <w:rPr>
          <w:rFonts w:hint="eastAsia" w:ascii="宋体" w:hAnsi="宋体" w:eastAsia="宋体" w:cs="宋体"/>
          <w:b/>
          <w:bCs/>
          <w:snapToGrid w:val="0"/>
          <w:color w:val="auto"/>
          <w:spacing w:val="0"/>
          <w:kern w:val="21"/>
          <w:sz w:val="36"/>
          <w:szCs w:val="36"/>
        </w:rPr>
        <w:t>公告</w:t>
      </w:r>
      <w:bookmarkEnd w:id="2"/>
    </w:p>
    <w:p w14:paraId="2D618927">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河南良智行工程管理咨询有限公司</w:t>
      </w:r>
      <w:r>
        <w:rPr>
          <w:rFonts w:hint="eastAsia" w:ascii="宋体" w:hAnsi="宋体" w:eastAsia="宋体" w:cs="宋体"/>
          <w:color w:val="auto"/>
          <w:sz w:val="24"/>
          <w:szCs w:val="24"/>
          <w:highlight w:val="none"/>
        </w:rPr>
        <w:t>受</w:t>
      </w:r>
      <w:r>
        <w:rPr>
          <w:rFonts w:hint="eastAsia" w:ascii="宋体" w:hAnsi="宋体" w:cs="宋体"/>
          <w:color w:val="auto"/>
          <w:sz w:val="24"/>
          <w:szCs w:val="24"/>
          <w:highlight w:val="none"/>
          <w:lang w:eastAsia="zh-CN"/>
        </w:rPr>
        <w:t>卢氏县养老服务中心</w:t>
      </w:r>
      <w:r>
        <w:rPr>
          <w:rFonts w:hint="eastAsia" w:ascii="宋体" w:hAnsi="宋体" w:eastAsia="宋体" w:cs="宋体"/>
          <w:color w:val="auto"/>
          <w:sz w:val="24"/>
          <w:szCs w:val="24"/>
          <w:highlight w:val="none"/>
        </w:rPr>
        <w:t>的委托，就</w:t>
      </w:r>
      <w:r>
        <w:rPr>
          <w:rFonts w:hint="eastAsia" w:ascii="宋体" w:hAnsi="宋体" w:cs="宋体"/>
          <w:color w:val="auto"/>
          <w:sz w:val="24"/>
          <w:szCs w:val="24"/>
          <w:highlight w:val="none"/>
          <w:lang w:eastAsia="zh-CN"/>
        </w:rPr>
        <w:t>卢氏县养老服务中心2026-2027年度集中供养人员餐厅食材采购项目</w:t>
      </w:r>
      <w:r>
        <w:rPr>
          <w:rFonts w:hint="eastAsia" w:ascii="宋体" w:hAnsi="宋体" w:eastAsia="宋体" w:cs="宋体"/>
          <w:color w:val="auto"/>
          <w:sz w:val="24"/>
          <w:szCs w:val="24"/>
          <w:highlight w:val="none"/>
        </w:rPr>
        <w:t>进行公开招标，欢迎符合条件的供应商参加。</w:t>
      </w:r>
    </w:p>
    <w:p w14:paraId="0A77F8AA">
      <w:pPr>
        <w:keepNext w:val="0"/>
        <w:keepLines w:val="0"/>
        <w:pageBreakBefore w:val="0"/>
        <w:widowControl w:val="0"/>
        <w:kinsoku/>
        <w:wordWrap w:val="0"/>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一、项目概况与采购范围</w:t>
      </w:r>
    </w:p>
    <w:p w14:paraId="432013ED">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1、项目名称：</w:t>
      </w:r>
      <w:r>
        <w:rPr>
          <w:rFonts w:hint="eastAsia" w:ascii="宋体" w:hAnsi="宋体" w:cs="宋体"/>
          <w:color w:val="auto"/>
          <w:sz w:val="24"/>
          <w:szCs w:val="24"/>
          <w:highlight w:val="none"/>
          <w:lang w:eastAsia="zh-CN"/>
        </w:rPr>
        <w:t>卢氏县养老服务中心2026-2027年度集中供养人员餐厅食材采购项目</w:t>
      </w:r>
    </w:p>
    <w:p w14:paraId="7B2BE25A">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2、采购人：</w:t>
      </w:r>
      <w:r>
        <w:rPr>
          <w:rFonts w:hint="eastAsia" w:ascii="宋体" w:hAnsi="宋体" w:cs="宋体"/>
          <w:color w:val="auto"/>
          <w:sz w:val="24"/>
          <w:szCs w:val="24"/>
          <w:highlight w:val="none"/>
          <w:lang w:eastAsia="zh-CN"/>
        </w:rPr>
        <w:t>卢氏县养老服务中心</w:t>
      </w:r>
    </w:p>
    <w:p w14:paraId="25D28AA9">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3、项目编号：三卢公开采购-2026-25</w:t>
      </w:r>
      <w:r>
        <w:rPr>
          <w:rFonts w:hint="eastAsia" w:ascii="宋体" w:hAnsi="宋体" w:cs="宋体"/>
          <w:color w:val="auto"/>
          <w:sz w:val="24"/>
          <w:szCs w:val="24"/>
          <w:highlight w:val="none"/>
          <w:lang w:eastAsia="zh-CN"/>
        </w:rPr>
        <w:t>、LSGZ[2026]126-ZC097</w:t>
      </w:r>
      <w:bookmarkStart w:id="96" w:name="_GoBack"/>
      <w:bookmarkEnd w:id="96"/>
    </w:p>
    <w:p w14:paraId="62576059">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4、采购内容：本项目</w:t>
      </w:r>
      <w:r>
        <w:rPr>
          <w:rFonts w:hint="eastAsia" w:ascii="宋体" w:hAnsi="宋体" w:cs="宋体"/>
          <w:color w:val="auto"/>
          <w:sz w:val="24"/>
          <w:szCs w:val="24"/>
          <w:highlight w:val="none"/>
          <w:lang w:val="en-US" w:eastAsia="zh-CN"/>
        </w:rPr>
        <w:t>采购内容</w:t>
      </w:r>
      <w:r>
        <w:rPr>
          <w:rFonts w:hint="eastAsia" w:ascii="宋体" w:hAnsi="宋体" w:eastAsia="宋体" w:cs="宋体"/>
          <w:color w:val="auto"/>
          <w:sz w:val="24"/>
          <w:szCs w:val="24"/>
          <w:highlight w:val="none"/>
        </w:rPr>
        <w:t>为</w:t>
      </w:r>
      <w:r>
        <w:rPr>
          <w:rFonts w:hint="eastAsia" w:ascii="宋体" w:hAnsi="宋体" w:cs="宋体"/>
          <w:color w:val="auto"/>
          <w:sz w:val="24"/>
          <w:szCs w:val="24"/>
          <w:highlight w:val="none"/>
          <w:lang w:val="en-US" w:eastAsia="zh-CN"/>
        </w:rPr>
        <w:t>特困</w:t>
      </w:r>
      <w:r>
        <w:rPr>
          <w:rFonts w:hint="eastAsia" w:ascii="宋体" w:hAnsi="宋体" w:cs="宋体"/>
          <w:color w:val="auto"/>
          <w:sz w:val="24"/>
          <w:szCs w:val="24"/>
          <w:highlight w:val="none"/>
          <w:lang w:eastAsia="zh-CN"/>
        </w:rPr>
        <w:t>集中供养人员餐厅食材采购</w:t>
      </w:r>
      <w:r>
        <w:rPr>
          <w:rFonts w:hint="eastAsia" w:ascii="宋体" w:hAnsi="宋体" w:eastAsia="宋体" w:cs="宋体"/>
          <w:color w:val="auto"/>
          <w:sz w:val="24"/>
          <w:szCs w:val="24"/>
          <w:highlight w:val="none"/>
        </w:rPr>
        <w:t>原材料大米、面粉、食用油、干面条、杂粮、猪肉、牛羊肉、鸡肉等肉类、干货、副食、蔬菜、调料等供应服务。</w:t>
      </w:r>
    </w:p>
    <w:p w14:paraId="0D72957B">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5、标段划分：本项目共划分</w:t>
      </w:r>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rPr>
        <w:t>个标段。</w:t>
      </w:r>
    </w:p>
    <w:p w14:paraId="790630B1">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6、资金来源：财政资金</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已落实。</w:t>
      </w:r>
    </w:p>
    <w:p w14:paraId="3A2F2174">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7、预算金额：</w:t>
      </w:r>
      <w:r>
        <w:rPr>
          <w:rFonts w:hint="eastAsia" w:ascii="宋体" w:hAnsi="宋体" w:cs="宋体"/>
          <w:color w:val="auto"/>
          <w:sz w:val="24"/>
          <w:szCs w:val="24"/>
          <w:highlight w:val="none"/>
          <w:lang w:val="en-US" w:eastAsia="zh-CN"/>
        </w:rPr>
        <w:t>277.00万元</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本预算为暂定金额，以实际采购数量为准，按照实际供货数量据实结算</w:t>
      </w:r>
      <w:r>
        <w:rPr>
          <w:rFonts w:hint="eastAsia" w:ascii="宋体" w:hAnsi="宋体" w:eastAsia="宋体" w:cs="宋体"/>
          <w:color w:val="auto"/>
          <w:sz w:val="24"/>
          <w:szCs w:val="24"/>
          <w:highlight w:val="none"/>
        </w:rPr>
        <w:t>）</w:t>
      </w:r>
    </w:p>
    <w:p w14:paraId="271BC463">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cs="宋体"/>
          <w:color w:val="auto"/>
          <w:sz w:val="24"/>
          <w:szCs w:val="24"/>
          <w:highlight w:val="none"/>
          <w:lang w:eastAsia="zh-CN"/>
        </w:rPr>
        <w:t>配送地点</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卢氏县五里川镇养老院、朱阳关镇养老院、瓦窑沟乡养老院、杜关镇养老院、石龙头重度残疾供养中心、兴贤里特困供养中心</w:t>
      </w:r>
      <w:r>
        <w:rPr>
          <w:rFonts w:hint="eastAsia" w:ascii="宋体" w:hAnsi="宋体" w:eastAsia="宋体" w:cs="宋体"/>
          <w:color w:val="auto"/>
          <w:sz w:val="24"/>
          <w:szCs w:val="24"/>
          <w:highlight w:val="none"/>
        </w:rPr>
        <w:t>。</w:t>
      </w:r>
    </w:p>
    <w:p w14:paraId="26F0D217">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质量要求：产品质量合格，符合国家及行业相关食品卫生安全要求，且符合采购人要求。</w:t>
      </w:r>
    </w:p>
    <w:p w14:paraId="3CCC4ABD">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10</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服务周期：</w:t>
      </w:r>
      <w:r>
        <w:rPr>
          <w:rFonts w:hint="eastAsia" w:ascii="宋体" w:hAnsi="宋体" w:cs="宋体"/>
          <w:color w:val="auto"/>
          <w:sz w:val="24"/>
          <w:szCs w:val="24"/>
          <w:highlight w:val="none"/>
          <w:lang w:val="en-US" w:eastAsia="zh-CN"/>
        </w:rPr>
        <w:t>合同签订后1年</w:t>
      </w:r>
    </w:p>
    <w:p w14:paraId="39F256C5">
      <w:pPr>
        <w:keepNext w:val="0"/>
        <w:keepLines w:val="0"/>
        <w:pageBreakBefore w:val="0"/>
        <w:widowControl w:val="0"/>
        <w:kinsoku/>
        <w:wordWrap w:val="0"/>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二、供应商资格要求</w:t>
      </w:r>
    </w:p>
    <w:p w14:paraId="171E0B79">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满足《中华人民共和国政府采购法》第二十二条规定；</w:t>
      </w:r>
    </w:p>
    <w:p w14:paraId="3513527A">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2、落实政府采购政策满足的资格要求：</w:t>
      </w:r>
    </w:p>
    <w:p w14:paraId="738693C5">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根据《政府采购促进中小企业发展管理办法》（财库〔2020〕46号）规定，本项目专门面向中小企业采购；同时供应商须提供《中小企业声明函》。</w:t>
      </w:r>
    </w:p>
    <w:p w14:paraId="4C571500">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本项目的特定资格要求</w:t>
      </w:r>
    </w:p>
    <w:p w14:paraId="6170B98E">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3.1.供应商须具有独立承担民事责任的能力，须提供有效的营业执照或其他证明材料；</w:t>
      </w:r>
    </w:p>
    <w:p w14:paraId="095EACC1">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3.2.若投标人为生产商需具有食品生产许可证；若投标人为经销商需具有食品经营许可证；投标人有固定的门面</w:t>
      </w:r>
      <w:r>
        <w:rPr>
          <w:rFonts w:hint="eastAsia" w:ascii="宋体" w:hAnsi="宋体" w:cs="宋体"/>
          <w:color w:val="auto"/>
          <w:sz w:val="24"/>
          <w:szCs w:val="24"/>
          <w:highlight w:val="none"/>
          <w:lang w:val="en-US" w:eastAsia="zh-CN"/>
        </w:rPr>
        <w:t>和</w:t>
      </w:r>
      <w:r>
        <w:rPr>
          <w:rFonts w:hint="eastAsia" w:ascii="宋体" w:hAnsi="宋体" w:eastAsia="宋体" w:cs="宋体"/>
          <w:color w:val="auto"/>
          <w:sz w:val="24"/>
          <w:szCs w:val="24"/>
          <w:highlight w:val="none"/>
        </w:rPr>
        <w:t>仓储条件。</w:t>
      </w:r>
    </w:p>
    <w:p w14:paraId="2858C015">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.拟派的项目负责人需在防疫部门办理健康证</w:t>
      </w:r>
      <w:r>
        <w:rPr>
          <w:rFonts w:hint="eastAsia" w:ascii="宋体" w:hAnsi="宋体" w:cs="宋体"/>
          <w:color w:val="auto"/>
          <w:sz w:val="24"/>
          <w:szCs w:val="24"/>
          <w:highlight w:val="none"/>
          <w:lang w:eastAsia="zh-CN"/>
        </w:rPr>
        <w:t>，为本单位员工</w:t>
      </w:r>
      <w:r>
        <w:rPr>
          <w:rFonts w:hint="eastAsia" w:ascii="宋体" w:hAnsi="宋体"/>
          <w:color w:val="auto"/>
          <w:sz w:val="24"/>
          <w:highlight w:val="none"/>
          <w:lang w:val="en-US" w:eastAsia="zh-CN"/>
        </w:rPr>
        <w:t>且已参加社会保险，</w:t>
      </w:r>
      <w:r>
        <w:rPr>
          <w:rFonts w:hint="eastAsia" w:ascii="宋体" w:hAnsi="宋体" w:cs="宋体"/>
          <w:color w:val="auto"/>
          <w:sz w:val="24"/>
          <w:szCs w:val="32"/>
        </w:rPr>
        <w:t>须提供投标截止日前由社保机构出具的养老保险缴费证明</w:t>
      </w:r>
      <w:r>
        <w:rPr>
          <w:rFonts w:hint="eastAsia" w:ascii="宋体" w:hAnsi="宋体" w:cs="宋体"/>
          <w:color w:val="auto"/>
          <w:sz w:val="24"/>
          <w:szCs w:val="24"/>
          <w:highlight w:val="none"/>
          <w:lang w:eastAsia="zh-CN"/>
        </w:rPr>
        <w:t>；</w:t>
      </w:r>
    </w:p>
    <w:p w14:paraId="0A91F8A7">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.具有良好的</w:t>
      </w:r>
      <w:r>
        <w:rPr>
          <w:rFonts w:hint="eastAsia" w:ascii="宋体" w:hAnsi="宋体" w:eastAsia="宋体" w:cs="宋体"/>
          <w:color w:val="auto"/>
          <w:sz w:val="24"/>
          <w:szCs w:val="24"/>
          <w:highlight w:val="none"/>
          <w:lang w:val="en-US" w:eastAsia="zh-CN"/>
        </w:rPr>
        <w:t>财务状况</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提供202</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年度第三方审计机构出具的财务报告或自行承诺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1EBD315F">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.供应商具有依法缴纳税收和社会保障资金的良好记录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提供承诺书或</w:t>
      </w:r>
      <w:r>
        <w:rPr>
          <w:rFonts w:hint="eastAsia" w:ascii="宋体" w:hAnsi="宋体" w:eastAsia="宋体" w:cs="宋体"/>
          <w:color w:val="auto"/>
          <w:sz w:val="24"/>
          <w:szCs w:val="24"/>
          <w:highlight w:val="none"/>
          <w:lang w:val="en-US" w:eastAsia="zh-CN"/>
        </w:rPr>
        <w:t>近</w:t>
      </w:r>
      <w:r>
        <w:rPr>
          <w:rFonts w:hint="eastAsia" w:ascii="宋体" w:hAnsi="宋体" w:eastAsia="宋体" w:cs="宋体"/>
          <w:color w:val="auto"/>
          <w:sz w:val="24"/>
          <w:szCs w:val="24"/>
          <w:highlight w:val="none"/>
        </w:rPr>
        <w:t>三个</w:t>
      </w:r>
      <w:r>
        <w:rPr>
          <w:rFonts w:hint="eastAsia" w:ascii="宋体" w:hAnsi="宋体" w:eastAsia="宋体" w:cs="宋体"/>
          <w:color w:val="auto"/>
          <w:sz w:val="24"/>
          <w:szCs w:val="24"/>
          <w:highlight w:val="none"/>
          <w:lang w:val="en-US" w:eastAsia="zh-CN"/>
        </w:rPr>
        <w:t>月企业税收证明材料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24AB8A24">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.供应商具有履行合同所必须的设备和专业技术服务能力(提供承诺书）；</w:t>
      </w:r>
    </w:p>
    <w:p w14:paraId="00AF27F7">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参加政府采购活动前3年内在经营活动中没有骗取中标、重大违法记录、严重违约等问题</w:t>
      </w:r>
      <w:r>
        <w:rPr>
          <w:rFonts w:hint="eastAsia" w:ascii="宋体" w:hAnsi="宋体" w:cs="宋体"/>
          <w:color w:val="auto"/>
          <w:sz w:val="24"/>
          <w:szCs w:val="24"/>
          <w:highlight w:val="none"/>
          <w:lang w:val="en-US" w:eastAsia="zh-CN"/>
        </w:rPr>
        <w:t>；</w:t>
      </w:r>
    </w:p>
    <w:p w14:paraId="5024AC7B">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参加政府采购活动前3年内无行贿犯罪记录，供应商出具的无行贿犯罪记录在中国裁判文书网自行查询或自行承诺（查询对象：企业、法定代表人、项目负责人）；</w:t>
      </w:r>
    </w:p>
    <w:p w14:paraId="5D987250">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lang w:val="en-US" w:eastAsia="zh-CN"/>
        </w:rPr>
        <w:t>提供企业注册地工商管理部门出具的无商业贿赂和不正当竞争行为的查询证明（若当地工商管理部门不办理此项业务，供应商须自行出具本企业无商业贿赂和不正当竞争行为承诺书）；</w:t>
      </w:r>
    </w:p>
    <w:p w14:paraId="6A5F77EE">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单位负责人为同一人或者存在直接控股、管理关系的不同供应商，不得参加同一合同项下的采购活动（提供“国家企业信用信息公示系统”网页查询信息截图,查询信息应包含公司基本信息、股东信息及股权变更信息等相关信息；査询时间必须是招标公告发布以后开标时间以前，查询结果清晰可见)；</w:t>
      </w:r>
    </w:p>
    <w:p w14:paraId="6AF85582">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11.</w:t>
      </w:r>
      <w:r>
        <w:rPr>
          <w:rFonts w:hint="eastAsia" w:ascii="宋体" w:hAnsi="宋体" w:eastAsia="宋体" w:cs="宋体"/>
          <w:color w:val="auto"/>
          <w:sz w:val="24"/>
          <w:szCs w:val="24"/>
          <w:highlight w:val="none"/>
          <w:lang w:val="en-US" w:eastAsia="zh-CN"/>
        </w:rPr>
        <w:t>根据《关于在政府采购活动中查询及使用信用记录有关问题的通知》(财库[2016]125号)和豫财购【2016】15号的规定，企业没有被列入“信用中国”网站的“失信被执行人”（跳转中国执行信息公开网（https://zxgk.court.gov.cn））、“重大税收违法失信主体”及“中国政府采购网站”的“政府采购严重违法失信行为记录名单”的供应商。【查询渠道：“信用中国”网站（www.creditchina.gov.cn）、中国执行信息公开网（http://zxgk.court.gov.cn）、中国政府采购网（www.ccgp.gov.cn）】，供应商须提供相关网页查询信息截图；(注：査询时间必须是招标公告发布以后开标时间以前并提供网站查询信息截图或打印页，查询结果清晰可见)；</w:t>
      </w:r>
    </w:p>
    <w:p w14:paraId="74FBD3DA">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lang w:val="en-US" w:eastAsia="zh-CN"/>
        </w:rPr>
        <w:t>本次招标实行资格后审；</w:t>
      </w:r>
    </w:p>
    <w:p w14:paraId="143CBCBC">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13.</w:t>
      </w:r>
      <w:r>
        <w:rPr>
          <w:rFonts w:hint="eastAsia" w:ascii="宋体" w:hAnsi="宋体" w:eastAsia="宋体" w:cs="宋体"/>
          <w:color w:val="auto"/>
          <w:sz w:val="24"/>
          <w:szCs w:val="24"/>
          <w:highlight w:val="none"/>
          <w:lang w:val="en-US" w:eastAsia="zh-CN"/>
        </w:rPr>
        <w:t>本项目不接受联合体投标。</w:t>
      </w:r>
    </w:p>
    <w:p w14:paraId="76E76A95">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注：被列入失信被执行人及重大税收违法失信主体的企业做无效标处理。采购人或采购代理机构有权对供应商信用记录进行甄别和复查。</w:t>
      </w:r>
    </w:p>
    <w:p w14:paraId="4289B37D">
      <w:pPr>
        <w:keepNext w:val="0"/>
        <w:keepLines w:val="0"/>
        <w:pageBreakBefore w:val="0"/>
        <w:widowControl w:val="0"/>
        <w:kinsoku/>
        <w:wordWrap w:val="0"/>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三、招标文件的获取方式 </w:t>
      </w:r>
    </w:p>
    <w:p w14:paraId="688B3121">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没有报名环节，供应商凭CA数字证书通过三门峡市公共资源交易中心网（网址：http://gzjy.smx.gov.cn/），点击交易平台选择“交易主体登录”，在所参与项目右侧点击参与投标，即可直接下载本项目招标文件及其相关资料；</w:t>
      </w:r>
    </w:p>
    <w:p w14:paraId="65B51585">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办理CA证书：http://gzjy.smx.gov.cn/bzzx/008001/20231102/4defc9b5-408e-47f2-9e9f-1f376a06ee1f.html</w:t>
      </w:r>
    </w:p>
    <w:p w14:paraId="79730E8F">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2、文件下载时间：202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07</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08</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lang w:val="en-US" w:eastAsia="zh-CN"/>
        </w:rPr>
        <w:t>00</w:t>
      </w:r>
      <w:r>
        <w:rPr>
          <w:rFonts w:hint="eastAsia" w:ascii="宋体" w:hAnsi="宋体" w:eastAsia="宋体" w:cs="宋体"/>
          <w:color w:val="auto"/>
          <w:sz w:val="24"/>
          <w:szCs w:val="24"/>
          <w:highlight w:val="none"/>
        </w:rPr>
        <w:t>时00分至202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07</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29</w:t>
      </w:r>
      <w:r>
        <w:rPr>
          <w:rFonts w:hint="eastAsia" w:ascii="宋体" w:hAnsi="宋体" w:eastAsia="宋体" w:cs="宋体"/>
          <w:color w:val="auto"/>
          <w:sz w:val="24"/>
          <w:szCs w:val="24"/>
          <w:highlight w:val="none"/>
        </w:rPr>
        <w:t>日08时40分；</w:t>
      </w:r>
    </w:p>
    <w:p w14:paraId="75C203A4">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项目为不见面开标项目。开标当日，供应商无需到开标现场参加开标会议，供应商应当在开标截止时间前，登陆不见面开标大厅选择登陆三门峡市公共资源电子招投标系统进行登陆（网址为http://120.194.249.36:10094/BidOpening/bidopeninghallaction/hall/login）,在线准时参加开标活动并进行响应文件解密等。每位供应商的解密时间为开标时间起30分钟内完成。因供应商原因未能解密、解密失败或解密超时的将被拒绝。</w:t>
      </w:r>
    </w:p>
    <w:p w14:paraId="3FCA1CC8">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4、本项目为全电子招标，不再收取招标文件费用。</w:t>
      </w:r>
    </w:p>
    <w:p w14:paraId="488B20F0">
      <w:pPr>
        <w:keepNext w:val="0"/>
        <w:keepLines w:val="0"/>
        <w:pageBreakBefore w:val="0"/>
        <w:widowControl w:val="0"/>
        <w:kinsoku/>
        <w:wordWrap w:val="0"/>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四、投标保证金</w:t>
      </w:r>
    </w:p>
    <w:p w14:paraId="03518B0D">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按照《河南省财政厅关于优化政府采购营商环境有关问题的通知》（豫财购[2019]4号文）的要求本项目不再收取投标保证金。</w:t>
      </w:r>
    </w:p>
    <w:p w14:paraId="746BEFA0">
      <w:pPr>
        <w:keepNext w:val="0"/>
        <w:keepLines w:val="0"/>
        <w:pageBreakBefore w:val="0"/>
        <w:widowControl w:val="0"/>
        <w:kinsoku/>
        <w:wordWrap w:val="0"/>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五、供应商资料的提交</w:t>
      </w:r>
    </w:p>
    <w:p w14:paraId="49BB02C6">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实行资格后审，审查内容以投标截止时间前在三门峡市公共资源交易系统上传的投标文件的信息为准。其上传资料真实性由供应商自行承担，同时，供应商需要完善主体库信息。否则，由此造成应得分而未得分或资格审查不合格等情况的，由供应商承担责任。</w:t>
      </w:r>
    </w:p>
    <w:p w14:paraId="7B6A7534">
      <w:pPr>
        <w:keepNext w:val="0"/>
        <w:keepLines w:val="0"/>
        <w:pageBreakBefore w:val="0"/>
        <w:widowControl w:val="0"/>
        <w:kinsoku/>
        <w:wordWrap w:val="0"/>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六、投标文件递交的截止时间及开评标地点：</w:t>
      </w:r>
    </w:p>
    <w:p w14:paraId="1DC9C299">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1、投标文件递交截止时间及开标时间：202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07</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日08时40分。</w:t>
      </w:r>
    </w:p>
    <w:p w14:paraId="0A80171E">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2、开标地点：卢氏县公共资源交易中心四楼第一开标室；</w:t>
      </w:r>
    </w:p>
    <w:p w14:paraId="10690663">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3、评标地点：卢氏县公共资源交易中心二楼第</w:t>
      </w:r>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rPr>
        <w:t>评标室。</w:t>
      </w:r>
    </w:p>
    <w:p w14:paraId="0C9A5A34">
      <w:pPr>
        <w:keepNext w:val="0"/>
        <w:keepLines w:val="0"/>
        <w:pageBreakBefore w:val="0"/>
        <w:widowControl w:val="0"/>
        <w:kinsoku/>
        <w:wordWrap w:val="0"/>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七、发布公告的媒介 </w:t>
      </w:r>
    </w:p>
    <w:p w14:paraId="705A0FF6">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本次招标公告同时在</w:t>
      </w:r>
      <w:r>
        <w:rPr>
          <w:rFonts w:hint="eastAsia" w:ascii="宋体" w:hAnsi="宋体" w:eastAsia="宋体" w:cs="宋体"/>
          <w:color w:val="auto"/>
          <w:sz w:val="24"/>
          <w:szCs w:val="24"/>
          <w:highlight w:val="none"/>
          <w:lang w:val="en-US" w:eastAsia="zh-CN"/>
        </w:rPr>
        <w:t>《中国采购与招标网》、《中国招标投标公共服务平台》</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《河南省政府采购网》、《三门峡市公共资源交易中心网》上发布。</w:t>
      </w:r>
    </w:p>
    <w:p w14:paraId="04639ADF">
      <w:pPr>
        <w:keepNext w:val="0"/>
        <w:keepLines w:val="0"/>
        <w:pageBreakBefore w:val="0"/>
        <w:widowControl w:val="0"/>
        <w:kinsoku/>
        <w:wordWrap w:val="0"/>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八、其他补充事宜 </w:t>
      </w:r>
    </w:p>
    <w:p w14:paraId="4E0E6E67">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1、供应商应仔细阅读操作手册，在本公告中要求的截止时间前完成网上投标文件的上传递交等工作。因供应商操作不当等问题造成的无法下载招标文件、无法投标等一切后果，由供应商自行承担；</w:t>
      </w:r>
    </w:p>
    <w:p w14:paraId="09740136">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2、投标所发生一切费用由各供应商自行承担，并承担相应的风险和责任；</w:t>
      </w:r>
    </w:p>
    <w:p w14:paraId="0B1E4A10">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3、供应商上传递交的投标文件不论中标与否均不予退还。</w:t>
      </w:r>
    </w:p>
    <w:p w14:paraId="447D38C8">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温馨提示：本项目为电子化、无纸化交易项目，开标时不再接受任何纸质资料，为保证您能投标成功，请需仔细阅读招标文件和三门峡市公共资源交易中心官网业务办理指南。</w:t>
      </w:r>
    </w:p>
    <w:p w14:paraId="41B5A38B">
      <w:pPr>
        <w:keepNext w:val="0"/>
        <w:keepLines w:val="0"/>
        <w:pageBreakBefore w:val="0"/>
        <w:widowControl w:val="0"/>
        <w:kinsoku/>
        <w:wordWrap w:val="0"/>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九、凡对本次招标提出询问，请按照以下方式联系 </w:t>
      </w:r>
    </w:p>
    <w:p w14:paraId="50012B01">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监督单位：卢氏县政府采购办公室</w:t>
      </w:r>
    </w:p>
    <w:p w14:paraId="7FDA8C45">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联系电话：0398-7863556</w:t>
      </w:r>
    </w:p>
    <w:p w14:paraId="3742A7FD">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地址：卢氏县城关镇解放路中段</w:t>
      </w:r>
    </w:p>
    <w:p w14:paraId="50216D4E">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监督单位：</w:t>
      </w:r>
      <w:r>
        <w:rPr>
          <w:rFonts w:hint="eastAsia" w:ascii="宋体" w:hAnsi="宋体" w:cs="宋体"/>
          <w:color w:val="auto"/>
          <w:sz w:val="24"/>
          <w:szCs w:val="24"/>
          <w:highlight w:val="none"/>
          <w:lang w:eastAsia="zh-CN"/>
        </w:rPr>
        <w:t>卢氏县民政局</w:t>
      </w:r>
    </w:p>
    <w:p w14:paraId="6398CFC6">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cs="宋体"/>
          <w:color w:val="auto"/>
          <w:sz w:val="24"/>
          <w:szCs w:val="24"/>
          <w:highlight w:val="none"/>
          <w:lang w:val="en-US" w:eastAsia="zh-CN"/>
        </w:rPr>
        <w:t>段志强</w:t>
      </w:r>
    </w:p>
    <w:p w14:paraId="6CB635AE">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电话：13693987598、0398-7872335</w:t>
      </w:r>
    </w:p>
    <w:p w14:paraId="5BCD5B2F">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地址：卢氏县城关镇清惠路中段</w:t>
      </w:r>
    </w:p>
    <w:p w14:paraId="60A7F255">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采购人：</w:t>
      </w:r>
      <w:r>
        <w:rPr>
          <w:rFonts w:hint="eastAsia" w:ascii="宋体" w:hAnsi="宋体" w:cs="宋体"/>
          <w:color w:val="auto"/>
          <w:sz w:val="24"/>
          <w:szCs w:val="24"/>
          <w:highlight w:val="none"/>
          <w:lang w:eastAsia="zh-CN"/>
        </w:rPr>
        <w:t>卢氏县养老服务中心</w:t>
      </w:r>
    </w:p>
    <w:p w14:paraId="3025415B">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cs="宋体"/>
          <w:color w:val="auto"/>
          <w:sz w:val="24"/>
          <w:szCs w:val="24"/>
          <w:highlight w:val="none"/>
          <w:lang w:val="en-US" w:eastAsia="zh-CN"/>
        </w:rPr>
        <w:t>杨新辉</w:t>
      </w:r>
    </w:p>
    <w:p w14:paraId="6D84DFAF">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电话：</w:t>
      </w:r>
      <w:r>
        <w:rPr>
          <w:rFonts w:hint="eastAsia" w:ascii="宋体" w:hAnsi="宋体" w:cs="宋体"/>
          <w:color w:val="auto"/>
          <w:sz w:val="24"/>
          <w:szCs w:val="24"/>
          <w:highlight w:val="none"/>
          <w:lang w:val="en-US" w:eastAsia="zh-CN"/>
        </w:rPr>
        <w:t>13938128866</w:t>
      </w:r>
    </w:p>
    <w:p w14:paraId="05D0D485">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lang w:val="en-US" w:eastAsia="zh-CN"/>
        </w:rPr>
        <w:t>卢氏县东明镇西苑路与洛北大渠交叉口东北角</w:t>
      </w:r>
    </w:p>
    <w:p w14:paraId="01C8ECBE">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采购代理机构：</w:t>
      </w:r>
      <w:r>
        <w:rPr>
          <w:rFonts w:hint="eastAsia" w:ascii="宋体" w:hAnsi="宋体" w:eastAsia="宋体" w:cs="宋体"/>
          <w:color w:val="auto"/>
          <w:sz w:val="24"/>
          <w:szCs w:val="24"/>
          <w:highlight w:val="none"/>
          <w:lang w:val="en-US" w:eastAsia="zh-CN"/>
        </w:rPr>
        <w:t>河南良智行工程管理咨询有限公司</w:t>
      </w:r>
    </w:p>
    <w:p w14:paraId="753ACB7F">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联系人：陈女士</w:t>
      </w:r>
    </w:p>
    <w:p w14:paraId="37563B14">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电话：</w:t>
      </w:r>
      <w:r>
        <w:rPr>
          <w:rFonts w:hint="eastAsia" w:ascii="宋体" w:hAnsi="宋体" w:cs="宋体"/>
          <w:color w:val="auto"/>
          <w:sz w:val="24"/>
          <w:szCs w:val="24"/>
          <w:highlight w:val="none"/>
          <w:lang w:val="en-US" w:eastAsia="zh-CN"/>
        </w:rPr>
        <w:t>15239806083、</w:t>
      </w:r>
      <w:r>
        <w:rPr>
          <w:rFonts w:hint="eastAsia" w:ascii="宋体" w:hAnsi="宋体" w:eastAsia="宋体" w:cs="宋体"/>
          <w:color w:val="auto"/>
          <w:sz w:val="24"/>
          <w:szCs w:val="24"/>
          <w:highlight w:val="none"/>
          <w:lang w:val="en-US" w:eastAsia="zh-CN"/>
        </w:rPr>
        <w:t>13323983558</w:t>
      </w:r>
    </w:p>
    <w:p w14:paraId="1C169B2A">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地址：河南省郑州市惠济区江山路西</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008乡道南弘泰小区1号楼1单元3层302号</w:t>
      </w:r>
    </w:p>
    <w:p w14:paraId="5AD3DE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napToGrid w:val="0"/>
          <w:color w:val="auto"/>
          <w:spacing w:val="0"/>
          <w:kern w:val="21"/>
          <w:sz w:val="36"/>
          <w:szCs w:val="40"/>
        </w:rPr>
      </w:pPr>
      <w:bookmarkStart w:id="5" w:name="_Toc485222550"/>
    </w:p>
    <w:p w14:paraId="049D40FA">
      <w:pPr>
        <w:rPr>
          <w:rFonts w:hint="eastAsia" w:ascii="宋体" w:hAnsi="宋体" w:eastAsia="宋体" w:cs="宋体"/>
          <w:b/>
          <w:bCs/>
          <w:snapToGrid w:val="0"/>
          <w:color w:val="auto"/>
          <w:spacing w:val="0"/>
          <w:kern w:val="21"/>
          <w:sz w:val="36"/>
          <w:szCs w:val="40"/>
        </w:rPr>
      </w:pPr>
      <w:r>
        <w:rPr>
          <w:rFonts w:hint="eastAsia" w:ascii="宋体" w:hAnsi="宋体" w:eastAsia="宋体" w:cs="宋体"/>
          <w:b/>
          <w:bCs/>
          <w:snapToGrid w:val="0"/>
          <w:color w:val="auto"/>
          <w:spacing w:val="0"/>
          <w:kern w:val="21"/>
          <w:sz w:val="36"/>
          <w:szCs w:val="40"/>
        </w:rPr>
        <w:br w:type="page"/>
      </w:r>
    </w:p>
    <w:p w14:paraId="772C15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napToGrid w:val="0"/>
          <w:color w:val="auto"/>
          <w:spacing w:val="0"/>
          <w:kern w:val="21"/>
        </w:rPr>
      </w:pPr>
      <w:r>
        <w:rPr>
          <w:rFonts w:hint="eastAsia" w:ascii="宋体" w:hAnsi="宋体" w:eastAsia="宋体" w:cs="宋体"/>
          <w:b/>
          <w:bCs/>
          <w:snapToGrid w:val="0"/>
          <w:color w:val="auto"/>
          <w:spacing w:val="0"/>
          <w:kern w:val="21"/>
          <w:sz w:val="36"/>
          <w:szCs w:val="40"/>
        </w:rPr>
        <w:t>第二</w:t>
      </w:r>
      <w:r>
        <w:rPr>
          <w:rFonts w:hint="eastAsia" w:ascii="宋体" w:hAnsi="宋体" w:eastAsia="宋体" w:cs="宋体"/>
          <w:b/>
          <w:bCs/>
          <w:snapToGrid w:val="0"/>
          <w:color w:val="auto"/>
          <w:spacing w:val="0"/>
          <w:kern w:val="21"/>
          <w:sz w:val="36"/>
          <w:szCs w:val="40"/>
          <w:lang w:val="en-US" w:eastAsia="zh-CN"/>
        </w:rPr>
        <w:t>章</w:t>
      </w:r>
      <w:r>
        <w:rPr>
          <w:rFonts w:hint="eastAsia" w:ascii="宋体" w:hAnsi="宋体" w:eastAsia="宋体" w:cs="宋体"/>
          <w:b/>
          <w:bCs/>
          <w:snapToGrid w:val="0"/>
          <w:color w:val="auto"/>
          <w:spacing w:val="0"/>
          <w:kern w:val="21"/>
          <w:sz w:val="36"/>
          <w:szCs w:val="40"/>
        </w:rPr>
        <w:t xml:space="preserve">  </w:t>
      </w:r>
      <w:r>
        <w:rPr>
          <w:rFonts w:hint="eastAsia" w:ascii="宋体" w:hAnsi="宋体" w:eastAsia="宋体" w:cs="宋体"/>
          <w:b/>
          <w:bCs/>
          <w:snapToGrid w:val="0"/>
          <w:color w:val="auto"/>
          <w:spacing w:val="0"/>
          <w:kern w:val="21"/>
          <w:sz w:val="36"/>
          <w:szCs w:val="40"/>
          <w:lang w:eastAsia="zh-CN"/>
        </w:rPr>
        <w:t>投标人</w:t>
      </w:r>
      <w:r>
        <w:rPr>
          <w:rFonts w:hint="eastAsia" w:ascii="宋体" w:hAnsi="宋体" w:eastAsia="宋体" w:cs="宋体"/>
          <w:b/>
          <w:bCs/>
          <w:snapToGrid w:val="0"/>
          <w:color w:val="auto"/>
          <w:spacing w:val="0"/>
          <w:kern w:val="21"/>
          <w:sz w:val="36"/>
          <w:szCs w:val="40"/>
        </w:rPr>
        <w:t>须知</w:t>
      </w:r>
      <w:bookmarkEnd w:id="3"/>
      <w:bookmarkEnd w:id="4"/>
      <w:bookmarkEnd w:id="5"/>
    </w:p>
    <w:p w14:paraId="2DCEB8FB">
      <w:pPr>
        <w:jc w:val="center"/>
        <w:rPr>
          <w:rFonts w:hint="eastAsia" w:ascii="宋体" w:hAnsi="宋体" w:eastAsia="宋体" w:cs="宋体"/>
          <w:b/>
          <w:bCs/>
          <w:snapToGrid w:val="0"/>
          <w:color w:val="auto"/>
          <w:spacing w:val="0"/>
          <w:kern w:val="21"/>
          <w:sz w:val="32"/>
          <w:szCs w:val="32"/>
        </w:rPr>
      </w:pPr>
      <w:bookmarkStart w:id="6" w:name="_Toc183264284"/>
      <w:r>
        <w:rPr>
          <w:rFonts w:hint="eastAsia" w:ascii="宋体" w:hAnsi="宋体" w:eastAsia="宋体" w:cs="宋体"/>
          <w:b/>
          <w:bCs/>
          <w:snapToGrid w:val="0"/>
          <w:color w:val="auto"/>
          <w:spacing w:val="0"/>
          <w:kern w:val="21"/>
          <w:sz w:val="32"/>
          <w:szCs w:val="32"/>
          <w:lang w:eastAsia="zh-CN"/>
        </w:rPr>
        <w:t>投标人</w:t>
      </w:r>
      <w:r>
        <w:rPr>
          <w:rFonts w:hint="eastAsia" w:ascii="宋体" w:hAnsi="宋体" w:eastAsia="宋体" w:cs="宋体"/>
          <w:b/>
          <w:bCs/>
          <w:snapToGrid w:val="0"/>
          <w:color w:val="auto"/>
          <w:spacing w:val="0"/>
          <w:kern w:val="21"/>
          <w:sz w:val="32"/>
          <w:szCs w:val="32"/>
        </w:rPr>
        <w:t>须知前附表</w:t>
      </w:r>
    </w:p>
    <w:tbl>
      <w:tblPr>
        <w:tblStyle w:val="17"/>
        <w:tblW w:w="9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
        <w:gridCol w:w="2105"/>
        <w:gridCol w:w="6810"/>
      </w:tblGrid>
      <w:tr w14:paraId="52ED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5E76646">
            <w:pPr>
              <w:widowControl/>
              <w:jc w:val="center"/>
              <w:rPr>
                <w:rFonts w:hint="eastAsia" w:ascii="宋体" w:hAnsi="宋体" w:eastAsia="宋体" w:cs="宋体"/>
                <w:b/>
                <w:bCs/>
                <w:snapToGrid w:val="0"/>
                <w:color w:val="auto"/>
                <w:spacing w:val="0"/>
                <w:kern w:val="21"/>
                <w:szCs w:val="21"/>
                <w:highlight w:val="none"/>
              </w:rPr>
            </w:pPr>
            <w:r>
              <w:rPr>
                <w:rFonts w:hint="eastAsia" w:ascii="宋体" w:hAnsi="宋体" w:eastAsia="宋体" w:cs="宋体"/>
                <w:b/>
                <w:bCs/>
                <w:snapToGrid w:val="0"/>
                <w:color w:val="auto"/>
                <w:spacing w:val="0"/>
                <w:kern w:val="21"/>
                <w:szCs w:val="21"/>
                <w:highlight w:val="none"/>
              </w:rPr>
              <w:t>序号</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38F58EE2">
            <w:pPr>
              <w:widowControl/>
              <w:jc w:val="center"/>
              <w:rPr>
                <w:rFonts w:hint="eastAsia" w:ascii="宋体" w:hAnsi="宋体" w:eastAsia="宋体" w:cs="宋体"/>
                <w:b/>
                <w:bCs/>
                <w:snapToGrid w:val="0"/>
                <w:color w:val="auto"/>
                <w:spacing w:val="0"/>
                <w:kern w:val="21"/>
                <w:szCs w:val="21"/>
                <w:highlight w:val="none"/>
              </w:rPr>
            </w:pPr>
            <w:r>
              <w:rPr>
                <w:rFonts w:hint="eastAsia" w:ascii="宋体" w:hAnsi="宋体" w:eastAsia="宋体" w:cs="宋体"/>
                <w:b/>
                <w:bCs/>
                <w:snapToGrid w:val="0"/>
                <w:color w:val="auto"/>
                <w:spacing w:val="0"/>
                <w:kern w:val="21"/>
                <w:szCs w:val="21"/>
                <w:highlight w:val="none"/>
              </w:rPr>
              <w:t>条款名称</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35255B42">
            <w:pPr>
              <w:widowControl/>
              <w:jc w:val="center"/>
              <w:rPr>
                <w:rFonts w:hint="eastAsia" w:ascii="宋体" w:hAnsi="宋体" w:eastAsia="宋体" w:cs="宋体"/>
                <w:b/>
                <w:bCs/>
                <w:snapToGrid w:val="0"/>
                <w:color w:val="auto"/>
                <w:spacing w:val="0"/>
                <w:kern w:val="21"/>
                <w:szCs w:val="21"/>
                <w:highlight w:val="none"/>
              </w:rPr>
            </w:pPr>
            <w:r>
              <w:rPr>
                <w:rFonts w:hint="eastAsia" w:ascii="宋体" w:hAnsi="宋体" w:eastAsia="宋体" w:cs="宋体"/>
                <w:b/>
                <w:bCs/>
                <w:snapToGrid w:val="0"/>
                <w:color w:val="auto"/>
                <w:spacing w:val="0"/>
                <w:kern w:val="21"/>
                <w:szCs w:val="21"/>
                <w:highlight w:val="none"/>
              </w:rPr>
              <w:t>编列内容</w:t>
            </w:r>
          </w:p>
        </w:tc>
      </w:tr>
      <w:tr w14:paraId="7460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EEFFEB1">
            <w:pPr>
              <w:pStyle w:val="22"/>
              <w:spacing w:before="78" w:line="184" w:lineRule="auto"/>
              <w:jc w:val="center"/>
              <w:rPr>
                <w:rFonts w:hint="eastAsia" w:ascii="宋体" w:hAnsi="宋体" w:eastAsia="宋体" w:cs="宋体"/>
                <w:b/>
                <w:bCs/>
                <w:snapToGrid w:val="0"/>
                <w:color w:val="auto"/>
                <w:spacing w:val="0"/>
                <w:kern w:val="21"/>
                <w:sz w:val="21"/>
                <w:szCs w:val="21"/>
                <w:highlight w:val="none"/>
                <w:lang w:val="en-US" w:eastAsia="zh-CN"/>
              </w:rPr>
            </w:pPr>
            <w:r>
              <w:rPr>
                <w:rFonts w:hint="eastAsia" w:ascii="宋体" w:hAnsi="宋体" w:eastAsia="宋体" w:cs="宋体"/>
                <w:color w:val="auto"/>
                <w:spacing w:val="0"/>
                <w:highlight w:val="none"/>
              </w:rPr>
              <w:t>1</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00B77F6">
            <w:pPr>
              <w:widowControl/>
              <w:jc w:val="center"/>
              <w:rPr>
                <w:rFonts w:hint="eastAsia" w:ascii="宋体" w:hAnsi="宋体" w:eastAsia="宋体" w:cs="宋体"/>
                <w:snapToGrid w:val="0"/>
                <w:color w:val="auto"/>
                <w:spacing w:val="0"/>
                <w:kern w:val="21"/>
                <w:sz w:val="21"/>
                <w:szCs w:val="21"/>
                <w:highlight w:val="none"/>
                <w:lang w:val="en-US" w:eastAsia="zh-CN" w:bidi="ar-SA"/>
              </w:rPr>
            </w:pPr>
            <w:r>
              <w:rPr>
                <w:rFonts w:hint="eastAsia" w:ascii="宋体" w:hAnsi="宋体" w:eastAsia="宋体" w:cs="宋体"/>
                <w:snapToGrid w:val="0"/>
                <w:color w:val="auto"/>
                <w:spacing w:val="0"/>
                <w:kern w:val="21"/>
                <w:szCs w:val="21"/>
                <w:highlight w:val="none"/>
                <w:lang w:val="en-US" w:eastAsia="zh-CN"/>
              </w:rPr>
              <w:t>采购人</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74E8FED3">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采购人：卢氏县养老服务中心</w:t>
            </w:r>
          </w:p>
          <w:p w14:paraId="4D2A4141">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联系人：杨新辉</w:t>
            </w:r>
          </w:p>
          <w:p w14:paraId="06EEAC13">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电话：13938128866</w:t>
            </w:r>
          </w:p>
          <w:p w14:paraId="7CFFB916">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地址：卢氏县东明镇西苑路与洛北大渠交叉口东北角</w:t>
            </w:r>
          </w:p>
        </w:tc>
      </w:tr>
      <w:tr w14:paraId="0D76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F6C49F9">
            <w:pPr>
              <w:widowControl/>
              <w:jc w:val="center"/>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2</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D8B9B50">
            <w:pPr>
              <w:widowControl/>
              <w:jc w:val="center"/>
              <w:rPr>
                <w:rFonts w:hint="eastAsia" w:ascii="宋体" w:hAnsi="宋体" w:eastAsia="宋体" w:cs="宋体"/>
                <w:b/>
                <w:bCs/>
                <w:snapToGrid w:val="0"/>
                <w:color w:val="auto"/>
                <w:spacing w:val="0"/>
                <w:kern w:val="21"/>
                <w:sz w:val="21"/>
                <w:szCs w:val="21"/>
                <w:highlight w:val="none"/>
                <w:lang w:val="en-US" w:eastAsia="en-US" w:bidi="ar-SA"/>
              </w:rPr>
            </w:pPr>
            <w:r>
              <w:rPr>
                <w:rFonts w:hint="eastAsia" w:ascii="宋体" w:hAnsi="宋体" w:eastAsia="宋体" w:cs="宋体"/>
                <w:snapToGrid w:val="0"/>
                <w:color w:val="auto"/>
                <w:spacing w:val="0"/>
                <w:kern w:val="21"/>
                <w:szCs w:val="21"/>
                <w:highlight w:val="none"/>
                <w:lang w:val="en-US" w:eastAsia="zh-CN"/>
              </w:rPr>
              <w:t>监督单位</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374B164C">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监督单位：卢氏县政府采购办公室</w:t>
            </w:r>
          </w:p>
          <w:p w14:paraId="697E29B6">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联系电话：0398-7863556</w:t>
            </w:r>
          </w:p>
          <w:p w14:paraId="54D0D605">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地址：卢氏县城关镇解放路中段</w:t>
            </w:r>
          </w:p>
          <w:p w14:paraId="4EBE89AD">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监督单位：卢氏县民政局</w:t>
            </w:r>
          </w:p>
          <w:p w14:paraId="65205320">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联系人：段志强</w:t>
            </w:r>
          </w:p>
          <w:p w14:paraId="68135228">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电话：13693987598、0398-7872335</w:t>
            </w:r>
          </w:p>
          <w:p w14:paraId="50666B48">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地址：卢氏县城关镇清惠路中段</w:t>
            </w:r>
          </w:p>
        </w:tc>
      </w:tr>
      <w:tr w14:paraId="6715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1920BE0A">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7A4B3DE9">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采购</w:t>
            </w:r>
            <w:r>
              <w:rPr>
                <w:rFonts w:hint="eastAsia" w:ascii="宋体" w:hAnsi="宋体" w:eastAsia="宋体" w:cs="宋体"/>
                <w:snapToGrid w:val="0"/>
                <w:color w:val="auto"/>
                <w:spacing w:val="0"/>
                <w:kern w:val="21"/>
                <w:szCs w:val="21"/>
                <w:highlight w:val="none"/>
              </w:rPr>
              <w:t>代理机构</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2B86E3AB">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rPr>
              <w:t>采购代理机构：</w:t>
            </w:r>
            <w:r>
              <w:rPr>
                <w:rFonts w:hint="eastAsia" w:ascii="宋体" w:hAnsi="宋体" w:eastAsia="宋体" w:cs="宋体"/>
                <w:snapToGrid w:val="0"/>
                <w:color w:val="auto"/>
                <w:spacing w:val="0"/>
                <w:kern w:val="21"/>
                <w:szCs w:val="21"/>
                <w:highlight w:val="none"/>
                <w:lang w:val="en-US" w:eastAsia="zh-CN"/>
              </w:rPr>
              <w:t>河南良智行工程管理咨询有限公司</w:t>
            </w:r>
          </w:p>
          <w:p w14:paraId="5D65EC0A">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联系人：陈女士</w:t>
            </w:r>
          </w:p>
          <w:p w14:paraId="011B8F59">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电话：15239806083</w:t>
            </w:r>
            <w:r>
              <w:rPr>
                <w:rFonts w:hint="eastAsia" w:ascii="宋体" w:hAnsi="宋体" w:cs="宋体"/>
                <w:snapToGrid w:val="0"/>
                <w:color w:val="auto"/>
                <w:spacing w:val="0"/>
                <w:kern w:val="21"/>
                <w:szCs w:val="21"/>
                <w:highlight w:val="none"/>
                <w:lang w:val="en-US" w:eastAsia="zh-CN"/>
              </w:rPr>
              <w:t>、</w:t>
            </w:r>
            <w:r>
              <w:rPr>
                <w:rFonts w:hint="eastAsia" w:ascii="宋体" w:hAnsi="宋体" w:eastAsia="宋体" w:cs="宋体"/>
                <w:snapToGrid w:val="0"/>
                <w:color w:val="auto"/>
                <w:spacing w:val="0"/>
                <w:kern w:val="21"/>
                <w:szCs w:val="21"/>
                <w:highlight w:val="none"/>
                <w:lang w:val="en-US" w:eastAsia="zh-CN"/>
              </w:rPr>
              <w:t>13323983558</w:t>
            </w:r>
          </w:p>
          <w:p w14:paraId="0E3221E9">
            <w:pPr>
              <w:widowControl/>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地址：河南省郑州市惠济区江山路西、008乡道南弘泰小区1号楼1单元3层302号</w:t>
            </w:r>
          </w:p>
        </w:tc>
      </w:tr>
      <w:tr w14:paraId="41BEA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60A2DC9">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4</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0BCD16D3">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项目名称</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615A2C71">
            <w:pPr>
              <w:widowControl/>
              <w:rPr>
                <w:rFonts w:hint="eastAsia" w:ascii="宋体" w:hAnsi="宋体" w:eastAsia="宋体" w:cs="宋体"/>
                <w:snapToGrid w:val="0"/>
                <w:color w:val="auto"/>
                <w:spacing w:val="0"/>
                <w:kern w:val="21"/>
                <w:szCs w:val="21"/>
                <w:highlight w:val="none"/>
                <w:lang w:eastAsia="zh-CN"/>
              </w:rPr>
            </w:pPr>
            <w:r>
              <w:rPr>
                <w:rFonts w:hint="eastAsia" w:ascii="宋体" w:hAnsi="宋体" w:cs="宋体"/>
                <w:snapToGrid w:val="0"/>
                <w:color w:val="auto"/>
                <w:spacing w:val="0"/>
                <w:kern w:val="21"/>
                <w:szCs w:val="21"/>
                <w:highlight w:val="none"/>
                <w:lang w:eastAsia="zh-CN"/>
              </w:rPr>
              <w:t>卢氏县养老服务中心2026-2027年度集中供养人员餐厅食材采购项目</w:t>
            </w:r>
          </w:p>
        </w:tc>
      </w:tr>
      <w:tr w14:paraId="7AA8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79AC5DB4">
            <w:pPr>
              <w:widowControl/>
              <w:jc w:val="center"/>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lang w:val="en-US" w:eastAsia="zh-CN"/>
              </w:rPr>
              <w:t>5</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F6C81BB">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标段划分</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3BF219D9">
            <w:pPr>
              <w:widowControl/>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本项目共分为</w:t>
            </w:r>
            <w:r>
              <w:rPr>
                <w:rFonts w:hint="eastAsia" w:ascii="宋体" w:hAnsi="宋体" w:cs="宋体"/>
                <w:snapToGrid w:val="0"/>
                <w:color w:val="auto"/>
                <w:spacing w:val="0"/>
                <w:kern w:val="21"/>
                <w:szCs w:val="21"/>
                <w:highlight w:val="none"/>
                <w:lang w:val="en-US" w:eastAsia="zh-CN"/>
              </w:rPr>
              <w:t>1</w:t>
            </w:r>
            <w:r>
              <w:rPr>
                <w:rFonts w:hint="eastAsia" w:ascii="宋体" w:hAnsi="宋体" w:eastAsia="宋体" w:cs="宋体"/>
                <w:snapToGrid w:val="0"/>
                <w:color w:val="auto"/>
                <w:spacing w:val="0"/>
                <w:kern w:val="21"/>
                <w:szCs w:val="21"/>
                <w:highlight w:val="none"/>
              </w:rPr>
              <w:t>个标段</w:t>
            </w:r>
          </w:p>
        </w:tc>
      </w:tr>
      <w:tr w14:paraId="2F2A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69F97D28">
            <w:pPr>
              <w:widowControl/>
              <w:jc w:val="center"/>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lang w:val="en-US" w:eastAsia="zh-CN"/>
              </w:rPr>
              <w:t>6</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310D5468">
            <w:pPr>
              <w:widowControl/>
              <w:jc w:val="center"/>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rPr>
              <w:t>采购内容</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7FD42644">
            <w:pPr>
              <w:widowControl/>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本项目</w:t>
            </w:r>
            <w:r>
              <w:rPr>
                <w:rFonts w:hint="eastAsia" w:ascii="宋体" w:hAnsi="宋体" w:eastAsia="宋体" w:cs="宋体"/>
                <w:snapToGrid w:val="0"/>
                <w:color w:val="auto"/>
                <w:spacing w:val="0"/>
                <w:kern w:val="21"/>
                <w:szCs w:val="21"/>
                <w:highlight w:val="none"/>
                <w:lang w:val="en-US" w:eastAsia="zh-CN"/>
              </w:rPr>
              <w:t>采购内容</w:t>
            </w:r>
            <w:r>
              <w:rPr>
                <w:rFonts w:hint="eastAsia" w:ascii="宋体" w:hAnsi="宋体" w:eastAsia="宋体" w:cs="宋体"/>
                <w:snapToGrid w:val="0"/>
                <w:color w:val="auto"/>
                <w:spacing w:val="0"/>
                <w:kern w:val="21"/>
                <w:szCs w:val="21"/>
                <w:highlight w:val="none"/>
              </w:rPr>
              <w:t>为</w:t>
            </w:r>
            <w:r>
              <w:rPr>
                <w:rFonts w:hint="eastAsia" w:ascii="宋体" w:hAnsi="宋体" w:eastAsia="宋体" w:cs="宋体"/>
                <w:snapToGrid w:val="0"/>
                <w:color w:val="auto"/>
                <w:spacing w:val="0"/>
                <w:kern w:val="21"/>
                <w:szCs w:val="21"/>
                <w:highlight w:val="none"/>
                <w:lang w:val="en-US" w:eastAsia="zh-CN"/>
              </w:rPr>
              <w:t>特困</w:t>
            </w:r>
            <w:r>
              <w:rPr>
                <w:rFonts w:hint="eastAsia" w:ascii="宋体" w:hAnsi="宋体" w:eastAsia="宋体" w:cs="宋体"/>
                <w:snapToGrid w:val="0"/>
                <w:color w:val="auto"/>
                <w:spacing w:val="0"/>
                <w:kern w:val="21"/>
                <w:szCs w:val="21"/>
                <w:highlight w:val="none"/>
                <w:lang w:eastAsia="zh-CN"/>
              </w:rPr>
              <w:t>集中供养人员餐厅食材采购</w:t>
            </w:r>
            <w:r>
              <w:rPr>
                <w:rFonts w:hint="eastAsia" w:ascii="宋体" w:hAnsi="宋体" w:eastAsia="宋体" w:cs="宋体"/>
                <w:snapToGrid w:val="0"/>
                <w:color w:val="auto"/>
                <w:spacing w:val="0"/>
                <w:kern w:val="21"/>
                <w:szCs w:val="21"/>
                <w:highlight w:val="none"/>
              </w:rPr>
              <w:t>原材料大米、面粉、食用油、干面条、杂粮、猪肉、牛羊肉、鸡肉等肉类、干货、副食、蔬菜、调料等供应服务</w:t>
            </w:r>
          </w:p>
        </w:tc>
      </w:tr>
      <w:tr w14:paraId="2B63B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C1F97A1">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7</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35ABB90C">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招标范围</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14E52B36">
            <w:pPr>
              <w:widowControl/>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招标</w:t>
            </w:r>
            <w:r>
              <w:rPr>
                <w:rFonts w:hint="eastAsia" w:ascii="宋体" w:hAnsi="宋体" w:eastAsia="宋体" w:cs="宋体"/>
                <w:snapToGrid w:val="0"/>
                <w:color w:val="auto"/>
                <w:spacing w:val="0"/>
                <w:kern w:val="21"/>
                <w:szCs w:val="21"/>
                <w:highlight w:val="none"/>
              </w:rPr>
              <w:t>文件及答疑、澄清文件的所有内容</w:t>
            </w:r>
          </w:p>
        </w:tc>
      </w:tr>
      <w:tr w14:paraId="5CE3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68E56201">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8</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5E5F8F5">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资金来源</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1869B788">
            <w:pPr>
              <w:widowControl/>
              <w:rPr>
                <w:rFonts w:hint="default"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财政资金，已落实</w:t>
            </w:r>
          </w:p>
        </w:tc>
      </w:tr>
      <w:tr w14:paraId="6FC92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A36E156">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9</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D09A784">
            <w:pPr>
              <w:widowControl/>
              <w:jc w:val="center"/>
              <w:rPr>
                <w:rFonts w:hint="default" w:ascii="宋体" w:hAnsi="宋体" w:eastAsia="宋体" w:cs="宋体"/>
                <w:snapToGrid w:val="0"/>
                <w:color w:val="auto"/>
                <w:spacing w:val="0"/>
                <w:kern w:val="21"/>
                <w:szCs w:val="21"/>
                <w:highlight w:val="none"/>
                <w:lang w:val="en-US" w:eastAsia="zh-CN"/>
              </w:rPr>
            </w:pPr>
            <w:r>
              <w:rPr>
                <w:rFonts w:hint="eastAsia" w:ascii="宋体" w:hAnsi="宋体" w:cs="宋体"/>
                <w:snapToGrid w:val="0"/>
                <w:color w:val="auto"/>
                <w:spacing w:val="0"/>
                <w:kern w:val="21"/>
                <w:szCs w:val="21"/>
                <w:highlight w:val="none"/>
                <w:lang w:val="en-US" w:eastAsia="zh-CN"/>
              </w:rPr>
              <w:t>配送地点</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310AC51B">
            <w:pPr>
              <w:widowControl/>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卢氏县五里川镇养老院、朱阳关镇养老院、瓦窑沟乡养老院、杜关镇养老院、石龙头重度残疾供养中心、兴贤里特困供养中心</w:t>
            </w:r>
          </w:p>
        </w:tc>
      </w:tr>
      <w:tr w14:paraId="0BDF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DB1B9D0">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10</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72D113FD">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供货时间</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320D41B8">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合同签订后</w:t>
            </w:r>
            <w:r>
              <w:rPr>
                <w:rFonts w:hint="eastAsia" w:ascii="宋体" w:hAnsi="宋体" w:cs="宋体"/>
                <w:snapToGrid w:val="0"/>
                <w:color w:val="auto"/>
                <w:spacing w:val="0"/>
                <w:kern w:val="21"/>
                <w:szCs w:val="21"/>
                <w:highlight w:val="none"/>
                <w:lang w:val="en-US" w:eastAsia="zh-CN"/>
              </w:rPr>
              <w:t>2</w:t>
            </w:r>
            <w:r>
              <w:rPr>
                <w:rFonts w:hint="eastAsia" w:ascii="宋体" w:hAnsi="宋体" w:eastAsia="宋体" w:cs="宋体"/>
                <w:snapToGrid w:val="0"/>
                <w:color w:val="auto"/>
                <w:spacing w:val="0"/>
                <w:kern w:val="21"/>
                <w:szCs w:val="21"/>
                <w:highlight w:val="none"/>
                <w:lang w:val="en-US" w:eastAsia="zh-CN"/>
              </w:rPr>
              <w:t>日历天内开始供货</w:t>
            </w:r>
          </w:p>
        </w:tc>
      </w:tr>
      <w:tr w14:paraId="20DFA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0B3E90F3">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11</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7932FDB">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服务周期</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4A3BC681">
            <w:pPr>
              <w:widowControl/>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合同签订后1年</w:t>
            </w:r>
          </w:p>
        </w:tc>
      </w:tr>
      <w:tr w14:paraId="1EF1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19318573">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12</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5CA9DDEB">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质量标准</w:t>
            </w:r>
          </w:p>
        </w:tc>
        <w:tc>
          <w:tcPr>
            <w:tcW w:w="6810" w:type="dxa"/>
            <w:tcBorders>
              <w:top w:val="single" w:color="auto" w:sz="4" w:space="0"/>
              <w:left w:val="single" w:color="auto" w:sz="4" w:space="0"/>
              <w:bottom w:val="single" w:color="auto" w:sz="4" w:space="0"/>
              <w:right w:val="single" w:color="auto" w:sz="4" w:space="0"/>
            </w:tcBorders>
            <w:noWrap w:val="0"/>
            <w:vAlign w:val="bottom"/>
          </w:tcPr>
          <w:p w14:paraId="12DB4D22">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b w:val="0"/>
                <w:bCs w:val="0"/>
                <w:snapToGrid w:val="0"/>
                <w:color w:val="auto"/>
                <w:spacing w:val="0"/>
                <w:kern w:val="21"/>
                <w:szCs w:val="21"/>
                <w:highlight w:val="none"/>
              </w:rPr>
              <w:t>产品质量合格，符合国家及行业相关食品卫生安全要求，且符合采购人要求。</w:t>
            </w:r>
          </w:p>
        </w:tc>
      </w:tr>
      <w:tr w14:paraId="73B64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39CD818">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13</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750FEAEE">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供应商资格</w:t>
            </w:r>
            <w:r>
              <w:rPr>
                <w:rFonts w:hint="eastAsia" w:ascii="宋体" w:hAnsi="宋体" w:eastAsia="宋体" w:cs="宋体"/>
                <w:snapToGrid w:val="0"/>
                <w:color w:val="auto"/>
                <w:spacing w:val="0"/>
                <w:kern w:val="21"/>
                <w:szCs w:val="21"/>
                <w:highlight w:val="none"/>
              </w:rPr>
              <w:t>条件</w:t>
            </w:r>
          </w:p>
        </w:tc>
        <w:tc>
          <w:tcPr>
            <w:tcW w:w="6810" w:type="dxa"/>
            <w:tcBorders>
              <w:top w:val="single" w:color="auto" w:sz="4" w:space="0"/>
              <w:left w:val="single" w:color="auto" w:sz="4" w:space="0"/>
              <w:bottom w:val="single" w:color="auto" w:sz="4" w:space="0"/>
              <w:right w:val="single" w:color="auto" w:sz="4" w:space="0"/>
            </w:tcBorders>
            <w:noWrap w:val="0"/>
            <w:vAlign w:val="top"/>
          </w:tcPr>
          <w:p w14:paraId="19F4501E">
            <w:pPr>
              <w:widowControl/>
              <w:jc w:val="left"/>
              <w:rPr>
                <w:rFonts w:hint="default" w:ascii="宋体" w:hAnsi="宋体" w:eastAsia="宋体" w:cs="宋体"/>
                <w:snapToGrid w:val="0"/>
                <w:color w:val="auto"/>
                <w:spacing w:val="0"/>
                <w:kern w:val="21"/>
                <w:szCs w:val="21"/>
                <w:highlight w:val="none"/>
                <w:lang w:val="en-US" w:eastAsia="zh-CN"/>
              </w:rPr>
            </w:pPr>
            <w:r>
              <w:rPr>
                <w:rFonts w:hint="eastAsia" w:ascii="宋体" w:hAnsi="宋体" w:cs="宋体"/>
                <w:snapToGrid w:val="0"/>
                <w:color w:val="auto"/>
                <w:spacing w:val="0"/>
                <w:kern w:val="21"/>
                <w:szCs w:val="21"/>
                <w:highlight w:val="none"/>
                <w:lang w:val="en-US" w:eastAsia="zh-CN"/>
              </w:rPr>
              <w:t>详见招标公告</w:t>
            </w:r>
          </w:p>
        </w:tc>
      </w:tr>
      <w:tr w14:paraId="66D12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ADCCA2B">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14</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79558137">
            <w:pPr>
              <w:widowControl/>
              <w:jc w:val="center"/>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rPr>
              <w:t>是否接受联合体参加</w:t>
            </w:r>
            <w:r>
              <w:rPr>
                <w:rFonts w:hint="eastAsia" w:ascii="宋体" w:hAnsi="宋体" w:eastAsia="宋体" w:cs="宋体"/>
                <w:snapToGrid w:val="0"/>
                <w:color w:val="auto"/>
                <w:spacing w:val="0"/>
                <w:kern w:val="21"/>
                <w:szCs w:val="21"/>
                <w:highlight w:val="none"/>
                <w:lang w:val="en-US" w:eastAsia="zh-CN"/>
              </w:rPr>
              <w:t>投标</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4E3CBE5A">
            <w:pPr>
              <w:widowControl/>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不接受</w:t>
            </w:r>
          </w:p>
        </w:tc>
      </w:tr>
      <w:tr w14:paraId="15682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4EDA9E7">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15</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1E44648">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踏勘现场</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233229A1">
            <w:pPr>
              <w:widowControl/>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不组织</w:t>
            </w:r>
          </w:p>
        </w:tc>
      </w:tr>
      <w:tr w14:paraId="4863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60FFC22">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16</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352B848A">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答疑会</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37F35EF2">
            <w:pPr>
              <w:widowControl/>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不召开</w:t>
            </w:r>
          </w:p>
        </w:tc>
      </w:tr>
      <w:tr w14:paraId="3C13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EE90DBE">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17</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F60C014">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分包</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414A48C4">
            <w:pPr>
              <w:widowControl/>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不允许</w:t>
            </w:r>
          </w:p>
        </w:tc>
      </w:tr>
      <w:tr w14:paraId="3BFE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4B4BF76">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18</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0E757D0">
            <w:pPr>
              <w:widowControl/>
              <w:jc w:val="center"/>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lang w:val="en-US" w:eastAsia="zh-CN"/>
              </w:rPr>
              <w:t>偏离</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2AA916F9">
            <w:pPr>
              <w:widowControl/>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不允许</w:t>
            </w:r>
          </w:p>
        </w:tc>
      </w:tr>
      <w:tr w14:paraId="37D70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FF076E0">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19</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0956541C">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是否允许递交备选方案</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6FD3EAFB">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不接受</w:t>
            </w:r>
          </w:p>
        </w:tc>
      </w:tr>
      <w:tr w14:paraId="54C0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vMerge w:val="restart"/>
            <w:tcBorders>
              <w:top w:val="single" w:color="auto" w:sz="4" w:space="0"/>
              <w:left w:val="single" w:color="auto" w:sz="4" w:space="0"/>
              <w:right w:val="single" w:color="auto" w:sz="4" w:space="0"/>
            </w:tcBorders>
            <w:noWrap w:val="0"/>
            <w:vAlign w:val="center"/>
          </w:tcPr>
          <w:p w14:paraId="79E18D03">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20</w:t>
            </w:r>
          </w:p>
        </w:tc>
        <w:tc>
          <w:tcPr>
            <w:tcW w:w="2105" w:type="dxa"/>
            <w:vMerge w:val="restart"/>
            <w:tcBorders>
              <w:top w:val="single" w:color="auto" w:sz="4" w:space="0"/>
              <w:left w:val="single" w:color="auto" w:sz="4" w:space="0"/>
              <w:right w:val="single" w:color="auto" w:sz="4" w:space="0"/>
            </w:tcBorders>
            <w:noWrap w:val="0"/>
            <w:vAlign w:val="center"/>
          </w:tcPr>
          <w:p w14:paraId="73A6D094">
            <w:pPr>
              <w:widowControl/>
              <w:jc w:val="center"/>
              <w:rPr>
                <w:rFonts w:hint="default"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rPr>
              <w:t>最高限价（招标控制价）</w:t>
            </w:r>
            <w:r>
              <w:rPr>
                <w:rFonts w:hint="eastAsia" w:ascii="宋体" w:hAnsi="宋体" w:eastAsia="宋体" w:cs="宋体"/>
                <w:snapToGrid w:val="0"/>
                <w:color w:val="auto"/>
                <w:spacing w:val="0"/>
                <w:kern w:val="21"/>
                <w:szCs w:val="21"/>
                <w:highlight w:val="none"/>
                <w:lang w:val="en-US" w:eastAsia="zh-CN"/>
              </w:rPr>
              <w:t>及投标报价要求</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5F4A3A92">
            <w:pPr>
              <w:widowControl/>
              <w:numPr>
                <w:ilvl w:val="0"/>
                <w:numId w:val="0"/>
              </w:numPr>
              <w:jc w:val="left"/>
              <w:rPr>
                <w:rFonts w:hint="eastAsia" w:ascii="宋体" w:hAnsi="宋体" w:eastAsia="宋体" w:cs="宋体"/>
                <w:b/>
                <w:bCs/>
                <w:snapToGrid w:val="0"/>
                <w:color w:val="auto"/>
                <w:spacing w:val="0"/>
                <w:kern w:val="21"/>
                <w:szCs w:val="21"/>
                <w:highlight w:val="none"/>
                <w:lang w:val="en-US" w:eastAsia="zh-CN"/>
              </w:rPr>
            </w:pPr>
            <w:r>
              <w:rPr>
                <w:rFonts w:hint="eastAsia" w:ascii="宋体" w:hAnsi="宋体" w:eastAsia="宋体" w:cs="宋体"/>
                <w:b/>
                <w:bCs/>
                <w:snapToGrid w:val="0"/>
                <w:color w:val="auto"/>
                <w:spacing w:val="0"/>
                <w:kern w:val="21"/>
                <w:szCs w:val="21"/>
                <w:highlight w:val="none"/>
                <w:lang w:val="en-US" w:eastAsia="zh-CN"/>
              </w:rPr>
              <w:t>最高限价（招标控制价）:</w:t>
            </w:r>
          </w:p>
          <w:p w14:paraId="409BAF30">
            <w:pPr>
              <w:widowControl/>
              <w:numPr>
                <w:ilvl w:val="0"/>
                <w:numId w:val="0"/>
              </w:numPr>
              <w:jc w:val="left"/>
              <w:rPr>
                <w:rFonts w:hint="default"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1、招标控制价：</w:t>
            </w:r>
            <w:r>
              <w:rPr>
                <w:rFonts w:hint="eastAsia" w:ascii="宋体" w:hAnsi="宋体" w:cs="宋体"/>
                <w:snapToGrid w:val="0"/>
                <w:color w:val="auto"/>
                <w:spacing w:val="0"/>
                <w:kern w:val="21"/>
                <w:szCs w:val="21"/>
                <w:highlight w:val="none"/>
                <w:lang w:val="en-US" w:eastAsia="zh-CN"/>
              </w:rPr>
              <w:t>277.00万元</w:t>
            </w:r>
            <w:r>
              <w:rPr>
                <w:rFonts w:hint="eastAsia" w:ascii="宋体" w:hAnsi="宋体" w:eastAsia="宋体" w:cs="宋体"/>
                <w:snapToGrid w:val="0"/>
                <w:color w:val="auto"/>
                <w:spacing w:val="0"/>
                <w:kern w:val="21"/>
                <w:szCs w:val="21"/>
                <w:highlight w:val="none"/>
                <w:lang w:val="en-US" w:eastAsia="zh-CN"/>
              </w:rPr>
              <w:t>（本预算为暂定金额，以实际采购数量为准，按照实际供货数量据实结算）</w:t>
            </w:r>
          </w:p>
          <w:p w14:paraId="221E1F24">
            <w:pPr>
              <w:widowControl/>
              <w:numPr>
                <w:ilvl w:val="0"/>
                <w:numId w:val="0"/>
              </w:numPr>
              <w:jc w:val="left"/>
              <w:rPr>
                <w:rFonts w:hint="default" w:ascii="宋体" w:hAnsi="宋体" w:eastAsia="宋体" w:cs="宋体"/>
                <w:snapToGrid w:val="0"/>
                <w:color w:val="auto"/>
                <w:spacing w:val="0"/>
                <w:kern w:val="21"/>
                <w:szCs w:val="21"/>
                <w:highlight w:val="none"/>
                <w:lang w:val="en-US"/>
              </w:rPr>
            </w:pPr>
            <w:r>
              <w:rPr>
                <w:rFonts w:hint="eastAsia" w:ascii="宋体" w:hAnsi="宋体" w:eastAsia="宋体" w:cs="宋体"/>
                <w:snapToGrid w:val="0"/>
                <w:color w:val="auto"/>
                <w:spacing w:val="0"/>
                <w:kern w:val="21"/>
                <w:szCs w:val="21"/>
                <w:highlight w:val="none"/>
                <w:lang w:val="en-US" w:eastAsia="zh-CN"/>
              </w:rPr>
              <w:t>2、供应商报价不得超出招标控制价，否则予以废标处理。若所有供应商的报价均超过招标控制价，则采购人有权重新组织采购。</w:t>
            </w:r>
          </w:p>
        </w:tc>
      </w:tr>
      <w:tr w14:paraId="75455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vMerge w:val="continue"/>
            <w:tcBorders>
              <w:left w:val="single" w:color="auto" w:sz="4" w:space="0"/>
              <w:bottom w:val="single" w:color="auto" w:sz="4" w:space="0"/>
              <w:right w:val="single" w:color="auto" w:sz="4" w:space="0"/>
            </w:tcBorders>
            <w:noWrap w:val="0"/>
            <w:vAlign w:val="center"/>
          </w:tcPr>
          <w:p w14:paraId="632234ED">
            <w:pPr>
              <w:widowControl/>
              <w:jc w:val="center"/>
              <w:rPr>
                <w:rFonts w:hint="eastAsia" w:ascii="宋体" w:hAnsi="宋体" w:eastAsia="宋体" w:cs="宋体"/>
                <w:snapToGrid w:val="0"/>
                <w:color w:val="auto"/>
                <w:spacing w:val="0"/>
                <w:kern w:val="21"/>
                <w:szCs w:val="21"/>
                <w:highlight w:val="none"/>
              </w:rPr>
            </w:pPr>
          </w:p>
        </w:tc>
        <w:tc>
          <w:tcPr>
            <w:tcW w:w="2105" w:type="dxa"/>
            <w:vMerge w:val="continue"/>
            <w:tcBorders>
              <w:left w:val="single" w:color="auto" w:sz="4" w:space="0"/>
              <w:bottom w:val="single" w:color="auto" w:sz="4" w:space="0"/>
              <w:right w:val="single" w:color="auto" w:sz="4" w:space="0"/>
            </w:tcBorders>
            <w:noWrap w:val="0"/>
            <w:vAlign w:val="center"/>
          </w:tcPr>
          <w:p w14:paraId="0F7C6981">
            <w:pPr>
              <w:widowControl/>
              <w:jc w:val="center"/>
              <w:rPr>
                <w:rFonts w:hint="eastAsia" w:ascii="宋体" w:hAnsi="宋体" w:eastAsia="宋体" w:cs="宋体"/>
                <w:snapToGrid w:val="0"/>
                <w:color w:val="auto"/>
                <w:spacing w:val="0"/>
                <w:kern w:val="21"/>
                <w:szCs w:val="21"/>
                <w:highlight w:val="none"/>
              </w:rPr>
            </w:pPr>
          </w:p>
        </w:tc>
        <w:tc>
          <w:tcPr>
            <w:tcW w:w="6810" w:type="dxa"/>
            <w:tcBorders>
              <w:top w:val="single" w:color="auto" w:sz="4" w:space="0"/>
              <w:left w:val="single" w:color="auto" w:sz="4" w:space="0"/>
              <w:bottom w:val="single" w:color="auto" w:sz="4" w:space="0"/>
              <w:right w:val="single" w:color="auto" w:sz="4" w:space="0"/>
            </w:tcBorders>
            <w:noWrap w:val="0"/>
            <w:vAlign w:val="center"/>
          </w:tcPr>
          <w:p w14:paraId="48D0B195">
            <w:pPr>
              <w:widowControl/>
              <w:numPr>
                <w:ilvl w:val="0"/>
                <w:numId w:val="0"/>
              </w:numPr>
              <w:jc w:val="left"/>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b/>
                <w:bCs/>
                <w:snapToGrid w:val="0"/>
                <w:color w:val="auto"/>
                <w:spacing w:val="0"/>
                <w:kern w:val="21"/>
                <w:szCs w:val="21"/>
                <w:highlight w:val="none"/>
                <w:lang w:val="en-US" w:eastAsia="zh-CN"/>
              </w:rPr>
              <w:t>投</w:t>
            </w:r>
            <w:r>
              <w:rPr>
                <w:rFonts w:hint="eastAsia" w:ascii="宋体" w:hAnsi="宋体" w:cs="宋体"/>
                <w:b/>
                <w:bCs/>
                <w:snapToGrid w:val="0"/>
                <w:color w:val="auto"/>
                <w:spacing w:val="0"/>
                <w:kern w:val="21"/>
                <w:szCs w:val="21"/>
                <w:highlight w:val="none"/>
                <w:lang w:val="en-US" w:eastAsia="zh-CN"/>
              </w:rPr>
              <w:t>标</w:t>
            </w:r>
            <w:r>
              <w:rPr>
                <w:rFonts w:hint="eastAsia" w:ascii="宋体" w:hAnsi="宋体" w:eastAsia="宋体" w:cs="宋体"/>
                <w:b/>
                <w:bCs/>
                <w:snapToGrid w:val="0"/>
                <w:color w:val="auto"/>
                <w:spacing w:val="0"/>
                <w:kern w:val="21"/>
                <w:szCs w:val="21"/>
                <w:highlight w:val="none"/>
                <w:lang w:val="en-US" w:eastAsia="zh-CN"/>
              </w:rPr>
              <w:t>报价的其他要求</w:t>
            </w:r>
            <w:r>
              <w:rPr>
                <w:rFonts w:hint="eastAsia" w:ascii="宋体" w:hAnsi="宋体" w:eastAsia="宋体" w:cs="宋体"/>
                <w:snapToGrid w:val="0"/>
                <w:color w:val="auto"/>
                <w:spacing w:val="0"/>
                <w:kern w:val="21"/>
                <w:szCs w:val="21"/>
                <w:highlight w:val="none"/>
                <w:lang w:val="en-US" w:eastAsia="zh-CN"/>
              </w:rPr>
              <w:t>：</w:t>
            </w:r>
          </w:p>
          <w:p w14:paraId="4F7941A9">
            <w:pPr>
              <w:widowControl/>
              <w:numPr>
                <w:ilvl w:val="0"/>
                <w:numId w:val="0"/>
              </w:numPr>
              <w:jc w:val="left"/>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1、</w:t>
            </w:r>
            <w:r>
              <w:rPr>
                <w:rFonts w:hint="eastAsia" w:ascii="宋体" w:hAnsi="宋体" w:eastAsia="宋体" w:cs="宋体"/>
                <w:b/>
                <w:bCs/>
                <w:snapToGrid w:val="0"/>
                <w:color w:val="auto"/>
                <w:spacing w:val="0"/>
                <w:kern w:val="21"/>
                <w:szCs w:val="21"/>
                <w:highlight w:val="none"/>
                <w:lang w:val="en-US" w:eastAsia="zh-CN"/>
              </w:rPr>
              <w:t>本</w:t>
            </w:r>
            <w:r>
              <w:rPr>
                <w:rFonts w:hint="eastAsia" w:ascii="宋体" w:hAnsi="宋体" w:cs="宋体"/>
                <w:b/>
                <w:bCs/>
                <w:snapToGrid w:val="0"/>
                <w:color w:val="auto"/>
                <w:spacing w:val="0"/>
                <w:kern w:val="21"/>
                <w:szCs w:val="21"/>
                <w:highlight w:val="none"/>
                <w:lang w:val="en-US" w:eastAsia="zh-CN"/>
              </w:rPr>
              <w:t>项目投标</w:t>
            </w:r>
            <w:r>
              <w:rPr>
                <w:rFonts w:hint="eastAsia" w:ascii="宋体" w:hAnsi="宋体" w:eastAsia="宋体" w:cs="宋体"/>
                <w:b/>
                <w:bCs/>
                <w:snapToGrid w:val="0"/>
                <w:color w:val="auto"/>
                <w:spacing w:val="0"/>
                <w:kern w:val="21"/>
                <w:szCs w:val="21"/>
                <w:highlight w:val="none"/>
                <w:lang w:val="en-US" w:eastAsia="zh-CN"/>
              </w:rPr>
              <w:t>供应商投标报价均按照招标控制价金额进行报价</w:t>
            </w:r>
            <w:r>
              <w:rPr>
                <w:rFonts w:hint="eastAsia" w:ascii="宋体" w:hAnsi="宋体" w:cs="宋体"/>
                <w:b/>
                <w:bCs/>
                <w:snapToGrid w:val="0"/>
                <w:color w:val="auto"/>
                <w:spacing w:val="0"/>
                <w:kern w:val="21"/>
                <w:szCs w:val="21"/>
                <w:highlight w:val="none"/>
                <w:lang w:val="en-US" w:eastAsia="zh-CN"/>
              </w:rPr>
              <w:t>(投标报价不进行分值评审)</w:t>
            </w:r>
            <w:r>
              <w:rPr>
                <w:rFonts w:hint="eastAsia" w:ascii="宋体" w:hAnsi="宋体" w:eastAsia="宋体" w:cs="宋体"/>
                <w:snapToGrid w:val="0"/>
                <w:color w:val="auto"/>
                <w:spacing w:val="0"/>
                <w:kern w:val="21"/>
                <w:szCs w:val="21"/>
                <w:highlight w:val="none"/>
                <w:lang w:val="en-US" w:eastAsia="zh-CN"/>
              </w:rPr>
              <w:t>。</w:t>
            </w:r>
          </w:p>
          <w:p w14:paraId="4D859C0D">
            <w:pPr>
              <w:widowControl/>
              <w:numPr>
                <w:ilvl w:val="0"/>
                <w:numId w:val="0"/>
              </w:numPr>
              <w:jc w:val="left"/>
              <w:rPr>
                <w:rFonts w:hint="default"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2、</w:t>
            </w:r>
            <w:r>
              <w:rPr>
                <w:rFonts w:hint="eastAsia" w:ascii="宋体" w:hAnsi="宋体" w:eastAsia="宋体" w:cs="宋体"/>
                <w:snapToGrid w:val="0"/>
                <w:color w:val="auto"/>
                <w:spacing w:val="0"/>
                <w:kern w:val="21"/>
                <w:szCs w:val="21"/>
                <w:highlight w:val="none"/>
                <w:lang w:val="en-US" w:eastAsia="zh-CN"/>
              </w:rPr>
              <w:t>供应商所报价格应包含为完成本项目所包含的食材购置费、运输费、保管费、配送费、人员工资、利润、税金等交付至各</w:t>
            </w:r>
            <w:r>
              <w:rPr>
                <w:rFonts w:hint="eastAsia" w:ascii="宋体" w:hAnsi="宋体" w:cs="宋体"/>
                <w:snapToGrid w:val="0"/>
                <w:color w:val="auto"/>
                <w:spacing w:val="0"/>
                <w:kern w:val="21"/>
                <w:szCs w:val="21"/>
                <w:highlight w:val="none"/>
                <w:lang w:val="en-US" w:eastAsia="zh-CN"/>
              </w:rPr>
              <w:t>养老院</w:t>
            </w:r>
            <w:r>
              <w:rPr>
                <w:rFonts w:hint="eastAsia" w:ascii="宋体" w:hAnsi="宋体" w:eastAsia="宋体" w:cs="宋体"/>
                <w:snapToGrid w:val="0"/>
                <w:color w:val="auto"/>
                <w:spacing w:val="0"/>
                <w:kern w:val="21"/>
                <w:szCs w:val="21"/>
                <w:highlight w:val="none"/>
                <w:lang w:val="en-US" w:eastAsia="zh-CN"/>
              </w:rPr>
              <w:t>餐厅前所发生的一切费用。</w:t>
            </w:r>
          </w:p>
          <w:p w14:paraId="384BB857">
            <w:pPr>
              <w:widowControl/>
              <w:numPr>
                <w:ilvl w:val="0"/>
                <w:numId w:val="0"/>
              </w:numPr>
              <w:jc w:val="left"/>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3、供应商投标价格不等同于本项目结算价格。</w:t>
            </w:r>
          </w:p>
          <w:p w14:paraId="07683983">
            <w:pPr>
              <w:widowControl/>
              <w:numPr>
                <w:ilvl w:val="0"/>
                <w:numId w:val="0"/>
              </w:numPr>
              <w:jc w:val="left"/>
              <w:rPr>
                <w:rFonts w:hint="eastAsia"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4、结算价款以采购人和供应商双方约定的市场询价（如县域内各大型超市和农贸批发市场等）的同期、同品质、同品种的均价</w:t>
            </w:r>
            <w:r>
              <w:rPr>
                <w:rFonts w:hint="eastAsia" w:ascii="宋体" w:hAnsi="宋体" w:cs="宋体"/>
                <w:snapToGrid w:val="0"/>
                <w:color w:val="auto"/>
                <w:spacing w:val="0"/>
                <w:kern w:val="21"/>
                <w:szCs w:val="21"/>
                <w:highlight w:val="none"/>
                <w:lang w:val="en-US" w:eastAsia="zh-CN"/>
              </w:rPr>
              <w:t>（非活动价格）</w:t>
            </w:r>
            <w:r>
              <w:rPr>
                <w:rFonts w:hint="eastAsia" w:ascii="宋体" w:hAnsi="宋体" w:eastAsia="宋体" w:cs="宋体"/>
                <w:snapToGrid w:val="0"/>
                <w:color w:val="auto"/>
                <w:spacing w:val="0"/>
                <w:kern w:val="21"/>
                <w:szCs w:val="21"/>
                <w:highlight w:val="none"/>
                <w:lang w:val="en-US" w:eastAsia="zh-CN"/>
              </w:rPr>
              <w:t>为基准价进行结算，</w:t>
            </w:r>
            <w:r>
              <w:rPr>
                <w:rFonts w:hint="eastAsia" w:ascii="宋体" w:hAnsi="宋体" w:cs="宋体"/>
                <w:snapToGrid w:val="0"/>
                <w:color w:val="auto"/>
                <w:spacing w:val="0"/>
                <w:kern w:val="21"/>
                <w:szCs w:val="21"/>
                <w:highlight w:val="none"/>
                <w:lang w:val="en-US" w:eastAsia="zh-CN"/>
              </w:rPr>
              <w:t>具体事项</w:t>
            </w:r>
            <w:r>
              <w:rPr>
                <w:rFonts w:hint="eastAsia" w:ascii="宋体" w:hAnsi="宋体" w:eastAsia="宋体" w:cs="宋体"/>
                <w:snapToGrid w:val="0"/>
                <w:color w:val="auto"/>
                <w:spacing w:val="0"/>
                <w:kern w:val="21"/>
                <w:szCs w:val="21"/>
                <w:highlight w:val="none"/>
                <w:lang w:val="en-US" w:eastAsia="zh-CN"/>
              </w:rPr>
              <w:t>由采购人和供应商在签订合同时商定。</w:t>
            </w:r>
          </w:p>
          <w:p w14:paraId="3B10908C">
            <w:pPr>
              <w:widowControl/>
              <w:numPr>
                <w:ilvl w:val="0"/>
                <w:numId w:val="0"/>
              </w:numPr>
              <w:jc w:val="left"/>
              <w:rPr>
                <w:rFonts w:hint="default"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5、最终结算价款以供应数量为准进行结算。</w:t>
            </w:r>
          </w:p>
        </w:tc>
      </w:tr>
      <w:tr w14:paraId="1E071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vMerge w:val="restart"/>
            <w:tcBorders>
              <w:top w:val="single" w:color="auto" w:sz="4" w:space="0"/>
              <w:left w:val="single" w:color="auto" w:sz="4" w:space="0"/>
              <w:bottom w:val="single" w:color="auto" w:sz="4" w:space="0"/>
              <w:right w:val="single" w:color="auto" w:sz="4" w:space="0"/>
            </w:tcBorders>
            <w:noWrap w:val="0"/>
            <w:vAlign w:val="center"/>
          </w:tcPr>
          <w:p w14:paraId="762BBFAA">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21</w:t>
            </w:r>
          </w:p>
        </w:tc>
        <w:tc>
          <w:tcPr>
            <w:tcW w:w="2105" w:type="dxa"/>
            <w:vMerge w:val="restart"/>
            <w:tcBorders>
              <w:top w:val="single" w:color="auto" w:sz="4" w:space="0"/>
              <w:left w:val="single" w:color="auto" w:sz="4" w:space="0"/>
              <w:bottom w:val="single" w:color="auto" w:sz="4" w:space="0"/>
              <w:right w:val="single" w:color="auto" w:sz="4" w:space="0"/>
            </w:tcBorders>
            <w:noWrap w:val="0"/>
            <w:vAlign w:val="center"/>
          </w:tcPr>
          <w:p w14:paraId="2277FCA1">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eastAsia="zh-CN"/>
              </w:rPr>
              <w:t>采购人</w:t>
            </w:r>
            <w:r>
              <w:rPr>
                <w:rFonts w:hint="eastAsia" w:ascii="宋体" w:hAnsi="宋体" w:eastAsia="宋体" w:cs="宋体"/>
                <w:snapToGrid w:val="0"/>
                <w:color w:val="auto"/>
                <w:spacing w:val="0"/>
                <w:kern w:val="21"/>
                <w:szCs w:val="21"/>
                <w:highlight w:val="none"/>
              </w:rPr>
              <w:t>书面澄清的时间</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28130607">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时间：提交首次</w:t>
            </w:r>
            <w:r>
              <w:rPr>
                <w:rFonts w:hint="eastAsia" w:ascii="宋体" w:hAnsi="宋体" w:eastAsia="宋体" w:cs="宋体"/>
                <w:snapToGrid w:val="0"/>
                <w:color w:val="auto"/>
                <w:spacing w:val="0"/>
                <w:kern w:val="21"/>
                <w:szCs w:val="21"/>
                <w:highlight w:val="none"/>
                <w:lang w:val="en-US" w:eastAsia="zh-CN"/>
              </w:rPr>
              <w:t>投标</w:t>
            </w:r>
            <w:r>
              <w:rPr>
                <w:rFonts w:hint="eastAsia" w:ascii="宋体" w:hAnsi="宋体" w:eastAsia="宋体" w:cs="宋体"/>
                <w:snapToGrid w:val="0"/>
                <w:color w:val="auto"/>
                <w:spacing w:val="0"/>
                <w:kern w:val="21"/>
                <w:szCs w:val="21"/>
                <w:highlight w:val="none"/>
              </w:rPr>
              <w:t>文件截止时间前</w:t>
            </w:r>
            <w:r>
              <w:rPr>
                <w:rFonts w:hint="eastAsia" w:ascii="宋体" w:hAnsi="宋体" w:eastAsia="宋体" w:cs="宋体"/>
                <w:snapToGrid w:val="0"/>
                <w:color w:val="auto"/>
                <w:spacing w:val="0"/>
                <w:kern w:val="21"/>
                <w:szCs w:val="21"/>
                <w:highlight w:val="none"/>
                <w:lang w:val="en-US" w:eastAsia="zh-CN"/>
              </w:rPr>
              <w:t>10</w:t>
            </w:r>
            <w:r>
              <w:rPr>
                <w:rFonts w:hint="eastAsia" w:ascii="宋体" w:hAnsi="宋体" w:eastAsia="宋体" w:cs="宋体"/>
                <w:snapToGrid w:val="0"/>
                <w:color w:val="auto"/>
                <w:spacing w:val="0"/>
                <w:kern w:val="21"/>
                <w:szCs w:val="21"/>
                <w:highlight w:val="none"/>
              </w:rPr>
              <w:t>日</w:t>
            </w:r>
          </w:p>
        </w:tc>
      </w:tr>
      <w:tr w14:paraId="4F96D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vMerge w:val="continue"/>
            <w:tcBorders>
              <w:top w:val="single" w:color="auto" w:sz="4" w:space="0"/>
              <w:left w:val="single" w:color="auto" w:sz="4" w:space="0"/>
              <w:bottom w:val="single" w:color="auto" w:sz="4" w:space="0"/>
              <w:right w:val="single" w:color="auto" w:sz="4" w:space="0"/>
            </w:tcBorders>
            <w:noWrap w:val="0"/>
            <w:vAlign w:val="center"/>
          </w:tcPr>
          <w:p w14:paraId="1EE02587">
            <w:pPr>
              <w:widowControl/>
              <w:jc w:val="center"/>
              <w:rPr>
                <w:rFonts w:hint="eastAsia" w:ascii="宋体" w:hAnsi="宋体" w:eastAsia="宋体" w:cs="宋体"/>
                <w:snapToGrid w:val="0"/>
                <w:color w:val="auto"/>
                <w:spacing w:val="0"/>
                <w:kern w:val="21"/>
                <w:szCs w:val="21"/>
                <w:highlight w:val="none"/>
              </w:rPr>
            </w:pPr>
          </w:p>
        </w:tc>
        <w:tc>
          <w:tcPr>
            <w:tcW w:w="2105" w:type="dxa"/>
            <w:vMerge w:val="continue"/>
            <w:tcBorders>
              <w:top w:val="single" w:color="auto" w:sz="4" w:space="0"/>
              <w:left w:val="single" w:color="auto" w:sz="4" w:space="0"/>
              <w:bottom w:val="single" w:color="auto" w:sz="4" w:space="0"/>
              <w:right w:val="single" w:color="auto" w:sz="4" w:space="0"/>
            </w:tcBorders>
            <w:noWrap w:val="0"/>
            <w:vAlign w:val="center"/>
          </w:tcPr>
          <w:p w14:paraId="7FEC88ED">
            <w:pPr>
              <w:widowControl/>
              <w:jc w:val="center"/>
              <w:rPr>
                <w:rFonts w:hint="eastAsia" w:ascii="宋体" w:hAnsi="宋体" w:eastAsia="宋体" w:cs="宋体"/>
                <w:snapToGrid w:val="0"/>
                <w:color w:val="auto"/>
                <w:spacing w:val="0"/>
                <w:kern w:val="21"/>
                <w:szCs w:val="21"/>
                <w:highlight w:val="none"/>
              </w:rPr>
            </w:pPr>
          </w:p>
        </w:tc>
        <w:tc>
          <w:tcPr>
            <w:tcW w:w="6810" w:type="dxa"/>
            <w:tcBorders>
              <w:top w:val="single" w:color="auto" w:sz="4" w:space="0"/>
              <w:left w:val="single" w:color="auto" w:sz="4" w:space="0"/>
              <w:bottom w:val="single" w:color="auto" w:sz="4" w:space="0"/>
              <w:right w:val="single" w:color="auto" w:sz="4" w:space="0"/>
            </w:tcBorders>
            <w:noWrap w:val="0"/>
            <w:vAlign w:val="center"/>
          </w:tcPr>
          <w:p w14:paraId="69071C9C">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形式：在三门峡市公共资源电子招标投标交易平台提出</w:t>
            </w:r>
          </w:p>
        </w:tc>
      </w:tr>
      <w:tr w14:paraId="60006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F99556E">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22</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E181A6E">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招标</w:t>
            </w:r>
            <w:r>
              <w:rPr>
                <w:rFonts w:hint="eastAsia" w:ascii="宋体" w:hAnsi="宋体" w:eastAsia="宋体" w:cs="宋体"/>
                <w:snapToGrid w:val="0"/>
                <w:color w:val="auto"/>
                <w:spacing w:val="0"/>
                <w:kern w:val="21"/>
                <w:szCs w:val="21"/>
                <w:highlight w:val="none"/>
              </w:rPr>
              <w:t>文件澄清发出的形式</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05325312">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通过三门峡市公共资源电子招标投标交易平台发布且同时在原公告媒体发布澄清公告</w:t>
            </w:r>
          </w:p>
        </w:tc>
      </w:tr>
      <w:tr w14:paraId="48EE9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0AA25E6">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23</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5D40ADE1">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招标</w:t>
            </w:r>
            <w:r>
              <w:rPr>
                <w:rFonts w:hint="eastAsia" w:ascii="宋体" w:hAnsi="宋体" w:eastAsia="宋体" w:cs="宋体"/>
                <w:snapToGrid w:val="0"/>
                <w:color w:val="auto"/>
                <w:spacing w:val="0"/>
                <w:kern w:val="21"/>
                <w:szCs w:val="21"/>
                <w:highlight w:val="none"/>
              </w:rPr>
              <w:t>文件修改发出的形式</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5D9C40FE">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通过三门峡市公共资源电子招标投标交易平台发布且同时在原公告媒体发布变更公告</w:t>
            </w:r>
          </w:p>
        </w:tc>
      </w:tr>
      <w:tr w14:paraId="0D160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661B6D60">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24</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79A7035">
            <w:pPr>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确认收到</w:t>
            </w:r>
            <w:r>
              <w:rPr>
                <w:rFonts w:hint="eastAsia" w:ascii="宋体" w:hAnsi="宋体" w:eastAsia="宋体" w:cs="宋体"/>
                <w:snapToGrid w:val="0"/>
                <w:color w:val="auto"/>
                <w:spacing w:val="0"/>
                <w:kern w:val="21"/>
                <w:szCs w:val="21"/>
                <w:highlight w:val="none"/>
                <w:lang w:val="en-US" w:eastAsia="zh-CN"/>
              </w:rPr>
              <w:t>招标</w:t>
            </w:r>
            <w:r>
              <w:rPr>
                <w:rFonts w:hint="eastAsia" w:ascii="宋体" w:hAnsi="宋体" w:eastAsia="宋体" w:cs="宋体"/>
                <w:snapToGrid w:val="0"/>
                <w:color w:val="auto"/>
                <w:spacing w:val="0"/>
                <w:kern w:val="21"/>
                <w:szCs w:val="21"/>
                <w:highlight w:val="none"/>
              </w:rPr>
              <w:t>文件澄清或者修改</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796CAA67">
            <w:pPr>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eastAsia="zh-CN"/>
              </w:rPr>
              <w:t>投标人</w:t>
            </w:r>
            <w:r>
              <w:rPr>
                <w:rFonts w:hint="eastAsia" w:ascii="宋体" w:hAnsi="宋体" w:eastAsia="宋体" w:cs="宋体"/>
                <w:snapToGrid w:val="0"/>
                <w:color w:val="auto"/>
                <w:spacing w:val="0"/>
                <w:kern w:val="21"/>
                <w:szCs w:val="21"/>
                <w:highlight w:val="none"/>
              </w:rPr>
              <w:t>在投标截止时间前须自行查看在原公告发布媒体上发布的澄清或修改公告，因</w:t>
            </w:r>
            <w:r>
              <w:rPr>
                <w:rFonts w:hint="eastAsia" w:ascii="宋体" w:hAnsi="宋体" w:eastAsia="宋体" w:cs="宋体"/>
                <w:snapToGrid w:val="0"/>
                <w:color w:val="auto"/>
                <w:spacing w:val="0"/>
                <w:kern w:val="21"/>
                <w:szCs w:val="21"/>
                <w:highlight w:val="none"/>
                <w:lang w:eastAsia="zh-CN"/>
              </w:rPr>
              <w:t>投标人</w:t>
            </w:r>
            <w:r>
              <w:rPr>
                <w:rFonts w:hint="eastAsia" w:ascii="宋体" w:hAnsi="宋体" w:eastAsia="宋体" w:cs="宋体"/>
                <w:snapToGrid w:val="0"/>
                <w:color w:val="auto"/>
                <w:spacing w:val="0"/>
                <w:kern w:val="21"/>
                <w:szCs w:val="21"/>
                <w:highlight w:val="none"/>
              </w:rPr>
              <w:t>未及时查看而造成的后果自负。</w:t>
            </w:r>
          </w:p>
        </w:tc>
      </w:tr>
      <w:tr w14:paraId="4E63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19B71DA">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25</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F79FAE2">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构成</w:t>
            </w:r>
            <w:r>
              <w:rPr>
                <w:rFonts w:hint="eastAsia" w:ascii="宋体" w:hAnsi="宋体" w:eastAsia="宋体" w:cs="宋体"/>
                <w:snapToGrid w:val="0"/>
                <w:color w:val="auto"/>
                <w:spacing w:val="0"/>
                <w:kern w:val="21"/>
                <w:szCs w:val="21"/>
                <w:highlight w:val="none"/>
                <w:lang w:val="en-US" w:eastAsia="zh-CN"/>
              </w:rPr>
              <w:t>招标文件</w:t>
            </w:r>
            <w:r>
              <w:rPr>
                <w:rFonts w:hint="eastAsia" w:ascii="宋体" w:hAnsi="宋体" w:eastAsia="宋体" w:cs="宋体"/>
                <w:snapToGrid w:val="0"/>
                <w:color w:val="auto"/>
                <w:spacing w:val="0"/>
                <w:kern w:val="21"/>
                <w:szCs w:val="21"/>
                <w:highlight w:val="none"/>
              </w:rPr>
              <w:t>的其他材料</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5586FF4D">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答疑纪要、</w:t>
            </w:r>
            <w:r>
              <w:rPr>
                <w:rFonts w:hint="eastAsia" w:ascii="宋体" w:hAnsi="宋体" w:eastAsia="宋体" w:cs="宋体"/>
                <w:snapToGrid w:val="0"/>
                <w:color w:val="auto"/>
                <w:spacing w:val="0"/>
                <w:kern w:val="21"/>
                <w:szCs w:val="21"/>
                <w:highlight w:val="none"/>
                <w:lang w:eastAsia="zh-CN"/>
              </w:rPr>
              <w:t>招标文件</w:t>
            </w:r>
            <w:r>
              <w:rPr>
                <w:rFonts w:hint="eastAsia" w:ascii="宋体" w:hAnsi="宋体" w:eastAsia="宋体" w:cs="宋体"/>
                <w:snapToGrid w:val="0"/>
                <w:color w:val="auto"/>
                <w:spacing w:val="0"/>
                <w:kern w:val="21"/>
                <w:szCs w:val="21"/>
                <w:highlight w:val="none"/>
              </w:rPr>
              <w:t>的补充和修改文件（如有）等。</w:t>
            </w:r>
          </w:p>
        </w:tc>
      </w:tr>
      <w:tr w14:paraId="21853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1A2236EE">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26</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53648C30">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投标</w:t>
            </w:r>
            <w:r>
              <w:rPr>
                <w:rFonts w:hint="eastAsia" w:ascii="宋体" w:hAnsi="宋体" w:eastAsia="宋体" w:cs="宋体"/>
                <w:snapToGrid w:val="0"/>
                <w:color w:val="auto"/>
                <w:spacing w:val="0"/>
                <w:kern w:val="21"/>
                <w:szCs w:val="21"/>
                <w:highlight w:val="none"/>
              </w:rPr>
              <w:t>保证金</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094FDDDB">
            <w:pPr>
              <w:widowControl/>
              <w:jc w:val="left"/>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lang w:val="en-US" w:eastAsia="zh-CN"/>
              </w:rPr>
              <w:t>无</w:t>
            </w:r>
          </w:p>
        </w:tc>
      </w:tr>
      <w:tr w14:paraId="1A8F5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EA32C4C">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27</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CFFD096">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投标</w:t>
            </w:r>
            <w:r>
              <w:rPr>
                <w:rFonts w:hint="eastAsia" w:ascii="宋体" w:hAnsi="宋体" w:eastAsia="宋体" w:cs="宋体"/>
                <w:snapToGrid w:val="0"/>
                <w:color w:val="auto"/>
                <w:spacing w:val="0"/>
                <w:kern w:val="21"/>
                <w:szCs w:val="21"/>
                <w:highlight w:val="none"/>
              </w:rPr>
              <w:t>有效期</w:t>
            </w:r>
          </w:p>
        </w:tc>
        <w:tc>
          <w:tcPr>
            <w:tcW w:w="6810" w:type="dxa"/>
            <w:tcBorders>
              <w:top w:val="single" w:color="auto" w:sz="4" w:space="0"/>
              <w:left w:val="single" w:color="auto" w:sz="4" w:space="0"/>
              <w:bottom w:val="single" w:color="auto" w:sz="4" w:space="0"/>
              <w:right w:val="single" w:color="auto" w:sz="4" w:space="0"/>
            </w:tcBorders>
            <w:noWrap w:val="0"/>
            <w:vAlign w:val="top"/>
          </w:tcPr>
          <w:p w14:paraId="739B1FC6">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投标</w:t>
            </w:r>
            <w:r>
              <w:rPr>
                <w:rFonts w:hint="eastAsia" w:ascii="宋体" w:hAnsi="宋体" w:eastAsia="宋体" w:cs="宋体"/>
                <w:snapToGrid w:val="0"/>
                <w:color w:val="auto"/>
                <w:spacing w:val="0"/>
                <w:kern w:val="21"/>
                <w:szCs w:val="21"/>
                <w:highlight w:val="none"/>
              </w:rPr>
              <w:t>文件递交截止之日起60日历天</w:t>
            </w:r>
          </w:p>
        </w:tc>
      </w:tr>
      <w:tr w14:paraId="21C9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71388A5D">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28</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0CD11DDE">
            <w:pPr>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近年财务状况的年份要求</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431BD849">
            <w:pP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提供202</w:t>
            </w:r>
            <w:r>
              <w:rPr>
                <w:rFonts w:hint="eastAsia" w:ascii="宋体" w:hAnsi="宋体" w:eastAsia="宋体" w:cs="宋体"/>
                <w:snapToGrid w:val="0"/>
                <w:color w:val="auto"/>
                <w:spacing w:val="0"/>
                <w:kern w:val="21"/>
                <w:szCs w:val="21"/>
                <w:highlight w:val="none"/>
                <w:lang w:val="en-US" w:eastAsia="zh-CN"/>
              </w:rPr>
              <w:t>5</w:t>
            </w:r>
            <w:r>
              <w:rPr>
                <w:rFonts w:hint="eastAsia" w:ascii="宋体" w:hAnsi="宋体" w:eastAsia="宋体" w:cs="宋体"/>
                <w:snapToGrid w:val="0"/>
                <w:color w:val="auto"/>
                <w:spacing w:val="0"/>
                <w:kern w:val="21"/>
                <w:szCs w:val="21"/>
                <w:highlight w:val="none"/>
              </w:rPr>
              <w:t>年度第三方审计机构出具的财务报告或自行承诺</w:t>
            </w:r>
          </w:p>
        </w:tc>
      </w:tr>
      <w:tr w14:paraId="6056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BE3A7D3">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29</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708746F6">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近年完成的类似项目的年份要求</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5B39533B">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202</w:t>
            </w:r>
            <w:r>
              <w:rPr>
                <w:rFonts w:hint="eastAsia" w:ascii="宋体" w:hAnsi="宋体" w:cs="宋体"/>
                <w:snapToGrid w:val="0"/>
                <w:color w:val="auto"/>
                <w:spacing w:val="0"/>
                <w:kern w:val="21"/>
                <w:szCs w:val="21"/>
                <w:highlight w:val="none"/>
                <w:lang w:val="en-US" w:eastAsia="zh-CN"/>
              </w:rPr>
              <w:t>3</w:t>
            </w:r>
            <w:r>
              <w:rPr>
                <w:rFonts w:hint="eastAsia" w:ascii="宋体" w:hAnsi="宋体" w:eastAsia="宋体" w:cs="宋体"/>
                <w:snapToGrid w:val="0"/>
                <w:color w:val="auto"/>
                <w:spacing w:val="0"/>
                <w:kern w:val="21"/>
                <w:szCs w:val="21"/>
                <w:highlight w:val="none"/>
              </w:rPr>
              <w:t>年1月1日以来</w:t>
            </w:r>
          </w:p>
        </w:tc>
      </w:tr>
      <w:tr w14:paraId="42FD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71405DA">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30</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7BB516B2">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近年发生的诉讼及仲裁情况的年份要求</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1E47F7FE">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20</w:t>
            </w:r>
            <w:r>
              <w:rPr>
                <w:rFonts w:hint="eastAsia" w:ascii="宋体" w:hAnsi="宋体" w:eastAsia="宋体" w:cs="宋体"/>
                <w:snapToGrid w:val="0"/>
                <w:color w:val="auto"/>
                <w:spacing w:val="0"/>
                <w:kern w:val="21"/>
                <w:szCs w:val="21"/>
                <w:highlight w:val="none"/>
                <w:lang w:val="en-US" w:eastAsia="zh-CN"/>
              </w:rPr>
              <w:t>2</w:t>
            </w:r>
            <w:r>
              <w:rPr>
                <w:rFonts w:hint="eastAsia" w:ascii="宋体" w:hAnsi="宋体" w:cs="宋体"/>
                <w:snapToGrid w:val="0"/>
                <w:color w:val="auto"/>
                <w:spacing w:val="0"/>
                <w:kern w:val="21"/>
                <w:szCs w:val="21"/>
                <w:highlight w:val="none"/>
                <w:lang w:val="en-US" w:eastAsia="zh-CN"/>
              </w:rPr>
              <w:t>3</w:t>
            </w:r>
            <w:r>
              <w:rPr>
                <w:rFonts w:hint="eastAsia" w:ascii="宋体" w:hAnsi="宋体" w:eastAsia="宋体" w:cs="宋体"/>
                <w:snapToGrid w:val="0"/>
                <w:color w:val="auto"/>
                <w:spacing w:val="0"/>
                <w:kern w:val="21"/>
                <w:szCs w:val="21"/>
                <w:highlight w:val="none"/>
              </w:rPr>
              <w:t>年1月1日以来</w:t>
            </w:r>
          </w:p>
        </w:tc>
      </w:tr>
      <w:tr w14:paraId="62F4B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2A713D1">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31</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9791AF5">
            <w:pPr>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是否允许递交备选投标方案</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0CA06906">
            <w:pPr>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不允许</w:t>
            </w:r>
          </w:p>
        </w:tc>
      </w:tr>
      <w:tr w14:paraId="2D604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5A0A7AD">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32</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2D44633D">
            <w:pPr>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签字和（或）盖章要求</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45A6C699">
            <w:pPr>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电子化投标文件的签章：</w:t>
            </w:r>
          </w:p>
          <w:p w14:paraId="55D49F4B">
            <w:pPr>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1、</w:t>
            </w:r>
            <w:r>
              <w:rPr>
                <w:rFonts w:hint="eastAsia" w:ascii="宋体" w:hAnsi="宋体" w:eastAsia="宋体" w:cs="宋体"/>
                <w:snapToGrid w:val="0"/>
                <w:color w:val="auto"/>
                <w:spacing w:val="0"/>
                <w:kern w:val="21"/>
                <w:szCs w:val="21"/>
                <w:highlight w:val="none"/>
                <w:lang w:eastAsia="zh-CN"/>
              </w:rPr>
              <w:t>投标人</w:t>
            </w:r>
            <w:r>
              <w:rPr>
                <w:rFonts w:hint="eastAsia" w:ascii="宋体" w:hAnsi="宋体" w:eastAsia="宋体" w:cs="宋体"/>
                <w:snapToGrid w:val="0"/>
                <w:color w:val="auto"/>
                <w:spacing w:val="0"/>
                <w:kern w:val="21"/>
                <w:szCs w:val="21"/>
                <w:highlight w:val="none"/>
              </w:rPr>
              <w:t>在生成电子化投标文件后，应对电子化投标文件进行签章，未对电子化投标文件进行签章的视为无效文件。</w:t>
            </w:r>
          </w:p>
          <w:p w14:paraId="54CEE61A">
            <w:pPr>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2、招标文件中要求法定代表人或授权委托人盖章的，</w:t>
            </w:r>
            <w:r>
              <w:rPr>
                <w:rFonts w:hint="eastAsia" w:ascii="宋体" w:hAnsi="宋体" w:eastAsia="宋体" w:cs="宋体"/>
                <w:snapToGrid w:val="0"/>
                <w:color w:val="auto"/>
                <w:spacing w:val="0"/>
                <w:kern w:val="21"/>
                <w:szCs w:val="21"/>
                <w:highlight w:val="none"/>
                <w:lang w:eastAsia="zh-CN"/>
              </w:rPr>
              <w:t>投标人</w:t>
            </w:r>
            <w:r>
              <w:rPr>
                <w:rFonts w:hint="eastAsia" w:ascii="宋体" w:hAnsi="宋体" w:eastAsia="宋体" w:cs="宋体"/>
                <w:snapToGrid w:val="0"/>
                <w:color w:val="auto"/>
                <w:spacing w:val="0"/>
                <w:kern w:val="21"/>
                <w:szCs w:val="21"/>
                <w:highlight w:val="none"/>
              </w:rPr>
              <w:t>在进行电子化投标文件签章时，以签盖法定代表人签章为准。</w:t>
            </w:r>
          </w:p>
          <w:p w14:paraId="40A3C3BA">
            <w:pPr>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3、电子化投标文件工具请点击https://download.bqpoint.com/download/downloadlist.html?SoftTypeCode=06进行下载。</w:t>
            </w:r>
          </w:p>
        </w:tc>
      </w:tr>
      <w:tr w14:paraId="4D8C2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67D57597">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33</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3199B291">
            <w:pPr>
              <w:widowControl/>
              <w:spacing w:line="360" w:lineRule="auto"/>
              <w:jc w:val="center"/>
              <w:textAlignment w:val="auto"/>
              <w:rPr>
                <w:rFonts w:hint="eastAsia" w:ascii="宋体" w:hAnsi="宋体" w:eastAsia="宋体" w:cs="宋体"/>
                <w:snapToGrid w:val="0"/>
                <w:color w:val="auto"/>
                <w:spacing w:val="0"/>
                <w:kern w:val="21"/>
                <w:szCs w:val="21"/>
                <w:highlight w:val="none"/>
              </w:rPr>
            </w:pPr>
            <w:r>
              <w:rPr>
                <w:rFonts w:hint="eastAsia" w:ascii="宋体" w:hAnsi="宋体" w:eastAsia="宋体" w:cs="宋体"/>
                <w:color w:val="auto"/>
                <w:kern w:val="0"/>
                <w:sz w:val="21"/>
                <w:szCs w:val="21"/>
                <w:highlight w:val="none"/>
              </w:rPr>
              <w:t>递交投标文件地点</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0073DBBC">
            <w:pPr>
              <w:widowControl/>
              <w:spacing w:line="360" w:lineRule="auto"/>
              <w:jc w:val="left"/>
              <w:textAlignment w:val="auto"/>
              <w:rPr>
                <w:rFonts w:hint="eastAsia" w:ascii="宋体" w:hAnsi="宋体" w:eastAsia="宋体" w:cs="宋体"/>
                <w:snapToGrid w:val="0"/>
                <w:color w:val="auto"/>
                <w:spacing w:val="0"/>
                <w:kern w:val="21"/>
                <w:szCs w:val="21"/>
                <w:highlight w:val="none"/>
              </w:rPr>
            </w:pPr>
            <w:r>
              <w:rPr>
                <w:rFonts w:hint="eastAsia" w:ascii="宋体" w:hAnsi="宋体" w:eastAsia="宋体" w:cs="宋体"/>
                <w:color w:val="auto"/>
                <w:kern w:val="0"/>
                <w:sz w:val="21"/>
                <w:szCs w:val="21"/>
                <w:highlight w:val="none"/>
              </w:rPr>
              <w:t>电子投标文件的电子版用企业和法人 CA 数字证书在开标截止时间前上传至“三门峡市公共资源交易中心网站”</w:t>
            </w:r>
          </w:p>
        </w:tc>
      </w:tr>
      <w:tr w14:paraId="295D4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151B1F15">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34</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3C2A1A21">
            <w:pPr>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响应人代表出席开标会</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77CFDD77">
            <w:pPr>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所有投标响应人的法定代表人或其委托代理人无需到现场参加开标会议，仔细阅读</w:t>
            </w:r>
            <w:r>
              <w:rPr>
                <w:rFonts w:hint="eastAsia" w:ascii="宋体" w:hAnsi="宋体" w:eastAsia="宋体" w:cs="宋体"/>
                <w:snapToGrid w:val="0"/>
                <w:color w:val="auto"/>
                <w:spacing w:val="0"/>
                <w:kern w:val="21"/>
                <w:szCs w:val="21"/>
                <w:highlight w:val="none"/>
                <w:lang w:eastAsia="zh-CN"/>
              </w:rPr>
              <w:t>招标文件</w:t>
            </w:r>
            <w:r>
              <w:rPr>
                <w:rFonts w:hint="eastAsia" w:ascii="宋体" w:hAnsi="宋体" w:eastAsia="宋体" w:cs="宋体"/>
                <w:snapToGrid w:val="0"/>
                <w:color w:val="auto"/>
                <w:spacing w:val="0"/>
                <w:kern w:val="21"/>
                <w:szCs w:val="21"/>
                <w:highlight w:val="none"/>
              </w:rPr>
              <w:t>和三门峡市公共资源交易中心官网业务办理指南。</w:t>
            </w:r>
          </w:p>
        </w:tc>
      </w:tr>
      <w:tr w14:paraId="016F5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0E963132">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35</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39604BD">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是否退还</w:t>
            </w:r>
            <w:r>
              <w:rPr>
                <w:rFonts w:hint="eastAsia" w:ascii="宋体" w:hAnsi="宋体" w:eastAsia="宋体" w:cs="宋体"/>
                <w:snapToGrid w:val="0"/>
                <w:color w:val="auto"/>
                <w:spacing w:val="0"/>
                <w:kern w:val="21"/>
                <w:szCs w:val="21"/>
                <w:highlight w:val="none"/>
                <w:lang w:val="en-US" w:eastAsia="zh-CN"/>
              </w:rPr>
              <w:t>投标</w:t>
            </w:r>
            <w:r>
              <w:rPr>
                <w:rFonts w:hint="eastAsia" w:ascii="宋体" w:hAnsi="宋体" w:eastAsia="宋体" w:cs="宋体"/>
                <w:snapToGrid w:val="0"/>
                <w:color w:val="auto"/>
                <w:spacing w:val="0"/>
                <w:kern w:val="21"/>
                <w:szCs w:val="21"/>
                <w:highlight w:val="none"/>
              </w:rPr>
              <w:t>文件</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329E3298">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否</w:t>
            </w:r>
          </w:p>
        </w:tc>
      </w:tr>
      <w:tr w14:paraId="5101D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right w:val="single" w:color="auto" w:sz="4" w:space="0"/>
            </w:tcBorders>
            <w:noWrap w:val="0"/>
            <w:vAlign w:val="center"/>
          </w:tcPr>
          <w:p w14:paraId="489EA87B">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36</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021EDD1E">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开标</w:t>
            </w:r>
            <w:r>
              <w:rPr>
                <w:rFonts w:hint="eastAsia" w:ascii="宋体" w:hAnsi="宋体" w:eastAsia="宋体" w:cs="宋体"/>
                <w:snapToGrid w:val="0"/>
                <w:color w:val="auto"/>
                <w:spacing w:val="0"/>
                <w:kern w:val="21"/>
                <w:szCs w:val="21"/>
                <w:highlight w:val="none"/>
              </w:rPr>
              <w:t>时间和地点</w:t>
            </w:r>
          </w:p>
        </w:tc>
        <w:tc>
          <w:tcPr>
            <w:tcW w:w="6810" w:type="dxa"/>
            <w:tcBorders>
              <w:top w:val="single" w:color="auto" w:sz="4" w:space="0"/>
              <w:left w:val="single" w:color="auto" w:sz="4" w:space="0"/>
              <w:bottom w:val="single" w:color="auto" w:sz="4" w:space="0"/>
              <w:right w:val="single" w:color="auto" w:sz="4" w:space="0"/>
            </w:tcBorders>
            <w:noWrap w:val="0"/>
            <w:vAlign w:val="top"/>
          </w:tcPr>
          <w:p w14:paraId="530497F8">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1、</w:t>
            </w:r>
            <w:r>
              <w:rPr>
                <w:rFonts w:hint="eastAsia" w:ascii="宋体" w:hAnsi="宋体" w:eastAsia="宋体" w:cs="宋体"/>
                <w:snapToGrid w:val="0"/>
                <w:color w:val="auto"/>
                <w:spacing w:val="0"/>
                <w:kern w:val="21"/>
                <w:szCs w:val="21"/>
                <w:highlight w:val="none"/>
                <w:lang w:val="en-US" w:eastAsia="zh-CN"/>
              </w:rPr>
              <w:t>开标</w:t>
            </w:r>
            <w:r>
              <w:rPr>
                <w:rFonts w:hint="eastAsia" w:ascii="宋体" w:hAnsi="宋体" w:eastAsia="宋体" w:cs="宋体"/>
                <w:snapToGrid w:val="0"/>
                <w:color w:val="auto"/>
                <w:spacing w:val="0"/>
                <w:kern w:val="21"/>
                <w:szCs w:val="21"/>
                <w:highlight w:val="none"/>
              </w:rPr>
              <w:t>时间：202</w:t>
            </w:r>
            <w:r>
              <w:rPr>
                <w:rFonts w:hint="eastAsia" w:ascii="宋体" w:hAnsi="宋体" w:eastAsia="宋体" w:cs="宋体"/>
                <w:snapToGrid w:val="0"/>
                <w:color w:val="auto"/>
                <w:spacing w:val="0"/>
                <w:kern w:val="21"/>
                <w:szCs w:val="21"/>
                <w:highlight w:val="none"/>
                <w:lang w:val="en-US" w:eastAsia="zh-CN"/>
              </w:rPr>
              <w:t>6</w:t>
            </w:r>
            <w:r>
              <w:rPr>
                <w:rFonts w:hint="eastAsia" w:ascii="宋体" w:hAnsi="宋体" w:eastAsia="宋体" w:cs="宋体"/>
                <w:snapToGrid w:val="0"/>
                <w:color w:val="auto"/>
                <w:spacing w:val="0"/>
                <w:kern w:val="21"/>
                <w:szCs w:val="21"/>
                <w:highlight w:val="none"/>
              </w:rPr>
              <w:t>年</w:t>
            </w:r>
            <w:r>
              <w:rPr>
                <w:rFonts w:hint="eastAsia" w:ascii="宋体" w:hAnsi="宋体" w:eastAsia="宋体" w:cs="宋体"/>
                <w:snapToGrid w:val="0"/>
                <w:color w:val="auto"/>
                <w:spacing w:val="0"/>
                <w:kern w:val="21"/>
                <w:szCs w:val="21"/>
                <w:highlight w:val="none"/>
                <w:lang w:val="en-US" w:eastAsia="zh-CN"/>
              </w:rPr>
              <w:t>07</w:t>
            </w:r>
            <w:r>
              <w:rPr>
                <w:rFonts w:hint="eastAsia" w:ascii="宋体" w:hAnsi="宋体" w:eastAsia="宋体" w:cs="宋体"/>
                <w:snapToGrid w:val="0"/>
                <w:color w:val="auto"/>
                <w:spacing w:val="0"/>
                <w:kern w:val="21"/>
                <w:szCs w:val="21"/>
                <w:highlight w:val="none"/>
              </w:rPr>
              <w:t>月</w:t>
            </w:r>
            <w:r>
              <w:rPr>
                <w:rFonts w:hint="eastAsia" w:ascii="宋体" w:hAnsi="宋体" w:eastAsia="宋体" w:cs="宋体"/>
                <w:snapToGrid w:val="0"/>
                <w:color w:val="auto"/>
                <w:spacing w:val="0"/>
                <w:kern w:val="21"/>
                <w:szCs w:val="21"/>
                <w:highlight w:val="none"/>
                <w:lang w:val="en-US" w:eastAsia="zh-CN"/>
              </w:rPr>
              <w:t>2</w:t>
            </w:r>
            <w:r>
              <w:rPr>
                <w:rFonts w:hint="eastAsia" w:ascii="宋体" w:hAnsi="宋体" w:cs="宋体"/>
                <w:snapToGrid w:val="0"/>
                <w:color w:val="auto"/>
                <w:spacing w:val="0"/>
                <w:kern w:val="21"/>
                <w:szCs w:val="21"/>
                <w:highlight w:val="none"/>
                <w:lang w:val="en-US" w:eastAsia="zh-CN"/>
              </w:rPr>
              <w:t>9</w:t>
            </w:r>
            <w:r>
              <w:rPr>
                <w:rFonts w:hint="eastAsia" w:ascii="宋体" w:hAnsi="宋体" w:eastAsia="宋体" w:cs="宋体"/>
                <w:snapToGrid w:val="0"/>
                <w:color w:val="auto"/>
                <w:spacing w:val="0"/>
                <w:kern w:val="21"/>
                <w:szCs w:val="21"/>
                <w:highlight w:val="none"/>
              </w:rPr>
              <w:t>日08时40分</w:t>
            </w:r>
          </w:p>
          <w:p w14:paraId="45CBE5B5">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2、开标地点：卢氏县公共资源交易中心</w:t>
            </w:r>
            <w:r>
              <w:rPr>
                <w:rFonts w:hint="eastAsia" w:ascii="宋体" w:hAnsi="宋体" w:eastAsia="宋体" w:cs="宋体"/>
                <w:snapToGrid w:val="0"/>
                <w:color w:val="auto"/>
                <w:spacing w:val="0"/>
                <w:kern w:val="21"/>
                <w:szCs w:val="21"/>
                <w:highlight w:val="none"/>
                <w:lang w:val="en-US" w:eastAsia="zh-CN"/>
              </w:rPr>
              <w:t>四</w:t>
            </w:r>
            <w:r>
              <w:rPr>
                <w:rFonts w:hint="eastAsia" w:ascii="宋体" w:hAnsi="宋体" w:eastAsia="宋体" w:cs="宋体"/>
                <w:snapToGrid w:val="0"/>
                <w:color w:val="auto"/>
                <w:spacing w:val="0"/>
                <w:kern w:val="21"/>
                <w:szCs w:val="21"/>
                <w:highlight w:val="none"/>
              </w:rPr>
              <w:t>楼第</w:t>
            </w:r>
            <w:r>
              <w:rPr>
                <w:rFonts w:hint="eastAsia" w:ascii="宋体" w:hAnsi="宋体" w:eastAsia="宋体" w:cs="宋体"/>
                <w:snapToGrid w:val="0"/>
                <w:color w:val="auto"/>
                <w:spacing w:val="0"/>
                <w:kern w:val="21"/>
                <w:szCs w:val="21"/>
                <w:highlight w:val="none"/>
                <w:lang w:val="en-US" w:eastAsia="zh-CN"/>
              </w:rPr>
              <w:t>一</w:t>
            </w:r>
            <w:r>
              <w:rPr>
                <w:rFonts w:hint="eastAsia" w:ascii="宋体" w:hAnsi="宋体" w:eastAsia="宋体" w:cs="宋体"/>
                <w:snapToGrid w:val="0"/>
                <w:color w:val="auto"/>
                <w:spacing w:val="0"/>
                <w:kern w:val="21"/>
                <w:szCs w:val="21"/>
                <w:highlight w:val="none"/>
              </w:rPr>
              <w:t>开标室；</w:t>
            </w:r>
          </w:p>
          <w:p w14:paraId="0CAC001F">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3、评标地点：卢氏县公共资源交易中心二楼第</w:t>
            </w:r>
            <w:r>
              <w:rPr>
                <w:rFonts w:hint="eastAsia" w:ascii="宋体" w:hAnsi="宋体" w:cs="宋体"/>
                <w:snapToGrid w:val="0"/>
                <w:color w:val="auto"/>
                <w:spacing w:val="0"/>
                <w:kern w:val="21"/>
                <w:szCs w:val="21"/>
                <w:highlight w:val="none"/>
                <w:lang w:val="en-US" w:eastAsia="zh-CN"/>
              </w:rPr>
              <w:t>一</w:t>
            </w:r>
            <w:r>
              <w:rPr>
                <w:rFonts w:hint="eastAsia" w:ascii="宋体" w:hAnsi="宋体" w:eastAsia="宋体" w:cs="宋体"/>
                <w:snapToGrid w:val="0"/>
                <w:color w:val="auto"/>
                <w:spacing w:val="0"/>
                <w:kern w:val="21"/>
                <w:szCs w:val="21"/>
                <w:highlight w:val="none"/>
              </w:rPr>
              <w:t>评标室。</w:t>
            </w:r>
          </w:p>
        </w:tc>
      </w:tr>
      <w:tr w14:paraId="3526B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AF9B348">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37</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14AEB8C">
            <w:pPr>
              <w:widowControl/>
              <w:jc w:val="center"/>
              <w:rPr>
                <w:rFonts w:hint="eastAsia" w:ascii="宋体" w:hAnsi="宋体" w:eastAsia="宋体" w:cs="宋体"/>
                <w:snapToGrid w:val="0"/>
                <w:color w:val="auto"/>
                <w:spacing w:val="0"/>
                <w:kern w:val="21"/>
                <w:sz w:val="21"/>
                <w:szCs w:val="21"/>
                <w:highlight w:val="none"/>
              </w:rPr>
            </w:pPr>
            <w:r>
              <w:rPr>
                <w:rFonts w:hint="eastAsia" w:ascii="宋体" w:hAnsi="宋体" w:eastAsia="宋体" w:cs="宋体"/>
                <w:snapToGrid w:val="0"/>
                <w:color w:val="auto"/>
                <w:spacing w:val="0"/>
                <w:kern w:val="21"/>
                <w:sz w:val="21"/>
                <w:szCs w:val="21"/>
                <w:highlight w:val="none"/>
              </w:rPr>
              <w:t>评标委员会的组建</w:t>
            </w:r>
          </w:p>
        </w:tc>
        <w:tc>
          <w:tcPr>
            <w:tcW w:w="6810" w:type="dxa"/>
            <w:tcBorders>
              <w:top w:val="single" w:color="auto" w:sz="4" w:space="0"/>
              <w:left w:val="single" w:color="auto" w:sz="4" w:space="0"/>
              <w:bottom w:val="single" w:color="auto" w:sz="4" w:space="0"/>
              <w:right w:val="single" w:color="auto" w:sz="4" w:space="0"/>
            </w:tcBorders>
            <w:noWrap w:val="0"/>
            <w:vAlign w:val="top"/>
          </w:tcPr>
          <w:p w14:paraId="143CE8D2">
            <w:pPr>
              <w:widowControl/>
              <w:jc w:val="left"/>
              <w:rPr>
                <w:rFonts w:hint="eastAsia" w:ascii="宋体" w:hAnsi="宋体" w:eastAsia="宋体" w:cs="宋体"/>
                <w:snapToGrid w:val="0"/>
                <w:color w:val="auto"/>
                <w:spacing w:val="0"/>
                <w:kern w:val="21"/>
                <w:sz w:val="21"/>
                <w:szCs w:val="21"/>
                <w:highlight w:val="none"/>
              </w:rPr>
            </w:pPr>
            <w:r>
              <w:rPr>
                <w:rFonts w:hint="eastAsia" w:ascii="宋体" w:hAnsi="宋体" w:eastAsia="宋体" w:cs="宋体"/>
                <w:snapToGrid w:val="0"/>
                <w:color w:val="auto"/>
                <w:spacing w:val="0"/>
                <w:kern w:val="21"/>
                <w:sz w:val="21"/>
                <w:szCs w:val="21"/>
                <w:highlight w:val="none"/>
              </w:rPr>
              <w:t>评标委员会成员为</w:t>
            </w:r>
            <w:r>
              <w:rPr>
                <w:rFonts w:hint="eastAsia" w:ascii="宋体" w:hAnsi="宋体" w:cs="宋体"/>
                <w:snapToGrid w:val="0"/>
                <w:color w:val="auto"/>
                <w:spacing w:val="0"/>
                <w:kern w:val="21"/>
                <w:sz w:val="21"/>
                <w:szCs w:val="21"/>
                <w:highlight w:val="none"/>
                <w:lang w:val="en-US" w:eastAsia="zh-CN"/>
              </w:rPr>
              <w:t>5</w:t>
            </w:r>
            <w:r>
              <w:rPr>
                <w:rFonts w:hint="eastAsia" w:ascii="宋体" w:hAnsi="宋体" w:eastAsia="宋体" w:cs="宋体"/>
                <w:snapToGrid w:val="0"/>
                <w:color w:val="auto"/>
                <w:spacing w:val="0"/>
                <w:kern w:val="21"/>
                <w:sz w:val="21"/>
                <w:szCs w:val="21"/>
                <w:highlight w:val="none"/>
              </w:rPr>
              <w:t>人，由</w:t>
            </w:r>
            <w:r>
              <w:rPr>
                <w:rFonts w:hint="eastAsia" w:ascii="宋体" w:hAnsi="宋体" w:eastAsia="宋体" w:cs="宋体"/>
                <w:snapToGrid w:val="0"/>
                <w:color w:val="auto"/>
                <w:spacing w:val="0"/>
                <w:kern w:val="21"/>
                <w:sz w:val="21"/>
                <w:szCs w:val="21"/>
                <w:highlight w:val="none"/>
                <w:lang w:val="en-US" w:eastAsia="zh-CN"/>
              </w:rPr>
              <w:t>采购人</w:t>
            </w:r>
            <w:r>
              <w:rPr>
                <w:rFonts w:hint="eastAsia" w:ascii="宋体" w:hAnsi="宋体" w:eastAsia="宋体" w:cs="宋体"/>
                <w:snapToGrid w:val="0"/>
                <w:color w:val="auto"/>
                <w:spacing w:val="0"/>
                <w:kern w:val="21"/>
                <w:sz w:val="21"/>
                <w:szCs w:val="21"/>
                <w:highlight w:val="none"/>
              </w:rPr>
              <w:t>代表</w:t>
            </w:r>
            <w:r>
              <w:rPr>
                <w:rFonts w:hint="eastAsia" w:ascii="宋体" w:hAnsi="宋体" w:cs="宋体"/>
                <w:snapToGrid w:val="0"/>
                <w:color w:val="auto"/>
                <w:spacing w:val="0"/>
                <w:kern w:val="21"/>
                <w:sz w:val="21"/>
                <w:szCs w:val="21"/>
                <w:highlight w:val="none"/>
                <w:lang w:val="en-US" w:eastAsia="zh-CN"/>
              </w:rPr>
              <w:t>1</w:t>
            </w:r>
            <w:r>
              <w:rPr>
                <w:rFonts w:hint="eastAsia" w:ascii="宋体" w:hAnsi="宋体" w:eastAsia="宋体" w:cs="宋体"/>
                <w:snapToGrid w:val="0"/>
                <w:color w:val="auto"/>
                <w:spacing w:val="0"/>
                <w:kern w:val="21"/>
                <w:sz w:val="21"/>
                <w:szCs w:val="21"/>
                <w:highlight w:val="none"/>
              </w:rPr>
              <w:t>人，其余技术、经济类专家</w:t>
            </w:r>
            <w:r>
              <w:rPr>
                <w:rFonts w:hint="eastAsia" w:ascii="宋体" w:hAnsi="宋体" w:cs="宋体"/>
                <w:snapToGrid w:val="0"/>
                <w:color w:val="auto"/>
                <w:spacing w:val="0"/>
                <w:kern w:val="21"/>
                <w:sz w:val="21"/>
                <w:szCs w:val="21"/>
                <w:highlight w:val="none"/>
                <w:lang w:val="en-US" w:eastAsia="zh-CN"/>
              </w:rPr>
              <w:t>4</w:t>
            </w:r>
            <w:r>
              <w:rPr>
                <w:rFonts w:hint="eastAsia" w:ascii="宋体" w:hAnsi="宋体" w:eastAsia="宋体" w:cs="宋体"/>
                <w:snapToGrid w:val="0"/>
                <w:color w:val="auto"/>
                <w:spacing w:val="0"/>
                <w:kern w:val="21"/>
                <w:sz w:val="21"/>
                <w:szCs w:val="21"/>
                <w:highlight w:val="none"/>
              </w:rPr>
              <w:t>人组成。评标专家确定方式：当天开标后通过卢氏县公共资源交易中心抽取终端，从河南省政府采购评审专家库中随机抽取。</w:t>
            </w:r>
          </w:p>
        </w:tc>
      </w:tr>
      <w:tr w14:paraId="6F0D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5AE21A5">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38</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03FB144">
            <w:pPr>
              <w:widowControl/>
              <w:spacing w:line="400" w:lineRule="exact"/>
              <w:jc w:val="center"/>
              <w:rPr>
                <w:rFonts w:hint="eastAsia" w:ascii="宋体" w:hAnsi="宋体" w:eastAsia="宋体" w:cs="宋体"/>
                <w:snapToGrid w:val="0"/>
                <w:color w:val="auto"/>
                <w:spacing w:val="0"/>
                <w:kern w:val="21"/>
                <w:sz w:val="21"/>
                <w:szCs w:val="21"/>
                <w:highlight w:val="none"/>
              </w:rPr>
            </w:pPr>
            <w:r>
              <w:rPr>
                <w:rFonts w:hint="eastAsia" w:ascii="宋体" w:hAnsi="宋体" w:eastAsia="宋体" w:cs="宋体"/>
                <w:color w:val="auto"/>
                <w:spacing w:val="6"/>
                <w:sz w:val="21"/>
                <w:szCs w:val="21"/>
                <w:highlight w:val="none"/>
              </w:rPr>
              <w:t>是否授权评标委员会确定中标人</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0BCFF852">
            <w:pPr>
              <w:widowControl/>
              <w:spacing w:line="400" w:lineRule="exact"/>
              <w:rPr>
                <w:rFonts w:hint="eastAsia" w:ascii="宋体" w:hAnsi="宋体" w:eastAsia="宋体" w:cs="宋体"/>
                <w:snapToGrid w:val="0"/>
                <w:color w:val="auto"/>
                <w:spacing w:val="0"/>
                <w:kern w:val="21"/>
                <w:sz w:val="21"/>
                <w:szCs w:val="21"/>
                <w:highlight w:val="none"/>
              </w:rPr>
            </w:pPr>
            <w:r>
              <w:rPr>
                <w:rFonts w:hint="eastAsia" w:ascii="宋体" w:hAnsi="宋体" w:eastAsia="宋体" w:cs="宋体"/>
                <w:color w:val="auto"/>
                <w:spacing w:val="6"/>
                <w:sz w:val="21"/>
                <w:szCs w:val="21"/>
                <w:highlight w:val="none"/>
              </w:rPr>
              <w:t>否，评标委员会推选</w:t>
            </w:r>
            <w:r>
              <w:rPr>
                <w:rFonts w:hint="eastAsia" w:ascii="宋体" w:hAnsi="宋体" w:eastAsia="宋体" w:cs="宋体"/>
                <w:color w:val="auto"/>
                <w:spacing w:val="6"/>
                <w:sz w:val="21"/>
                <w:szCs w:val="21"/>
                <w:highlight w:val="none"/>
                <w:lang w:val="en-US" w:eastAsia="zh-CN"/>
              </w:rPr>
              <w:t>3</w:t>
            </w:r>
            <w:r>
              <w:rPr>
                <w:rFonts w:hint="eastAsia" w:ascii="宋体" w:hAnsi="宋体" w:eastAsia="宋体" w:cs="宋体"/>
                <w:color w:val="auto"/>
                <w:spacing w:val="6"/>
                <w:sz w:val="21"/>
                <w:szCs w:val="21"/>
                <w:highlight w:val="none"/>
              </w:rPr>
              <w:t>名中标候选人</w:t>
            </w:r>
          </w:p>
        </w:tc>
      </w:tr>
      <w:tr w14:paraId="04C7F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48ADC38">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39</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9F1E499">
            <w:pPr>
              <w:jc w:val="center"/>
              <w:rPr>
                <w:rFonts w:hint="eastAsia" w:ascii="宋体" w:hAnsi="宋体" w:eastAsia="宋体" w:cs="宋体"/>
                <w:snapToGrid w:val="0"/>
                <w:color w:val="auto"/>
                <w:spacing w:val="0"/>
                <w:kern w:val="21"/>
                <w:sz w:val="21"/>
                <w:szCs w:val="21"/>
                <w:highlight w:val="none"/>
              </w:rPr>
            </w:pPr>
            <w:r>
              <w:rPr>
                <w:rFonts w:hint="eastAsia" w:ascii="宋体" w:hAnsi="宋体" w:eastAsia="宋体" w:cs="宋体"/>
                <w:snapToGrid w:val="0"/>
                <w:color w:val="auto"/>
                <w:spacing w:val="0"/>
                <w:kern w:val="21"/>
                <w:sz w:val="21"/>
                <w:szCs w:val="21"/>
                <w:highlight w:val="none"/>
              </w:rPr>
              <w:t>结果公示</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304EA89E">
            <w:pPr>
              <w:rPr>
                <w:rFonts w:hint="eastAsia" w:ascii="宋体" w:hAnsi="宋体" w:eastAsia="宋体" w:cs="宋体"/>
                <w:snapToGrid w:val="0"/>
                <w:color w:val="auto"/>
                <w:spacing w:val="0"/>
                <w:kern w:val="21"/>
                <w:sz w:val="21"/>
                <w:szCs w:val="21"/>
                <w:highlight w:val="none"/>
              </w:rPr>
            </w:pPr>
            <w:r>
              <w:rPr>
                <w:rFonts w:hint="eastAsia" w:ascii="宋体" w:hAnsi="宋体" w:eastAsia="宋体" w:cs="宋体"/>
                <w:snapToGrid w:val="0"/>
                <w:color w:val="auto"/>
                <w:spacing w:val="0"/>
                <w:kern w:val="21"/>
                <w:sz w:val="21"/>
                <w:szCs w:val="21"/>
                <w:highlight w:val="none"/>
              </w:rPr>
              <w:t>在</w:t>
            </w:r>
            <w:r>
              <w:rPr>
                <w:rFonts w:hint="eastAsia" w:ascii="宋体" w:hAnsi="宋体" w:eastAsia="宋体" w:cs="宋体"/>
                <w:snapToGrid w:val="0"/>
                <w:color w:val="auto"/>
                <w:spacing w:val="0"/>
                <w:kern w:val="21"/>
                <w:sz w:val="21"/>
                <w:szCs w:val="21"/>
                <w:highlight w:val="none"/>
                <w:lang w:val="en-US" w:eastAsia="zh-CN"/>
              </w:rPr>
              <w:t>中标</w:t>
            </w:r>
            <w:r>
              <w:rPr>
                <w:rFonts w:hint="eastAsia" w:ascii="宋体" w:hAnsi="宋体" w:eastAsia="宋体" w:cs="宋体"/>
                <w:snapToGrid w:val="0"/>
                <w:color w:val="auto"/>
                <w:spacing w:val="0"/>
                <w:kern w:val="21"/>
                <w:sz w:val="21"/>
                <w:szCs w:val="21"/>
                <w:highlight w:val="none"/>
              </w:rPr>
              <w:t>通知书发出前，</w:t>
            </w:r>
            <w:r>
              <w:rPr>
                <w:rFonts w:hint="eastAsia" w:ascii="宋体" w:hAnsi="宋体" w:eastAsia="宋体" w:cs="宋体"/>
                <w:snapToGrid w:val="0"/>
                <w:color w:val="auto"/>
                <w:spacing w:val="0"/>
                <w:kern w:val="21"/>
                <w:sz w:val="21"/>
                <w:szCs w:val="21"/>
                <w:highlight w:val="none"/>
                <w:lang w:eastAsia="zh-CN"/>
              </w:rPr>
              <w:t>采购人</w:t>
            </w:r>
            <w:r>
              <w:rPr>
                <w:rFonts w:hint="eastAsia" w:ascii="宋体" w:hAnsi="宋体" w:eastAsia="宋体" w:cs="宋体"/>
                <w:snapToGrid w:val="0"/>
                <w:color w:val="auto"/>
                <w:spacing w:val="0"/>
                <w:kern w:val="21"/>
                <w:sz w:val="21"/>
                <w:szCs w:val="21"/>
                <w:highlight w:val="none"/>
              </w:rPr>
              <w:t>将成交候选人的情况在本招标项目招标公告发布的同一媒介、交易中心予以公示，接受社会监督</w:t>
            </w:r>
          </w:p>
        </w:tc>
      </w:tr>
      <w:tr w14:paraId="4569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757956A5">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40</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61557BB">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付款方式</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0C2FB58A">
            <w:pPr>
              <w:widowControl/>
              <w:jc w:val="left"/>
              <w:rPr>
                <w:rFonts w:hint="default" w:ascii="宋体" w:hAnsi="宋体" w:eastAsia="宋体" w:cs="宋体"/>
                <w:snapToGrid w:val="0"/>
                <w:color w:val="auto"/>
                <w:spacing w:val="0"/>
                <w:kern w:val="21"/>
                <w:szCs w:val="21"/>
                <w:highlight w:val="none"/>
                <w:lang w:val="en-US" w:eastAsia="zh-CN"/>
              </w:rPr>
            </w:pPr>
            <w:r>
              <w:rPr>
                <w:rFonts w:hint="eastAsia" w:ascii="宋体" w:hAnsi="宋体" w:cs="宋体"/>
                <w:snapToGrid w:val="0"/>
                <w:color w:val="auto"/>
                <w:spacing w:val="0"/>
                <w:kern w:val="21"/>
                <w:szCs w:val="21"/>
                <w:highlight w:val="none"/>
                <w:lang w:val="en-US" w:eastAsia="zh-CN"/>
              </w:rPr>
              <w:t>卢氏县养老服务中心</w:t>
            </w:r>
            <w:r>
              <w:rPr>
                <w:rFonts w:hint="default" w:ascii="宋体" w:hAnsi="宋体" w:eastAsia="宋体" w:cs="宋体"/>
                <w:snapToGrid w:val="0"/>
                <w:color w:val="auto"/>
                <w:spacing w:val="0"/>
                <w:kern w:val="21"/>
                <w:szCs w:val="21"/>
                <w:highlight w:val="none"/>
                <w:lang w:val="en-US" w:eastAsia="zh-CN"/>
              </w:rPr>
              <w:t>统一招标供应商提供的商品，各接收养老院应严格组织验收，验收时必须两人同时在场，并在供货清单上签字，确保产品质量、数量。各类食材应附商品合格证及供货清单（一式三份），食材单价以市场询价（如县域内各大型超市和农贸批发市场等）的同期、同品质、同品种的均价（非活动价格））为基准价</w:t>
            </w:r>
            <w:r>
              <w:rPr>
                <w:rFonts w:hint="eastAsia" w:ascii="宋体" w:hAnsi="宋体" w:cs="宋体"/>
                <w:snapToGrid w:val="0"/>
                <w:color w:val="auto"/>
                <w:spacing w:val="0"/>
                <w:kern w:val="21"/>
                <w:szCs w:val="21"/>
                <w:highlight w:val="none"/>
                <w:lang w:val="en-US" w:eastAsia="zh-CN"/>
              </w:rPr>
              <w:t>，</w:t>
            </w:r>
            <w:r>
              <w:rPr>
                <w:rFonts w:hint="default" w:ascii="宋体" w:hAnsi="宋体" w:eastAsia="宋体" w:cs="宋体"/>
                <w:snapToGrid w:val="0"/>
                <w:color w:val="auto"/>
                <w:spacing w:val="0"/>
                <w:kern w:val="21"/>
                <w:szCs w:val="21"/>
                <w:highlight w:val="none"/>
                <w:lang w:val="en-US" w:eastAsia="zh-CN"/>
              </w:rPr>
              <w:t>据实结算。货款每月由被服务养老院按照实际配送量，经各养老院营养改善管理员</w:t>
            </w:r>
            <w:r>
              <w:rPr>
                <w:rFonts w:hint="eastAsia" w:ascii="宋体" w:hAnsi="宋体" w:cs="宋体"/>
                <w:snapToGrid w:val="0"/>
                <w:color w:val="auto"/>
                <w:spacing w:val="0"/>
                <w:kern w:val="21"/>
                <w:szCs w:val="21"/>
                <w:highlight w:val="none"/>
                <w:lang w:val="en-US" w:eastAsia="zh-CN"/>
              </w:rPr>
              <w:t>及</w:t>
            </w:r>
            <w:r>
              <w:rPr>
                <w:rFonts w:hint="default" w:ascii="宋体" w:hAnsi="宋体" w:eastAsia="宋体" w:cs="宋体"/>
                <w:snapToGrid w:val="0"/>
                <w:color w:val="auto"/>
                <w:spacing w:val="0"/>
                <w:kern w:val="21"/>
                <w:szCs w:val="21"/>
                <w:highlight w:val="none"/>
                <w:lang w:val="en-US" w:eastAsia="zh-CN"/>
              </w:rPr>
              <w:t>领导签字汇总上报卢氏县养老服务中心审核、报账，审核无误后货款直接拨付供应商账户。</w:t>
            </w:r>
          </w:p>
        </w:tc>
      </w:tr>
      <w:tr w14:paraId="7440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1EF26167">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41</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FBA025A">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履约担保</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4FA8E83B">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不收取</w:t>
            </w:r>
          </w:p>
        </w:tc>
      </w:tr>
      <w:tr w14:paraId="6FE4A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10F8CD55">
            <w:pPr>
              <w:widowControl/>
              <w:jc w:val="center"/>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rPr>
              <w:t>4</w:t>
            </w:r>
            <w:r>
              <w:rPr>
                <w:rFonts w:hint="eastAsia" w:ascii="宋体" w:hAnsi="宋体" w:eastAsia="宋体" w:cs="宋体"/>
                <w:snapToGrid w:val="0"/>
                <w:color w:val="auto"/>
                <w:spacing w:val="0"/>
                <w:kern w:val="21"/>
                <w:szCs w:val="21"/>
                <w:highlight w:val="none"/>
                <w:lang w:val="en-US" w:eastAsia="zh-CN"/>
              </w:rPr>
              <w:t>2</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59B43F85">
            <w:pPr>
              <w:widowControl/>
              <w:jc w:val="center"/>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lang w:val="en-US" w:eastAsia="zh-CN"/>
              </w:rPr>
              <w:t>质量保证金</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7812ABF4">
            <w:pPr>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不收取</w:t>
            </w:r>
          </w:p>
        </w:tc>
      </w:tr>
      <w:tr w14:paraId="3D38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C2BA600">
            <w:pPr>
              <w:widowControl/>
              <w:jc w:val="center"/>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rPr>
              <w:t>4</w:t>
            </w:r>
            <w:r>
              <w:rPr>
                <w:rFonts w:hint="eastAsia" w:ascii="宋体" w:hAnsi="宋体" w:eastAsia="宋体" w:cs="宋体"/>
                <w:snapToGrid w:val="0"/>
                <w:color w:val="auto"/>
                <w:spacing w:val="0"/>
                <w:kern w:val="21"/>
                <w:szCs w:val="21"/>
                <w:highlight w:val="none"/>
                <w:lang w:val="en-US" w:eastAsia="zh-CN"/>
              </w:rPr>
              <w:t>3</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62552A2">
            <w:pPr>
              <w:pStyle w:val="22"/>
              <w:spacing w:before="78" w:line="220" w:lineRule="auto"/>
              <w:jc w:val="center"/>
              <w:rPr>
                <w:rFonts w:hint="eastAsia" w:ascii="宋体" w:hAnsi="宋体" w:eastAsia="宋体" w:cs="宋体"/>
                <w:snapToGrid w:val="0"/>
                <w:color w:val="auto"/>
                <w:spacing w:val="0"/>
                <w:kern w:val="21"/>
                <w:sz w:val="21"/>
                <w:szCs w:val="21"/>
                <w:highlight w:val="none"/>
              </w:rPr>
            </w:pPr>
            <w:r>
              <w:rPr>
                <w:rFonts w:hint="eastAsia" w:ascii="宋体" w:hAnsi="宋体" w:eastAsia="宋体" w:cs="宋体"/>
                <w:color w:val="auto"/>
                <w:spacing w:val="0"/>
                <w:sz w:val="21"/>
                <w:szCs w:val="21"/>
                <w:highlight w:val="none"/>
              </w:rPr>
              <w:t>代理服务费</w:t>
            </w:r>
          </w:p>
        </w:tc>
        <w:tc>
          <w:tcPr>
            <w:tcW w:w="6810" w:type="dxa"/>
            <w:tcBorders>
              <w:top w:val="single" w:color="auto" w:sz="4" w:space="0"/>
              <w:left w:val="single" w:color="auto" w:sz="4" w:space="0"/>
              <w:bottom w:val="single" w:color="auto" w:sz="4" w:space="0"/>
              <w:right w:val="single" w:color="auto" w:sz="4" w:space="0"/>
            </w:tcBorders>
            <w:noWrap w:val="0"/>
            <w:vAlign w:val="top"/>
          </w:tcPr>
          <w:p w14:paraId="578128D2">
            <w:pPr>
              <w:jc w:val="left"/>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lang w:eastAsia="zh-CN"/>
              </w:rPr>
              <w:t>根据《河南省招标代理服务收费标准》的通知-豫招协[2023]002号收费标准，</w:t>
            </w:r>
            <w:r>
              <w:rPr>
                <w:rFonts w:hint="eastAsia" w:ascii="宋体" w:hAnsi="宋体" w:cs="宋体"/>
                <w:snapToGrid w:val="0"/>
                <w:color w:val="auto"/>
                <w:spacing w:val="0"/>
                <w:kern w:val="21"/>
                <w:szCs w:val="21"/>
                <w:highlight w:val="none"/>
                <w:lang w:val="en-US" w:eastAsia="zh-CN"/>
              </w:rPr>
              <w:t>收取</w:t>
            </w:r>
            <w:r>
              <w:rPr>
                <w:rFonts w:hint="eastAsia" w:ascii="宋体" w:hAnsi="宋体" w:eastAsia="宋体" w:cs="宋体"/>
                <w:snapToGrid w:val="0"/>
                <w:color w:val="auto"/>
                <w:spacing w:val="0"/>
                <w:kern w:val="21"/>
                <w:szCs w:val="21"/>
                <w:highlight w:val="none"/>
                <w:lang w:eastAsia="zh-CN"/>
              </w:rPr>
              <w:t>招标代理服务费</w:t>
            </w:r>
            <w:r>
              <w:rPr>
                <w:rFonts w:hint="eastAsia" w:ascii="宋体" w:hAnsi="宋体" w:cs="宋体"/>
                <w:snapToGrid w:val="0"/>
                <w:color w:val="auto"/>
                <w:spacing w:val="0"/>
                <w:kern w:val="21"/>
                <w:szCs w:val="21"/>
                <w:highlight w:val="none"/>
                <w:lang w:eastAsia="zh-CN"/>
              </w:rPr>
              <w:t>（</w:t>
            </w:r>
            <w:r>
              <w:rPr>
                <w:rFonts w:hint="eastAsia" w:ascii="宋体" w:hAnsi="宋体" w:cs="宋体"/>
                <w:snapToGrid w:val="0"/>
                <w:color w:val="auto"/>
                <w:spacing w:val="0"/>
                <w:kern w:val="21"/>
                <w:szCs w:val="21"/>
                <w:highlight w:val="none"/>
                <w:lang w:val="en-US" w:eastAsia="zh-CN"/>
              </w:rPr>
              <w:t>本项目为服务类收费标准</w:t>
            </w:r>
            <w:r>
              <w:rPr>
                <w:rFonts w:hint="eastAsia" w:ascii="宋体" w:hAnsi="宋体" w:cs="宋体"/>
                <w:snapToGrid w:val="0"/>
                <w:color w:val="auto"/>
                <w:spacing w:val="0"/>
                <w:kern w:val="21"/>
                <w:szCs w:val="21"/>
                <w:highlight w:val="none"/>
                <w:lang w:eastAsia="zh-CN"/>
              </w:rPr>
              <w:t>）</w:t>
            </w:r>
            <w:r>
              <w:rPr>
                <w:rFonts w:hint="eastAsia" w:ascii="宋体" w:hAnsi="宋体" w:eastAsia="宋体" w:cs="宋体"/>
                <w:snapToGrid w:val="0"/>
                <w:color w:val="auto"/>
                <w:spacing w:val="0"/>
                <w:kern w:val="21"/>
                <w:szCs w:val="21"/>
                <w:highlight w:val="none"/>
                <w:lang w:eastAsia="zh-CN"/>
              </w:rPr>
              <w:t>。</w:t>
            </w:r>
          </w:p>
        </w:tc>
      </w:tr>
      <w:tr w14:paraId="66EF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7F15AA6">
            <w:pPr>
              <w:widowControl/>
              <w:jc w:val="center"/>
              <w:rPr>
                <w:rFonts w:hint="default" w:ascii="宋体" w:hAnsi="宋体" w:eastAsia="宋体" w:cs="宋体"/>
                <w:snapToGrid w:val="0"/>
                <w:color w:val="auto"/>
                <w:spacing w:val="0"/>
                <w:kern w:val="21"/>
                <w:szCs w:val="21"/>
                <w:highlight w:val="none"/>
                <w:lang w:val="en-US" w:eastAsia="zh-CN"/>
              </w:rPr>
            </w:pPr>
            <w:r>
              <w:rPr>
                <w:rFonts w:hint="eastAsia" w:ascii="宋体" w:hAnsi="宋体" w:eastAsia="宋体" w:cs="宋体"/>
                <w:snapToGrid w:val="0"/>
                <w:color w:val="auto"/>
                <w:spacing w:val="0"/>
                <w:kern w:val="21"/>
                <w:szCs w:val="21"/>
                <w:highlight w:val="none"/>
                <w:lang w:val="en-US" w:eastAsia="zh-CN"/>
              </w:rPr>
              <w:t>44</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17298D70">
            <w:pPr>
              <w:pStyle w:val="22"/>
              <w:spacing w:before="78" w:line="220" w:lineRule="auto"/>
              <w:jc w:val="center"/>
              <w:rPr>
                <w:rFonts w:hint="default"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rPr>
              <w:t>采购标的所属行业</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51B32EEB">
            <w:pPr>
              <w:pStyle w:val="22"/>
              <w:spacing w:before="78" w:line="220" w:lineRule="auto"/>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本项目</w:t>
            </w:r>
            <w:r>
              <w:rPr>
                <w:rFonts w:hint="eastAsia" w:ascii="宋体" w:hAnsi="宋体" w:eastAsia="宋体" w:cs="宋体"/>
                <w:color w:val="auto"/>
                <w:spacing w:val="0"/>
                <w:sz w:val="21"/>
                <w:szCs w:val="21"/>
                <w:highlight w:val="none"/>
              </w:rPr>
              <w:t>采购标的所属行业：</w:t>
            </w:r>
            <w:r>
              <w:rPr>
                <w:rFonts w:hint="eastAsia" w:ascii="宋体" w:hAnsi="宋体" w:eastAsia="宋体" w:cs="宋体"/>
                <w:color w:val="auto"/>
                <w:spacing w:val="0"/>
                <w:sz w:val="21"/>
                <w:szCs w:val="21"/>
                <w:highlight w:val="none"/>
                <w:lang w:eastAsia="zh-CN"/>
              </w:rPr>
              <w:t>“</w:t>
            </w:r>
            <w:r>
              <w:rPr>
                <w:rFonts w:hint="eastAsia" w:cs="宋体"/>
                <w:color w:val="auto"/>
                <w:spacing w:val="0"/>
                <w:sz w:val="21"/>
                <w:szCs w:val="21"/>
                <w:highlight w:val="none"/>
                <w:lang w:val="en-US" w:eastAsia="zh-CN"/>
              </w:rPr>
              <w:t>批发业</w:t>
            </w:r>
            <w:r>
              <w:rPr>
                <w:rFonts w:hint="eastAsia" w:ascii="宋体" w:hAnsi="宋体" w:eastAsia="宋体" w:cs="宋体"/>
                <w:color w:val="auto"/>
                <w:spacing w:val="0"/>
                <w:sz w:val="21"/>
                <w:szCs w:val="21"/>
                <w:highlight w:val="none"/>
                <w:lang w:eastAsia="zh-CN"/>
              </w:rPr>
              <w:t>”</w:t>
            </w:r>
          </w:p>
          <w:p w14:paraId="1EC94F32">
            <w:pPr>
              <w:pStyle w:val="22"/>
              <w:spacing w:before="78" w:line="220" w:lineRule="auto"/>
              <w:jc w:val="left"/>
              <w:rPr>
                <w:rFonts w:hint="default"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rPr>
              <w:t>划定标准为：《工业和信息化部、国家统计局、国家发展和改革委员会、财政部关于印发&lt;中小企业划型标准规定的通知&gt;（工信部联企业〔2011〕300号）规定的划分标准为依据。</w:t>
            </w:r>
          </w:p>
        </w:tc>
      </w:tr>
      <w:tr w14:paraId="6BF08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9889" w:type="dxa"/>
            <w:gridSpan w:val="3"/>
            <w:tcBorders>
              <w:top w:val="single" w:color="auto" w:sz="4" w:space="0"/>
              <w:left w:val="single" w:color="auto" w:sz="4" w:space="0"/>
              <w:bottom w:val="single" w:color="auto" w:sz="4" w:space="0"/>
              <w:right w:val="single" w:color="auto" w:sz="4" w:space="0"/>
            </w:tcBorders>
            <w:noWrap w:val="0"/>
            <w:vAlign w:val="center"/>
          </w:tcPr>
          <w:p w14:paraId="099DB7EB">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b/>
                <w:bCs/>
                <w:snapToGrid w:val="0"/>
                <w:color w:val="auto"/>
                <w:spacing w:val="0"/>
                <w:kern w:val="21"/>
                <w:szCs w:val="21"/>
                <w:highlight w:val="none"/>
              </w:rPr>
              <w:t>需要补充的其他内容</w:t>
            </w:r>
          </w:p>
        </w:tc>
      </w:tr>
      <w:tr w14:paraId="749D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1599F7FE">
            <w:pPr>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1</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0B469F16">
            <w:pPr>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是否实行计算机辅助评标</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583206DD">
            <w:pPr>
              <w:ind w:firstLine="210" w:firstLineChars="100"/>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是。</w:t>
            </w:r>
          </w:p>
          <w:p w14:paraId="69E57EC3">
            <w:pPr>
              <w:ind w:firstLine="210" w:firstLineChars="100"/>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eastAsia="zh-CN"/>
              </w:rPr>
              <w:t>投标人</w:t>
            </w:r>
            <w:r>
              <w:rPr>
                <w:rFonts w:hint="eastAsia" w:ascii="宋体" w:hAnsi="宋体" w:eastAsia="宋体" w:cs="宋体"/>
                <w:snapToGrid w:val="0"/>
                <w:color w:val="auto"/>
                <w:spacing w:val="0"/>
                <w:kern w:val="21"/>
                <w:szCs w:val="21"/>
                <w:highlight w:val="none"/>
              </w:rPr>
              <w:t>须独立制作、修改和上传</w:t>
            </w:r>
            <w:r>
              <w:rPr>
                <w:rFonts w:hint="eastAsia" w:ascii="宋体" w:hAnsi="宋体" w:eastAsia="宋体" w:cs="宋体"/>
                <w:snapToGrid w:val="0"/>
                <w:color w:val="auto"/>
                <w:spacing w:val="0"/>
                <w:kern w:val="21"/>
                <w:szCs w:val="21"/>
                <w:highlight w:val="none"/>
                <w:lang w:eastAsia="zh-CN"/>
              </w:rPr>
              <w:t>投标文件</w:t>
            </w:r>
            <w:r>
              <w:rPr>
                <w:rFonts w:hint="eastAsia" w:ascii="宋体" w:hAnsi="宋体" w:eastAsia="宋体" w:cs="宋体"/>
                <w:snapToGrid w:val="0"/>
                <w:color w:val="auto"/>
                <w:spacing w:val="0"/>
                <w:kern w:val="21"/>
                <w:szCs w:val="21"/>
                <w:highlight w:val="none"/>
              </w:rPr>
              <w:t>，若因“</w:t>
            </w:r>
            <w:r>
              <w:rPr>
                <w:rFonts w:hint="eastAsia" w:ascii="宋体" w:hAnsi="宋体" w:eastAsia="宋体" w:cs="宋体"/>
                <w:snapToGrid w:val="0"/>
                <w:color w:val="auto"/>
                <w:spacing w:val="0"/>
                <w:kern w:val="21"/>
                <w:szCs w:val="21"/>
                <w:highlight w:val="none"/>
                <w:lang w:eastAsia="zh-CN"/>
              </w:rPr>
              <w:t>投标文件</w:t>
            </w:r>
            <w:r>
              <w:rPr>
                <w:rFonts w:hint="eastAsia" w:ascii="宋体" w:hAnsi="宋体" w:eastAsia="宋体" w:cs="宋体"/>
                <w:snapToGrid w:val="0"/>
                <w:color w:val="auto"/>
                <w:spacing w:val="0"/>
                <w:kern w:val="21"/>
                <w:szCs w:val="21"/>
                <w:highlight w:val="none"/>
              </w:rPr>
              <w:t>制作机器码”与其他</w:t>
            </w:r>
            <w:r>
              <w:rPr>
                <w:rFonts w:hint="eastAsia" w:ascii="宋体" w:hAnsi="宋体" w:eastAsia="宋体" w:cs="宋体"/>
                <w:snapToGrid w:val="0"/>
                <w:color w:val="auto"/>
                <w:spacing w:val="0"/>
                <w:kern w:val="21"/>
                <w:szCs w:val="21"/>
                <w:highlight w:val="none"/>
                <w:lang w:eastAsia="zh-CN"/>
              </w:rPr>
              <w:t>投标人</w:t>
            </w:r>
            <w:r>
              <w:rPr>
                <w:rFonts w:hint="eastAsia" w:ascii="宋体" w:hAnsi="宋体" w:eastAsia="宋体" w:cs="宋体"/>
                <w:snapToGrid w:val="0"/>
                <w:color w:val="auto"/>
                <w:spacing w:val="0"/>
                <w:kern w:val="21"/>
                <w:szCs w:val="21"/>
                <w:highlight w:val="none"/>
              </w:rPr>
              <w:t>一致，机器码一致的所有</w:t>
            </w:r>
            <w:r>
              <w:rPr>
                <w:rFonts w:hint="eastAsia" w:ascii="宋体" w:hAnsi="宋体" w:eastAsia="宋体" w:cs="宋体"/>
                <w:snapToGrid w:val="0"/>
                <w:color w:val="auto"/>
                <w:spacing w:val="0"/>
                <w:kern w:val="21"/>
                <w:szCs w:val="21"/>
                <w:highlight w:val="none"/>
                <w:lang w:eastAsia="zh-CN"/>
              </w:rPr>
              <w:t>投标文件</w:t>
            </w:r>
            <w:r>
              <w:rPr>
                <w:rFonts w:hint="eastAsia" w:ascii="宋体" w:hAnsi="宋体" w:eastAsia="宋体" w:cs="宋体"/>
                <w:snapToGrid w:val="0"/>
                <w:color w:val="auto"/>
                <w:spacing w:val="0"/>
                <w:kern w:val="21"/>
                <w:szCs w:val="21"/>
                <w:highlight w:val="none"/>
              </w:rPr>
              <w:t>按无效文件处理，所造成的不良后果由</w:t>
            </w:r>
            <w:r>
              <w:rPr>
                <w:rFonts w:hint="eastAsia" w:ascii="宋体" w:hAnsi="宋体" w:eastAsia="宋体" w:cs="宋体"/>
                <w:snapToGrid w:val="0"/>
                <w:color w:val="auto"/>
                <w:spacing w:val="0"/>
                <w:kern w:val="21"/>
                <w:szCs w:val="21"/>
                <w:highlight w:val="none"/>
                <w:lang w:eastAsia="zh-CN"/>
              </w:rPr>
              <w:t>投标人</w:t>
            </w:r>
            <w:r>
              <w:rPr>
                <w:rFonts w:hint="eastAsia" w:ascii="宋体" w:hAnsi="宋体" w:eastAsia="宋体" w:cs="宋体"/>
                <w:snapToGrid w:val="0"/>
                <w:color w:val="auto"/>
                <w:spacing w:val="0"/>
                <w:kern w:val="21"/>
                <w:szCs w:val="21"/>
                <w:highlight w:val="none"/>
              </w:rPr>
              <w:t>自行承担。</w:t>
            </w:r>
          </w:p>
        </w:tc>
      </w:tr>
      <w:tr w14:paraId="5379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48AD203B">
            <w:pPr>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2</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33668B5C">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质疑</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4E11B303">
            <w:pPr>
              <w:widowControl/>
              <w:numPr>
                <w:ilvl w:val="0"/>
                <w:numId w:val="1"/>
              </w:numPr>
              <w:ind w:firstLine="210" w:firstLineChars="100"/>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eastAsia="zh-CN"/>
              </w:rPr>
              <w:t>投标人</w:t>
            </w:r>
            <w:r>
              <w:rPr>
                <w:rFonts w:hint="eastAsia" w:ascii="宋体" w:hAnsi="宋体" w:eastAsia="宋体" w:cs="宋体"/>
                <w:snapToGrid w:val="0"/>
                <w:color w:val="auto"/>
                <w:spacing w:val="0"/>
                <w:kern w:val="21"/>
                <w:szCs w:val="21"/>
                <w:highlight w:val="none"/>
              </w:rPr>
              <w:t>认为采购文件、采购过程、中标或者成交结果使自己的权益受到损害的，可以在知道或者应知其权益受到损害之日起7个工作日内，以书面形式向</w:t>
            </w:r>
            <w:r>
              <w:rPr>
                <w:rFonts w:hint="eastAsia" w:ascii="宋体" w:hAnsi="宋体" w:eastAsia="宋体" w:cs="宋体"/>
                <w:snapToGrid w:val="0"/>
                <w:color w:val="auto"/>
                <w:spacing w:val="0"/>
                <w:kern w:val="21"/>
                <w:szCs w:val="21"/>
                <w:highlight w:val="none"/>
                <w:lang w:eastAsia="zh-CN"/>
              </w:rPr>
              <w:t>采购人</w:t>
            </w:r>
            <w:r>
              <w:rPr>
                <w:rFonts w:hint="eastAsia" w:ascii="宋体" w:hAnsi="宋体" w:eastAsia="宋体" w:cs="宋体"/>
                <w:snapToGrid w:val="0"/>
                <w:color w:val="auto"/>
                <w:spacing w:val="0"/>
                <w:kern w:val="21"/>
                <w:szCs w:val="21"/>
                <w:highlight w:val="none"/>
              </w:rPr>
              <w:t>、</w:t>
            </w:r>
            <w:r>
              <w:rPr>
                <w:rFonts w:hint="eastAsia" w:ascii="宋体" w:hAnsi="宋体" w:eastAsia="宋体" w:cs="宋体"/>
                <w:snapToGrid w:val="0"/>
                <w:color w:val="auto"/>
                <w:spacing w:val="0"/>
                <w:kern w:val="21"/>
                <w:szCs w:val="21"/>
                <w:highlight w:val="none"/>
                <w:lang w:eastAsia="zh-CN"/>
              </w:rPr>
              <w:t>招标代理机构</w:t>
            </w:r>
            <w:r>
              <w:rPr>
                <w:rFonts w:hint="eastAsia" w:ascii="宋体" w:hAnsi="宋体" w:eastAsia="宋体" w:cs="宋体"/>
                <w:snapToGrid w:val="0"/>
                <w:color w:val="auto"/>
                <w:spacing w:val="0"/>
                <w:kern w:val="21"/>
                <w:szCs w:val="21"/>
                <w:highlight w:val="none"/>
              </w:rPr>
              <w:t>提出质疑。</w:t>
            </w:r>
          </w:p>
          <w:p w14:paraId="1C992FE2">
            <w:pPr>
              <w:widowControl/>
              <w:numPr>
                <w:ilvl w:val="0"/>
                <w:numId w:val="1"/>
              </w:numPr>
              <w:ind w:firstLine="210" w:firstLineChars="100"/>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要求</w:t>
            </w:r>
            <w:r>
              <w:rPr>
                <w:rFonts w:hint="eastAsia" w:ascii="宋体" w:hAnsi="宋体" w:eastAsia="宋体" w:cs="宋体"/>
                <w:snapToGrid w:val="0"/>
                <w:color w:val="auto"/>
                <w:spacing w:val="0"/>
                <w:kern w:val="21"/>
                <w:szCs w:val="21"/>
                <w:highlight w:val="none"/>
                <w:lang w:eastAsia="zh-CN"/>
              </w:rPr>
              <w:t>投标人</w:t>
            </w:r>
            <w:r>
              <w:rPr>
                <w:rFonts w:hint="eastAsia" w:ascii="宋体" w:hAnsi="宋体" w:eastAsia="宋体" w:cs="宋体"/>
                <w:snapToGrid w:val="0"/>
                <w:color w:val="auto"/>
                <w:spacing w:val="0"/>
                <w:kern w:val="21"/>
                <w:szCs w:val="21"/>
                <w:highlight w:val="none"/>
              </w:rPr>
              <w:t>在法定质疑期内一次性提出针对同一采购程序环节的质疑。</w:t>
            </w:r>
          </w:p>
          <w:p w14:paraId="1C0BB9EA">
            <w:pPr>
              <w:widowControl/>
              <w:numPr>
                <w:ilvl w:val="0"/>
                <w:numId w:val="2"/>
              </w:numPr>
              <w:ind w:firstLine="210" w:firstLineChars="100"/>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接收质疑函的方式：接收加盖单位公章的书面质疑函接收单位：详见公告联系人</w:t>
            </w:r>
          </w:p>
          <w:p w14:paraId="0B347F64">
            <w:pPr>
              <w:widowControl/>
              <w:numPr>
                <w:ilvl w:val="0"/>
                <w:numId w:val="2"/>
              </w:numPr>
              <w:ind w:firstLine="210" w:firstLineChars="100"/>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质疑函的内容、格式：应符合《中华人民共和国财政部令第94号—政府采购质疑和投诉办法》相关规定和财政部门制定的《政府采购质疑函范本》格式。</w:t>
            </w:r>
          </w:p>
          <w:p w14:paraId="0B582B9E">
            <w:pPr>
              <w:widowControl/>
              <w:ind w:firstLine="210" w:firstLineChars="100"/>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三</w:t>
            </w:r>
            <w:r>
              <w:rPr>
                <w:rFonts w:hint="eastAsia" w:ascii="宋体" w:hAnsi="宋体" w:eastAsia="宋体" w:cs="宋体"/>
                <w:snapToGrid w:val="0"/>
                <w:color w:val="auto"/>
                <w:spacing w:val="0"/>
                <w:kern w:val="21"/>
                <w:szCs w:val="21"/>
                <w:highlight w:val="none"/>
              </w:rPr>
              <w:t>、</w:t>
            </w:r>
            <w:r>
              <w:rPr>
                <w:rFonts w:hint="eastAsia" w:ascii="宋体" w:hAnsi="宋体" w:eastAsia="宋体" w:cs="宋体"/>
                <w:snapToGrid w:val="0"/>
                <w:color w:val="auto"/>
                <w:spacing w:val="0"/>
                <w:kern w:val="21"/>
                <w:szCs w:val="21"/>
                <w:highlight w:val="none"/>
                <w:lang w:eastAsia="zh-CN"/>
              </w:rPr>
              <w:t>投标人</w:t>
            </w:r>
            <w:r>
              <w:rPr>
                <w:rFonts w:hint="eastAsia" w:ascii="宋体" w:hAnsi="宋体" w:eastAsia="宋体" w:cs="宋体"/>
                <w:snapToGrid w:val="0"/>
                <w:color w:val="auto"/>
                <w:spacing w:val="0"/>
                <w:kern w:val="21"/>
                <w:szCs w:val="21"/>
                <w:highlight w:val="none"/>
              </w:rPr>
              <w:t>应在法定质疑期内一次性针对同一采购程序环节提出质疑，否则针对再次提出质疑将不予接收。（采购程序环节分为：采购公告、</w:t>
            </w:r>
            <w:r>
              <w:rPr>
                <w:rFonts w:hint="eastAsia" w:ascii="宋体" w:hAnsi="宋体" w:eastAsia="宋体" w:cs="宋体"/>
                <w:snapToGrid w:val="0"/>
                <w:color w:val="auto"/>
                <w:spacing w:val="0"/>
                <w:kern w:val="21"/>
                <w:szCs w:val="21"/>
                <w:highlight w:val="none"/>
                <w:lang w:eastAsia="zh-CN"/>
              </w:rPr>
              <w:t>招标文件</w:t>
            </w:r>
            <w:r>
              <w:rPr>
                <w:rFonts w:hint="eastAsia" w:ascii="宋体" w:hAnsi="宋体" w:eastAsia="宋体" w:cs="宋体"/>
                <w:snapToGrid w:val="0"/>
                <w:color w:val="auto"/>
                <w:spacing w:val="0"/>
                <w:kern w:val="21"/>
                <w:szCs w:val="21"/>
                <w:highlight w:val="none"/>
              </w:rPr>
              <w:t>、采购过程、成交结果）</w:t>
            </w:r>
          </w:p>
        </w:tc>
      </w:tr>
      <w:tr w14:paraId="5E16A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1A148310">
            <w:pPr>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3</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565A4C4E">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招标文件</w:t>
            </w:r>
            <w:r>
              <w:rPr>
                <w:rFonts w:hint="eastAsia" w:ascii="宋体" w:hAnsi="宋体" w:eastAsia="宋体" w:cs="宋体"/>
                <w:snapToGrid w:val="0"/>
                <w:color w:val="auto"/>
                <w:spacing w:val="0"/>
                <w:kern w:val="21"/>
                <w:szCs w:val="21"/>
                <w:highlight w:val="none"/>
              </w:rPr>
              <w:t>的解释</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33CA02CC">
            <w:pPr>
              <w:widowControl/>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在符合相关法律法规的前提下，</w:t>
            </w:r>
            <w:r>
              <w:rPr>
                <w:rFonts w:hint="eastAsia" w:ascii="宋体" w:hAnsi="宋体" w:eastAsia="宋体" w:cs="宋体"/>
                <w:snapToGrid w:val="0"/>
                <w:color w:val="auto"/>
                <w:spacing w:val="0"/>
                <w:kern w:val="21"/>
                <w:szCs w:val="21"/>
                <w:highlight w:val="none"/>
                <w:lang w:val="en-US" w:eastAsia="zh-CN"/>
              </w:rPr>
              <w:t>招标</w:t>
            </w:r>
            <w:r>
              <w:rPr>
                <w:rFonts w:hint="eastAsia" w:ascii="宋体" w:hAnsi="宋体" w:eastAsia="宋体" w:cs="宋体"/>
                <w:snapToGrid w:val="0"/>
                <w:color w:val="auto"/>
                <w:spacing w:val="0"/>
                <w:kern w:val="21"/>
                <w:szCs w:val="21"/>
                <w:highlight w:val="none"/>
              </w:rPr>
              <w:t>文件的解释权归</w:t>
            </w:r>
            <w:r>
              <w:rPr>
                <w:rFonts w:hint="eastAsia" w:ascii="宋体" w:hAnsi="宋体" w:eastAsia="宋体" w:cs="宋体"/>
                <w:snapToGrid w:val="0"/>
                <w:color w:val="auto"/>
                <w:spacing w:val="0"/>
                <w:kern w:val="21"/>
                <w:szCs w:val="21"/>
                <w:highlight w:val="none"/>
                <w:lang w:val="en-US" w:eastAsia="zh-CN"/>
              </w:rPr>
              <w:t>采购人</w:t>
            </w:r>
            <w:r>
              <w:rPr>
                <w:rFonts w:hint="eastAsia" w:ascii="宋体" w:hAnsi="宋体" w:eastAsia="宋体" w:cs="宋体"/>
                <w:snapToGrid w:val="0"/>
                <w:color w:val="auto"/>
                <w:spacing w:val="0"/>
                <w:kern w:val="21"/>
                <w:szCs w:val="21"/>
                <w:highlight w:val="none"/>
              </w:rPr>
              <w:t>所有。</w:t>
            </w:r>
          </w:p>
        </w:tc>
      </w:tr>
      <w:tr w14:paraId="5E35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5AD961B5">
            <w:pPr>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4</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0020520D">
            <w:pPr>
              <w:keepLines/>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相关费用</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207293AA">
            <w:pPr>
              <w:keepLines/>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lang w:val="en-US" w:eastAsia="zh-CN"/>
              </w:rPr>
              <w:t>招标文件</w:t>
            </w:r>
            <w:r>
              <w:rPr>
                <w:rFonts w:hint="eastAsia" w:ascii="宋体" w:hAnsi="宋体" w:eastAsia="宋体" w:cs="宋体"/>
                <w:snapToGrid w:val="0"/>
                <w:color w:val="auto"/>
                <w:spacing w:val="0"/>
                <w:kern w:val="21"/>
                <w:szCs w:val="21"/>
                <w:highlight w:val="none"/>
              </w:rPr>
              <w:t>费：本项目为全电子招标，不收取</w:t>
            </w:r>
            <w:r>
              <w:rPr>
                <w:rFonts w:hint="eastAsia" w:ascii="宋体" w:hAnsi="宋体" w:eastAsia="宋体" w:cs="宋体"/>
                <w:snapToGrid w:val="0"/>
                <w:color w:val="auto"/>
                <w:spacing w:val="0"/>
                <w:kern w:val="21"/>
                <w:szCs w:val="21"/>
                <w:highlight w:val="none"/>
                <w:lang w:val="en-US" w:eastAsia="zh-CN"/>
              </w:rPr>
              <w:t>招标文件</w:t>
            </w:r>
            <w:r>
              <w:rPr>
                <w:rFonts w:hint="eastAsia" w:ascii="宋体" w:hAnsi="宋体" w:eastAsia="宋体" w:cs="宋体"/>
                <w:snapToGrid w:val="0"/>
                <w:color w:val="auto"/>
                <w:spacing w:val="0"/>
                <w:kern w:val="21"/>
                <w:szCs w:val="21"/>
                <w:highlight w:val="none"/>
              </w:rPr>
              <w:t>文件费；</w:t>
            </w:r>
          </w:p>
        </w:tc>
      </w:tr>
      <w:tr w14:paraId="71AF2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A14FA31">
            <w:pPr>
              <w:jc w:val="center"/>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lang w:val="en-US" w:eastAsia="zh-CN"/>
              </w:rPr>
              <w:t>5</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88D438E">
            <w:pPr>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解释权</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4F907187">
            <w:pPr>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构成本</w:t>
            </w:r>
            <w:r>
              <w:rPr>
                <w:rFonts w:hint="eastAsia" w:ascii="宋体" w:hAnsi="宋体" w:eastAsia="宋体" w:cs="宋体"/>
                <w:snapToGrid w:val="0"/>
                <w:color w:val="auto"/>
                <w:spacing w:val="0"/>
                <w:kern w:val="21"/>
                <w:szCs w:val="21"/>
                <w:highlight w:val="none"/>
                <w:lang w:eastAsia="zh-CN"/>
              </w:rPr>
              <w:t>招标文件</w:t>
            </w:r>
            <w:r>
              <w:rPr>
                <w:rFonts w:hint="eastAsia" w:ascii="宋体" w:hAnsi="宋体" w:eastAsia="宋体" w:cs="宋体"/>
                <w:snapToGrid w:val="0"/>
                <w:color w:val="auto"/>
                <w:spacing w:val="0"/>
                <w:kern w:val="21"/>
                <w:szCs w:val="21"/>
                <w:highlight w:val="none"/>
              </w:rPr>
              <w:t>的各个组成部分应互为解释，互为说明，如有不明确或不一致，构成合同文件组成内容，以合同文件约定内容为准，且以专用合同草案约定的合同文件优先顺序解释；除</w:t>
            </w:r>
            <w:r>
              <w:rPr>
                <w:rFonts w:hint="eastAsia" w:ascii="宋体" w:hAnsi="宋体" w:eastAsia="宋体" w:cs="宋体"/>
                <w:snapToGrid w:val="0"/>
                <w:color w:val="auto"/>
                <w:spacing w:val="0"/>
                <w:kern w:val="21"/>
                <w:szCs w:val="21"/>
                <w:highlight w:val="none"/>
                <w:lang w:eastAsia="zh-CN"/>
              </w:rPr>
              <w:t>招标文件</w:t>
            </w:r>
            <w:r>
              <w:rPr>
                <w:rFonts w:hint="eastAsia" w:ascii="宋体" w:hAnsi="宋体" w:eastAsia="宋体" w:cs="宋体"/>
                <w:snapToGrid w:val="0"/>
                <w:color w:val="auto"/>
                <w:spacing w:val="0"/>
                <w:kern w:val="21"/>
                <w:szCs w:val="21"/>
                <w:highlight w:val="none"/>
              </w:rPr>
              <w:t>中有特别规定外，仅适用于招标投标阶段的规定，按招标公告（投标邀请书）、评标办法、投标文件格式的先后顺序解释；同一组成文件中就同一事项的规定或约定不一致的，以编排顺序在后者为准；同一组成文件不同版本之间有不一致的，已形成时间在后者为准。按本款前述规定仍不能形成结论的，由</w:t>
            </w:r>
            <w:r>
              <w:rPr>
                <w:rFonts w:hint="eastAsia" w:ascii="宋体" w:hAnsi="宋体" w:eastAsia="宋体" w:cs="宋体"/>
                <w:snapToGrid w:val="0"/>
                <w:color w:val="auto"/>
                <w:spacing w:val="0"/>
                <w:kern w:val="21"/>
                <w:szCs w:val="21"/>
                <w:highlight w:val="none"/>
                <w:lang w:eastAsia="zh-CN"/>
              </w:rPr>
              <w:t>采购人</w:t>
            </w:r>
            <w:r>
              <w:rPr>
                <w:rFonts w:hint="eastAsia" w:ascii="宋体" w:hAnsi="宋体" w:eastAsia="宋体" w:cs="宋体"/>
                <w:snapToGrid w:val="0"/>
                <w:color w:val="auto"/>
                <w:spacing w:val="0"/>
                <w:kern w:val="21"/>
                <w:szCs w:val="21"/>
                <w:highlight w:val="none"/>
              </w:rPr>
              <w:t>或委托代理机构负责解释。</w:t>
            </w:r>
          </w:p>
        </w:tc>
      </w:tr>
      <w:tr w14:paraId="43A70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68990057">
            <w:pPr>
              <w:jc w:val="center"/>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lang w:val="en-US" w:eastAsia="zh-CN"/>
              </w:rPr>
              <w:t>6</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327C90EA">
            <w:pPr>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同义词语</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073864F6">
            <w:pPr>
              <w:jc w:val="left"/>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构成</w:t>
            </w:r>
            <w:r>
              <w:rPr>
                <w:rFonts w:hint="eastAsia" w:ascii="宋体" w:hAnsi="宋体" w:eastAsia="宋体" w:cs="宋体"/>
                <w:snapToGrid w:val="0"/>
                <w:color w:val="auto"/>
                <w:spacing w:val="0"/>
                <w:kern w:val="21"/>
                <w:szCs w:val="21"/>
                <w:highlight w:val="none"/>
                <w:lang w:eastAsia="zh-CN"/>
              </w:rPr>
              <w:t>招标文件</w:t>
            </w:r>
            <w:r>
              <w:rPr>
                <w:rFonts w:hint="eastAsia" w:ascii="宋体" w:hAnsi="宋体" w:eastAsia="宋体" w:cs="宋体"/>
                <w:snapToGrid w:val="0"/>
                <w:color w:val="auto"/>
                <w:spacing w:val="0"/>
                <w:kern w:val="21"/>
                <w:szCs w:val="21"/>
                <w:highlight w:val="none"/>
              </w:rPr>
              <w:t>组成部分的“通用合同条款”、“专用合同条款”、“技术标准和要求”等章节中出现的措辞“发包人”和“承包人”，在招标投标阶段应当分别按“</w:t>
            </w:r>
            <w:r>
              <w:rPr>
                <w:rFonts w:hint="eastAsia" w:ascii="宋体" w:hAnsi="宋体" w:eastAsia="宋体" w:cs="宋体"/>
                <w:snapToGrid w:val="0"/>
                <w:color w:val="auto"/>
                <w:spacing w:val="0"/>
                <w:kern w:val="21"/>
                <w:szCs w:val="21"/>
                <w:highlight w:val="none"/>
                <w:lang w:eastAsia="zh-CN"/>
              </w:rPr>
              <w:t>采购人</w:t>
            </w:r>
            <w:r>
              <w:rPr>
                <w:rFonts w:hint="eastAsia" w:ascii="宋体" w:hAnsi="宋体" w:eastAsia="宋体" w:cs="宋体"/>
                <w:snapToGrid w:val="0"/>
                <w:color w:val="auto"/>
                <w:spacing w:val="0"/>
                <w:kern w:val="21"/>
                <w:szCs w:val="21"/>
                <w:highlight w:val="none"/>
              </w:rPr>
              <w:t>”和“投标人”进行理解。</w:t>
            </w:r>
          </w:p>
        </w:tc>
      </w:tr>
      <w:tr w14:paraId="2F609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2B819AB8">
            <w:pPr>
              <w:jc w:val="center"/>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lang w:val="en-US" w:eastAsia="zh-CN"/>
              </w:rPr>
              <w:t>7</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6EAFBF3E">
            <w:pPr>
              <w:pStyle w:val="22"/>
              <w:spacing w:before="78" w:line="221" w:lineRule="auto"/>
              <w:jc w:val="center"/>
              <w:rPr>
                <w:rFonts w:hint="eastAsia" w:ascii="宋体" w:hAnsi="宋体" w:eastAsia="宋体" w:cs="宋体"/>
                <w:snapToGrid w:val="0"/>
                <w:color w:val="auto"/>
                <w:spacing w:val="0"/>
                <w:kern w:val="21"/>
                <w:sz w:val="21"/>
                <w:szCs w:val="21"/>
                <w:highlight w:val="none"/>
              </w:rPr>
            </w:pPr>
            <w:r>
              <w:rPr>
                <w:rFonts w:hint="eastAsia" w:ascii="宋体" w:hAnsi="宋体" w:eastAsia="宋体" w:cs="宋体"/>
                <w:color w:val="auto"/>
                <w:spacing w:val="0"/>
                <w:sz w:val="21"/>
                <w:szCs w:val="21"/>
                <w:highlight w:val="none"/>
              </w:rPr>
              <w:t>重新招标的情形</w:t>
            </w:r>
          </w:p>
        </w:tc>
        <w:tc>
          <w:tcPr>
            <w:tcW w:w="6810" w:type="dxa"/>
            <w:tcBorders>
              <w:top w:val="single" w:color="auto" w:sz="4" w:space="0"/>
              <w:left w:val="single" w:color="auto" w:sz="4" w:space="0"/>
              <w:bottom w:val="single" w:color="auto" w:sz="4" w:space="0"/>
              <w:right w:val="single" w:color="auto" w:sz="4" w:space="0"/>
            </w:tcBorders>
            <w:noWrap w:val="0"/>
            <w:vAlign w:val="top"/>
          </w:tcPr>
          <w:p w14:paraId="6BFA4221">
            <w:pPr>
              <w:jc w:val="left"/>
              <w:rPr>
                <w:rFonts w:hint="eastAsia" w:ascii="宋体" w:hAnsi="宋体" w:eastAsia="宋体" w:cs="宋体"/>
                <w:snapToGrid w:val="0"/>
                <w:color w:val="auto"/>
                <w:spacing w:val="0"/>
                <w:kern w:val="21"/>
                <w:sz w:val="21"/>
                <w:szCs w:val="21"/>
                <w:highlight w:val="none"/>
              </w:rPr>
            </w:pPr>
            <w:r>
              <w:rPr>
                <w:rFonts w:hint="eastAsia" w:ascii="宋体" w:hAnsi="宋体" w:eastAsia="宋体" w:cs="宋体"/>
                <w:snapToGrid w:val="0"/>
                <w:color w:val="auto"/>
                <w:spacing w:val="0"/>
                <w:kern w:val="21"/>
                <w:sz w:val="21"/>
                <w:szCs w:val="21"/>
                <w:highlight w:val="none"/>
              </w:rPr>
              <w:t>（1）投标截止时间止，</w:t>
            </w:r>
            <w:r>
              <w:rPr>
                <w:rFonts w:hint="eastAsia" w:ascii="宋体" w:hAnsi="宋体" w:eastAsia="宋体" w:cs="宋体"/>
                <w:snapToGrid w:val="0"/>
                <w:color w:val="auto"/>
                <w:spacing w:val="0"/>
                <w:kern w:val="21"/>
                <w:sz w:val="21"/>
                <w:szCs w:val="21"/>
                <w:highlight w:val="none"/>
                <w:lang w:eastAsia="zh-CN"/>
              </w:rPr>
              <w:t>投标人</w:t>
            </w:r>
            <w:r>
              <w:rPr>
                <w:rFonts w:hint="eastAsia" w:ascii="宋体" w:hAnsi="宋体" w:eastAsia="宋体" w:cs="宋体"/>
                <w:snapToGrid w:val="0"/>
                <w:color w:val="auto"/>
                <w:spacing w:val="0"/>
                <w:kern w:val="21"/>
                <w:sz w:val="21"/>
                <w:szCs w:val="21"/>
                <w:highlight w:val="none"/>
              </w:rPr>
              <w:t>少于 3 个的；</w:t>
            </w:r>
          </w:p>
          <w:p w14:paraId="4C9AB59D">
            <w:pPr>
              <w:jc w:val="left"/>
              <w:rPr>
                <w:rFonts w:hint="eastAsia" w:ascii="宋体" w:hAnsi="宋体" w:eastAsia="宋体" w:cs="宋体"/>
                <w:snapToGrid w:val="0"/>
                <w:color w:val="auto"/>
                <w:spacing w:val="0"/>
                <w:kern w:val="21"/>
                <w:sz w:val="21"/>
                <w:szCs w:val="21"/>
                <w:highlight w:val="none"/>
              </w:rPr>
            </w:pPr>
            <w:r>
              <w:rPr>
                <w:rFonts w:hint="eastAsia" w:ascii="宋体" w:hAnsi="宋体" w:eastAsia="宋体" w:cs="宋体"/>
                <w:snapToGrid w:val="0"/>
                <w:color w:val="auto"/>
                <w:spacing w:val="0"/>
                <w:kern w:val="21"/>
                <w:sz w:val="21"/>
                <w:szCs w:val="21"/>
                <w:highlight w:val="none"/>
              </w:rPr>
              <w:t>（2）经评标委员会评审后否决所有投标的。</w:t>
            </w:r>
          </w:p>
          <w:p w14:paraId="53DD957B">
            <w:pPr>
              <w:jc w:val="left"/>
              <w:rPr>
                <w:rFonts w:hint="eastAsia" w:ascii="宋体" w:hAnsi="宋体" w:eastAsia="宋体" w:cs="宋体"/>
                <w:snapToGrid w:val="0"/>
                <w:color w:val="auto"/>
                <w:spacing w:val="0"/>
                <w:kern w:val="21"/>
                <w:sz w:val="21"/>
                <w:szCs w:val="21"/>
                <w:highlight w:val="none"/>
              </w:rPr>
            </w:pPr>
            <w:r>
              <w:rPr>
                <w:rFonts w:hint="eastAsia" w:ascii="宋体" w:hAnsi="宋体" w:eastAsia="宋体" w:cs="宋体"/>
                <w:snapToGrid w:val="0"/>
                <w:color w:val="auto"/>
                <w:spacing w:val="0"/>
                <w:kern w:val="21"/>
                <w:sz w:val="21"/>
                <w:szCs w:val="21"/>
                <w:highlight w:val="none"/>
                <w:lang w:eastAsia="zh-CN"/>
              </w:rPr>
              <w:t>采购人</w:t>
            </w:r>
            <w:r>
              <w:rPr>
                <w:rFonts w:hint="eastAsia" w:ascii="宋体" w:hAnsi="宋体" w:eastAsia="宋体" w:cs="宋体"/>
                <w:snapToGrid w:val="0"/>
                <w:color w:val="auto"/>
                <w:spacing w:val="0"/>
                <w:kern w:val="21"/>
                <w:sz w:val="21"/>
                <w:szCs w:val="21"/>
                <w:highlight w:val="none"/>
              </w:rPr>
              <w:t>应当依法重新招标。</w:t>
            </w:r>
          </w:p>
        </w:tc>
      </w:tr>
      <w:tr w14:paraId="7D3E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4" w:type="dxa"/>
            <w:tcBorders>
              <w:top w:val="single" w:color="auto" w:sz="4" w:space="0"/>
              <w:left w:val="single" w:color="auto" w:sz="4" w:space="0"/>
              <w:bottom w:val="single" w:color="auto" w:sz="4" w:space="0"/>
              <w:right w:val="single" w:color="auto" w:sz="4" w:space="0"/>
            </w:tcBorders>
            <w:noWrap w:val="0"/>
            <w:vAlign w:val="center"/>
          </w:tcPr>
          <w:p w14:paraId="3BE61FDE">
            <w:pPr>
              <w:jc w:val="center"/>
              <w:rPr>
                <w:rFonts w:hint="eastAsia" w:ascii="宋体" w:hAnsi="宋体" w:eastAsia="宋体" w:cs="宋体"/>
                <w:snapToGrid w:val="0"/>
                <w:color w:val="auto"/>
                <w:spacing w:val="0"/>
                <w:kern w:val="21"/>
                <w:szCs w:val="21"/>
                <w:highlight w:val="none"/>
                <w:lang w:eastAsia="zh-CN"/>
              </w:rPr>
            </w:pPr>
            <w:r>
              <w:rPr>
                <w:rFonts w:hint="eastAsia" w:ascii="宋体" w:hAnsi="宋体" w:eastAsia="宋体" w:cs="宋体"/>
                <w:snapToGrid w:val="0"/>
                <w:color w:val="auto"/>
                <w:spacing w:val="0"/>
                <w:kern w:val="21"/>
                <w:szCs w:val="21"/>
                <w:highlight w:val="none"/>
                <w:lang w:val="en-US" w:eastAsia="zh-CN"/>
              </w:rPr>
              <w:t>8</w:t>
            </w:r>
          </w:p>
        </w:tc>
        <w:tc>
          <w:tcPr>
            <w:tcW w:w="2105" w:type="dxa"/>
            <w:tcBorders>
              <w:top w:val="single" w:color="auto" w:sz="4" w:space="0"/>
              <w:left w:val="single" w:color="auto" w:sz="4" w:space="0"/>
              <w:bottom w:val="single" w:color="auto" w:sz="4" w:space="0"/>
              <w:right w:val="single" w:color="auto" w:sz="4" w:space="0"/>
            </w:tcBorders>
            <w:noWrap w:val="0"/>
            <w:vAlign w:val="center"/>
          </w:tcPr>
          <w:p w14:paraId="4A036D6E">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电子化交易</w:t>
            </w:r>
          </w:p>
          <w:p w14:paraId="1F602591">
            <w:pPr>
              <w:widowControl/>
              <w:jc w:val="center"/>
              <w:rPr>
                <w:rFonts w:hint="eastAsia" w:ascii="宋体" w:hAnsi="宋体" w:eastAsia="宋体" w:cs="宋体"/>
                <w:snapToGrid w:val="0"/>
                <w:color w:val="auto"/>
                <w:spacing w:val="0"/>
                <w:kern w:val="21"/>
                <w:szCs w:val="21"/>
                <w:highlight w:val="none"/>
              </w:rPr>
            </w:pPr>
            <w:r>
              <w:rPr>
                <w:rFonts w:hint="eastAsia" w:ascii="宋体" w:hAnsi="宋体" w:eastAsia="宋体" w:cs="宋体"/>
                <w:snapToGrid w:val="0"/>
                <w:color w:val="auto"/>
                <w:spacing w:val="0"/>
                <w:kern w:val="21"/>
                <w:szCs w:val="21"/>
                <w:highlight w:val="none"/>
              </w:rPr>
              <w:t>注意事项</w:t>
            </w:r>
          </w:p>
        </w:tc>
        <w:tc>
          <w:tcPr>
            <w:tcW w:w="6810" w:type="dxa"/>
            <w:tcBorders>
              <w:top w:val="single" w:color="auto" w:sz="4" w:space="0"/>
              <w:left w:val="single" w:color="auto" w:sz="4" w:space="0"/>
              <w:bottom w:val="single" w:color="auto" w:sz="4" w:space="0"/>
              <w:right w:val="single" w:color="auto" w:sz="4" w:space="0"/>
            </w:tcBorders>
            <w:noWrap w:val="0"/>
            <w:vAlign w:val="center"/>
          </w:tcPr>
          <w:p w14:paraId="11FB98A3">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具体要求：本项目为电子化、无纸化交易项目，投标文件是投标人、投标人通过中心投标文件制作系统制作，并经过签章和加密后生成的电子版投标文件。电子化投标文件具体制作文件请点击 http://t.cn/A6ZvtVob 进行下载。</w:t>
            </w:r>
          </w:p>
          <w:p w14:paraId="6E2C25C5">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温馨提示：本项目为电子化、无纸化交易项目，为保证您能投标成功，请需仔细阅读以下条款。</w:t>
            </w:r>
          </w:p>
          <w:p w14:paraId="1057721C">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 xml:space="preserve">一、电子化投标 </w:t>
            </w:r>
          </w:p>
          <w:p w14:paraId="1A08CA86">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 xml:space="preserve">（一）网上投标保证金的缴纳 </w:t>
            </w:r>
          </w:p>
          <w:p w14:paraId="0FE6EAE4">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1、缴纳方式详见：本项目投标保证金可使用电子保函缴纳，开具方式请登录“网站首页-电子保函平台”或者“登录系统首页右下角-三门峡金融服务平台”或者直接登陆：http://120.194.249.36:10094/smxbaohan/ 进行操作。</w:t>
            </w:r>
          </w:p>
          <w:p w14:paraId="5CEFB63F">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2、投标人在成功缴纳后，可以将银行回单制作在投标文件中， 作为缴纳保证金的依据。</w:t>
            </w:r>
          </w:p>
          <w:p w14:paraId="5B367278">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3、投标人应仔细阅读操作手册并充分考虑异地跨行转账到账时间等因素，因投标人操作不当或银行到账时间等问题造成开标时间未到达指定账户影响投标的，由投标人自行承担后果。</w:t>
            </w:r>
          </w:p>
          <w:p w14:paraId="3F0B000B">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4、未中标投标人的投标保证金在项目结束后，将通过中心交易平台退还。</w:t>
            </w:r>
          </w:p>
          <w:p w14:paraId="044FC8EE">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 xml:space="preserve">（二）电子化投标文件的签章 </w:t>
            </w:r>
          </w:p>
          <w:p w14:paraId="20D245FB">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1、投标人在生成电子化投标文件后，应对电子化投标文件进行签章，未进行签章的视为无效投标。</w:t>
            </w:r>
          </w:p>
          <w:p w14:paraId="7DF82AD1">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2、招标文件中要求法定代表人或授权委托人签字或盖章的，投标人在进行电子化响应文件需签章，签章时以签盖法定代表人签章为准。电子化响应文件具体制作教材请投标人通过CA证书登录三门峡市公共资源电子化交易系统在右上角“组建下载”中查看。</w:t>
            </w:r>
          </w:p>
          <w:p w14:paraId="3E950FC2">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 xml:space="preserve">（三）电子化投标文件的格式及上传投标文件 </w:t>
            </w:r>
          </w:p>
          <w:p w14:paraId="02E7F5FC">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1、投标人所上传的电子化投标文件，应是通过中心投标文件制作系统制作的（投标文件制作工具下载地址：http://www.smxgzjy.org），经过签章和加密后生成的电子版投标文件。上传投标文件格式后缀为SMXTF。</w:t>
            </w:r>
          </w:p>
          <w:p w14:paraId="31786BC8">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注：投标人投报多个标段的，需要每个标段单独制作电子投标文件。</w:t>
            </w:r>
          </w:p>
          <w:p w14:paraId="44E254C3">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2、电子化投标文件应在投标截止时间前成功上传至三门峡市公共资源电子化交易系统。至投标截止时间止，仍未上传成功的电子化投标文件将不予接收。</w:t>
            </w:r>
          </w:p>
          <w:p w14:paraId="264BE766">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注：如按照电子化投标操作教材制作完成的电子化投标文件无法上传的，投标人应在投标截止时间前尽早的联系中心技术人员，以便有充分的时间进行处理。投标人应充分考虑到处理技术问题和上传数据等工作所需的时间问题，投标文件未在投标截止时间前成功上传的，其投标文件不予接收。</w:t>
            </w:r>
          </w:p>
          <w:p w14:paraId="7AEF65AA">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技术联系电话：4009980000</w:t>
            </w:r>
          </w:p>
          <w:p w14:paraId="496F9988">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 xml:space="preserve">（四）电子化项目开标、解密、唱标、评标 </w:t>
            </w:r>
          </w:p>
          <w:p w14:paraId="36957A93">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1、本项目采用电子化、无纸化进行招标，开标当日，投标人无需到开标现场参加开标会议，投标人应当在投标截止时间前，登陆不见面开标大厅选择登陆三门峡市公共资源电子招投标系统进行登陆（网址为http://120.194.249.36:10094/BidOpening/bidopeninghallaction/hall/login）,在线准时参加开标活动并进行投标文件解密等。</w:t>
            </w:r>
          </w:p>
          <w:p w14:paraId="7E2E879C">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2、开标时，由投标人使用 CA 证书，在规定时间内对其电子化投标文件进行解密。每位投标人的解密时间为开标时间起30分钟内，如在规定时间内未完成解密的，其投标文件不予开标、唱标。</w:t>
            </w:r>
          </w:p>
          <w:p w14:paraId="578013E8">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 xml:space="preserve">3、电子化投标文件解密异常的处理 </w:t>
            </w:r>
          </w:p>
          <w:p w14:paraId="0F51D0F4">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 xml:space="preserve">如出现投标人的电子投标文件无法解密等异常情况，投标人应及时致电中介服务机构说明。投标文件异常，按以下步骤进行处理： </w:t>
            </w:r>
          </w:p>
          <w:p w14:paraId="2A7B9C5C">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（1）首先由技术人员进行问题排查</w:t>
            </w:r>
          </w:p>
          <w:p w14:paraId="44354621">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（2）经技术人员排查后，是投标人文件自身问题导致投标文件无法解密的，该投标文件将不予接收、解密和唱标。开标会议继续进行。</w:t>
            </w:r>
          </w:p>
          <w:p w14:paraId="0723EF93">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 xml:space="preserve">（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 </w:t>
            </w:r>
          </w:p>
          <w:p w14:paraId="745F9096">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 xml:space="preserve">4、待所有投标人投标文件解密完成后，由中介服务机构操作，对所有已解密投标文件进行唱标。 </w:t>
            </w:r>
          </w:p>
          <w:p w14:paraId="27698767">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 xml:space="preserve">投标人应保证在开标期间电话、电脑、网络能够正常工作，投标人因停电、电脑病毒、网络堵塞等原因，未在规定的解密时间内对投标文件进行解密的，其投标文件不予接收、唱标。 </w:t>
            </w:r>
          </w:p>
          <w:p w14:paraId="57CD7788">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5、开标时投标人可登录到交易系统中在开标解密栏中点击报价一览表查看自己的投标报价。如对自己的唱标内容有异议的，应在投标人解密成功后10分钟内向中服务机构通过开标大厅对话框提出质疑。中介服务机构应在监督人员的监督下接受投标人的质疑通过开标大厅对话框进行答复并做好书面记录。投标人未在规定时间内提出质疑的，视为认可唱标内容。</w:t>
            </w:r>
          </w:p>
          <w:p w14:paraId="3A27B088">
            <w:pPr>
              <w:widowControl/>
              <w:jc w:val="left"/>
              <w:rPr>
                <w:rFonts w:hint="eastAsia" w:ascii="宋体" w:hAnsi="宋体" w:eastAsia="宋体" w:cs="宋体"/>
                <w:color w:val="auto"/>
                <w:spacing w:val="0"/>
                <w:highlight w:val="none"/>
                <w:lang w:val="en-US" w:eastAsia="zh-CN"/>
              </w:rPr>
            </w:pPr>
            <w:r>
              <w:rPr>
                <w:rFonts w:hint="eastAsia" w:ascii="宋体" w:hAnsi="宋体" w:eastAsia="宋体" w:cs="宋体"/>
                <w:color w:val="auto"/>
                <w:spacing w:val="0"/>
                <w:highlight w:val="none"/>
                <w:lang w:val="en-US" w:eastAsia="zh-CN"/>
              </w:rPr>
              <w:t>6、评标时，评标委员会对电子化投标文件有质疑的，将通过电子化交易系统向供应商发起质疑。供应商的回复文件必须以经过供应商和其法定代表人签章的PDF式文件为准，并通过电子化交易系统提交至评标委员会。</w:t>
            </w:r>
          </w:p>
          <w:p w14:paraId="07FBF452">
            <w:pPr>
              <w:widowControl/>
              <w:jc w:val="left"/>
              <w:rPr>
                <w:rFonts w:hint="eastAsia" w:ascii="宋体" w:hAnsi="宋体" w:eastAsia="宋体" w:cs="宋体"/>
                <w:color w:val="auto"/>
                <w:spacing w:val="0"/>
                <w:highlight w:val="none"/>
                <w:lang w:val="en-US" w:eastAsia="zh-CN"/>
              </w:rPr>
            </w:pPr>
            <w:r>
              <w:rPr>
                <w:rFonts w:hint="eastAsia" w:ascii="宋体" w:hAnsi="宋体" w:eastAsia="宋体" w:cs="宋体"/>
                <w:color w:val="auto"/>
                <w:spacing w:val="0"/>
                <w:highlight w:val="none"/>
                <w:lang w:val="en-US" w:eastAsia="zh-CN"/>
              </w:rPr>
              <w:t>7、如评标委员会对需要回复的供应商在规定时间内（30分钟内）通过电子化交易系统未收到回复的，视为投标人放弃回复，评标委员会将自行对需要回复的内容进行认定。</w:t>
            </w:r>
          </w:p>
          <w:p w14:paraId="13F4E643">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二、 相关证书原件的提交</w:t>
            </w:r>
          </w:p>
          <w:p w14:paraId="5BE9464B">
            <w:pPr>
              <w:widowControl/>
              <w:jc w:val="left"/>
              <w:rPr>
                <w:rFonts w:hint="eastAsia" w:ascii="宋体" w:hAnsi="宋体" w:eastAsia="宋体" w:cs="宋体"/>
                <w:color w:val="auto"/>
                <w:spacing w:val="0"/>
                <w:highlight w:val="none"/>
                <w:lang w:eastAsia="zh-CN"/>
              </w:rPr>
            </w:pPr>
            <w:r>
              <w:rPr>
                <w:rFonts w:hint="eastAsia" w:ascii="宋体" w:hAnsi="宋体" w:cs="宋体"/>
                <w:color w:val="auto"/>
                <w:spacing w:val="0"/>
                <w:highlight w:val="none"/>
                <w:lang w:eastAsia="zh-CN"/>
              </w:rPr>
              <w:t>（</w:t>
            </w:r>
            <w:r>
              <w:rPr>
                <w:rFonts w:hint="eastAsia" w:ascii="宋体" w:hAnsi="宋体" w:cs="宋体"/>
                <w:color w:val="auto"/>
                <w:spacing w:val="0"/>
                <w:highlight w:val="none"/>
                <w:lang w:val="en-US" w:eastAsia="zh-CN"/>
              </w:rPr>
              <w:t>一</w:t>
            </w:r>
            <w:r>
              <w:rPr>
                <w:rFonts w:hint="eastAsia" w:ascii="宋体" w:hAnsi="宋体" w:cs="宋体"/>
                <w:color w:val="auto"/>
                <w:spacing w:val="0"/>
                <w:highlight w:val="none"/>
                <w:lang w:eastAsia="zh-CN"/>
              </w:rPr>
              <w:t>）</w:t>
            </w:r>
            <w:r>
              <w:rPr>
                <w:rFonts w:hint="eastAsia" w:ascii="宋体" w:hAnsi="宋体" w:eastAsia="宋体" w:cs="宋体"/>
                <w:color w:val="auto"/>
                <w:spacing w:val="0"/>
                <w:highlight w:val="none"/>
                <w:lang w:eastAsia="zh-CN"/>
              </w:rPr>
              <w:t>本项目实行资格后审，招标文件中要求投标人提交相关资料原件的，投标人需将原件扫描件制作到电子投标文件中，同时投标人要完善主体库，但不作为评标依据。评标委员会对原件的核验工作按以下条款进行：</w:t>
            </w:r>
          </w:p>
          <w:p w14:paraId="2BCF6082">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（三）</w:t>
            </w:r>
            <w:r>
              <w:rPr>
                <w:rFonts w:hint="eastAsia" w:ascii="宋体" w:hAnsi="宋体" w:eastAsia="宋体" w:cs="宋体"/>
                <w:color w:val="auto"/>
                <w:spacing w:val="0"/>
                <w:highlight w:val="none"/>
                <w:lang w:val="en-US" w:eastAsia="zh-CN"/>
              </w:rPr>
              <w:t>投标人应保证上传内容齐全，真实有效，原件扫描件清晰可辨。因投标人上传原因导致应得分项而未得分或资格审查不合格等情况的，由投标人自行承担责任</w:t>
            </w:r>
            <w:r>
              <w:rPr>
                <w:rFonts w:hint="eastAsia" w:ascii="宋体" w:hAnsi="宋体" w:eastAsia="宋体" w:cs="宋体"/>
                <w:color w:val="auto"/>
                <w:spacing w:val="0"/>
                <w:highlight w:val="none"/>
                <w:lang w:eastAsia="zh-CN"/>
              </w:rPr>
              <w:t>。</w:t>
            </w:r>
          </w:p>
          <w:p w14:paraId="703CEA83">
            <w:pPr>
              <w:widowControl/>
              <w:jc w:val="left"/>
              <w:rPr>
                <w:rFonts w:hint="eastAsia" w:ascii="宋体" w:hAnsi="宋体" w:eastAsia="宋体" w:cs="宋体"/>
                <w:color w:val="auto"/>
                <w:spacing w:val="0"/>
                <w:highlight w:val="none"/>
                <w:lang w:eastAsia="zh-CN"/>
              </w:rPr>
            </w:pPr>
            <w:r>
              <w:rPr>
                <w:rFonts w:hint="eastAsia" w:ascii="宋体" w:hAnsi="宋体" w:eastAsia="宋体" w:cs="宋体"/>
                <w:color w:val="auto"/>
                <w:spacing w:val="0"/>
                <w:highlight w:val="none"/>
                <w:lang w:eastAsia="zh-CN"/>
              </w:rPr>
              <w:t>提示：本项目为电子化、无纸化交易项目，开标时不再接受任何纸质资料，为保证您能投标成功，请需仔细阅读以上条款。</w:t>
            </w:r>
          </w:p>
        </w:tc>
      </w:tr>
      <w:bookmarkEnd w:id="6"/>
    </w:tbl>
    <w:p w14:paraId="44D37B31">
      <w:pPr>
        <w:jc w:val="center"/>
        <w:rPr>
          <w:rFonts w:hint="eastAsia" w:ascii="宋体" w:hAnsi="宋体" w:eastAsia="宋体" w:cs="宋体"/>
          <w:b/>
          <w:bCs/>
          <w:snapToGrid w:val="0"/>
          <w:color w:val="auto"/>
          <w:spacing w:val="0"/>
          <w:kern w:val="21"/>
          <w:sz w:val="32"/>
          <w:szCs w:val="32"/>
          <w:lang w:eastAsia="zh-CN"/>
        </w:rPr>
      </w:pPr>
      <w:bookmarkStart w:id="7" w:name="_Toc181180297"/>
      <w:bookmarkStart w:id="8" w:name="_Toc485222551"/>
      <w:bookmarkStart w:id="9" w:name="_Toc183264294"/>
      <w:r>
        <w:rPr>
          <w:rFonts w:hint="eastAsia" w:ascii="宋体" w:hAnsi="宋体" w:eastAsia="宋体" w:cs="宋体"/>
          <w:b/>
          <w:bCs/>
          <w:snapToGrid w:val="0"/>
          <w:color w:val="auto"/>
          <w:spacing w:val="0"/>
          <w:kern w:val="21"/>
          <w:sz w:val="32"/>
          <w:szCs w:val="32"/>
          <w:lang w:eastAsia="zh-CN"/>
        </w:rPr>
        <w:t>一、总则</w:t>
      </w:r>
    </w:p>
    <w:p w14:paraId="71095C4E">
      <w:pPr>
        <w:widowControl/>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1、项目概况</w:t>
      </w:r>
    </w:p>
    <w:p w14:paraId="236FE6BD">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根据《中华人民共和国政府采购法》、《中华人民共和国政府采购法实施条例》等有关法律、法规和规章的规定，本招标项目已具备招标条件，现对本项目进行招标。</w:t>
      </w:r>
    </w:p>
    <w:p w14:paraId="774E28B8">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1.1.1 本次项目</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lang w:eastAsia="zh-CN"/>
        </w:rPr>
        <w:t>人</w:t>
      </w:r>
      <w:r>
        <w:rPr>
          <w:rFonts w:hint="eastAsia" w:ascii="宋体" w:hAnsi="宋体" w:eastAsia="宋体" w:cs="宋体"/>
          <w:color w:val="auto"/>
          <w:sz w:val="24"/>
          <w:szCs w:val="24"/>
        </w:rPr>
        <w:t>：见</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须知前附表。</w:t>
      </w:r>
    </w:p>
    <w:p w14:paraId="54A927C6">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1.1.2 本次代理机构：见</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须知前附表</w:t>
      </w:r>
    </w:p>
    <w:p w14:paraId="5C0B3B28">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1.1.3 </w:t>
      </w:r>
      <w:r>
        <w:rPr>
          <w:rFonts w:hint="eastAsia" w:ascii="宋体" w:hAnsi="宋体" w:eastAsia="宋体" w:cs="宋体"/>
          <w:color w:val="auto"/>
          <w:sz w:val="24"/>
          <w:szCs w:val="24"/>
        </w:rPr>
        <w:t>本次项目名称：见</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须知前附表。</w:t>
      </w:r>
    </w:p>
    <w:p w14:paraId="1579C649">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2、投标费用</w:t>
      </w:r>
    </w:p>
    <w:p w14:paraId="17C8AEF1">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承担其投标文件编制与递交所涉及的一切费用。在任何情况下</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和</w:t>
      </w:r>
      <w:r>
        <w:rPr>
          <w:rFonts w:hint="eastAsia" w:ascii="宋体" w:hAnsi="宋体" w:eastAsia="宋体" w:cs="宋体"/>
          <w:color w:val="auto"/>
          <w:sz w:val="24"/>
          <w:szCs w:val="24"/>
          <w:lang w:eastAsia="zh-CN"/>
        </w:rPr>
        <w:t>招标代理机构</w:t>
      </w:r>
      <w:r>
        <w:rPr>
          <w:rFonts w:hint="eastAsia" w:ascii="宋体" w:hAnsi="宋体" w:eastAsia="宋体" w:cs="宋体"/>
          <w:color w:val="auto"/>
          <w:sz w:val="24"/>
          <w:szCs w:val="24"/>
        </w:rPr>
        <w:t>对上述费用均不承担任何责任。</w:t>
      </w:r>
    </w:p>
    <w:p w14:paraId="2D00BC47">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3、定义及解释</w:t>
      </w:r>
    </w:p>
    <w:p w14:paraId="5D45A253">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3.1货物：系指投标人按招标文件规定而提供</w:t>
      </w:r>
      <w:r>
        <w:rPr>
          <w:rFonts w:hint="eastAsia" w:ascii="宋体" w:hAnsi="宋体" w:cs="宋体"/>
          <w:color w:val="auto"/>
          <w:sz w:val="24"/>
          <w:szCs w:val="24"/>
          <w:lang w:val="en-US" w:eastAsia="zh-CN"/>
        </w:rPr>
        <w:t>采购人需求的食材</w:t>
      </w:r>
      <w:r>
        <w:rPr>
          <w:rFonts w:hint="eastAsia" w:ascii="宋体" w:hAnsi="宋体" w:eastAsia="宋体" w:cs="宋体"/>
          <w:color w:val="auto"/>
          <w:sz w:val="24"/>
          <w:szCs w:val="24"/>
        </w:rPr>
        <w:t>。</w:t>
      </w:r>
    </w:p>
    <w:p w14:paraId="797CC0AF">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3.2 服务：系指投标人按招标文件规定向</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提供的一切工作内容。</w:t>
      </w:r>
    </w:p>
    <w:p w14:paraId="4108E2F6">
      <w:pPr>
        <w:widowControl/>
        <w:spacing w:line="360" w:lineRule="auto"/>
        <w:ind w:right="-480"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 xml:space="preserve">3.3 </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lang w:eastAsia="zh-CN"/>
        </w:rPr>
        <w:t>人</w:t>
      </w:r>
      <w:r>
        <w:rPr>
          <w:rFonts w:hint="eastAsia" w:ascii="宋体" w:hAnsi="宋体" w:eastAsia="宋体" w:cs="宋体"/>
          <w:color w:val="auto"/>
          <w:sz w:val="24"/>
          <w:szCs w:val="24"/>
        </w:rPr>
        <w:t>：见</w:t>
      </w: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须知前附表。</w:t>
      </w:r>
    </w:p>
    <w:p w14:paraId="741AF4D7">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3.4</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：是指响应招标、参加投标竞争的法人。</w:t>
      </w:r>
    </w:p>
    <w:p w14:paraId="4BC8D3E0">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 xml:space="preserve">3.5 </w:t>
      </w:r>
      <w:r>
        <w:rPr>
          <w:rFonts w:hint="eastAsia" w:ascii="宋体" w:hAnsi="宋体" w:eastAsia="宋体" w:cs="宋体"/>
          <w:color w:val="auto"/>
          <w:sz w:val="24"/>
          <w:szCs w:val="24"/>
          <w:lang w:eastAsia="zh-CN"/>
        </w:rPr>
        <w:t>招标代理机构</w:t>
      </w:r>
      <w:r>
        <w:rPr>
          <w:rFonts w:hint="eastAsia" w:ascii="宋体" w:hAnsi="宋体" w:eastAsia="宋体" w:cs="宋体"/>
          <w:color w:val="auto"/>
          <w:sz w:val="24"/>
          <w:szCs w:val="24"/>
        </w:rPr>
        <w:t>：见</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 xml:space="preserve">须知前附表。  </w:t>
      </w:r>
    </w:p>
    <w:p w14:paraId="354D61C2">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3.6</w:t>
      </w:r>
      <w:r>
        <w:rPr>
          <w:rFonts w:hint="eastAsia" w:ascii="宋体" w:hAnsi="宋体" w:eastAsia="宋体" w:cs="宋体"/>
          <w:color w:val="auto"/>
          <w:sz w:val="24"/>
          <w:szCs w:val="24"/>
        </w:rPr>
        <w:t xml:space="preserve"> 评标委员会：是指</w:t>
      </w:r>
      <w:r>
        <w:rPr>
          <w:rFonts w:hint="eastAsia" w:ascii="宋体" w:hAnsi="宋体" w:eastAsia="宋体" w:cs="宋体"/>
          <w:color w:val="auto"/>
          <w:sz w:val="24"/>
          <w:szCs w:val="24"/>
          <w:lang w:val="en-US" w:eastAsia="zh-CN"/>
        </w:rPr>
        <w:t>依法</w:t>
      </w:r>
      <w:r>
        <w:rPr>
          <w:rFonts w:hint="eastAsia" w:ascii="宋体" w:hAnsi="宋体" w:eastAsia="宋体" w:cs="宋体"/>
          <w:color w:val="auto"/>
          <w:sz w:val="24"/>
          <w:szCs w:val="24"/>
        </w:rPr>
        <w:t>规定组建的专门负责本次招标的评标工作的临时机构。</w:t>
      </w:r>
    </w:p>
    <w:p w14:paraId="5465D66A">
      <w:pPr>
        <w:widowControl/>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3.7 </w:t>
      </w:r>
      <w:r>
        <w:rPr>
          <w:rFonts w:hint="eastAsia" w:ascii="宋体" w:hAnsi="宋体" w:eastAsia="宋体" w:cs="宋体"/>
          <w:color w:val="auto"/>
          <w:sz w:val="24"/>
          <w:szCs w:val="24"/>
          <w:highlight w:val="none"/>
        </w:rPr>
        <w:t>日期：指公历日。</w:t>
      </w:r>
    </w:p>
    <w:p w14:paraId="265340A6">
      <w:pPr>
        <w:widowControl/>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4、合格的</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（详见</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须知前附表）</w:t>
      </w:r>
    </w:p>
    <w:p w14:paraId="466E14D4">
      <w:pPr>
        <w:widowControl/>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5、保证</w:t>
      </w:r>
    </w:p>
    <w:p w14:paraId="632395F1">
      <w:pPr>
        <w:widowControl/>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应保证在投标文件中所提交的资料和数据是真实的。</w:t>
      </w:r>
    </w:p>
    <w:p w14:paraId="7E21CEAF">
      <w:pPr>
        <w:widowControl/>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二、招标文件</w:t>
      </w:r>
    </w:p>
    <w:p w14:paraId="442D168A">
      <w:pPr>
        <w:widowControl/>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6、招标文件的组成</w:t>
      </w:r>
    </w:p>
    <w:p w14:paraId="68F12944">
      <w:pPr>
        <w:widowControl/>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6.1 </w:t>
      </w:r>
      <w:r>
        <w:rPr>
          <w:rFonts w:hint="eastAsia" w:ascii="宋体" w:hAnsi="宋体" w:eastAsia="宋体" w:cs="宋体"/>
          <w:color w:val="auto"/>
          <w:sz w:val="24"/>
          <w:szCs w:val="24"/>
          <w:highlight w:val="none"/>
        </w:rPr>
        <w:t>招标文件包括下列内容及按</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须知第22条款内容发出的答疑文件和第23条款内容发出的补充文件。</w:t>
      </w:r>
    </w:p>
    <w:p w14:paraId="1764A8D7">
      <w:pPr>
        <w:widowControl/>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第一章 招标公告 </w:t>
      </w:r>
    </w:p>
    <w:p w14:paraId="4047B8AA">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第二章 </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须知</w:t>
      </w:r>
    </w:p>
    <w:p w14:paraId="20DAFB68">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第三章 服务内容及要求</w:t>
      </w:r>
    </w:p>
    <w:p w14:paraId="51A2E939">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第四章 评标办法</w:t>
      </w:r>
    </w:p>
    <w:p w14:paraId="6CF9895C">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第五章 合同条款及格式</w:t>
      </w:r>
    </w:p>
    <w:p w14:paraId="4A027F84">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第六章 投标文件格式</w:t>
      </w:r>
    </w:p>
    <w:p w14:paraId="644A00BB">
      <w:pPr>
        <w:widowControl/>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rPr>
        <w:t>6.2</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应详细阅读招标文件中的所</w:t>
      </w:r>
      <w:r>
        <w:rPr>
          <w:rFonts w:hint="eastAsia" w:ascii="宋体" w:hAnsi="宋体" w:eastAsia="宋体" w:cs="宋体"/>
          <w:color w:val="auto"/>
          <w:sz w:val="24"/>
          <w:szCs w:val="24"/>
          <w:highlight w:val="none"/>
        </w:rPr>
        <w:t>有条款内容、格式、表格和所涉及的相关规范。如果</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不按招标文件的要求提交投标文件和资料的，或者投标文件没有对招标文件提出的实质性要求和条件作出响应，将导致投标文件不被接受，其后果由</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自己负责。</w:t>
      </w:r>
    </w:p>
    <w:p w14:paraId="60189891">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7、招标文件的澄清</w:t>
      </w:r>
    </w:p>
    <w:p w14:paraId="50E85521">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7.1</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应仔细阅读和检查招标文件的全部内容。如发现缺页或附件不全，应及时向</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提出，以便补齐。如有疑问，应在</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须知前附表规定的时间前要求</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对招标文件予以澄清。</w:t>
      </w:r>
    </w:p>
    <w:p w14:paraId="132CC577">
      <w:pPr>
        <w:shd w:val="clear" w:color="auto" w:fill="FFFFFF"/>
        <w:snapToGrid w:val="0"/>
        <w:spacing w:line="360" w:lineRule="auto"/>
        <w:ind w:right="105" w:rightChars="50" w:firstLine="472" w:firstLineChars="196"/>
        <w:rPr>
          <w:rFonts w:hint="eastAsia" w:ascii="宋体" w:hAnsi="宋体" w:eastAsia="宋体" w:cs="宋体"/>
          <w:color w:val="auto"/>
          <w:sz w:val="24"/>
          <w:szCs w:val="24"/>
        </w:rPr>
      </w:pPr>
      <w:r>
        <w:rPr>
          <w:rFonts w:hint="eastAsia" w:ascii="宋体" w:hAnsi="宋体" w:eastAsia="宋体" w:cs="宋体"/>
          <w:b/>
          <w:bCs/>
          <w:color w:val="auto"/>
          <w:sz w:val="24"/>
          <w:szCs w:val="24"/>
        </w:rPr>
        <w:t>7.2</w:t>
      </w:r>
      <w:r>
        <w:rPr>
          <w:rFonts w:hint="eastAsia" w:ascii="宋体" w:hAnsi="宋体" w:eastAsia="宋体" w:cs="宋体"/>
          <w:color w:val="auto"/>
          <w:sz w:val="24"/>
          <w:szCs w:val="24"/>
        </w:rPr>
        <w:t>招标文件的澄清将在</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须知前附表规定的时间前，将需澄清及答疑内容在三门峡市公共资源交易中心网以网上形式通知所有已购买招标文件的</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。如果澄清发出的时间距投标截止时间不足15天，相应延长投标截止时间。</w:t>
      </w:r>
    </w:p>
    <w:p w14:paraId="5542CD7D">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8、招标文件的修改</w:t>
      </w:r>
    </w:p>
    <w:p w14:paraId="5DBA05A7">
      <w:pPr>
        <w:widowControl/>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8.1在投标截止时间15日前的任何时间，</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可以用补充文件的方式修正招标文件，该补充文件将成为招标文件的组成部分。</w:t>
      </w:r>
    </w:p>
    <w:p w14:paraId="4DA637EF">
      <w:pPr>
        <w:widowControl/>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8.2补充文件将以公告形式发布。</w:t>
      </w:r>
    </w:p>
    <w:p w14:paraId="6ACE0E71">
      <w:pPr>
        <w:widowControl/>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8.3为使</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有足够的时间按修正的招标文件准备电子化投标文件，</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可以酌情延长投标截止时间。</w:t>
      </w:r>
    </w:p>
    <w:p w14:paraId="0C81EFEA">
      <w:pPr>
        <w:widowControl/>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三、投标文件的编制</w:t>
      </w:r>
    </w:p>
    <w:p w14:paraId="27E896ED">
      <w:pPr>
        <w:widowControl/>
        <w:snapToGrid w:val="0"/>
        <w:spacing w:line="360" w:lineRule="auto"/>
        <w:ind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9.1投标文件的组成</w:t>
      </w:r>
    </w:p>
    <w:p w14:paraId="6D679734">
      <w:pPr>
        <w:widowControl/>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详见招标文件第六章投标文件格式</w:t>
      </w:r>
    </w:p>
    <w:p w14:paraId="2630C06F">
      <w:pPr>
        <w:widowControl/>
        <w:snapToGrid w:val="0"/>
        <w:spacing w:line="360" w:lineRule="auto"/>
        <w:ind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9.2投标文件编制要求</w:t>
      </w:r>
    </w:p>
    <w:p w14:paraId="2E1B40E9">
      <w:pPr>
        <w:widowControl/>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注：本项目为电子化、无纸化交易项目，投标文件是投标人、</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（以下简称“投标人”）通过中心投标文件制作系统制作，并经过电子签章和加密后生成的电子版投标文件。投标人投标时，将不再接受任何纸质文件资料。</w:t>
      </w:r>
    </w:p>
    <w:p w14:paraId="7078E4AE">
      <w:pPr>
        <w:widowControl/>
        <w:snapToGrid w:val="0"/>
        <w:spacing w:line="360" w:lineRule="auto"/>
        <w:ind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9.3特别说明</w:t>
      </w:r>
    </w:p>
    <w:p w14:paraId="787E546D">
      <w:pPr>
        <w:widowControl/>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9.3.1投标语言</w:t>
      </w:r>
    </w:p>
    <w:p w14:paraId="5F09A88B">
      <w:pPr>
        <w:widowControl/>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提交的投标文件以及</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与</w:t>
      </w:r>
      <w:r>
        <w:rPr>
          <w:rFonts w:hint="eastAsia" w:ascii="宋体" w:hAnsi="宋体" w:eastAsia="宋体" w:cs="宋体"/>
          <w:color w:val="auto"/>
          <w:sz w:val="24"/>
          <w:szCs w:val="24"/>
          <w:lang w:eastAsia="zh-CN"/>
        </w:rPr>
        <w:t>招标代理机构</w:t>
      </w:r>
      <w:r>
        <w:rPr>
          <w:rFonts w:hint="eastAsia" w:ascii="宋体" w:hAnsi="宋体" w:eastAsia="宋体" w:cs="宋体"/>
          <w:color w:val="auto"/>
          <w:sz w:val="24"/>
          <w:szCs w:val="24"/>
        </w:rPr>
        <w:t>就有关投标的所有往来函电均应使用中文。</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提供的文件可以用英文，但相应内容应附有中文翻译本，在解释时以中文翻译本为准。</w:t>
      </w:r>
    </w:p>
    <w:p w14:paraId="00BD678A">
      <w:pPr>
        <w:widowControl/>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9.3.2计量</w:t>
      </w:r>
    </w:p>
    <w:p w14:paraId="1FDF85C2">
      <w:pPr>
        <w:widowControl/>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rPr>
        <w:t>在投标文</w:t>
      </w:r>
      <w:r>
        <w:rPr>
          <w:rFonts w:hint="eastAsia" w:ascii="宋体" w:hAnsi="宋体" w:eastAsia="宋体" w:cs="宋体"/>
          <w:color w:val="auto"/>
          <w:sz w:val="24"/>
          <w:szCs w:val="24"/>
          <w:highlight w:val="none"/>
        </w:rPr>
        <w:t>件所有计量单位均采用中华人民共和国法定计量单位。</w:t>
      </w:r>
    </w:p>
    <w:p w14:paraId="2E4052AE">
      <w:pPr>
        <w:widowControl/>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在投标文件中所提交的所有资料和文件均应是真实的和有效的，如有作假，则将该</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的投标作无效标处理，若成交后被发现有上述行为的，则</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有权取消其成交资格，并且该</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应承担由此而造成的一切损失（包括经济损失</w:t>
      </w:r>
      <w:r>
        <w:rPr>
          <w:rFonts w:hint="eastAsia" w:ascii="宋体" w:hAnsi="宋体" w:eastAsia="宋体" w:cs="宋体"/>
          <w:color w:val="auto"/>
          <w:sz w:val="24"/>
          <w:szCs w:val="24"/>
        </w:rPr>
        <w:t>和法律责任）。</w:t>
      </w:r>
    </w:p>
    <w:p w14:paraId="182878C2">
      <w:pPr>
        <w:widowControl/>
        <w:snapToGrid w:val="0"/>
        <w:spacing w:line="360" w:lineRule="auto"/>
        <w:ind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9.4投标服务的报价</w:t>
      </w:r>
    </w:p>
    <w:p w14:paraId="42F5E611">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9.4.1 </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所投服务的总价包含</w:t>
      </w:r>
      <w:r>
        <w:rPr>
          <w:rFonts w:hint="eastAsia" w:ascii="宋体" w:hAnsi="宋体" w:eastAsia="宋体" w:cs="宋体"/>
          <w:color w:val="auto"/>
          <w:sz w:val="24"/>
          <w:szCs w:val="24"/>
          <w:lang w:val="en-US" w:eastAsia="zh-CN"/>
        </w:rPr>
        <w:t>货物的采购费、运输费、配送费</w:t>
      </w:r>
      <w:r>
        <w:rPr>
          <w:rFonts w:hint="eastAsia" w:ascii="宋体" w:hAnsi="宋体" w:eastAsia="宋体" w:cs="宋体"/>
          <w:color w:val="auto"/>
          <w:sz w:val="24"/>
          <w:szCs w:val="24"/>
        </w:rPr>
        <w:t>等</w:t>
      </w:r>
      <w:r>
        <w:rPr>
          <w:rFonts w:hint="eastAsia" w:ascii="宋体" w:hAnsi="宋体" w:eastAsia="宋体" w:cs="宋体"/>
          <w:color w:val="auto"/>
          <w:sz w:val="24"/>
          <w:szCs w:val="24"/>
          <w:lang w:val="en-US" w:eastAsia="zh-CN"/>
        </w:rPr>
        <w:t>送达采购人指定地点前所发生的</w:t>
      </w:r>
      <w:r>
        <w:rPr>
          <w:rFonts w:hint="eastAsia" w:ascii="宋体" w:hAnsi="宋体" w:eastAsia="宋体" w:cs="宋体"/>
          <w:color w:val="auto"/>
          <w:sz w:val="24"/>
          <w:szCs w:val="24"/>
        </w:rPr>
        <w:t>一切相关费用。</w:t>
      </w:r>
    </w:p>
    <w:p w14:paraId="3706720E">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9.4.2</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的投标报价应包含出具检测报告前所发生的一切费用，且</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只能提出一个不变价格，</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不接受任何选择报价。</w:t>
      </w:r>
    </w:p>
    <w:p w14:paraId="6A4D5C87">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9.4.3该项目类别及取费标准按照国家相关规定执行。</w:t>
      </w:r>
    </w:p>
    <w:p w14:paraId="47E338B4">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9.4.4投标文件的投标报价，应是完成本文件所列招标范围的全部内容。</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应认真阅读招标文件，如果</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对预算中任何子目和报价遗漏或未计，均被认为已包含在其他子目中，</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不另行支付。</w:t>
      </w:r>
    </w:p>
    <w:p w14:paraId="3E5CF3E7">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9.4.5如投标报价表中的大写金额和小写金额不一致的，以大写金额为准；总价金额与单价金额不一致的，以单价金额为准，但单价金额小数点有明显错误的除外；对不同文字文本投标文件的解释发生异议的，以中文文本为准。</w:t>
      </w:r>
    </w:p>
    <w:p w14:paraId="26428AB2">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9.4.6全部报价均应以人民币为计量币种，并以人民币进行结算。</w:t>
      </w:r>
    </w:p>
    <w:p w14:paraId="003B2A18">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10投标保证金</w:t>
      </w:r>
    </w:p>
    <w:p w14:paraId="4D2F7586">
      <w:pPr>
        <w:spacing w:line="360" w:lineRule="auto"/>
        <w:ind w:firstLine="482" w:firstLineChars="200"/>
        <w:jc w:val="left"/>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rPr>
        <w:t>10.1</w:t>
      </w:r>
      <w:r>
        <w:rPr>
          <w:rFonts w:hint="eastAsia" w:ascii="宋体" w:hAnsi="宋体" w:eastAsia="宋体" w:cs="宋体"/>
          <w:color w:val="auto"/>
          <w:sz w:val="24"/>
          <w:szCs w:val="24"/>
          <w:lang w:val="en-US" w:eastAsia="zh-CN"/>
        </w:rPr>
        <w:t>见投标人须知前附表</w:t>
      </w:r>
    </w:p>
    <w:p w14:paraId="6779A071">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11、投标有效期</w:t>
      </w:r>
    </w:p>
    <w:p w14:paraId="78D7E6BC">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11.1</w:t>
      </w:r>
      <w:r>
        <w:rPr>
          <w:rFonts w:hint="eastAsia" w:ascii="宋体" w:hAnsi="宋体" w:eastAsia="宋体" w:cs="宋体"/>
          <w:color w:val="auto"/>
          <w:sz w:val="24"/>
          <w:szCs w:val="24"/>
          <w:lang w:val="en-US" w:eastAsia="zh-CN"/>
        </w:rPr>
        <w:t>投标</w:t>
      </w:r>
      <w:r>
        <w:rPr>
          <w:rFonts w:hint="eastAsia" w:ascii="宋体" w:hAnsi="宋体" w:eastAsia="宋体" w:cs="宋体"/>
          <w:color w:val="auto"/>
          <w:sz w:val="24"/>
          <w:szCs w:val="24"/>
        </w:rPr>
        <w:t>文件递交截止之日起60日历天。</w:t>
      </w:r>
    </w:p>
    <w:p w14:paraId="3CC2014B">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11.2在特殊情况下，</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可征求</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同意延长投标有效期，这种要求和答复均应以信函、传真等形式提交。</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可以拒绝</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的这种要求。同意延长投标有效期的</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不需要也不允许修改其投标文件。</w:t>
      </w:r>
    </w:p>
    <w:p w14:paraId="0DA26E3B">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12、投标文件的组成</w:t>
      </w:r>
    </w:p>
    <w:p w14:paraId="186F3B6F">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（1）投标函及投标函附录</w:t>
      </w:r>
    </w:p>
    <w:p w14:paraId="1B6BBF3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法定代表人身份证明书</w:t>
      </w:r>
    </w:p>
    <w:p w14:paraId="7D5554A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授权委托书</w:t>
      </w:r>
    </w:p>
    <w:p w14:paraId="74E0594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技术标</w:t>
      </w:r>
    </w:p>
    <w:p w14:paraId="39B10B5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商务标</w:t>
      </w:r>
    </w:p>
    <w:p w14:paraId="1C8BEC23">
      <w:pPr>
        <w:widowControl/>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6</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资格审查资料</w:t>
      </w:r>
    </w:p>
    <w:p w14:paraId="6F46E8BF">
      <w:pPr>
        <w:widowControl/>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7</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近年完成的类似项目情况表</w:t>
      </w:r>
    </w:p>
    <w:p w14:paraId="1D3F2423">
      <w:pPr>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8</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应附的其它资料</w:t>
      </w:r>
    </w:p>
    <w:p w14:paraId="2940ECB9">
      <w:pPr>
        <w:spacing w:line="360" w:lineRule="auto"/>
        <w:ind w:firstLine="482" w:firstLineChars="200"/>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rPr>
        <w:t>13、投标文件的签署</w:t>
      </w:r>
    </w:p>
    <w:p w14:paraId="5D7A22F0">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13.1投标文件投标函应加盖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单位公章并经法定代表人签章。</w:t>
      </w:r>
    </w:p>
    <w:p w14:paraId="0FE29265">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14、投标文件格式</w:t>
      </w:r>
    </w:p>
    <w:p w14:paraId="228DE3A0">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投标文件应包括本须知第12条中规定的全部内容，</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提交的投标文件应当使用招标文件所提供的投标文件全部格式（表格可以按同样格式扩展）。</w:t>
      </w:r>
    </w:p>
    <w:p w14:paraId="0667F697">
      <w:pPr>
        <w:widowControl/>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四、电子化投标文件的递交</w:t>
      </w:r>
    </w:p>
    <w:p w14:paraId="35EEE213">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15、投标文件的递交</w:t>
      </w:r>
    </w:p>
    <w:p w14:paraId="2B5756A3">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15.1 在规定时间内，上传投标文件至三门峡市公共资源交易中心平台。</w:t>
      </w:r>
    </w:p>
    <w:p w14:paraId="5A8D223B">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 xml:space="preserve">16、投标截止时间 </w:t>
      </w:r>
    </w:p>
    <w:p w14:paraId="750D010A">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16.1.1</w:t>
      </w:r>
      <w:r>
        <w:rPr>
          <w:rFonts w:hint="eastAsia" w:ascii="宋体" w:hAnsi="宋体" w:eastAsia="宋体" w:cs="宋体"/>
          <w:color w:val="auto"/>
          <w:sz w:val="24"/>
          <w:szCs w:val="24"/>
        </w:rPr>
        <w:t>投标文件的截止时间见本须知前附表规定。</w:t>
      </w:r>
    </w:p>
    <w:p w14:paraId="1269C15F">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16.1.2</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可按本须知中规定以修改补充通知的方式，酌情延长递交投标文件的截止时间。在此情况下，</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的所有权利和义务以及</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受制约的截止时间，均以延长后新的投标截止时间为准。</w:t>
      </w:r>
    </w:p>
    <w:p w14:paraId="0098D10F">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16.1.3</w:t>
      </w:r>
      <w:r>
        <w:rPr>
          <w:rFonts w:hint="eastAsia" w:ascii="宋体" w:hAnsi="宋体" w:eastAsia="宋体" w:cs="宋体"/>
          <w:color w:val="auto"/>
          <w:sz w:val="24"/>
          <w:szCs w:val="24"/>
        </w:rPr>
        <w:t>到投标截止时间止，</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收到的投标文件少于3家的，</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将依法重新组织招标。</w:t>
      </w:r>
    </w:p>
    <w:p w14:paraId="5F43BE25">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16.2</w:t>
      </w:r>
      <w:r>
        <w:rPr>
          <w:rFonts w:hint="eastAsia" w:ascii="宋体" w:hAnsi="宋体" w:eastAsia="宋体" w:cs="宋体"/>
          <w:color w:val="auto"/>
          <w:sz w:val="24"/>
          <w:szCs w:val="24"/>
        </w:rPr>
        <w:t>迟交的投标文件</w:t>
      </w:r>
    </w:p>
    <w:p w14:paraId="12CE1E76">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逾期上传并未签到的投标文件，</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不予受理。</w:t>
      </w:r>
    </w:p>
    <w:p w14:paraId="1A11CD3E">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16.3</w:t>
      </w:r>
      <w:r>
        <w:rPr>
          <w:rFonts w:hint="eastAsia" w:ascii="宋体" w:hAnsi="宋体" w:eastAsia="宋体" w:cs="宋体"/>
          <w:color w:val="auto"/>
          <w:sz w:val="24"/>
          <w:szCs w:val="24"/>
        </w:rPr>
        <w:t>投标文件的补充、修改与撤回</w:t>
      </w:r>
    </w:p>
    <w:p w14:paraId="3D4EC12B">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16.3.1</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在递交投标文件以后，在规定的投标截止时间之前，可以补充修改或撤回已递交的投标文件，并通知</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。补充、修改的内容为投标文件的组成部分。</w:t>
      </w:r>
    </w:p>
    <w:p w14:paraId="7214553C">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16.3.2</w:t>
      </w:r>
      <w:r>
        <w:rPr>
          <w:rFonts w:hint="eastAsia" w:ascii="宋体" w:hAnsi="宋体" w:eastAsia="宋体" w:cs="宋体"/>
          <w:color w:val="auto"/>
          <w:sz w:val="24"/>
          <w:szCs w:val="24"/>
        </w:rPr>
        <w:t>在投标截止时间之后，</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不得补充、修改投标文件。</w:t>
      </w:r>
    </w:p>
    <w:p w14:paraId="20CDD81D">
      <w:pPr>
        <w:widowControl/>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五、开标</w:t>
      </w:r>
    </w:p>
    <w:p w14:paraId="69DD1F3A">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17、开标</w:t>
      </w:r>
    </w:p>
    <w:p w14:paraId="0C58F220">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17.1</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按本须知前附表所规定的时间和地点公开开标，开标会议由</w:t>
      </w:r>
      <w:r>
        <w:rPr>
          <w:rFonts w:hint="eastAsia" w:ascii="宋体" w:hAnsi="宋体" w:eastAsia="宋体" w:cs="宋体"/>
          <w:color w:val="auto"/>
          <w:sz w:val="24"/>
          <w:szCs w:val="24"/>
          <w:lang w:eastAsia="zh-CN"/>
        </w:rPr>
        <w:t>招标代理机构</w:t>
      </w:r>
      <w:r>
        <w:rPr>
          <w:rFonts w:hint="eastAsia" w:ascii="宋体" w:hAnsi="宋体" w:eastAsia="宋体" w:cs="宋体"/>
          <w:color w:val="auto"/>
          <w:sz w:val="24"/>
          <w:szCs w:val="24"/>
        </w:rPr>
        <w:t>主持，在有关部门监督下进行。</w:t>
      </w:r>
    </w:p>
    <w:p w14:paraId="7B0CAF5D">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17.2开标程序：</w:t>
      </w:r>
    </w:p>
    <w:p w14:paraId="2F6DF2AE">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本项目采用电子化、无纸化进行招标，开标当日，</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无需到开标现场参加开标会议，</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应当在投标截止时间前，登陆不见面开标大厅选择登陆三门峡市公共资源电子招投标系统进行登陆（网址为</w:t>
      </w:r>
      <w:r>
        <w:rPr>
          <w:rFonts w:hint="eastAsia" w:ascii="宋体" w:hAnsi="宋体" w:eastAsia="宋体" w:cs="宋体"/>
          <w:bCs/>
          <w:color w:val="auto"/>
          <w:sz w:val="24"/>
          <w:szCs w:val="24"/>
        </w:rPr>
        <w:t>http://120.194.249.36:10094/BidOpening/bidopeninghallaction/hall/login</w:t>
      </w:r>
      <w:r>
        <w:rPr>
          <w:rFonts w:hint="eastAsia" w:ascii="宋体" w:hAnsi="宋体" w:eastAsia="宋体" w:cs="宋体"/>
          <w:color w:val="auto"/>
          <w:sz w:val="24"/>
          <w:szCs w:val="24"/>
        </w:rPr>
        <w:t>）,在线准时参加开标活动并进行投标文件解密等。</w:t>
      </w:r>
    </w:p>
    <w:p w14:paraId="473E8FD9">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电子化投标文件采用一次加密方式。开标时，由</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使用CA 证书，在规定时间内对其电子化投标文件进行解密。每位</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的解密时间为开标时间起30分钟内，如在规定时间内未完成解密的，其投标文件不予开标、唱标。每位</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的解密时间为开标时间起30分钟内完成。</w:t>
      </w:r>
    </w:p>
    <w:p w14:paraId="1679814E">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17.3电子化投标文件解密异常的处理</w:t>
      </w:r>
    </w:p>
    <w:p w14:paraId="70A13F2E">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如出现</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的电子投标文件无法解密等异常情况，</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应及时致电中介服务机构说明。投标文件异常，按以下步骤进行处理：</w:t>
      </w:r>
    </w:p>
    <w:p w14:paraId="52037935">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（1）首先由技术人员进行问题排查。</w:t>
      </w:r>
    </w:p>
    <w:p w14:paraId="15B085F2">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（2）经技术人员排查后，是</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文件自身问题导致投标文件无法解密的，该投标文件将不予接收、解密和唱标。开标会议继续进行。</w:t>
      </w:r>
    </w:p>
    <w:p w14:paraId="5D832896">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52A8D005">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17.4待所有</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投标文件解密完成后，由中介服务机构操作，对所有已解密投标文件进行唱标。</w:t>
      </w:r>
    </w:p>
    <w:p w14:paraId="7FD0AAAB">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应保证在开标期间电话、电脑、网络能够正常工作，</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因停电、电脑病毒、网络堵塞等原因，未在规定的解密时间内对投标文件进行解密的，其投标文件不予接收、唱标。</w:t>
      </w:r>
    </w:p>
    <w:p w14:paraId="7E7B306E">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bCs/>
          <w:color w:val="auto"/>
          <w:sz w:val="24"/>
          <w:szCs w:val="24"/>
        </w:rPr>
        <w:t>17.5 开标时投标人可登录到交易系统中在开标解密栏中点击报价一览表查看自己的投标报价。如对自己的唱标内容有异议的，应在投标人解密成功后10分钟内向中服务机构通过开标大厅对话框提出质疑。中介服务机构做好书面记录。投标人未在规定时间内提出质疑的，视为认可唱标内容</w:t>
      </w:r>
      <w:r>
        <w:rPr>
          <w:rFonts w:hint="eastAsia" w:ascii="宋体" w:hAnsi="宋体" w:eastAsia="宋体" w:cs="宋体"/>
          <w:bCs/>
          <w:color w:val="auto"/>
          <w:sz w:val="24"/>
          <w:szCs w:val="24"/>
          <w:lang w:eastAsia="zh-CN"/>
        </w:rPr>
        <w:t>。</w:t>
      </w:r>
    </w:p>
    <w:p w14:paraId="34B6ACBA">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17.6投标文件的有效性</w:t>
      </w:r>
    </w:p>
    <w:p w14:paraId="1E753940">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17.6.1投标文件有下列情形之一的为无效投标文件，</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不予受理：</w:t>
      </w:r>
    </w:p>
    <w:p w14:paraId="3ADA532B">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 逾期上传的或者未上传指定平台的；</w:t>
      </w:r>
    </w:p>
    <w:p w14:paraId="5EA433A1">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 未按规定递交投标承诺函的。</w:t>
      </w:r>
    </w:p>
    <w:p w14:paraId="79D4CFAA">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17.6.2 </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将有效投标文件，送评标委员会进行评审、比较。</w:t>
      </w:r>
    </w:p>
    <w:p w14:paraId="411E14D9">
      <w:pPr>
        <w:widowControl/>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六、评标与定标</w:t>
      </w:r>
    </w:p>
    <w:p w14:paraId="1BB5C24F">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18.评标委员会</w:t>
      </w:r>
    </w:p>
    <w:p w14:paraId="2281BCDD">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18.1</w:t>
      </w:r>
      <w:r>
        <w:rPr>
          <w:rFonts w:hint="eastAsia" w:ascii="宋体" w:hAnsi="宋体" w:eastAsia="宋体" w:cs="宋体"/>
          <w:color w:val="auto"/>
          <w:sz w:val="24"/>
          <w:szCs w:val="24"/>
        </w:rPr>
        <w:t>评标由</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依法组建的评标委员会负责。评标委员会由</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熟悉相关业务的代表，以及有关方面的专家组成。评标委员会成员人数以及专家的确定方式见</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须知前附表。</w:t>
      </w:r>
    </w:p>
    <w:p w14:paraId="26F61AA8">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18.2</w:t>
      </w:r>
      <w:r>
        <w:rPr>
          <w:rFonts w:hint="eastAsia" w:ascii="宋体" w:hAnsi="宋体" w:eastAsia="宋体" w:cs="宋体"/>
          <w:color w:val="auto"/>
          <w:sz w:val="24"/>
          <w:szCs w:val="24"/>
        </w:rPr>
        <w:t>评标委员会成员有下列情形之一的，应当回避：</w:t>
      </w:r>
    </w:p>
    <w:p w14:paraId="7CDCEB51">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的主要负责人的近亲属；</w:t>
      </w:r>
    </w:p>
    <w:p w14:paraId="6E570670">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（2）项目主管部门或者行政监督部门的人员；</w:t>
      </w:r>
    </w:p>
    <w:p w14:paraId="714E7880">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（3）与</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有经济利益关系，可能影响对投标公正评审的；</w:t>
      </w:r>
    </w:p>
    <w:p w14:paraId="71475B57">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（4）曾因在招标、评标以及其他与招标投标有关活动中从事违法行为而受过行政处罚或刑事处罚的。</w:t>
      </w:r>
    </w:p>
    <w:p w14:paraId="10D92A36">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19.评标过程的保密</w:t>
      </w:r>
    </w:p>
    <w:p w14:paraId="7667E40A">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19.1开标后，直至授予中标</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合同为止，凡属于对投标文件的审查、澄清、评价和比较有关的资料，中标候选人的推荐情况，及其他任何与评标有关的情况均应严格保密。</w:t>
      </w:r>
    </w:p>
    <w:p w14:paraId="06F91253">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19.2在投标文件的评审和比较、中标候选人推荐以及授予合同的过程中，</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向</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和评标委员会施加影响的任何行为，都将会导致其投标被拒绝。</w:t>
      </w:r>
    </w:p>
    <w:p w14:paraId="6A538DF8">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19.3中标</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确定后，</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不对未中标</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就评标过程以及未能成交原因作出任何解释。未中标</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不得向评标委员会组成人员或其他有关人员索问评标过程的情况和材料。</w:t>
      </w:r>
    </w:p>
    <w:p w14:paraId="6A276D9B">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20. 评标原则</w:t>
      </w:r>
      <w:r>
        <w:rPr>
          <w:rFonts w:hint="eastAsia" w:ascii="宋体" w:hAnsi="宋体" w:eastAsia="宋体" w:cs="宋体"/>
          <w:b/>
          <w:bCs/>
          <w:color w:val="auto"/>
          <w:sz w:val="24"/>
          <w:szCs w:val="24"/>
        </w:rPr>
        <w:tab/>
      </w:r>
    </w:p>
    <w:p w14:paraId="6607CCD1">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评标活动遵循公平、公正、科学和择优的原则。</w:t>
      </w:r>
    </w:p>
    <w:p w14:paraId="01A859B0">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21、投标文件的澄清</w:t>
      </w:r>
    </w:p>
    <w:p w14:paraId="05C271C3">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为有助于投标文件的审查、评价和比较，评标委员会可以通知</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对投标文件含义不明确的内容作必要的澄清或说明，</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应进行澄清或说明，但不得超出投标文件的范围或改变投标文件的实质性内容。根据本须知规定，凡属于评标委员会在评标中发现的计算错误并进行核实的修改不在此列。</w:t>
      </w:r>
    </w:p>
    <w:p w14:paraId="3786408A">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22、投标文件的初步评审</w:t>
      </w:r>
    </w:p>
    <w:p w14:paraId="16896814">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rPr>
        <w:t>22.1评标委员会应当对符合资格的</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的投标文件进行符合性审查，以确定其是否满足招标文件的实质</w:t>
      </w:r>
      <w:r>
        <w:rPr>
          <w:rFonts w:hint="eastAsia" w:ascii="宋体" w:hAnsi="宋体" w:eastAsia="宋体" w:cs="宋体"/>
          <w:color w:val="auto"/>
          <w:sz w:val="24"/>
          <w:szCs w:val="24"/>
          <w:highlight w:val="none"/>
        </w:rPr>
        <w:t>性要求。</w:t>
      </w:r>
    </w:p>
    <w:p w14:paraId="532434A3">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22.2投标价超出</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预算的投标将会被拒绝。</w:t>
      </w:r>
    </w:p>
    <w:p w14:paraId="44006F58">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22.3实质上没有响应招标文件要求的投标将被拒绝，</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不得通过修正或撤消不符之处而使其投标成为实质上响应投标。</w:t>
      </w:r>
    </w:p>
    <w:p w14:paraId="69E7F045">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22.4评标中有下列情形之一的，其投标将会被拒绝：</w:t>
      </w:r>
    </w:p>
    <w:p w14:paraId="409BC8DB">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(1) </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未按照招标文件的规定提交投标承诺函的；</w:t>
      </w:r>
    </w:p>
    <w:p w14:paraId="5EDF250E">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 投标文件未按招标文件要求签署、盖章的；</w:t>
      </w:r>
    </w:p>
    <w:p w14:paraId="604E18CD">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 不具备招标文件中规定的资质要求的；</w:t>
      </w:r>
    </w:p>
    <w:p w14:paraId="07E88FFA">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 报价超过招标文件中规定的预算金额或者最高限价的；</w:t>
      </w:r>
    </w:p>
    <w:p w14:paraId="7F2997C6">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(5)投标文件含有</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不能接受的附加条件的；</w:t>
      </w:r>
    </w:p>
    <w:p w14:paraId="54071A62">
      <w:pPr>
        <w:widowControl/>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(6)法律、法规和招标文件规定的其他无效情形。</w:t>
      </w:r>
    </w:p>
    <w:p w14:paraId="048F4B5F">
      <w:pPr>
        <w:widowControl/>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23、投标文件计算错误的修正</w:t>
      </w:r>
    </w:p>
    <w:p w14:paraId="40FF1B2E">
      <w:pPr>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highlight w:val="none"/>
        </w:rPr>
        <w:t>23.1</w:t>
      </w:r>
      <w:r>
        <w:rPr>
          <w:rFonts w:hint="eastAsia" w:ascii="宋体" w:hAnsi="宋体" w:eastAsia="宋体" w:cs="宋体"/>
          <w:color w:val="auto"/>
          <w:sz w:val="24"/>
          <w:szCs w:val="24"/>
          <w:highlight w:val="none"/>
        </w:rPr>
        <w:t>对于投标文件中含义不明确、同类问题表述不一致或者有明显文字和计算错误的内容，评</w:t>
      </w:r>
      <w:r>
        <w:rPr>
          <w:rFonts w:hint="eastAsia" w:ascii="宋体" w:hAnsi="宋体" w:eastAsia="宋体" w:cs="宋体"/>
          <w:color w:val="auto"/>
          <w:sz w:val="24"/>
          <w:szCs w:val="24"/>
        </w:rPr>
        <w:t>标委员会应当以书面形式要求</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作出必要的澄清、说明或者补正。投标文件报价出现前后不一致的按以下方法修正：</w:t>
      </w:r>
    </w:p>
    <w:p w14:paraId="005F400C">
      <w:pPr>
        <w:widowControl/>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23.1.1</w:t>
      </w:r>
      <w:r>
        <w:rPr>
          <w:rFonts w:hint="eastAsia" w:ascii="宋体" w:hAnsi="宋体" w:eastAsia="宋体" w:cs="宋体"/>
          <w:color w:val="auto"/>
          <w:kern w:val="2"/>
          <w:sz w:val="24"/>
          <w:szCs w:val="24"/>
        </w:rPr>
        <w:t>投标文件中投标函附表（报价表）内容与投标文件中相应内容不一致的，以投标函附表（报价表）为准；</w:t>
      </w:r>
    </w:p>
    <w:p w14:paraId="2ECF1DFA">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kern w:val="2"/>
          <w:sz w:val="24"/>
          <w:szCs w:val="24"/>
        </w:rPr>
        <w:t>23.1.2</w:t>
      </w:r>
      <w:r>
        <w:rPr>
          <w:rFonts w:hint="eastAsia" w:ascii="宋体" w:hAnsi="宋体" w:eastAsia="宋体" w:cs="宋体"/>
          <w:color w:val="auto"/>
          <w:sz w:val="24"/>
          <w:szCs w:val="24"/>
        </w:rPr>
        <w:t>大写金额和小写金额不一致的，以大写金额为准；</w:t>
      </w:r>
    </w:p>
    <w:p w14:paraId="3CD9E52E">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23.1.3单价金额小数点或者百分比有明显错位的，以开标一览表的总价为准，并修改单价；</w:t>
      </w:r>
    </w:p>
    <w:p w14:paraId="18EC7289">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23.1.4总价金额与按单价汇总金额不一致的，以单价金额计算结果为准。</w:t>
      </w:r>
    </w:p>
    <w:p w14:paraId="4C1912A4">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同时出现两种以上不一致的，按照顺序修正。</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不确认的，其投标无效。</w:t>
      </w:r>
    </w:p>
    <w:p w14:paraId="7E6D60A7">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24. 投标文件的评审、比较和否决</w:t>
      </w:r>
    </w:p>
    <w:p w14:paraId="2D84103E">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24.1</w:t>
      </w:r>
      <w:r>
        <w:rPr>
          <w:rFonts w:hint="eastAsia" w:ascii="宋体" w:hAnsi="宋体" w:eastAsia="宋体" w:cs="宋体"/>
          <w:color w:val="auto"/>
          <w:sz w:val="24"/>
          <w:szCs w:val="24"/>
        </w:rPr>
        <w:t>评标委员会将按照招标文件的规定，仅对在实质上响应招标文件要求的投标文件进行评估和比较。</w:t>
      </w:r>
    </w:p>
    <w:p w14:paraId="5A9F6405">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24.2</w:t>
      </w:r>
      <w:r>
        <w:rPr>
          <w:rFonts w:hint="eastAsia" w:ascii="宋体" w:hAnsi="宋体" w:eastAsia="宋体" w:cs="宋体"/>
          <w:color w:val="auto"/>
          <w:sz w:val="24"/>
          <w:szCs w:val="24"/>
        </w:rPr>
        <w:t>根据相关法律法规，结合本项目具体情况，制定本次招标评标办法。并按照“公平、公正、科学、择优”的原则进行评标。</w:t>
      </w:r>
    </w:p>
    <w:p w14:paraId="298A1A8D">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24.3</w:t>
      </w:r>
      <w:r>
        <w:rPr>
          <w:rFonts w:hint="eastAsia" w:ascii="宋体" w:hAnsi="宋体" w:eastAsia="宋体" w:cs="宋体"/>
          <w:color w:val="auto"/>
          <w:sz w:val="24"/>
          <w:szCs w:val="24"/>
        </w:rPr>
        <w:t>在评审过程中，评标委员会可以要求</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就投标文件中含义不明确的内容进行说明并提供相关材料。</w:t>
      </w:r>
    </w:p>
    <w:p w14:paraId="0C11EE1F">
      <w:pPr>
        <w:widowControl/>
        <w:spacing w:line="360" w:lineRule="auto"/>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24.4</w:t>
      </w:r>
      <w:r>
        <w:rPr>
          <w:rFonts w:hint="eastAsia" w:ascii="宋体" w:hAnsi="宋体" w:eastAsia="宋体" w:cs="宋体"/>
          <w:color w:val="auto"/>
          <w:sz w:val="24"/>
          <w:szCs w:val="24"/>
        </w:rPr>
        <w:t>评标时，投标报价是评标的重要依据，但不是唯一依据，</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不承诺将合同授予报价最低或最高的</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w:t>
      </w:r>
    </w:p>
    <w:p w14:paraId="3213249D">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24.5</w:t>
      </w:r>
      <w:r>
        <w:rPr>
          <w:rFonts w:hint="eastAsia" w:ascii="宋体" w:hAnsi="宋体" w:eastAsia="宋体" w:cs="宋体"/>
          <w:color w:val="auto"/>
          <w:sz w:val="24"/>
          <w:szCs w:val="24"/>
        </w:rPr>
        <w:t>评标委员会依据本须知规定的评标标准和方法，对投标文件进行评审和比较，向</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提出书面评标报告，并推荐合格的中标候选人。</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根据评标委员会提出的书面评标报告和推荐的中标候选人按序确定中标</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w:t>
      </w:r>
    </w:p>
    <w:p w14:paraId="7A13ED71">
      <w:pPr>
        <w:widowControl/>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七、授予合同</w:t>
      </w:r>
    </w:p>
    <w:p w14:paraId="50060B9D">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25、合同授予标准</w:t>
      </w:r>
    </w:p>
    <w:p w14:paraId="373178A1">
      <w:pPr>
        <w:widowControl/>
        <w:spacing w:line="360" w:lineRule="auto"/>
        <w:ind w:firstLine="482" w:firstLineChars="200"/>
        <w:jc w:val="left"/>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rPr>
        <w:t>25.1</w:t>
      </w:r>
      <w:r>
        <w:rPr>
          <w:rFonts w:hint="eastAsia" w:ascii="宋体" w:hAnsi="宋体" w:eastAsia="宋体" w:cs="宋体"/>
          <w:color w:val="auto"/>
          <w:sz w:val="24"/>
          <w:szCs w:val="24"/>
        </w:rPr>
        <w:t>本招标项目的合同将授予按本评标办法确定的中标</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。确定中标供应商后，由采购人组织监督单位和相关人员对中标供应商固定合法的配送地点或经营场所及设备进行实地考察，对于不符合采购人要求的供应商，根据采购人要求</w:t>
      </w:r>
      <w:r>
        <w:rPr>
          <w:rFonts w:hint="eastAsia" w:ascii="宋体" w:hAnsi="宋体" w:eastAsia="宋体" w:cs="宋体"/>
          <w:color w:val="auto"/>
          <w:sz w:val="24"/>
          <w:szCs w:val="24"/>
          <w:lang w:val="en-US" w:eastAsia="zh-CN"/>
        </w:rPr>
        <w:t>时限内</w:t>
      </w:r>
      <w:r>
        <w:rPr>
          <w:rFonts w:hint="eastAsia" w:ascii="宋体" w:hAnsi="宋体" w:eastAsia="宋体" w:cs="宋体"/>
          <w:color w:val="auto"/>
          <w:sz w:val="24"/>
          <w:szCs w:val="24"/>
        </w:rPr>
        <w:t>进行整改，直到符合要求，再签订合同。</w:t>
      </w:r>
      <w:r>
        <w:rPr>
          <w:rFonts w:hint="eastAsia" w:ascii="宋体" w:hAnsi="宋体" w:eastAsia="宋体" w:cs="宋体"/>
          <w:color w:val="auto"/>
          <w:sz w:val="24"/>
          <w:szCs w:val="24"/>
          <w:lang w:val="en-US" w:eastAsia="zh-CN"/>
        </w:rPr>
        <w:t>拒绝整改的，采购人有权取消其中标资格。</w:t>
      </w:r>
    </w:p>
    <w:p w14:paraId="68D285E0">
      <w:pPr>
        <w:widowControl/>
        <w:spacing w:line="360" w:lineRule="auto"/>
        <w:ind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25.2</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和其委托的</w:t>
      </w:r>
      <w:r>
        <w:rPr>
          <w:rFonts w:hint="eastAsia" w:ascii="宋体" w:hAnsi="宋体" w:eastAsia="宋体" w:cs="宋体"/>
          <w:color w:val="auto"/>
          <w:sz w:val="24"/>
          <w:szCs w:val="24"/>
          <w:lang w:eastAsia="zh-CN"/>
        </w:rPr>
        <w:t>招标代理机构</w:t>
      </w:r>
      <w:r>
        <w:rPr>
          <w:rFonts w:hint="eastAsia" w:ascii="宋体" w:hAnsi="宋体" w:eastAsia="宋体" w:cs="宋体"/>
          <w:color w:val="auto"/>
          <w:sz w:val="24"/>
          <w:szCs w:val="24"/>
        </w:rPr>
        <w:t>，在项目评标结束</w:t>
      </w:r>
      <w:r>
        <w:rPr>
          <w:rFonts w:hint="eastAsia" w:ascii="宋体" w:hAnsi="宋体" w:eastAsia="宋体" w:cs="宋体"/>
          <w:color w:val="auto"/>
          <w:sz w:val="24"/>
          <w:szCs w:val="24"/>
          <w:lang w:val="en-US" w:eastAsia="zh-CN"/>
        </w:rPr>
        <w:t>后当日</w:t>
      </w:r>
      <w:r>
        <w:rPr>
          <w:rFonts w:hint="eastAsia" w:ascii="宋体" w:hAnsi="宋体" w:eastAsia="宋体" w:cs="宋体"/>
          <w:color w:val="auto"/>
          <w:sz w:val="24"/>
          <w:szCs w:val="24"/>
        </w:rPr>
        <w:t>完成评标报告的报送、中标成交</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的确定、中标公告的发布、中标成交通知书发出。</w:t>
      </w:r>
    </w:p>
    <w:p w14:paraId="5BAA7B66">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25.3</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确定排名第一的中标候选人为中标</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。当确定中标的中标候选人放弃中标或因不可抗力提出不能履行合同的，采购人可以按照评审报告推荐的中标或者成交候选人名单排序，确定下一候选人为中标或者成交供应商，也可以重新开展政府采购活动。</w:t>
      </w:r>
    </w:p>
    <w:p w14:paraId="05987D42">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26、</w:t>
      </w:r>
      <w:r>
        <w:rPr>
          <w:rFonts w:hint="eastAsia" w:ascii="宋体" w:hAnsi="宋体" w:eastAsia="宋体" w:cs="宋体"/>
          <w:b/>
          <w:bCs/>
          <w:color w:val="auto"/>
          <w:sz w:val="24"/>
          <w:szCs w:val="24"/>
          <w:lang w:eastAsia="zh-CN"/>
        </w:rPr>
        <w:t>采购人</w:t>
      </w:r>
      <w:r>
        <w:rPr>
          <w:rFonts w:hint="eastAsia" w:ascii="宋体" w:hAnsi="宋体" w:eastAsia="宋体" w:cs="宋体"/>
          <w:b/>
          <w:bCs/>
          <w:color w:val="auto"/>
          <w:sz w:val="24"/>
          <w:szCs w:val="24"/>
        </w:rPr>
        <w:t>拒绝投标的权力</w:t>
      </w:r>
    </w:p>
    <w:p w14:paraId="505DDB66">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不承诺将合同授予报价最低的或最高的</w:t>
      </w:r>
      <w:r>
        <w:rPr>
          <w:rFonts w:hint="eastAsia" w:ascii="宋体" w:hAnsi="宋体" w:eastAsia="宋体" w:cs="宋体"/>
          <w:color w:val="auto"/>
          <w:sz w:val="24"/>
          <w:szCs w:val="24"/>
          <w:lang w:val="en-US" w:eastAsia="zh-CN"/>
        </w:rPr>
        <w:t>中标</w:t>
      </w:r>
      <w:r>
        <w:rPr>
          <w:rFonts w:hint="eastAsia" w:ascii="宋体" w:hAnsi="宋体" w:eastAsia="宋体" w:cs="宋体"/>
          <w:color w:val="auto"/>
          <w:sz w:val="24"/>
          <w:szCs w:val="24"/>
        </w:rPr>
        <w:t>（成交）候选人。</w:t>
      </w:r>
    </w:p>
    <w:p w14:paraId="17972017">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27、中标通知</w:t>
      </w:r>
    </w:p>
    <w:p w14:paraId="1EAA575E">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27.1</w:t>
      </w:r>
      <w:r>
        <w:rPr>
          <w:rFonts w:hint="eastAsia" w:ascii="宋体" w:hAnsi="宋体" w:eastAsia="宋体" w:cs="宋体"/>
          <w:color w:val="auto"/>
          <w:sz w:val="24"/>
          <w:szCs w:val="24"/>
        </w:rPr>
        <w:t>中标</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确定后，在发布本项目招标公告的媒介上发布中标公告。</w:t>
      </w:r>
    </w:p>
    <w:p w14:paraId="47F1A3CE">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27.2</w:t>
      </w:r>
      <w:r>
        <w:rPr>
          <w:rFonts w:hint="eastAsia" w:ascii="宋体" w:hAnsi="宋体" w:eastAsia="宋体" w:cs="宋体"/>
          <w:color w:val="auto"/>
          <w:sz w:val="24"/>
          <w:szCs w:val="24"/>
        </w:rPr>
        <w:t>中标通知书是合同的组成部分。</w:t>
      </w:r>
    </w:p>
    <w:p w14:paraId="1E3B4527">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27.3</w:t>
      </w:r>
      <w:r>
        <w:rPr>
          <w:rFonts w:hint="eastAsia" w:ascii="宋体" w:hAnsi="宋体" w:eastAsia="宋体" w:cs="宋体"/>
          <w:color w:val="auto"/>
          <w:sz w:val="24"/>
          <w:szCs w:val="24"/>
        </w:rPr>
        <w:t>对未中标的</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，不做任何未中标原因的解释。所有投标文件不予退还。</w:t>
      </w:r>
    </w:p>
    <w:p w14:paraId="548229A7">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28.合同协议书的签署</w:t>
      </w:r>
    </w:p>
    <w:p w14:paraId="28677FC9">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28.1</w:t>
      </w:r>
      <w:r>
        <w:rPr>
          <w:rFonts w:hint="eastAsia" w:ascii="宋体" w:hAnsi="宋体" w:eastAsia="宋体" w:cs="宋体"/>
          <w:color w:val="auto"/>
          <w:sz w:val="24"/>
          <w:szCs w:val="24"/>
        </w:rPr>
        <w:t>招标人与中标投标人将于中标通知书发出之日起1个工作日内签订合同，合同签订后2个工作日内在河南省政府采购网上发布公告并完成合同备案，按照招标文件及成交投标人的电子化投标文件订立书面采购合同，招标人和成交投标人不得再行订立背离合同实质性内容的其他协议。</w:t>
      </w:r>
    </w:p>
    <w:p w14:paraId="191E5F8E">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28.2</w:t>
      </w:r>
      <w:r>
        <w:rPr>
          <w:rFonts w:hint="eastAsia" w:ascii="宋体" w:hAnsi="宋体" w:eastAsia="宋体" w:cs="宋体"/>
          <w:color w:val="auto"/>
          <w:sz w:val="24"/>
          <w:szCs w:val="24"/>
        </w:rPr>
        <w:t>中标</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如不按本投标须知的规定与</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订立合同，则</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将废除授标，给</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造成损失的，向</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缴纳经济补偿，同时依法承担相应法律责任。</w:t>
      </w:r>
    </w:p>
    <w:p w14:paraId="3CDFBFB2">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29. 履约保证金</w:t>
      </w:r>
    </w:p>
    <w:p w14:paraId="2262E598">
      <w:pPr>
        <w:widowControl/>
        <w:spacing w:line="360" w:lineRule="auto"/>
        <w:ind w:firstLine="482" w:firstLineChars="20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29.1.</w:t>
      </w:r>
      <w:r>
        <w:rPr>
          <w:rFonts w:hint="eastAsia" w:ascii="宋体" w:hAnsi="宋体" w:eastAsia="宋体" w:cs="宋体"/>
          <w:bCs/>
          <w:color w:val="auto"/>
          <w:sz w:val="24"/>
          <w:szCs w:val="24"/>
        </w:rPr>
        <w:t>本项目不再收取履约保证金</w:t>
      </w:r>
      <w:r>
        <w:rPr>
          <w:rFonts w:hint="eastAsia" w:ascii="宋体" w:hAnsi="宋体" w:eastAsia="宋体" w:cs="宋体"/>
          <w:color w:val="auto"/>
          <w:sz w:val="24"/>
          <w:szCs w:val="24"/>
        </w:rPr>
        <w:t>。</w:t>
      </w:r>
    </w:p>
    <w:p w14:paraId="364ACD93">
      <w:pPr>
        <w:widowControl/>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八</w:t>
      </w:r>
      <w:r>
        <w:rPr>
          <w:rFonts w:hint="eastAsia" w:ascii="宋体" w:hAnsi="宋体" w:eastAsia="宋体" w:cs="宋体"/>
          <w:b/>
          <w:bCs/>
          <w:color w:val="auto"/>
          <w:sz w:val="24"/>
          <w:szCs w:val="24"/>
        </w:rPr>
        <w:t>.纪律和监督</w:t>
      </w:r>
    </w:p>
    <w:p w14:paraId="1C70AB5E">
      <w:pPr>
        <w:widowControl/>
        <w:spacing w:line="360" w:lineRule="auto"/>
        <w:ind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30.</w:t>
      </w:r>
      <w:r>
        <w:rPr>
          <w:rFonts w:hint="eastAsia" w:ascii="宋体" w:hAnsi="宋体" w:eastAsia="宋体" w:cs="宋体"/>
          <w:b/>
          <w:bCs/>
          <w:color w:val="auto"/>
          <w:sz w:val="24"/>
          <w:szCs w:val="24"/>
        </w:rPr>
        <w:t>对采购人的纪律要求</w:t>
      </w:r>
    </w:p>
    <w:p w14:paraId="2ACF28D1">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采购人不得泄露招标投标活动中应当保密的情况和资料，不得与供应商串通损害国家利益、社会公共利益或者他人合法权益。</w:t>
      </w:r>
    </w:p>
    <w:p w14:paraId="054977E3">
      <w:pPr>
        <w:widowControl/>
        <w:spacing w:line="360" w:lineRule="auto"/>
        <w:ind w:firstLine="482" w:firstLineChars="200"/>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31.对供应商的纪律要求</w:t>
      </w:r>
    </w:p>
    <w:p w14:paraId="78CB3EA8">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（1）供应商不得相互串通投标或者与采购人串通投标，</w:t>
      </w:r>
    </w:p>
    <w:p w14:paraId="7937B9F4">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（2）不得向采购人或者评标委员会成员行贿谋取中标，</w:t>
      </w:r>
    </w:p>
    <w:p w14:paraId="285ACF6E">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（3）不得以他人名义投标或者以其他方式弄虚作假骗取中标，</w:t>
      </w:r>
    </w:p>
    <w:p w14:paraId="08FFA1E4">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（4）不得恶意低价抢标；</w:t>
      </w:r>
    </w:p>
    <w:p w14:paraId="23A93EC4">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（5）供应商不得以任何方式干扰、影响评标工作。</w:t>
      </w:r>
    </w:p>
    <w:p w14:paraId="33C1E0E1">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（6）不得向采购人提出不合理的要求作为签订合同的条件；</w:t>
      </w:r>
    </w:p>
    <w:p w14:paraId="470CFF2A">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（7）不得无正当理由放弃中标或中标后拒绝与采购人签订合同；</w:t>
      </w:r>
    </w:p>
    <w:p w14:paraId="22D3DC98">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（8）不得恶意诋毁其他供应商、采购人或采购代理机构；</w:t>
      </w:r>
    </w:p>
    <w:p w14:paraId="7302D0BE">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（9）在参与政府采购活动中，不得有其他违法违规行为。 </w:t>
      </w:r>
    </w:p>
    <w:p w14:paraId="12D836AE">
      <w:pPr>
        <w:widowControl/>
        <w:spacing w:line="360" w:lineRule="auto"/>
        <w:ind w:firstLine="482" w:firstLineChars="200"/>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32.对评标委员会成员的纪律要求</w:t>
      </w:r>
    </w:p>
    <w:p w14:paraId="7DBC3654">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67D05322">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（1）确定参与评标至评标结束前，不得私自接触供应商；</w:t>
      </w:r>
    </w:p>
    <w:p w14:paraId="69B4F217">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（2）不得接受供应商提出的与投标文件不一致的澄清和说明；</w:t>
      </w:r>
    </w:p>
    <w:p w14:paraId="0FB5A613">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（3）不得征询采购人的倾向性意见；</w:t>
      </w:r>
    </w:p>
    <w:p w14:paraId="5B98674A">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（7）不得对主观评审因素协商评分；</w:t>
      </w:r>
    </w:p>
    <w:p w14:paraId="381E71A6">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（8）不得对客观评审因素评分不一致；</w:t>
      </w:r>
    </w:p>
    <w:p w14:paraId="273F196F">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（6）评标委员会成员不得接受供应商、采购人和采购代理机构等他人的贿赂或者其他不正当利益；</w:t>
      </w:r>
    </w:p>
    <w:p w14:paraId="5967F4BB">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（7）不得以不合理的条件对供应商实行差别待遇或者歧视待遇，排斥其他供应商公平参与竞争；</w:t>
      </w:r>
    </w:p>
    <w:p w14:paraId="7EBB060C">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（8）不得诱导、干预或影响其他评标专家依法依规独立评标；</w:t>
      </w:r>
    </w:p>
    <w:p w14:paraId="697AC4C3">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（9）在评标活动中，评标委员会成员不得擅离职守，影响评标工作正常进行；</w:t>
      </w:r>
    </w:p>
    <w:p w14:paraId="5C132F3D">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（10）不得记录、复制或带走任何评标资料；</w:t>
      </w:r>
    </w:p>
    <w:p w14:paraId="0B9B7E3B">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（11）不得泄露评标过程中获悉的对投标文件的评审和比较、中标候选人的推荐情况以及与评标有关的应当保密的情况和资料；</w:t>
      </w:r>
    </w:p>
    <w:p w14:paraId="187EEF7C">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（12）评标委员会成员与供应商存在利害关系应当回避；</w:t>
      </w:r>
    </w:p>
    <w:p w14:paraId="462CAB48">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（13）在参与政府采购评标活动中，不得有其他违法违规行为。 </w:t>
      </w:r>
    </w:p>
    <w:p w14:paraId="098F4929">
      <w:pPr>
        <w:widowControl/>
        <w:spacing w:line="360" w:lineRule="auto"/>
        <w:ind w:firstLine="482" w:firstLineChars="200"/>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33.对与评标活动有关的工作人员的纪律要求</w:t>
      </w:r>
    </w:p>
    <w:p w14:paraId="7251404B">
      <w:pPr>
        <w:widowControl/>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与评标活动有关的工作人员不得收受他人的财物或者其他好处，不得向他人透露对投标文 件的评审和比较、中标候选人的推荐情况以及评标有关的其他情况。在评标活动中，与评标活动有关的工作人员不得擅离职守，影响评标程序正常进行,与供应商有利害关系的应当回避,在参与或服务政府采购活动中，不得有其他违法违规行为。</w:t>
      </w:r>
    </w:p>
    <w:p w14:paraId="3185D601">
      <w:pPr>
        <w:widowControl/>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九</w:t>
      </w:r>
      <w:r>
        <w:rPr>
          <w:rFonts w:hint="eastAsia" w:ascii="宋体" w:hAnsi="宋体" w:eastAsia="宋体" w:cs="宋体"/>
          <w:b/>
          <w:bCs/>
          <w:color w:val="auto"/>
          <w:sz w:val="24"/>
          <w:szCs w:val="24"/>
        </w:rPr>
        <w:t>. 重新招标</w:t>
      </w:r>
    </w:p>
    <w:p w14:paraId="400ECCEE">
      <w:pPr>
        <w:widowControl/>
        <w:spacing w:line="360" w:lineRule="auto"/>
        <w:ind w:firstLine="482" w:firstLineChars="2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34.重新招标</w:t>
      </w:r>
    </w:p>
    <w:p w14:paraId="1A66526C">
      <w:pPr>
        <w:widowControl/>
        <w:spacing w:line="360" w:lineRule="auto"/>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rPr>
        <w:t>出现下列情形之一的，将终止政府采购活动，发布项目终止公告并说明原因，重新开展采购</w:t>
      </w:r>
      <w:r>
        <w:rPr>
          <w:rFonts w:hint="eastAsia" w:ascii="宋体" w:hAnsi="宋体" w:eastAsia="宋体" w:cs="宋体"/>
          <w:b w:val="0"/>
          <w:bCs w:val="0"/>
          <w:color w:val="auto"/>
          <w:sz w:val="24"/>
          <w:szCs w:val="24"/>
          <w:highlight w:val="none"/>
        </w:rPr>
        <w:t>活动：</w:t>
      </w:r>
    </w:p>
    <w:p w14:paraId="28CEEBAC">
      <w:pPr>
        <w:widowControl/>
        <w:spacing w:line="360" w:lineRule="auto"/>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.1、不符合法律、法规和招标文件中规定的其他实质性要求的；</w:t>
      </w:r>
    </w:p>
    <w:p w14:paraId="1868910F">
      <w:pPr>
        <w:widowControl/>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.2、其他法律、法规及本招标文件规定的属响应无效的情形。终止采购活</w:t>
      </w:r>
      <w:r>
        <w:rPr>
          <w:rFonts w:hint="eastAsia" w:ascii="宋体" w:hAnsi="宋体" w:eastAsia="宋体" w:cs="宋体"/>
          <w:b w:val="0"/>
          <w:bCs w:val="0"/>
          <w:color w:val="auto"/>
          <w:sz w:val="24"/>
          <w:szCs w:val="24"/>
        </w:rPr>
        <w:t>动的条款；</w:t>
      </w:r>
    </w:p>
    <w:p w14:paraId="3E99F70E">
      <w:pPr>
        <w:widowControl/>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34</w:t>
      </w:r>
      <w:r>
        <w:rPr>
          <w:rFonts w:hint="eastAsia" w:ascii="宋体" w:hAnsi="宋体" w:eastAsia="宋体" w:cs="宋体"/>
          <w:b w:val="0"/>
          <w:bCs w:val="0"/>
          <w:color w:val="auto"/>
          <w:sz w:val="24"/>
          <w:szCs w:val="24"/>
        </w:rPr>
        <w:t>.3、因情况变化，不再符合规定的采购方式适用情形的；出现影响采购公正的违法、违规行为的；</w:t>
      </w:r>
    </w:p>
    <w:p w14:paraId="43104B19">
      <w:pPr>
        <w:widowControl/>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34</w:t>
      </w:r>
      <w:r>
        <w:rPr>
          <w:rFonts w:hint="eastAsia" w:ascii="宋体" w:hAnsi="宋体" w:eastAsia="宋体" w:cs="宋体"/>
          <w:b w:val="0"/>
          <w:bCs w:val="0"/>
          <w:color w:val="auto"/>
          <w:sz w:val="24"/>
          <w:szCs w:val="24"/>
        </w:rPr>
        <w:t>.4、投标截止时间结束后参加</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不足3家的，应重新组织采购，评审期间符合专业条件的</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或者对招标文件作出实质响应的</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不足3家的，应重新组织采购。</w:t>
      </w:r>
    </w:p>
    <w:p w14:paraId="057C0E1B">
      <w:pPr>
        <w:widowControl/>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十</w:t>
      </w:r>
      <w:r>
        <w:rPr>
          <w:rFonts w:hint="eastAsia" w:ascii="宋体" w:hAnsi="宋体" w:eastAsia="宋体" w:cs="宋体"/>
          <w:b/>
          <w:bCs/>
          <w:color w:val="auto"/>
          <w:sz w:val="24"/>
          <w:szCs w:val="24"/>
        </w:rPr>
        <w:t>、投诉</w:t>
      </w:r>
    </w:p>
    <w:p w14:paraId="791F9E6D">
      <w:pPr>
        <w:autoSpaceDE w:val="0"/>
        <w:autoSpaceDN w:val="0"/>
        <w:adjustRightInd w:val="0"/>
        <w:spacing w:before="32" w:line="360" w:lineRule="auto"/>
        <w:ind w:right="-57" w:firstLine="464" w:firstLineChars="200"/>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lang w:eastAsia="zh-CN"/>
        </w:rPr>
        <w:t>投标人</w:t>
      </w:r>
      <w:r>
        <w:rPr>
          <w:rFonts w:hint="eastAsia" w:ascii="宋体" w:hAnsi="宋体" w:eastAsia="宋体" w:cs="宋体"/>
          <w:color w:val="auto"/>
          <w:spacing w:val="-4"/>
          <w:sz w:val="24"/>
          <w:szCs w:val="24"/>
        </w:rPr>
        <w:t>和其他利害关系人认为本次招标违反法律、法规和规章规定的，有权向有关行政监督部门投诉。</w:t>
      </w:r>
    </w:p>
    <w:p w14:paraId="40DEA7F4">
      <w:pPr>
        <w:widowControl/>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一</w:t>
      </w:r>
      <w:r>
        <w:rPr>
          <w:rFonts w:hint="eastAsia" w:ascii="宋体" w:hAnsi="宋体" w:eastAsia="宋体" w:cs="宋体"/>
          <w:b/>
          <w:bCs/>
          <w:color w:val="auto"/>
          <w:sz w:val="24"/>
          <w:szCs w:val="24"/>
        </w:rPr>
        <w:t>、质疑程序及处理</w:t>
      </w:r>
    </w:p>
    <w:p w14:paraId="05F515CD">
      <w:pPr>
        <w:widowControl/>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w:t>
      </w:r>
      <w:r>
        <w:rPr>
          <w:rFonts w:hint="eastAsia" w:ascii="宋体" w:hAnsi="宋体" w:eastAsia="宋体" w:cs="宋体"/>
          <w:b w:val="0"/>
          <w:bCs w:val="0"/>
          <w:color w:val="auto"/>
          <w:sz w:val="24"/>
          <w:szCs w:val="24"/>
          <w:lang w:val="en-US" w:eastAsia="zh-CN"/>
        </w:rPr>
        <w:t>5</w:t>
      </w:r>
      <w:r>
        <w:rPr>
          <w:rFonts w:hint="eastAsia" w:ascii="宋体" w:hAnsi="宋体" w:eastAsia="宋体" w:cs="宋体"/>
          <w:b w:val="0"/>
          <w:bCs w:val="0"/>
          <w:color w:val="auto"/>
          <w:sz w:val="24"/>
          <w:szCs w:val="24"/>
        </w:rPr>
        <w:t>.1若</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认为其投标未获公平评审或招标文件、采购过程和中标结果使自己的合法权益受到损害，可以在知道或者应知其权益受到损害之日起7个工作日内，将质疑书原件送达</w:t>
      </w:r>
      <w:r>
        <w:rPr>
          <w:rFonts w:hint="eastAsia" w:ascii="宋体" w:hAnsi="宋体" w:eastAsia="宋体" w:cs="宋体"/>
          <w:b w:val="0"/>
          <w:bCs w:val="0"/>
          <w:color w:val="auto"/>
          <w:sz w:val="24"/>
          <w:szCs w:val="24"/>
          <w:lang w:eastAsia="zh-CN"/>
        </w:rPr>
        <w:t>采购人</w:t>
      </w:r>
      <w:r>
        <w:rPr>
          <w:rFonts w:hint="eastAsia" w:ascii="宋体" w:hAnsi="宋体" w:eastAsia="宋体" w:cs="宋体"/>
          <w:b w:val="0"/>
          <w:bCs w:val="0"/>
          <w:color w:val="auto"/>
          <w:sz w:val="24"/>
          <w:szCs w:val="24"/>
        </w:rPr>
        <w:t>或</w:t>
      </w:r>
      <w:r>
        <w:rPr>
          <w:rFonts w:hint="eastAsia" w:ascii="宋体" w:hAnsi="宋体" w:eastAsia="宋体" w:cs="宋体"/>
          <w:b w:val="0"/>
          <w:bCs w:val="0"/>
          <w:color w:val="auto"/>
          <w:sz w:val="24"/>
          <w:szCs w:val="24"/>
          <w:lang w:eastAsia="zh-CN"/>
        </w:rPr>
        <w:t>招标代理机构</w:t>
      </w:r>
      <w:r>
        <w:rPr>
          <w:rFonts w:hint="eastAsia" w:ascii="宋体" w:hAnsi="宋体" w:eastAsia="宋体" w:cs="宋体"/>
          <w:b w:val="0"/>
          <w:bCs w:val="0"/>
          <w:color w:val="auto"/>
          <w:sz w:val="24"/>
          <w:szCs w:val="24"/>
        </w:rPr>
        <w:t>。提出质疑期限的计算，依照下列规定办理：</w:t>
      </w:r>
    </w:p>
    <w:p w14:paraId="3462031A">
      <w:pPr>
        <w:widowControl/>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（一）对可以质疑的招标文件提出质疑的，为收到招标文件之日或者招标文件公告期限届满之日；</w:t>
      </w:r>
    </w:p>
    <w:p w14:paraId="1216F9E9">
      <w:pPr>
        <w:widowControl/>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（二）对采购过程提出质疑的，为各采购程序环节结束之日；</w:t>
      </w:r>
    </w:p>
    <w:p w14:paraId="0C2333F8">
      <w:pPr>
        <w:widowControl/>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（三）对成交结果提出质疑的，为中标结果公告期限届满之日。</w:t>
      </w:r>
    </w:p>
    <w:p w14:paraId="7C2DD60C">
      <w:pPr>
        <w:widowControl/>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w:t>
      </w:r>
      <w:r>
        <w:rPr>
          <w:rFonts w:hint="eastAsia" w:ascii="宋体" w:hAnsi="宋体" w:eastAsia="宋体" w:cs="宋体"/>
          <w:b w:val="0"/>
          <w:bCs w:val="0"/>
          <w:color w:val="auto"/>
          <w:sz w:val="24"/>
          <w:szCs w:val="24"/>
          <w:lang w:val="en-US" w:eastAsia="zh-CN"/>
        </w:rPr>
        <w:t>5</w:t>
      </w:r>
      <w:r>
        <w:rPr>
          <w:rFonts w:hint="eastAsia" w:ascii="宋体" w:hAnsi="宋体" w:eastAsia="宋体" w:cs="宋体"/>
          <w:b w:val="0"/>
          <w:bCs w:val="0"/>
          <w:color w:val="auto"/>
          <w:sz w:val="24"/>
          <w:szCs w:val="24"/>
        </w:rPr>
        <w:t>.2质疑书应当包括下列主要内容，并按照“谁主张、谁举证”的原则，附上相关证明材料。否则，</w:t>
      </w:r>
      <w:r>
        <w:rPr>
          <w:rFonts w:hint="eastAsia" w:ascii="宋体" w:hAnsi="宋体" w:eastAsia="宋体" w:cs="宋体"/>
          <w:b w:val="0"/>
          <w:bCs w:val="0"/>
          <w:color w:val="auto"/>
          <w:sz w:val="24"/>
          <w:szCs w:val="24"/>
          <w:lang w:eastAsia="zh-CN"/>
        </w:rPr>
        <w:t>采购人</w:t>
      </w:r>
      <w:r>
        <w:rPr>
          <w:rFonts w:hint="eastAsia" w:ascii="宋体" w:hAnsi="宋体" w:eastAsia="宋体" w:cs="宋体"/>
          <w:b w:val="0"/>
          <w:bCs w:val="0"/>
          <w:color w:val="auto"/>
          <w:sz w:val="24"/>
          <w:szCs w:val="24"/>
        </w:rPr>
        <w:t>不予受理：</w:t>
      </w:r>
    </w:p>
    <w:p w14:paraId="29FB13E3">
      <w:pPr>
        <w:widowControl/>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（四）提起质疑的日期</w:t>
      </w:r>
    </w:p>
    <w:p w14:paraId="663D125E">
      <w:pPr>
        <w:widowControl/>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w:t>
      </w:r>
      <w:r>
        <w:rPr>
          <w:rFonts w:hint="eastAsia" w:ascii="宋体" w:hAnsi="宋体" w:eastAsia="宋体" w:cs="宋体"/>
          <w:b w:val="0"/>
          <w:bCs w:val="0"/>
          <w:color w:val="auto"/>
          <w:sz w:val="24"/>
          <w:szCs w:val="24"/>
          <w:lang w:val="en-US" w:eastAsia="zh-CN"/>
        </w:rPr>
        <w:t>5</w:t>
      </w:r>
      <w:r>
        <w:rPr>
          <w:rFonts w:hint="eastAsia" w:ascii="宋体" w:hAnsi="宋体" w:eastAsia="宋体" w:cs="宋体"/>
          <w:b w:val="0"/>
          <w:bCs w:val="0"/>
          <w:color w:val="auto"/>
          <w:sz w:val="24"/>
          <w:szCs w:val="24"/>
        </w:rPr>
        <w:t>.3</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质疑实行实名制并须在质疑书上署名。</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不得进行虚假、恶意质疑，不得以质疑为手段获取不当得利、实现非法目的。</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为自然人的，应当由本人签字；</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为法人的，应当由法定代表人签字或盖章并加盖公章；</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为其他组织的，应当由主要负责人签字或盖章并加盖公章。</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其他工作人员或代理人员在质疑书上的署名不具有法律效力。</w:t>
      </w:r>
    </w:p>
    <w:p w14:paraId="74483E60">
      <w:pPr>
        <w:widowControl/>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w:t>
      </w:r>
      <w:r>
        <w:rPr>
          <w:rFonts w:hint="eastAsia" w:ascii="宋体" w:hAnsi="宋体" w:eastAsia="宋体" w:cs="宋体"/>
          <w:b w:val="0"/>
          <w:bCs w:val="0"/>
          <w:color w:val="auto"/>
          <w:sz w:val="24"/>
          <w:szCs w:val="24"/>
          <w:lang w:val="en-US" w:eastAsia="zh-CN"/>
        </w:rPr>
        <w:t>5</w:t>
      </w:r>
      <w:r>
        <w:rPr>
          <w:rFonts w:hint="eastAsia" w:ascii="宋体" w:hAnsi="宋体" w:eastAsia="宋体" w:cs="宋体"/>
          <w:b w:val="0"/>
          <w:bCs w:val="0"/>
          <w:color w:val="auto"/>
          <w:sz w:val="24"/>
          <w:szCs w:val="24"/>
        </w:rPr>
        <w:t>.4</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委托代理人办理质疑事宜，应当提交授权委托书，并载明委托代理的具体权限和事项。授权委托书应当由委托人签字并加盖单位公章。</w:t>
      </w:r>
    </w:p>
    <w:p w14:paraId="2B8D4FF8">
      <w:pPr>
        <w:widowControl/>
        <w:spacing w:line="360" w:lineRule="auto"/>
        <w:ind w:firstLine="480" w:firstLineChars="2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w:t>
      </w:r>
      <w:r>
        <w:rPr>
          <w:rFonts w:hint="eastAsia" w:ascii="宋体" w:hAnsi="宋体" w:eastAsia="宋体" w:cs="宋体"/>
          <w:b w:val="0"/>
          <w:bCs w:val="0"/>
          <w:color w:val="auto"/>
          <w:sz w:val="24"/>
          <w:szCs w:val="24"/>
          <w:lang w:val="en-US" w:eastAsia="zh-CN"/>
        </w:rPr>
        <w:t>5</w:t>
      </w:r>
      <w:r>
        <w:rPr>
          <w:rFonts w:hint="eastAsia" w:ascii="宋体" w:hAnsi="宋体" w:eastAsia="宋体" w:cs="宋体"/>
          <w:b w:val="0"/>
          <w:bCs w:val="0"/>
          <w:color w:val="auto"/>
          <w:sz w:val="24"/>
          <w:szCs w:val="24"/>
        </w:rPr>
        <w:t>.5质疑书提交方式。</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或者其委托代理人应当当面提交质疑书及相关证明材料。</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以电子邮件、传真等其他方式提交质疑书及相关证明材料的，或者不是</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或者其委托代理人提交质疑书及相关证明材料的，</w:t>
      </w:r>
      <w:r>
        <w:rPr>
          <w:rFonts w:hint="eastAsia" w:ascii="宋体" w:hAnsi="宋体" w:eastAsia="宋体" w:cs="宋体"/>
          <w:b w:val="0"/>
          <w:bCs w:val="0"/>
          <w:color w:val="auto"/>
          <w:sz w:val="24"/>
          <w:szCs w:val="24"/>
          <w:lang w:eastAsia="zh-CN"/>
        </w:rPr>
        <w:t>采购人</w:t>
      </w:r>
      <w:r>
        <w:rPr>
          <w:rFonts w:hint="eastAsia" w:ascii="宋体" w:hAnsi="宋体" w:eastAsia="宋体" w:cs="宋体"/>
          <w:b w:val="0"/>
          <w:bCs w:val="0"/>
          <w:color w:val="auto"/>
          <w:sz w:val="24"/>
          <w:szCs w:val="24"/>
        </w:rPr>
        <w:t>或采购机构可以拒收。</w:t>
      </w:r>
    </w:p>
    <w:p w14:paraId="1AEE1DD0">
      <w:pPr>
        <w:widowControl/>
        <w:spacing w:line="360" w:lineRule="auto"/>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rPr>
        <w:t>3</w:t>
      </w:r>
      <w:r>
        <w:rPr>
          <w:rFonts w:hint="eastAsia" w:ascii="宋体" w:hAnsi="宋体" w:eastAsia="宋体" w:cs="宋体"/>
          <w:b w:val="0"/>
          <w:bCs w:val="0"/>
          <w:color w:val="auto"/>
          <w:sz w:val="24"/>
          <w:szCs w:val="24"/>
          <w:lang w:val="en-US" w:eastAsia="zh-CN"/>
        </w:rPr>
        <w:t>5</w:t>
      </w:r>
      <w:r>
        <w:rPr>
          <w:rFonts w:hint="eastAsia" w:ascii="宋体" w:hAnsi="宋体" w:eastAsia="宋体" w:cs="宋体"/>
          <w:b w:val="0"/>
          <w:bCs w:val="0"/>
          <w:color w:val="auto"/>
          <w:sz w:val="24"/>
          <w:szCs w:val="24"/>
        </w:rPr>
        <w:t>.6</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不得虚假质疑和恶意质疑，并对质疑内容的真实性承担责任。</w:t>
      </w:r>
      <w:r>
        <w:rPr>
          <w:rFonts w:hint="eastAsia" w:ascii="宋体" w:hAnsi="宋体" w:eastAsia="宋体" w:cs="宋体"/>
          <w:b w:val="0"/>
          <w:bCs w:val="0"/>
          <w:color w:val="auto"/>
          <w:sz w:val="24"/>
          <w:szCs w:val="24"/>
          <w:lang w:eastAsia="zh-CN"/>
        </w:rPr>
        <w:t>投标人</w:t>
      </w:r>
      <w:r>
        <w:rPr>
          <w:rFonts w:hint="eastAsia" w:ascii="宋体" w:hAnsi="宋体" w:eastAsia="宋体" w:cs="宋体"/>
          <w:b w:val="0"/>
          <w:bCs w:val="0"/>
          <w:color w:val="auto"/>
          <w:sz w:val="24"/>
          <w:szCs w:val="24"/>
        </w:rPr>
        <w:t>或者其他利害关系人通过捏造事实、伪造证明材料等方式提出异议或投诉，阻碍招标活动正常</w:t>
      </w:r>
      <w:r>
        <w:rPr>
          <w:rFonts w:hint="eastAsia" w:ascii="宋体" w:hAnsi="宋体" w:eastAsia="宋体" w:cs="宋体"/>
          <w:b w:val="0"/>
          <w:bCs w:val="0"/>
          <w:color w:val="auto"/>
          <w:sz w:val="24"/>
          <w:szCs w:val="24"/>
          <w:highlight w:val="none"/>
        </w:rPr>
        <w:t>进行的，属于严重不良行为，</w:t>
      </w:r>
      <w:r>
        <w:rPr>
          <w:rFonts w:hint="eastAsia" w:ascii="宋体" w:hAnsi="宋体" w:eastAsia="宋体" w:cs="宋体"/>
          <w:b w:val="0"/>
          <w:bCs w:val="0"/>
          <w:color w:val="auto"/>
          <w:sz w:val="24"/>
          <w:szCs w:val="24"/>
          <w:highlight w:val="none"/>
          <w:lang w:eastAsia="zh-CN"/>
        </w:rPr>
        <w:t>采购人</w:t>
      </w:r>
      <w:r>
        <w:rPr>
          <w:rFonts w:hint="eastAsia" w:ascii="宋体" w:hAnsi="宋体" w:eastAsia="宋体" w:cs="宋体"/>
          <w:b w:val="0"/>
          <w:bCs w:val="0"/>
          <w:color w:val="auto"/>
          <w:sz w:val="24"/>
          <w:szCs w:val="24"/>
          <w:highlight w:val="none"/>
        </w:rPr>
        <w:t>将提请财政部门将其列入不良行为记录名单，并依法予以处罚。</w:t>
      </w:r>
    </w:p>
    <w:p w14:paraId="013C6678">
      <w:pPr>
        <w:widowControl/>
        <w:spacing w:line="360" w:lineRule="auto"/>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.7</w:t>
      </w:r>
      <w:r>
        <w:rPr>
          <w:rFonts w:hint="eastAsia" w:ascii="宋体" w:hAnsi="宋体" w:eastAsia="宋体" w:cs="宋体"/>
          <w:b w:val="0"/>
          <w:bCs w:val="0"/>
          <w:color w:val="auto"/>
          <w:sz w:val="24"/>
          <w:szCs w:val="24"/>
          <w:highlight w:val="none"/>
          <w:lang w:eastAsia="zh-CN"/>
        </w:rPr>
        <w:t>采购人</w:t>
      </w:r>
      <w:r>
        <w:rPr>
          <w:rFonts w:hint="eastAsia" w:ascii="宋体" w:hAnsi="宋体" w:eastAsia="宋体" w:cs="宋体"/>
          <w:b w:val="0"/>
          <w:bCs w:val="0"/>
          <w:color w:val="auto"/>
          <w:sz w:val="24"/>
          <w:szCs w:val="24"/>
          <w:highlight w:val="none"/>
        </w:rPr>
        <w:t>将在收到符合上述条件的书面质疑后7个工作日内审查质疑事项，作出答复或相关处理决定，并以书面形式通知质疑</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和其他有关</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，但答复的内容不涉及商业秘密。若质疑涉及招标制度或程序，将被转交政府采购的管理部门审查。</w:t>
      </w:r>
      <w:r>
        <w:rPr>
          <w:rFonts w:hint="eastAsia" w:ascii="宋体" w:hAnsi="宋体" w:eastAsia="宋体" w:cs="宋体"/>
          <w:b w:val="0"/>
          <w:bCs w:val="0"/>
          <w:color w:val="auto"/>
          <w:sz w:val="24"/>
          <w:szCs w:val="24"/>
          <w:highlight w:val="none"/>
          <w:lang w:eastAsia="zh-CN"/>
        </w:rPr>
        <w:t>采购人</w:t>
      </w:r>
      <w:r>
        <w:rPr>
          <w:rFonts w:hint="eastAsia" w:ascii="宋体" w:hAnsi="宋体" w:eastAsia="宋体" w:cs="宋体"/>
          <w:b w:val="0"/>
          <w:bCs w:val="0"/>
          <w:color w:val="auto"/>
          <w:sz w:val="24"/>
          <w:szCs w:val="24"/>
          <w:highlight w:val="none"/>
        </w:rPr>
        <w:t>遵循“谁过错谁负担”的原则，有过错的一方承担调查论证费用。</w:t>
      </w:r>
    </w:p>
    <w:p w14:paraId="0E5A6BC4">
      <w:pPr>
        <w:widowControl/>
        <w:spacing w:line="360" w:lineRule="auto"/>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.8质疑</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对</w:t>
      </w:r>
      <w:r>
        <w:rPr>
          <w:rFonts w:hint="eastAsia" w:ascii="宋体" w:hAnsi="宋体" w:eastAsia="宋体" w:cs="宋体"/>
          <w:b w:val="0"/>
          <w:bCs w:val="0"/>
          <w:color w:val="auto"/>
          <w:sz w:val="24"/>
          <w:szCs w:val="24"/>
          <w:highlight w:val="none"/>
          <w:lang w:eastAsia="zh-CN"/>
        </w:rPr>
        <w:t>采购人</w:t>
      </w:r>
      <w:r>
        <w:rPr>
          <w:rFonts w:hint="eastAsia" w:ascii="宋体" w:hAnsi="宋体" w:eastAsia="宋体" w:cs="宋体"/>
          <w:b w:val="0"/>
          <w:bCs w:val="0"/>
          <w:color w:val="auto"/>
          <w:sz w:val="24"/>
          <w:szCs w:val="24"/>
          <w:highlight w:val="none"/>
        </w:rPr>
        <w:t>的答复不满意以及</w:t>
      </w:r>
      <w:r>
        <w:rPr>
          <w:rFonts w:hint="eastAsia" w:ascii="宋体" w:hAnsi="宋体" w:eastAsia="宋体" w:cs="宋体"/>
          <w:b w:val="0"/>
          <w:bCs w:val="0"/>
          <w:color w:val="auto"/>
          <w:sz w:val="24"/>
          <w:szCs w:val="24"/>
          <w:highlight w:val="none"/>
          <w:lang w:eastAsia="zh-CN"/>
        </w:rPr>
        <w:t>采购人</w:t>
      </w:r>
      <w:r>
        <w:rPr>
          <w:rFonts w:hint="eastAsia" w:ascii="宋体" w:hAnsi="宋体" w:eastAsia="宋体" w:cs="宋体"/>
          <w:b w:val="0"/>
          <w:bCs w:val="0"/>
          <w:color w:val="auto"/>
          <w:sz w:val="24"/>
          <w:szCs w:val="24"/>
          <w:highlight w:val="none"/>
        </w:rPr>
        <w:t>未在规定的时间内做出答复的，可以在答复期满后15个工作日内向</w:t>
      </w:r>
      <w:r>
        <w:rPr>
          <w:rFonts w:hint="eastAsia" w:ascii="宋体" w:hAnsi="宋体" w:eastAsia="宋体" w:cs="宋体"/>
          <w:b w:val="0"/>
          <w:bCs w:val="0"/>
          <w:color w:val="auto"/>
          <w:sz w:val="24"/>
          <w:szCs w:val="24"/>
          <w:highlight w:val="none"/>
          <w:lang w:val="en-US" w:eastAsia="zh-CN"/>
        </w:rPr>
        <w:t>相关</w:t>
      </w:r>
      <w:r>
        <w:rPr>
          <w:rFonts w:hint="eastAsia" w:ascii="宋体" w:hAnsi="宋体" w:eastAsia="宋体" w:cs="宋体"/>
          <w:b w:val="0"/>
          <w:bCs w:val="0"/>
          <w:color w:val="auto"/>
          <w:sz w:val="24"/>
          <w:szCs w:val="24"/>
          <w:highlight w:val="none"/>
        </w:rPr>
        <w:t>部门投诉。</w:t>
      </w:r>
    </w:p>
    <w:p w14:paraId="10E72E0A">
      <w:pPr>
        <w:widowControl/>
        <w:spacing w:line="360" w:lineRule="auto"/>
        <w:jc w:val="center"/>
        <w:rPr>
          <w:rFonts w:hint="eastAsia" w:ascii="宋体" w:hAnsi="宋体" w:eastAsia="宋体" w:cs="宋体"/>
          <w:b/>
          <w:bCs/>
          <w:color w:val="auto"/>
          <w:sz w:val="24"/>
          <w:szCs w:val="24"/>
          <w:highlight w:val="none"/>
          <w:lang w:val="en-US" w:eastAsia="zh-CN"/>
        </w:rPr>
      </w:pPr>
      <w:bookmarkStart w:id="10" w:name="_Toc15562"/>
      <w:r>
        <w:rPr>
          <w:rFonts w:hint="eastAsia" w:ascii="宋体" w:hAnsi="宋体" w:eastAsia="宋体" w:cs="宋体"/>
          <w:b/>
          <w:bCs/>
          <w:color w:val="auto"/>
          <w:sz w:val="24"/>
          <w:szCs w:val="24"/>
          <w:highlight w:val="none"/>
          <w:lang w:val="en-US" w:eastAsia="zh-CN"/>
        </w:rPr>
        <w:t>十一、招标代理费收取</w:t>
      </w:r>
      <w:bookmarkEnd w:id="10"/>
    </w:p>
    <w:p w14:paraId="3903E69A">
      <w:pPr>
        <w:widowControl/>
        <w:spacing w:line="360" w:lineRule="auto"/>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36.招标代理服务收费参照豫招协[2023]002号河南省招标投标协会关于印发《河南省招标代理服务收费指导意见》规定的收费标准收取中标服务费。</w:t>
      </w:r>
    </w:p>
    <w:p w14:paraId="13A1915A">
      <w:pPr>
        <w:widowControl/>
        <w:spacing w:line="360" w:lineRule="auto"/>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河南省招标代理服务费计算标准</w:t>
      </w:r>
    </w:p>
    <w:tbl>
      <w:tblPr>
        <w:tblStyle w:val="17"/>
        <w:tblpPr w:leftFromText="180" w:rightFromText="180" w:vertAnchor="text" w:horzAnchor="page" w:tblpX="1862" w:tblpY="481"/>
        <w:tblOverlap w:val="never"/>
        <w:tblW w:w="8339" w:type="dxa"/>
        <w:tblInd w:w="0" w:type="dxa"/>
        <w:tblLayout w:type="fixed"/>
        <w:tblCellMar>
          <w:top w:w="0" w:type="dxa"/>
          <w:left w:w="15" w:type="dxa"/>
          <w:bottom w:w="0" w:type="dxa"/>
          <w:right w:w="15" w:type="dxa"/>
        </w:tblCellMar>
      </w:tblPr>
      <w:tblGrid>
        <w:gridCol w:w="3553"/>
        <w:gridCol w:w="1642"/>
        <w:gridCol w:w="1433"/>
        <w:gridCol w:w="1711"/>
      </w:tblGrid>
      <w:tr w14:paraId="5604A1C3">
        <w:tblPrEx>
          <w:tblCellMar>
            <w:top w:w="0" w:type="dxa"/>
            <w:left w:w="15" w:type="dxa"/>
            <w:bottom w:w="0" w:type="dxa"/>
            <w:right w:w="15" w:type="dxa"/>
          </w:tblCellMar>
        </w:tblPrEx>
        <w:trPr>
          <w:trHeight w:val="679" w:hRule="atLeast"/>
        </w:trPr>
        <w:tc>
          <w:tcPr>
            <w:tcW w:w="3553" w:type="dxa"/>
            <w:tcBorders>
              <w:top w:val="single" w:color="000000" w:sz="4" w:space="0"/>
              <w:left w:val="single" w:color="000000" w:sz="4" w:space="0"/>
              <w:bottom w:val="single" w:color="000000" w:sz="4" w:space="0"/>
              <w:right w:val="single" w:color="000000" w:sz="4" w:space="0"/>
            </w:tcBorders>
            <w:noWrap w:val="0"/>
            <w:vAlign w:val="center"/>
          </w:tcPr>
          <w:p w14:paraId="691344AA">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项目类型/（金额万元）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22E187A4">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工程</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D8378FB">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货物</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0F5BFF52">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服务</w:t>
            </w:r>
          </w:p>
        </w:tc>
      </w:tr>
      <w:tr w14:paraId="50F48C4A">
        <w:tblPrEx>
          <w:tblCellMar>
            <w:top w:w="0" w:type="dxa"/>
            <w:left w:w="15" w:type="dxa"/>
            <w:bottom w:w="0" w:type="dxa"/>
            <w:right w:w="15" w:type="dxa"/>
          </w:tblCellMar>
        </w:tblPrEx>
        <w:trPr>
          <w:trHeight w:val="679" w:hRule="atLeast"/>
        </w:trPr>
        <w:tc>
          <w:tcPr>
            <w:tcW w:w="3553" w:type="dxa"/>
            <w:tcBorders>
              <w:top w:val="single" w:color="000000" w:sz="4" w:space="0"/>
              <w:left w:val="single" w:color="000000" w:sz="4" w:space="0"/>
              <w:bottom w:val="single" w:color="000000" w:sz="4" w:space="0"/>
              <w:right w:val="single" w:color="000000" w:sz="4" w:space="0"/>
            </w:tcBorders>
            <w:noWrap w:val="0"/>
            <w:vAlign w:val="center"/>
          </w:tcPr>
          <w:p w14:paraId="7F93975D">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100万元以下（含100万元）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30814554">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1.20%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C0291E9">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1.70%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78FCC8FF">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1.70%</w:t>
            </w:r>
          </w:p>
        </w:tc>
      </w:tr>
      <w:tr w14:paraId="1B39C113">
        <w:tblPrEx>
          <w:tblCellMar>
            <w:top w:w="0" w:type="dxa"/>
            <w:left w:w="15" w:type="dxa"/>
            <w:bottom w:w="0" w:type="dxa"/>
            <w:right w:w="15" w:type="dxa"/>
          </w:tblCellMar>
        </w:tblPrEx>
        <w:trPr>
          <w:trHeight w:val="679" w:hRule="atLeast"/>
        </w:trPr>
        <w:tc>
          <w:tcPr>
            <w:tcW w:w="3553" w:type="dxa"/>
            <w:tcBorders>
              <w:top w:val="single" w:color="000000" w:sz="4" w:space="0"/>
              <w:left w:val="single" w:color="000000" w:sz="4" w:space="0"/>
              <w:bottom w:val="single" w:color="000000" w:sz="4" w:space="0"/>
              <w:right w:val="single" w:color="000000" w:sz="4" w:space="0"/>
            </w:tcBorders>
            <w:noWrap w:val="0"/>
            <w:vAlign w:val="center"/>
          </w:tcPr>
          <w:p w14:paraId="6B9366EB">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100-500万元（含500万元）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14C3E400">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1.00%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A1E08E1">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1.20%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727B9B06">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1.20%</w:t>
            </w:r>
          </w:p>
        </w:tc>
      </w:tr>
      <w:tr w14:paraId="2347FEEA">
        <w:tblPrEx>
          <w:tblCellMar>
            <w:top w:w="0" w:type="dxa"/>
            <w:left w:w="15" w:type="dxa"/>
            <w:bottom w:w="0" w:type="dxa"/>
            <w:right w:w="15" w:type="dxa"/>
          </w:tblCellMar>
        </w:tblPrEx>
        <w:trPr>
          <w:trHeight w:val="679" w:hRule="atLeast"/>
        </w:trPr>
        <w:tc>
          <w:tcPr>
            <w:tcW w:w="3553" w:type="dxa"/>
            <w:tcBorders>
              <w:top w:val="single" w:color="000000" w:sz="4" w:space="0"/>
              <w:left w:val="single" w:color="000000" w:sz="4" w:space="0"/>
              <w:bottom w:val="single" w:color="000000" w:sz="4" w:space="0"/>
              <w:right w:val="single" w:color="000000" w:sz="4" w:space="0"/>
            </w:tcBorders>
            <w:noWrap w:val="0"/>
            <w:vAlign w:val="center"/>
          </w:tcPr>
          <w:p w14:paraId="449C0EC8">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500-1000万元（含1000万元）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0A8AE480">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0.70%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0331E66">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0.80%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75071F6D">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0.70%</w:t>
            </w:r>
          </w:p>
        </w:tc>
      </w:tr>
      <w:tr w14:paraId="718EBC37">
        <w:tblPrEx>
          <w:tblCellMar>
            <w:top w:w="0" w:type="dxa"/>
            <w:left w:w="15" w:type="dxa"/>
            <w:bottom w:w="0" w:type="dxa"/>
            <w:right w:w="15" w:type="dxa"/>
          </w:tblCellMar>
        </w:tblPrEx>
        <w:trPr>
          <w:trHeight w:val="679" w:hRule="atLeast"/>
        </w:trPr>
        <w:tc>
          <w:tcPr>
            <w:tcW w:w="3553" w:type="dxa"/>
            <w:tcBorders>
              <w:top w:val="single" w:color="000000" w:sz="4" w:space="0"/>
              <w:left w:val="single" w:color="000000" w:sz="4" w:space="0"/>
              <w:bottom w:val="single" w:color="000000" w:sz="4" w:space="0"/>
              <w:right w:val="single" w:color="000000" w:sz="4" w:space="0"/>
            </w:tcBorders>
            <w:noWrap w:val="0"/>
            <w:vAlign w:val="center"/>
          </w:tcPr>
          <w:p w14:paraId="2B55C9D2">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1000-5000万元（含5000万元）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11F975BD">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0.40%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C9DE8E8">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0.50%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63DF8AC5">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0.40%</w:t>
            </w:r>
          </w:p>
        </w:tc>
      </w:tr>
      <w:tr w14:paraId="68614AE2">
        <w:tblPrEx>
          <w:tblCellMar>
            <w:top w:w="0" w:type="dxa"/>
            <w:left w:w="15" w:type="dxa"/>
            <w:bottom w:w="0" w:type="dxa"/>
            <w:right w:w="15" w:type="dxa"/>
          </w:tblCellMar>
        </w:tblPrEx>
        <w:trPr>
          <w:trHeight w:val="679" w:hRule="atLeast"/>
        </w:trPr>
        <w:tc>
          <w:tcPr>
            <w:tcW w:w="3553" w:type="dxa"/>
            <w:tcBorders>
              <w:top w:val="single" w:color="000000" w:sz="4" w:space="0"/>
              <w:left w:val="single" w:color="000000" w:sz="4" w:space="0"/>
              <w:bottom w:val="single" w:color="000000" w:sz="4" w:space="0"/>
              <w:right w:val="single" w:color="000000" w:sz="4" w:space="0"/>
            </w:tcBorders>
            <w:noWrap w:val="0"/>
            <w:vAlign w:val="center"/>
          </w:tcPr>
          <w:p w14:paraId="5B2E9F3A">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5000万元--1亿元（含1亿元）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7591501F">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0.25%</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3F0DFED">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0.30%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2656EA9C">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0.25%</w:t>
            </w:r>
          </w:p>
        </w:tc>
      </w:tr>
      <w:tr w14:paraId="1F30D32E">
        <w:tblPrEx>
          <w:tblCellMar>
            <w:top w:w="0" w:type="dxa"/>
            <w:left w:w="15" w:type="dxa"/>
            <w:bottom w:w="0" w:type="dxa"/>
            <w:right w:w="15" w:type="dxa"/>
          </w:tblCellMar>
        </w:tblPrEx>
        <w:trPr>
          <w:trHeight w:val="679" w:hRule="atLeast"/>
        </w:trPr>
        <w:tc>
          <w:tcPr>
            <w:tcW w:w="3553" w:type="dxa"/>
            <w:tcBorders>
              <w:top w:val="single" w:color="000000" w:sz="4" w:space="0"/>
              <w:left w:val="single" w:color="000000" w:sz="4" w:space="0"/>
              <w:bottom w:val="single" w:color="000000" w:sz="4" w:space="0"/>
              <w:right w:val="single" w:color="000000" w:sz="4" w:space="0"/>
            </w:tcBorders>
            <w:noWrap w:val="0"/>
            <w:vAlign w:val="center"/>
          </w:tcPr>
          <w:p w14:paraId="32539995">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1亿--5亿元（含5亿元）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477BAE4C">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0.10%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C6A48D6">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0.10%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6D8CF689">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0.10%</w:t>
            </w:r>
          </w:p>
        </w:tc>
      </w:tr>
      <w:tr w14:paraId="1DA31713">
        <w:tblPrEx>
          <w:tblCellMar>
            <w:top w:w="0" w:type="dxa"/>
            <w:left w:w="15" w:type="dxa"/>
            <w:bottom w:w="0" w:type="dxa"/>
            <w:right w:w="15" w:type="dxa"/>
          </w:tblCellMar>
        </w:tblPrEx>
        <w:trPr>
          <w:trHeight w:val="679" w:hRule="atLeast"/>
        </w:trPr>
        <w:tc>
          <w:tcPr>
            <w:tcW w:w="3553" w:type="dxa"/>
            <w:tcBorders>
              <w:top w:val="single" w:color="000000" w:sz="4" w:space="0"/>
              <w:left w:val="single" w:color="000000" w:sz="4" w:space="0"/>
              <w:right w:val="single" w:color="000000" w:sz="4" w:space="0"/>
            </w:tcBorders>
            <w:noWrap w:val="0"/>
            <w:vAlign w:val="center"/>
          </w:tcPr>
          <w:p w14:paraId="4DBA8882">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5亿--10亿元（含10亿元）</w:t>
            </w:r>
          </w:p>
        </w:tc>
        <w:tc>
          <w:tcPr>
            <w:tcW w:w="1642" w:type="dxa"/>
            <w:tcBorders>
              <w:top w:val="single" w:color="000000" w:sz="4" w:space="0"/>
              <w:left w:val="single" w:color="000000" w:sz="4" w:space="0"/>
              <w:right w:val="single" w:color="000000" w:sz="4" w:space="0"/>
            </w:tcBorders>
            <w:noWrap w:val="0"/>
            <w:vAlign w:val="center"/>
          </w:tcPr>
          <w:p w14:paraId="43130D3F">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0.045%</w:t>
            </w:r>
          </w:p>
        </w:tc>
        <w:tc>
          <w:tcPr>
            <w:tcW w:w="1433" w:type="dxa"/>
            <w:tcBorders>
              <w:top w:val="single" w:color="000000" w:sz="4" w:space="0"/>
              <w:left w:val="single" w:color="000000" w:sz="4" w:space="0"/>
              <w:right w:val="single" w:color="000000" w:sz="4" w:space="0"/>
            </w:tcBorders>
            <w:noWrap w:val="0"/>
            <w:vAlign w:val="center"/>
          </w:tcPr>
          <w:p w14:paraId="308631F1">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0.045%</w:t>
            </w:r>
          </w:p>
        </w:tc>
        <w:tc>
          <w:tcPr>
            <w:tcW w:w="1711" w:type="dxa"/>
            <w:tcBorders>
              <w:top w:val="single" w:color="000000" w:sz="4" w:space="0"/>
              <w:left w:val="single" w:color="000000" w:sz="4" w:space="0"/>
              <w:right w:val="single" w:color="000000" w:sz="4" w:space="0"/>
            </w:tcBorders>
            <w:noWrap w:val="0"/>
            <w:vAlign w:val="center"/>
          </w:tcPr>
          <w:p w14:paraId="23B87FB9">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0.045%</w:t>
            </w:r>
          </w:p>
        </w:tc>
      </w:tr>
      <w:tr w14:paraId="543A0390">
        <w:tblPrEx>
          <w:tblCellMar>
            <w:top w:w="0" w:type="dxa"/>
            <w:left w:w="15" w:type="dxa"/>
            <w:bottom w:w="0" w:type="dxa"/>
            <w:right w:w="15" w:type="dxa"/>
          </w:tblCellMar>
        </w:tblPrEx>
        <w:trPr>
          <w:trHeight w:val="679" w:hRule="atLeast"/>
        </w:trPr>
        <w:tc>
          <w:tcPr>
            <w:tcW w:w="3553" w:type="dxa"/>
            <w:tcBorders>
              <w:top w:val="single" w:color="000000" w:sz="4" w:space="0"/>
              <w:left w:val="single" w:color="000000" w:sz="4" w:space="0"/>
              <w:bottom w:val="single" w:color="000000" w:sz="4" w:space="0"/>
              <w:right w:val="single" w:color="000000" w:sz="4" w:space="0"/>
            </w:tcBorders>
            <w:noWrap w:val="0"/>
            <w:vAlign w:val="center"/>
          </w:tcPr>
          <w:p w14:paraId="7595AC1C">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10亿--50亿元（含50亿元）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5793067C">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0.010%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1DA274B">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0.010%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4D151A32">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0.010%</w:t>
            </w:r>
          </w:p>
        </w:tc>
      </w:tr>
      <w:tr w14:paraId="26DB92B6">
        <w:tblPrEx>
          <w:tblCellMar>
            <w:top w:w="0" w:type="dxa"/>
            <w:left w:w="15" w:type="dxa"/>
            <w:bottom w:w="0" w:type="dxa"/>
            <w:right w:w="15" w:type="dxa"/>
          </w:tblCellMar>
        </w:tblPrEx>
        <w:trPr>
          <w:trHeight w:val="679" w:hRule="atLeast"/>
        </w:trPr>
        <w:tc>
          <w:tcPr>
            <w:tcW w:w="3553" w:type="dxa"/>
            <w:tcBorders>
              <w:top w:val="single" w:color="000000" w:sz="4" w:space="0"/>
              <w:left w:val="single" w:color="000000" w:sz="4" w:space="0"/>
              <w:bottom w:val="single" w:color="000000" w:sz="4" w:space="0"/>
              <w:right w:val="single" w:color="000000" w:sz="4" w:space="0"/>
            </w:tcBorders>
            <w:noWrap w:val="0"/>
            <w:vAlign w:val="center"/>
          </w:tcPr>
          <w:p w14:paraId="4D307AAA">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50亿--100亿元（含</w:t>
            </w:r>
            <w:r>
              <w:rPr>
                <w:rFonts w:hint="eastAsia" w:ascii="宋体" w:hAnsi="宋体" w:eastAsia="宋体" w:cs="宋体"/>
                <w:color w:val="auto"/>
                <w:kern w:val="0"/>
                <w:sz w:val="22"/>
                <w:szCs w:val="16"/>
                <w:lang w:bidi="zh-CN"/>
              </w:rPr>
              <w:t>100</w:t>
            </w:r>
            <w:r>
              <w:rPr>
                <w:rFonts w:ascii="宋体" w:hAnsi="宋体" w:eastAsia="宋体" w:cs="宋体"/>
                <w:color w:val="auto"/>
                <w:kern w:val="0"/>
                <w:sz w:val="22"/>
                <w:szCs w:val="16"/>
                <w:lang w:val="zh-CN" w:bidi="zh-CN"/>
              </w:rPr>
              <w:t>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3C10426D">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0.008%</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30DE30E">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0.008%</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576C34FC">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0.008%</w:t>
            </w:r>
          </w:p>
        </w:tc>
      </w:tr>
      <w:tr w14:paraId="0B263BA6">
        <w:tblPrEx>
          <w:tblCellMar>
            <w:top w:w="0" w:type="dxa"/>
            <w:left w:w="15" w:type="dxa"/>
            <w:bottom w:w="0" w:type="dxa"/>
            <w:right w:w="15" w:type="dxa"/>
          </w:tblCellMar>
        </w:tblPrEx>
        <w:trPr>
          <w:trHeight w:val="679" w:hRule="atLeast"/>
        </w:trPr>
        <w:tc>
          <w:tcPr>
            <w:tcW w:w="3553" w:type="dxa"/>
            <w:tcBorders>
              <w:top w:val="single" w:color="000000" w:sz="4" w:space="0"/>
              <w:left w:val="single" w:color="000000" w:sz="4" w:space="0"/>
              <w:bottom w:val="single" w:color="000000" w:sz="4" w:space="0"/>
              <w:right w:val="single" w:color="000000" w:sz="4" w:space="0"/>
            </w:tcBorders>
            <w:noWrap w:val="0"/>
            <w:vAlign w:val="center"/>
          </w:tcPr>
          <w:p w14:paraId="635A43C7">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100亿元以上</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0FFDF88A">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0.004%</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C943745">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0.004%</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7075A5D1">
            <w:pPr>
              <w:autoSpaceDN w:val="0"/>
              <w:jc w:val="center"/>
              <w:textAlignment w:val="center"/>
              <w:rPr>
                <w:rFonts w:ascii="宋体" w:hAnsi="宋体" w:eastAsia="宋体" w:cs="宋体"/>
                <w:color w:val="auto"/>
                <w:kern w:val="0"/>
                <w:sz w:val="22"/>
                <w:szCs w:val="16"/>
                <w:lang w:val="zh-CN" w:bidi="zh-CN"/>
              </w:rPr>
            </w:pPr>
            <w:r>
              <w:rPr>
                <w:rFonts w:ascii="宋体" w:hAnsi="宋体" w:eastAsia="宋体" w:cs="宋体"/>
                <w:color w:val="auto"/>
                <w:kern w:val="0"/>
                <w:sz w:val="22"/>
                <w:szCs w:val="16"/>
                <w:lang w:val="zh-CN" w:bidi="zh-CN"/>
              </w:rPr>
              <w:t>0.004%</w:t>
            </w:r>
          </w:p>
        </w:tc>
      </w:tr>
      <w:tr w14:paraId="430C9922">
        <w:tblPrEx>
          <w:tblCellMar>
            <w:top w:w="0" w:type="dxa"/>
            <w:left w:w="15" w:type="dxa"/>
            <w:bottom w:w="0" w:type="dxa"/>
            <w:right w:w="15" w:type="dxa"/>
          </w:tblCellMar>
        </w:tblPrEx>
        <w:trPr>
          <w:trHeight w:val="621" w:hRule="atLeast"/>
        </w:trPr>
        <w:tc>
          <w:tcPr>
            <w:tcW w:w="8339" w:type="dxa"/>
            <w:gridSpan w:val="4"/>
            <w:noWrap w:val="0"/>
            <w:vAlign w:val="center"/>
          </w:tcPr>
          <w:p w14:paraId="3DFE9D9F">
            <w:pPr>
              <w:autoSpaceDN w:val="0"/>
              <w:spacing w:line="500" w:lineRule="exact"/>
              <w:jc w:val="left"/>
              <w:textAlignment w:val="center"/>
              <w:rPr>
                <w:rFonts w:ascii="宋体" w:hAnsi="宋体" w:eastAsia="宋体" w:cs="宋体"/>
                <w:color w:val="auto"/>
                <w:kern w:val="0"/>
                <w:sz w:val="22"/>
                <w:szCs w:val="22"/>
                <w:lang w:val="zh-CN" w:bidi="zh-CN"/>
              </w:rPr>
            </w:pPr>
            <w:r>
              <w:rPr>
                <w:rFonts w:ascii="宋体" w:hAnsi="宋体" w:eastAsia="宋体" w:cs="宋体"/>
                <w:color w:val="auto"/>
                <w:kern w:val="0"/>
                <w:sz w:val="22"/>
                <w:szCs w:val="22"/>
                <w:lang w:val="zh-CN" w:bidi="zh-CN"/>
              </w:rPr>
              <w:t>注：1</w:t>
            </w:r>
            <w:r>
              <w:rPr>
                <w:rFonts w:hint="eastAsia" w:ascii="宋体" w:hAnsi="宋体" w:eastAsia="宋体" w:cs="宋体"/>
                <w:color w:val="auto"/>
                <w:kern w:val="0"/>
                <w:sz w:val="22"/>
                <w:szCs w:val="22"/>
                <w:lang w:val="zh-CN" w:bidi="zh-CN"/>
              </w:rPr>
              <w:t>.</w:t>
            </w:r>
            <w:r>
              <w:rPr>
                <w:rFonts w:ascii="宋体" w:hAnsi="宋体" w:eastAsia="宋体" w:cs="宋体"/>
                <w:color w:val="auto"/>
                <w:kern w:val="0"/>
                <w:sz w:val="22"/>
                <w:szCs w:val="22"/>
                <w:lang w:val="zh-CN" w:bidi="zh-CN"/>
              </w:rPr>
              <w:t>按本表费率计算的收费金额为招标代理服务费的基准价格，不含工程量清单、最高投标限价（招标控制价）或标底的编制费用。</w:t>
            </w:r>
          </w:p>
          <w:p w14:paraId="5C385FA6">
            <w:pPr>
              <w:autoSpaceDN w:val="0"/>
              <w:spacing w:line="500" w:lineRule="exact"/>
              <w:jc w:val="left"/>
              <w:textAlignment w:val="center"/>
              <w:rPr>
                <w:rFonts w:ascii="宋体" w:hAnsi="宋体" w:eastAsia="宋体" w:cs="宋体"/>
                <w:color w:val="auto"/>
                <w:kern w:val="0"/>
                <w:sz w:val="22"/>
                <w:szCs w:val="22"/>
                <w:lang w:bidi="zh-CN"/>
              </w:rPr>
            </w:pPr>
            <w:r>
              <w:rPr>
                <w:rFonts w:hint="eastAsia" w:ascii="宋体" w:hAnsi="宋体" w:eastAsia="宋体" w:cs="宋体"/>
                <w:color w:val="auto"/>
                <w:kern w:val="0"/>
                <w:sz w:val="22"/>
                <w:szCs w:val="22"/>
                <w:lang w:bidi="zh-CN"/>
              </w:rPr>
              <w:t>2.招标代理服务收费按差额定率累进法计算。</w:t>
            </w:r>
          </w:p>
          <w:p w14:paraId="1A89BAED">
            <w:pPr>
              <w:autoSpaceDN w:val="0"/>
              <w:spacing w:line="500" w:lineRule="exact"/>
              <w:jc w:val="left"/>
              <w:textAlignment w:val="center"/>
              <w:rPr>
                <w:rFonts w:ascii="宋体" w:hAnsi="宋体" w:eastAsia="宋体" w:cs="宋体"/>
                <w:color w:val="auto"/>
                <w:kern w:val="0"/>
                <w:sz w:val="22"/>
                <w:szCs w:val="22"/>
                <w:lang w:val="zh-CN" w:bidi="zh-CN"/>
              </w:rPr>
            </w:pPr>
            <w:r>
              <w:rPr>
                <w:rFonts w:ascii="宋体" w:hAnsi="宋体" w:eastAsia="宋体" w:cs="宋体"/>
                <w:color w:val="auto"/>
                <w:kern w:val="0"/>
                <w:sz w:val="22"/>
                <w:szCs w:val="22"/>
                <w:lang w:val="zh-CN" w:bidi="zh-CN"/>
              </w:rPr>
              <w:t>例如：某工程招标代理业务，项目预算金额（招标控制价）为10000 万元，招标代理服务收费计算如下：</w:t>
            </w:r>
          </w:p>
          <w:p w14:paraId="576F98C3">
            <w:pPr>
              <w:autoSpaceDN w:val="0"/>
              <w:spacing w:line="500" w:lineRule="exact"/>
              <w:jc w:val="left"/>
              <w:textAlignment w:val="center"/>
              <w:rPr>
                <w:rFonts w:ascii="宋体" w:hAnsi="宋体" w:eastAsia="宋体" w:cs="宋体"/>
                <w:color w:val="auto"/>
                <w:kern w:val="0"/>
                <w:sz w:val="22"/>
                <w:szCs w:val="22"/>
                <w:lang w:val="zh-CN" w:bidi="zh-CN"/>
              </w:rPr>
            </w:pPr>
            <w:r>
              <w:rPr>
                <w:rFonts w:hint="eastAsia" w:ascii="宋体" w:hAnsi="宋体" w:eastAsia="宋体" w:cs="宋体"/>
                <w:color w:val="auto"/>
                <w:kern w:val="0"/>
                <w:sz w:val="22"/>
                <w:szCs w:val="22"/>
                <w:lang w:bidi="zh-CN"/>
              </w:rPr>
              <w:t xml:space="preserve"> </w:t>
            </w:r>
            <w:r>
              <w:rPr>
                <w:rFonts w:ascii="宋体" w:hAnsi="宋体" w:eastAsia="宋体" w:cs="宋体"/>
                <w:color w:val="auto"/>
                <w:kern w:val="0"/>
                <w:sz w:val="22"/>
                <w:szCs w:val="22"/>
                <w:lang w:val="zh-CN" w:bidi="zh-CN"/>
              </w:rPr>
              <w:t>100万元×1.2%=1.2万元</w:t>
            </w:r>
          </w:p>
          <w:p w14:paraId="5E4416A9">
            <w:pPr>
              <w:autoSpaceDN w:val="0"/>
              <w:spacing w:line="500" w:lineRule="exact"/>
              <w:jc w:val="left"/>
              <w:textAlignment w:val="center"/>
              <w:rPr>
                <w:rFonts w:ascii="宋体" w:hAnsi="宋体" w:eastAsia="宋体" w:cs="宋体"/>
                <w:color w:val="auto"/>
                <w:kern w:val="0"/>
                <w:sz w:val="22"/>
                <w:szCs w:val="22"/>
                <w:lang w:val="zh-CN" w:bidi="zh-CN"/>
              </w:rPr>
            </w:pPr>
            <w:r>
              <w:rPr>
                <w:rFonts w:ascii="宋体" w:hAnsi="宋体" w:eastAsia="宋体" w:cs="宋体"/>
                <w:color w:val="auto"/>
                <w:kern w:val="0"/>
                <w:sz w:val="22"/>
                <w:szCs w:val="22"/>
                <w:lang w:val="zh-CN" w:bidi="zh-CN"/>
              </w:rPr>
              <w:t>（500-100）万元×1.0%=4万元</w:t>
            </w:r>
          </w:p>
          <w:p w14:paraId="06B97CA8">
            <w:pPr>
              <w:autoSpaceDN w:val="0"/>
              <w:spacing w:line="500" w:lineRule="exact"/>
              <w:jc w:val="left"/>
              <w:textAlignment w:val="center"/>
              <w:rPr>
                <w:rFonts w:ascii="宋体" w:hAnsi="宋体" w:eastAsia="宋体" w:cs="宋体"/>
                <w:color w:val="auto"/>
                <w:kern w:val="0"/>
                <w:sz w:val="22"/>
                <w:szCs w:val="22"/>
                <w:lang w:val="zh-CN" w:bidi="zh-CN"/>
              </w:rPr>
            </w:pPr>
            <w:r>
              <w:rPr>
                <w:rFonts w:ascii="宋体" w:hAnsi="宋体" w:eastAsia="宋体" w:cs="宋体"/>
                <w:color w:val="auto"/>
                <w:kern w:val="0"/>
                <w:sz w:val="22"/>
                <w:szCs w:val="22"/>
                <w:lang w:val="zh-CN" w:bidi="zh-CN"/>
              </w:rPr>
              <w:t>（1000-500）×0.7%=3.5万元</w:t>
            </w:r>
          </w:p>
          <w:p w14:paraId="154FE220">
            <w:pPr>
              <w:autoSpaceDN w:val="0"/>
              <w:spacing w:line="500" w:lineRule="exact"/>
              <w:jc w:val="left"/>
              <w:textAlignment w:val="center"/>
              <w:rPr>
                <w:rFonts w:ascii="宋体" w:hAnsi="宋体" w:eastAsia="宋体" w:cs="宋体"/>
                <w:color w:val="auto"/>
                <w:kern w:val="0"/>
                <w:sz w:val="22"/>
                <w:szCs w:val="22"/>
                <w:lang w:val="zh-CN" w:bidi="zh-CN"/>
              </w:rPr>
            </w:pPr>
            <w:r>
              <w:rPr>
                <w:rFonts w:ascii="宋体" w:hAnsi="宋体" w:eastAsia="宋体" w:cs="宋体"/>
                <w:color w:val="auto"/>
                <w:kern w:val="0"/>
                <w:sz w:val="22"/>
                <w:szCs w:val="22"/>
                <w:lang w:val="zh-CN" w:bidi="zh-CN"/>
              </w:rPr>
              <w:t>（5000-1000）×0.4%=16万元</w:t>
            </w:r>
          </w:p>
          <w:p w14:paraId="117AF246">
            <w:pPr>
              <w:autoSpaceDN w:val="0"/>
              <w:spacing w:line="500" w:lineRule="exact"/>
              <w:jc w:val="left"/>
              <w:textAlignment w:val="center"/>
              <w:rPr>
                <w:rFonts w:ascii="宋体" w:hAnsi="宋体" w:eastAsia="宋体" w:cs="宋体"/>
                <w:color w:val="auto"/>
                <w:kern w:val="0"/>
                <w:sz w:val="21"/>
                <w:szCs w:val="16"/>
                <w:lang w:val="zh-CN" w:bidi="zh-CN"/>
              </w:rPr>
            </w:pPr>
            <w:r>
              <w:rPr>
                <w:rFonts w:ascii="宋体" w:hAnsi="宋体" w:eastAsia="宋体" w:cs="宋体"/>
                <w:color w:val="auto"/>
                <w:kern w:val="0"/>
                <w:sz w:val="22"/>
                <w:szCs w:val="22"/>
                <w:lang w:val="zh-CN" w:bidi="zh-CN"/>
              </w:rPr>
              <w:t>（10000-5000）×0.25%=12.5万元合计收费=1.2+4+3.5+16+12.5=37.2万元</w:t>
            </w:r>
          </w:p>
        </w:tc>
      </w:tr>
    </w:tbl>
    <w:p w14:paraId="042510C9">
      <w:pPr>
        <w:widowControl/>
        <w:spacing w:line="360" w:lineRule="auto"/>
        <w:jc w:val="center"/>
        <w:rPr>
          <w:rFonts w:hint="eastAsia" w:ascii="宋体" w:hAnsi="宋体" w:eastAsia="宋体" w:cs="宋体"/>
          <w:b/>
          <w:bCs/>
          <w:color w:val="auto"/>
          <w:sz w:val="24"/>
          <w:szCs w:val="24"/>
          <w:highlight w:val="none"/>
          <w:lang w:val="en-US" w:eastAsia="zh-CN"/>
        </w:rPr>
      </w:pPr>
    </w:p>
    <w:p w14:paraId="6D0FFAFF">
      <w:pPr>
        <w:widowControl/>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十二</w:t>
      </w:r>
      <w:r>
        <w:rPr>
          <w:rFonts w:hint="eastAsia" w:ascii="宋体" w:hAnsi="宋体" w:eastAsia="宋体" w:cs="宋体"/>
          <w:b/>
          <w:bCs/>
          <w:color w:val="auto"/>
          <w:sz w:val="24"/>
          <w:szCs w:val="24"/>
          <w:highlight w:val="none"/>
        </w:rPr>
        <w:t>、其他</w:t>
      </w:r>
    </w:p>
    <w:p w14:paraId="2A6710A5">
      <w:pPr>
        <w:widowControl/>
        <w:spacing w:line="360" w:lineRule="auto"/>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未尽事宜按国家有关规定执行。</w:t>
      </w:r>
    </w:p>
    <w:p w14:paraId="1D71C3D5">
      <w:pPr>
        <w:widowControl/>
        <w:spacing w:line="360" w:lineRule="auto"/>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3</w:t>
      </w:r>
      <w:r>
        <w:rPr>
          <w:rFonts w:hint="eastAsia" w:ascii="宋体"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本招标文件最终解释权归</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lang w:eastAsia="zh-CN"/>
        </w:rPr>
        <w:t>人</w:t>
      </w:r>
      <w:r>
        <w:rPr>
          <w:rFonts w:hint="eastAsia" w:ascii="宋体" w:hAnsi="宋体" w:eastAsia="宋体" w:cs="宋体"/>
          <w:b w:val="0"/>
          <w:bCs w:val="0"/>
          <w:color w:val="auto"/>
          <w:sz w:val="24"/>
          <w:szCs w:val="24"/>
          <w:highlight w:val="none"/>
        </w:rPr>
        <w:t>。</w:t>
      </w:r>
    </w:p>
    <w:p w14:paraId="20CF8770">
      <w:pPr>
        <w:rPr>
          <w:rFonts w:hint="eastAsia" w:ascii="宋体" w:hAnsi="宋体" w:eastAsia="宋体" w:cs="宋体"/>
          <w:b/>
          <w:bCs/>
          <w:color w:val="auto"/>
          <w:sz w:val="24"/>
          <w:szCs w:val="24"/>
          <w:highlight w:val="none"/>
          <w:lang w:val="en-US" w:eastAsia="zh-CN"/>
        </w:rPr>
      </w:pPr>
    </w:p>
    <w:p w14:paraId="756C0E0C">
      <w:pPr>
        <w:rPr>
          <w:rFonts w:hint="eastAsia" w:ascii="宋体" w:hAnsi="宋体" w:eastAsia="宋体" w:cs="宋体"/>
          <w:b/>
          <w:bCs/>
          <w:color w:val="auto"/>
          <w:sz w:val="24"/>
          <w:szCs w:val="24"/>
          <w:highlight w:val="none"/>
          <w:lang w:val="en-US" w:eastAsia="zh-CN"/>
        </w:rPr>
      </w:pPr>
    </w:p>
    <w:p w14:paraId="3132EC8E">
      <w:pPr>
        <w:rPr>
          <w:rFonts w:hint="eastAsia" w:ascii="宋体" w:hAnsi="宋体" w:eastAsia="宋体" w:cs="宋体"/>
          <w:b/>
          <w:bCs/>
          <w:color w:val="auto"/>
          <w:sz w:val="24"/>
          <w:szCs w:val="24"/>
          <w:highlight w:val="none"/>
          <w:lang w:val="en-US" w:eastAsia="zh-CN"/>
        </w:rPr>
      </w:pPr>
    </w:p>
    <w:p w14:paraId="5C543613">
      <w:pPr>
        <w:rPr>
          <w:rFonts w:hint="eastAsia" w:ascii="宋体" w:hAnsi="宋体" w:eastAsia="宋体" w:cs="宋体"/>
          <w:b/>
          <w:bCs/>
          <w:color w:val="auto"/>
          <w:sz w:val="24"/>
          <w:szCs w:val="24"/>
          <w:highlight w:val="none"/>
          <w:lang w:val="en-US" w:eastAsia="zh-CN"/>
        </w:rPr>
      </w:pPr>
    </w:p>
    <w:p w14:paraId="13048640">
      <w:pPr>
        <w:rPr>
          <w:rFonts w:hint="eastAsia" w:ascii="宋体" w:hAnsi="宋体" w:eastAsia="宋体" w:cs="宋体"/>
          <w:b/>
          <w:bCs/>
          <w:color w:val="auto"/>
          <w:sz w:val="24"/>
          <w:szCs w:val="24"/>
          <w:highlight w:val="none"/>
          <w:lang w:val="en-US" w:eastAsia="zh-CN"/>
        </w:rPr>
      </w:pPr>
    </w:p>
    <w:p w14:paraId="72F8E656">
      <w:pPr>
        <w:rPr>
          <w:rFonts w:hint="eastAsia" w:ascii="宋体" w:hAnsi="宋体" w:eastAsia="宋体" w:cs="宋体"/>
          <w:b/>
          <w:bCs/>
          <w:color w:val="auto"/>
          <w:sz w:val="24"/>
          <w:szCs w:val="24"/>
          <w:highlight w:val="none"/>
          <w:lang w:val="en-US" w:eastAsia="zh-CN"/>
        </w:rPr>
      </w:pPr>
    </w:p>
    <w:p w14:paraId="1D360FE7">
      <w:pP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附件1：</w:t>
      </w:r>
      <w:r>
        <w:rPr>
          <w:rFonts w:hint="eastAsia" w:ascii="宋体" w:hAnsi="宋体" w:eastAsia="宋体" w:cs="宋体"/>
          <w:b/>
          <w:bCs/>
          <w:color w:val="auto"/>
          <w:sz w:val="24"/>
          <w:szCs w:val="24"/>
          <w:highlight w:val="none"/>
        </w:rPr>
        <w:t xml:space="preserve">            </w:t>
      </w:r>
    </w:p>
    <w:p w14:paraId="32362F47">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中小企业划型标准规定</w:t>
      </w:r>
    </w:p>
    <w:tbl>
      <w:tblPr>
        <w:tblStyle w:val="17"/>
        <w:tblW w:w="9353" w:type="dxa"/>
        <w:jc w:val="center"/>
        <w:shd w:val="clear" w:color="auto" w:fill="FFFFFF"/>
        <w:tblLayout w:type="fixed"/>
        <w:tblCellMar>
          <w:top w:w="0" w:type="dxa"/>
          <w:left w:w="0" w:type="dxa"/>
          <w:bottom w:w="0" w:type="dxa"/>
          <w:right w:w="0" w:type="dxa"/>
        </w:tblCellMar>
      </w:tblPr>
      <w:tblGrid>
        <w:gridCol w:w="1144"/>
        <w:gridCol w:w="1492"/>
        <w:gridCol w:w="728"/>
        <w:gridCol w:w="1245"/>
        <w:gridCol w:w="1965"/>
        <w:gridCol w:w="1756"/>
        <w:gridCol w:w="1023"/>
      </w:tblGrid>
      <w:tr w14:paraId="654A7D82">
        <w:tblPrEx>
          <w:shd w:val="clear" w:color="auto" w:fill="FFFFFF"/>
          <w:tblCellMar>
            <w:top w:w="0" w:type="dxa"/>
            <w:left w:w="0" w:type="dxa"/>
            <w:bottom w:w="0" w:type="dxa"/>
            <w:right w:w="0" w:type="dxa"/>
          </w:tblCellMar>
        </w:tblPrEx>
        <w:trPr>
          <w:trHeight w:val="653" w:hRule="atLeast"/>
          <w:jc w:val="center"/>
        </w:trPr>
        <w:tc>
          <w:tcPr>
            <w:tcW w:w="1144"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765BCCDA">
            <w:pPr>
              <w:keepNext w:val="0"/>
              <w:keepLines w:val="0"/>
              <w:pageBreakBefore w:val="0"/>
              <w:kinsoku/>
              <w:wordWrap w:val="0"/>
              <w:overflowPunct/>
              <w:topLinePunct w:val="0"/>
              <w:autoSpaceDE/>
              <w:autoSpaceDN/>
              <w:bidi w:val="0"/>
              <w:adjustRightInd/>
              <w:snapToGrid/>
              <w:spacing w:line="380" w:lineRule="exact"/>
              <w:ind w:firstLine="2495" w:firstLineChars="1100"/>
              <w:jc w:val="center"/>
              <w:textAlignment w:val="auto"/>
              <w:rPr>
                <w:rFonts w:hint="eastAsia"/>
                <w:color w:val="auto"/>
                <w:sz w:val="21"/>
                <w:szCs w:val="21"/>
                <w:highlight w:val="none"/>
              </w:rPr>
            </w:pPr>
            <w:r>
              <w:rPr>
                <w:rFonts w:hint="eastAsia" w:ascii="宋体" w:hAnsi="宋体" w:eastAsia="宋体" w:cs="宋体"/>
                <w:b/>
                <w:bCs/>
                <w:color w:val="auto"/>
                <w:spacing w:val="8"/>
                <w:kern w:val="0"/>
                <w:sz w:val="21"/>
                <w:szCs w:val="21"/>
                <w:highlight w:val="none"/>
                <w:lang w:val="en-US" w:eastAsia="zh-CN" w:bidi="ar"/>
              </w:rPr>
              <w:t>中行业名称</w:t>
            </w:r>
          </w:p>
        </w:tc>
        <w:tc>
          <w:tcPr>
            <w:tcW w:w="1492"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3D2BBB4D">
            <w:pPr>
              <w:keepNext w:val="0"/>
              <w:keepLines w:val="0"/>
              <w:pageBreakBefore w:val="0"/>
              <w:kinsoku/>
              <w:wordWrap w:val="0"/>
              <w:overflowPunct/>
              <w:topLinePunct w:val="0"/>
              <w:autoSpaceDE/>
              <w:autoSpaceDN/>
              <w:bidi w:val="0"/>
              <w:adjustRightInd/>
              <w:snapToGrid/>
              <w:spacing w:line="380" w:lineRule="exact"/>
              <w:ind w:firstLine="2495" w:firstLineChars="1100"/>
              <w:jc w:val="center"/>
              <w:textAlignment w:val="auto"/>
              <w:rPr>
                <w:rFonts w:hint="eastAsia"/>
                <w:color w:val="auto"/>
                <w:sz w:val="21"/>
                <w:szCs w:val="21"/>
                <w:highlight w:val="none"/>
              </w:rPr>
            </w:pPr>
            <w:r>
              <w:rPr>
                <w:rFonts w:hint="eastAsia" w:ascii="宋体" w:hAnsi="宋体" w:eastAsia="宋体" w:cs="宋体"/>
                <w:b/>
                <w:bCs/>
                <w:color w:val="auto"/>
                <w:spacing w:val="8"/>
                <w:kern w:val="0"/>
                <w:sz w:val="21"/>
                <w:szCs w:val="21"/>
                <w:highlight w:val="none"/>
                <w:lang w:val="en-US" w:eastAsia="zh-CN" w:bidi="ar"/>
              </w:rPr>
              <w:t>中指标名称</w:t>
            </w:r>
          </w:p>
        </w:tc>
        <w:tc>
          <w:tcPr>
            <w:tcW w:w="728"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79B4D8AE">
            <w:pPr>
              <w:keepNext w:val="0"/>
              <w:keepLines w:val="0"/>
              <w:pageBreakBefore w:val="0"/>
              <w:kinsoku/>
              <w:wordWrap w:val="0"/>
              <w:overflowPunct/>
              <w:topLinePunct w:val="0"/>
              <w:autoSpaceDE/>
              <w:autoSpaceDN/>
              <w:bidi w:val="0"/>
              <w:adjustRightInd/>
              <w:snapToGrid/>
              <w:spacing w:line="380" w:lineRule="exact"/>
              <w:ind w:firstLine="2495" w:firstLineChars="1100"/>
              <w:jc w:val="center"/>
              <w:textAlignment w:val="auto"/>
              <w:rPr>
                <w:rFonts w:hint="eastAsia"/>
                <w:color w:val="auto"/>
                <w:sz w:val="21"/>
                <w:szCs w:val="21"/>
                <w:highlight w:val="none"/>
              </w:rPr>
            </w:pPr>
            <w:r>
              <w:rPr>
                <w:rFonts w:hint="eastAsia" w:ascii="宋体" w:hAnsi="宋体" w:eastAsia="宋体" w:cs="宋体"/>
                <w:b/>
                <w:bCs/>
                <w:color w:val="auto"/>
                <w:spacing w:val="8"/>
                <w:kern w:val="0"/>
                <w:sz w:val="21"/>
                <w:szCs w:val="21"/>
                <w:highlight w:val="none"/>
                <w:lang w:val="en-US" w:eastAsia="zh-CN" w:bidi="ar"/>
              </w:rPr>
              <w:t>中计量单位</w:t>
            </w:r>
          </w:p>
        </w:tc>
        <w:tc>
          <w:tcPr>
            <w:tcW w:w="1245"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6B107DE4">
            <w:pPr>
              <w:keepNext w:val="0"/>
              <w:keepLines w:val="0"/>
              <w:pageBreakBefore w:val="0"/>
              <w:kinsoku/>
              <w:wordWrap w:val="0"/>
              <w:overflowPunct/>
              <w:topLinePunct w:val="0"/>
              <w:autoSpaceDE/>
              <w:autoSpaceDN/>
              <w:bidi w:val="0"/>
              <w:adjustRightInd/>
              <w:snapToGrid/>
              <w:spacing w:line="380" w:lineRule="exact"/>
              <w:ind w:firstLine="2495" w:firstLineChars="1100"/>
              <w:jc w:val="center"/>
              <w:textAlignment w:val="auto"/>
              <w:rPr>
                <w:rFonts w:hint="eastAsia"/>
                <w:color w:val="auto"/>
                <w:sz w:val="21"/>
                <w:szCs w:val="21"/>
                <w:highlight w:val="none"/>
              </w:rPr>
            </w:pPr>
            <w:r>
              <w:rPr>
                <w:rFonts w:hint="eastAsia" w:ascii="宋体" w:hAnsi="宋体" w:eastAsia="宋体" w:cs="宋体"/>
                <w:b/>
                <w:bCs/>
                <w:color w:val="auto"/>
                <w:spacing w:val="8"/>
                <w:kern w:val="0"/>
                <w:sz w:val="21"/>
                <w:szCs w:val="21"/>
                <w:highlight w:val="none"/>
                <w:lang w:val="en-US" w:eastAsia="zh-CN" w:bidi="ar"/>
              </w:rPr>
              <w:t>大大型</w:t>
            </w:r>
          </w:p>
        </w:tc>
        <w:tc>
          <w:tcPr>
            <w:tcW w:w="1965"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69C82BFD">
            <w:pPr>
              <w:keepNext w:val="0"/>
              <w:keepLines w:val="0"/>
              <w:pageBreakBefore w:val="0"/>
              <w:kinsoku/>
              <w:wordWrap w:val="0"/>
              <w:overflowPunct/>
              <w:topLinePunct w:val="0"/>
              <w:autoSpaceDE/>
              <w:autoSpaceDN/>
              <w:bidi w:val="0"/>
              <w:adjustRightInd/>
              <w:snapToGrid/>
              <w:spacing w:line="380" w:lineRule="exact"/>
              <w:ind w:firstLine="2495" w:firstLineChars="1100"/>
              <w:jc w:val="center"/>
              <w:textAlignment w:val="auto"/>
              <w:rPr>
                <w:rFonts w:hint="eastAsia"/>
                <w:color w:val="auto"/>
                <w:sz w:val="21"/>
                <w:szCs w:val="21"/>
                <w:highlight w:val="none"/>
              </w:rPr>
            </w:pPr>
            <w:r>
              <w:rPr>
                <w:rFonts w:hint="eastAsia" w:ascii="宋体" w:hAnsi="宋体" w:eastAsia="宋体" w:cs="宋体"/>
                <w:b/>
                <w:bCs/>
                <w:color w:val="auto"/>
                <w:spacing w:val="8"/>
                <w:kern w:val="0"/>
                <w:sz w:val="21"/>
                <w:szCs w:val="21"/>
                <w:highlight w:val="none"/>
                <w:lang w:val="en-US" w:eastAsia="zh-CN" w:bidi="ar"/>
              </w:rPr>
              <w:t>中中型</w:t>
            </w:r>
          </w:p>
        </w:tc>
        <w:tc>
          <w:tcPr>
            <w:tcW w:w="1756"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129FB4EB">
            <w:pPr>
              <w:keepNext w:val="0"/>
              <w:keepLines w:val="0"/>
              <w:pageBreakBefore w:val="0"/>
              <w:kinsoku/>
              <w:wordWrap w:val="0"/>
              <w:overflowPunct/>
              <w:topLinePunct w:val="0"/>
              <w:autoSpaceDE/>
              <w:autoSpaceDN/>
              <w:bidi w:val="0"/>
              <w:adjustRightInd/>
              <w:snapToGrid/>
              <w:spacing w:line="380" w:lineRule="exact"/>
              <w:ind w:firstLine="2495" w:firstLineChars="1100"/>
              <w:jc w:val="center"/>
              <w:textAlignment w:val="auto"/>
              <w:rPr>
                <w:rFonts w:hint="eastAsia"/>
                <w:color w:val="auto"/>
                <w:sz w:val="21"/>
                <w:szCs w:val="21"/>
                <w:highlight w:val="none"/>
              </w:rPr>
            </w:pPr>
            <w:r>
              <w:rPr>
                <w:rFonts w:hint="eastAsia" w:ascii="宋体" w:hAnsi="宋体" w:eastAsia="宋体" w:cs="宋体"/>
                <w:b/>
                <w:bCs/>
                <w:color w:val="auto"/>
                <w:spacing w:val="8"/>
                <w:kern w:val="0"/>
                <w:sz w:val="21"/>
                <w:szCs w:val="21"/>
                <w:highlight w:val="none"/>
                <w:lang w:val="en-US" w:eastAsia="zh-CN" w:bidi="ar"/>
              </w:rPr>
              <w:t>中小型</w:t>
            </w:r>
          </w:p>
        </w:tc>
        <w:tc>
          <w:tcPr>
            <w:tcW w:w="1023"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14F4EE16">
            <w:pPr>
              <w:keepNext w:val="0"/>
              <w:keepLines w:val="0"/>
              <w:pageBreakBefore w:val="0"/>
              <w:kinsoku/>
              <w:wordWrap w:val="0"/>
              <w:overflowPunct/>
              <w:topLinePunct w:val="0"/>
              <w:autoSpaceDE/>
              <w:autoSpaceDN/>
              <w:bidi w:val="0"/>
              <w:adjustRightInd/>
              <w:snapToGrid/>
              <w:spacing w:line="380" w:lineRule="exact"/>
              <w:ind w:firstLine="2495" w:firstLineChars="1100"/>
              <w:jc w:val="center"/>
              <w:textAlignment w:val="auto"/>
              <w:rPr>
                <w:rFonts w:hint="eastAsia"/>
                <w:color w:val="auto"/>
                <w:sz w:val="21"/>
                <w:szCs w:val="21"/>
                <w:highlight w:val="none"/>
              </w:rPr>
            </w:pPr>
            <w:r>
              <w:rPr>
                <w:rFonts w:hint="eastAsia" w:ascii="宋体" w:hAnsi="宋体" w:eastAsia="宋体" w:cs="宋体"/>
                <w:b/>
                <w:bCs/>
                <w:color w:val="auto"/>
                <w:spacing w:val="8"/>
                <w:kern w:val="0"/>
                <w:sz w:val="21"/>
                <w:szCs w:val="21"/>
                <w:highlight w:val="none"/>
                <w:lang w:val="en-US" w:eastAsia="zh-CN" w:bidi="ar"/>
              </w:rPr>
              <w:t>微微型</w:t>
            </w:r>
          </w:p>
        </w:tc>
      </w:tr>
      <w:tr w14:paraId="72B555CD">
        <w:tblPrEx>
          <w:tblCellMar>
            <w:top w:w="0" w:type="dxa"/>
            <w:left w:w="0" w:type="dxa"/>
            <w:bottom w:w="0" w:type="dxa"/>
            <w:right w:w="0" w:type="dxa"/>
          </w:tblCellMar>
        </w:tblPrEx>
        <w:trPr>
          <w:trHeight w:val="682" w:hRule="atLeast"/>
          <w:jc w:val="center"/>
        </w:trPr>
        <w:tc>
          <w:tcPr>
            <w:tcW w:w="1144" w:type="dxa"/>
            <w:tcBorders>
              <w:top w:val="single" w:color="auto" w:sz="4" w:space="0"/>
              <w:left w:val="single" w:color="4F81BD" w:sz="6" w:space="0"/>
              <w:bottom w:val="single" w:color="4F81BD" w:sz="6" w:space="0"/>
              <w:right w:val="single" w:color="4F81BD" w:sz="6" w:space="0"/>
            </w:tcBorders>
            <w:shd w:val="clear" w:color="auto" w:fill="B8CCE4"/>
            <w:noWrap w:val="0"/>
            <w:tcMar>
              <w:left w:w="105" w:type="dxa"/>
              <w:right w:w="105" w:type="dxa"/>
            </w:tcMar>
            <w:vAlign w:val="center"/>
          </w:tcPr>
          <w:p w14:paraId="0A74DB22">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农、林、牧、渔业</w:t>
            </w:r>
          </w:p>
        </w:tc>
        <w:tc>
          <w:tcPr>
            <w:tcW w:w="1492"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38BE9531">
            <w:pPr>
              <w:pStyle w:val="13"/>
              <w:wordWrap w:val="0"/>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41D681B2">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2EC0AA00">
            <w:pPr>
              <w:pStyle w:val="13"/>
              <w:wordWrap w:val="0"/>
              <w:jc w:val="center"/>
              <w:rPr>
                <w:rFonts w:hint="eastAsia"/>
                <w:color w:val="auto"/>
                <w:sz w:val="21"/>
                <w:szCs w:val="21"/>
                <w:highlight w:val="none"/>
              </w:rPr>
            </w:pPr>
            <w:r>
              <w:rPr>
                <w:rFonts w:hint="eastAsia"/>
                <w:color w:val="auto"/>
                <w:spacing w:val="8"/>
                <w:sz w:val="21"/>
                <w:szCs w:val="21"/>
                <w:highlight w:val="none"/>
              </w:rPr>
              <w:t>Y≥20000</w:t>
            </w:r>
          </w:p>
        </w:tc>
        <w:tc>
          <w:tcPr>
            <w:tcW w:w="1965"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68BB2FCB">
            <w:pPr>
              <w:pStyle w:val="13"/>
              <w:wordWrap w:val="0"/>
              <w:jc w:val="center"/>
              <w:rPr>
                <w:rFonts w:hint="eastAsia"/>
                <w:color w:val="auto"/>
                <w:sz w:val="21"/>
                <w:szCs w:val="21"/>
                <w:highlight w:val="none"/>
              </w:rPr>
            </w:pPr>
            <w:r>
              <w:rPr>
                <w:rFonts w:hint="eastAsia"/>
                <w:color w:val="auto"/>
                <w:spacing w:val="8"/>
                <w:sz w:val="21"/>
                <w:szCs w:val="21"/>
                <w:highlight w:val="none"/>
              </w:rPr>
              <w:t>500≤Y＜20000</w:t>
            </w:r>
          </w:p>
        </w:tc>
        <w:tc>
          <w:tcPr>
            <w:tcW w:w="1756"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2136906A">
            <w:pPr>
              <w:pStyle w:val="13"/>
              <w:wordWrap w:val="0"/>
              <w:jc w:val="center"/>
              <w:rPr>
                <w:rFonts w:hint="eastAsia"/>
                <w:color w:val="auto"/>
                <w:sz w:val="21"/>
                <w:szCs w:val="21"/>
                <w:highlight w:val="none"/>
              </w:rPr>
            </w:pPr>
            <w:r>
              <w:rPr>
                <w:rFonts w:hint="eastAsia"/>
                <w:color w:val="auto"/>
                <w:spacing w:val="8"/>
                <w:sz w:val="21"/>
                <w:szCs w:val="21"/>
                <w:highlight w:val="none"/>
              </w:rPr>
              <w:t>50≤Y＜500</w:t>
            </w:r>
          </w:p>
        </w:tc>
        <w:tc>
          <w:tcPr>
            <w:tcW w:w="1023"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310881F3">
            <w:pPr>
              <w:pStyle w:val="13"/>
              <w:wordWrap w:val="0"/>
              <w:jc w:val="center"/>
              <w:rPr>
                <w:rFonts w:hint="eastAsia"/>
                <w:color w:val="auto"/>
                <w:sz w:val="21"/>
                <w:szCs w:val="21"/>
                <w:highlight w:val="none"/>
              </w:rPr>
            </w:pPr>
            <w:r>
              <w:rPr>
                <w:rFonts w:hint="eastAsia"/>
                <w:color w:val="auto"/>
                <w:spacing w:val="8"/>
                <w:sz w:val="21"/>
                <w:szCs w:val="21"/>
                <w:highlight w:val="none"/>
              </w:rPr>
              <w:t>Y＜50</w:t>
            </w:r>
          </w:p>
        </w:tc>
      </w:tr>
      <w:tr w14:paraId="01CEB732">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073D0FD">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工业 *</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13DF116">
            <w:pPr>
              <w:pStyle w:val="13"/>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95A0A98">
            <w:pPr>
              <w:pStyle w:val="13"/>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6A352BA">
            <w:pPr>
              <w:pStyle w:val="13"/>
              <w:wordWrap w:val="0"/>
              <w:jc w:val="center"/>
              <w:rPr>
                <w:rFonts w:hint="eastAsia"/>
                <w:color w:val="auto"/>
                <w:sz w:val="21"/>
                <w:szCs w:val="21"/>
                <w:highlight w:val="none"/>
              </w:rPr>
            </w:pPr>
            <w:r>
              <w:rPr>
                <w:rFonts w:hint="eastAsia"/>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604B8A7">
            <w:pPr>
              <w:pStyle w:val="13"/>
              <w:wordWrap w:val="0"/>
              <w:jc w:val="center"/>
              <w:rPr>
                <w:rFonts w:hint="eastAsia"/>
                <w:color w:val="auto"/>
                <w:sz w:val="21"/>
                <w:szCs w:val="21"/>
                <w:highlight w:val="none"/>
              </w:rPr>
            </w:pPr>
            <w:r>
              <w:rPr>
                <w:rFonts w:hint="eastAsia"/>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F1A974E">
            <w:pPr>
              <w:pStyle w:val="13"/>
              <w:wordWrap w:val="0"/>
              <w:jc w:val="center"/>
              <w:rPr>
                <w:rFonts w:hint="eastAsia"/>
                <w:color w:val="auto"/>
                <w:sz w:val="21"/>
                <w:szCs w:val="21"/>
                <w:highlight w:val="none"/>
              </w:rPr>
            </w:pPr>
            <w:r>
              <w:rPr>
                <w:rFonts w:hint="eastAsia"/>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900CCFF">
            <w:pPr>
              <w:pStyle w:val="13"/>
              <w:wordWrap w:val="0"/>
              <w:jc w:val="center"/>
              <w:rPr>
                <w:rFonts w:hint="eastAsia"/>
                <w:color w:val="auto"/>
                <w:sz w:val="21"/>
                <w:szCs w:val="21"/>
                <w:highlight w:val="none"/>
              </w:rPr>
            </w:pPr>
            <w:r>
              <w:rPr>
                <w:rFonts w:hint="eastAsia"/>
                <w:color w:val="auto"/>
                <w:spacing w:val="8"/>
                <w:sz w:val="21"/>
                <w:szCs w:val="21"/>
                <w:highlight w:val="none"/>
              </w:rPr>
              <w:t>X＜20</w:t>
            </w:r>
          </w:p>
        </w:tc>
      </w:tr>
      <w:tr w14:paraId="18020EEA">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A14C41D">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D79C681">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E212517">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B743624">
            <w:pPr>
              <w:pStyle w:val="13"/>
              <w:wordWrap w:val="0"/>
              <w:jc w:val="center"/>
              <w:rPr>
                <w:rFonts w:hint="eastAsia"/>
                <w:color w:val="auto"/>
                <w:sz w:val="21"/>
                <w:szCs w:val="21"/>
                <w:highlight w:val="none"/>
              </w:rPr>
            </w:pPr>
            <w:r>
              <w:rPr>
                <w:rFonts w:hint="eastAsia"/>
                <w:color w:val="auto"/>
                <w:spacing w:val="8"/>
                <w:sz w:val="21"/>
                <w:szCs w:val="21"/>
                <w:highlight w:val="none"/>
              </w:rPr>
              <w:t>Y≥40000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125A004">
            <w:pPr>
              <w:pStyle w:val="13"/>
              <w:wordWrap w:val="0"/>
              <w:jc w:val="center"/>
              <w:rPr>
                <w:rFonts w:hint="eastAsia"/>
                <w:color w:val="auto"/>
                <w:sz w:val="21"/>
                <w:szCs w:val="21"/>
                <w:highlight w:val="none"/>
              </w:rPr>
            </w:pPr>
            <w:r>
              <w:rPr>
                <w:rFonts w:hint="eastAsia"/>
                <w:color w:val="auto"/>
                <w:spacing w:val="8"/>
                <w:sz w:val="21"/>
                <w:szCs w:val="21"/>
                <w:highlight w:val="none"/>
              </w:rPr>
              <w:t>2000≤Y＜40000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8513EE5">
            <w:pPr>
              <w:pStyle w:val="13"/>
              <w:wordWrap w:val="0"/>
              <w:jc w:val="center"/>
              <w:rPr>
                <w:rFonts w:hint="eastAsia"/>
                <w:color w:val="auto"/>
                <w:sz w:val="21"/>
                <w:szCs w:val="21"/>
                <w:highlight w:val="none"/>
              </w:rPr>
            </w:pPr>
            <w:r>
              <w:rPr>
                <w:rFonts w:hint="eastAsia"/>
                <w:color w:val="auto"/>
                <w:spacing w:val="8"/>
                <w:sz w:val="21"/>
                <w:szCs w:val="21"/>
                <w:highlight w:val="none"/>
              </w:rPr>
              <w:t>300≤Y＜2000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6546800">
            <w:pPr>
              <w:pStyle w:val="13"/>
              <w:wordWrap w:val="0"/>
              <w:jc w:val="center"/>
              <w:rPr>
                <w:rFonts w:hint="eastAsia"/>
                <w:color w:val="auto"/>
                <w:sz w:val="21"/>
                <w:szCs w:val="21"/>
                <w:highlight w:val="none"/>
              </w:rPr>
            </w:pPr>
            <w:r>
              <w:rPr>
                <w:rFonts w:hint="eastAsia"/>
                <w:color w:val="auto"/>
                <w:spacing w:val="8"/>
                <w:sz w:val="21"/>
                <w:szCs w:val="21"/>
                <w:highlight w:val="none"/>
              </w:rPr>
              <w:t>Y＜300</w:t>
            </w:r>
          </w:p>
        </w:tc>
      </w:tr>
      <w:tr w14:paraId="52CBE0A5">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D63FA72">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建筑业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FA6D522">
            <w:pPr>
              <w:pStyle w:val="13"/>
              <w:wordWrap w:val="0"/>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B6907CB">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C85AD73">
            <w:pPr>
              <w:pStyle w:val="13"/>
              <w:wordWrap w:val="0"/>
              <w:jc w:val="center"/>
              <w:rPr>
                <w:rFonts w:hint="eastAsia"/>
                <w:color w:val="auto"/>
                <w:sz w:val="21"/>
                <w:szCs w:val="21"/>
                <w:highlight w:val="none"/>
              </w:rPr>
            </w:pPr>
            <w:r>
              <w:rPr>
                <w:rFonts w:hint="eastAsia"/>
                <w:color w:val="auto"/>
                <w:spacing w:val="8"/>
                <w:sz w:val="21"/>
                <w:szCs w:val="21"/>
                <w:highlight w:val="none"/>
              </w:rPr>
              <w:t>Y≥80000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4ECBC35">
            <w:pPr>
              <w:pStyle w:val="13"/>
              <w:wordWrap w:val="0"/>
              <w:jc w:val="center"/>
              <w:rPr>
                <w:rFonts w:hint="eastAsia"/>
                <w:color w:val="auto"/>
                <w:sz w:val="21"/>
                <w:szCs w:val="21"/>
                <w:highlight w:val="none"/>
              </w:rPr>
            </w:pPr>
            <w:r>
              <w:rPr>
                <w:rFonts w:hint="eastAsia"/>
                <w:color w:val="auto"/>
                <w:spacing w:val="8"/>
                <w:sz w:val="21"/>
                <w:szCs w:val="21"/>
                <w:highlight w:val="none"/>
              </w:rPr>
              <w:t>6000≤Y＜80000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FAE056E">
            <w:pPr>
              <w:pStyle w:val="13"/>
              <w:wordWrap w:val="0"/>
              <w:jc w:val="center"/>
              <w:rPr>
                <w:rFonts w:hint="eastAsia"/>
                <w:color w:val="auto"/>
                <w:sz w:val="21"/>
                <w:szCs w:val="21"/>
                <w:highlight w:val="none"/>
              </w:rPr>
            </w:pPr>
            <w:r>
              <w:rPr>
                <w:rFonts w:hint="eastAsia"/>
                <w:color w:val="auto"/>
                <w:spacing w:val="8"/>
                <w:sz w:val="21"/>
                <w:szCs w:val="21"/>
                <w:highlight w:val="none"/>
              </w:rPr>
              <w:t>300≤Y＜6000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970B9EB">
            <w:pPr>
              <w:pStyle w:val="13"/>
              <w:wordWrap w:val="0"/>
              <w:jc w:val="center"/>
              <w:rPr>
                <w:rFonts w:hint="eastAsia"/>
                <w:color w:val="auto"/>
                <w:sz w:val="21"/>
                <w:szCs w:val="21"/>
                <w:highlight w:val="none"/>
              </w:rPr>
            </w:pPr>
            <w:r>
              <w:rPr>
                <w:rFonts w:hint="eastAsia"/>
                <w:color w:val="auto"/>
                <w:spacing w:val="8"/>
                <w:sz w:val="21"/>
                <w:szCs w:val="21"/>
                <w:highlight w:val="none"/>
              </w:rPr>
              <w:t>Y＜300</w:t>
            </w:r>
          </w:p>
        </w:tc>
      </w:tr>
      <w:tr w14:paraId="5B32CC2B">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4730991">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C2DA389">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84AACDD">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E98C7DB">
            <w:pPr>
              <w:pStyle w:val="13"/>
              <w:wordWrap w:val="0"/>
              <w:jc w:val="center"/>
              <w:rPr>
                <w:rFonts w:hint="eastAsia"/>
                <w:color w:val="auto"/>
                <w:sz w:val="21"/>
                <w:szCs w:val="21"/>
                <w:highlight w:val="none"/>
              </w:rPr>
            </w:pPr>
            <w:r>
              <w:rPr>
                <w:rFonts w:hint="eastAsia"/>
                <w:color w:val="auto"/>
                <w:spacing w:val="8"/>
                <w:sz w:val="21"/>
                <w:szCs w:val="21"/>
                <w:highlight w:val="none"/>
              </w:rPr>
              <w:t>Z≥80000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1830ED9">
            <w:pPr>
              <w:pStyle w:val="13"/>
              <w:wordWrap w:val="0"/>
              <w:jc w:val="center"/>
              <w:rPr>
                <w:rFonts w:hint="eastAsia"/>
                <w:color w:val="auto"/>
                <w:sz w:val="21"/>
                <w:szCs w:val="21"/>
                <w:highlight w:val="none"/>
              </w:rPr>
            </w:pPr>
            <w:r>
              <w:rPr>
                <w:rFonts w:hint="eastAsia"/>
                <w:color w:val="auto"/>
                <w:spacing w:val="8"/>
                <w:sz w:val="21"/>
                <w:szCs w:val="21"/>
                <w:highlight w:val="none"/>
              </w:rPr>
              <w:t>5000≤Z＜80000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664B9D7">
            <w:pPr>
              <w:pStyle w:val="13"/>
              <w:wordWrap w:val="0"/>
              <w:jc w:val="center"/>
              <w:rPr>
                <w:rFonts w:hint="eastAsia"/>
                <w:color w:val="auto"/>
                <w:sz w:val="21"/>
                <w:szCs w:val="21"/>
                <w:highlight w:val="none"/>
              </w:rPr>
            </w:pPr>
            <w:r>
              <w:rPr>
                <w:rFonts w:hint="eastAsia"/>
                <w:color w:val="auto"/>
                <w:spacing w:val="8"/>
                <w:sz w:val="21"/>
                <w:szCs w:val="21"/>
                <w:highlight w:val="none"/>
              </w:rPr>
              <w:t>300≤Z＜5000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D7889AD">
            <w:pPr>
              <w:pStyle w:val="13"/>
              <w:wordWrap w:val="0"/>
              <w:jc w:val="center"/>
              <w:rPr>
                <w:rFonts w:hint="eastAsia"/>
                <w:color w:val="auto"/>
                <w:sz w:val="21"/>
                <w:szCs w:val="21"/>
                <w:highlight w:val="none"/>
              </w:rPr>
            </w:pPr>
            <w:r>
              <w:rPr>
                <w:rFonts w:hint="eastAsia"/>
                <w:color w:val="auto"/>
                <w:spacing w:val="8"/>
                <w:sz w:val="21"/>
                <w:szCs w:val="21"/>
                <w:highlight w:val="none"/>
              </w:rPr>
              <w:t>Z＜300</w:t>
            </w:r>
          </w:p>
        </w:tc>
      </w:tr>
      <w:tr w14:paraId="1CC35DAC">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A809182">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批发业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2D5529C">
            <w:pPr>
              <w:pStyle w:val="13"/>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1633335">
            <w:pPr>
              <w:pStyle w:val="13"/>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D359BA1">
            <w:pPr>
              <w:pStyle w:val="13"/>
              <w:wordWrap w:val="0"/>
              <w:jc w:val="center"/>
              <w:rPr>
                <w:rFonts w:hint="eastAsia"/>
                <w:color w:val="auto"/>
                <w:sz w:val="21"/>
                <w:szCs w:val="21"/>
                <w:highlight w:val="none"/>
              </w:rPr>
            </w:pPr>
            <w:r>
              <w:rPr>
                <w:rFonts w:hint="eastAsia"/>
                <w:color w:val="auto"/>
                <w:spacing w:val="8"/>
                <w:sz w:val="21"/>
                <w:szCs w:val="21"/>
                <w:highlight w:val="none"/>
              </w:rPr>
              <w:t>X≥200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CE62361">
            <w:pPr>
              <w:pStyle w:val="13"/>
              <w:wordWrap w:val="0"/>
              <w:jc w:val="center"/>
              <w:rPr>
                <w:rFonts w:hint="eastAsia"/>
                <w:color w:val="auto"/>
                <w:sz w:val="21"/>
                <w:szCs w:val="21"/>
                <w:highlight w:val="none"/>
              </w:rPr>
            </w:pPr>
            <w:r>
              <w:rPr>
                <w:rFonts w:hint="eastAsia"/>
                <w:color w:val="auto"/>
                <w:spacing w:val="8"/>
                <w:sz w:val="21"/>
                <w:szCs w:val="21"/>
                <w:highlight w:val="none"/>
              </w:rPr>
              <w:t>20≤X＜200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7421E6D">
            <w:pPr>
              <w:pStyle w:val="13"/>
              <w:wordWrap w:val="0"/>
              <w:jc w:val="center"/>
              <w:rPr>
                <w:rFonts w:hint="eastAsia"/>
                <w:color w:val="auto"/>
                <w:sz w:val="21"/>
                <w:szCs w:val="21"/>
                <w:highlight w:val="none"/>
              </w:rPr>
            </w:pPr>
            <w:r>
              <w:rPr>
                <w:rFonts w:hint="eastAsia"/>
                <w:color w:val="auto"/>
                <w:spacing w:val="8"/>
                <w:sz w:val="21"/>
                <w:szCs w:val="21"/>
                <w:highlight w:val="none"/>
              </w:rPr>
              <w:t>5≤X＜20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7BA3309">
            <w:pPr>
              <w:pStyle w:val="13"/>
              <w:wordWrap w:val="0"/>
              <w:jc w:val="center"/>
              <w:rPr>
                <w:rFonts w:hint="eastAsia"/>
                <w:color w:val="auto"/>
                <w:sz w:val="21"/>
                <w:szCs w:val="21"/>
                <w:highlight w:val="none"/>
              </w:rPr>
            </w:pPr>
            <w:r>
              <w:rPr>
                <w:rFonts w:hint="eastAsia"/>
                <w:color w:val="auto"/>
                <w:spacing w:val="8"/>
                <w:sz w:val="21"/>
                <w:szCs w:val="21"/>
                <w:highlight w:val="none"/>
              </w:rPr>
              <w:t>X＜5</w:t>
            </w:r>
          </w:p>
        </w:tc>
      </w:tr>
      <w:tr w14:paraId="0338D6D6">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A479CDD">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E5539A2">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6E2D428">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47675E2">
            <w:pPr>
              <w:pStyle w:val="13"/>
              <w:wordWrap w:val="0"/>
              <w:jc w:val="center"/>
              <w:rPr>
                <w:rFonts w:hint="eastAsia"/>
                <w:color w:val="auto"/>
                <w:sz w:val="21"/>
                <w:szCs w:val="21"/>
                <w:highlight w:val="none"/>
              </w:rPr>
            </w:pPr>
            <w:r>
              <w:rPr>
                <w:rFonts w:hint="eastAsia"/>
                <w:color w:val="auto"/>
                <w:spacing w:val="8"/>
                <w:sz w:val="21"/>
                <w:szCs w:val="21"/>
                <w:highlight w:val="none"/>
              </w:rPr>
              <w:t>Y≥40000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D16F935">
            <w:pPr>
              <w:pStyle w:val="13"/>
              <w:wordWrap w:val="0"/>
              <w:jc w:val="center"/>
              <w:rPr>
                <w:rFonts w:hint="eastAsia"/>
                <w:color w:val="auto"/>
                <w:sz w:val="21"/>
                <w:szCs w:val="21"/>
                <w:highlight w:val="none"/>
              </w:rPr>
            </w:pPr>
            <w:r>
              <w:rPr>
                <w:rFonts w:hint="eastAsia"/>
                <w:color w:val="auto"/>
                <w:spacing w:val="8"/>
                <w:sz w:val="21"/>
                <w:szCs w:val="21"/>
                <w:highlight w:val="none"/>
              </w:rPr>
              <w:t>5000≤Y＜40000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A459CC1">
            <w:pPr>
              <w:pStyle w:val="13"/>
              <w:wordWrap w:val="0"/>
              <w:jc w:val="center"/>
              <w:rPr>
                <w:rFonts w:hint="eastAsia"/>
                <w:color w:val="auto"/>
                <w:sz w:val="21"/>
                <w:szCs w:val="21"/>
                <w:highlight w:val="none"/>
              </w:rPr>
            </w:pPr>
            <w:r>
              <w:rPr>
                <w:rFonts w:hint="eastAsia"/>
                <w:color w:val="auto"/>
                <w:spacing w:val="8"/>
                <w:sz w:val="21"/>
                <w:szCs w:val="21"/>
                <w:highlight w:val="none"/>
              </w:rPr>
              <w:t>1000≤Y＜5000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C90A904">
            <w:pPr>
              <w:pStyle w:val="13"/>
              <w:wordWrap w:val="0"/>
              <w:jc w:val="center"/>
              <w:rPr>
                <w:rFonts w:hint="eastAsia"/>
                <w:color w:val="auto"/>
                <w:sz w:val="21"/>
                <w:szCs w:val="21"/>
                <w:highlight w:val="none"/>
              </w:rPr>
            </w:pPr>
            <w:r>
              <w:rPr>
                <w:rFonts w:hint="eastAsia"/>
                <w:color w:val="auto"/>
                <w:spacing w:val="8"/>
                <w:sz w:val="21"/>
                <w:szCs w:val="21"/>
                <w:highlight w:val="none"/>
              </w:rPr>
              <w:t>Y＜1000</w:t>
            </w:r>
          </w:p>
        </w:tc>
      </w:tr>
      <w:tr w14:paraId="27C9F5FD">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AF38734">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零售业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0D09638">
            <w:pPr>
              <w:pStyle w:val="13"/>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3D00C1B">
            <w:pPr>
              <w:pStyle w:val="13"/>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196B38C">
            <w:pPr>
              <w:pStyle w:val="13"/>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A1E4A74">
            <w:pPr>
              <w:pStyle w:val="13"/>
              <w:wordWrap w:val="0"/>
              <w:jc w:val="center"/>
              <w:rPr>
                <w:rFonts w:hint="eastAsia"/>
                <w:color w:val="auto"/>
                <w:sz w:val="21"/>
                <w:szCs w:val="21"/>
                <w:highlight w:val="none"/>
              </w:rPr>
            </w:pPr>
            <w:r>
              <w:rPr>
                <w:rFonts w:hint="eastAsia"/>
                <w:color w:val="auto"/>
                <w:spacing w:val="8"/>
                <w:sz w:val="21"/>
                <w:szCs w:val="21"/>
                <w:highlight w:val="none"/>
              </w:rPr>
              <w:t>50≤X＜300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B7BBAE0">
            <w:pPr>
              <w:pStyle w:val="13"/>
              <w:wordWrap w:val="0"/>
              <w:jc w:val="center"/>
              <w:rPr>
                <w:rFonts w:hint="eastAsia"/>
                <w:color w:val="auto"/>
                <w:sz w:val="21"/>
                <w:szCs w:val="21"/>
                <w:highlight w:val="none"/>
              </w:rPr>
            </w:pPr>
            <w:r>
              <w:rPr>
                <w:rFonts w:hint="eastAsia"/>
                <w:color w:val="auto"/>
                <w:spacing w:val="8"/>
                <w:sz w:val="21"/>
                <w:szCs w:val="21"/>
                <w:highlight w:val="none"/>
              </w:rPr>
              <w:t>10≤X＜50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4504C6D">
            <w:pPr>
              <w:pStyle w:val="13"/>
              <w:wordWrap w:val="0"/>
              <w:jc w:val="center"/>
              <w:rPr>
                <w:rFonts w:hint="eastAsia"/>
                <w:color w:val="auto"/>
                <w:sz w:val="21"/>
                <w:szCs w:val="21"/>
                <w:highlight w:val="none"/>
              </w:rPr>
            </w:pPr>
            <w:r>
              <w:rPr>
                <w:rFonts w:hint="eastAsia"/>
                <w:color w:val="auto"/>
                <w:spacing w:val="8"/>
                <w:sz w:val="21"/>
                <w:szCs w:val="21"/>
                <w:highlight w:val="none"/>
              </w:rPr>
              <w:t>X＜10</w:t>
            </w:r>
          </w:p>
        </w:tc>
      </w:tr>
      <w:tr w14:paraId="62989EEC">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C7572C7">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DFF992B">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D1F923A">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A81DD50">
            <w:pPr>
              <w:pStyle w:val="13"/>
              <w:wordWrap w:val="0"/>
              <w:jc w:val="center"/>
              <w:rPr>
                <w:rFonts w:hint="eastAsia"/>
                <w:color w:val="auto"/>
                <w:sz w:val="21"/>
                <w:szCs w:val="21"/>
                <w:highlight w:val="none"/>
              </w:rPr>
            </w:pPr>
            <w:r>
              <w:rPr>
                <w:rFonts w:hint="eastAsia"/>
                <w:color w:val="auto"/>
                <w:spacing w:val="8"/>
                <w:sz w:val="21"/>
                <w:szCs w:val="21"/>
                <w:highlight w:val="none"/>
              </w:rPr>
              <w:t>Y≥20000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4BEFA60">
            <w:pPr>
              <w:pStyle w:val="13"/>
              <w:wordWrap w:val="0"/>
              <w:jc w:val="center"/>
              <w:rPr>
                <w:rFonts w:hint="eastAsia"/>
                <w:color w:val="auto"/>
                <w:sz w:val="21"/>
                <w:szCs w:val="21"/>
                <w:highlight w:val="none"/>
              </w:rPr>
            </w:pPr>
            <w:r>
              <w:rPr>
                <w:rFonts w:hint="eastAsia"/>
                <w:color w:val="auto"/>
                <w:spacing w:val="8"/>
                <w:sz w:val="21"/>
                <w:szCs w:val="21"/>
                <w:highlight w:val="none"/>
              </w:rPr>
              <w:t>500≤Y＜20000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2A1F569">
            <w:pPr>
              <w:pStyle w:val="13"/>
              <w:wordWrap w:val="0"/>
              <w:jc w:val="center"/>
              <w:rPr>
                <w:rFonts w:hint="eastAsia"/>
                <w:color w:val="auto"/>
                <w:sz w:val="21"/>
                <w:szCs w:val="21"/>
                <w:highlight w:val="none"/>
              </w:rPr>
            </w:pPr>
            <w:r>
              <w:rPr>
                <w:rFonts w:hint="eastAsia"/>
                <w:color w:val="auto"/>
                <w:spacing w:val="8"/>
                <w:sz w:val="21"/>
                <w:szCs w:val="21"/>
                <w:highlight w:val="none"/>
              </w:rPr>
              <w:t>100≤Y＜500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F3F60F4">
            <w:pPr>
              <w:pStyle w:val="13"/>
              <w:wordWrap w:val="0"/>
              <w:jc w:val="center"/>
              <w:rPr>
                <w:rFonts w:hint="eastAsia"/>
                <w:color w:val="auto"/>
                <w:sz w:val="21"/>
                <w:szCs w:val="21"/>
                <w:highlight w:val="none"/>
              </w:rPr>
            </w:pPr>
            <w:r>
              <w:rPr>
                <w:rFonts w:hint="eastAsia"/>
                <w:color w:val="auto"/>
                <w:spacing w:val="8"/>
                <w:sz w:val="21"/>
                <w:szCs w:val="21"/>
                <w:highlight w:val="none"/>
              </w:rPr>
              <w:t>Y＜100</w:t>
            </w:r>
          </w:p>
        </w:tc>
      </w:tr>
      <w:tr w14:paraId="7C47ED2B">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C8E3D66">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交通运输业 *</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7449A09">
            <w:pPr>
              <w:pStyle w:val="13"/>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26ACDD1">
            <w:pPr>
              <w:pStyle w:val="13"/>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5B070AB">
            <w:pPr>
              <w:pStyle w:val="13"/>
              <w:wordWrap w:val="0"/>
              <w:jc w:val="center"/>
              <w:rPr>
                <w:rFonts w:hint="eastAsia"/>
                <w:color w:val="auto"/>
                <w:sz w:val="21"/>
                <w:szCs w:val="21"/>
                <w:highlight w:val="none"/>
              </w:rPr>
            </w:pPr>
            <w:r>
              <w:rPr>
                <w:rFonts w:hint="eastAsia"/>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DA483E6">
            <w:pPr>
              <w:pStyle w:val="13"/>
              <w:wordWrap w:val="0"/>
              <w:jc w:val="center"/>
              <w:rPr>
                <w:rFonts w:hint="eastAsia"/>
                <w:color w:val="auto"/>
                <w:sz w:val="21"/>
                <w:szCs w:val="21"/>
                <w:highlight w:val="none"/>
              </w:rPr>
            </w:pPr>
            <w:r>
              <w:rPr>
                <w:rFonts w:hint="eastAsia"/>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F2110B2">
            <w:pPr>
              <w:pStyle w:val="13"/>
              <w:wordWrap w:val="0"/>
              <w:jc w:val="center"/>
              <w:rPr>
                <w:rFonts w:hint="eastAsia"/>
                <w:color w:val="auto"/>
                <w:sz w:val="21"/>
                <w:szCs w:val="21"/>
                <w:highlight w:val="none"/>
              </w:rPr>
            </w:pPr>
            <w:r>
              <w:rPr>
                <w:rFonts w:hint="eastAsia"/>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4CE2B24">
            <w:pPr>
              <w:pStyle w:val="13"/>
              <w:wordWrap w:val="0"/>
              <w:jc w:val="center"/>
              <w:rPr>
                <w:rFonts w:hint="eastAsia"/>
                <w:color w:val="auto"/>
                <w:sz w:val="21"/>
                <w:szCs w:val="21"/>
                <w:highlight w:val="none"/>
              </w:rPr>
            </w:pPr>
            <w:r>
              <w:rPr>
                <w:rFonts w:hint="eastAsia"/>
                <w:color w:val="auto"/>
                <w:spacing w:val="8"/>
                <w:sz w:val="21"/>
                <w:szCs w:val="21"/>
                <w:highlight w:val="none"/>
              </w:rPr>
              <w:t>X＜20</w:t>
            </w:r>
          </w:p>
        </w:tc>
      </w:tr>
      <w:tr w14:paraId="20104E98">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5B5580F">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07CFFE0">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2C8B202">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E03A960">
            <w:pPr>
              <w:pStyle w:val="13"/>
              <w:wordWrap w:val="0"/>
              <w:jc w:val="center"/>
              <w:rPr>
                <w:rFonts w:hint="eastAsia"/>
                <w:color w:val="auto"/>
                <w:sz w:val="21"/>
                <w:szCs w:val="21"/>
                <w:highlight w:val="none"/>
              </w:rPr>
            </w:pPr>
            <w:r>
              <w:rPr>
                <w:rFonts w:hint="eastAsia"/>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FBFDABE">
            <w:pPr>
              <w:pStyle w:val="13"/>
              <w:wordWrap w:val="0"/>
              <w:jc w:val="center"/>
              <w:rPr>
                <w:rFonts w:hint="eastAsia"/>
                <w:color w:val="auto"/>
                <w:sz w:val="21"/>
                <w:szCs w:val="21"/>
                <w:highlight w:val="none"/>
              </w:rPr>
            </w:pPr>
            <w:r>
              <w:rPr>
                <w:rFonts w:hint="eastAsia"/>
                <w:color w:val="auto"/>
                <w:spacing w:val="8"/>
                <w:sz w:val="21"/>
                <w:szCs w:val="21"/>
                <w:highlight w:val="none"/>
              </w:rPr>
              <w:t>3000≤Y＜30000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749E958">
            <w:pPr>
              <w:pStyle w:val="13"/>
              <w:wordWrap w:val="0"/>
              <w:jc w:val="center"/>
              <w:rPr>
                <w:rFonts w:hint="eastAsia"/>
                <w:color w:val="auto"/>
                <w:sz w:val="21"/>
                <w:szCs w:val="21"/>
                <w:highlight w:val="none"/>
              </w:rPr>
            </w:pPr>
            <w:r>
              <w:rPr>
                <w:rFonts w:hint="eastAsia"/>
                <w:color w:val="auto"/>
                <w:spacing w:val="8"/>
                <w:sz w:val="21"/>
                <w:szCs w:val="21"/>
                <w:highlight w:val="none"/>
              </w:rPr>
              <w:t>200≤Y＜3000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361F40C">
            <w:pPr>
              <w:pStyle w:val="13"/>
              <w:wordWrap w:val="0"/>
              <w:jc w:val="center"/>
              <w:rPr>
                <w:rFonts w:hint="eastAsia"/>
                <w:color w:val="auto"/>
                <w:sz w:val="21"/>
                <w:szCs w:val="21"/>
                <w:highlight w:val="none"/>
              </w:rPr>
            </w:pPr>
            <w:r>
              <w:rPr>
                <w:rFonts w:hint="eastAsia"/>
                <w:color w:val="auto"/>
                <w:spacing w:val="8"/>
                <w:sz w:val="21"/>
                <w:szCs w:val="21"/>
                <w:highlight w:val="none"/>
              </w:rPr>
              <w:t>Y＜200</w:t>
            </w:r>
          </w:p>
        </w:tc>
      </w:tr>
      <w:tr w14:paraId="6D90328D">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ECD7FE5">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仓储业*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4A256FB">
            <w:pPr>
              <w:pStyle w:val="13"/>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17BD1E3">
            <w:pPr>
              <w:pStyle w:val="13"/>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6B4AE5D">
            <w:pPr>
              <w:pStyle w:val="13"/>
              <w:wordWrap w:val="0"/>
              <w:jc w:val="center"/>
              <w:rPr>
                <w:rFonts w:hint="eastAsia"/>
                <w:color w:val="auto"/>
                <w:sz w:val="21"/>
                <w:szCs w:val="21"/>
                <w:highlight w:val="none"/>
              </w:rPr>
            </w:pPr>
            <w:r>
              <w:rPr>
                <w:rFonts w:hint="eastAsia"/>
                <w:color w:val="auto"/>
                <w:spacing w:val="8"/>
                <w:sz w:val="21"/>
                <w:szCs w:val="21"/>
                <w:highlight w:val="none"/>
              </w:rPr>
              <w:t>X≥200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73C8B4F">
            <w:pPr>
              <w:pStyle w:val="13"/>
              <w:wordWrap w:val="0"/>
              <w:jc w:val="center"/>
              <w:rPr>
                <w:rFonts w:hint="eastAsia"/>
                <w:color w:val="auto"/>
                <w:sz w:val="21"/>
                <w:szCs w:val="21"/>
                <w:highlight w:val="none"/>
              </w:rPr>
            </w:pPr>
            <w:r>
              <w:rPr>
                <w:rFonts w:hint="eastAsia"/>
                <w:color w:val="auto"/>
                <w:spacing w:val="8"/>
                <w:sz w:val="21"/>
                <w:szCs w:val="21"/>
                <w:highlight w:val="none"/>
              </w:rPr>
              <w:t>100≤X＜200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C9B9937">
            <w:pPr>
              <w:pStyle w:val="13"/>
              <w:wordWrap w:val="0"/>
              <w:jc w:val="center"/>
              <w:rPr>
                <w:rFonts w:hint="eastAsia"/>
                <w:color w:val="auto"/>
                <w:sz w:val="21"/>
                <w:szCs w:val="21"/>
                <w:highlight w:val="none"/>
              </w:rPr>
            </w:pPr>
            <w:r>
              <w:rPr>
                <w:rFonts w:hint="eastAsia"/>
                <w:color w:val="auto"/>
                <w:spacing w:val="8"/>
                <w:sz w:val="21"/>
                <w:szCs w:val="21"/>
                <w:highlight w:val="none"/>
              </w:rPr>
              <w:t>20≤X＜100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06DA795">
            <w:pPr>
              <w:pStyle w:val="13"/>
              <w:wordWrap w:val="0"/>
              <w:jc w:val="center"/>
              <w:rPr>
                <w:rFonts w:hint="eastAsia"/>
                <w:color w:val="auto"/>
                <w:sz w:val="21"/>
                <w:szCs w:val="21"/>
                <w:highlight w:val="none"/>
              </w:rPr>
            </w:pPr>
            <w:r>
              <w:rPr>
                <w:rFonts w:hint="eastAsia"/>
                <w:color w:val="auto"/>
                <w:spacing w:val="8"/>
                <w:sz w:val="21"/>
                <w:szCs w:val="21"/>
                <w:highlight w:val="none"/>
              </w:rPr>
              <w:t>X＜20</w:t>
            </w:r>
          </w:p>
        </w:tc>
      </w:tr>
      <w:tr w14:paraId="118FEA2D">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692CA7E">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1B88708">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854455F">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089C275">
            <w:pPr>
              <w:pStyle w:val="13"/>
              <w:wordWrap w:val="0"/>
              <w:jc w:val="center"/>
              <w:rPr>
                <w:rFonts w:hint="eastAsia"/>
                <w:color w:val="auto"/>
                <w:sz w:val="21"/>
                <w:szCs w:val="21"/>
                <w:highlight w:val="none"/>
              </w:rPr>
            </w:pPr>
            <w:r>
              <w:rPr>
                <w:rFonts w:hint="eastAsia"/>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2C71BD5">
            <w:pPr>
              <w:pStyle w:val="13"/>
              <w:wordWrap w:val="0"/>
              <w:jc w:val="center"/>
              <w:rPr>
                <w:rFonts w:hint="eastAsia"/>
                <w:color w:val="auto"/>
                <w:sz w:val="21"/>
                <w:szCs w:val="21"/>
                <w:highlight w:val="none"/>
              </w:rPr>
            </w:pPr>
            <w:r>
              <w:rPr>
                <w:rFonts w:hint="eastAsia"/>
                <w:color w:val="auto"/>
                <w:spacing w:val="8"/>
                <w:sz w:val="21"/>
                <w:szCs w:val="21"/>
                <w:highlight w:val="none"/>
              </w:rPr>
              <w:t>1000≤Y＜30000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2B4632D">
            <w:pPr>
              <w:pStyle w:val="13"/>
              <w:wordWrap w:val="0"/>
              <w:jc w:val="center"/>
              <w:rPr>
                <w:rFonts w:hint="eastAsia"/>
                <w:color w:val="auto"/>
                <w:sz w:val="21"/>
                <w:szCs w:val="21"/>
                <w:highlight w:val="none"/>
              </w:rPr>
            </w:pPr>
            <w:r>
              <w:rPr>
                <w:rFonts w:hint="eastAsia"/>
                <w:color w:val="auto"/>
                <w:spacing w:val="8"/>
                <w:sz w:val="21"/>
                <w:szCs w:val="21"/>
                <w:highlight w:val="none"/>
              </w:rPr>
              <w:t>100≤Y＜1000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0A8A350">
            <w:pPr>
              <w:pStyle w:val="13"/>
              <w:wordWrap w:val="0"/>
              <w:jc w:val="center"/>
              <w:rPr>
                <w:rFonts w:hint="eastAsia"/>
                <w:color w:val="auto"/>
                <w:sz w:val="21"/>
                <w:szCs w:val="21"/>
                <w:highlight w:val="none"/>
              </w:rPr>
            </w:pPr>
            <w:r>
              <w:rPr>
                <w:rFonts w:hint="eastAsia"/>
                <w:color w:val="auto"/>
                <w:spacing w:val="8"/>
                <w:sz w:val="21"/>
                <w:szCs w:val="21"/>
                <w:highlight w:val="none"/>
              </w:rPr>
              <w:t>Y＜100</w:t>
            </w:r>
          </w:p>
        </w:tc>
      </w:tr>
      <w:tr w14:paraId="34CB0EC4">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16D2689">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邮政业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9D476C5">
            <w:pPr>
              <w:pStyle w:val="13"/>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AAF4781">
            <w:pPr>
              <w:pStyle w:val="13"/>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A75019A">
            <w:pPr>
              <w:pStyle w:val="13"/>
              <w:wordWrap w:val="0"/>
              <w:jc w:val="center"/>
              <w:rPr>
                <w:rFonts w:hint="eastAsia"/>
                <w:color w:val="auto"/>
                <w:sz w:val="21"/>
                <w:szCs w:val="21"/>
                <w:highlight w:val="none"/>
              </w:rPr>
            </w:pPr>
            <w:r>
              <w:rPr>
                <w:rFonts w:hint="eastAsia"/>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B5F76C1">
            <w:pPr>
              <w:pStyle w:val="13"/>
              <w:wordWrap w:val="0"/>
              <w:jc w:val="center"/>
              <w:rPr>
                <w:rFonts w:hint="eastAsia"/>
                <w:color w:val="auto"/>
                <w:sz w:val="21"/>
                <w:szCs w:val="21"/>
                <w:highlight w:val="none"/>
              </w:rPr>
            </w:pPr>
            <w:r>
              <w:rPr>
                <w:rFonts w:hint="eastAsia"/>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1172B0F">
            <w:pPr>
              <w:pStyle w:val="13"/>
              <w:wordWrap w:val="0"/>
              <w:jc w:val="center"/>
              <w:rPr>
                <w:rFonts w:hint="eastAsia"/>
                <w:color w:val="auto"/>
                <w:sz w:val="21"/>
                <w:szCs w:val="21"/>
                <w:highlight w:val="none"/>
              </w:rPr>
            </w:pPr>
            <w:r>
              <w:rPr>
                <w:rFonts w:hint="eastAsia"/>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1C05DA1">
            <w:pPr>
              <w:pStyle w:val="13"/>
              <w:wordWrap w:val="0"/>
              <w:jc w:val="center"/>
              <w:rPr>
                <w:rFonts w:hint="eastAsia"/>
                <w:color w:val="auto"/>
                <w:sz w:val="21"/>
                <w:szCs w:val="21"/>
                <w:highlight w:val="none"/>
              </w:rPr>
            </w:pPr>
            <w:r>
              <w:rPr>
                <w:rFonts w:hint="eastAsia"/>
                <w:color w:val="auto"/>
                <w:spacing w:val="8"/>
                <w:sz w:val="21"/>
                <w:szCs w:val="21"/>
                <w:highlight w:val="none"/>
              </w:rPr>
              <w:t>X＜20</w:t>
            </w:r>
          </w:p>
        </w:tc>
      </w:tr>
      <w:tr w14:paraId="16F123D4">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1071073">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D3F086D">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AD7C641">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AFE5EB2">
            <w:pPr>
              <w:pStyle w:val="13"/>
              <w:wordWrap w:val="0"/>
              <w:jc w:val="center"/>
              <w:rPr>
                <w:rFonts w:hint="eastAsia"/>
                <w:color w:val="auto"/>
                <w:sz w:val="21"/>
                <w:szCs w:val="21"/>
                <w:highlight w:val="none"/>
              </w:rPr>
            </w:pPr>
            <w:r>
              <w:rPr>
                <w:rFonts w:hint="eastAsia"/>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9297B20">
            <w:pPr>
              <w:pStyle w:val="13"/>
              <w:wordWrap w:val="0"/>
              <w:jc w:val="center"/>
              <w:rPr>
                <w:rFonts w:hint="eastAsia"/>
                <w:color w:val="auto"/>
                <w:sz w:val="21"/>
                <w:szCs w:val="21"/>
                <w:highlight w:val="none"/>
              </w:rPr>
            </w:pPr>
            <w:r>
              <w:rPr>
                <w:rFonts w:hint="eastAsia"/>
                <w:color w:val="auto"/>
                <w:spacing w:val="8"/>
                <w:sz w:val="21"/>
                <w:szCs w:val="21"/>
                <w:highlight w:val="none"/>
              </w:rPr>
              <w:t>2000≤Y＜30000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64E1C19">
            <w:pPr>
              <w:pStyle w:val="13"/>
              <w:wordWrap w:val="0"/>
              <w:jc w:val="center"/>
              <w:rPr>
                <w:rFonts w:hint="eastAsia"/>
                <w:color w:val="auto"/>
                <w:sz w:val="21"/>
                <w:szCs w:val="21"/>
                <w:highlight w:val="none"/>
              </w:rPr>
            </w:pPr>
            <w:r>
              <w:rPr>
                <w:rFonts w:hint="eastAsia"/>
                <w:color w:val="auto"/>
                <w:spacing w:val="8"/>
                <w:sz w:val="21"/>
                <w:szCs w:val="21"/>
                <w:highlight w:val="none"/>
              </w:rPr>
              <w:t>100≤Y＜2000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DEF361C">
            <w:pPr>
              <w:pStyle w:val="13"/>
              <w:wordWrap w:val="0"/>
              <w:jc w:val="center"/>
              <w:rPr>
                <w:rFonts w:hint="eastAsia"/>
                <w:color w:val="auto"/>
                <w:sz w:val="21"/>
                <w:szCs w:val="21"/>
                <w:highlight w:val="none"/>
              </w:rPr>
            </w:pPr>
            <w:r>
              <w:rPr>
                <w:rFonts w:hint="eastAsia"/>
                <w:color w:val="auto"/>
                <w:spacing w:val="8"/>
                <w:sz w:val="21"/>
                <w:szCs w:val="21"/>
                <w:highlight w:val="none"/>
              </w:rPr>
              <w:t>Y＜100</w:t>
            </w:r>
          </w:p>
        </w:tc>
      </w:tr>
      <w:tr w14:paraId="6C294980">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721C3CD">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住宿业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5145CBD">
            <w:pPr>
              <w:pStyle w:val="13"/>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7D60C31">
            <w:pPr>
              <w:pStyle w:val="13"/>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A75D791">
            <w:pPr>
              <w:pStyle w:val="13"/>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7D9FD38">
            <w:pPr>
              <w:pStyle w:val="13"/>
              <w:wordWrap w:val="0"/>
              <w:jc w:val="center"/>
              <w:rPr>
                <w:rFonts w:hint="eastAsia"/>
                <w:color w:val="auto"/>
                <w:sz w:val="21"/>
                <w:szCs w:val="21"/>
                <w:highlight w:val="none"/>
              </w:rPr>
            </w:pPr>
            <w:r>
              <w:rPr>
                <w:rFonts w:hint="eastAsia"/>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A139635">
            <w:pPr>
              <w:pStyle w:val="13"/>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293EA3B">
            <w:pPr>
              <w:pStyle w:val="13"/>
              <w:wordWrap w:val="0"/>
              <w:jc w:val="center"/>
              <w:rPr>
                <w:rFonts w:hint="eastAsia"/>
                <w:color w:val="auto"/>
                <w:sz w:val="21"/>
                <w:szCs w:val="21"/>
                <w:highlight w:val="none"/>
              </w:rPr>
            </w:pPr>
            <w:r>
              <w:rPr>
                <w:rFonts w:hint="eastAsia"/>
                <w:color w:val="auto"/>
                <w:spacing w:val="8"/>
                <w:sz w:val="21"/>
                <w:szCs w:val="21"/>
                <w:highlight w:val="none"/>
              </w:rPr>
              <w:t>X＜10</w:t>
            </w:r>
          </w:p>
        </w:tc>
      </w:tr>
      <w:tr w14:paraId="200738BD">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1044E89">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BF8243A">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17E3E62">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D50D95B">
            <w:pPr>
              <w:pStyle w:val="13"/>
              <w:wordWrap w:val="0"/>
              <w:jc w:val="center"/>
              <w:rPr>
                <w:rFonts w:hint="eastAsia"/>
                <w:color w:val="auto"/>
                <w:sz w:val="21"/>
                <w:szCs w:val="21"/>
                <w:highlight w:val="none"/>
              </w:rPr>
            </w:pPr>
            <w:r>
              <w:rPr>
                <w:rFonts w:hint="eastAsia"/>
                <w:color w:val="auto"/>
                <w:spacing w:val="8"/>
                <w:sz w:val="21"/>
                <w:szCs w:val="21"/>
                <w:highlight w:val="none"/>
              </w:rPr>
              <w:t>Y≥10000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9123D6B">
            <w:pPr>
              <w:pStyle w:val="13"/>
              <w:wordWrap w:val="0"/>
              <w:jc w:val="center"/>
              <w:rPr>
                <w:rFonts w:hint="eastAsia"/>
                <w:color w:val="auto"/>
                <w:sz w:val="21"/>
                <w:szCs w:val="21"/>
                <w:highlight w:val="none"/>
              </w:rPr>
            </w:pPr>
            <w:r>
              <w:rPr>
                <w:rFonts w:hint="eastAsia"/>
                <w:color w:val="auto"/>
                <w:spacing w:val="8"/>
                <w:sz w:val="21"/>
                <w:szCs w:val="21"/>
                <w:highlight w:val="none"/>
              </w:rPr>
              <w:t>2000≤Y＜10000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B1C69E3">
            <w:pPr>
              <w:pStyle w:val="13"/>
              <w:wordWrap w:val="0"/>
              <w:jc w:val="center"/>
              <w:rPr>
                <w:rFonts w:hint="eastAsia"/>
                <w:color w:val="auto"/>
                <w:sz w:val="21"/>
                <w:szCs w:val="21"/>
                <w:highlight w:val="none"/>
              </w:rPr>
            </w:pPr>
            <w:r>
              <w:rPr>
                <w:rFonts w:hint="eastAsia"/>
                <w:color w:val="auto"/>
                <w:spacing w:val="8"/>
                <w:sz w:val="21"/>
                <w:szCs w:val="21"/>
                <w:highlight w:val="none"/>
              </w:rPr>
              <w:t>100≤Y＜2000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4114781">
            <w:pPr>
              <w:pStyle w:val="13"/>
              <w:wordWrap w:val="0"/>
              <w:jc w:val="center"/>
              <w:rPr>
                <w:rFonts w:hint="eastAsia"/>
                <w:color w:val="auto"/>
                <w:sz w:val="21"/>
                <w:szCs w:val="21"/>
                <w:highlight w:val="none"/>
              </w:rPr>
            </w:pPr>
            <w:r>
              <w:rPr>
                <w:rFonts w:hint="eastAsia"/>
                <w:color w:val="auto"/>
                <w:spacing w:val="8"/>
                <w:sz w:val="21"/>
                <w:szCs w:val="21"/>
                <w:highlight w:val="none"/>
              </w:rPr>
              <w:t>Y＜100</w:t>
            </w:r>
          </w:p>
        </w:tc>
      </w:tr>
      <w:tr w14:paraId="50E2CBDE">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0E52033">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餐饮业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F064D8A">
            <w:pPr>
              <w:pStyle w:val="13"/>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5B77632">
            <w:pPr>
              <w:pStyle w:val="13"/>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CBAF26E">
            <w:pPr>
              <w:pStyle w:val="13"/>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D404367">
            <w:pPr>
              <w:pStyle w:val="13"/>
              <w:wordWrap w:val="0"/>
              <w:jc w:val="center"/>
              <w:rPr>
                <w:rFonts w:hint="eastAsia"/>
                <w:color w:val="auto"/>
                <w:sz w:val="21"/>
                <w:szCs w:val="21"/>
                <w:highlight w:val="none"/>
              </w:rPr>
            </w:pPr>
            <w:r>
              <w:rPr>
                <w:rFonts w:hint="eastAsia"/>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1EDEECD">
            <w:pPr>
              <w:pStyle w:val="13"/>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A8F3CEC">
            <w:pPr>
              <w:pStyle w:val="13"/>
              <w:wordWrap w:val="0"/>
              <w:jc w:val="center"/>
              <w:rPr>
                <w:rFonts w:hint="eastAsia"/>
                <w:color w:val="auto"/>
                <w:sz w:val="21"/>
                <w:szCs w:val="21"/>
                <w:highlight w:val="none"/>
              </w:rPr>
            </w:pPr>
            <w:r>
              <w:rPr>
                <w:rFonts w:hint="eastAsia"/>
                <w:color w:val="auto"/>
                <w:spacing w:val="8"/>
                <w:sz w:val="21"/>
                <w:szCs w:val="21"/>
                <w:highlight w:val="none"/>
              </w:rPr>
              <w:t>X＜10</w:t>
            </w:r>
          </w:p>
        </w:tc>
      </w:tr>
      <w:tr w14:paraId="4D132D1B">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auto" w:sz="4" w:space="0"/>
              <w:right w:val="single" w:color="4F81BD" w:sz="6" w:space="0"/>
            </w:tcBorders>
            <w:shd w:val="clear" w:color="auto" w:fill="FFFFFF"/>
            <w:noWrap w:val="0"/>
            <w:tcMar>
              <w:left w:w="105" w:type="dxa"/>
              <w:right w:w="105" w:type="dxa"/>
            </w:tcMar>
            <w:vAlign w:val="center"/>
          </w:tcPr>
          <w:p w14:paraId="103279B9">
            <w:pPr>
              <w:wordWrap w:val="0"/>
              <w:jc w:val="center"/>
              <w:rPr>
                <w:rFonts w:hint="eastAsia" w:ascii="宋体" w:hAnsi="宋体" w:cs="宋体"/>
                <w:color w:val="auto"/>
                <w:spacing w:val="8"/>
                <w:szCs w:val="21"/>
                <w:highlight w:val="none"/>
              </w:rPr>
            </w:pPr>
          </w:p>
        </w:tc>
        <w:tc>
          <w:tcPr>
            <w:tcW w:w="1492"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1699B22F">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34C6D369">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6AAAEDE1">
            <w:pPr>
              <w:pStyle w:val="13"/>
              <w:wordWrap w:val="0"/>
              <w:jc w:val="center"/>
              <w:rPr>
                <w:rFonts w:hint="eastAsia"/>
                <w:color w:val="auto"/>
                <w:sz w:val="21"/>
                <w:szCs w:val="21"/>
                <w:highlight w:val="none"/>
              </w:rPr>
            </w:pPr>
            <w:r>
              <w:rPr>
                <w:rFonts w:hint="eastAsia"/>
                <w:color w:val="auto"/>
                <w:spacing w:val="8"/>
                <w:sz w:val="21"/>
                <w:szCs w:val="21"/>
                <w:highlight w:val="none"/>
              </w:rPr>
              <w:t>Y≥10000</w:t>
            </w:r>
          </w:p>
        </w:tc>
        <w:tc>
          <w:tcPr>
            <w:tcW w:w="1965"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33E4CEFB">
            <w:pPr>
              <w:pStyle w:val="13"/>
              <w:wordWrap w:val="0"/>
              <w:jc w:val="center"/>
              <w:rPr>
                <w:rFonts w:hint="eastAsia"/>
                <w:color w:val="auto"/>
                <w:sz w:val="21"/>
                <w:szCs w:val="21"/>
                <w:highlight w:val="none"/>
              </w:rPr>
            </w:pPr>
            <w:r>
              <w:rPr>
                <w:rFonts w:hint="eastAsia"/>
                <w:color w:val="auto"/>
                <w:spacing w:val="8"/>
                <w:sz w:val="21"/>
                <w:szCs w:val="21"/>
                <w:highlight w:val="none"/>
              </w:rPr>
              <w:t>2000≤Y＜10000</w:t>
            </w:r>
          </w:p>
        </w:tc>
        <w:tc>
          <w:tcPr>
            <w:tcW w:w="1756"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1DBB0CA6">
            <w:pPr>
              <w:pStyle w:val="13"/>
              <w:wordWrap w:val="0"/>
              <w:jc w:val="center"/>
              <w:rPr>
                <w:rFonts w:hint="eastAsia"/>
                <w:color w:val="auto"/>
                <w:sz w:val="21"/>
                <w:szCs w:val="21"/>
                <w:highlight w:val="none"/>
              </w:rPr>
            </w:pPr>
            <w:r>
              <w:rPr>
                <w:rFonts w:hint="eastAsia"/>
                <w:color w:val="auto"/>
                <w:spacing w:val="8"/>
                <w:sz w:val="21"/>
                <w:szCs w:val="21"/>
                <w:highlight w:val="none"/>
              </w:rPr>
              <w:t>100≤Y＜2000</w:t>
            </w:r>
          </w:p>
        </w:tc>
        <w:tc>
          <w:tcPr>
            <w:tcW w:w="1023"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4304EB51">
            <w:pPr>
              <w:pStyle w:val="13"/>
              <w:wordWrap w:val="0"/>
              <w:jc w:val="center"/>
              <w:rPr>
                <w:rFonts w:hint="eastAsia"/>
                <w:color w:val="auto"/>
                <w:sz w:val="21"/>
                <w:szCs w:val="21"/>
                <w:highlight w:val="none"/>
              </w:rPr>
            </w:pPr>
            <w:r>
              <w:rPr>
                <w:rFonts w:hint="eastAsia"/>
                <w:color w:val="auto"/>
                <w:spacing w:val="8"/>
                <w:sz w:val="21"/>
                <w:szCs w:val="21"/>
                <w:highlight w:val="none"/>
              </w:rPr>
              <w:t>Y＜100</w:t>
            </w:r>
          </w:p>
        </w:tc>
      </w:tr>
      <w:tr w14:paraId="272F9926">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F723932">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信息传输业 *</w:t>
            </w:r>
          </w:p>
        </w:tc>
        <w:tc>
          <w:tcPr>
            <w:tcW w:w="1492"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607006D8">
            <w:pPr>
              <w:pStyle w:val="13"/>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4C202491">
            <w:pPr>
              <w:pStyle w:val="13"/>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05D6DA7">
            <w:pPr>
              <w:pStyle w:val="13"/>
              <w:wordWrap w:val="0"/>
              <w:jc w:val="center"/>
              <w:rPr>
                <w:rFonts w:hint="eastAsia"/>
                <w:color w:val="auto"/>
                <w:sz w:val="21"/>
                <w:szCs w:val="21"/>
                <w:highlight w:val="none"/>
              </w:rPr>
            </w:pPr>
            <w:r>
              <w:rPr>
                <w:rFonts w:hint="eastAsia"/>
                <w:color w:val="auto"/>
                <w:spacing w:val="8"/>
                <w:sz w:val="21"/>
                <w:szCs w:val="21"/>
                <w:highlight w:val="none"/>
              </w:rPr>
              <w:t>X≥2000</w:t>
            </w:r>
          </w:p>
        </w:tc>
        <w:tc>
          <w:tcPr>
            <w:tcW w:w="196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4BC131D">
            <w:pPr>
              <w:pStyle w:val="13"/>
              <w:wordWrap w:val="0"/>
              <w:jc w:val="center"/>
              <w:rPr>
                <w:rFonts w:hint="eastAsia"/>
                <w:color w:val="auto"/>
                <w:sz w:val="21"/>
                <w:szCs w:val="21"/>
                <w:highlight w:val="none"/>
              </w:rPr>
            </w:pPr>
            <w:r>
              <w:rPr>
                <w:rFonts w:hint="eastAsia"/>
                <w:color w:val="auto"/>
                <w:spacing w:val="8"/>
                <w:sz w:val="21"/>
                <w:szCs w:val="21"/>
                <w:highlight w:val="none"/>
              </w:rPr>
              <w:t>100≤X＜2000</w:t>
            </w:r>
          </w:p>
        </w:tc>
        <w:tc>
          <w:tcPr>
            <w:tcW w:w="1756"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7B6C9448">
            <w:pPr>
              <w:pStyle w:val="13"/>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03FD8A0">
            <w:pPr>
              <w:pStyle w:val="13"/>
              <w:wordWrap w:val="0"/>
              <w:jc w:val="center"/>
              <w:rPr>
                <w:rFonts w:hint="eastAsia"/>
                <w:color w:val="auto"/>
                <w:sz w:val="21"/>
                <w:szCs w:val="21"/>
                <w:highlight w:val="none"/>
              </w:rPr>
            </w:pPr>
            <w:r>
              <w:rPr>
                <w:rFonts w:hint="eastAsia"/>
                <w:color w:val="auto"/>
                <w:spacing w:val="8"/>
                <w:sz w:val="21"/>
                <w:szCs w:val="21"/>
                <w:highlight w:val="none"/>
              </w:rPr>
              <w:t>X＜10</w:t>
            </w:r>
          </w:p>
        </w:tc>
      </w:tr>
      <w:tr w14:paraId="24462CCD">
        <w:tblPrEx>
          <w:tblCellMar>
            <w:top w:w="0" w:type="dxa"/>
            <w:left w:w="0" w:type="dxa"/>
            <w:bottom w:w="0" w:type="dxa"/>
            <w:right w:w="0" w:type="dxa"/>
          </w:tblCellMar>
        </w:tblPrEx>
        <w:trPr>
          <w:trHeight w:val="589" w:hRule="atLeast"/>
          <w:jc w:val="center"/>
        </w:trPr>
        <w:tc>
          <w:tcPr>
            <w:tcW w:w="1144" w:type="dxa"/>
            <w:vMerge w:val="continue"/>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59568DA7">
            <w:pPr>
              <w:wordWrap w:val="0"/>
              <w:jc w:val="center"/>
              <w:rPr>
                <w:rFonts w:hint="eastAsia" w:ascii="宋体" w:hAnsi="宋体" w:cs="宋体"/>
                <w:color w:val="auto"/>
                <w:spacing w:val="8"/>
                <w:szCs w:val="21"/>
                <w:highlight w:val="none"/>
              </w:rPr>
            </w:pPr>
          </w:p>
        </w:tc>
        <w:tc>
          <w:tcPr>
            <w:tcW w:w="1492"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6540990D">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2431D0EE">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1FBFB329">
            <w:pPr>
              <w:pStyle w:val="13"/>
              <w:wordWrap w:val="0"/>
              <w:jc w:val="center"/>
              <w:rPr>
                <w:rFonts w:hint="eastAsia"/>
                <w:color w:val="auto"/>
                <w:sz w:val="21"/>
                <w:szCs w:val="21"/>
                <w:highlight w:val="none"/>
              </w:rPr>
            </w:pPr>
            <w:r>
              <w:rPr>
                <w:rFonts w:hint="eastAsia"/>
                <w:color w:val="auto"/>
                <w:spacing w:val="8"/>
                <w:sz w:val="21"/>
                <w:szCs w:val="21"/>
                <w:highlight w:val="none"/>
              </w:rPr>
              <w:t>Y≥100000</w:t>
            </w:r>
          </w:p>
        </w:tc>
        <w:tc>
          <w:tcPr>
            <w:tcW w:w="1965"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679B7CA0">
            <w:pPr>
              <w:pStyle w:val="13"/>
              <w:wordWrap w:val="0"/>
              <w:jc w:val="center"/>
              <w:rPr>
                <w:rFonts w:hint="eastAsia"/>
                <w:color w:val="auto"/>
                <w:sz w:val="21"/>
                <w:szCs w:val="21"/>
                <w:highlight w:val="none"/>
              </w:rPr>
            </w:pPr>
            <w:r>
              <w:rPr>
                <w:rFonts w:hint="eastAsia"/>
                <w:color w:val="auto"/>
                <w:spacing w:val="8"/>
                <w:sz w:val="21"/>
                <w:szCs w:val="21"/>
                <w:highlight w:val="none"/>
              </w:rPr>
              <w:t>1000≤Y＜100000</w:t>
            </w:r>
          </w:p>
        </w:tc>
        <w:tc>
          <w:tcPr>
            <w:tcW w:w="1756"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5F6445D1">
            <w:pPr>
              <w:pStyle w:val="13"/>
              <w:wordWrap w:val="0"/>
              <w:jc w:val="center"/>
              <w:rPr>
                <w:rFonts w:hint="eastAsia"/>
                <w:color w:val="auto"/>
                <w:sz w:val="21"/>
                <w:szCs w:val="21"/>
                <w:highlight w:val="none"/>
              </w:rPr>
            </w:pPr>
            <w:r>
              <w:rPr>
                <w:rFonts w:hint="eastAsia"/>
                <w:color w:val="auto"/>
                <w:spacing w:val="8"/>
                <w:sz w:val="21"/>
                <w:szCs w:val="21"/>
                <w:highlight w:val="none"/>
              </w:rPr>
              <w:t>100≤Y＜1000</w:t>
            </w:r>
          </w:p>
        </w:tc>
        <w:tc>
          <w:tcPr>
            <w:tcW w:w="1023"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3279FA59">
            <w:pPr>
              <w:pStyle w:val="13"/>
              <w:wordWrap w:val="0"/>
              <w:jc w:val="center"/>
              <w:rPr>
                <w:rFonts w:hint="eastAsia"/>
                <w:color w:val="auto"/>
                <w:sz w:val="21"/>
                <w:szCs w:val="21"/>
                <w:highlight w:val="none"/>
              </w:rPr>
            </w:pPr>
            <w:r>
              <w:rPr>
                <w:rFonts w:hint="eastAsia"/>
                <w:color w:val="auto"/>
                <w:spacing w:val="8"/>
                <w:sz w:val="21"/>
                <w:szCs w:val="21"/>
                <w:highlight w:val="none"/>
              </w:rPr>
              <w:t>Y＜100</w:t>
            </w:r>
          </w:p>
        </w:tc>
      </w:tr>
      <w:tr w14:paraId="0D516578">
        <w:tblPrEx>
          <w:tblCellMar>
            <w:top w:w="0" w:type="dxa"/>
            <w:left w:w="0" w:type="dxa"/>
            <w:bottom w:w="0" w:type="dxa"/>
            <w:right w:w="0" w:type="dxa"/>
          </w:tblCellMar>
        </w:tblPrEx>
        <w:trPr>
          <w:trHeight w:val="589" w:hRule="atLeast"/>
          <w:jc w:val="center"/>
        </w:trPr>
        <w:tc>
          <w:tcPr>
            <w:tcW w:w="1144" w:type="dxa"/>
            <w:vMerge w:val="restar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7D854CAC">
            <w:pPr>
              <w:pStyle w:val="13"/>
              <w:wordWrap w:val="0"/>
              <w:spacing w:line="240" w:lineRule="atLeast"/>
              <w:jc w:val="center"/>
              <w:rPr>
                <w:rFonts w:hint="eastAsia"/>
                <w:color w:val="auto"/>
                <w:sz w:val="21"/>
                <w:szCs w:val="21"/>
                <w:highlight w:val="none"/>
              </w:rPr>
            </w:pPr>
            <w:r>
              <w:rPr>
                <w:rFonts w:hint="eastAsia"/>
                <w:color w:val="auto"/>
                <w:spacing w:val="-15"/>
                <w:sz w:val="21"/>
                <w:szCs w:val="21"/>
                <w:highlight w:val="none"/>
              </w:rPr>
              <w:t>软件和信息技术服</w:t>
            </w:r>
            <w:r>
              <w:rPr>
                <w:rFonts w:hint="eastAsia"/>
                <w:color w:val="auto"/>
                <w:spacing w:val="8"/>
                <w:sz w:val="21"/>
                <w:szCs w:val="21"/>
                <w:highlight w:val="none"/>
              </w:rPr>
              <w:t>务业</w:t>
            </w:r>
          </w:p>
        </w:tc>
        <w:tc>
          <w:tcPr>
            <w:tcW w:w="1492"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22C6DBC">
            <w:pPr>
              <w:pStyle w:val="13"/>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9820E34">
            <w:pPr>
              <w:pStyle w:val="13"/>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69B0C40C">
            <w:pPr>
              <w:pStyle w:val="13"/>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41B62507">
            <w:pPr>
              <w:pStyle w:val="13"/>
              <w:wordWrap w:val="0"/>
              <w:jc w:val="center"/>
              <w:rPr>
                <w:rFonts w:hint="eastAsia"/>
                <w:color w:val="auto"/>
                <w:sz w:val="21"/>
                <w:szCs w:val="21"/>
                <w:highlight w:val="none"/>
              </w:rPr>
            </w:pPr>
            <w:r>
              <w:rPr>
                <w:rFonts w:hint="eastAsia"/>
                <w:color w:val="auto"/>
                <w:spacing w:val="8"/>
                <w:sz w:val="21"/>
                <w:szCs w:val="21"/>
                <w:highlight w:val="none"/>
              </w:rPr>
              <w:t>100≤X＜300</w:t>
            </w:r>
          </w:p>
        </w:tc>
        <w:tc>
          <w:tcPr>
            <w:tcW w:w="1756"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E42BE5E">
            <w:pPr>
              <w:pStyle w:val="13"/>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FD7557C">
            <w:pPr>
              <w:pStyle w:val="13"/>
              <w:wordWrap w:val="0"/>
              <w:jc w:val="center"/>
              <w:rPr>
                <w:rFonts w:hint="eastAsia"/>
                <w:color w:val="auto"/>
                <w:sz w:val="21"/>
                <w:szCs w:val="21"/>
                <w:highlight w:val="none"/>
              </w:rPr>
            </w:pPr>
            <w:r>
              <w:rPr>
                <w:rFonts w:hint="eastAsia"/>
                <w:color w:val="auto"/>
                <w:spacing w:val="8"/>
                <w:sz w:val="21"/>
                <w:szCs w:val="21"/>
                <w:highlight w:val="none"/>
              </w:rPr>
              <w:t>X＜10</w:t>
            </w:r>
          </w:p>
        </w:tc>
      </w:tr>
      <w:tr w14:paraId="30174543">
        <w:tblPrEx>
          <w:tblCellMar>
            <w:top w:w="0" w:type="dxa"/>
            <w:left w:w="0" w:type="dxa"/>
            <w:bottom w:w="0" w:type="dxa"/>
            <w:right w:w="0" w:type="dxa"/>
          </w:tblCellMar>
        </w:tblPrEx>
        <w:trPr>
          <w:trHeight w:val="589" w:hRule="atLeast"/>
          <w:jc w:val="center"/>
        </w:trPr>
        <w:tc>
          <w:tcPr>
            <w:tcW w:w="1144" w:type="dxa"/>
            <w:vMerge w:val="continue"/>
            <w:tcBorders>
              <w:top w:val="single" w:color="auto" w:sz="4" w:space="0"/>
              <w:left w:val="single" w:color="auto" w:sz="4" w:space="0"/>
              <w:bottom w:val="single" w:color="4F81BD" w:sz="6" w:space="0"/>
              <w:right w:val="single" w:color="4F81BD" w:sz="6" w:space="0"/>
            </w:tcBorders>
            <w:shd w:val="clear" w:color="auto" w:fill="FFFFFF"/>
            <w:noWrap w:val="0"/>
            <w:tcMar>
              <w:left w:w="105" w:type="dxa"/>
              <w:right w:w="105" w:type="dxa"/>
            </w:tcMar>
            <w:vAlign w:val="center"/>
          </w:tcPr>
          <w:p w14:paraId="19060CAF">
            <w:pPr>
              <w:wordWrap w:val="0"/>
              <w:jc w:val="center"/>
              <w:rPr>
                <w:rFonts w:hint="eastAsia" w:ascii="宋体" w:hAnsi="宋体" w:cs="宋体"/>
                <w:color w:val="auto"/>
                <w:spacing w:val="8"/>
                <w:szCs w:val="21"/>
                <w:highlight w:val="none"/>
              </w:rPr>
            </w:pPr>
          </w:p>
        </w:tc>
        <w:tc>
          <w:tcPr>
            <w:tcW w:w="1492"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5040BB16">
            <w:pPr>
              <w:pStyle w:val="13"/>
              <w:wordWrap w:val="0"/>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02B0DDF7">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21300F8A">
            <w:pPr>
              <w:pStyle w:val="13"/>
              <w:wordWrap w:val="0"/>
              <w:jc w:val="center"/>
              <w:rPr>
                <w:rFonts w:hint="eastAsia"/>
                <w:color w:val="auto"/>
                <w:sz w:val="21"/>
                <w:szCs w:val="21"/>
                <w:highlight w:val="none"/>
              </w:rPr>
            </w:pPr>
            <w:r>
              <w:rPr>
                <w:rFonts w:hint="eastAsia"/>
                <w:color w:val="auto"/>
                <w:spacing w:val="8"/>
                <w:sz w:val="21"/>
                <w:szCs w:val="21"/>
                <w:highlight w:val="none"/>
              </w:rPr>
              <w:t>Y≥10000</w:t>
            </w:r>
          </w:p>
        </w:tc>
        <w:tc>
          <w:tcPr>
            <w:tcW w:w="1965"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1A3FA80A">
            <w:pPr>
              <w:pStyle w:val="13"/>
              <w:wordWrap w:val="0"/>
              <w:jc w:val="center"/>
              <w:rPr>
                <w:rFonts w:hint="eastAsia"/>
                <w:color w:val="auto"/>
                <w:sz w:val="21"/>
                <w:szCs w:val="21"/>
                <w:highlight w:val="none"/>
              </w:rPr>
            </w:pPr>
            <w:r>
              <w:rPr>
                <w:rFonts w:hint="eastAsia"/>
                <w:color w:val="auto"/>
                <w:spacing w:val="8"/>
                <w:sz w:val="21"/>
                <w:szCs w:val="21"/>
                <w:highlight w:val="none"/>
              </w:rPr>
              <w:t>1000≤Y＜10000</w:t>
            </w:r>
          </w:p>
        </w:tc>
        <w:tc>
          <w:tcPr>
            <w:tcW w:w="1756"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242429CB">
            <w:pPr>
              <w:pStyle w:val="13"/>
              <w:wordWrap w:val="0"/>
              <w:jc w:val="center"/>
              <w:rPr>
                <w:rFonts w:hint="eastAsia"/>
                <w:color w:val="auto"/>
                <w:sz w:val="21"/>
                <w:szCs w:val="21"/>
                <w:highlight w:val="none"/>
              </w:rPr>
            </w:pPr>
            <w:r>
              <w:rPr>
                <w:rFonts w:hint="eastAsia"/>
                <w:color w:val="auto"/>
                <w:spacing w:val="8"/>
                <w:sz w:val="21"/>
                <w:szCs w:val="21"/>
                <w:highlight w:val="none"/>
              </w:rPr>
              <w:t>50≤Y＜1000</w:t>
            </w:r>
          </w:p>
        </w:tc>
        <w:tc>
          <w:tcPr>
            <w:tcW w:w="1023"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51D3CC47">
            <w:pPr>
              <w:pStyle w:val="13"/>
              <w:wordWrap w:val="0"/>
              <w:jc w:val="center"/>
              <w:rPr>
                <w:rFonts w:hint="eastAsia"/>
                <w:color w:val="auto"/>
                <w:sz w:val="21"/>
                <w:szCs w:val="21"/>
                <w:highlight w:val="none"/>
              </w:rPr>
            </w:pPr>
            <w:r>
              <w:rPr>
                <w:rFonts w:hint="eastAsia"/>
                <w:color w:val="auto"/>
                <w:spacing w:val="8"/>
                <w:sz w:val="21"/>
                <w:szCs w:val="21"/>
                <w:highlight w:val="none"/>
              </w:rPr>
              <w:t>Y＜50</w:t>
            </w:r>
          </w:p>
        </w:tc>
      </w:tr>
      <w:tr w14:paraId="7FCE13DB">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51A4D9F">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房地产开发经营</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35008B2">
            <w:pPr>
              <w:pStyle w:val="13"/>
              <w:wordWrap w:val="0"/>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7873781">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D0DDEB1">
            <w:pPr>
              <w:pStyle w:val="13"/>
              <w:wordWrap w:val="0"/>
              <w:jc w:val="center"/>
              <w:rPr>
                <w:rFonts w:hint="eastAsia"/>
                <w:color w:val="auto"/>
                <w:sz w:val="21"/>
                <w:szCs w:val="21"/>
                <w:highlight w:val="none"/>
              </w:rPr>
            </w:pPr>
            <w:r>
              <w:rPr>
                <w:rFonts w:hint="eastAsia"/>
                <w:color w:val="auto"/>
                <w:spacing w:val="8"/>
                <w:sz w:val="21"/>
                <w:szCs w:val="21"/>
                <w:highlight w:val="none"/>
              </w:rPr>
              <w:t>Y≥200000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E95A1F6">
            <w:pPr>
              <w:pStyle w:val="13"/>
              <w:wordWrap w:val="0"/>
              <w:jc w:val="center"/>
              <w:rPr>
                <w:rFonts w:hint="eastAsia"/>
                <w:color w:val="auto"/>
                <w:sz w:val="21"/>
                <w:szCs w:val="21"/>
                <w:highlight w:val="none"/>
              </w:rPr>
            </w:pPr>
            <w:r>
              <w:rPr>
                <w:rFonts w:hint="eastAsia"/>
                <w:color w:val="auto"/>
                <w:spacing w:val="8"/>
                <w:sz w:val="21"/>
                <w:szCs w:val="21"/>
                <w:highlight w:val="none"/>
              </w:rPr>
              <w:t>1000≤Y＜200000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75AAD09">
            <w:pPr>
              <w:pStyle w:val="13"/>
              <w:wordWrap w:val="0"/>
              <w:jc w:val="center"/>
              <w:rPr>
                <w:rFonts w:hint="eastAsia"/>
                <w:color w:val="auto"/>
                <w:sz w:val="21"/>
                <w:szCs w:val="21"/>
                <w:highlight w:val="none"/>
              </w:rPr>
            </w:pPr>
            <w:r>
              <w:rPr>
                <w:rFonts w:hint="eastAsia"/>
                <w:color w:val="auto"/>
                <w:spacing w:val="8"/>
                <w:sz w:val="21"/>
                <w:szCs w:val="21"/>
                <w:highlight w:val="none"/>
              </w:rPr>
              <w:t>100≤Y＜1000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6227483">
            <w:pPr>
              <w:pStyle w:val="13"/>
              <w:wordWrap w:val="0"/>
              <w:jc w:val="center"/>
              <w:rPr>
                <w:rFonts w:hint="eastAsia"/>
                <w:color w:val="auto"/>
                <w:sz w:val="21"/>
                <w:szCs w:val="21"/>
                <w:highlight w:val="none"/>
              </w:rPr>
            </w:pPr>
            <w:r>
              <w:rPr>
                <w:rFonts w:hint="eastAsia"/>
                <w:color w:val="auto"/>
                <w:spacing w:val="8"/>
                <w:sz w:val="21"/>
                <w:szCs w:val="21"/>
                <w:highlight w:val="none"/>
              </w:rPr>
              <w:t>Y＜100</w:t>
            </w:r>
          </w:p>
        </w:tc>
      </w:tr>
      <w:tr w14:paraId="14EC2614">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AC053AC">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E7C18D8">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811DFBE">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1E99C5C">
            <w:pPr>
              <w:pStyle w:val="13"/>
              <w:wordWrap w:val="0"/>
              <w:jc w:val="center"/>
              <w:rPr>
                <w:rFonts w:hint="eastAsia"/>
                <w:color w:val="auto"/>
                <w:sz w:val="21"/>
                <w:szCs w:val="21"/>
                <w:highlight w:val="none"/>
              </w:rPr>
            </w:pPr>
            <w:r>
              <w:rPr>
                <w:rFonts w:hint="eastAsia"/>
                <w:color w:val="auto"/>
                <w:spacing w:val="8"/>
                <w:sz w:val="21"/>
                <w:szCs w:val="21"/>
                <w:highlight w:val="none"/>
              </w:rPr>
              <w:t>Z≥10000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4E8F697">
            <w:pPr>
              <w:pStyle w:val="13"/>
              <w:wordWrap w:val="0"/>
              <w:jc w:val="center"/>
              <w:rPr>
                <w:rFonts w:hint="eastAsia"/>
                <w:color w:val="auto"/>
                <w:sz w:val="21"/>
                <w:szCs w:val="21"/>
                <w:highlight w:val="none"/>
              </w:rPr>
            </w:pPr>
            <w:r>
              <w:rPr>
                <w:rFonts w:hint="eastAsia"/>
                <w:color w:val="auto"/>
                <w:spacing w:val="8"/>
                <w:sz w:val="21"/>
                <w:szCs w:val="21"/>
                <w:highlight w:val="none"/>
              </w:rPr>
              <w:t>5000≤Z＜10000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97A3AE2">
            <w:pPr>
              <w:pStyle w:val="13"/>
              <w:wordWrap w:val="0"/>
              <w:jc w:val="center"/>
              <w:rPr>
                <w:rFonts w:hint="eastAsia"/>
                <w:color w:val="auto"/>
                <w:sz w:val="21"/>
                <w:szCs w:val="21"/>
                <w:highlight w:val="none"/>
              </w:rPr>
            </w:pPr>
            <w:r>
              <w:rPr>
                <w:rFonts w:hint="eastAsia"/>
                <w:color w:val="auto"/>
                <w:spacing w:val="8"/>
                <w:sz w:val="21"/>
                <w:szCs w:val="21"/>
                <w:highlight w:val="none"/>
              </w:rPr>
              <w:t>2000≤Z＜5000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B9DA22E">
            <w:pPr>
              <w:pStyle w:val="13"/>
              <w:wordWrap w:val="0"/>
              <w:jc w:val="center"/>
              <w:rPr>
                <w:rFonts w:hint="eastAsia"/>
                <w:color w:val="auto"/>
                <w:sz w:val="21"/>
                <w:szCs w:val="21"/>
                <w:highlight w:val="none"/>
              </w:rPr>
            </w:pPr>
            <w:r>
              <w:rPr>
                <w:rFonts w:hint="eastAsia"/>
                <w:color w:val="auto"/>
                <w:spacing w:val="8"/>
                <w:sz w:val="21"/>
                <w:szCs w:val="21"/>
                <w:highlight w:val="none"/>
              </w:rPr>
              <w:t>Z＜2000</w:t>
            </w:r>
          </w:p>
        </w:tc>
      </w:tr>
      <w:tr w14:paraId="38DCE01C">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757BC98">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物业管理</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BDB30D4">
            <w:pPr>
              <w:pStyle w:val="13"/>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F5A3E3B">
            <w:pPr>
              <w:pStyle w:val="13"/>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07642A7">
            <w:pPr>
              <w:pStyle w:val="13"/>
              <w:wordWrap w:val="0"/>
              <w:jc w:val="center"/>
              <w:rPr>
                <w:rFonts w:hint="eastAsia"/>
                <w:color w:val="auto"/>
                <w:sz w:val="21"/>
                <w:szCs w:val="21"/>
                <w:highlight w:val="none"/>
              </w:rPr>
            </w:pPr>
            <w:r>
              <w:rPr>
                <w:rFonts w:hint="eastAsia"/>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20DDD47">
            <w:pPr>
              <w:pStyle w:val="13"/>
              <w:wordWrap w:val="0"/>
              <w:jc w:val="center"/>
              <w:rPr>
                <w:rFonts w:hint="eastAsia"/>
                <w:color w:val="auto"/>
                <w:sz w:val="21"/>
                <w:szCs w:val="21"/>
                <w:highlight w:val="none"/>
              </w:rPr>
            </w:pPr>
            <w:r>
              <w:rPr>
                <w:rFonts w:hint="eastAsia"/>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832C288">
            <w:pPr>
              <w:pStyle w:val="13"/>
              <w:wordWrap w:val="0"/>
              <w:jc w:val="center"/>
              <w:rPr>
                <w:rFonts w:hint="eastAsia"/>
                <w:color w:val="auto"/>
                <w:sz w:val="21"/>
                <w:szCs w:val="21"/>
                <w:highlight w:val="none"/>
              </w:rPr>
            </w:pPr>
            <w:r>
              <w:rPr>
                <w:rFonts w:hint="eastAsia"/>
                <w:color w:val="auto"/>
                <w:spacing w:val="8"/>
                <w:sz w:val="21"/>
                <w:szCs w:val="21"/>
                <w:highlight w:val="none"/>
              </w:rPr>
              <w:t>100≤X＜300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DD4D0B1">
            <w:pPr>
              <w:pStyle w:val="13"/>
              <w:wordWrap w:val="0"/>
              <w:jc w:val="center"/>
              <w:rPr>
                <w:rFonts w:hint="eastAsia"/>
                <w:color w:val="auto"/>
                <w:sz w:val="21"/>
                <w:szCs w:val="21"/>
                <w:highlight w:val="none"/>
              </w:rPr>
            </w:pPr>
            <w:r>
              <w:rPr>
                <w:rFonts w:hint="eastAsia"/>
                <w:color w:val="auto"/>
                <w:spacing w:val="8"/>
                <w:sz w:val="21"/>
                <w:szCs w:val="21"/>
                <w:highlight w:val="none"/>
              </w:rPr>
              <w:t>X＜100</w:t>
            </w:r>
          </w:p>
        </w:tc>
      </w:tr>
      <w:tr w14:paraId="7CDC9BD3">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CEFFB92">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39E7F41">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C753C38">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C4829AA">
            <w:pPr>
              <w:pStyle w:val="13"/>
              <w:wordWrap w:val="0"/>
              <w:jc w:val="center"/>
              <w:rPr>
                <w:rFonts w:hint="eastAsia"/>
                <w:color w:val="auto"/>
                <w:sz w:val="21"/>
                <w:szCs w:val="21"/>
                <w:highlight w:val="none"/>
              </w:rPr>
            </w:pPr>
            <w:r>
              <w:rPr>
                <w:rFonts w:hint="eastAsia"/>
                <w:color w:val="auto"/>
                <w:spacing w:val="8"/>
                <w:sz w:val="21"/>
                <w:szCs w:val="21"/>
                <w:highlight w:val="none"/>
              </w:rPr>
              <w:t>Y≥5000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6946DE7">
            <w:pPr>
              <w:pStyle w:val="13"/>
              <w:wordWrap w:val="0"/>
              <w:jc w:val="center"/>
              <w:rPr>
                <w:rFonts w:hint="eastAsia"/>
                <w:color w:val="auto"/>
                <w:sz w:val="21"/>
                <w:szCs w:val="21"/>
                <w:highlight w:val="none"/>
              </w:rPr>
            </w:pPr>
            <w:r>
              <w:rPr>
                <w:rFonts w:hint="eastAsia"/>
                <w:color w:val="auto"/>
                <w:spacing w:val="8"/>
                <w:sz w:val="21"/>
                <w:szCs w:val="21"/>
                <w:highlight w:val="none"/>
              </w:rPr>
              <w:t>1000≤Y＜5000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47FAA98">
            <w:pPr>
              <w:pStyle w:val="13"/>
              <w:wordWrap w:val="0"/>
              <w:jc w:val="center"/>
              <w:rPr>
                <w:rFonts w:hint="eastAsia"/>
                <w:color w:val="auto"/>
                <w:sz w:val="21"/>
                <w:szCs w:val="21"/>
                <w:highlight w:val="none"/>
              </w:rPr>
            </w:pPr>
            <w:r>
              <w:rPr>
                <w:rFonts w:hint="eastAsia"/>
                <w:color w:val="auto"/>
                <w:spacing w:val="8"/>
                <w:sz w:val="21"/>
                <w:szCs w:val="21"/>
                <w:highlight w:val="none"/>
              </w:rPr>
              <w:t>500≤Y＜1000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62872ED">
            <w:pPr>
              <w:pStyle w:val="13"/>
              <w:wordWrap w:val="0"/>
              <w:jc w:val="center"/>
              <w:rPr>
                <w:rFonts w:hint="eastAsia"/>
                <w:color w:val="auto"/>
                <w:sz w:val="21"/>
                <w:szCs w:val="21"/>
                <w:highlight w:val="none"/>
              </w:rPr>
            </w:pPr>
            <w:r>
              <w:rPr>
                <w:rFonts w:hint="eastAsia"/>
                <w:color w:val="auto"/>
                <w:spacing w:val="8"/>
                <w:sz w:val="21"/>
                <w:szCs w:val="21"/>
                <w:highlight w:val="none"/>
              </w:rPr>
              <w:t>Y＜500</w:t>
            </w:r>
          </w:p>
        </w:tc>
      </w:tr>
      <w:tr w14:paraId="23E0A2E9">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BA9B1B5">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租赁和商务服务业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71426AD">
            <w:pPr>
              <w:pStyle w:val="13"/>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1A1DC06">
            <w:pPr>
              <w:pStyle w:val="13"/>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F0F3000">
            <w:pPr>
              <w:pStyle w:val="13"/>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B30CA6E">
            <w:pPr>
              <w:pStyle w:val="13"/>
              <w:wordWrap w:val="0"/>
              <w:jc w:val="center"/>
              <w:rPr>
                <w:rFonts w:hint="eastAsia"/>
                <w:color w:val="auto"/>
                <w:sz w:val="21"/>
                <w:szCs w:val="21"/>
                <w:highlight w:val="none"/>
              </w:rPr>
            </w:pPr>
            <w:r>
              <w:rPr>
                <w:rFonts w:hint="eastAsia"/>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AE1FF52">
            <w:pPr>
              <w:pStyle w:val="13"/>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2FB8509">
            <w:pPr>
              <w:pStyle w:val="13"/>
              <w:wordWrap w:val="0"/>
              <w:jc w:val="center"/>
              <w:rPr>
                <w:rFonts w:hint="eastAsia"/>
                <w:color w:val="auto"/>
                <w:sz w:val="21"/>
                <w:szCs w:val="21"/>
                <w:highlight w:val="none"/>
              </w:rPr>
            </w:pPr>
            <w:r>
              <w:rPr>
                <w:rFonts w:hint="eastAsia"/>
                <w:color w:val="auto"/>
                <w:spacing w:val="8"/>
                <w:sz w:val="21"/>
                <w:szCs w:val="21"/>
                <w:highlight w:val="none"/>
              </w:rPr>
              <w:t>X＜10</w:t>
            </w:r>
          </w:p>
        </w:tc>
      </w:tr>
      <w:tr w14:paraId="422194FA">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4E4B357">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0A648E0">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079517B">
            <w:pPr>
              <w:pStyle w:val="13"/>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8D69BEB">
            <w:pPr>
              <w:pStyle w:val="13"/>
              <w:wordWrap w:val="0"/>
              <w:jc w:val="center"/>
              <w:rPr>
                <w:rFonts w:hint="eastAsia"/>
                <w:color w:val="auto"/>
                <w:sz w:val="21"/>
                <w:szCs w:val="21"/>
                <w:highlight w:val="none"/>
              </w:rPr>
            </w:pPr>
            <w:r>
              <w:rPr>
                <w:rFonts w:hint="eastAsia"/>
                <w:color w:val="auto"/>
                <w:spacing w:val="8"/>
                <w:sz w:val="21"/>
                <w:szCs w:val="21"/>
                <w:highlight w:val="none"/>
              </w:rPr>
              <w:t>Z≥120000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9A2C866">
            <w:pPr>
              <w:pStyle w:val="13"/>
              <w:wordWrap w:val="0"/>
              <w:jc w:val="center"/>
              <w:rPr>
                <w:rFonts w:hint="eastAsia"/>
                <w:color w:val="auto"/>
                <w:sz w:val="21"/>
                <w:szCs w:val="21"/>
                <w:highlight w:val="none"/>
              </w:rPr>
            </w:pPr>
            <w:r>
              <w:rPr>
                <w:rFonts w:hint="eastAsia"/>
                <w:color w:val="auto"/>
                <w:spacing w:val="8"/>
                <w:sz w:val="21"/>
                <w:szCs w:val="21"/>
                <w:highlight w:val="none"/>
              </w:rPr>
              <w:t>8000≤Z＜120000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3E63547">
            <w:pPr>
              <w:pStyle w:val="13"/>
              <w:wordWrap w:val="0"/>
              <w:jc w:val="center"/>
              <w:rPr>
                <w:rFonts w:hint="eastAsia"/>
                <w:color w:val="auto"/>
                <w:sz w:val="21"/>
                <w:szCs w:val="21"/>
                <w:highlight w:val="none"/>
              </w:rPr>
            </w:pPr>
            <w:r>
              <w:rPr>
                <w:rFonts w:hint="eastAsia"/>
                <w:color w:val="auto"/>
                <w:spacing w:val="8"/>
                <w:sz w:val="21"/>
                <w:szCs w:val="21"/>
                <w:highlight w:val="none"/>
              </w:rPr>
              <w:t>100≤Z＜8000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91B216B">
            <w:pPr>
              <w:pStyle w:val="13"/>
              <w:wordWrap w:val="0"/>
              <w:jc w:val="center"/>
              <w:rPr>
                <w:rFonts w:hint="eastAsia"/>
                <w:color w:val="auto"/>
                <w:sz w:val="21"/>
                <w:szCs w:val="21"/>
                <w:highlight w:val="none"/>
              </w:rPr>
            </w:pPr>
            <w:r>
              <w:rPr>
                <w:rFonts w:hint="eastAsia"/>
                <w:color w:val="auto"/>
                <w:spacing w:val="8"/>
                <w:sz w:val="21"/>
                <w:szCs w:val="21"/>
                <w:highlight w:val="none"/>
              </w:rPr>
              <w:t>Z＜100</w:t>
            </w:r>
          </w:p>
        </w:tc>
      </w:tr>
      <w:tr w14:paraId="19F4F8ED">
        <w:tblPrEx>
          <w:tblCellMar>
            <w:top w:w="0" w:type="dxa"/>
            <w:left w:w="0" w:type="dxa"/>
            <w:bottom w:w="0" w:type="dxa"/>
            <w:right w:w="0" w:type="dxa"/>
          </w:tblCellMar>
        </w:tblPrEx>
        <w:trPr>
          <w:trHeight w:val="668" w:hRule="atLeast"/>
          <w:jc w:val="center"/>
        </w:trPr>
        <w:tc>
          <w:tcPr>
            <w:tcW w:w="1144" w:type="dxa"/>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C7EA9BF">
            <w:pPr>
              <w:pStyle w:val="13"/>
              <w:wordWrap w:val="0"/>
              <w:spacing w:line="240" w:lineRule="atLeast"/>
              <w:jc w:val="center"/>
              <w:rPr>
                <w:rFonts w:hint="eastAsia"/>
                <w:color w:val="auto"/>
                <w:sz w:val="21"/>
                <w:szCs w:val="21"/>
                <w:highlight w:val="none"/>
              </w:rPr>
            </w:pPr>
            <w:r>
              <w:rPr>
                <w:rFonts w:hint="eastAsia"/>
                <w:color w:val="auto"/>
                <w:spacing w:val="8"/>
                <w:sz w:val="21"/>
                <w:szCs w:val="21"/>
                <w:highlight w:val="none"/>
              </w:rPr>
              <w:t>其他未列明行业*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A49654F">
            <w:pPr>
              <w:pStyle w:val="13"/>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FF06DB4">
            <w:pPr>
              <w:pStyle w:val="13"/>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CC3AEFD">
            <w:pPr>
              <w:pStyle w:val="13"/>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0766502">
            <w:pPr>
              <w:pStyle w:val="13"/>
              <w:wordWrap w:val="0"/>
              <w:jc w:val="center"/>
              <w:rPr>
                <w:rFonts w:hint="eastAsia"/>
                <w:color w:val="auto"/>
                <w:sz w:val="21"/>
                <w:szCs w:val="21"/>
                <w:highlight w:val="none"/>
              </w:rPr>
            </w:pPr>
            <w:r>
              <w:rPr>
                <w:rFonts w:hint="eastAsia"/>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2B28E05">
            <w:pPr>
              <w:pStyle w:val="13"/>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94A5AFB">
            <w:pPr>
              <w:pStyle w:val="13"/>
              <w:wordWrap w:val="0"/>
              <w:jc w:val="center"/>
              <w:rPr>
                <w:rFonts w:hint="eastAsia"/>
                <w:color w:val="auto"/>
                <w:sz w:val="21"/>
                <w:szCs w:val="21"/>
                <w:highlight w:val="none"/>
              </w:rPr>
            </w:pPr>
            <w:r>
              <w:rPr>
                <w:rFonts w:hint="eastAsia"/>
                <w:color w:val="auto"/>
                <w:spacing w:val="8"/>
                <w:sz w:val="21"/>
                <w:szCs w:val="21"/>
                <w:highlight w:val="none"/>
              </w:rPr>
              <w:t>X＜10</w:t>
            </w:r>
          </w:p>
        </w:tc>
      </w:tr>
    </w:tbl>
    <w:p w14:paraId="29EE5C46">
      <w:pPr>
        <w:keepNext w:val="0"/>
        <w:keepLines w:val="0"/>
        <w:pageBreakBefore w:val="0"/>
        <w:widowControl w:val="0"/>
        <w:kinsoku/>
        <w:wordWrap w:val="0"/>
        <w:overflowPunct/>
        <w:topLinePunct w:val="0"/>
        <w:autoSpaceDE/>
        <w:autoSpaceDN/>
        <w:bidi w:val="0"/>
        <w:adjustRightInd/>
        <w:snapToGrid/>
        <w:spacing w:line="420" w:lineRule="exact"/>
        <w:ind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说明：1.大型、中型和小型企业须</w:t>
      </w:r>
      <w:r>
        <w:rPr>
          <w:rFonts w:hint="eastAsia" w:ascii="宋体" w:hAnsi="宋体" w:cs="宋体"/>
          <w:b/>
          <w:bCs/>
          <w:color w:val="auto"/>
          <w:kern w:val="0"/>
          <w:sz w:val="24"/>
          <w:szCs w:val="24"/>
          <w:highlight w:val="none"/>
        </w:rPr>
        <w:t>同时满足所列指标的下限，否则下划一档</w:t>
      </w:r>
      <w:r>
        <w:rPr>
          <w:rFonts w:hint="eastAsia" w:ascii="宋体" w:hAnsi="宋体" w:cs="宋体"/>
          <w:color w:val="auto"/>
          <w:kern w:val="0"/>
          <w:sz w:val="24"/>
          <w:szCs w:val="24"/>
          <w:highlight w:val="none"/>
        </w:rPr>
        <w:t>；微型企业只须满足所列指标中的一项即可。</w:t>
      </w:r>
    </w:p>
    <w:p w14:paraId="063DD538">
      <w:pPr>
        <w:keepNext w:val="0"/>
        <w:keepLines w:val="0"/>
        <w:pageBreakBefore w:val="0"/>
        <w:widowControl w:val="0"/>
        <w:numPr>
          <w:ilvl w:val="0"/>
          <w:numId w:val="3"/>
        </w:numPr>
        <w:kinsoku/>
        <w:wordWrap w:val="0"/>
        <w:overflowPunct/>
        <w:topLinePunct w:val="0"/>
        <w:autoSpaceDE/>
        <w:autoSpaceDN/>
        <w:bidi w:val="0"/>
        <w:adjustRightInd/>
        <w:snapToGrid/>
        <w:spacing w:line="420" w:lineRule="exact"/>
        <w:ind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附表中各行业的范围以《国民经济行业分类》（GB/T4754-2017）为准。</w:t>
      </w:r>
      <w:r>
        <w:rPr>
          <w:rFonts w:hint="eastAsia" w:ascii="宋体" w:hAnsi="宋体" w:cs="宋体"/>
          <w:b/>
          <w:bCs/>
          <w:color w:val="auto"/>
          <w:kern w:val="0"/>
          <w:sz w:val="24"/>
          <w:szCs w:val="24"/>
          <w:highlight w:val="none"/>
        </w:rPr>
        <w:t>带*的项为行业组合类别</w:t>
      </w:r>
      <w:r>
        <w:rPr>
          <w:rFonts w:hint="eastAsia" w:ascii="宋体" w:hAnsi="宋体" w:cs="宋体"/>
          <w:color w:val="auto"/>
          <w:kern w:val="0"/>
          <w:sz w:val="24"/>
          <w:szCs w:val="24"/>
          <w:highlight w:val="none"/>
        </w:rPr>
        <w:t>，其中，</w:t>
      </w:r>
      <w:r>
        <w:rPr>
          <w:rFonts w:hint="eastAsia" w:ascii="宋体" w:hAnsi="宋体" w:cs="宋体"/>
          <w:b/>
          <w:bCs/>
          <w:color w:val="auto"/>
          <w:kern w:val="0"/>
          <w:sz w:val="24"/>
          <w:szCs w:val="24"/>
          <w:highlight w:val="none"/>
        </w:rPr>
        <w:t>工业</w:t>
      </w:r>
      <w:r>
        <w:rPr>
          <w:rFonts w:hint="eastAsia" w:ascii="宋体" w:hAnsi="宋体" w:cs="宋体"/>
          <w:color w:val="auto"/>
          <w:kern w:val="0"/>
          <w:sz w:val="24"/>
          <w:szCs w:val="24"/>
          <w:highlight w:val="none"/>
        </w:rPr>
        <w:t>包括采矿业，制造业，电力、热力、燃气及水生产和供应业；</w:t>
      </w:r>
      <w:r>
        <w:rPr>
          <w:rFonts w:hint="eastAsia" w:ascii="宋体" w:hAnsi="宋体" w:cs="宋体"/>
          <w:b/>
          <w:bCs/>
          <w:color w:val="auto"/>
          <w:kern w:val="0"/>
          <w:sz w:val="24"/>
          <w:szCs w:val="24"/>
          <w:highlight w:val="none"/>
        </w:rPr>
        <w:t>交通运输业</w:t>
      </w:r>
      <w:r>
        <w:rPr>
          <w:rFonts w:hint="eastAsia" w:ascii="宋体" w:hAnsi="宋体" w:cs="宋体"/>
          <w:color w:val="auto"/>
          <w:kern w:val="0"/>
          <w:sz w:val="24"/>
          <w:szCs w:val="24"/>
          <w:highlight w:val="none"/>
        </w:rPr>
        <w:t>包括道路运输业，水上运输业，航空运输业，管道运输业，多式联运和运输代理业、装卸搬运，不包括铁路运输业；</w:t>
      </w:r>
      <w:r>
        <w:rPr>
          <w:rFonts w:hint="eastAsia" w:ascii="宋体" w:hAnsi="宋体" w:cs="宋体"/>
          <w:b/>
          <w:bCs/>
          <w:color w:val="auto"/>
          <w:kern w:val="0"/>
          <w:sz w:val="24"/>
          <w:szCs w:val="24"/>
          <w:highlight w:val="none"/>
        </w:rPr>
        <w:t>仓储业</w:t>
      </w:r>
      <w:r>
        <w:rPr>
          <w:rFonts w:hint="eastAsia" w:ascii="宋体" w:hAnsi="宋体" w:cs="宋体"/>
          <w:color w:val="auto"/>
          <w:kern w:val="0"/>
          <w:sz w:val="24"/>
          <w:szCs w:val="24"/>
          <w:highlight w:val="none"/>
        </w:rPr>
        <w:t>包括通用仓储，低温仓储，危险品仓储，谷物、棉花等农产品仓储，中药材仓储和其他仓储业；</w:t>
      </w:r>
      <w:r>
        <w:rPr>
          <w:rFonts w:hint="eastAsia" w:ascii="宋体" w:hAnsi="宋体" w:cs="宋体"/>
          <w:b/>
          <w:bCs/>
          <w:color w:val="auto"/>
          <w:kern w:val="0"/>
          <w:sz w:val="24"/>
          <w:szCs w:val="24"/>
          <w:highlight w:val="none"/>
        </w:rPr>
        <w:t>信息传输业</w:t>
      </w:r>
      <w:r>
        <w:rPr>
          <w:rFonts w:hint="eastAsia" w:ascii="宋体" w:hAnsi="宋体" w:cs="宋体"/>
          <w:color w:val="auto"/>
          <w:kern w:val="0"/>
          <w:sz w:val="24"/>
          <w:szCs w:val="24"/>
          <w:highlight w:val="none"/>
        </w:rPr>
        <w:t>包括电信、广播电视和卫星传输服务，互联网和相关服务；</w:t>
      </w:r>
      <w:r>
        <w:rPr>
          <w:rFonts w:hint="eastAsia" w:ascii="宋体" w:hAnsi="宋体" w:cs="宋体"/>
          <w:b/>
          <w:bCs/>
          <w:color w:val="auto"/>
          <w:kern w:val="0"/>
          <w:sz w:val="24"/>
          <w:szCs w:val="24"/>
          <w:highlight w:val="none"/>
        </w:rPr>
        <w:t>其他未列明行业</w:t>
      </w:r>
      <w:r>
        <w:rPr>
          <w:rFonts w:hint="eastAsia" w:ascii="宋体" w:hAnsi="宋体" w:cs="宋体"/>
          <w:color w:val="auto"/>
          <w:kern w:val="0"/>
          <w:sz w:val="24"/>
          <w:szCs w:val="24"/>
          <w:highlight w:val="none"/>
        </w:rPr>
        <w:t>包括科学研究和技术服务业，水利、环境和公共设施管理业，居民服务、修理和其他服务业，社会工作，文化、体育和娱乐业，以及房地产中介服务，其他房地产业等，不包括自有房地产经营活动。</w:t>
      </w:r>
    </w:p>
    <w:p w14:paraId="63F513BE">
      <w:pPr>
        <w:keepNext w:val="0"/>
        <w:keepLines w:val="0"/>
        <w:pageBreakBefore w:val="0"/>
        <w:widowControl w:val="0"/>
        <w:numPr>
          <w:ilvl w:val="0"/>
          <w:numId w:val="3"/>
        </w:numPr>
        <w:kinsoku/>
        <w:wordWrap w:val="0"/>
        <w:overflowPunct/>
        <w:topLinePunct w:val="0"/>
        <w:autoSpaceDE/>
        <w:autoSpaceDN/>
        <w:bidi w:val="0"/>
        <w:adjustRightInd/>
        <w:snapToGrid/>
        <w:spacing w:line="420" w:lineRule="exact"/>
        <w:ind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企业划分指标以现行统计制度为准。</w:t>
      </w:r>
    </w:p>
    <w:p w14:paraId="7E678E29">
      <w:pPr>
        <w:keepNext w:val="0"/>
        <w:keepLines w:val="0"/>
        <w:pageBreakBefore w:val="0"/>
        <w:widowControl w:val="0"/>
        <w:kinsoku/>
        <w:wordWrap w:val="0"/>
        <w:overflowPunct/>
        <w:topLinePunct w:val="0"/>
        <w:autoSpaceDE/>
        <w:autoSpaceDN/>
        <w:bidi w:val="0"/>
        <w:adjustRightInd/>
        <w:snapToGrid/>
        <w:spacing w:line="420" w:lineRule="exact"/>
        <w:ind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（1）从业人员，是指期末从业人员数，没有期末从业人员数的，采用全年平均人员数代替。</w:t>
      </w:r>
    </w:p>
    <w:p w14:paraId="43C45397">
      <w:pPr>
        <w:keepNext w:val="0"/>
        <w:keepLines w:val="0"/>
        <w:pageBreakBefore w:val="0"/>
        <w:widowControl w:val="0"/>
        <w:kinsoku/>
        <w:wordWrap w:val="0"/>
        <w:overflowPunct/>
        <w:topLinePunct w:val="0"/>
        <w:autoSpaceDE/>
        <w:autoSpaceDN/>
        <w:bidi w:val="0"/>
        <w:adjustRightInd/>
        <w:snapToGrid/>
        <w:spacing w:line="420" w:lineRule="exact"/>
        <w:ind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16D0C39F">
      <w:pPr>
        <w:keepNext w:val="0"/>
        <w:keepLines w:val="0"/>
        <w:pageBreakBefore w:val="0"/>
        <w:widowControl w:val="0"/>
        <w:kinsoku/>
        <w:wordWrap w:val="0"/>
        <w:overflowPunct/>
        <w:topLinePunct w:val="0"/>
        <w:autoSpaceDE/>
        <w:autoSpaceDN/>
        <w:bidi w:val="0"/>
        <w:adjustRightInd/>
        <w:snapToGrid/>
        <w:spacing w:line="420" w:lineRule="exact"/>
        <w:ind w:left="420" w:left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（3）资产总额，采用资产总计代替。</w:t>
      </w:r>
    </w:p>
    <w:p w14:paraId="7474D195">
      <w:pPr>
        <w:pStyle w:val="12"/>
        <w:rPr>
          <w:rFonts w:hint="eastAsia" w:ascii="宋体" w:hAnsi="宋体" w:eastAsia="宋体" w:cs="宋体"/>
          <w:b/>
          <w:bCs/>
          <w:snapToGrid w:val="0"/>
          <w:color w:val="auto"/>
          <w:spacing w:val="0"/>
          <w:kern w:val="21"/>
          <w:sz w:val="36"/>
          <w:szCs w:val="40"/>
        </w:rPr>
      </w:pPr>
    </w:p>
    <w:p w14:paraId="0AC3295B">
      <w:pPr>
        <w:pStyle w:val="12"/>
        <w:rPr>
          <w:rFonts w:hint="eastAsia" w:ascii="宋体" w:hAnsi="宋体" w:eastAsia="宋体" w:cs="宋体"/>
          <w:b/>
          <w:bCs/>
          <w:snapToGrid w:val="0"/>
          <w:color w:val="auto"/>
          <w:spacing w:val="0"/>
          <w:kern w:val="21"/>
          <w:sz w:val="36"/>
          <w:szCs w:val="40"/>
        </w:rPr>
      </w:pPr>
    </w:p>
    <w:p w14:paraId="1EF951A6">
      <w:pPr>
        <w:pStyle w:val="12"/>
        <w:ind w:left="0" w:leftChars="0" w:firstLine="0" w:firstLineChars="0"/>
        <w:rPr>
          <w:rFonts w:hint="eastAsia" w:ascii="宋体" w:hAnsi="宋体" w:eastAsia="宋体" w:cs="宋体"/>
          <w:b/>
          <w:bCs/>
          <w:snapToGrid w:val="0"/>
          <w:color w:val="auto"/>
          <w:spacing w:val="0"/>
          <w:kern w:val="21"/>
          <w:sz w:val="36"/>
          <w:szCs w:val="40"/>
        </w:rPr>
      </w:pPr>
    </w:p>
    <w:p w14:paraId="0167C97A">
      <w:pPr>
        <w:widowControl/>
        <w:jc w:val="left"/>
        <w:rPr>
          <w:rFonts w:hint="eastAsia" w:ascii="宋体" w:hAnsi="宋体" w:eastAsia="宋体" w:cs="宋体"/>
          <w:color w:val="auto"/>
          <w:sz w:val="24"/>
          <w:szCs w:val="24"/>
          <w:highlight w:val="none"/>
          <w:lang w:eastAsia="zh-CN"/>
        </w:rPr>
      </w:pPr>
      <w:bookmarkStart w:id="11" w:name="_Toc4644"/>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：河南省政府采购合同融资政策告知函</w:t>
      </w:r>
      <w:bookmarkEnd w:id="11"/>
    </w:p>
    <w:p w14:paraId="4AEDC4DA">
      <w:pPr>
        <w:keepNext w:val="0"/>
        <w:keepLines w:val="0"/>
        <w:pageBreakBefore w:val="0"/>
        <w:widowControl w:val="0"/>
        <w:kinsoku/>
        <w:wordWrap/>
        <w:overflowPunct/>
        <w:topLinePunct w:val="0"/>
        <w:bidi w:val="0"/>
        <w:adjustRightInd w:val="0"/>
        <w:snapToGrid w:val="0"/>
        <w:spacing w:line="360" w:lineRule="auto"/>
        <w:ind w:firstLine="482" w:firstLineChars="200"/>
        <w:jc w:val="center"/>
        <w:rPr>
          <w:rFonts w:hint="eastAsia" w:ascii="宋体" w:hAnsi="宋体" w:eastAsia="宋体" w:cs="宋体"/>
          <w:b/>
          <w:bCs/>
          <w:color w:val="auto"/>
          <w:sz w:val="24"/>
          <w:szCs w:val="24"/>
          <w:highlight w:val="none"/>
        </w:rPr>
      </w:pPr>
      <w:bookmarkStart w:id="12" w:name="_Toc7567"/>
      <w:bookmarkStart w:id="13" w:name="_Toc19399"/>
    </w:p>
    <w:p w14:paraId="1EC958E1">
      <w:pPr>
        <w:keepNext w:val="0"/>
        <w:keepLines w:val="0"/>
        <w:pageBreakBefore w:val="0"/>
        <w:widowControl w:val="0"/>
        <w:kinsoku/>
        <w:wordWrap/>
        <w:overflowPunct/>
        <w:topLinePunct w:val="0"/>
        <w:bidi w:val="0"/>
        <w:adjustRightInd w:val="0"/>
        <w:snapToGrid w:val="0"/>
        <w:spacing w:line="360" w:lineRule="auto"/>
        <w:ind w:firstLine="482" w:firstLineChars="200"/>
        <w:jc w:val="center"/>
        <w:outlineLvl w:val="0"/>
        <w:rPr>
          <w:rFonts w:hint="eastAsia" w:ascii="宋体" w:hAnsi="宋体" w:eastAsia="宋体" w:cs="宋体"/>
          <w:color w:val="auto"/>
          <w:sz w:val="24"/>
          <w:szCs w:val="24"/>
          <w:highlight w:val="none"/>
        </w:rPr>
      </w:pPr>
      <w:bookmarkStart w:id="14" w:name="_Toc16735"/>
      <w:bookmarkStart w:id="15" w:name="_Toc32579"/>
      <w:r>
        <w:rPr>
          <w:rFonts w:hint="eastAsia" w:ascii="宋体" w:hAnsi="宋体" w:eastAsia="宋体" w:cs="宋体"/>
          <w:b/>
          <w:bCs/>
          <w:color w:val="auto"/>
          <w:sz w:val="24"/>
          <w:szCs w:val="24"/>
          <w:highlight w:val="none"/>
        </w:rPr>
        <w:t>河南省政府采购合同融资政策告知函</w:t>
      </w:r>
      <w:bookmarkEnd w:id="12"/>
      <w:bookmarkEnd w:id="13"/>
      <w:bookmarkEnd w:id="14"/>
      <w:bookmarkEnd w:id="15"/>
    </w:p>
    <w:p w14:paraId="2164ADD9">
      <w:pPr>
        <w:keepNext w:val="0"/>
        <w:keepLines w:val="0"/>
        <w:pageBreakBefore w:val="0"/>
        <w:widowControl w:val="0"/>
        <w:kinsoku/>
        <w:wordWrap/>
        <w:overflowPunct/>
        <w:topLinePunct w:val="0"/>
        <w:bidi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p>
    <w:p w14:paraId="4D58F680">
      <w:pPr>
        <w:keepNext w:val="0"/>
        <w:keepLines w:val="0"/>
        <w:pageBreakBefore w:val="0"/>
        <w:widowControl w:val="0"/>
        <w:kinsoku/>
        <w:wordWrap/>
        <w:overflowPunct/>
        <w:topLinePunct w:val="0"/>
        <w:bidi w:val="0"/>
        <w:adjustRightInd w:val="0"/>
        <w:snapToGrid w:val="0"/>
        <w:spacing w:line="360" w:lineRule="auto"/>
        <w:ind w:firstLine="480" w:firstLineChars="200"/>
        <w:jc w:val="left"/>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各</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w:t>
      </w:r>
    </w:p>
    <w:p w14:paraId="030331EF">
      <w:pPr>
        <w:keepNext w:val="0"/>
        <w:keepLines w:val="0"/>
        <w:pageBreakBefore w:val="0"/>
        <w:widowControl w:val="0"/>
        <w:kinsoku/>
        <w:wordWrap/>
        <w:overflowPunct/>
        <w:topLinePunct w:val="0"/>
        <w:bidi w:val="0"/>
        <w:adjustRightInd w:val="0"/>
        <w:snapToGrid w:val="0"/>
        <w:spacing w:line="360" w:lineRule="auto"/>
        <w:ind w:firstLine="480" w:firstLineChars="200"/>
        <w:jc w:val="left"/>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欢迎贵公司参与河南省政府采购活动！</w:t>
      </w:r>
    </w:p>
    <w:p w14:paraId="29EB9BE4">
      <w:pPr>
        <w:keepNext w:val="0"/>
        <w:keepLines w:val="0"/>
        <w:pageBreakBefore w:val="0"/>
        <w:widowControl w:val="0"/>
        <w:kinsoku/>
        <w:wordWrap/>
        <w:overflowPunct/>
        <w:topLinePunct w:val="0"/>
        <w:bidi w:val="0"/>
        <w:adjustRightInd w:val="0"/>
        <w:snapToGrid w:val="0"/>
        <w:spacing w:line="360" w:lineRule="auto"/>
        <w:ind w:firstLine="480" w:firstLineChars="200"/>
        <w:jc w:val="left"/>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政府采购合同融资是河南省财政厅支持中小微企业发展，针对参与政府采购活动的</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融资难、融资贵问题推出的一项融资政策。贵公司若成为本次政府采购项目的中标供应商，可持政府采购合同向金融机构申请贷款，无需抵押、担保，融资机构将根据《河南省政府采购合同融资工作实施方案》（豫财购〔2017〕10号），按照双方自愿的原则提供便捷、优惠的贷款服务。</w:t>
      </w:r>
    </w:p>
    <w:p w14:paraId="68E3C5BB">
      <w:pPr>
        <w:pStyle w:val="4"/>
        <w:keepNext w:val="0"/>
        <w:keepLines w:val="0"/>
        <w:pageBreakBefore w:val="0"/>
        <w:widowControl w:val="0"/>
        <w:kinsoku/>
        <w:wordWrap/>
        <w:overflowPunct/>
        <w:topLinePunct w:val="0"/>
        <w:bidi w:val="0"/>
        <w:adjustRightInd w:val="0"/>
        <w:snapToGrid w:val="0"/>
        <w:spacing w:line="360" w:lineRule="auto"/>
        <w:ind w:firstLine="480" w:firstLineChars="200"/>
        <w:jc w:val="left"/>
        <w:outlineLvl w:val="9"/>
        <w:rPr>
          <w:rFonts w:hint="eastAsia" w:ascii="宋体" w:hAnsi="宋体" w:eastAsia="宋体" w:cs="宋体"/>
          <w:b w:val="0"/>
          <w:bCs w:val="0"/>
          <w:color w:val="auto"/>
          <w:sz w:val="24"/>
          <w:szCs w:val="24"/>
        </w:rPr>
      </w:pPr>
      <w:bookmarkStart w:id="16" w:name="_Toc15196"/>
      <w:r>
        <w:rPr>
          <w:rFonts w:hint="eastAsia" w:ascii="宋体" w:hAnsi="宋体" w:eastAsia="宋体" w:cs="宋体"/>
          <w:b w:val="0"/>
          <w:bCs w:val="0"/>
          <w:color w:val="auto"/>
          <w:sz w:val="24"/>
          <w:szCs w:val="24"/>
          <w:highlight w:val="none"/>
        </w:rPr>
        <w:t>贷款渠道和提供贷款的金融机构，可在河南省政府采购网“河南省政府采购合同融资平台”查询联系。</w:t>
      </w:r>
      <w:bookmarkEnd w:id="16"/>
    </w:p>
    <w:p w14:paraId="1D8CE38B">
      <w:pPr>
        <w:rPr>
          <w:rFonts w:ascii="宋体" w:hAnsi="宋体" w:cs="宋体"/>
          <w:color w:val="auto"/>
          <w:sz w:val="24"/>
          <w:szCs w:val="24"/>
        </w:rPr>
      </w:pPr>
    </w:p>
    <w:p w14:paraId="48D7FE98">
      <w:pPr>
        <w:widowControl w:val="0"/>
        <w:jc w:val="both"/>
        <w:textAlignment w:val="auto"/>
        <w:rPr>
          <w:rFonts w:hint="eastAsia" w:ascii="宋体" w:hAnsi="宋体" w:cs="宋体"/>
          <w:color w:val="auto"/>
          <w:kern w:val="0"/>
          <w:sz w:val="24"/>
          <w:szCs w:val="24"/>
          <w:highlight w:val="none"/>
          <w:shd w:val="clear" w:color="auto" w:fill="F9F9F9"/>
          <w:lang w:val="en-US" w:eastAsia="zh-CN"/>
        </w:rPr>
      </w:pPr>
      <w:r>
        <w:rPr>
          <w:rFonts w:hint="eastAsia" w:ascii="宋体" w:hAnsi="宋体" w:eastAsia="宋体" w:cs="宋体"/>
          <w:color w:val="auto"/>
          <w:kern w:val="0"/>
          <w:sz w:val="24"/>
          <w:szCs w:val="24"/>
          <w:highlight w:val="none"/>
          <w:shd w:val="clear" w:color="auto" w:fill="F9F9F9"/>
        </w:rPr>
        <w:br w:type="page"/>
      </w:r>
      <w:r>
        <w:rPr>
          <w:rFonts w:hint="eastAsia" w:ascii="宋体" w:hAnsi="宋体" w:eastAsia="宋体" w:cs="宋体"/>
          <w:color w:val="auto"/>
          <w:sz w:val="24"/>
          <w:szCs w:val="24"/>
          <w:highlight w:val="none"/>
          <w:lang w:eastAsia="zh-CN"/>
        </w:rPr>
        <w:t>附件</w:t>
      </w:r>
      <w:r>
        <w:rPr>
          <w:rFonts w:hint="eastAsia" w:ascii="宋体" w:hAnsi="宋体" w:eastAsia="宋体" w:cs="宋体"/>
          <w:color w:val="auto"/>
          <w:sz w:val="24"/>
          <w:szCs w:val="24"/>
          <w:highlight w:val="none"/>
          <w:lang w:val="en-US" w:eastAsia="zh-CN"/>
        </w:rPr>
        <w:t>3：卢氏县政府采购合同融资政策告知书</w:t>
      </w:r>
    </w:p>
    <w:p w14:paraId="6C23E59E">
      <w:pPr>
        <w:keepNext w:val="0"/>
        <w:keepLines w:val="0"/>
        <w:pageBreakBefore w:val="0"/>
        <w:widowControl w:val="0"/>
        <w:kinsoku/>
        <w:wordWrap/>
        <w:overflowPunct/>
        <w:topLinePunct w:val="0"/>
        <w:bidi w:val="0"/>
        <w:adjustRightInd w:val="0"/>
        <w:snapToGrid w:val="0"/>
        <w:spacing w:line="360" w:lineRule="auto"/>
        <w:ind w:firstLine="480" w:firstLineChars="200"/>
        <w:jc w:val="left"/>
        <w:outlineLvl w:val="9"/>
        <w:rPr>
          <w:rFonts w:hint="eastAsia" w:ascii="宋体" w:hAnsi="宋体" w:eastAsia="宋体" w:cs="宋体"/>
          <w:b w:val="0"/>
          <w:bCs w:val="0"/>
          <w:color w:val="auto"/>
          <w:sz w:val="24"/>
          <w:szCs w:val="24"/>
          <w:highlight w:val="none"/>
          <w:lang w:val="en-US" w:eastAsia="zh-CN"/>
        </w:rPr>
      </w:pPr>
    </w:p>
    <w:p w14:paraId="6035FC2B">
      <w:pPr>
        <w:keepNext w:val="0"/>
        <w:keepLines w:val="0"/>
        <w:pageBreakBefore w:val="0"/>
        <w:widowControl w:val="0"/>
        <w:kinsoku/>
        <w:wordWrap/>
        <w:overflowPunct/>
        <w:topLinePunct w:val="0"/>
        <w:bidi w:val="0"/>
        <w:adjustRightInd w:val="0"/>
        <w:snapToGrid w:val="0"/>
        <w:spacing w:line="360" w:lineRule="auto"/>
        <w:ind w:firstLine="482" w:firstLineChars="20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卢氏县政府采购合同融资政策告知书</w:t>
      </w:r>
    </w:p>
    <w:p w14:paraId="588712B5">
      <w:pPr>
        <w:keepNext w:val="0"/>
        <w:keepLines w:val="0"/>
        <w:pageBreakBefore w:val="0"/>
        <w:widowControl w:val="0"/>
        <w:kinsoku/>
        <w:wordWrap/>
        <w:overflowPunct/>
        <w:topLinePunct w:val="0"/>
        <w:bidi w:val="0"/>
        <w:adjustRightInd w:val="0"/>
        <w:snapToGrid w:val="0"/>
        <w:spacing w:line="360" w:lineRule="auto"/>
        <w:ind w:firstLine="480" w:firstLineChars="200"/>
        <w:jc w:val="left"/>
        <w:outlineLvl w:val="9"/>
        <w:rPr>
          <w:rFonts w:hint="eastAsia" w:ascii="宋体" w:hAnsi="宋体" w:eastAsia="宋体" w:cs="宋体"/>
          <w:b w:val="0"/>
          <w:bCs w:val="0"/>
          <w:color w:val="auto"/>
          <w:sz w:val="24"/>
          <w:szCs w:val="24"/>
          <w:highlight w:val="none"/>
          <w:lang w:val="en-US" w:eastAsia="zh-CN"/>
        </w:rPr>
      </w:pPr>
    </w:p>
    <w:p w14:paraId="7BEED1BB">
      <w:pPr>
        <w:keepNext w:val="0"/>
        <w:keepLines w:val="0"/>
        <w:pageBreakBefore w:val="0"/>
        <w:widowControl w:val="0"/>
        <w:kinsoku/>
        <w:wordWrap/>
        <w:overflowPunct/>
        <w:topLinePunct w:val="0"/>
        <w:bidi w:val="0"/>
        <w:adjustRightInd w:val="0"/>
        <w:snapToGrid w:val="0"/>
        <w:spacing w:line="360" w:lineRule="auto"/>
        <w:ind w:firstLine="480" w:firstLineChars="200"/>
        <w:jc w:val="left"/>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各供应商:</w:t>
      </w:r>
    </w:p>
    <w:p w14:paraId="47D2AE30">
      <w:pPr>
        <w:keepNext w:val="0"/>
        <w:keepLines w:val="0"/>
        <w:pageBreakBefore w:val="0"/>
        <w:widowControl w:val="0"/>
        <w:kinsoku/>
        <w:wordWrap/>
        <w:overflowPunct/>
        <w:topLinePunct w:val="0"/>
        <w:bidi w:val="0"/>
        <w:adjustRightInd w:val="0"/>
        <w:snapToGrid w:val="0"/>
        <w:spacing w:line="360" w:lineRule="auto"/>
        <w:ind w:firstLine="480" w:firstLineChars="200"/>
        <w:jc w:val="left"/>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欢迎贵公司参与卢氏县政府采购活动!近年来，卢氏县积极发挥政府采购政策功能，加大对中小企业支持力度，创新运用“政采贷”信贷产品，畅通中小企业融资“绿色通道”，为企业发展提质增效注入金融活水。为更好满足中小微供应商短、频、急的资金需求，帮助中小微企业解决融资难题，提升金融服务实体经济能力，服务市场主体推动经济稳健发展，我县各金融机构着力优化产品服务、无需抵押担保、简化审贷程序、缩短审贷周期，为供应商合同融资贷款提供便利条件，现编制《卢氏县政府采购合同融资政策告知书》，方便中小企业供应商朋友们进一步了解政府采购融资政策和获取贷款的流程。</w:t>
      </w:r>
    </w:p>
    <w:p w14:paraId="75D588BB">
      <w:pPr>
        <w:keepNext w:val="0"/>
        <w:keepLines w:val="0"/>
        <w:pageBreakBefore w:val="0"/>
        <w:widowControl w:val="0"/>
        <w:kinsoku/>
        <w:wordWrap/>
        <w:overflowPunct/>
        <w:topLinePunct w:val="0"/>
        <w:bidi w:val="0"/>
        <w:adjustRightInd w:val="0"/>
        <w:snapToGrid w:val="0"/>
        <w:spacing w:line="360" w:lineRule="auto"/>
        <w:ind w:firstLine="480" w:firstLineChars="200"/>
        <w:jc w:val="left"/>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特别提醒</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该告知书仅统计了我县部分可以提供线上融资的金融机构，凡参与我县政府采购项目，有融资需求的本地或外地中标(成交)供应商，均可通过“河南省政府采购网”进入“河南省政府采购合同融资平台”，申请融资服务，凡在政府采购合同融资平台登记的金融机构均可开展融资贷款业务。对“政采贷”工作开展过程中发现的新问题、新情况或者建议意见，及时向我县财政部门反馈</w:t>
      </w:r>
      <w:r>
        <w:rPr>
          <w:rFonts w:hint="eastAsia" w:ascii="宋体" w:hAnsi="宋体" w:cs="宋体"/>
          <w:b w:val="0"/>
          <w:bCs w:val="0"/>
          <w:color w:val="auto"/>
          <w:sz w:val="24"/>
          <w:szCs w:val="24"/>
          <w:highlight w:val="none"/>
          <w:lang w:val="en-US" w:eastAsia="zh-CN"/>
        </w:rPr>
        <w:t>。</w:t>
      </w:r>
    </w:p>
    <w:p w14:paraId="7AE4038E">
      <w:pPr>
        <w:keepNext w:val="0"/>
        <w:keepLines w:val="0"/>
        <w:pageBreakBefore w:val="0"/>
        <w:widowControl w:val="0"/>
        <w:kinsoku/>
        <w:wordWrap/>
        <w:overflowPunct/>
        <w:topLinePunct w:val="0"/>
        <w:bidi w:val="0"/>
        <w:adjustRightInd w:val="0"/>
        <w:snapToGrid w:val="0"/>
        <w:spacing w:line="360" w:lineRule="auto"/>
        <w:ind w:firstLine="480" w:firstLineChars="200"/>
        <w:jc w:val="left"/>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联系电话:0398-7863556</w:t>
      </w:r>
    </w:p>
    <w:p w14:paraId="35C6CD4C">
      <w:pPr>
        <w:keepNext w:val="0"/>
        <w:keepLines w:val="0"/>
        <w:pageBreakBefore w:val="0"/>
        <w:widowControl w:val="0"/>
        <w:kinsoku/>
        <w:wordWrap/>
        <w:overflowPunct/>
        <w:topLinePunct w:val="0"/>
        <w:bidi w:val="0"/>
        <w:adjustRightInd w:val="0"/>
        <w:snapToGrid w:val="0"/>
        <w:spacing w:line="360" w:lineRule="auto"/>
        <w:ind w:firstLine="480" w:firstLineChars="200"/>
        <w:jc w:val="left"/>
        <w:outlineLvl w:val="9"/>
        <w:rPr>
          <w:rFonts w:hint="eastAsia" w:ascii="宋体" w:hAnsi="宋体" w:eastAsia="宋体" w:cs="宋体"/>
          <w:b w:val="0"/>
          <w:bCs w:val="0"/>
          <w:color w:val="auto"/>
          <w:sz w:val="24"/>
          <w:szCs w:val="24"/>
          <w:highlight w:val="none"/>
          <w:lang w:val="en-US" w:eastAsia="zh-CN"/>
        </w:rPr>
      </w:pPr>
    </w:p>
    <w:p w14:paraId="3CF4082A">
      <w:pPr>
        <w:keepNext w:val="0"/>
        <w:keepLines w:val="0"/>
        <w:pageBreakBefore w:val="0"/>
        <w:widowControl w:val="0"/>
        <w:kinsoku/>
        <w:wordWrap/>
        <w:overflowPunct/>
        <w:topLinePunct w:val="0"/>
        <w:bidi w:val="0"/>
        <w:adjustRightInd w:val="0"/>
        <w:snapToGrid w:val="0"/>
        <w:spacing w:line="360" w:lineRule="auto"/>
        <w:ind w:firstLine="480" w:firstLineChars="200"/>
        <w:jc w:val="left"/>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承接银行联系方式</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65"/>
        <w:gridCol w:w="3065"/>
        <w:gridCol w:w="3066"/>
      </w:tblGrid>
      <w:tr w14:paraId="265D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65" w:type="dxa"/>
            <w:noWrap w:val="0"/>
            <w:vAlign w:val="center"/>
          </w:tcPr>
          <w:p w14:paraId="78E3C4A7">
            <w:pPr>
              <w:keepNext w:val="0"/>
              <w:keepLines w:val="0"/>
              <w:pageBreakBefore w:val="0"/>
              <w:widowControl w:val="0"/>
              <w:kinsoku/>
              <w:wordWrap/>
              <w:overflowPunct/>
              <w:topLinePunct w:val="0"/>
              <w:bidi w:val="0"/>
              <w:adjustRightInd w:val="0"/>
              <w:snapToGrid w:val="0"/>
              <w:spacing w:line="360" w:lineRule="auto"/>
              <w:jc w:val="center"/>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单位名称</w:t>
            </w:r>
          </w:p>
        </w:tc>
        <w:tc>
          <w:tcPr>
            <w:tcW w:w="3065" w:type="dxa"/>
            <w:noWrap w:val="0"/>
            <w:vAlign w:val="center"/>
          </w:tcPr>
          <w:p w14:paraId="7B8162E2">
            <w:pPr>
              <w:keepNext w:val="0"/>
              <w:keepLines w:val="0"/>
              <w:pageBreakBefore w:val="0"/>
              <w:widowControl w:val="0"/>
              <w:kinsoku/>
              <w:wordWrap/>
              <w:overflowPunct/>
              <w:topLinePunct w:val="0"/>
              <w:bidi w:val="0"/>
              <w:adjustRightInd w:val="0"/>
              <w:snapToGrid w:val="0"/>
              <w:spacing w:line="360" w:lineRule="auto"/>
              <w:jc w:val="center"/>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联系人</w:t>
            </w:r>
          </w:p>
        </w:tc>
        <w:tc>
          <w:tcPr>
            <w:tcW w:w="3066" w:type="dxa"/>
            <w:noWrap w:val="0"/>
            <w:vAlign w:val="center"/>
          </w:tcPr>
          <w:p w14:paraId="390150DF">
            <w:pPr>
              <w:keepNext w:val="0"/>
              <w:keepLines w:val="0"/>
              <w:pageBreakBefore w:val="0"/>
              <w:widowControl w:val="0"/>
              <w:kinsoku/>
              <w:wordWrap/>
              <w:overflowPunct/>
              <w:topLinePunct w:val="0"/>
              <w:bidi w:val="0"/>
              <w:adjustRightInd w:val="0"/>
              <w:snapToGrid w:val="0"/>
              <w:spacing w:line="360" w:lineRule="auto"/>
              <w:jc w:val="center"/>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联系方式</w:t>
            </w:r>
          </w:p>
        </w:tc>
      </w:tr>
      <w:tr w14:paraId="24BC2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5" w:type="dxa"/>
            <w:noWrap w:val="0"/>
            <w:vAlign w:val="center"/>
          </w:tcPr>
          <w:p w14:paraId="40B6B406">
            <w:pPr>
              <w:keepNext w:val="0"/>
              <w:keepLines w:val="0"/>
              <w:pageBreakBefore w:val="0"/>
              <w:widowControl w:val="0"/>
              <w:kinsoku/>
              <w:wordWrap/>
              <w:overflowPunct/>
              <w:topLinePunct w:val="0"/>
              <w:bidi w:val="0"/>
              <w:adjustRightInd w:val="0"/>
              <w:snapToGrid w:val="0"/>
              <w:spacing w:line="360" w:lineRule="auto"/>
              <w:jc w:val="center"/>
              <w:outlineLvl w:val="9"/>
              <w:rPr>
                <w:rFonts w:hint="eastAsia" w:ascii="宋体" w:hAnsi="宋体" w:eastAsia="宋体" w:cs="宋体"/>
                <w:color w:val="auto"/>
                <w:sz w:val="24"/>
                <w:szCs w:val="24"/>
              </w:rPr>
            </w:pPr>
            <w:r>
              <w:rPr>
                <w:rFonts w:hint="eastAsia" w:ascii="宋体" w:hAnsi="宋体" w:eastAsia="宋体" w:cs="宋体"/>
                <w:color w:val="auto"/>
                <w:sz w:val="24"/>
                <w:szCs w:val="24"/>
              </w:rPr>
              <w:t>中国建设银行股份有限公司卢氏支行</w:t>
            </w:r>
          </w:p>
        </w:tc>
        <w:tc>
          <w:tcPr>
            <w:tcW w:w="3065" w:type="dxa"/>
            <w:noWrap w:val="0"/>
            <w:vAlign w:val="center"/>
          </w:tcPr>
          <w:p w14:paraId="198C3810">
            <w:pPr>
              <w:keepNext w:val="0"/>
              <w:keepLines w:val="0"/>
              <w:pageBreakBefore w:val="0"/>
              <w:widowControl w:val="0"/>
              <w:kinsoku/>
              <w:wordWrap/>
              <w:overflowPunct/>
              <w:topLinePunct w:val="0"/>
              <w:bidi w:val="0"/>
              <w:adjustRightInd w:val="0"/>
              <w:snapToGrid w:val="0"/>
              <w:spacing w:line="360" w:lineRule="auto"/>
              <w:jc w:val="center"/>
              <w:outlineLvl w:val="9"/>
              <w:rPr>
                <w:rFonts w:hint="eastAsia" w:ascii="宋体" w:hAnsi="宋体" w:eastAsia="宋体" w:cs="宋体"/>
                <w:color w:val="auto"/>
                <w:kern w:val="0"/>
                <w:sz w:val="24"/>
                <w:szCs w:val="24"/>
                <w:highlight w:val="none"/>
                <w:shd w:val="clear" w:color="auto" w:fill="F9F9F9"/>
                <w:vertAlign w:val="baseline"/>
              </w:rPr>
            </w:pPr>
            <w:r>
              <w:rPr>
                <w:rFonts w:hint="eastAsia" w:ascii="宋体" w:hAnsi="宋体" w:eastAsia="宋体" w:cs="宋体"/>
                <w:color w:val="auto"/>
                <w:sz w:val="24"/>
                <w:szCs w:val="24"/>
              </w:rPr>
              <w:t>张江涛</w:t>
            </w:r>
          </w:p>
        </w:tc>
        <w:tc>
          <w:tcPr>
            <w:tcW w:w="3066" w:type="dxa"/>
            <w:noWrap w:val="0"/>
            <w:vAlign w:val="center"/>
          </w:tcPr>
          <w:p w14:paraId="6D7095E3">
            <w:pPr>
              <w:keepNext w:val="0"/>
              <w:keepLines w:val="0"/>
              <w:pageBreakBefore w:val="0"/>
              <w:widowControl w:val="0"/>
              <w:kinsoku/>
              <w:wordWrap/>
              <w:overflowPunct/>
              <w:topLinePunct w:val="0"/>
              <w:bidi w:val="0"/>
              <w:adjustRightInd w:val="0"/>
              <w:snapToGrid w:val="0"/>
              <w:spacing w:line="360" w:lineRule="auto"/>
              <w:jc w:val="center"/>
              <w:outlineLvl w:val="9"/>
              <w:rPr>
                <w:rFonts w:hint="eastAsia" w:ascii="宋体" w:hAnsi="宋体" w:eastAsia="宋体" w:cs="宋体"/>
                <w:color w:val="auto"/>
                <w:kern w:val="0"/>
                <w:sz w:val="24"/>
                <w:szCs w:val="24"/>
                <w:highlight w:val="none"/>
                <w:shd w:val="clear" w:color="auto" w:fill="F9F9F9"/>
                <w:vertAlign w:val="baseline"/>
              </w:rPr>
            </w:pPr>
            <w:r>
              <w:rPr>
                <w:rFonts w:hint="eastAsia" w:ascii="宋体" w:hAnsi="宋体" w:eastAsia="宋体" w:cs="宋体"/>
                <w:color w:val="auto"/>
                <w:sz w:val="24"/>
                <w:szCs w:val="24"/>
              </w:rPr>
              <w:t>18739850204</w:t>
            </w:r>
          </w:p>
        </w:tc>
      </w:tr>
      <w:tr w14:paraId="734FF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5" w:type="dxa"/>
            <w:noWrap w:val="0"/>
            <w:vAlign w:val="center"/>
          </w:tcPr>
          <w:p w14:paraId="6597C405">
            <w:pPr>
              <w:keepNext w:val="0"/>
              <w:keepLines w:val="0"/>
              <w:pageBreakBefore w:val="0"/>
              <w:widowControl w:val="0"/>
              <w:kinsoku/>
              <w:wordWrap/>
              <w:overflowPunct/>
              <w:topLinePunct w:val="0"/>
              <w:bidi w:val="0"/>
              <w:adjustRightInd w:val="0"/>
              <w:snapToGrid w:val="0"/>
              <w:spacing w:line="360" w:lineRule="auto"/>
              <w:jc w:val="center"/>
              <w:outlineLvl w:val="9"/>
              <w:rPr>
                <w:rFonts w:hint="eastAsia" w:ascii="宋体" w:hAnsi="宋体" w:eastAsia="宋体" w:cs="宋体"/>
                <w:color w:val="auto"/>
                <w:sz w:val="24"/>
                <w:szCs w:val="24"/>
              </w:rPr>
            </w:pPr>
            <w:r>
              <w:rPr>
                <w:rFonts w:hint="eastAsia" w:ascii="宋体" w:hAnsi="宋体" w:eastAsia="宋体" w:cs="宋体"/>
                <w:color w:val="auto"/>
                <w:sz w:val="24"/>
                <w:szCs w:val="24"/>
              </w:rPr>
              <w:t>中国农业银行股份有限公司卢氏县支行</w:t>
            </w:r>
          </w:p>
        </w:tc>
        <w:tc>
          <w:tcPr>
            <w:tcW w:w="3065" w:type="dxa"/>
            <w:noWrap w:val="0"/>
            <w:vAlign w:val="center"/>
          </w:tcPr>
          <w:p w14:paraId="7D767971">
            <w:pPr>
              <w:keepNext w:val="0"/>
              <w:keepLines w:val="0"/>
              <w:pageBreakBefore w:val="0"/>
              <w:widowControl w:val="0"/>
              <w:kinsoku/>
              <w:wordWrap/>
              <w:overflowPunct/>
              <w:topLinePunct w:val="0"/>
              <w:bidi w:val="0"/>
              <w:adjustRightInd w:val="0"/>
              <w:snapToGrid w:val="0"/>
              <w:spacing w:line="360" w:lineRule="auto"/>
              <w:jc w:val="center"/>
              <w:outlineLvl w:val="9"/>
              <w:rPr>
                <w:rFonts w:hint="eastAsia" w:ascii="宋体" w:hAnsi="宋体" w:eastAsia="宋体" w:cs="宋体"/>
                <w:color w:val="auto"/>
                <w:kern w:val="0"/>
                <w:sz w:val="24"/>
                <w:szCs w:val="24"/>
                <w:highlight w:val="none"/>
                <w:shd w:val="clear" w:color="auto" w:fill="F9F9F9"/>
                <w:vertAlign w:val="baseline"/>
              </w:rPr>
            </w:pPr>
            <w:r>
              <w:rPr>
                <w:rFonts w:hint="eastAsia" w:ascii="宋体" w:hAnsi="宋体" w:eastAsia="宋体" w:cs="宋体"/>
                <w:color w:val="auto"/>
                <w:sz w:val="24"/>
                <w:szCs w:val="24"/>
              </w:rPr>
              <w:t>代仁旺</w:t>
            </w:r>
          </w:p>
        </w:tc>
        <w:tc>
          <w:tcPr>
            <w:tcW w:w="3066" w:type="dxa"/>
            <w:noWrap w:val="0"/>
            <w:vAlign w:val="center"/>
          </w:tcPr>
          <w:p w14:paraId="0FBB99CC">
            <w:pPr>
              <w:keepNext w:val="0"/>
              <w:keepLines w:val="0"/>
              <w:pageBreakBefore w:val="0"/>
              <w:widowControl w:val="0"/>
              <w:kinsoku/>
              <w:wordWrap/>
              <w:overflowPunct/>
              <w:topLinePunct w:val="0"/>
              <w:bidi w:val="0"/>
              <w:adjustRightInd w:val="0"/>
              <w:snapToGrid w:val="0"/>
              <w:spacing w:line="360" w:lineRule="auto"/>
              <w:jc w:val="center"/>
              <w:outlineLvl w:val="9"/>
              <w:rPr>
                <w:rFonts w:hint="eastAsia" w:ascii="宋体" w:hAnsi="宋体" w:eastAsia="宋体" w:cs="宋体"/>
                <w:color w:val="auto"/>
                <w:kern w:val="0"/>
                <w:sz w:val="24"/>
                <w:szCs w:val="24"/>
                <w:highlight w:val="none"/>
                <w:shd w:val="clear" w:color="auto" w:fill="F9F9F9"/>
                <w:vertAlign w:val="baseline"/>
              </w:rPr>
            </w:pPr>
            <w:r>
              <w:rPr>
                <w:rFonts w:hint="eastAsia" w:ascii="宋体" w:hAnsi="宋体" w:eastAsia="宋体" w:cs="宋体"/>
                <w:color w:val="auto"/>
                <w:sz w:val="24"/>
                <w:szCs w:val="24"/>
              </w:rPr>
              <w:t>18939062604</w:t>
            </w:r>
          </w:p>
        </w:tc>
      </w:tr>
      <w:tr w14:paraId="7D06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5" w:type="dxa"/>
            <w:noWrap w:val="0"/>
            <w:vAlign w:val="center"/>
          </w:tcPr>
          <w:p w14:paraId="7D590C88">
            <w:pPr>
              <w:keepNext w:val="0"/>
              <w:keepLines w:val="0"/>
              <w:pageBreakBefore w:val="0"/>
              <w:widowControl w:val="0"/>
              <w:kinsoku/>
              <w:wordWrap/>
              <w:overflowPunct/>
              <w:topLinePunct w:val="0"/>
              <w:bidi w:val="0"/>
              <w:adjustRightInd w:val="0"/>
              <w:snapToGrid w:val="0"/>
              <w:spacing w:line="360" w:lineRule="auto"/>
              <w:jc w:val="center"/>
              <w:outlineLvl w:val="9"/>
              <w:rPr>
                <w:rFonts w:hint="eastAsia" w:ascii="宋体" w:hAnsi="宋体" w:eastAsia="宋体" w:cs="宋体"/>
                <w:color w:val="auto"/>
                <w:sz w:val="24"/>
                <w:szCs w:val="24"/>
              </w:rPr>
            </w:pPr>
            <w:r>
              <w:rPr>
                <w:rFonts w:hint="eastAsia" w:ascii="宋体" w:hAnsi="宋体" w:eastAsia="宋体" w:cs="宋体"/>
                <w:color w:val="auto"/>
                <w:sz w:val="24"/>
                <w:szCs w:val="24"/>
              </w:rPr>
              <w:t>中原银行股份有限公司</w:t>
            </w:r>
          </w:p>
          <w:p w14:paraId="4ED26DBA">
            <w:pPr>
              <w:keepNext w:val="0"/>
              <w:keepLines w:val="0"/>
              <w:pageBreakBefore w:val="0"/>
              <w:widowControl w:val="0"/>
              <w:kinsoku/>
              <w:wordWrap/>
              <w:overflowPunct/>
              <w:topLinePunct w:val="0"/>
              <w:bidi w:val="0"/>
              <w:adjustRightInd w:val="0"/>
              <w:snapToGrid w:val="0"/>
              <w:spacing w:line="360" w:lineRule="auto"/>
              <w:jc w:val="center"/>
              <w:outlineLvl w:val="9"/>
              <w:rPr>
                <w:rFonts w:hint="eastAsia" w:ascii="宋体" w:hAnsi="宋体" w:eastAsia="宋体" w:cs="宋体"/>
                <w:color w:val="auto"/>
                <w:sz w:val="24"/>
                <w:szCs w:val="24"/>
              </w:rPr>
            </w:pPr>
            <w:r>
              <w:rPr>
                <w:rFonts w:hint="eastAsia" w:ascii="宋体" w:hAnsi="宋体" w:eastAsia="宋体" w:cs="宋体"/>
                <w:color w:val="auto"/>
                <w:sz w:val="24"/>
                <w:szCs w:val="24"/>
              </w:rPr>
              <w:t>卢氏支行</w:t>
            </w:r>
          </w:p>
        </w:tc>
        <w:tc>
          <w:tcPr>
            <w:tcW w:w="3065" w:type="dxa"/>
            <w:noWrap w:val="0"/>
            <w:vAlign w:val="center"/>
          </w:tcPr>
          <w:p w14:paraId="21F3E5D7">
            <w:pPr>
              <w:keepNext w:val="0"/>
              <w:keepLines w:val="0"/>
              <w:pageBreakBefore w:val="0"/>
              <w:widowControl w:val="0"/>
              <w:kinsoku/>
              <w:wordWrap/>
              <w:overflowPunct/>
              <w:topLinePunct w:val="0"/>
              <w:bidi w:val="0"/>
              <w:adjustRightInd w:val="0"/>
              <w:snapToGrid w:val="0"/>
              <w:spacing w:line="360" w:lineRule="auto"/>
              <w:jc w:val="center"/>
              <w:outlineLvl w:val="9"/>
              <w:rPr>
                <w:rFonts w:hint="eastAsia" w:ascii="宋体" w:hAnsi="宋体" w:eastAsia="宋体" w:cs="宋体"/>
                <w:color w:val="auto"/>
                <w:kern w:val="0"/>
                <w:sz w:val="24"/>
                <w:szCs w:val="24"/>
                <w:highlight w:val="none"/>
                <w:shd w:val="clear" w:color="auto" w:fill="F9F9F9"/>
                <w:vertAlign w:val="baseline"/>
              </w:rPr>
            </w:pPr>
            <w:r>
              <w:rPr>
                <w:rFonts w:hint="eastAsia" w:ascii="宋体" w:hAnsi="宋体" w:eastAsia="宋体" w:cs="宋体"/>
                <w:color w:val="auto"/>
                <w:sz w:val="24"/>
                <w:szCs w:val="24"/>
              </w:rPr>
              <w:t>李 博</w:t>
            </w:r>
          </w:p>
        </w:tc>
        <w:tc>
          <w:tcPr>
            <w:tcW w:w="3066" w:type="dxa"/>
            <w:noWrap w:val="0"/>
            <w:vAlign w:val="center"/>
          </w:tcPr>
          <w:p w14:paraId="0CC3294F">
            <w:pPr>
              <w:keepNext w:val="0"/>
              <w:keepLines w:val="0"/>
              <w:pageBreakBefore w:val="0"/>
              <w:widowControl w:val="0"/>
              <w:kinsoku/>
              <w:wordWrap/>
              <w:overflowPunct/>
              <w:topLinePunct w:val="0"/>
              <w:bidi w:val="0"/>
              <w:adjustRightInd w:val="0"/>
              <w:snapToGrid w:val="0"/>
              <w:spacing w:line="360" w:lineRule="auto"/>
              <w:jc w:val="center"/>
              <w:outlineLvl w:val="9"/>
              <w:rPr>
                <w:rFonts w:hint="eastAsia" w:ascii="宋体" w:hAnsi="宋体" w:eastAsia="宋体" w:cs="宋体"/>
                <w:color w:val="auto"/>
                <w:kern w:val="0"/>
                <w:sz w:val="24"/>
                <w:szCs w:val="24"/>
                <w:highlight w:val="none"/>
                <w:shd w:val="clear" w:color="auto" w:fill="F9F9F9"/>
                <w:vertAlign w:val="baseline"/>
              </w:rPr>
            </w:pPr>
            <w:r>
              <w:rPr>
                <w:rFonts w:hint="eastAsia" w:ascii="宋体" w:hAnsi="宋体" w:eastAsia="宋体" w:cs="宋体"/>
                <w:color w:val="auto"/>
                <w:sz w:val="24"/>
                <w:szCs w:val="24"/>
              </w:rPr>
              <w:t>15839857887</w:t>
            </w:r>
          </w:p>
        </w:tc>
      </w:tr>
    </w:tbl>
    <w:p w14:paraId="7EED48E2">
      <w:pPr>
        <w:widowControl w:val="0"/>
        <w:autoSpaceDE w:val="0"/>
        <w:autoSpaceDN w:val="0"/>
        <w:adjustRightInd w:val="0"/>
        <w:spacing w:beforeAutospacing="0" w:afterAutospacing="0" w:line="600" w:lineRule="exact"/>
        <w:ind w:right="-58"/>
        <w:jc w:val="both"/>
        <w:rPr>
          <w:rFonts w:hint="eastAsia"/>
          <w:color w:val="auto"/>
          <w:sz w:val="28"/>
          <w:szCs w:val="28"/>
        </w:rPr>
      </w:pPr>
    </w:p>
    <w:p w14:paraId="0C96BDED">
      <w:pPr>
        <w:jc w:val="both"/>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eastAsia="zh-CN"/>
        </w:rPr>
        <w:t>附件</w:t>
      </w:r>
      <w:r>
        <w:rPr>
          <w:rFonts w:hint="eastAsia" w:ascii="宋体" w:hAnsi="宋体" w:cs="宋体"/>
          <w:b w:val="0"/>
          <w:bCs w:val="0"/>
          <w:color w:val="auto"/>
          <w:sz w:val="24"/>
          <w:szCs w:val="24"/>
          <w:highlight w:val="none"/>
          <w:lang w:val="en-US" w:eastAsia="zh-CN"/>
        </w:rPr>
        <w:t>4：</w:t>
      </w:r>
    </w:p>
    <w:p w14:paraId="386BD715">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质疑函范本</w:t>
      </w:r>
    </w:p>
    <w:p w14:paraId="5AA3F4B2">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一、质疑供应商基本信息</w:t>
      </w:r>
    </w:p>
    <w:p w14:paraId="762B22C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质疑供应商：</w:t>
      </w:r>
    </w:p>
    <w:p w14:paraId="44DA954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地址：邮编：</w:t>
      </w:r>
    </w:p>
    <w:p w14:paraId="0802307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联系电话：</w:t>
      </w:r>
    </w:p>
    <w:p w14:paraId="339938B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授权代表：</w:t>
      </w:r>
    </w:p>
    <w:p w14:paraId="2CAD354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p w14:paraId="34F19FA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地址：邮编：</w:t>
      </w:r>
    </w:p>
    <w:p w14:paraId="33DC45C9">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二、质疑项目基本情况</w:t>
      </w:r>
    </w:p>
    <w:p w14:paraId="11DDC44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质疑项目的名称：</w:t>
      </w:r>
    </w:p>
    <w:p w14:paraId="5BF8F571">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质疑项目的编号： 包号：</w:t>
      </w:r>
    </w:p>
    <w:p w14:paraId="1938731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p>
    <w:p w14:paraId="12ED447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招标文件</w:t>
      </w:r>
      <w:r>
        <w:rPr>
          <w:rFonts w:hint="eastAsia" w:ascii="宋体" w:hAnsi="宋体" w:eastAsia="宋体" w:cs="宋体"/>
          <w:color w:val="auto"/>
          <w:sz w:val="24"/>
          <w:szCs w:val="24"/>
          <w:highlight w:val="none"/>
        </w:rPr>
        <w:t xml:space="preserve">获取日期: </w:t>
      </w:r>
    </w:p>
    <w:p w14:paraId="7B9B81CE">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三、质疑事项具体内容</w:t>
      </w:r>
    </w:p>
    <w:p w14:paraId="7E8F9FB3">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质疑事项1:</w:t>
      </w:r>
    </w:p>
    <w:p w14:paraId="324F3E5C">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事实依据：</w:t>
      </w:r>
    </w:p>
    <w:p w14:paraId="08A4FA04">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法律依据：</w:t>
      </w:r>
    </w:p>
    <w:p w14:paraId="2F8338D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质疑事项2</w:t>
      </w:r>
    </w:p>
    <w:p w14:paraId="6CE9403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546D000B">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四、与质疑事项相关的质疑请求</w:t>
      </w:r>
    </w:p>
    <w:p w14:paraId="0AF4FC9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p>
    <w:p w14:paraId="63B4175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签字(签章)：   公章：                      </w:t>
      </w:r>
    </w:p>
    <w:p w14:paraId="585927AB">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日期：</w:t>
      </w:r>
    </w:p>
    <w:p w14:paraId="1823B502">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质疑函制作说明：</w:t>
      </w:r>
    </w:p>
    <w:p w14:paraId="207A7B7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1.供应商提出质疑时，应提交质疑函和必要的证明材料。</w:t>
      </w:r>
    </w:p>
    <w:p w14:paraId="224F3D8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CA21B2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3.质疑供应商若对项目的某一分包进行质疑，质疑函中应列明具体分包号。</w:t>
      </w:r>
    </w:p>
    <w:p w14:paraId="2EFC2F2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4.质疑函的质疑事项应具体、明确，并有必要的事实依据和法律依据。</w:t>
      </w:r>
    </w:p>
    <w:p w14:paraId="1DF6B9A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5.质疑函的质疑请求应与质疑事项相关。</w:t>
      </w:r>
    </w:p>
    <w:p w14:paraId="651D9675">
      <w:pPr>
        <w:widowControl w:val="0"/>
        <w:autoSpaceDE w:val="0"/>
        <w:autoSpaceDN w:val="0"/>
        <w:adjustRightInd w:val="0"/>
        <w:spacing w:beforeAutospacing="0" w:afterAutospacing="0" w:line="360" w:lineRule="auto"/>
        <w:ind w:right="-58"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6.质疑供应商为自然人的，质疑函应由本人签字；质疑供应商为法人或者其他组织的，质疑函应由法定代表人、主要负责人，或者其授权代表签字或者盖章，并加盖公</w:t>
      </w:r>
      <w:r>
        <w:rPr>
          <w:rFonts w:hint="eastAsia" w:ascii="宋体" w:hAnsi="宋体" w:eastAsia="宋体" w:cs="宋体"/>
          <w:color w:val="auto"/>
          <w:sz w:val="24"/>
          <w:szCs w:val="24"/>
          <w:highlight w:val="none"/>
          <w:lang w:eastAsia="zh-CN"/>
        </w:rPr>
        <w:t>章。</w:t>
      </w:r>
    </w:p>
    <w:p w14:paraId="5AF721A0">
      <w:pPr>
        <w:pStyle w:val="12"/>
        <w:rPr>
          <w:rFonts w:hint="eastAsia" w:ascii="宋体" w:hAnsi="宋体" w:eastAsia="宋体" w:cs="宋体"/>
          <w:b/>
          <w:bCs/>
          <w:snapToGrid w:val="0"/>
          <w:color w:val="auto"/>
          <w:spacing w:val="0"/>
          <w:kern w:val="21"/>
          <w:sz w:val="36"/>
          <w:szCs w:val="40"/>
        </w:rPr>
      </w:pPr>
    </w:p>
    <w:p w14:paraId="308D0AEF">
      <w:pPr>
        <w:pStyle w:val="12"/>
        <w:rPr>
          <w:rFonts w:hint="eastAsia" w:ascii="宋体" w:hAnsi="宋体" w:eastAsia="宋体" w:cs="宋体"/>
          <w:b/>
          <w:bCs/>
          <w:snapToGrid w:val="0"/>
          <w:color w:val="auto"/>
          <w:spacing w:val="0"/>
          <w:kern w:val="21"/>
          <w:sz w:val="36"/>
          <w:szCs w:val="40"/>
        </w:rPr>
      </w:pPr>
    </w:p>
    <w:p w14:paraId="1485DBC2">
      <w:pPr>
        <w:pStyle w:val="12"/>
        <w:rPr>
          <w:rFonts w:hint="eastAsia" w:ascii="宋体" w:hAnsi="宋体" w:eastAsia="宋体" w:cs="宋体"/>
          <w:b/>
          <w:bCs/>
          <w:snapToGrid w:val="0"/>
          <w:color w:val="auto"/>
          <w:spacing w:val="0"/>
          <w:kern w:val="21"/>
          <w:sz w:val="36"/>
          <w:szCs w:val="40"/>
        </w:rPr>
      </w:pPr>
    </w:p>
    <w:p w14:paraId="33133DE3">
      <w:pPr>
        <w:pStyle w:val="12"/>
        <w:rPr>
          <w:rFonts w:hint="eastAsia" w:ascii="宋体" w:hAnsi="宋体" w:eastAsia="宋体" w:cs="宋体"/>
          <w:b/>
          <w:bCs/>
          <w:snapToGrid w:val="0"/>
          <w:color w:val="auto"/>
          <w:spacing w:val="0"/>
          <w:kern w:val="21"/>
          <w:sz w:val="36"/>
          <w:szCs w:val="40"/>
        </w:rPr>
      </w:pPr>
    </w:p>
    <w:p w14:paraId="46E41349">
      <w:pPr>
        <w:pStyle w:val="12"/>
        <w:rPr>
          <w:rFonts w:hint="eastAsia" w:ascii="宋体" w:hAnsi="宋体" w:eastAsia="宋体" w:cs="宋体"/>
          <w:b/>
          <w:bCs/>
          <w:snapToGrid w:val="0"/>
          <w:color w:val="auto"/>
          <w:spacing w:val="0"/>
          <w:kern w:val="21"/>
          <w:sz w:val="36"/>
          <w:szCs w:val="40"/>
        </w:rPr>
      </w:pPr>
    </w:p>
    <w:p w14:paraId="748467E1">
      <w:pPr>
        <w:pStyle w:val="12"/>
        <w:rPr>
          <w:rFonts w:hint="eastAsia" w:ascii="宋体" w:hAnsi="宋体" w:eastAsia="宋体" w:cs="宋体"/>
          <w:b/>
          <w:bCs/>
          <w:snapToGrid w:val="0"/>
          <w:color w:val="auto"/>
          <w:spacing w:val="0"/>
          <w:kern w:val="21"/>
          <w:sz w:val="36"/>
          <w:szCs w:val="40"/>
        </w:rPr>
      </w:pPr>
    </w:p>
    <w:p w14:paraId="12C2CB66">
      <w:pPr>
        <w:pStyle w:val="12"/>
        <w:rPr>
          <w:rFonts w:hint="eastAsia" w:ascii="宋体" w:hAnsi="宋体" w:eastAsia="宋体" w:cs="宋体"/>
          <w:b/>
          <w:bCs/>
          <w:snapToGrid w:val="0"/>
          <w:color w:val="auto"/>
          <w:spacing w:val="0"/>
          <w:kern w:val="21"/>
          <w:sz w:val="36"/>
          <w:szCs w:val="40"/>
        </w:rPr>
      </w:pPr>
    </w:p>
    <w:p w14:paraId="08F0139D">
      <w:pPr>
        <w:pStyle w:val="12"/>
        <w:rPr>
          <w:rFonts w:hint="eastAsia" w:ascii="宋体" w:hAnsi="宋体" w:eastAsia="宋体" w:cs="宋体"/>
          <w:b/>
          <w:bCs/>
          <w:snapToGrid w:val="0"/>
          <w:color w:val="auto"/>
          <w:spacing w:val="0"/>
          <w:kern w:val="21"/>
          <w:sz w:val="36"/>
          <w:szCs w:val="40"/>
        </w:rPr>
      </w:pPr>
    </w:p>
    <w:p w14:paraId="4D118909">
      <w:pPr>
        <w:pStyle w:val="12"/>
        <w:rPr>
          <w:rFonts w:hint="eastAsia" w:ascii="宋体" w:hAnsi="宋体" w:eastAsia="宋体" w:cs="宋体"/>
          <w:b/>
          <w:bCs/>
          <w:snapToGrid w:val="0"/>
          <w:color w:val="auto"/>
          <w:spacing w:val="0"/>
          <w:kern w:val="21"/>
          <w:sz w:val="36"/>
          <w:szCs w:val="40"/>
        </w:rPr>
      </w:pPr>
    </w:p>
    <w:p w14:paraId="514BB0DD">
      <w:pPr>
        <w:pStyle w:val="12"/>
        <w:rPr>
          <w:rFonts w:hint="eastAsia" w:ascii="宋体" w:hAnsi="宋体" w:eastAsia="宋体" w:cs="宋体"/>
          <w:b/>
          <w:bCs/>
          <w:snapToGrid w:val="0"/>
          <w:color w:val="auto"/>
          <w:spacing w:val="0"/>
          <w:kern w:val="21"/>
          <w:sz w:val="36"/>
          <w:szCs w:val="40"/>
        </w:rPr>
      </w:pPr>
    </w:p>
    <w:p w14:paraId="3642AE76">
      <w:pPr>
        <w:pStyle w:val="12"/>
        <w:rPr>
          <w:rFonts w:hint="eastAsia" w:ascii="宋体" w:hAnsi="宋体" w:eastAsia="宋体" w:cs="宋体"/>
          <w:b/>
          <w:bCs/>
          <w:snapToGrid w:val="0"/>
          <w:color w:val="auto"/>
          <w:spacing w:val="0"/>
          <w:kern w:val="21"/>
          <w:sz w:val="36"/>
          <w:szCs w:val="40"/>
        </w:rPr>
      </w:pPr>
    </w:p>
    <w:p w14:paraId="1561FA91">
      <w:pPr>
        <w:pStyle w:val="12"/>
        <w:rPr>
          <w:rFonts w:hint="eastAsia" w:ascii="宋体" w:hAnsi="宋体" w:eastAsia="宋体" w:cs="宋体"/>
          <w:b/>
          <w:bCs/>
          <w:snapToGrid w:val="0"/>
          <w:color w:val="auto"/>
          <w:spacing w:val="0"/>
          <w:kern w:val="21"/>
          <w:sz w:val="36"/>
          <w:szCs w:val="40"/>
        </w:rPr>
      </w:pPr>
    </w:p>
    <w:p w14:paraId="629C509B">
      <w:pPr>
        <w:pStyle w:val="12"/>
        <w:rPr>
          <w:rFonts w:hint="eastAsia" w:ascii="宋体" w:hAnsi="宋体" w:eastAsia="宋体" w:cs="宋体"/>
          <w:b/>
          <w:bCs/>
          <w:snapToGrid w:val="0"/>
          <w:color w:val="auto"/>
          <w:spacing w:val="0"/>
          <w:kern w:val="21"/>
          <w:sz w:val="36"/>
          <w:szCs w:val="40"/>
        </w:rPr>
      </w:pPr>
    </w:p>
    <w:p w14:paraId="6086F81F">
      <w:pPr>
        <w:pStyle w:val="12"/>
        <w:rPr>
          <w:rFonts w:hint="eastAsia" w:ascii="宋体" w:hAnsi="宋体" w:eastAsia="宋体" w:cs="宋体"/>
          <w:b/>
          <w:bCs/>
          <w:snapToGrid w:val="0"/>
          <w:color w:val="auto"/>
          <w:spacing w:val="0"/>
          <w:kern w:val="21"/>
          <w:sz w:val="36"/>
          <w:szCs w:val="40"/>
        </w:rPr>
      </w:pPr>
    </w:p>
    <w:p w14:paraId="3ACD9887">
      <w:pPr>
        <w:pStyle w:val="12"/>
        <w:rPr>
          <w:rFonts w:hint="eastAsia" w:ascii="宋体" w:hAnsi="宋体" w:eastAsia="宋体" w:cs="宋体"/>
          <w:b/>
          <w:bCs/>
          <w:snapToGrid w:val="0"/>
          <w:color w:val="auto"/>
          <w:spacing w:val="0"/>
          <w:kern w:val="21"/>
          <w:sz w:val="36"/>
          <w:szCs w:val="40"/>
        </w:rPr>
      </w:pPr>
    </w:p>
    <w:bookmarkEnd w:id="7"/>
    <w:bookmarkEnd w:id="8"/>
    <w:bookmarkEnd w:id="9"/>
    <w:p w14:paraId="12179CE8">
      <w:pPr>
        <w:jc w:val="center"/>
        <w:rPr>
          <w:rFonts w:hint="eastAsia" w:ascii="宋体" w:hAnsi="宋体" w:eastAsia="宋体" w:cs="宋体"/>
          <w:snapToGrid w:val="0"/>
          <w:color w:val="auto"/>
          <w:spacing w:val="0"/>
          <w:kern w:val="21"/>
        </w:rPr>
      </w:pPr>
      <w:bookmarkStart w:id="17" w:name="_Toc183264302"/>
      <w:r>
        <w:rPr>
          <w:rFonts w:hint="eastAsia" w:ascii="宋体" w:hAnsi="宋体" w:eastAsia="宋体" w:cs="宋体"/>
          <w:b/>
          <w:bCs/>
          <w:snapToGrid w:val="0"/>
          <w:color w:val="auto"/>
          <w:spacing w:val="0"/>
          <w:kern w:val="21"/>
          <w:sz w:val="36"/>
          <w:szCs w:val="40"/>
        </w:rPr>
        <w:t xml:space="preserve">第三章 </w:t>
      </w:r>
      <w:r>
        <w:rPr>
          <w:rFonts w:hint="eastAsia" w:ascii="宋体" w:hAnsi="宋体" w:eastAsia="宋体" w:cs="宋体"/>
          <w:b/>
          <w:bCs/>
          <w:snapToGrid w:val="0"/>
          <w:color w:val="auto"/>
          <w:spacing w:val="0"/>
          <w:kern w:val="21"/>
          <w:sz w:val="36"/>
          <w:szCs w:val="40"/>
          <w:lang w:val="en-US" w:eastAsia="zh-CN"/>
        </w:rPr>
        <w:t xml:space="preserve"> </w:t>
      </w:r>
      <w:r>
        <w:rPr>
          <w:rFonts w:hint="eastAsia" w:ascii="宋体" w:hAnsi="宋体" w:eastAsia="宋体" w:cs="宋体"/>
          <w:b/>
          <w:bCs/>
          <w:snapToGrid w:val="0"/>
          <w:color w:val="auto"/>
          <w:spacing w:val="0"/>
          <w:kern w:val="21"/>
          <w:sz w:val="36"/>
          <w:szCs w:val="40"/>
        </w:rPr>
        <w:t>服务内容及</w:t>
      </w:r>
      <w:r>
        <w:rPr>
          <w:rFonts w:hint="eastAsia" w:ascii="宋体" w:hAnsi="宋体" w:eastAsia="宋体" w:cs="宋体"/>
          <w:b/>
          <w:snapToGrid w:val="0"/>
          <w:color w:val="auto"/>
          <w:kern w:val="21"/>
          <w:sz w:val="36"/>
          <w:highlight w:val="none"/>
        </w:rPr>
        <w:t>要求</w:t>
      </w:r>
    </w:p>
    <w:bookmarkEnd w:id="17"/>
    <w:p w14:paraId="66702785">
      <w:pPr>
        <w:jc w:val="center"/>
        <w:rPr>
          <w:rFonts w:hint="default" w:ascii="宋体" w:hAnsi="宋体" w:eastAsia="宋体" w:cs="宋体"/>
          <w:snapToGrid w:val="0"/>
          <w:color w:val="auto"/>
          <w:kern w:val="21"/>
          <w:sz w:val="24"/>
          <w:szCs w:val="24"/>
          <w:highlight w:val="none"/>
          <w:lang w:val="en-US"/>
        </w:rPr>
      </w:pPr>
      <w:bookmarkStart w:id="18" w:name="_Toc57105664"/>
      <w:bookmarkStart w:id="19" w:name="_Toc152045600"/>
    </w:p>
    <w:p w14:paraId="7C0BE197">
      <w:pPr>
        <w:keepNext w:val="0"/>
        <w:keepLines w:val="0"/>
        <w:pageBreakBefore w:val="0"/>
        <w:widowControl w:val="0"/>
        <w:kinsoku/>
        <w:wordWrap w:val="0"/>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一、项目概况与采购范围</w:t>
      </w:r>
    </w:p>
    <w:p w14:paraId="5CEBF3F9">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1、项目名称：</w:t>
      </w:r>
      <w:r>
        <w:rPr>
          <w:rFonts w:hint="eastAsia" w:ascii="宋体" w:hAnsi="宋体" w:cs="宋体"/>
          <w:color w:val="auto"/>
          <w:sz w:val="24"/>
          <w:szCs w:val="24"/>
          <w:highlight w:val="none"/>
          <w:lang w:eastAsia="zh-CN"/>
        </w:rPr>
        <w:t>卢氏县养老服务中心2026-2027年度集中供养人员餐厅食材采购项目</w:t>
      </w:r>
    </w:p>
    <w:p w14:paraId="4B8AF4D2">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2、采购人：</w:t>
      </w:r>
      <w:r>
        <w:rPr>
          <w:rFonts w:hint="eastAsia" w:ascii="宋体" w:hAnsi="宋体" w:cs="宋体"/>
          <w:color w:val="auto"/>
          <w:sz w:val="24"/>
          <w:szCs w:val="24"/>
          <w:highlight w:val="none"/>
          <w:lang w:eastAsia="zh-CN"/>
        </w:rPr>
        <w:t>卢氏县养老服务中心</w:t>
      </w:r>
    </w:p>
    <w:p w14:paraId="45BBBA90">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3、项目编号：三卢公开采购-2026-25</w:t>
      </w:r>
      <w:r>
        <w:rPr>
          <w:rFonts w:hint="eastAsia" w:ascii="宋体" w:hAnsi="宋体" w:eastAsia="宋体" w:cs="宋体"/>
          <w:color w:val="auto"/>
          <w:sz w:val="24"/>
          <w:szCs w:val="24"/>
          <w:highlight w:val="none"/>
          <w:lang w:eastAsia="zh-CN"/>
        </w:rPr>
        <w:t>、LSGZ[2026]126-ZC097</w:t>
      </w:r>
    </w:p>
    <w:p w14:paraId="29CE4D0D">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4、采购内容：本项目</w:t>
      </w:r>
      <w:r>
        <w:rPr>
          <w:rFonts w:hint="eastAsia" w:ascii="宋体" w:hAnsi="宋体" w:cs="宋体"/>
          <w:color w:val="auto"/>
          <w:sz w:val="24"/>
          <w:szCs w:val="24"/>
          <w:highlight w:val="none"/>
          <w:lang w:val="en-US" w:eastAsia="zh-CN"/>
        </w:rPr>
        <w:t>采购内容</w:t>
      </w:r>
      <w:r>
        <w:rPr>
          <w:rFonts w:hint="eastAsia" w:ascii="宋体" w:hAnsi="宋体" w:eastAsia="宋体" w:cs="宋体"/>
          <w:color w:val="auto"/>
          <w:sz w:val="24"/>
          <w:szCs w:val="24"/>
          <w:highlight w:val="none"/>
        </w:rPr>
        <w:t>为</w:t>
      </w:r>
      <w:r>
        <w:rPr>
          <w:rFonts w:hint="eastAsia" w:ascii="宋体" w:hAnsi="宋体" w:cs="宋体"/>
          <w:color w:val="auto"/>
          <w:sz w:val="24"/>
          <w:szCs w:val="24"/>
          <w:highlight w:val="none"/>
          <w:lang w:val="en-US" w:eastAsia="zh-CN"/>
        </w:rPr>
        <w:t>特困</w:t>
      </w:r>
      <w:r>
        <w:rPr>
          <w:rFonts w:hint="eastAsia" w:ascii="宋体" w:hAnsi="宋体" w:cs="宋体"/>
          <w:color w:val="auto"/>
          <w:sz w:val="24"/>
          <w:szCs w:val="24"/>
          <w:highlight w:val="none"/>
          <w:lang w:eastAsia="zh-CN"/>
        </w:rPr>
        <w:t>集中供养人员餐厅食材采购</w:t>
      </w:r>
      <w:r>
        <w:rPr>
          <w:rFonts w:hint="eastAsia" w:ascii="宋体" w:hAnsi="宋体" w:eastAsia="宋体" w:cs="宋体"/>
          <w:color w:val="auto"/>
          <w:sz w:val="24"/>
          <w:szCs w:val="24"/>
          <w:highlight w:val="none"/>
        </w:rPr>
        <w:t>原材料大米、面粉、食用油、干面条、杂粮、猪肉、牛羊肉、鸡肉等肉类、干货、副食、蔬菜、调料等供应服务。</w:t>
      </w:r>
    </w:p>
    <w:p w14:paraId="0C83E6BA">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5、标段划分：本项目共划分</w:t>
      </w:r>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rPr>
        <w:t>个标段。</w:t>
      </w:r>
    </w:p>
    <w:p w14:paraId="6FD31743">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6、资金来源：财政资金</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已落实</w:t>
      </w:r>
    </w:p>
    <w:p w14:paraId="36959A26">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7、预算金额：</w:t>
      </w:r>
      <w:r>
        <w:rPr>
          <w:rFonts w:hint="eastAsia" w:ascii="宋体" w:hAnsi="宋体" w:cs="宋体"/>
          <w:color w:val="auto"/>
          <w:sz w:val="24"/>
          <w:szCs w:val="24"/>
          <w:highlight w:val="none"/>
          <w:lang w:val="en-US" w:eastAsia="zh-CN"/>
        </w:rPr>
        <w:t>277.00万元（本预算为暂定金额，以实际采购数量为准，按照实际供货数量据实结算）</w:t>
      </w:r>
    </w:p>
    <w:p w14:paraId="202D733F">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cs="宋体"/>
          <w:color w:val="auto"/>
          <w:sz w:val="24"/>
          <w:szCs w:val="24"/>
          <w:highlight w:val="none"/>
          <w:lang w:eastAsia="zh-CN"/>
        </w:rPr>
        <w:t>配送地点</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卢氏县五里川镇养老院、朱阳关镇养老院、瓦窑沟乡养老院、杜关镇养老院、石龙头重度残疾供养中心、兴贤里特困供养中心</w:t>
      </w:r>
      <w:r>
        <w:rPr>
          <w:rFonts w:hint="eastAsia" w:ascii="宋体" w:hAnsi="宋体" w:eastAsia="宋体" w:cs="宋体"/>
          <w:color w:val="auto"/>
          <w:sz w:val="24"/>
          <w:szCs w:val="24"/>
          <w:highlight w:val="none"/>
        </w:rPr>
        <w:t>。</w:t>
      </w:r>
    </w:p>
    <w:p w14:paraId="4EACCFFD">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.质量要求：产品质量合格，符合国家及行业相关食品卫生安全要求，且符合采购人要求。</w:t>
      </w:r>
    </w:p>
    <w:p w14:paraId="5CC5E7D5">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10.服务周期：</w:t>
      </w:r>
      <w:r>
        <w:rPr>
          <w:rFonts w:hint="eastAsia" w:ascii="宋体" w:hAnsi="宋体" w:cs="宋体"/>
          <w:color w:val="auto"/>
          <w:sz w:val="24"/>
          <w:szCs w:val="24"/>
          <w:highlight w:val="none"/>
          <w:lang w:val="en-US" w:eastAsia="zh-CN"/>
        </w:rPr>
        <w:t>合同签订后1年</w:t>
      </w:r>
    </w:p>
    <w:p w14:paraId="6FA7A57C">
      <w:pPr>
        <w:keepNext w:val="0"/>
        <w:keepLines w:val="0"/>
        <w:pageBreakBefore w:val="0"/>
        <w:widowControl w:val="0"/>
        <w:kinsoku/>
        <w:wordWrap w:val="0"/>
        <w:overflowPunct/>
        <w:topLinePunct w:val="0"/>
        <w:autoSpaceDE/>
        <w:autoSpaceDN/>
        <w:bidi w:val="0"/>
        <w:adjustRightInd/>
        <w:snapToGrid/>
        <w:spacing w:line="560" w:lineRule="exact"/>
        <w:ind w:firstLine="482"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二、食材要求</w:t>
      </w:r>
    </w:p>
    <w:p w14:paraId="62C79CCF">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原材料必须满足以下要求：</w:t>
      </w:r>
    </w:p>
    <w:p w14:paraId="123CAAC4">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（1）大米类</w:t>
      </w:r>
    </w:p>
    <w:p w14:paraId="3DD0B02F">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1.包装标准：产品应采用袋装包装形式，包装严密，图案完整；包装材料应符合食品包装材料卫生标准。</w:t>
      </w:r>
    </w:p>
    <w:p w14:paraId="41FE9854">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2.标签标识：标明货物名称、净含量、生产者名称和地址、生产日期、保质期、货物标准号、质量等级、生产许可证号、货物批号等内容。</w:t>
      </w:r>
    </w:p>
    <w:p w14:paraId="6E0A2C44">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3.运输：运输工具应清洁、无异味，运输时不得与有毒、有害、有腐蚀性货物混装， 运输中应注意轻装、轻卸、防雨、防晒。</w:t>
      </w:r>
    </w:p>
    <w:p w14:paraId="23DA0A4C">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4.贮存：产品应存放于卫生、通风阴凉、干燥、清洁、无异味的库中。</w:t>
      </w:r>
    </w:p>
    <w:p w14:paraId="3BAF25EC">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5.大米必须是厂家密封原包装货物且有检验合格证。</w:t>
      </w:r>
    </w:p>
    <w:p w14:paraId="15E85120">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6.产品质量不得低于国家质量技术等级最新标准。</w:t>
      </w:r>
    </w:p>
    <w:p w14:paraId="0FAC4D5F">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（2）面粉类</w:t>
      </w:r>
    </w:p>
    <w:p w14:paraId="6C8F24C9">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1.包装标准：产品应采用袋装包装形式，包装严密，图案完整；包装材料应符合食品包装材料卫生标准。</w:t>
      </w:r>
    </w:p>
    <w:p w14:paraId="25355D6F">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2.不得加入添加剂或添加粉，保证面粉质量。</w:t>
      </w:r>
    </w:p>
    <w:p w14:paraId="555FD968">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3.标签标识：标明产品名称、净含量、生产者名称和地址、生产日期、保质期、产标准号、质量等级、生产许可证号、产品批号等内容。</w:t>
      </w:r>
    </w:p>
    <w:p w14:paraId="1A9BFC56">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4.运输：运输工具应清洁、无异味，运输中应注意轻装、轻卸、防雨、防晒。</w:t>
      </w:r>
    </w:p>
    <w:p w14:paraId="2D66A3C6">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5.贮存：产品应存放于卫生、通风阴凉、干燥、清洁、无异味的库中。</w:t>
      </w:r>
    </w:p>
    <w:p w14:paraId="00D50E8B">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6.面粉必须是厂家密封原包装产品且有检验合格证。</w:t>
      </w:r>
    </w:p>
    <w:p w14:paraId="2BF23A5E">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7.面粉应为普通小麦精粉或上白粉，质量等级不低于国家规定技术等级最新标准，不添加国家规定以外任何添加剂成分。</w:t>
      </w:r>
    </w:p>
    <w:p w14:paraId="4AA12565">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（3）食用油类</w:t>
      </w:r>
    </w:p>
    <w:p w14:paraId="31F8AD1C">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1.执行标准：色拉油: GB1535-2003 一级大豆色拉油，花生油: GB1534-2017，大豆油: GB1535-2003，葵花籽油:GB10464-2017 等；液体具有油脂正常色泽，澄清透明，无焦臭、酸败及其他异味，口感好；无任何掺杂气味；</w:t>
      </w:r>
    </w:p>
    <w:p w14:paraId="74F19992">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2.所提供的物品不得为转基因物品或转基因制成品，经查实所提供物品中具有转基因物品或转基因制成品立即终止合同，并由配送方将承担全部责任。</w:t>
      </w:r>
    </w:p>
    <w:p w14:paraId="1B104A85">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3.油类质量标准:符合国家质量等级最新标准。</w:t>
      </w:r>
    </w:p>
    <w:p w14:paraId="0B25EDE5">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4.质保期要求：并应符合剩余质保期在其总质保期的 2/3 内。</w:t>
      </w:r>
    </w:p>
    <w:p w14:paraId="20E84DC7">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5.包装要求：≥5L/桶的塑料软包装，包装应符合《食用植物油销售包装》（GB/T 17374）要求，包装材料应清洁、卫生，不与油发生化学作用而产生变化，符合国家食品卫生标准和管理规定。</w:t>
      </w:r>
    </w:p>
    <w:p w14:paraId="4C7854EE">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6.标签标识：标明产品名称、净含量、生产者名称和地址、生产日期、保质期、产品标准号、食品添加剂、质量等级、生产许可证号、产品批号等内容。</w:t>
      </w:r>
    </w:p>
    <w:p w14:paraId="221C37E7">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7.必须是厂家密封原包装货物且有检验合格证。</w:t>
      </w:r>
    </w:p>
    <w:p w14:paraId="5F8A352F">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8.运输：运输时应外加纸箱、木箱等包装物，运输工具应清洁、无异味，运输时不得与有毒、有害、有腐蚀性货物混装，运输中应注意轻装、轻卸、防雨、防晒。</w:t>
      </w:r>
    </w:p>
    <w:p w14:paraId="70024CA6">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9.贮存：产品应存放于卫生、通风阴凉、干燥、清洁、无异味的库中。</w:t>
      </w:r>
    </w:p>
    <w:p w14:paraId="4009EA22">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（4）肉类</w:t>
      </w:r>
    </w:p>
    <w:p w14:paraId="5A6E2985">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1.所提供的食品必须符合国家有关标准，保证新鲜、无淤血、无异味、无霉烂变质。供货时需提供当批次有效的动物检疫合格证，原件备查，严禁提供冷冻产品。</w:t>
      </w:r>
    </w:p>
    <w:p w14:paraId="52FBA9D2">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2.卫生标准：参考国家执行的相关标准。</w:t>
      </w:r>
    </w:p>
    <w:p w14:paraId="1B1B64E0">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3.包装标准：包装严密，包装材料应符合食品包装材料卫生标准。</w:t>
      </w:r>
    </w:p>
    <w:p w14:paraId="13C392E3">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4.运输：运输工具应符合卫生要求，运输时不得与有毒、有害、有腐蚀性货物混装， 运输中防挤压，应注意轻装、轻卸、防雨、防晒。夏季时要求中标人能够保证冷藏运输。</w:t>
      </w:r>
    </w:p>
    <w:p w14:paraId="1EB3A83C">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5.贮存：产品应存放于卫生、通风阴凉、干燥、清洁、无异味的库中。</w:t>
      </w:r>
    </w:p>
    <w:p w14:paraId="30D3E397">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6.每批货随附检疫部门出具的检疫证，原件备查。</w:t>
      </w:r>
    </w:p>
    <w:p w14:paraId="6E13A9B5">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（5）禽类</w:t>
      </w:r>
    </w:p>
    <w:p w14:paraId="09B2AF78">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1.所提供的物品必须符合国家有关标准，保证无异味、无霉烂变质，严禁提供冷冻产品。</w:t>
      </w:r>
    </w:p>
    <w:p w14:paraId="50ED19EC">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2.对货物的品质要求，必须符合国家，食品部门的有关标准和规格要求。</w:t>
      </w:r>
    </w:p>
    <w:p w14:paraId="045F629B">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3.每批鲜肉、骨应保持较好的外观和质量等级，符合国家食品部门的有关标准，保证无异味、无腐烂变质。</w:t>
      </w:r>
    </w:p>
    <w:p w14:paraId="2EC145DC">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4.包装标准：包装材料应符合食品包装材料卫生标准。</w:t>
      </w:r>
    </w:p>
    <w:p w14:paraId="0AB21ACB">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5.运输：运输工具应符合卫生要求，运输时不得与有毒、有害、有腐蚀性货物混装， 运输中防挤压，应注意轻装、轻卸、防雨、防晒。</w:t>
      </w:r>
    </w:p>
    <w:p w14:paraId="14666A76">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6.贮存：产品应存放于卫生、通风阴凉、干燥、清洁、无异味的库中。</w:t>
      </w:r>
    </w:p>
    <w:p w14:paraId="2E1ED653">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7.每批货随附检疫部门出具的检疫证，原件备查。</w:t>
      </w:r>
    </w:p>
    <w:p w14:paraId="3748C218">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（6）蛋类</w:t>
      </w:r>
    </w:p>
    <w:p w14:paraId="79E8F49C">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 所提供的物品必须符合国家有关标准，保证无异味、无霉烂变质。</w:t>
      </w:r>
    </w:p>
    <w:p w14:paraId="42814550">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2.对货物的品质要求，必须符合国家，食品部门的有关标准和规格要求。</w:t>
      </w:r>
    </w:p>
    <w:p w14:paraId="1B214DA5">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3.蛋类应蛋壳清洁完整，色泽鲜明，无破损、裂纹，无霉斑，灯光透视时，整个蛋呈桔黄色至橙红色，蛋黄不见或略见阴影，没有霉味、酸味，臭味等不良气味，打开后蛋黄凸起、完整、有韧性，蛋白澄清、透明、稀稠分明，无异味。鸡蛋要求在本地养鸡场配送确保新鲜。</w:t>
      </w:r>
    </w:p>
    <w:p w14:paraId="1D844FD4">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4.皮蛋应外表泥状包料完整、无霉斑，包料除掉后蛋壳完整无损，灯光透照蛋内容物凝固不动，打开观察，整个蛋凝固、不粘壳、清洁而有弹性，呈半透明的棕黄色，闻起来有芳香，无辛辣气。</w:t>
      </w:r>
    </w:p>
    <w:p w14:paraId="51EDE125">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5.咸蛋应蛋壳完整无损，无裂纹或霉斑，摇动时有轻度水荡漾感觉，灯光透视蛋黄凝结.呈橙黄色且靠近蛋壳，蛋清呈白色水样透明，生蛋打开可见蛋清稀薄透明，蛋黄呈红色或淡红色，浓缩粘度增强，但不硬固，煮熟后打开，可见蛋清白嫩，蛋黄口味有细沙感， 富于油脂，品尝则有咸蛋固有的香味。</w:t>
      </w:r>
    </w:p>
    <w:p w14:paraId="518098A3">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6.包装标准：包装材料应符合食品包装材料卫生标准。</w:t>
      </w:r>
    </w:p>
    <w:p w14:paraId="27AD6555">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7.运输：运输工具应符合卫生要求，运输时不得与有毒、有害、有腐蚀性货物混装， 运输中防挤压，应注意轻装、轻卸、防雨、防晒。</w:t>
      </w:r>
    </w:p>
    <w:p w14:paraId="1175A8E5">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8.贮存：产品应存放于卫生、通风阴凉、干燥、清洁、无异味的库中。</w:t>
      </w:r>
    </w:p>
    <w:p w14:paraId="60C65DE8">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（7）果蔬类</w:t>
      </w:r>
    </w:p>
    <w:p w14:paraId="1233D525">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1.符合国家食品服务要求。所提供的物品必须符合国家有关标准，保证无异味、无霉烂变质。</w:t>
      </w:r>
    </w:p>
    <w:p w14:paraId="61F9808B">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2.符合国家食品卫生标准。瓜、果、蔬菜必须是优质货品，保证所供应的蔬菜符合卫生标准，卫生指标应符合我国无公害蔬菜的卫生指标规定，同时承担因所供蔬菜问题引起的一切事故后果。各种蔬菜都应具有本品种固有的气味、形态、颜色、光泽及蔬菜的成熟度和鲜嫩程度，没有腐烂变质及其他异常味道，不能提供萎盖、枯塌、损伤、病变、虫害等异常蔬菜。</w:t>
      </w:r>
    </w:p>
    <w:p w14:paraId="56A276D5">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3.叶菜类应肉质鲜嫩、形态好、色泽正常、茎基部削平，无黄叶、病叶、泥土、明显机械伤和病虫害，无烧心焦边、腐烂等现象，无抽苔，无畸形、异味，结球叶菜芭结球适度，花椰菜类应新鲜洁白，不带叶获、无畸形花。</w:t>
      </w:r>
    </w:p>
    <w:p w14:paraId="21CEEFA1">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4.茄果类等应果实整洁，成熟度适中，番茄花蒂不明显，无裂果及空洞现象，茄果不能有裂蒂及果皮变硬现象，无腐烂、畸形、异味，无明显机械伤。</w:t>
      </w:r>
    </w:p>
    <w:p w14:paraId="0827E125">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5.瓜果类等形状、色泽一致，瓜条均匀，无疤点，无断裂，无腐烂、畸形、异味、明显机械伤。</w:t>
      </w:r>
    </w:p>
    <w:p w14:paraId="58FFB9B4">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6.根菜类等品种皮细光滑，大小均匀，肉质脆嫩、新鲜，无断裂，无腐烂、裂痕、糠心、异味、不带泥土、茎叶和须根。</w:t>
      </w:r>
    </w:p>
    <w:p w14:paraId="61904F3F">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7.薯芋类应色泽一致、不带泥土、茎叶和须根，不干瘪、无腐烂、畸形、异味、明显机械伤、病虫害斑，马铃薯无发芽，皮不变绿。</w:t>
      </w:r>
    </w:p>
    <w:p w14:paraId="6E364F4B">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8.葱蒜类应不带老叶、枯叶，不带泥土，无腐烂、异味。</w:t>
      </w:r>
    </w:p>
    <w:p w14:paraId="382F7C3E">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9.豆类应形态完整，成熟度适中，无腐烂、畸形、异味，豆英类新鲜、嫩、均匀，豆粒饱满，无发芽，不带泥。</w:t>
      </w:r>
    </w:p>
    <w:p w14:paraId="42C520A6">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10.食用菌类应新鲜，无杂质，无腐烂、畸形、异味。</w:t>
      </w:r>
    </w:p>
    <w:p w14:paraId="7B924679">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11.包装标准：包装材料应符合食品包装材料卫生标准。</w:t>
      </w:r>
    </w:p>
    <w:p w14:paraId="20D901E0">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12.运输：运输工具应符合卫生要求，运输时不得与有毒、有害、有腐蚀性货物混装， 运输中防挤压，应注意轻装、轻卸、防雨、防晒。</w:t>
      </w:r>
    </w:p>
    <w:p w14:paraId="13474FCD">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（8）调料副食品类</w:t>
      </w:r>
    </w:p>
    <w:p w14:paraId="00A31745">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1.所提供的物品必须符合国家有关标准，且在质保期内，保证无异味、无霉烂变质。</w:t>
      </w:r>
    </w:p>
    <w:p w14:paraId="1B104A1B">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2.所提供的物品指标要符合国家强制性标准要求，食品类产品，配送方必须清晰地列出产品品牌，型号、包装类型、包装方式、包装净重量等相关参数，且外包装上必须贴有SC 标志。</w:t>
      </w:r>
    </w:p>
    <w:p w14:paraId="4F61A779">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3.对货物的品质要求，必须符合国家，食品部门的有关标准和规格要求。</w:t>
      </w:r>
    </w:p>
    <w:p w14:paraId="76FCE13B">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4.货物必须符合卫生要求，不得有腐烂、变质、霉变、生虫、污秽不结、混有异物或者其他感官性状异常，并可能对人体健康有害的物质。</w:t>
      </w:r>
    </w:p>
    <w:p w14:paraId="3E6DECA1">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5.货物应有正规生产厂家合格证书、产品检验合格证书。外包装完整， 同时外包装要印有注册商标、生产厂家名称、厂址、生产日期、产品合格证、保质期限、产品成分、厂家电话号码等。</w:t>
      </w:r>
    </w:p>
    <w:p w14:paraId="6CEB568E">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6.散装类货物应提供生产厂家营业执照、卫生许可证、国家机关发出的产品检验合格证书。</w:t>
      </w:r>
    </w:p>
    <w:p w14:paraId="745CB62D">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7.配送方所提供的物品质量必须要符合行业标准要求，不得有掺假、变质、过期等现象出现，严禁伪劣、假冒、无证不合格物品进入仓库。</w:t>
      </w:r>
    </w:p>
    <w:p w14:paraId="647BDC3B">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8.所提供的物品不得为转基因物品或转基因制成品，经查实所提供物品中具有转基因物品或转基因制成品立即终止合同，并由配送方将承担全部责任。</w:t>
      </w:r>
    </w:p>
    <w:p w14:paraId="7B6AED46">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9.对照需求方要求检查所送物资品牌、规格是否符合要求，对有包装的食品，检查包装是否完整，有无破损，查看食品包装标签应符合《食品安全国家标准预包装食品标签通则》 (CB7718) 要求，包括食品名称、配料表、净含量、规格、生产者(或) 经销者的名称、地址和联系方式、生产日期和保质期、贮存条件、食品生产许可证编号、产品标准代号等内容。</w:t>
      </w:r>
    </w:p>
    <w:p w14:paraId="0DE7D0E3">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10.通过感官鉴别包装内产品及无包装产品，依靠视觉、嗅觉、味觉、触觉等鉴定食品的外观形态、色泽、气味、滋味和硬度(稠度)是否符合服务要求。有保质期限的商品剩余保存期不得少于原有保质期的三分之二。</w:t>
      </w:r>
    </w:p>
    <w:p w14:paraId="3FF66318">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（9）奶制品类</w:t>
      </w:r>
    </w:p>
    <w:p w14:paraId="0A903FCD">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包含但不限于：纯奶、酸奶、米粉、蛋白粉、奶粉等，所提供产品均须符合国家标准及甲方要求。</w:t>
      </w:r>
    </w:p>
    <w:p w14:paraId="09D1C158">
      <w:pPr>
        <w:ind w:firstLine="480" w:firstLineChars="200"/>
        <w:jc w:val="left"/>
        <w:rPr>
          <w:rFonts w:hint="eastAsia" w:ascii="宋体" w:hAnsi="宋体" w:eastAsia="宋体" w:cs="宋体"/>
          <w:snapToGrid w:val="0"/>
          <w:color w:val="auto"/>
          <w:kern w:val="21"/>
          <w:sz w:val="24"/>
          <w:szCs w:val="24"/>
          <w:highlight w:val="none"/>
          <w:lang w:val="en-US" w:eastAsia="zh-CN"/>
        </w:rPr>
      </w:pPr>
      <w:r>
        <w:rPr>
          <w:rFonts w:hint="default" w:ascii="宋体" w:hAnsi="宋体" w:eastAsia="宋体" w:cs="宋体"/>
          <w:snapToGrid w:val="0"/>
          <w:color w:val="auto"/>
          <w:kern w:val="21"/>
          <w:sz w:val="24"/>
          <w:szCs w:val="24"/>
          <w:highlight w:val="none"/>
          <w:lang w:val="en-US"/>
        </w:rPr>
        <w:t>1.纯奶感官要求:色泽呈乳白色或微黄色，滋味气味具有乳固有的香味，无异味，组织状态星均匀一致液体，无凝块、无沉淀、无正常视力可见异物</w:t>
      </w:r>
      <w:r>
        <w:rPr>
          <w:rFonts w:hint="eastAsia" w:ascii="宋体" w:hAnsi="宋体" w:cs="宋体"/>
          <w:snapToGrid w:val="0"/>
          <w:color w:val="auto"/>
          <w:kern w:val="21"/>
          <w:sz w:val="24"/>
          <w:szCs w:val="24"/>
          <w:highlight w:val="none"/>
          <w:lang w:val="en-US" w:eastAsia="zh-CN"/>
        </w:rPr>
        <w:t>。</w:t>
      </w:r>
    </w:p>
    <w:p w14:paraId="36FD7800">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2.酸奶感官要求:色泽均匀一致，呈乳白色或微黄色，风味发酵乳具有与添加成分相符的色泽，滋味气味具有发酵乳特有的滋味、气味，风味发酵乳具有与添加成分相符的滋味和气味，组织状态细腻、均匀，允许有少量乳清析出，风味发酵乳具有添加成分特有的组织状态。</w:t>
      </w:r>
    </w:p>
    <w:p w14:paraId="6D25E378">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3.所有货物应有正规生产厂家合格证书、国家机关发出的产品检验合格证书。包装箱完整，同时包装箱要印有注册商标、生产厂家名称、厂址、生产日期、产品合格证、保质期限、产品成分、厂家电话号码等。</w:t>
      </w:r>
    </w:p>
    <w:p w14:paraId="1D99DCE8">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4.中标方所提供的货物质量必须要符合行业标准要求，不得有掺假、变质、变味、过期等现象出现，严禁伪劣、假目、无证不合格货物进入仓库。</w:t>
      </w:r>
    </w:p>
    <w:p w14:paraId="2A6AC756">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（10） 速冻食品类</w:t>
      </w:r>
    </w:p>
    <w:p w14:paraId="6A9DC90B">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1.所提供的物品必须符合国家有关标准，且在质保期内，保证无异味、无霉烂变质。</w:t>
      </w:r>
    </w:p>
    <w:p w14:paraId="031426BE">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2.所提供的物品指标要符合国家强制性标准要求，食品类产品，配送方必须清晰地列出产品品牌，型号、包装类型、包装方式、包装净重量等相关参数。</w:t>
      </w:r>
    </w:p>
    <w:p w14:paraId="53F649ED">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3.对货物的品质要求，必须符合国家，食品部门的有关标准和规格要求。</w:t>
      </w:r>
    </w:p>
    <w:p w14:paraId="64EC2700">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4.货物必须符合卫生要求，不得有腐烂、变质、霉变、生虫、污秽不结、混有异物或者其他感官性状异常，并可能对人体健康有害的物质。</w:t>
      </w:r>
    </w:p>
    <w:p w14:paraId="3A273DF2">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5.货物应有正规生产厂家合格证书、产品检验合格证书。外包装完整， 同时外包装要印有注册商标、生产厂家名称、厂址、生产日期、产品合格证、保质期限、产品成分、厂家电话号码等。</w:t>
      </w:r>
    </w:p>
    <w:p w14:paraId="6DAEA869">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（11） 杂粮类</w:t>
      </w:r>
    </w:p>
    <w:p w14:paraId="4B200A89">
      <w:pPr>
        <w:ind w:firstLine="480" w:firstLineChars="200"/>
        <w:jc w:val="left"/>
        <w:rPr>
          <w:rFonts w:hint="default" w:ascii="宋体" w:hAnsi="宋体" w:eastAsia="宋体" w:cs="宋体"/>
          <w:snapToGrid w:val="0"/>
          <w:color w:val="auto"/>
          <w:kern w:val="21"/>
          <w:sz w:val="24"/>
          <w:szCs w:val="24"/>
          <w:highlight w:val="none"/>
          <w:lang w:val="en-US"/>
        </w:rPr>
      </w:pPr>
      <w:r>
        <w:rPr>
          <w:rFonts w:hint="default" w:ascii="宋体" w:hAnsi="宋体" w:eastAsia="宋体" w:cs="宋体"/>
          <w:snapToGrid w:val="0"/>
          <w:color w:val="auto"/>
          <w:kern w:val="21"/>
          <w:sz w:val="24"/>
          <w:szCs w:val="24"/>
          <w:highlight w:val="none"/>
          <w:lang w:val="en-US"/>
        </w:rPr>
        <w:t>新鲜、成熟度适中，无腐烂、畸形、异味。干净、无异味。外形完整、美观、无破损。不得为转基因物品或转基因制成品。</w:t>
      </w:r>
    </w:p>
    <w:p w14:paraId="43B6F2DB">
      <w:pPr>
        <w:keepNext w:val="0"/>
        <w:keepLines w:val="0"/>
        <w:pageBreakBefore w:val="0"/>
        <w:widowControl w:val="0"/>
        <w:kinsoku/>
        <w:wordWrap w:val="0"/>
        <w:overflowPunct/>
        <w:topLinePunct w:val="0"/>
        <w:autoSpaceDE/>
        <w:autoSpaceDN/>
        <w:bidi w:val="0"/>
        <w:adjustRightInd/>
        <w:snapToGrid/>
        <w:spacing w:line="560" w:lineRule="exact"/>
        <w:ind w:firstLine="482"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w:t>
      </w:r>
      <w:r>
        <w:rPr>
          <w:rFonts w:hint="default" w:ascii="宋体" w:hAnsi="宋体" w:eastAsia="宋体" w:cs="宋体"/>
          <w:b/>
          <w:bCs/>
          <w:color w:val="auto"/>
          <w:sz w:val="24"/>
          <w:szCs w:val="24"/>
          <w:highlight w:val="none"/>
          <w:lang w:val="en-US" w:eastAsia="zh-CN"/>
        </w:rPr>
        <w:t>、其他内容：</w:t>
      </w:r>
    </w:p>
    <w:p w14:paraId="75ED3A6F">
      <w:pPr>
        <w:ind w:firstLine="480" w:firstLineChars="200"/>
        <w:jc w:val="left"/>
        <w:rPr>
          <w:rFonts w:hint="default" w:ascii="宋体" w:hAnsi="宋体" w:eastAsia="宋体" w:cs="宋体"/>
          <w:snapToGrid w:val="0"/>
          <w:color w:val="auto"/>
          <w:kern w:val="21"/>
          <w:sz w:val="24"/>
          <w:szCs w:val="24"/>
          <w:highlight w:val="none"/>
          <w:lang w:val="en-US"/>
        </w:rPr>
      </w:pPr>
      <w:r>
        <w:rPr>
          <w:rFonts w:hint="eastAsia" w:ascii="宋体" w:hAnsi="宋体" w:cs="宋体"/>
          <w:snapToGrid w:val="0"/>
          <w:color w:val="auto"/>
          <w:kern w:val="21"/>
          <w:sz w:val="24"/>
          <w:szCs w:val="24"/>
          <w:highlight w:val="none"/>
          <w:lang w:val="en-US" w:eastAsia="zh-CN"/>
        </w:rPr>
        <w:t>1</w:t>
      </w:r>
      <w:r>
        <w:rPr>
          <w:rFonts w:hint="default" w:ascii="宋体" w:hAnsi="宋体" w:eastAsia="宋体" w:cs="宋体"/>
          <w:snapToGrid w:val="0"/>
          <w:color w:val="auto"/>
          <w:kern w:val="21"/>
          <w:sz w:val="24"/>
          <w:szCs w:val="24"/>
          <w:highlight w:val="none"/>
          <w:lang w:val="en-US"/>
        </w:rPr>
        <w:t>.合同期内，中标企业因食品质量或其他原因造成违约行为或一般安全事故以上的，应勒令整改或终止合约，并处罚金。</w:t>
      </w:r>
    </w:p>
    <w:p w14:paraId="2EB79AB7">
      <w:pPr>
        <w:ind w:firstLine="480" w:firstLineChars="200"/>
        <w:jc w:val="left"/>
        <w:rPr>
          <w:rFonts w:hint="default" w:ascii="宋体" w:hAnsi="宋体" w:eastAsia="宋体" w:cs="宋体"/>
          <w:snapToGrid w:val="0"/>
          <w:color w:val="auto"/>
          <w:kern w:val="21"/>
          <w:sz w:val="24"/>
          <w:szCs w:val="24"/>
          <w:highlight w:val="none"/>
          <w:lang w:val="en-US"/>
        </w:rPr>
      </w:pPr>
      <w:r>
        <w:rPr>
          <w:rFonts w:hint="eastAsia" w:ascii="宋体" w:hAnsi="宋体" w:cs="宋体"/>
          <w:snapToGrid w:val="0"/>
          <w:color w:val="auto"/>
          <w:kern w:val="21"/>
          <w:sz w:val="24"/>
          <w:szCs w:val="24"/>
          <w:highlight w:val="none"/>
          <w:lang w:val="en-US" w:eastAsia="zh-CN"/>
        </w:rPr>
        <w:t>2</w:t>
      </w:r>
      <w:r>
        <w:rPr>
          <w:rFonts w:hint="default" w:ascii="宋体" w:hAnsi="宋体" w:eastAsia="宋体" w:cs="宋体"/>
          <w:snapToGrid w:val="0"/>
          <w:color w:val="auto"/>
          <w:kern w:val="21"/>
          <w:sz w:val="24"/>
          <w:szCs w:val="24"/>
          <w:highlight w:val="none"/>
          <w:lang w:val="en-US"/>
        </w:rPr>
        <w:t>.供应商必须保证所提供商品质量安全无害，必须遵守《中华人民共和国消费者权益保护法》、《中华人民共和国计量法》等相关法律、法规的要求。</w:t>
      </w:r>
    </w:p>
    <w:p w14:paraId="19023CD3">
      <w:pPr>
        <w:ind w:firstLine="480" w:firstLineChars="200"/>
        <w:jc w:val="left"/>
        <w:rPr>
          <w:rFonts w:hint="default" w:ascii="宋体" w:hAnsi="宋体" w:eastAsia="宋体" w:cs="宋体"/>
          <w:snapToGrid w:val="0"/>
          <w:color w:val="auto"/>
          <w:kern w:val="21"/>
          <w:sz w:val="24"/>
          <w:szCs w:val="24"/>
          <w:highlight w:val="none"/>
          <w:lang w:val="en-US"/>
        </w:rPr>
      </w:pPr>
      <w:r>
        <w:rPr>
          <w:rFonts w:hint="eastAsia" w:ascii="宋体" w:hAnsi="宋体" w:cs="宋体"/>
          <w:snapToGrid w:val="0"/>
          <w:color w:val="auto"/>
          <w:kern w:val="21"/>
          <w:sz w:val="24"/>
          <w:szCs w:val="24"/>
          <w:highlight w:val="none"/>
          <w:lang w:val="en-US" w:eastAsia="zh-CN"/>
        </w:rPr>
        <w:t>3</w:t>
      </w:r>
      <w:r>
        <w:rPr>
          <w:rFonts w:hint="default" w:ascii="宋体" w:hAnsi="宋体" w:eastAsia="宋体" w:cs="宋体"/>
          <w:snapToGrid w:val="0"/>
          <w:color w:val="auto"/>
          <w:kern w:val="21"/>
          <w:sz w:val="24"/>
          <w:szCs w:val="24"/>
          <w:highlight w:val="none"/>
          <w:lang w:val="en-US"/>
        </w:rPr>
        <w:t>.供货方式：供应商应根据接收方的实际需求种类及数量供货，质量应符合本项目招标要求的质量标准，且根据实际情况，保证</w:t>
      </w:r>
      <w:r>
        <w:rPr>
          <w:rFonts w:hint="eastAsia" w:ascii="宋体" w:hAnsi="宋体" w:cs="宋体"/>
          <w:snapToGrid w:val="0"/>
          <w:color w:val="auto"/>
          <w:kern w:val="21"/>
          <w:sz w:val="24"/>
          <w:szCs w:val="24"/>
          <w:highlight w:val="none"/>
          <w:lang w:val="en-US" w:eastAsia="zh-CN"/>
        </w:rPr>
        <w:t>及时供应</w:t>
      </w:r>
      <w:r>
        <w:rPr>
          <w:rFonts w:hint="default" w:ascii="宋体" w:hAnsi="宋体" w:eastAsia="宋体" w:cs="宋体"/>
          <w:snapToGrid w:val="0"/>
          <w:color w:val="auto"/>
          <w:kern w:val="21"/>
          <w:sz w:val="24"/>
          <w:szCs w:val="24"/>
          <w:highlight w:val="none"/>
          <w:lang w:val="en-US"/>
        </w:rPr>
        <w:t>；中标供应商应使用专用配送车辆进行配送；必须保证供货的食品安全、供货食品的及时、供货食品运输安全，运输过程中应有防尘、防雨雪设施。如果在项目运行过程中，投标人出现项目转让、委托配送的情况，采购人可以立即中止项目服务合同。</w:t>
      </w:r>
    </w:p>
    <w:p w14:paraId="1FE27331">
      <w:pPr>
        <w:ind w:firstLine="480" w:firstLineChars="200"/>
        <w:jc w:val="left"/>
        <w:rPr>
          <w:rFonts w:hint="default" w:ascii="宋体" w:hAnsi="宋体" w:eastAsia="宋体" w:cs="宋体"/>
          <w:snapToGrid w:val="0"/>
          <w:color w:val="auto"/>
          <w:kern w:val="21"/>
          <w:sz w:val="24"/>
          <w:szCs w:val="24"/>
          <w:highlight w:val="none"/>
          <w:lang w:val="en-US"/>
        </w:rPr>
      </w:pPr>
      <w:r>
        <w:rPr>
          <w:rFonts w:hint="eastAsia" w:ascii="宋体" w:hAnsi="宋体" w:cs="宋体"/>
          <w:snapToGrid w:val="0"/>
          <w:color w:val="auto"/>
          <w:kern w:val="21"/>
          <w:sz w:val="24"/>
          <w:szCs w:val="24"/>
          <w:highlight w:val="none"/>
          <w:lang w:val="en-US" w:eastAsia="zh-CN"/>
        </w:rPr>
        <w:t>4</w:t>
      </w:r>
      <w:r>
        <w:rPr>
          <w:rFonts w:hint="default" w:ascii="宋体" w:hAnsi="宋体" w:eastAsia="宋体" w:cs="宋体"/>
          <w:snapToGrid w:val="0"/>
          <w:color w:val="auto"/>
          <w:kern w:val="21"/>
          <w:sz w:val="24"/>
          <w:szCs w:val="24"/>
          <w:highlight w:val="none"/>
          <w:lang w:val="en-US"/>
        </w:rPr>
        <w:t>.若有新标准或要求的，应符合国家最新标准要求；</w:t>
      </w:r>
    </w:p>
    <w:p w14:paraId="1A7229F1">
      <w:pPr>
        <w:ind w:firstLine="480" w:firstLineChars="200"/>
        <w:jc w:val="left"/>
        <w:rPr>
          <w:rFonts w:hint="default" w:ascii="宋体" w:hAnsi="宋体" w:eastAsia="宋体" w:cs="宋体"/>
          <w:snapToGrid w:val="0"/>
          <w:color w:val="auto"/>
          <w:kern w:val="21"/>
          <w:sz w:val="24"/>
          <w:szCs w:val="24"/>
          <w:highlight w:val="none"/>
          <w:lang w:val="en-US"/>
        </w:rPr>
      </w:pPr>
      <w:r>
        <w:rPr>
          <w:rFonts w:hint="eastAsia" w:ascii="宋体" w:hAnsi="宋体" w:cs="宋体"/>
          <w:snapToGrid w:val="0"/>
          <w:color w:val="auto"/>
          <w:kern w:val="21"/>
          <w:sz w:val="24"/>
          <w:szCs w:val="24"/>
          <w:highlight w:val="none"/>
          <w:lang w:val="en-US" w:eastAsia="zh-CN"/>
        </w:rPr>
        <w:t>5</w:t>
      </w:r>
      <w:r>
        <w:rPr>
          <w:rFonts w:hint="default" w:ascii="宋体" w:hAnsi="宋体" w:eastAsia="宋体" w:cs="宋体"/>
          <w:snapToGrid w:val="0"/>
          <w:color w:val="auto"/>
          <w:kern w:val="21"/>
          <w:sz w:val="24"/>
          <w:szCs w:val="24"/>
          <w:highlight w:val="none"/>
          <w:lang w:val="en-US"/>
        </w:rPr>
        <w:t>.未尽事宜按照国家、省、市、县相关规定执行。</w:t>
      </w:r>
    </w:p>
    <w:p w14:paraId="7E97C4EA">
      <w:pPr>
        <w:rPr>
          <w:rFonts w:hint="eastAsia" w:ascii="宋体" w:hAnsi="宋体" w:eastAsia="宋体" w:cs="宋体"/>
          <w:color w:val="auto"/>
        </w:rPr>
      </w:pPr>
    </w:p>
    <w:p w14:paraId="1B372C9A">
      <w:pPr>
        <w:pStyle w:val="12"/>
        <w:rPr>
          <w:rFonts w:hint="eastAsia" w:ascii="宋体" w:hAnsi="宋体" w:eastAsia="宋体" w:cs="宋体"/>
          <w:color w:val="auto"/>
        </w:rPr>
      </w:pPr>
    </w:p>
    <w:p w14:paraId="545A1E89">
      <w:pPr>
        <w:pStyle w:val="12"/>
        <w:rPr>
          <w:rFonts w:hint="eastAsia" w:ascii="宋体" w:hAnsi="宋体" w:eastAsia="宋体" w:cs="宋体"/>
          <w:color w:val="auto"/>
        </w:rPr>
      </w:pPr>
    </w:p>
    <w:p w14:paraId="45DA4759">
      <w:pPr>
        <w:pStyle w:val="12"/>
        <w:rPr>
          <w:rFonts w:hint="eastAsia" w:ascii="宋体" w:hAnsi="宋体" w:eastAsia="宋体" w:cs="宋体"/>
          <w:color w:val="auto"/>
        </w:rPr>
      </w:pPr>
    </w:p>
    <w:p w14:paraId="042CE8EA">
      <w:pPr>
        <w:pStyle w:val="12"/>
        <w:rPr>
          <w:rFonts w:hint="eastAsia" w:ascii="宋体" w:hAnsi="宋体" w:eastAsia="宋体" w:cs="宋体"/>
          <w:color w:val="auto"/>
        </w:rPr>
      </w:pPr>
    </w:p>
    <w:p w14:paraId="438F722E">
      <w:pPr>
        <w:pStyle w:val="12"/>
        <w:rPr>
          <w:rFonts w:hint="eastAsia" w:ascii="宋体" w:hAnsi="宋体" w:eastAsia="宋体" w:cs="宋体"/>
          <w:color w:val="auto"/>
        </w:rPr>
      </w:pPr>
    </w:p>
    <w:p w14:paraId="0CDA6039">
      <w:pPr>
        <w:pStyle w:val="12"/>
        <w:rPr>
          <w:rFonts w:hint="eastAsia" w:ascii="宋体" w:hAnsi="宋体" w:eastAsia="宋体" w:cs="宋体"/>
          <w:color w:val="auto"/>
        </w:rPr>
      </w:pPr>
    </w:p>
    <w:p w14:paraId="6D53C4DE">
      <w:pPr>
        <w:pStyle w:val="12"/>
        <w:rPr>
          <w:rFonts w:hint="eastAsia" w:ascii="宋体" w:hAnsi="宋体" w:eastAsia="宋体" w:cs="宋体"/>
          <w:color w:val="auto"/>
        </w:rPr>
      </w:pPr>
    </w:p>
    <w:p w14:paraId="65977AAD">
      <w:pPr>
        <w:pStyle w:val="12"/>
        <w:rPr>
          <w:rFonts w:hint="eastAsia" w:ascii="宋体" w:hAnsi="宋体" w:eastAsia="宋体" w:cs="宋体"/>
          <w:color w:val="auto"/>
        </w:rPr>
      </w:pPr>
    </w:p>
    <w:p w14:paraId="66B035EB">
      <w:pPr>
        <w:pStyle w:val="12"/>
        <w:rPr>
          <w:rFonts w:hint="eastAsia" w:ascii="宋体" w:hAnsi="宋体" w:eastAsia="宋体" w:cs="宋体"/>
          <w:color w:val="auto"/>
        </w:rPr>
      </w:pPr>
    </w:p>
    <w:p w14:paraId="2641445C">
      <w:pPr>
        <w:jc w:val="center"/>
        <w:rPr>
          <w:rFonts w:hint="eastAsia" w:ascii="宋体" w:hAnsi="宋体" w:eastAsia="宋体" w:cs="宋体"/>
          <w:b/>
          <w:bCs/>
          <w:color w:val="auto"/>
          <w:spacing w:val="0"/>
          <w:kern w:val="0"/>
          <w:sz w:val="28"/>
          <w:szCs w:val="32"/>
          <w:lang w:val="zh-CN"/>
        </w:rPr>
      </w:pPr>
    </w:p>
    <w:p w14:paraId="4F32D7C9">
      <w:pPr>
        <w:jc w:val="both"/>
        <w:rPr>
          <w:rFonts w:hint="eastAsia" w:ascii="宋体" w:hAnsi="宋体" w:eastAsia="宋体" w:cs="宋体"/>
          <w:b/>
          <w:bCs/>
          <w:color w:val="auto"/>
          <w:spacing w:val="0"/>
          <w:kern w:val="0"/>
          <w:sz w:val="28"/>
          <w:szCs w:val="32"/>
          <w:lang w:val="zh-CN"/>
        </w:rPr>
      </w:pPr>
    </w:p>
    <w:p w14:paraId="1C431713">
      <w:pPr>
        <w:jc w:val="both"/>
        <w:rPr>
          <w:rFonts w:hint="eastAsia" w:ascii="宋体" w:hAnsi="宋体" w:eastAsia="宋体" w:cs="宋体"/>
          <w:b/>
          <w:bCs/>
          <w:color w:val="auto"/>
          <w:spacing w:val="0"/>
          <w:kern w:val="0"/>
          <w:sz w:val="28"/>
          <w:szCs w:val="32"/>
          <w:lang w:val="zh-CN"/>
        </w:rPr>
      </w:pPr>
    </w:p>
    <w:p w14:paraId="68EA0085">
      <w:pPr>
        <w:jc w:val="center"/>
        <w:rPr>
          <w:rFonts w:hint="eastAsia" w:ascii="宋体" w:hAnsi="宋体" w:eastAsia="宋体" w:cs="宋体"/>
          <w:b/>
          <w:bCs/>
          <w:snapToGrid w:val="0"/>
          <w:color w:val="auto"/>
          <w:spacing w:val="0"/>
          <w:kern w:val="21"/>
          <w:sz w:val="36"/>
          <w:szCs w:val="40"/>
          <w:lang w:val="zh-CN"/>
        </w:rPr>
      </w:pPr>
      <w:r>
        <w:rPr>
          <w:rFonts w:hint="eastAsia" w:ascii="宋体" w:hAnsi="宋体" w:eastAsia="宋体" w:cs="宋体"/>
          <w:b/>
          <w:bCs/>
          <w:snapToGrid w:val="0"/>
          <w:color w:val="auto"/>
          <w:spacing w:val="0"/>
          <w:kern w:val="21"/>
          <w:sz w:val="36"/>
          <w:szCs w:val="40"/>
          <w:lang w:val="zh-CN"/>
        </w:rPr>
        <w:t>第四章 评标办法</w:t>
      </w:r>
    </w:p>
    <w:p w14:paraId="4EC065AD">
      <w:pPr>
        <w:jc w:val="center"/>
        <w:rPr>
          <w:rFonts w:hint="eastAsia" w:ascii="宋体" w:hAnsi="宋体" w:eastAsia="宋体" w:cs="宋体"/>
          <w:b/>
          <w:bCs/>
          <w:color w:val="auto"/>
          <w:spacing w:val="0"/>
          <w:kern w:val="0"/>
          <w:sz w:val="28"/>
          <w:szCs w:val="32"/>
          <w:lang w:val="en-US" w:eastAsia="zh-CN"/>
        </w:rPr>
      </w:pPr>
      <w:r>
        <w:rPr>
          <w:rFonts w:hint="eastAsia" w:ascii="宋体" w:hAnsi="宋体" w:eastAsia="宋体" w:cs="宋体"/>
          <w:b/>
          <w:bCs/>
          <w:color w:val="auto"/>
          <w:spacing w:val="0"/>
          <w:kern w:val="0"/>
          <w:sz w:val="28"/>
          <w:szCs w:val="32"/>
          <w:lang w:val="en-US" w:eastAsia="zh-CN"/>
        </w:rPr>
        <w:t>评标办法前附表</w:t>
      </w:r>
    </w:p>
    <w:bookmarkEnd w:id="18"/>
    <w:tbl>
      <w:tblPr>
        <w:tblStyle w:val="17"/>
        <w:tblW w:w="10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
        <w:gridCol w:w="1276"/>
        <w:gridCol w:w="1914"/>
        <w:gridCol w:w="6207"/>
      </w:tblGrid>
      <w:tr w14:paraId="287CD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211" w:type="dxa"/>
            <w:gridSpan w:val="2"/>
            <w:noWrap w:val="0"/>
            <w:tcMar>
              <w:left w:w="57" w:type="dxa"/>
              <w:right w:w="57" w:type="dxa"/>
            </w:tcMar>
            <w:vAlign w:val="center"/>
          </w:tcPr>
          <w:p w14:paraId="30F31AA6">
            <w:pPr>
              <w:spacing w:before="206"/>
              <w:ind w:left="147" w:right="139"/>
              <w:rPr>
                <w:rFonts w:hint="eastAsia" w:ascii="宋体" w:hAnsi="宋体" w:eastAsia="宋体" w:cs="宋体"/>
                <w:b/>
                <w:bCs/>
                <w:color w:val="auto"/>
                <w:spacing w:val="0"/>
                <w:szCs w:val="21"/>
              </w:rPr>
            </w:pPr>
            <w:r>
              <w:rPr>
                <w:rFonts w:hint="eastAsia" w:ascii="宋体" w:hAnsi="宋体" w:eastAsia="宋体" w:cs="宋体"/>
                <w:b/>
                <w:bCs/>
                <w:color w:val="auto"/>
                <w:spacing w:val="0"/>
                <w:szCs w:val="21"/>
              </w:rPr>
              <w:t>条款号</w:t>
            </w:r>
          </w:p>
        </w:tc>
        <w:tc>
          <w:tcPr>
            <w:tcW w:w="1914" w:type="dxa"/>
            <w:noWrap w:val="0"/>
            <w:tcMar>
              <w:left w:w="57" w:type="dxa"/>
              <w:right w:w="57" w:type="dxa"/>
            </w:tcMar>
            <w:vAlign w:val="center"/>
          </w:tcPr>
          <w:p w14:paraId="01FC1EB1">
            <w:pPr>
              <w:spacing w:before="206"/>
              <w:ind w:left="147" w:right="139"/>
              <w:rPr>
                <w:rFonts w:hint="eastAsia" w:ascii="宋体" w:hAnsi="宋体" w:eastAsia="宋体" w:cs="宋体"/>
                <w:b/>
                <w:bCs/>
                <w:color w:val="auto"/>
                <w:spacing w:val="0"/>
                <w:szCs w:val="21"/>
              </w:rPr>
            </w:pPr>
            <w:r>
              <w:rPr>
                <w:rFonts w:hint="eastAsia" w:ascii="宋体" w:hAnsi="宋体" w:eastAsia="宋体" w:cs="宋体"/>
                <w:b/>
                <w:bCs/>
                <w:color w:val="auto"/>
                <w:spacing w:val="0"/>
                <w:szCs w:val="21"/>
              </w:rPr>
              <w:t>评审因素</w:t>
            </w:r>
          </w:p>
        </w:tc>
        <w:tc>
          <w:tcPr>
            <w:tcW w:w="6207" w:type="dxa"/>
            <w:noWrap w:val="0"/>
            <w:tcMar>
              <w:left w:w="57" w:type="dxa"/>
              <w:right w:w="57" w:type="dxa"/>
            </w:tcMar>
            <w:vAlign w:val="center"/>
          </w:tcPr>
          <w:p w14:paraId="1580768D">
            <w:pPr>
              <w:spacing w:before="206"/>
              <w:ind w:left="147" w:right="139"/>
              <w:rPr>
                <w:rFonts w:hint="eastAsia" w:ascii="宋体" w:hAnsi="宋体" w:eastAsia="宋体" w:cs="宋体"/>
                <w:b/>
                <w:bCs/>
                <w:color w:val="auto"/>
                <w:spacing w:val="0"/>
                <w:szCs w:val="21"/>
              </w:rPr>
            </w:pPr>
            <w:r>
              <w:rPr>
                <w:rFonts w:hint="eastAsia" w:ascii="宋体" w:hAnsi="宋体" w:eastAsia="宋体" w:cs="宋体"/>
                <w:b/>
                <w:bCs/>
                <w:color w:val="auto"/>
                <w:spacing w:val="0"/>
                <w:szCs w:val="21"/>
              </w:rPr>
              <w:t>评审标准</w:t>
            </w:r>
          </w:p>
        </w:tc>
      </w:tr>
      <w:tr w14:paraId="01CF5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restart"/>
            <w:noWrap w:val="0"/>
            <w:tcMar>
              <w:left w:w="57" w:type="dxa"/>
              <w:right w:w="57" w:type="dxa"/>
            </w:tcMar>
            <w:vAlign w:val="center"/>
          </w:tcPr>
          <w:p w14:paraId="16D47A2C">
            <w:pPr>
              <w:jc w:val="center"/>
              <w:rPr>
                <w:rFonts w:hint="eastAsia" w:ascii="宋体" w:hAnsi="宋体" w:eastAsia="宋体" w:cs="宋体"/>
                <w:color w:val="auto"/>
                <w:spacing w:val="0"/>
                <w:kern w:val="0"/>
                <w:szCs w:val="21"/>
                <w:lang w:eastAsia="zh-CN"/>
              </w:rPr>
            </w:pPr>
            <w:r>
              <w:rPr>
                <w:rFonts w:hint="eastAsia" w:ascii="宋体" w:hAnsi="宋体" w:cs="宋体"/>
                <w:color w:val="auto"/>
                <w:spacing w:val="0"/>
                <w:kern w:val="0"/>
                <w:szCs w:val="21"/>
                <w:lang w:val="en-US" w:eastAsia="zh-CN"/>
              </w:rPr>
              <w:t>1</w:t>
            </w:r>
            <w:r>
              <w:rPr>
                <w:rFonts w:hint="eastAsia" w:ascii="宋体" w:hAnsi="宋体" w:eastAsia="宋体" w:cs="宋体"/>
                <w:color w:val="auto"/>
                <w:spacing w:val="0"/>
                <w:kern w:val="0"/>
                <w:szCs w:val="21"/>
                <w:lang w:val="en-US" w:eastAsia="zh-CN"/>
              </w:rPr>
              <w:t>.1.1</w:t>
            </w:r>
          </w:p>
        </w:tc>
        <w:tc>
          <w:tcPr>
            <w:tcW w:w="1276" w:type="dxa"/>
            <w:vMerge w:val="restart"/>
            <w:noWrap w:val="0"/>
            <w:tcMar>
              <w:left w:w="57" w:type="dxa"/>
              <w:right w:w="57" w:type="dxa"/>
            </w:tcMar>
            <w:vAlign w:val="center"/>
          </w:tcPr>
          <w:p w14:paraId="35566F68">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lang w:val="en-US" w:eastAsia="zh-CN"/>
              </w:rPr>
              <w:t>符合性</w:t>
            </w:r>
            <w:r>
              <w:rPr>
                <w:rFonts w:hint="eastAsia" w:ascii="宋体" w:hAnsi="宋体" w:eastAsia="宋体" w:cs="宋体"/>
                <w:color w:val="auto"/>
                <w:spacing w:val="0"/>
                <w:szCs w:val="21"/>
              </w:rPr>
              <w:t>评审标准</w:t>
            </w:r>
          </w:p>
        </w:tc>
        <w:tc>
          <w:tcPr>
            <w:tcW w:w="1914" w:type="dxa"/>
            <w:noWrap w:val="0"/>
            <w:tcMar>
              <w:left w:w="57" w:type="dxa"/>
              <w:right w:w="57" w:type="dxa"/>
            </w:tcMar>
            <w:vAlign w:val="center"/>
          </w:tcPr>
          <w:p w14:paraId="362292B2">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lang w:eastAsia="zh-CN"/>
              </w:rPr>
              <w:t>投标人</w:t>
            </w:r>
            <w:r>
              <w:rPr>
                <w:rFonts w:hint="eastAsia" w:ascii="宋体" w:hAnsi="宋体" w:eastAsia="宋体" w:cs="宋体"/>
                <w:color w:val="auto"/>
                <w:spacing w:val="0"/>
                <w:szCs w:val="21"/>
              </w:rPr>
              <w:t>名称</w:t>
            </w:r>
          </w:p>
        </w:tc>
        <w:tc>
          <w:tcPr>
            <w:tcW w:w="6207" w:type="dxa"/>
            <w:noWrap w:val="0"/>
            <w:tcMar>
              <w:left w:w="57" w:type="dxa"/>
              <w:right w:w="57" w:type="dxa"/>
            </w:tcMar>
            <w:vAlign w:val="center"/>
          </w:tcPr>
          <w:p w14:paraId="66DF1557">
            <w:pPr>
              <w:jc w:val="left"/>
              <w:rPr>
                <w:rFonts w:hint="eastAsia" w:ascii="宋体" w:hAnsi="宋体" w:eastAsia="宋体" w:cs="宋体"/>
                <w:color w:val="auto"/>
                <w:spacing w:val="0"/>
                <w:szCs w:val="21"/>
              </w:rPr>
            </w:pPr>
            <w:r>
              <w:rPr>
                <w:rFonts w:hint="eastAsia" w:ascii="宋体" w:hAnsi="宋体" w:eastAsia="宋体" w:cs="宋体"/>
                <w:color w:val="auto"/>
                <w:spacing w:val="0"/>
                <w:szCs w:val="21"/>
              </w:rPr>
              <w:t>与营业执照（或事业单位法人证书）一致</w:t>
            </w:r>
          </w:p>
        </w:tc>
      </w:tr>
      <w:tr w14:paraId="4C897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5F541165">
            <w:pPr>
              <w:jc w:val="center"/>
              <w:rPr>
                <w:rFonts w:hint="eastAsia" w:ascii="宋体" w:hAnsi="宋体" w:eastAsia="宋体" w:cs="宋体"/>
                <w:color w:val="auto"/>
                <w:spacing w:val="0"/>
                <w:szCs w:val="21"/>
              </w:rPr>
            </w:pPr>
          </w:p>
        </w:tc>
        <w:tc>
          <w:tcPr>
            <w:tcW w:w="1276" w:type="dxa"/>
            <w:vMerge w:val="continue"/>
            <w:noWrap w:val="0"/>
            <w:tcMar>
              <w:left w:w="57" w:type="dxa"/>
              <w:right w:w="57" w:type="dxa"/>
            </w:tcMar>
            <w:vAlign w:val="center"/>
          </w:tcPr>
          <w:p w14:paraId="281C3BC6">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013BEC46">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rPr>
              <w:t>签字盖章</w:t>
            </w:r>
          </w:p>
        </w:tc>
        <w:tc>
          <w:tcPr>
            <w:tcW w:w="6207" w:type="dxa"/>
            <w:noWrap w:val="0"/>
            <w:tcMar>
              <w:left w:w="57" w:type="dxa"/>
              <w:right w:w="57" w:type="dxa"/>
            </w:tcMar>
            <w:vAlign w:val="center"/>
          </w:tcPr>
          <w:p w14:paraId="42C8916C">
            <w:pPr>
              <w:jc w:val="left"/>
              <w:rPr>
                <w:rFonts w:hint="eastAsia" w:ascii="宋体" w:hAnsi="宋体" w:eastAsia="宋体" w:cs="宋体"/>
                <w:color w:val="auto"/>
                <w:spacing w:val="0"/>
                <w:szCs w:val="21"/>
                <w:lang w:val="en-US" w:eastAsia="zh-CN"/>
              </w:rPr>
            </w:pPr>
            <w:r>
              <w:rPr>
                <w:rFonts w:hint="eastAsia" w:ascii="宋体" w:hAnsi="宋体" w:eastAsia="宋体" w:cs="宋体"/>
                <w:color w:val="auto"/>
                <w:spacing w:val="0"/>
                <w:szCs w:val="21"/>
                <w:lang w:val="en-US" w:eastAsia="zh-CN"/>
              </w:rPr>
              <w:t>投标文件按招标文件要求签署、盖章</w:t>
            </w:r>
          </w:p>
        </w:tc>
      </w:tr>
      <w:tr w14:paraId="6A67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75CB8A9C">
            <w:pPr>
              <w:jc w:val="center"/>
              <w:rPr>
                <w:rFonts w:hint="eastAsia" w:ascii="宋体" w:hAnsi="宋体" w:eastAsia="宋体" w:cs="宋体"/>
                <w:color w:val="auto"/>
                <w:spacing w:val="0"/>
                <w:szCs w:val="21"/>
              </w:rPr>
            </w:pPr>
          </w:p>
        </w:tc>
        <w:tc>
          <w:tcPr>
            <w:tcW w:w="1276" w:type="dxa"/>
            <w:vMerge w:val="continue"/>
            <w:noWrap w:val="0"/>
            <w:tcMar>
              <w:left w:w="57" w:type="dxa"/>
              <w:right w:w="57" w:type="dxa"/>
            </w:tcMar>
            <w:vAlign w:val="center"/>
          </w:tcPr>
          <w:p w14:paraId="107D7BD6">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53CCECA6">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rPr>
              <w:t>投标文件格式</w:t>
            </w:r>
          </w:p>
        </w:tc>
        <w:tc>
          <w:tcPr>
            <w:tcW w:w="6207" w:type="dxa"/>
            <w:noWrap w:val="0"/>
            <w:tcMar>
              <w:left w:w="57" w:type="dxa"/>
              <w:right w:w="57" w:type="dxa"/>
            </w:tcMar>
            <w:vAlign w:val="center"/>
          </w:tcPr>
          <w:p w14:paraId="145795A8">
            <w:pPr>
              <w:jc w:val="left"/>
              <w:rPr>
                <w:rFonts w:hint="eastAsia" w:ascii="宋体" w:hAnsi="宋体" w:eastAsia="宋体" w:cs="宋体"/>
                <w:color w:val="auto"/>
                <w:spacing w:val="0"/>
                <w:szCs w:val="21"/>
                <w:lang w:val="en-US" w:eastAsia="zh-CN"/>
              </w:rPr>
            </w:pPr>
            <w:r>
              <w:rPr>
                <w:rFonts w:hint="eastAsia" w:ascii="宋体" w:hAnsi="宋体" w:eastAsia="宋体" w:cs="宋体"/>
                <w:color w:val="auto"/>
                <w:spacing w:val="0"/>
                <w:szCs w:val="21"/>
                <w:lang w:val="en-US" w:eastAsia="zh-CN"/>
              </w:rPr>
              <w:t>符合第六章“投标文件格式”的要求</w:t>
            </w:r>
          </w:p>
        </w:tc>
      </w:tr>
      <w:tr w14:paraId="2645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1E76E300">
            <w:pPr>
              <w:jc w:val="center"/>
              <w:rPr>
                <w:rFonts w:hint="eastAsia" w:ascii="宋体" w:hAnsi="宋体" w:eastAsia="宋体" w:cs="宋体"/>
                <w:color w:val="auto"/>
                <w:spacing w:val="0"/>
                <w:szCs w:val="21"/>
              </w:rPr>
            </w:pPr>
          </w:p>
        </w:tc>
        <w:tc>
          <w:tcPr>
            <w:tcW w:w="1276" w:type="dxa"/>
            <w:vMerge w:val="continue"/>
            <w:noWrap w:val="0"/>
            <w:tcMar>
              <w:left w:w="57" w:type="dxa"/>
              <w:right w:w="57" w:type="dxa"/>
            </w:tcMar>
            <w:vAlign w:val="center"/>
          </w:tcPr>
          <w:p w14:paraId="523C0FF6">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2EA65F52">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rPr>
              <w:t>报价唯一</w:t>
            </w:r>
          </w:p>
        </w:tc>
        <w:tc>
          <w:tcPr>
            <w:tcW w:w="6207" w:type="dxa"/>
            <w:noWrap w:val="0"/>
            <w:tcMar>
              <w:left w:w="57" w:type="dxa"/>
              <w:right w:w="57" w:type="dxa"/>
            </w:tcMar>
            <w:vAlign w:val="center"/>
          </w:tcPr>
          <w:p w14:paraId="5AE5BBDF">
            <w:pPr>
              <w:jc w:val="left"/>
              <w:rPr>
                <w:rFonts w:hint="eastAsia" w:ascii="宋体" w:hAnsi="宋体" w:eastAsia="宋体" w:cs="宋体"/>
                <w:color w:val="auto"/>
                <w:spacing w:val="0"/>
                <w:szCs w:val="21"/>
                <w:lang w:val="en-US" w:eastAsia="zh-CN"/>
              </w:rPr>
            </w:pPr>
            <w:r>
              <w:rPr>
                <w:rFonts w:hint="eastAsia" w:ascii="宋体" w:hAnsi="宋体" w:eastAsia="宋体" w:cs="宋体"/>
                <w:color w:val="auto"/>
                <w:spacing w:val="0"/>
                <w:szCs w:val="21"/>
                <w:lang w:val="en-US" w:eastAsia="zh-CN"/>
              </w:rPr>
              <w:t>只能有一个有效报价。</w:t>
            </w:r>
          </w:p>
        </w:tc>
      </w:tr>
      <w:tr w14:paraId="55B8C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restart"/>
            <w:noWrap w:val="0"/>
            <w:tcMar>
              <w:left w:w="57" w:type="dxa"/>
              <w:right w:w="57" w:type="dxa"/>
            </w:tcMar>
            <w:vAlign w:val="center"/>
          </w:tcPr>
          <w:p w14:paraId="751F4F31">
            <w:pPr>
              <w:jc w:val="center"/>
              <w:rPr>
                <w:rFonts w:hint="eastAsia" w:ascii="宋体" w:hAnsi="宋体" w:eastAsia="宋体" w:cs="宋体"/>
                <w:color w:val="auto"/>
                <w:spacing w:val="0"/>
                <w:szCs w:val="21"/>
                <w:lang w:eastAsia="zh-CN"/>
              </w:rPr>
            </w:pPr>
            <w:r>
              <w:rPr>
                <w:rFonts w:hint="eastAsia" w:ascii="宋体" w:hAnsi="宋体" w:cs="宋体"/>
                <w:color w:val="auto"/>
                <w:spacing w:val="0"/>
                <w:szCs w:val="21"/>
                <w:lang w:val="en-US" w:eastAsia="zh-CN"/>
              </w:rPr>
              <w:t>1</w:t>
            </w:r>
            <w:r>
              <w:rPr>
                <w:rFonts w:hint="eastAsia" w:ascii="宋体" w:hAnsi="宋体" w:eastAsia="宋体" w:cs="宋体"/>
                <w:color w:val="auto"/>
                <w:spacing w:val="0"/>
                <w:szCs w:val="21"/>
                <w:lang w:val="en-US" w:eastAsia="zh-CN"/>
              </w:rPr>
              <w:t>.1.2</w:t>
            </w:r>
          </w:p>
        </w:tc>
        <w:tc>
          <w:tcPr>
            <w:tcW w:w="1276" w:type="dxa"/>
            <w:vMerge w:val="restart"/>
            <w:noWrap w:val="0"/>
            <w:tcMar>
              <w:left w:w="57" w:type="dxa"/>
              <w:right w:w="57" w:type="dxa"/>
            </w:tcMar>
            <w:vAlign w:val="center"/>
          </w:tcPr>
          <w:p w14:paraId="46661BAB">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rPr>
              <w:t>资格评审标准</w:t>
            </w:r>
          </w:p>
        </w:tc>
        <w:tc>
          <w:tcPr>
            <w:tcW w:w="1914" w:type="dxa"/>
            <w:noWrap w:val="0"/>
            <w:tcMar>
              <w:left w:w="57" w:type="dxa"/>
              <w:right w:w="57" w:type="dxa"/>
            </w:tcMar>
            <w:vAlign w:val="center"/>
          </w:tcPr>
          <w:p w14:paraId="53977BFF">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《中华人民共和国政府采购法》第二十二条</w:t>
            </w:r>
          </w:p>
        </w:tc>
        <w:tc>
          <w:tcPr>
            <w:tcW w:w="6207" w:type="dxa"/>
            <w:noWrap w:val="0"/>
            <w:vAlign w:val="center"/>
          </w:tcPr>
          <w:p w14:paraId="78E68E63">
            <w:p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供应商参加本次政府采购活动中必须符合《中华人民共和国政府采购法》第二十二条对合格供应商的要求</w:t>
            </w:r>
          </w:p>
        </w:tc>
      </w:tr>
      <w:tr w14:paraId="22CE2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68DC860B">
            <w:pPr>
              <w:jc w:val="center"/>
              <w:rPr>
                <w:rFonts w:hint="eastAsia" w:ascii="宋体" w:hAnsi="宋体" w:eastAsia="宋体" w:cs="宋体"/>
                <w:color w:val="auto"/>
                <w:spacing w:val="0"/>
                <w:szCs w:val="21"/>
                <w:lang w:val="en-US" w:eastAsia="zh-CN"/>
              </w:rPr>
            </w:pPr>
          </w:p>
        </w:tc>
        <w:tc>
          <w:tcPr>
            <w:tcW w:w="1276" w:type="dxa"/>
            <w:vMerge w:val="continue"/>
            <w:noWrap w:val="0"/>
            <w:tcMar>
              <w:left w:w="57" w:type="dxa"/>
              <w:right w:w="57" w:type="dxa"/>
            </w:tcMar>
            <w:vAlign w:val="center"/>
          </w:tcPr>
          <w:p w14:paraId="0D43522C">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5FAC7278">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中小企业声明函</w:t>
            </w:r>
          </w:p>
        </w:tc>
        <w:tc>
          <w:tcPr>
            <w:tcW w:w="6207" w:type="dxa"/>
            <w:noWrap w:val="0"/>
            <w:vAlign w:val="center"/>
          </w:tcPr>
          <w:p w14:paraId="4094CB65">
            <w:pPr>
              <w:spacing w:line="360" w:lineRule="auto"/>
              <w:jc w:val="left"/>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根据《政府采购促进中小企业发展管理办法》（财库〔2020〕46号）规定，本项目专门面向中小企业采购；同时供应商须提供《中小企业声明函》。</w:t>
            </w:r>
          </w:p>
        </w:tc>
      </w:tr>
      <w:tr w14:paraId="4C748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603A0208">
            <w:pPr>
              <w:jc w:val="center"/>
              <w:rPr>
                <w:rFonts w:hint="eastAsia" w:ascii="宋体" w:hAnsi="宋体" w:eastAsia="宋体" w:cs="宋体"/>
                <w:color w:val="auto"/>
                <w:spacing w:val="0"/>
                <w:szCs w:val="21"/>
                <w:lang w:val="en-US" w:eastAsia="zh-CN"/>
              </w:rPr>
            </w:pPr>
          </w:p>
        </w:tc>
        <w:tc>
          <w:tcPr>
            <w:tcW w:w="1276" w:type="dxa"/>
            <w:vMerge w:val="continue"/>
            <w:noWrap w:val="0"/>
            <w:tcMar>
              <w:left w:w="57" w:type="dxa"/>
              <w:right w:w="57" w:type="dxa"/>
            </w:tcMar>
            <w:vAlign w:val="center"/>
          </w:tcPr>
          <w:p w14:paraId="49D24833">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303040F9">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营业执照</w:t>
            </w:r>
          </w:p>
        </w:tc>
        <w:tc>
          <w:tcPr>
            <w:tcW w:w="6207" w:type="dxa"/>
            <w:noWrap w:val="0"/>
            <w:vAlign w:val="center"/>
          </w:tcPr>
          <w:p w14:paraId="151D83DE">
            <w:p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供应商须具有独立承担民事责任的能力，须提供有效的营业执照或其他证明材料</w:t>
            </w:r>
          </w:p>
        </w:tc>
      </w:tr>
      <w:tr w14:paraId="4CD7F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390786F9">
            <w:pPr>
              <w:jc w:val="center"/>
              <w:rPr>
                <w:rFonts w:hint="eastAsia" w:ascii="宋体" w:hAnsi="宋体" w:eastAsia="宋体" w:cs="宋体"/>
                <w:color w:val="auto"/>
                <w:spacing w:val="0"/>
                <w:szCs w:val="21"/>
                <w:lang w:val="en-US" w:eastAsia="zh-CN"/>
              </w:rPr>
            </w:pPr>
          </w:p>
        </w:tc>
        <w:tc>
          <w:tcPr>
            <w:tcW w:w="1276" w:type="dxa"/>
            <w:vMerge w:val="continue"/>
            <w:noWrap w:val="0"/>
            <w:tcMar>
              <w:left w:w="57" w:type="dxa"/>
              <w:right w:w="57" w:type="dxa"/>
            </w:tcMar>
            <w:vAlign w:val="center"/>
          </w:tcPr>
          <w:p w14:paraId="7261CD71">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34DAF7D0">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供应商经营许可资格</w:t>
            </w:r>
          </w:p>
        </w:tc>
        <w:tc>
          <w:tcPr>
            <w:tcW w:w="6207" w:type="dxa"/>
            <w:noWrap w:val="0"/>
            <w:vAlign w:val="center"/>
          </w:tcPr>
          <w:p w14:paraId="399ECF50">
            <w:p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若投标人为生产商需具有食品生产许可证；若投标人为经销商需具有食品经营许可证；投标人有固定的门面和仓储条件。</w:t>
            </w:r>
          </w:p>
        </w:tc>
      </w:tr>
      <w:tr w14:paraId="25FE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62AF8D46">
            <w:pPr>
              <w:jc w:val="center"/>
              <w:rPr>
                <w:rFonts w:hint="eastAsia" w:ascii="宋体" w:hAnsi="宋体" w:eastAsia="宋体" w:cs="宋体"/>
                <w:color w:val="auto"/>
                <w:spacing w:val="0"/>
                <w:szCs w:val="21"/>
                <w:lang w:val="en-US" w:eastAsia="zh-CN"/>
              </w:rPr>
            </w:pPr>
          </w:p>
        </w:tc>
        <w:tc>
          <w:tcPr>
            <w:tcW w:w="1276" w:type="dxa"/>
            <w:vMerge w:val="continue"/>
            <w:noWrap w:val="0"/>
            <w:tcMar>
              <w:left w:w="57" w:type="dxa"/>
              <w:right w:w="57" w:type="dxa"/>
            </w:tcMar>
            <w:vAlign w:val="center"/>
          </w:tcPr>
          <w:p w14:paraId="2E42897D">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7E869ADC">
            <w:pPr>
              <w:spacing w:line="360" w:lineRule="auto"/>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项目负责人</w:t>
            </w:r>
          </w:p>
        </w:tc>
        <w:tc>
          <w:tcPr>
            <w:tcW w:w="6207" w:type="dxa"/>
            <w:noWrap w:val="0"/>
            <w:vAlign w:val="center"/>
          </w:tcPr>
          <w:p w14:paraId="3E289F66">
            <w:p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拟派的项目负责人需在防疫部门办理健康证，为本单位员工且已参加社会保险，须提供投标截止日前由社保机构出具的养老保险缴费证明；</w:t>
            </w:r>
          </w:p>
        </w:tc>
      </w:tr>
      <w:tr w14:paraId="2BE3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0C9E1C6A">
            <w:pPr>
              <w:jc w:val="center"/>
              <w:rPr>
                <w:rFonts w:hint="eastAsia" w:ascii="宋体" w:hAnsi="宋体" w:eastAsia="宋体" w:cs="宋体"/>
                <w:color w:val="auto"/>
                <w:spacing w:val="0"/>
                <w:szCs w:val="21"/>
                <w:lang w:val="en-US" w:eastAsia="zh-CN"/>
              </w:rPr>
            </w:pPr>
          </w:p>
        </w:tc>
        <w:tc>
          <w:tcPr>
            <w:tcW w:w="1276" w:type="dxa"/>
            <w:vMerge w:val="continue"/>
            <w:noWrap w:val="0"/>
            <w:tcMar>
              <w:left w:w="57" w:type="dxa"/>
              <w:right w:w="57" w:type="dxa"/>
            </w:tcMar>
            <w:vAlign w:val="center"/>
          </w:tcPr>
          <w:p w14:paraId="166ADD57">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6D89B0A9">
            <w:pPr>
              <w:spacing w:line="360" w:lineRule="auto"/>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良好的财务状况</w:t>
            </w:r>
          </w:p>
        </w:tc>
        <w:tc>
          <w:tcPr>
            <w:tcW w:w="6207" w:type="dxa"/>
            <w:noWrap w:val="0"/>
            <w:vAlign w:val="center"/>
          </w:tcPr>
          <w:p w14:paraId="6BEE62DE">
            <w:p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具有良好的财务状况，（提供2025年度第三方审计机构出具的财务报告或自行承诺）</w:t>
            </w:r>
            <w:r>
              <w:rPr>
                <w:rFonts w:hint="eastAsia" w:ascii="宋体" w:hAnsi="宋体" w:cs="宋体"/>
                <w:color w:val="auto"/>
                <w:kern w:val="2"/>
                <w:sz w:val="21"/>
                <w:szCs w:val="21"/>
                <w:highlight w:val="none"/>
                <w:lang w:val="en-US" w:eastAsia="zh-CN" w:bidi="ar-SA"/>
              </w:rPr>
              <w:t>；</w:t>
            </w:r>
          </w:p>
        </w:tc>
      </w:tr>
      <w:tr w14:paraId="0D84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33204961">
            <w:pPr>
              <w:jc w:val="center"/>
              <w:rPr>
                <w:rFonts w:hint="eastAsia" w:ascii="宋体" w:hAnsi="宋体" w:eastAsia="宋体" w:cs="宋体"/>
                <w:color w:val="auto"/>
                <w:spacing w:val="0"/>
                <w:szCs w:val="21"/>
                <w:lang w:val="en-US" w:eastAsia="zh-CN"/>
              </w:rPr>
            </w:pPr>
          </w:p>
        </w:tc>
        <w:tc>
          <w:tcPr>
            <w:tcW w:w="1276" w:type="dxa"/>
            <w:vMerge w:val="continue"/>
            <w:noWrap w:val="0"/>
            <w:tcMar>
              <w:left w:w="57" w:type="dxa"/>
              <w:right w:w="57" w:type="dxa"/>
            </w:tcMar>
            <w:vAlign w:val="center"/>
          </w:tcPr>
          <w:p w14:paraId="65AEB22D">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04D72A53">
            <w:pPr>
              <w:spacing w:line="360" w:lineRule="auto"/>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依法缴纳税收和依法缴纳社会保障资金</w:t>
            </w:r>
          </w:p>
        </w:tc>
        <w:tc>
          <w:tcPr>
            <w:tcW w:w="6207" w:type="dxa"/>
            <w:noWrap w:val="0"/>
            <w:vAlign w:val="center"/>
          </w:tcPr>
          <w:p w14:paraId="6AC9E9FD">
            <w:p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供应商具有依法缴纳税收和社会保障资金的良好记录，（提供承诺书或近三个月企业税收证明材料）；</w:t>
            </w:r>
          </w:p>
        </w:tc>
      </w:tr>
      <w:tr w14:paraId="21E5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2B72FB7C">
            <w:pPr>
              <w:jc w:val="center"/>
              <w:rPr>
                <w:rFonts w:hint="eastAsia" w:ascii="宋体" w:hAnsi="宋体" w:eastAsia="宋体" w:cs="宋体"/>
                <w:color w:val="auto"/>
                <w:spacing w:val="0"/>
                <w:szCs w:val="21"/>
                <w:lang w:val="en-US" w:eastAsia="zh-CN"/>
              </w:rPr>
            </w:pPr>
          </w:p>
        </w:tc>
        <w:tc>
          <w:tcPr>
            <w:tcW w:w="1276" w:type="dxa"/>
            <w:vMerge w:val="continue"/>
            <w:noWrap w:val="0"/>
            <w:tcMar>
              <w:left w:w="57" w:type="dxa"/>
              <w:right w:w="57" w:type="dxa"/>
            </w:tcMar>
            <w:vAlign w:val="center"/>
          </w:tcPr>
          <w:p w14:paraId="7CD2C812">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35FFBB7B">
            <w:pPr>
              <w:spacing w:line="360" w:lineRule="auto"/>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履行合同所必须的设备和专业技术服务能力</w:t>
            </w:r>
          </w:p>
        </w:tc>
        <w:tc>
          <w:tcPr>
            <w:tcW w:w="6207" w:type="dxa"/>
            <w:noWrap w:val="0"/>
            <w:vAlign w:val="center"/>
          </w:tcPr>
          <w:p w14:paraId="7FA9954C">
            <w:p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供应商具有履行合同所必须的设备和专业技术服务能力；(提供承诺书）；</w:t>
            </w:r>
          </w:p>
        </w:tc>
      </w:tr>
      <w:tr w14:paraId="2C667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935" w:type="dxa"/>
            <w:vMerge w:val="continue"/>
            <w:noWrap w:val="0"/>
            <w:tcMar>
              <w:left w:w="57" w:type="dxa"/>
              <w:right w:w="57" w:type="dxa"/>
            </w:tcMar>
            <w:vAlign w:val="center"/>
          </w:tcPr>
          <w:p w14:paraId="33F7AEB6">
            <w:pPr>
              <w:jc w:val="center"/>
              <w:rPr>
                <w:rFonts w:hint="eastAsia" w:ascii="宋体" w:hAnsi="宋体" w:eastAsia="宋体" w:cs="宋体"/>
                <w:color w:val="auto"/>
                <w:spacing w:val="0"/>
                <w:szCs w:val="21"/>
              </w:rPr>
            </w:pPr>
          </w:p>
        </w:tc>
        <w:tc>
          <w:tcPr>
            <w:tcW w:w="1276" w:type="dxa"/>
            <w:vMerge w:val="continue"/>
            <w:noWrap w:val="0"/>
            <w:tcMar>
              <w:left w:w="57" w:type="dxa"/>
              <w:right w:w="57" w:type="dxa"/>
            </w:tcMar>
            <w:vAlign w:val="center"/>
          </w:tcPr>
          <w:p w14:paraId="404111E8">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0CA5166D">
            <w:pPr>
              <w:pStyle w:val="5"/>
              <w:spacing w:line="26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hAnsi="宋体" w:eastAsia="宋体" w:cs="宋体"/>
                <w:color w:val="auto"/>
                <w:kern w:val="0"/>
                <w:sz w:val="21"/>
                <w:szCs w:val="21"/>
                <w:highlight w:val="none"/>
                <w:lang w:val="en-US" w:eastAsia="zh-CN" w:bidi="ar-SA"/>
              </w:rPr>
              <w:t>信用承诺</w:t>
            </w:r>
          </w:p>
        </w:tc>
        <w:tc>
          <w:tcPr>
            <w:tcW w:w="6207" w:type="dxa"/>
            <w:noWrap w:val="0"/>
            <w:vAlign w:val="center"/>
          </w:tcPr>
          <w:p w14:paraId="12E8987C">
            <w:pPr>
              <w:keepNext w:val="0"/>
              <w:keepLines w:val="0"/>
              <w:pageBreakBefore w:val="0"/>
              <w:kinsoku/>
              <w:wordWrap w:val="0"/>
              <w:overflowPunct/>
              <w:topLinePunct w:val="0"/>
              <w:bidi w:val="0"/>
              <w:spacing w:line="360" w:lineRule="auto"/>
              <w:rPr>
                <w:rFonts w:hint="eastAsia" w:ascii="宋体" w:hAnsi="宋体" w:eastAsia="宋体" w:cs="宋体"/>
                <w:bCs/>
                <w:color w:val="auto"/>
                <w:sz w:val="21"/>
                <w:szCs w:val="21"/>
                <w:highlight w:val="none"/>
                <w:lang w:val="en-US" w:eastAsia="zh-CN" w:bidi="zh-CN"/>
              </w:rPr>
            </w:pPr>
            <w:r>
              <w:rPr>
                <w:rFonts w:hint="eastAsia" w:ascii="宋体" w:hAnsi="宋体" w:eastAsia="宋体" w:cs="宋体"/>
                <w:bCs/>
                <w:color w:val="auto"/>
                <w:sz w:val="21"/>
                <w:szCs w:val="21"/>
                <w:highlight w:val="none"/>
                <w:lang w:val="en-US" w:eastAsia="zh-CN" w:bidi="zh-CN"/>
              </w:rPr>
              <w:t>1.参加政府采购活动前3年内在经营活动中没有骗取中标、重大违法记录、严重违约等问题。</w:t>
            </w:r>
          </w:p>
          <w:p w14:paraId="72032F39">
            <w:pPr>
              <w:keepNext w:val="0"/>
              <w:keepLines w:val="0"/>
              <w:pageBreakBefore w:val="0"/>
              <w:kinsoku/>
              <w:wordWrap w:val="0"/>
              <w:overflowPunct/>
              <w:topLinePunct w:val="0"/>
              <w:bidi w:val="0"/>
              <w:spacing w:line="360" w:lineRule="auto"/>
              <w:rPr>
                <w:rFonts w:hint="eastAsia" w:ascii="宋体" w:hAnsi="宋体" w:eastAsia="宋体" w:cs="宋体"/>
                <w:bCs/>
                <w:color w:val="auto"/>
                <w:sz w:val="21"/>
                <w:szCs w:val="21"/>
                <w:highlight w:val="none"/>
                <w:lang w:val="en-US" w:eastAsia="zh-CN" w:bidi="zh-CN"/>
              </w:rPr>
            </w:pPr>
            <w:r>
              <w:rPr>
                <w:rFonts w:hint="eastAsia" w:ascii="宋体" w:hAnsi="宋体" w:eastAsia="宋体" w:cs="宋体"/>
                <w:bCs/>
                <w:color w:val="auto"/>
                <w:sz w:val="21"/>
                <w:szCs w:val="21"/>
                <w:highlight w:val="none"/>
                <w:lang w:val="en-US" w:eastAsia="zh-CN" w:bidi="zh-CN"/>
              </w:rPr>
              <w:t>2.参加政府采购活动前3年内无行贿犯罪记录，供应商出具的无行贿犯罪记录在中国裁判文书网自行查询或自行承诺（查询对象：企业、法定代表人、项目负责人）；</w:t>
            </w:r>
          </w:p>
          <w:p w14:paraId="1F0D4EBE">
            <w:pPr>
              <w:keepNext w:val="0"/>
              <w:keepLines w:val="0"/>
              <w:pageBreakBefore w:val="0"/>
              <w:kinsoku/>
              <w:wordWrap w:val="0"/>
              <w:overflowPunct/>
              <w:topLinePunct w:val="0"/>
              <w:bidi w:val="0"/>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bidi="zh-CN"/>
              </w:rPr>
              <w:t>3.提供企业注册地工商管理部门出具的无商业贿赂和不正当竞争行为的查询证明（若当地工商管理部门不办理此项业务，供应商须自行出具本企业无商业贿赂和不正当竞争行为承诺书）；</w:t>
            </w:r>
          </w:p>
        </w:tc>
      </w:tr>
      <w:tr w14:paraId="0D88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148D4AE5">
            <w:pPr>
              <w:jc w:val="center"/>
              <w:rPr>
                <w:rFonts w:hint="eastAsia" w:ascii="宋体" w:hAnsi="宋体" w:eastAsia="宋体" w:cs="宋体"/>
                <w:color w:val="auto"/>
                <w:spacing w:val="0"/>
                <w:szCs w:val="21"/>
              </w:rPr>
            </w:pPr>
          </w:p>
        </w:tc>
        <w:tc>
          <w:tcPr>
            <w:tcW w:w="1276" w:type="dxa"/>
            <w:vMerge w:val="continue"/>
            <w:noWrap w:val="0"/>
            <w:tcMar>
              <w:left w:w="57" w:type="dxa"/>
              <w:right w:w="57" w:type="dxa"/>
            </w:tcMar>
            <w:vAlign w:val="center"/>
          </w:tcPr>
          <w:p w14:paraId="26A30DEE">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2C75A1A9">
            <w:pPr>
              <w:pStyle w:val="5"/>
              <w:spacing w:line="26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hAnsi="宋体" w:eastAsia="宋体" w:cs="宋体"/>
                <w:color w:val="auto"/>
                <w:kern w:val="0"/>
                <w:sz w:val="21"/>
                <w:szCs w:val="21"/>
                <w:highlight w:val="none"/>
                <w:lang w:val="en-US" w:eastAsia="zh-CN" w:bidi="ar-SA"/>
              </w:rPr>
              <w:t>控股关系证明</w:t>
            </w:r>
          </w:p>
        </w:tc>
        <w:tc>
          <w:tcPr>
            <w:tcW w:w="6207" w:type="dxa"/>
            <w:noWrap w:val="0"/>
            <w:vAlign w:val="center"/>
          </w:tcPr>
          <w:p w14:paraId="403E9FDD">
            <w:pPr>
              <w:keepNext w:val="0"/>
              <w:keepLines w:val="0"/>
              <w:pageBreakBefore w:val="0"/>
              <w:kinsoku/>
              <w:wordWrap w:val="0"/>
              <w:overflowPunct/>
              <w:topLinePunct w:val="0"/>
              <w:bidi w:val="0"/>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bidi="zh-CN"/>
              </w:rPr>
              <w:t>单位负责人为同一人或者存在直接控股、管理关系的不同供应商，不得参加同一合同项下的采购活动；（提供“国家企业信用信息公示系统”网页查询信息截图,查询信息应包含公司基本信息、股东信息及股权变更信息等相关信息；査询时间必须是招标公告发布以后开标时间以前，查询结果清晰可见)</w:t>
            </w:r>
          </w:p>
        </w:tc>
      </w:tr>
      <w:tr w14:paraId="3355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5B3F003A">
            <w:pPr>
              <w:jc w:val="center"/>
              <w:rPr>
                <w:rFonts w:hint="eastAsia" w:ascii="宋体" w:hAnsi="宋体" w:eastAsia="宋体" w:cs="宋体"/>
                <w:color w:val="auto"/>
                <w:spacing w:val="0"/>
                <w:szCs w:val="21"/>
              </w:rPr>
            </w:pPr>
          </w:p>
        </w:tc>
        <w:tc>
          <w:tcPr>
            <w:tcW w:w="1276" w:type="dxa"/>
            <w:vMerge w:val="continue"/>
            <w:noWrap w:val="0"/>
            <w:tcMar>
              <w:left w:w="57" w:type="dxa"/>
              <w:right w:w="57" w:type="dxa"/>
            </w:tcMar>
            <w:vAlign w:val="center"/>
          </w:tcPr>
          <w:p w14:paraId="3C64C550">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3D6B2CAD">
            <w:pPr>
              <w:pStyle w:val="5"/>
              <w:spacing w:line="26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hAnsi="宋体" w:eastAsia="宋体" w:cs="宋体"/>
                <w:color w:val="auto"/>
                <w:kern w:val="0"/>
                <w:sz w:val="21"/>
                <w:szCs w:val="21"/>
                <w:highlight w:val="none"/>
                <w:lang w:val="en-US" w:eastAsia="zh-CN" w:bidi="ar-SA"/>
              </w:rPr>
              <w:t>信用查询</w:t>
            </w:r>
          </w:p>
        </w:tc>
        <w:tc>
          <w:tcPr>
            <w:tcW w:w="6207" w:type="dxa"/>
            <w:noWrap w:val="0"/>
            <w:vAlign w:val="center"/>
          </w:tcPr>
          <w:p w14:paraId="62DED12B">
            <w:pPr>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根</w:t>
            </w:r>
            <w:r>
              <w:rPr>
                <w:rFonts w:hint="eastAsia" w:ascii="宋体" w:hAnsi="宋体" w:eastAsia="宋体" w:cs="宋体"/>
                <w:bCs/>
                <w:color w:val="auto"/>
                <w:sz w:val="21"/>
                <w:szCs w:val="21"/>
                <w:highlight w:val="none"/>
                <w:lang w:val="en-US" w:eastAsia="zh-CN" w:bidi="zh-CN"/>
              </w:rPr>
              <w:t>据《关于在政府采购活动中查询及使用信用记录有关问题的通知》(财库[2016]125号)和豫财购【2016】15号的规定，企业没有被列入“信用中国”网站的“失信被执行人”（跳转中国执行信息公开网（https://zxgk.court.gov.cn））、“重大税收违法失信主体”及“中国政府采购网站”的“政府采购严重违法失信行为记录名单”的供应商。【查询渠道：“信用中国”网站（www.creditchina.gov.cn）、中国执行信息公开网（http://zxgk.court.gov.cn）、中国政府采购网（www.ccgp.gov.cn）】，供应商须提供相关网页查询信息截图；(注：査询时间必须是招标公告发布以后开标时间以前并提供网站查询信息截图或打印页，查询结果清晰可见</w:t>
            </w:r>
            <w:r>
              <w:rPr>
                <w:rFonts w:hint="eastAsia" w:ascii="宋体" w:hAnsi="宋体" w:eastAsia="宋体" w:cs="宋体"/>
                <w:color w:val="auto"/>
                <w:kern w:val="0"/>
                <w:sz w:val="21"/>
                <w:szCs w:val="21"/>
                <w:highlight w:val="none"/>
                <w:lang w:val="en-US" w:eastAsia="zh-CN"/>
              </w:rPr>
              <w:t>)</w:t>
            </w:r>
          </w:p>
        </w:tc>
      </w:tr>
      <w:tr w14:paraId="449A5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935" w:type="dxa"/>
            <w:vMerge w:val="continue"/>
            <w:noWrap w:val="0"/>
            <w:tcMar>
              <w:left w:w="57" w:type="dxa"/>
              <w:right w:w="57" w:type="dxa"/>
            </w:tcMar>
            <w:vAlign w:val="center"/>
          </w:tcPr>
          <w:p w14:paraId="65CB8F68">
            <w:pPr>
              <w:jc w:val="center"/>
              <w:rPr>
                <w:rFonts w:hint="eastAsia" w:ascii="宋体" w:hAnsi="宋体" w:eastAsia="宋体" w:cs="宋体"/>
                <w:color w:val="auto"/>
                <w:spacing w:val="0"/>
                <w:szCs w:val="21"/>
              </w:rPr>
            </w:pPr>
          </w:p>
        </w:tc>
        <w:tc>
          <w:tcPr>
            <w:tcW w:w="1276" w:type="dxa"/>
            <w:vMerge w:val="continue"/>
            <w:noWrap w:val="0"/>
            <w:tcMar>
              <w:left w:w="57" w:type="dxa"/>
              <w:right w:w="57" w:type="dxa"/>
            </w:tcMar>
            <w:vAlign w:val="center"/>
          </w:tcPr>
          <w:p w14:paraId="6C2C4467">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3D1E3079">
            <w:pPr>
              <w:keepNext w:val="0"/>
              <w:keepLines w:val="0"/>
              <w:pageBreakBefore w:val="0"/>
              <w:kinsoku/>
              <w:wordWrap w:val="0"/>
              <w:overflowPunct/>
              <w:topLinePunct w:val="0"/>
              <w:bidi w:val="0"/>
              <w:spacing w:line="240" w:lineRule="atLeast"/>
              <w:jc w:val="center"/>
              <w:rPr>
                <w:rFonts w:hint="eastAsia" w:ascii="宋体" w:hAnsi="宋体" w:eastAsia="宋体" w:cs="宋体"/>
                <w:color w:val="auto"/>
                <w:kern w:val="2"/>
                <w:sz w:val="21"/>
                <w:szCs w:val="21"/>
                <w:highlight w:val="none"/>
                <w:lang w:val="en-US" w:eastAsia="zh-CN" w:bidi="ar-SA"/>
              </w:rPr>
            </w:pPr>
            <w:r>
              <w:rPr>
                <w:rFonts w:hint="eastAsia"/>
                <w:color w:val="auto"/>
                <w:sz w:val="21"/>
                <w:szCs w:val="21"/>
                <w:highlight w:val="none"/>
                <w:lang w:eastAsia="zh-CN"/>
              </w:rPr>
              <w:t>其他内容</w:t>
            </w:r>
          </w:p>
        </w:tc>
        <w:tc>
          <w:tcPr>
            <w:tcW w:w="6207" w:type="dxa"/>
            <w:noWrap w:val="0"/>
            <w:vAlign w:val="center"/>
          </w:tcPr>
          <w:p w14:paraId="6AEDEEBD">
            <w:pPr>
              <w:keepNext w:val="0"/>
              <w:keepLines w:val="0"/>
              <w:pageBreakBefore w:val="0"/>
              <w:tabs>
                <w:tab w:val="left" w:pos="360"/>
              </w:tabs>
              <w:kinsoku/>
              <w:wordWrap w:val="0"/>
              <w:overflowPunct/>
              <w:topLinePunct w:val="0"/>
              <w:bidi w:val="0"/>
              <w:spacing w:line="320" w:lineRule="exact"/>
              <w:rPr>
                <w:rFonts w:hint="eastAsia" w:ascii="宋体" w:hAnsi="宋体" w:eastAsia="宋体" w:cs="宋体"/>
                <w:color w:val="auto"/>
                <w:kern w:val="2"/>
                <w:sz w:val="21"/>
                <w:szCs w:val="21"/>
                <w:highlight w:val="none"/>
                <w:lang w:val="en-US" w:eastAsia="zh-CN" w:bidi="ar-SA"/>
              </w:rPr>
            </w:pPr>
            <w:r>
              <w:rPr>
                <w:rFonts w:hint="eastAsia"/>
                <w:color w:val="auto"/>
                <w:sz w:val="21"/>
                <w:szCs w:val="21"/>
                <w:highlight w:val="none"/>
                <w:lang w:val="en-US" w:eastAsia="zh-CN"/>
              </w:rPr>
              <w:t>招标文件规定的其他资格要求资料</w:t>
            </w:r>
          </w:p>
        </w:tc>
      </w:tr>
      <w:tr w14:paraId="5E74F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restart"/>
            <w:noWrap w:val="0"/>
            <w:tcMar>
              <w:left w:w="57" w:type="dxa"/>
              <w:right w:w="57" w:type="dxa"/>
            </w:tcMar>
            <w:vAlign w:val="center"/>
          </w:tcPr>
          <w:p w14:paraId="6E2B5235">
            <w:pPr>
              <w:jc w:val="center"/>
              <w:rPr>
                <w:rFonts w:hint="eastAsia" w:ascii="宋体" w:hAnsi="宋体" w:eastAsia="宋体" w:cs="宋体"/>
                <w:color w:val="auto"/>
                <w:spacing w:val="0"/>
                <w:szCs w:val="21"/>
                <w:lang w:eastAsia="zh-CN"/>
              </w:rPr>
            </w:pPr>
            <w:r>
              <w:rPr>
                <w:rFonts w:hint="eastAsia" w:ascii="宋体" w:hAnsi="宋体" w:cs="宋体"/>
                <w:color w:val="auto"/>
                <w:spacing w:val="0"/>
                <w:szCs w:val="21"/>
                <w:lang w:val="en-US" w:eastAsia="zh-CN"/>
              </w:rPr>
              <w:t>1</w:t>
            </w:r>
            <w:r>
              <w:rPr>
                <w:rFonts w:hint="eastAsia" w:ascii="宋体" w:hAnsi="宋体" w:eastAsia="宋体" w:cs="宋体"/>
                <w:color w:val="auto"/>
                <w:spacing w:val="0"/>
                <w:szCs w:val="21"/>
                <w:lang w:val="en-US" w:eastAsia="zh-CN"/>
              </w:rPr>
              <w:t>.1.3</w:t>
            </w:r>
          </w:p>
        </w:tc>
        <w:tc>
          <w:tcPr>
            <w:tcW w:w="1276" w:type="dxa"/>
            <w:vMerge w:val="restart"/>
            <w:noWrap w:val="0"/>
            <w:tcMar>
              <w:left w:w="57" w:type="dxa"/>
              <w:right w:w="57" w:type="dxa"/>
            </w:tcMar>
            <w:vAlign w:val="center"/>
          </w:tcPr>
          <w:p w14:paraId="1B855031">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rPr>
              <w:t>响应性评审标准</w:t>
            </w:r>
          </w:p>
        </w:tc>
        <w:tc>
          <w:tcPr>
            <w:tcW w:w="1914" w:type="dxa"/>
            <w:noWrap w:val="0"/>
            <w:tcMar>
              <w:left w:w="57" w:type="dxa"/>
              <w:right w:w="57" w:type="dxa"/>
            </w:tcMar>
            <w:vAlign w:val="center"/>
          </w:tcPr>
          <w:p w14:paraId="76DCEF02">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lang w:val="en-US" w:eastAsia="zh-CN"/>
              </w:rPr>
              <w:t>采购</w:t>
            </w:r>
            <w:r>
              <w:rPr>
                <w:rFonts w:hint="eastAsia" w:ascii="宋体" w:hAnsi="宋体" w:eastAsia="宋体" w:cs="宋体"/>
                <w:color w:val="auto"/>
                <w:spacing w:val="0"/>
                <w:szCs w:val="21"/>
              </w:rPr>
              <w:t>范围</w:t>
            </w:r>
          </w:p>
        </w:tc>
        <w:tc>
          <w:tcPr>
            <w:tcW w:w="6207" w:type="dxa"/>
            <w:noWrap w:val="0"/>
            <w:vAlign w:val="center"/>
          </w:tcPr>
          <w:p w14:paraId="145B5D6B">
            <w:pPr>
              <w:rPr>
                <w:rFonts w:hint="eastAsia" w:ascii="宋体" w:hAnsi="宋体" w:eastAsia="宋体" w:cs="宋体"/>
                <w:color w:val="auto"/>
                <w:spacing w:val="0"/>
                <w:szCs w:val="21"/>
              </w:rPr>
            </w:pPr>
            <w:r>
              <w:rPr>
                <w:rFonts w:hint="eastAsia" w:ascii="宋体" w:hAnsi="宋体" w:eastAsia="宋体" w:cs="宋体"/>
                <w:color w:val="auto"/>
                <w:spacing w:val="0"/>
                <w:szCs w:val="21"/>
              </w:rPr>
              <w:t>符合第三章“服务内容及</w:t>
            </w:r>
            <w:r>
              <w:rPr>
                <w:rFonts w:hint="eastAsia" w:ascii="宋体" w:hAnsi="宋体" w:eastAsia="宋体" w:cs="宋体"/>
                <w:color w:val="auto"/>
                <w:spacing w:val="0"/>
                <w:szCs w:val="21"/>
                <w:lang w:val="en-US" w:eastAsia="zh-CN"/>
              </w:rPr>
              <w:t>要求</w:t>
            </w:r>
            <w:r>
              <w:rPr>
                <w:rFonts w:hint="eastAsia" w:ascii="宋体" w:hAnsi="宋体" w:eastAsia="宋体" w:cs="宋体"/>
                <w:color w:val="auto"/>
                <w:spacing w:val="0"/>
                <w:szCs w:val="21"/>
              </w:rPr>
              <w:t>”</w:t>
            </w:r>
          </w:p>
        </w:tc>
      </w:tr>
      <w:tr w14:paraId="13886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67991C98">
            <w:pPr>
              <w:jc w:val="center"/>
              <w:rPr>
                <w:rFonts w:hint="eastAsia" w:ascii="宋体" w:hAnsi="宋体" w:eastAsia="宋体" w:cs="宋体"/>
                <w:color w:val="auto"/>
                <w:spacing w:val="0"/>
                <w:szCs w:val="21"/>
              </w:rPr>
            </w:pPr>
          </w:p>
        </w:tc>
        <w:tc>
          <w:tcPr>
            <w:tcW w:w="1276" w:type="dxa"/>
            <w:vMerge w:val="continue"/>
            <w:noWrap w:val="0"/>
            <w:tcMar>
              <w:left w:w="57" w:type="dxa"/>
              <w:right w:w="57" w:type="dxa"/>
            </w:tcMar>
            <w:vAlign w:val="center"/>
          </w:tcPr>
          <w:p w14:paraId="7BFD19AE">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29E70A79">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rPr>
              <w:t>服务周期</w:t>
            </w:r>
          </w:p>
        </w:tc>
        <w:tc>
          <w:tcPr>
            <w:tcW w:w="6207" w:type="dxa"/>
            <w:noWrap w:val="0"/>
            <w:vAlign w:val="center"/>
          </w:tcPr>
          <w:p w14:paraId="00E464F9">
            <w:pPr>
              <w:rPr>
                <w:rFonts w:hint="eastAsia" w:ascii="宋体" w:hAnsi="宋体" w:eastAsia="宋体" w:cs="宋体"/>
                <w:color w:val="auto"/>
                <w:spacing w:val="0"/>
                <w:szCs w:val="21"/>
              </w:rPr>
            </w:pPr>
            <w:r>
              <w:rPr>
                <w:rFonts w:hint="eastAsia" w:ascii="宋体" w:hAnsi="宋体" w:eastAsia="宋体" w:cs="宋体"/>
                <w:color w:val="auto"/>
                <w:spacing w:val="0"/>
                <w:szCs w:val="21"/>
              </w:rPr>
              <w:t>符合第三章“服务内容及</w:t>
            </w:r>
            <w:r>
              <w:rPr>
                <w:rFonts w:hint="eastAsia" w:ascii="宋体" w:hAnsi="宋体" w:eastAsia="宋体" w:cs="宋体"/>
                <w:color w:val="auto"/>
                <w:spacing w:val="0"/>
                <w:szCs w:val="21"/>
                <w:lang w:val="en-US" w:eastAsia="zh-CN"/>
              </w:rPr>
              <w:t>要求</w:t>
            </w:r>
            <w:r>
              <w:rPr>
                <w:rFonts w:hint="eastAsia" w:ascii="宋体" w:hAnsi="宋体" w:eastAsia="宋体" w:cs="宋体"/>
                <w:color w:val="auto"/>
                <w:spacing w:val="0"/>
                <w:szCs w:val="21"/>
              </w:rPr>
              <w:t>”</w:t>
            </w:r>
          </w:p>
        </w:tc>
      </w:tr>
      <w:tr w14:paraId="3251F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Merge w:val="continue"/>
            <w:noWrap w:val="0"/>
            <w:tcMar>
              <w:left w:w="57" w:type="dxa"/>
              <w:right w:w="57" w:type="dxa"/>
            </w:tcMar>
            <w:vAlign w:val="center"/>
          </w:tcPr>
          <w:p w14:paraId="43FCD9AD">
            <w:pPr>
              <w:jc w:val="center"/>
              <w:rPr>
                <w:rFonts w:hint="eastAsia" w:ascii="宋体" w:hAnsi="宋体" w:eastAsia="宋体" w:cs="宋体"/>
                <w:color w:val="auto"/>
                <w:spacing w:val="0"/>
                <w:szCs w:val="21"/>
              </w:rPr>
            </w:pPr>
          </w:p>
        </w:tc>
        <w:tc>
          <w:tcPr>
            <w:tcW w:w="1276" w:type="dxa"/>
            <w:vMerge w:val="continue"/>
            <w:noWrap w:val="0"/>
            <w:tcMar>
              <w:left w:w="57" w:type="dxa"/>
              <w:right w:w="57" w:type="dxa"/>
            </w:tcMar>
            <w:vAlign w:val="center"/>
          </w:tcPr>
          <w:p w14:paraId="1E6D8E01">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33C9FEC8">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rPr>
              <w:t>质量要求</w:t>
            </w:r>
          </w:p>
        </w:tc>
        <w:tc>
          <w:tcPr>
            <w:tcW w:w="6207" w:type="dxa"/>
            <w:noWrap w:val="0"/>
            <w:vAlign w:val="center"/>
          </w:tcPr>
          <w:p w14:paraId="1B800682">
            <w:pPr>
              <w:rPr>
                <w:rFonts w:hint="eastAsia" w:ascii="宋体" w:hAnsi="宋体" w:eastAsia="宋体" w:cs="宋体"/>
                <w:color w:val="auto"/>
                <w:spacing w:val="0"/>
                <w:szCs w:val="21"/>
              </w:rPr>
            </w:pPr>
            <w:r>
              <w:rPr>
                <w:rFonts w:hint="eastAsia" w:ascii="宋体" w:hAnsi="宋体" w:eastAsia="宋体" w:cs="宋体"/>
                <w:color w:val="auto"/>
                <w:spacing w:val="0"/>
                <w:szCs w:val="21"/>
              </w:rPr>
              <w:t>符合第三章“服务内容及要求”</w:t>
            </w:r>
          </w:p>
        </w:tc>
      </w:tr>
      <w:tr w14:paraId="5ED8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35" w:type="dxa"/>
            <w:vMerge w:val="continue"/>
            <w:noWrap w:val="0"/>
            <w:tcMar>
              <w:left w:w="57" w:type="dxa"/>
              <w:right w:w="57" w:type="dxa"/>
            </w:tcMar>
            <w:vAlign w:val="center"/>
          </w:tcPr>
          <w:p w14:paraId="4B4BA542">
            <w:pPr>
              <w:jc w:val="center"/>
              <w:rPr>
                <w:rFonts w:hint="eastAsia" w:ascii="宋体" w:hAnsi="宋体" w:eastAsia="宋体" w:cs="宋体"/>
                <w:color w:val="auto"/>
                <w:spacing w:val="0"/>
                <w:szCs w:val="21"/>
              </w:rPr>
            </w:pPr>
          </w:p>
        </w:tc>
        <w:tc>
          <w:tcPr>
            <w:tcW w:w="1276" w:type="dxa"/>
            <w:vMerge w:val="continue"/>
            <w:noWrap w:val="0"/>
            <w:tcMar>
              <w:left w:w="57" w:type="dxa"/>
              <w:right w:w="57" w:type="dxa"/>
            </w:tcMar>
            <w:vAlign w:val="center"/>
          </w:tcPr>
          <w:p w14:paraId="1A60DE04">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6D1938C0">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lang w:val="en-US" w:eastAsia="zh-CN"/>
              </w:rPr>
              <w:t>投标</w:t>
            </w:r>
            <w:r>
              <w:rPr>
                <w:rFonts w:hint="eastAsia" w:ascii="宋体" w:hAnsi="宋体" w:eastAsia="宋体" w:cs="宋体"/>
                <w:color w:val="auto"/>
                <w:spacing w:val="0"/>
                <w:szCs w:val="21"/>
              </w:rPr>
              <w:t>有效期</w:t>
            </w:r>
          </w:p>
        </w:tc>
        <w:tc>
          <w:tcPr>
            <w:tcW w:w="6207" w:type="dxa"/>
            <w:noWrap w:val="0"/>
            <w:vAlign w:val="center"/>
          </w:tcPr>
          <w:p w14:paraId="7ACAAB5D">
            <w:pPr>
              <w:rPr>
                <w:rFonts w:hint="eastAsia" w:ascii="宋体" w:hAnsi="宋体" w:eastAsia="宋体" w:cs="宋体"/>
                <w:color w:val="auto"/>
                <w:spacing w:val="0"/>
                <w:szCs w:val="21"/>
              </w:rPr>
            </w:pPr>
            <w:r>
              <w:rPr>
                <w:rFonts w:hint="eastAsia" w:ascii="宋体" w:hAnsi="宋体" w:eastAsia="宋体" w:cs="宋体"/>
                <w:color w:val="auto"/>
                <w:spacing w:val="0"/>
                <w:szCs w:val="21"/>
              </w:rPr>
              <w:t>符合第二章“</w:t>
            </w:r>
            <w:r>
              <w:rPr>
                <w:rFonts w:hint="eastAsia" w:ascii="宋体" w:hAnsi="宋体" w:eastAsia="宋体" w:cs="宋体"/>
                <w:color w:val="auto"/>
                <w:spacing w:val="0"/>
                <w:szCs w:val="21"/>
                <w:lang w:eastAsia="zh-CN"/>
              </w:rPr>
              <w:t>投标人</w:t>
            </w:r>
            <w:r>
              <w:rPr>
                <w:rFonts w:hint="eastAsia" w:ascii="宋体" w:hAnsi="宋体" w:eastAsia="宋体" w:cs="宋体"/>
                <w:color w:val="auto"/>
                <w:spacing w:val="0"/>
                <w:szCs w:val="21"/>
              </w:rPr>
              <w:t>须知”规定</w:t>
            </w:r>
          </w:p>
        </w:tc>
      </w:tr>
      <w:tr w14:paraId="1338A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35" w:type="dxa"/>
            <w:vMerge w:val="continue"/>
            <w:noWrap w:val="0"/>
            <w:tcMar>
              <w:left w:w="57" w:type="dxa"/>
              <w:right w:w="57" w:type="dxa"/>
            </w:tcMar>
            <w:vAlign w:val="center"/>
          </w:tcPr>
          <w:p w14:paraId="4CD4E153">
            <w:pPr>
              <w:jc w:val="center"/>
              <w:rPr>
                <w:rFonts w:hint="eastAsia" w:ascii="宋体" w:hAnsi="宋体" w:eastAsia="宋体" w:cs="宋体"/>
                <w:color w:val="auto"/>
                <w:spacing w:val="0"/>
                <w:szCs w:val="21"/>
              </w:rPr>
            </w:pPr>
          </w:p>
        </w:tc>
        <w:tc>
          <w:tcPr>
            <w:tcW w:w="1276" w:type="dxa"/>
            <w:vMerge w:val="continue"/>
            <w:noWrap w:val="0"/>
            <w:tcMar>
              <w:left w:w="57" w:type="dxa"/>
              <w:right w:w="57" w:type="dxa"/>
            </w:tcMar>
            <w:vAlign w:val="center"/>
          </w:tcPr>
          <w:p w14:paraId="6BD29F8E">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11A1AB25">
            <w:pPr>
              <w:jc w:val="center"/>
              <w:rPr>
                <w:rFonts w:hint="eastAsia" w:ascii="宋体" w:hAnsi="宋体" w:eastAsia="宋体" w:cs="宋体"/>
                <w:color w:val="auto"/>
                <w:spacing w:val="0"/>
                <w:szCs w:val="21"/>
                <w:lang w:val="en-US" w:eastAsia="zh-CN"/>
              </w:rPr>
            </w:pPr>
            <w:r>
              <w:rPr>
                <w:rFonts w:hint="eastAsia" w:ascii="宋体" w:hAnsi="宋体" w:eastAsia="宋体" w:cs="宋体"/>
                <w:color w:val="auto"/>
                <w:spacing w:val="0"/>
                <w:szCs w:val="21"/>
                <w:lang w:val="en-US" w:eastAsia="zh-CN"/>
              </w:rPr>
              <w:t>投标报价</w:t>
            </w:r>
          </w:p>
        </w:tc>
        <w:tc>
          <w:tcPr>
            <w:tcW w:w="6207" w:type="dxa"/>
            <w:noWrap w:val="0"/>
            <w:vAlign w:val="center"/>
          </w:tcPr>
          <w:p w14:paraId="3F4F64A5">
            <w:pPr>
              <w:rPr>
                <w:rFonts w:hint="default" w:ascii="宋体" w:hAnsi="宋体" w:eastAsia="宋体" w:cs="宋体"/>
                <w:color w:val="auto"/>
                <w:spacing w:val="0"/>
                <w:szCs w:val="21"/>
                <w:lang w:val="en-US" w:eastAsia="zh-CN"/>
              </w:rPr>
            </w:pPr>
            <w:r>
              <w:rPr>
                <w:rFonts w:hint="eastAsia" w:ascii="宋体" w:hAnsi="宋体" w:eastAsia="宋体" w:cs="宋体"/>
                <w:color w:val="auto"/>
                <w:spacing w:val="0"/>
                <w:szCs w:val="21"/>
              </w:rPr>
              <w:t>只能有一个有效报价，且</w:t>
            </w:r>
            <w:r>
              <w:rPr>
                <w:rFonts w:hint="eastAsia" w:ascii="宋体" w:hAnsi="宋体" w:eastAsia="宋体" w:cs="宋体"/>
                <w:color w:val="auto"/>
                <w:spacing w:val="0"/>
                <w:szCs w:val="21"/>
                <w:lang w:val="en-US" w:eastAsia="zh-CN"/>
              </w:rPr>
              <w:t>符合本项目投标报价要求。</w:t>
            </w:r>
          </w:p>
        </w:tc>
      </w:tr>
      <w:tr w14:paraId="3E674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35" w:type="dxa"/>
            <w:vMerge w:val="continue"/>
            <w:noWrap w:val="0"/>
            <w:tcMar>
              <w:left w:w="57" w:type="dxa"/>
              <w:right w:w="57" w:type="dxa"/>
            </w:tcMar>
            <w:vAlign w:val="center"/>
          </w:tcPr>
          <w:p w14:paraId="770EA67C">
            <w:pPr>
              <w:jc w:val="center"/>
              <w:rPr>
                <w:rFonts w:hint="eastAsia" w:ascii="宋体" w:hAnsi="宋体" w:eastAsia="宋体" w:cs="宋体"/>
                <w:color w:val="auto"/>
                <w:spacing w:val="0"/>
                <w:szCs w:val="21"/>
              </w:rPr>
            </w:pPr>
          </w:p>
        </w:tc>
        <w:tc>
          <w:tcPr>
            <w:tcW w:w="1276" w:type="dxa"/>
            <w:vMerge w:val="continue"/>
            <w:noWrap w:val="0"/>
            <w:tcMar>
              <w:left w:w="57" w:type="dxa"/>
              <w:right w:w="57" w:type="dxa"/>
            </w:tcMar>
            <w:vAlign w:val="center"/>
          </w:tcPr>
          <w:p w14:paraId="3C49DA01">
            <w:pPr>
              <w:jc w:val="center"/>
              <w:rPr>
                <w:rFonts w:hint="eastAsia" w:ascii="宋体" w:hAnsi="宋体" w:eastAsia="宋体" w:cs="宋体"/>
                <w:color w:val="auto"/>
                <w:spacing w:val="0"/>
                <w:szCs w:val="21"/>
              </w:rPr>
            </w:pPr>
          </w:p>
        </w:tc>
        <w:tc>
          <w:tcPr>
            <w:tcW w:w="1914" w:type="dxa"/>
            <w:noWrap w:val="0"/>
            <w:tcMar>
              <w:left w:w="57" w:type="dxa"/>
              <w:right w:w="57" w:type="dxa"/>
            </w:tcMar>
            <w:vAlign w:val="center"/>
          </w:tcPr>
          <w:p w14:paraId="76FD87C2">
            <w:pPr>
              <w:jc w:val="center"/>
              <w:rPr>
                <w:rFonts w:hint="eastAsia" w:ascii="宋体" w:hAnsi="宋体" w:eastAsia="宋体" w:cs="宋体"/>
                <w:color w:val="auto"/>
                <w:spacing w:val="0"/>
                <w:szCs w:val="21"/>
                <w:lang w:eastAsia="zh-CN"/>
              </w:rPr>
            </w:pPr>
            <w:r>
              <w:rPr>
                <w:rFonts w:hint="eastAsia" w:ascii="宋体" w:hAnsi="宋体" w:eastAsia="宋体" w:cs="宋体"/>
                <w:color w:val="auto"/>
                <w:spacing w:val="0"/>
                <w:szCs w:val="21"/>
                <w:lang w:val="zh-TW"/>
              </w:rPr>
              <w:t>其他要求</w:t>
            </w:r>
          </w:p>
        </w:tc>
        <w:tc>
          <w:tcPr>
            <w:tcW w:w="6207" w:type="dxa"/>
            <w:noWrap w:val="0"/>
            <w:vAlign w:val="center"/>
          </w:tcPr>
          <w:p w14:paraId="3BF52A9F">
            <w:pPr>
              <w:rPr>
                <w:rFonts w:hint="eastAsia" w:ascii="宋体" w:hAnsi="宋体" w:eastAsia="宋体" w:cs="宋体"/>
                <w:color w:val="auto"/>
                <w:spacing w:val="0"/>
                <w:szCs w:val="21"/>
              </w:rPr>
            </w:pPr>
            <w:r>
              <w:rPr>
                <w:rFonts w:hint="eastAsia" w:ascii="宋体" w:hAnsi="宋体" w:eastAsia="宋体" w:cs="宋体"/>
                <w:color w:val="auto"/>
                <w:spacing w:val="0"/>
                <w:szCs w:val="21"/>
                <w:lang w:val="zh-TW"/>
              </w:rPr>
              <w:t>符合</w:t>
            </w:r>
            <w:r>
              <w:rPr>
                <w:rFonts w:hint="eastAsia" w:ascii="宋体" w:hAnsi="宋体" w:eastAsia="宋体" w:cs="宋体"/>
                <w:color w:val="auto"/>
                <w:spacing w:val="0"/>
                <w:szCs w:val="21"/>
                <w:lang w:val="en-US" w:eastAsia="zh-CN"/>
              </w:rPr>
              <w:t>招标</w:t>
            </w:r>
            <w:r>
              <w:rPr>
                <w:rFonts w:hint="eastAsia" w:ascii="宋体" w:hAnsi="宋体" w:eastAsia="宋体" w:cs="宋体"/>
                <w:color w:val="auto"/>
                <w:spacing w:val="0"/>
                <w:szCs w:val="21"/>
                <w:lang w:val="zh-TW"/>
              </w:rPr>
              <w:t>文件规定</w:t>
            </w:r>
          </w:p>
        </w:tc>
      </w:tr>
    </w:tbl>
    <w:p w14:paraId="65282931">
      <w:pPr>
        <w:jc w:val="center"/>
        <w:rPr>
          <w:rFonts w:hint="eastAsia" w:ascii="宋体" w:hAnsi="宋体" w:eastAsia="宋体" w:cs="宋体"/>
          <w:snapToGrid w:val="0"/>
          <w:color w:val="auto"/>
          <w:spacing w:val="0"/>
          <w:kern w:val="21"/>
          <w:sz w:val="24"/>
          <w:szCs w:val="24"/>
          <w:lang w:val="en-US" w:eastAsia="zh-CN"/>
        </w:rPr>
      </w:pPr>
    </w:p>
    <w:tbl>
      <w:tblPr>
        <w:tblStyle w:val="17"/>
        <w:tblW w:w="9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
        <w:gridCol w:w="1235"/>
        <w:gridCol w:w="1852"/>
        <w:gridCol w:w="6007"/>
      </w:tblGrid>
      <w:tr w14:paraId="3CAA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2139" w:type="dxa"/>
            <w:gridSpan w:val="2"/>
            <w:noWrap w:val="0"/>
            <w:tcMar>
              <w:left w:w="57" w:type="dxa"/>
              <w:right w:w="57" w:type="dxa"/>
            </w:tcMar>
            <w:vAlign w:val="center"/>
          </w:tcPr>
          <w:p w14:paraId="1A8F2AEE">
            <w:pPr>
              <w:tabs>
                <w:tab w:val="right" w:pos="2948"/>
              </w:tabs>
              <w:jc w:val="center"/>
              <w:rPr>
                <w:rFonts w:hint="eastAsia" w:ascii="宋体" w:hAnsi="宋体" w:eastAsia="宋体" w:cs="宋体"/>
                <w:b/>
                <w:bCs/>
                <w:color w:val="auto"/>
                <w:spacing w:val="0"/>
                <w:kern w:val="0"/>
                <w:szCs w:val="21"/>
              </w:rPr>
            </w:pPr>
            <w:r>
              <w:rPr>
                <w:rFonts w:hint="eastAsia" w:ascii="宋体" w:hAnsi="宋体" w:eastAsia="宋体" w:cs="宋体"/>
                <w:b/>
                <w:bCs/>
                <w:color w:val="auto"/>
                <w:spacing w:val="0"/>
                <w:kern w:val="0"/>
                <w:szCs w:val="21"/>
              </w:rPr>
              <w:t>条款号</w:t>
            </w:r>
          </w:p>
        </w:tc>
        <w:tc>
          <w:tcPr>
            <w:tcW w:w="1852" w:type="dxa"/>
            <w:noWrap w:val="0"/>
            <w:tcMar>
              <w:left w:w="57" w:type="dxa"/>
              <w:right w:w="57" w:type="dxa"/>
            </w:tcMar>
            <w:vAlign w:val="center"/>
          </w:tcPr>
          <w:p w14:paraId="315AB1A1">
            <w:pPr>
              <w:jc w:val="center"/>
              <w:rPr>
                <w:rFonts w:hint="eastAsia" w:ascii="宋体" w:hAnsi="宋体" w:eastAsia="宋体" w:cs="宋体"/>
                <w:b/>
                <w:bCs/>
                <w:color w:val="auto"/>
                <w:spacing w:val="0"/>
                <w:kern w:val="0"/>
                <w:szCs w:val="21"/>
              </w:rPr>
            </w:pPr>
            <w:r>
              <w:rPr>
                <w:rFonts w:hint="eastAsia" w:ascii="宋体" w:hAnsi="宋体" w:eastAsia="宋体" w:cs="宋体"/>
                <w:b/>
                <w:bCs/>
                <w:color w:val="auto"/>
                <w:spacing w:val="0"/>
                <w:kern w:val="0"/>
                <w:szCs w:val="21"/>
              </w:rPr>
              <w:t>条款内容</w:t>
            </w:r>
          </w:p>
        </w:tc>
        <w:tc>
          <w:tcPr>
            <w:tcW w:w="6007" w:type="dxa"/>
            <w:noWrap w:val="0"/>
            <w:tcMar>
              <w:left w:w="57" w:type="dxa"/>
              <w:right w:w="57" w:type="dxa"/>
            </w:tcMar>
            <w:vAlign w:val="center"/>
          </w:tcPr>
          <w:p w14:paraId="23C80A09">
            <w:pPr>
              <w:rPr>
                <w:rFonts w:hint="eastAsia" w:ascii="宋体" w:hAnsi="宋体" w:eastAsia="宋体" w:cs="宋体"/>
                <w:b/>
                <w:bCs/>
                <w:color w:val="auto"/>
                <w:spacing w:val="0"/>
                <w:kern w:val="0"/>
                <w:szCs w:val="21"/>
              </w:rPr>
            </w:pPr>
            <w:r>
              <w:rPr>
                <w:rFonts w:hint="eastAsia" w:ascii="宋体" w:hAnsi="宋体" w:eastAsia="宋体" w:cs="宋体"/>
                <w:b/>
                <w:bCs/>
                <w:color w:val="auto"/>
                <w:spacing w:val="0"/>
                <w:kern w:val="0"/>
                <w:szCs w:val="21"/>
              </w:rPr>
              <w:t>编列内容</w:t>
            </w:r>
          </w:p>
        </w:tc>
      </w:tr>
      <w:tr w14:paraId="60246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8" w:hRule="atLeast"/>
          <w:jc w:val="center"/>
        </w:trPr>
        <w:tc>
          <w:tcPr>
            <w:tcW w:w="2139" w:type="dxa"/>
            <w:gridSpan w:val="2"/>
            <w:noWrap w:val="0"/>
            <w:tcMar>
              <w:left w:w="57" w:type="dxa"/>
              <w:right w:w="57" w:type="dxa"/>
            </w:tcMar>
            <w:vAlign w:val="center"/>
          </w:tcPr>
          <w:p w14:paraId="01E93E7E">
            <w:pPr>
              <w:jc w:val="center"/>
              <w:rPr>
                <w:rFonts w:hint="eastAsia" w:ascii="宋体" w:hAnsi="宋体" w:eastAsia="宋体" w:cs="宋体"/>
                <w:color w:val="auto"/>
                <w:spacing w:val="0"/>
                <w:kern w:val="0"/>
                <w:szCs w:val="21"/>
              </w:rPr>
            </w:pPr>
            <w:r>
              <w:rPr>
                <w:rFonts w:hint="eastAsia" w:ascii="宋体" w:hAnsi="宋体" w:eastAsia="宋体" w:cs="宋体"/>
                <w:color w:val="auto"/>
                <w:spacing w:val="0"/>
                <w:kern w:val="0"/>
                <w:szCs w:val="21"/>
              </w:rPr>
              <w:t>2.2.1</w:t>
            </w:r>
          </w:p>
        </w:tc>
        <w:tc>
          <w:tcPr>
            <w:tcW w:w="1852" w:type="dxa"/>
            <w:noWrap w:val="0"/>
            <w:tcMar>
              <w:left w:w="57" w:type="dxa"/>
              <w:right w:w="57" w:type="dxa"/>
            </w:tcMar>
            <w:vAlign w:val="center"/>
          </w:tcPr>
          <w:p w14:paraId="705C44C9">
            <w:pPr>
              <w:jc w:val="center"/>
              <w:rPr>
                <w:rFonts w:hint="eastAsia" w:ascii="宋体" w:hAnsi="宋体" w:eastAsia="宋体" w:cs="宋体"/>
                <w:color w:val="auto"/>
                <w:spacing w:val="0"/>
                <w:kern w:val="0"/>
                <w:szCs w:val="21"/>
              </w:rPr>
            </w:pPr>
            <w:r>
              <w:rPr>
                <w:rFonts w:hint="eastAsia" w:ascii="宋体" w:hAnsi="宋体" w:eastAsia="宋体" w:cs="宋体"/>
                <w:color w:val="auto"/>
                <w:spacing w:val="0"/>
                <w:kern w:val="0"/>
                <w:szCs w:val="21"/>
              </w:rPr>
              <w:t>分值构成</w:t>
            </w:r>
          </w:p>
          <w:p w14:paraId="091C9864">
            <w:pPr>
              <w:jc w:val="center"/>
              <w:rPr>
                <w:rFonts w:hint="eastAsia" w:ascii="宋体" w:hAnsi="宋体" w:eastAsia="宋体" w:cs="宋体"/>
                <w:color w:val="auto"/>
                <w:spacing w:val="0"/>
                <w:kern w:val="0"/>
                <w:szCs w:val="21"/>
              </w:rPr>
            </w:pPr>
            <w:r>
              <w:rPr>
                <w:rFonts w:hint="eastAsia" w:ascii="宋体" w:hAnsi="宋体" w:eastAsia="宋体" w:cs="宋体"/>
                <w:color w:val="auto"/>
                <w:spacing w:val="0"/>
                <w:kern w:val="0"/>
                <w:szCs w:val="21"/>
              </w:rPr>
              <w:t>（总分100分）</w:t>
            </w:r>
          </w:p>
        </w:tc>
        <w:tc>
          <w:tcPr>
            <w:tcW w:w="6007" w:type="dxa"/>
            <w:noWrap w:val="0"/>
            <w:tcMar>
              <w:left w:w="57" w:type="dxa"/>
              <w:right w:w="57" w:type="dxa"/>
            </w:tcMar>
            <w:vAlign w:val="center"/>
          </w:tcPr>
          <w:p w14:paraId="6DD22F76">
            <w:pPr>
              <w:rPr>
                <w:rFonts w:hint="eastAsia" w:ascii="宋体" w:hAnsi="宋体" w:eastAsia="宋体" w:cs="宋体"/>
                <w:color w:val="auto"/>
                <w:spacing w:val="0"/>
                <w:szCs w:val="21"/>
              </w:rPr>
            </w:pPr>
            <w:r>
              <w:rPr>
                <w:rFonts w:hint="eastAsia" w:ascii="宋体" w:hAnsi="宋体" w:eastAsia="宋体" w:cs="宋体"/>
                <w:color w:val="auto"/>
                <w:spacing w:val="0"/>
                <w:szCs w:val="21"/>
              </w:rPr>
              <w:t>技术部分：</w:t>
            </w:r>
            <w:r>
              <w:rPr>
                <w:rFonts w:hint="eastAsia" w:ascii="宋体" w:hAnsi="宋体" w:cs="宋体"/>
                <w:color w:val="auto"/>
                <w:spacing w:val="0"/>
                <w:szCs w:val="21"/>
                <w:lang w:val="en-US" w:eastAsia="zh-CN"/>
              </w:rPr>
              <w:t>60</w:t>
            </w:r>
            <w:r>
              <w:rPr>
                <w:rFonts w:hint="eastAsia" w:ascii="宋体" w:hAnsi="宋体" w:eastAsia="宋体" w:cs="宋体"/>
                <w:color w:val="auto"/>
                <w:spacing w:val="0"/>
                <w:szCs w:val="21"/>
              </w:rPr>
              <w:t>分</w:t>
            </w:r>
          </w:p>
          <w:p w14:paraId="746B2508">
            <w:pPr>
              <w:rPr>
                <w:rFonts w:hint="eastAsia" w:ascii="宋体" w:hAnsi="宋体" w:eastAsia="宋体" w:cs="宋体"/>
                <w:color w:val="auto"/>
                <w:spacing w:val="0"/>
                <w:szCs w:val="21"/>
              </w:rPr>
            </w:pPr>
            <w:r>
              <w:rPr>
                <w:rFonts w:hint="eastAsia" w:ascii="宋体" w:hAnsi="宋体" w:eastAsia="宋体" w:cs="宋体"/>
                <w:color w:val="auto"/>
                <w:spacing w:val="0"/>
                <w:szCs w:val="21"/>
              </w:rPr>
              <w:t>商务</w:t>
            </w:r>
            <w:r>
              <w:rPr>
                <w:rFonts w:hint="eastAsia" w:ascii="宋体" w:hAnsi="宋体" w:eastAsia="宋体" w:cs="宋体"/>
                <w:color w:val="auto"/>
                <w:spacing w:val="0"/>
                <w:szCs w:val="21"/>
                <w:lang w:val="en-US" w:eastAsia="zh-CN"/>
              </w:rPr>
              <w:t>部分</w:t>
            </w:r>
            <w:r>
              <w:rPr>
                <w:rFonts w:hint="eastAsia" w:ascii="宋体" w:hAnsi="宋体" w:eastAsia="宋体" w:cs="宋体"/>
                <w:color w:val="auto"/>
                <w:spacing w:val="0"/>
                <w:szCs w:val="21"/>
              </w:rPr>
              <w:t>部分：</w:t>
            </w:r>
            <w:r>
              <w:rPr>
                <w:rFonts w:hint="eastAsia" w:ascii="宋体" w:hAnsi="宋体" w:cs="宋体"/>
                <w:color w:val="auto"/>
                <w:spacing w:val="0"/>
                <w:szCs w:val="21"/>
                <w:lang w:val="en-US" w:eastAsia="zh-CN"/>
              </w:rPr>
              <w:t>40</w:t>
            </w:r>
            <w:r>
              <w:rPr>
                <w:rFonts w:hint="eastAsia" w:ascii="宋体" w:hAnsi="宋体" w:eastAsia="宋体" w:cs="宋体"/>
                <w:color w:val="auto"/>
                <w:spacing w:val="0"/>
                <w:szCs w:val="21"/>
              </w:rPr>
              <w:t>分</w:t>
            </w:r>
          </w:p>
        </w:tc>
      </w:tr>
      <w:tr w14:paraId="40878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139" w:type="dxa"/>
            <w:gridSpan w:val="2"/>
            <w:noWrap w:val="0"/>
            <w:tcMar>
              <w:left w:w="57" w:type="dxa"/>
              <w:right w:w="57" w:type="dxa"/>
            </w:tcMar>
            <w:vAlign w:val="center"/>
          </w:tcPr>
          <w:p w14:paraId="008E8DC2">
            <w:pPr>
              <w:tabs>
                <w:tab w:val="right" w:pos="2948"/>
              </w:tabs>
              <w:jc w:val="center"/>
              <w:rPr>
                <w:rFonts w:hint="eastAsia" w:ascii="宋体" w:hAnsi="宋体" w:eastAsia="宋体" w:cs="宋体"/>
                <w:color w:val="auto"/>
                <w:spacing w:val="0"/>
                <w:kern w:val="0"/>
                <w:szCs w:val="21"/>
              </w:rPr>
            </w:pPr>
            <w:r>
              <w:rPr>
                <w:rFonts w:hint="eastAsia" w:ascii="宋体" w:hAnsi="宋体" w:eastAsia="宋体" w:cs="宋体"/>
                <w:b/>
                <w:bCs/>
                <w:color w:val="auto"/>
                <w:spacing w:val="0"/>
                <w:kern w:val="0"/>
                <w:szCs w:val="21"/>
              </w:rPr>
              <w:t>条款号</w:t>
            </w:r>
          </w:p>
        </w:tc>
        <w:tc>
          <w:tcPr>
            <w:tcW w:w="1852" w:type="dxa"/>
            <w:noWrap w:val="0"/>
            <w:tcMar>
              <w:left w:w="57" w:type="dxa"/>
              <w:right w:w="57" w:type="dxa"/>
            </w:tcMar>
            <w:vAlign w:val="center"/>
          </w:tcPr>
          <w:p w14:paraId="28B56708">
            <w:pPr>
              <w:jc w:val="center"/>
              <w:rPr>
                <w:rFonts w:hint="eastAsia" w:ascii="宋体" w:hAnsi="宋体" w:eastAsia="宋体" w:cs="宋体"/>
                <w:color w:val="auto"/>
                <w:spacing w:val="0"/>
                <w:kern w:val="0"/>
                <w:szCs w:val="21"/>
              </w:rPr>
            </w:pPr>
            <w:r>
              <w:rPr>
                <w:rFonts w:hint="eastAsia" w:ascii="宋体" w:hAnsi="宋体" w:eastAsia="宋体" w:cs="宋体"/>
                <w:b/>
                <w:color w:val="auto"/>
                <w:spacing w:val="0"/>
                <w:kern w:val="0"/>
                <w:szCs w:val="21"/>
              </w:rPr>
              <w:t>评分因素</w:t>
            </w:r>
          </w:p>
        </w:tc>
        <w:tc>
          <w:tcPr>
            <w:tcW w:w="6007" w:type="dxa"/>
            <w:noWrap w:val="0"/>
            <w:tcMar>
              <w:left w:w="57" w:type="dxa"/>
              <w:right w:w="57" w:type="dxa"/>
            </w:tcMar>
            <w:vAlign w:val="center"/>
          </w:tcPr>
          <w:p w14:paraId="63722FAA">
            <w:pPr>
              <w:rPr>
                <w:rFonts w:hint="eastAsia" w:ascii="宋体" w:hAnsi="宋体" w:eastAsia="宋体" w:cs="宋体"/>
                <w:color w:val="auto"/>
                <w:spacing w:val="0"/>
                <w:kern w:val="0"/>
                <w:szCs w:val="21"/>
              </w:rPr>
            </w:pPr>
            <w:r>
              <w:rPr>
                <w:rFonts w:hint="eastAsia" w:ascii="宋体" w:hAnsi="宋体" w:eastAsia="宋体" w:cs="宋体"/>
                <w:b/>
                <w:bCs/>
                <w:color w:val="auto"/>
                <w:spacing w:val="0"/>
                <w:kern w:val="0"/>
                <w:szCs w:val="21"/>
              </w:rPr>
              <w:t>评分标准</w:t>
            </w:r>
          </w:p>
        </w:tc>
      </w:tr>
      <w:tr w14:paraId="7766E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3" w:hRule="atLeast"/>
          <w:jc w:val="center"/>
        </w:trPr>
        <w:tc>
          <w:tcPr>
            <w:tcW w:w="904" w:type="dxa"/>
            <w:vMerge w:val="restart"/>
            <w:noWrap w:val="0"/>
            <w:tcMar>
              <w:left w:w="57" w:type="dxa"/>
              <w:right w:w="57" w:type="dxa"/>
            </w:tcMar>
            <w:vAlign w:val="center"/>
          </w:tcPr>
          <w:p w14:paraId="0E4EF050">
            <w:pPr>
              <w:jc w:val="center"/>
              <w:rPr>
                <w:rFonts w:hint="eastAsia" w:ascii="宋体" w:hAnsi="宋体" w:eastAsia="宋体" w:cs="宋体"/>
                <w:color w:val="auto"/>
                <w:spacing w:val="0"/>
                <w:kern w:val="0"/>
                <w:szCs w:val="21"/>
              </w:rPr>
            </w:pPr>
            <w:r>
              <w:rPr>
                <w:rFonts w:hint="eastAsia" w:ascii="宋体" w:hAnsi="宋体" w:eastAsia="宋体" w:cs="宋体"/>
                <w:color w:val="auto"/>
                <w:spacing w:val="0"/>
                <w:kern w:val="0"/>
                <w:szCs w:val="21"/>
              </w:rPr>
              <w:t>2.2.</w:t>
            </w:r>
            <w:r>
              <w:rPr>
                <w:rFonts w:hint="eastAsia" w:ascii="宋体" w:hAnsi="宋体" w:cs="宋体"/>
                <w:color w:val="auto"/>
                <w:spacing w:val="0"/>
                <w:kern w:val="0"/>
                <w:szCs w:val="21"/>
                <w:lang w:val="en-US" w:eastAsia="zh-CN"/>
              </w:rPr>
              <w:t>2</w:t>
            </w:r>
          </w:p>
        </w:tc>
        <w:tc>
          <w:tcPr>
            <w:tcW w:w="1235" w:type="dxa"/>
            <w:vMerge w:val="restart"/>
            <w:noWrap w:val="0"/>
            <w:tcMar>
              <w:left w:w="57" w:type="dxa"/>
              <w:right w:w="57" w:type="dxa"/>
            </w:tcMar>
            <w:vAlign w:val="center"/>
          </w:tcPr>
          <w:p w14:paraId="178C8F4A">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rPr>
              <w:t>技术标评分（</w:t>
            </w:r>
            <w:r>
              <w:rPr>
                <w:rFonts w:hint="eastAsia" w:ascii="宋体" w:hAnsi="宋体" w:cs="宋体"/>
                <w:color w:val="auto"/>
                <w:spacing w:val="0"/>
                <w:szCs w:val="21"/>
                <w:lang w:val="en-US" w:eastAsia="zh-CN"/>
              </w:rPr>
              <w:t>60</w:t>
            </w:r>
            <w:r>
              <w:rPr>
                <w:rFonts w:hint="eastAsia" w:ascii="宋体" w:hAnsi="宋体" w:eastAsia="宋体" w:cs="宋体"/>
                <w:color w:val="auto"/>
                <w:spacing w:val="0"/>
                <w:szCs w:val="21"/>
              </w:rPr>
              <w:t>分）</w:t>
            </w:r>
          </w:p>
        </w:tc>
        <w:tc>
          <w:tcPr>
            <w:tcW w:w="1852" w:type="dxa"/>
            <w:noWrap w:val="0"/>
            <w:tcMar>
              <w:left w:w="57" w:type="dxa"/>
              <w:right w:w="57" w:type="dxa"/>
            </w:tcMar>
            <w:vAlign w:val="center"/>
          </w:tcPr>
          <w:p w14:paraId="254AAB37">
            <w:pPr>
              <w:jc w:val="center"/>
              <w:rPr>
                <w:rFonts w:hint="eastAsia" w:ascii="宋体" w:hAnsi="宋体" w:cs="宋体"/>
                <w:color w:val="auto"/>
                <w:spacing w:val="0"/>
                <w:szCs w:val="21"/>
                <w:lang w:val="en-US" w:eastAsia="zh-CN"/>
              </w:rPr>
            </w:pPr>
            <w:r>
              <w:rPr>
                <w:rFonts w:hint="eastAsia" w:ascii="宋体" w:hAnsi="宋体" w:cs="宋体"/>
                <w:color w:val="auto"/>
                <w:spacing w:val="0"/>
                <w:szCs w:val="21"/>
                <w:lang w:val="en-US" w:eastAsia="zh-CN"/>
              </w:rPr>
              <w:t>供货方案</w:t>
            </w:r>
          </w:p>
          <w:p w14:paraId="6A74376C">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rPr>
              <w:t>（</w:t>
            </w:r>
            <w:r>
              <w:rPr>
                <w:rFonts w:hint="eastAsia" w:ascii="宋体" w:hAnsi="宋体" w:cs="宋体"/>
                <w:color w:val="auto"/>
                <w:spacing w:val="0"/>
                <w:szCs w:val="21"/>
                <w:lang w:val="en-US" w:eastAsia="zh-CN"/>
              </w:rPr>
              <w:t>0-</w:t>
            </w:r>
            <w:r>
              <w:rPr>
                <w:rFonts w:hint="eastAsia" w:ascii="宋体" w:hAnsi="宋体" w:eastAsia="宋体" w:cs="宋体"/>
                <w:color w:val="auto"/>
                <w:spacing w:val="0"/>
                <w:szCs w:val="21"/>
              </w:rPr>
              <w:t>15分）</w:t>
            </w:r>
          </w:p>
          <w:p w14:paraId="31E6C779">
            <w:pPr>
              <w:jc w:val="center"/>
              <w:rPr>
                <w:rFonts w:hint="eastAsia" w:ascii="宋体" w:hAnsi="宋体" w:eastAsia="宋体" w:cs="宋体"/>
                <w:color w:val="auto"/>
                <w:spacing w:val="0"/>
                <w:szCs w:val="21"/>
                <w:lang w:val="en-US" w:eastAsia="zh-CN"/>
              </w:rPr>
            </w:pPr>
          </w:p>
        </w:tc>
        <w:tc>
          <w:tcPr>
            <w:tcW w:w="6007" w:type="dxa"/>
            <w:noWrap w:val="0"/>
            <w:tcMar>
              <w:left w:w="57" w:type="dxa"/>
              <w:right w:w="57" w:type="dxa"/>
            </w:tcMar>
            <w:vAlign w:val="center"/>
          </w:tcPr>
          <w:p w14:paraId="61345FF5">
            <w:pPr>
              <w:numPr>
                <w:ilvl w:val="0"/>
                <w:numId w:val="0"/>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评标委员会对投标人整体供货方案进行评审，包含食材来源渠道、货源组织管理制度、仓储备货保障、按时供货管控等全部内容：</w:t>
            </w:r>
          </w:p>
          <w:p w14:paraId="49788182">
            <w:pPr>
              <w:numPr>
                <w:ilvl w:val="0"/>
                <w:numId w:val="0"/>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①方案内容全面详实，货源渠道清晰可溯源、仓储备货机制完善、运输及验收流程细化，高度贴合特困供养机构实际运营需求，完全满足采购要求，得</w:t>
            </w:r>
            <w:r>
              <w:rPr>
                <w:rFonts w:hint="eastAsia" w:ascii="宋体" w:hAnsi="宋体" w:cs="宋体"/>
                <w:color w:val="auto"/>
                <w:sz w:val="21"/>
                <w:szCs w:val="21"/>
                <w:highlight w:val="none"/>
                <w:lang w:val="en-US" w:eastAsia="zh-CN"/>
              </w:rPr>
              <w:t>15</w:t>
            </w:r>
            <w:r>
              <w:rPr>
                <w:rFonts w:hint="eastAsia" w:ascii="宋体" w:hAnsi="宋体" w:eastAsia="宋体" w:cs="宋体"/>
                <w:color w:val="auto"/>
                <w:sz w:val="21"/>
                <w:szCs w:val="21"/>
                <w:highlight w:val="none"/>
                <w:lang w:val="en-US" w:eastAsia="zh-CN"/>
              </w:rPr>
              <w:t xml:space="preserve">分； </w:t>
            </w:r>
          </w:p>
          <w:p w14:paraId="330343AA">
            <w:pPr>
              <w:numPr>
                <w:ilvl w:val="0"/>
                <w:numId w:val="0"/>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②方案体系完整，货源、仓储、运输、验收核心内容齐全，可满足采购需求，仅少量细节需优化完善，得</w:t>
            </w:r>
            <w:r>
              <w:rPr>
                <w:rFonts w:hint="eastAsia" w:ascii="宋体" w:hAnsi="宋体" w:cs="宋体"/>
                <w:color w:val="auto"/>
                <w:sz w:val="21"/>
                <w:szCs w:val="21"/>
                <w:highlight w:val="none"/>
                <w:lang w:val="en-US" w:eastAsia="zh-CN"/>
              </w:rPr>
              <w:t>11</w:t>
            </w:r>
            <w:r>
              <w:rPr>
                <w:rFonts w:hint="eastAsia" w:ascii="宋体" w:hAnsi="宋体" w:eastAsia="宋体" w:cs="宋体"/>
                <w:color w:val="auto"/>
                <w:sz w:val="21"/>
                <w:szCs w:val="21"/>
                <w:highlight w:val="none"/>
                <w:lang w:val="en-US" w:eastAsia="zh-CN"/>
              </w:rPr>
              <w:t xml:space="preserve">分； </w:t>
            </w:r>
          </w:p>
          <w:p w14:paraId="2D489FB6">
            <w:pPr>
              <w:numPr>
                <w:ilvl w:val="0"/>
                <w:numId w:val="0"/>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③方案内容基本齐全，覆盖全部评审维度，但部分管理制度、货源保障、验收流程表述简略，存在优化空间，得</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分；</w:t>
            </w:r>
          </w:p>
          <w:p w14:paraId="43EA002E">
            <w:pPr>
              <w:numPr>
                <w:ilvl w:val="0"/>
                <w:numId w:val="0"/>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④方案内容简单笼统，渠道、备货、验收关键内容描述模糊，存在明显缺陷，需大幅整改方可满足需求，得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 xml:space="preserve"> 分； </w:t>
            </w:r>
          </w:p>
          <w:p w14:paraId="1B3B7C21">
            <w:pPr>
              <w:numPr>
                <w:ilvl w:val="0"/>
                <w:numId w:val="0"/>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⑤未提供专项供货方案的，本项不得分。</w:t>
            </w:r>
          </w:p>
        </w:tc>
      </w:tr>
      <w:tr w14:paraId="1000D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2" w:hRule="atLeast"/>
          <w:jc w:val="center"/>
        </w:trPr>
        <w:tc>
          <w:tcPr>
            <w:tcW w:w="904" w:type="dxa"/>
            <w:vMerge w:val="continue"/>
            <w:noWrap w:val="0"/>
            <w:tcMar>
              <w:left w:w="57" w:type="dxa"/>
              <w:right w:w="57" w:type="dxa"/>
            </w:tcMar>
            <w:vAlign w:val="center"/>
          </w:tcPr>
          <w:p w14:paraId="520D3C0D">
            <w:pPr>
              <w:jc w:val="center"/>
              <w:rPr>
                <w:rFonts w:hint="eastAsia" w:ascii="宋体" w:hAnsi="宋体" w:eastAsia="宋体" w:cs="宋体"/>
                <w:color w:val="auto"/>
                <w:spacing w:val="0"/>
                <w:kern w:val="0"/>
                <w:szCs w:val="21"/>
              </w:rPr>
            </w:pPr>
          </w:p>
        </w:tc>
        <w:tc>
          <w:tcPr>
            <w:tcW w:w="1235" w:type="dxa"/>
            <w:vMerge w:val="continue"/>
            <w:noWrap w:val="0"/>
            <w:tcMar>
              <w:left w:w="57" w:type="dxa"/>
              <w:right w:w="57" w:type="dxa"/>
            </w:tcMar>
            <w:vAlign w:val="center"/>
          </w:tcPr>
          <w:p w14:paraId="3F06909C">
            <w:pPr>
              <w:jc w:val="center"/>
              <w:rPr>
                <w:rFonts w:hint="eastAsia" w:ascii="宋体" w:hAnsi="宋体" w:eastAsia="宋体" w:cs="宋体"/>
                <w:color w:val="auto"/>
                <w:spacing w:val="0"/>
                <w:kern w:val="0"/>
                <w:szCs w:val="21"/>
              </w:rPr>
            </w:pPr>
          </w:p>
        </w:tc>
        <w:tc>
          <w:tcPr>
            <w:tcW w:w="1852" w:type="dxa"/>
            <w:noWrap w:val="0"/>
            <w:tcMar>
              <w:left w:w="57" w:type="dxa"/>
              <w:right w:w="57" w:type="dxa"/>
            </w:tcMar>
            <w:vAlign w:val="center"/>
          </w:tcPr>
          <w:p w14:paraId="5DA7BABC">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rPr>
              <w:t>全流程食品安全管理制度</w:t>
            </w:r>
          </w:p>
          <w:p w14:paraId="1EF2991C">
            <w:pPr>
              <w:jc w:val="center"/>
              <w:rPr>
                <w:rFonts w:hint="eastAsia" w:ascii="宋体" w:hAnsi="宋体" w:eastAsia="宋体" w:cs="宋体"/>
                <w:color w:val="auto"/>
                <w:spacing w:val="0"/>
                <w:szCs w:val="21"/>
                <w:lang w:val="en-US" w:eastAsia="zh-CN"/>
              </w:rPr>
            </w:pPr>
            <w:r>
              <w:rPr>
                <w:rFonts w:hint="eastAsia" w:ascii="宋体" w:hAnsi="宋体" w:eastAsia="宋体" w:cs="宋体"/>
                <w:color w:val="auto"/>
                <w:spacing w:val="0"/>
                <w:szCs w:val="21"/>
              </w:rPr>
              <w:t>（</w:t>
            </w:r>
            <w:r>
              <w:rPr>
                <w:rFonts w:hint="eastAsia" w:ascii="宋体" w:hAnsi="宋体" w:cs="宋体"/>
                <w:color w:val="auto"/>
                <w:spacing w:val="0"/>
                <w:szCs w:val="21"/>
                <w:lang w:val="en-US" w:eastAsia="zh-CN"/>
              </w:rPr>
              <w:t>0-</w:t>
            </w:r>
            <w:r>
              <w:rPr>
                <w:rFonts w:hint="eastAsia" w:ascii="宋体" w:hAnsi="宋体" w:eastAsia="宋体" w:cs="宋体"/>
                <w:color w:val="auto"/>
                <w:spacing w:val="0"/>
                <w:szCs w:val="21"/>
              </w:rPr>
              <w:t>15分）</w:t>
            </w:r>
          </w:p>
        </w:tc>
        <w:tc>
          <w:tcPr>
            <w:tcW w:w="6007" w:type="dxa"/>
            <w:noWrap w:val="0"/>
            <w:tcMar>
              <w:left w:w="57" w:type="dxa"/>
              <w:right w:w="57" w:type="dxa"/>
            </w:tcMar>
            <w:vAlign w:val="center"/>
          </w:tcPr>
          <w:p w14:paraId="2EB5FCB4">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针对食材源头遴选、采购审核、入库验收、分拣加工、分区储存、恒温保鲜、日常消杀、留样管理、出库核验、问题食材处置、全程追溯闭环管理制度进行评审： </w:t>
            </w:r>
          </w:p>
          <w:p w14:paraId="47DB15A6">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①制度闭环完整，全流程细化到位、岗位责任清晰，完全匹配特困供养食堂管理规范，落地性强，得 15 分； </w:t>
            </w:r>
          </w:p>
          <w:p w14:paraId="5C8662CF">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②制度框架完善，核心管控流程齐全，仅有少量细节需补充优化，得 11 分； </w:t>
            </w:r>
          </w:p>
          <w:p w14:paraId="1430A1D5">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③制度体系基本齐全，关键流程无缺失，部分岗位职责、管控标准简略，得 7 分； </w:t>
            </w:r>
          </w:p>
          <w:p w14:paraId="64500807">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④制度内容单薄，多处流程缺失、权责划分模糊，仅覆盖基础环节，得 3 分； </w:t>
            </w:r>
          </w:p>
          <w:p w14:paraId="35D2BCA5">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⑤无专项食品安全管理制度，本项不得分。</w:t>
            </w:r>
          </w:p>
        </w:tc>
      </w:tr>
      <w:tr w14:paraId="66B7F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0" w:hRule="atLeast"/>
          <w:jc w:val="center"/>
        </w:trPr>
        <w:tc>
          <w:tcPr>
            <w:tcW w:w="904" w:type="dxa"/>
            <w:vMerge w:val="continue"/>
            <w:noWrap w:val="0"/>
            <w:tcMar>
              <w:left w:w="57" w:type="dxa"/>
              <w:right w:w="57" w:type="dxa"/>
            </w:tcMar>
            <w:vAlign w:val="center"/>
          </w:tcPr>
          <w:p w14:paraId="48639171">
            <w:pPr>
              <w:jc w:val="center"/>
              <w:rPr>
                <w:rFonts w:hint="eastAsia" w:ascii="宋体" w:hAnsi="宋体" w:eastAsia="宋体" w:cs="宋体"/>
                <w:color w:val="auto"/>
                <w:spacing w:val="0"/>
                <w:kern w:val="0"/>
                <w:szCs w:val="21"/>
              </w:rPr>
            </w:pPr>
          </w:p>
        </w:tc>
        <w:tc>
          <w:tcPr>
            <w:tcW w:w="1235" w:type="dxa"/>
            <w:vMerge w:val="continue"/>
            <w:noWrap w:val="0"/>
            <w:tcMar>
              <w:left w:w="57" w:type="dxa"/>
              <w:right w:w="57" w:type="dxa"/>
            </w:tcMar>
            <w:vAlign w:val="center"/>
          </w:tcPr>
          <w:p w14:paraId="25C910D9">
            <w:pPr>
              <w:jc w:val="center"/>
              <w:rPr>
                <w:rFonts w:hint="eastAsia" w:ascii="宋体" w:hAnsi="宋体" w:eastAsia="宋体" w:cs="宋体"/>
                <w:color w:val="auto"/>
                <w:spacing w:val="0"/>
                <w:kern w:val="0"/>
                <w:szCs w:val="21"/>
              </w:rPr>
            </w:pPr>
          </w:p>
        </w:tc>
        <w:tc>
          <w:tcPr>
            <w:tcW w:w="1852" w:type="dxa"/>
            <w:noWrap w:val="0"/>
            <w:tcMar>
              <w:left w:w="57" w:type="dxa"/>
              <w:right w:w="57" w:type="dxa"/>
            </w:tcMar>
            <w:vAlign w:val="center"/>
          </w:tcPr>
          <w:p w14:paraId="1818D6A4">
            <w:pPr>
              <w:autoSpaceDE w:val="0"/>
              <w:autoSpaceDN w:val="0"/>
              <w:spacing w:line="360" w:lineRule="auto"/>
              <w:jc w:val="center"/>
              <w:rPr>
                <w:rFonts w:hint="eastAsia" w:ascii="宋体" w:hAnsi="宋体" w:eastAsia="宋体" w:cs="宋体"/>
                <w:color w:val="auto"/>
                <w:kern w:val="2"/>
                <w:sz w:val="21"/>
                <w:szCs w:val="21"/>
                <w:highlight w:val="none"/>
                <w:lang w:val="zh-TW" w:eastAsia="zh-CN" w:bidi="ar-SA"/>
              </w:rPr>
            </w:pPr>
            <w:r>
              <w:rPr>
                <w:rFonts w:hint="eastAsia" w:ascii="宋体" w:hAnsi="宋体" w:eastAsia="宋体" w:cs="宋体"/>
                <w:color w:val="auto"/>
                <w:kern w:val="2"/>
                <w:sz w:val="21"/>
                <w:szCs w:val="21"/>
                <w:highlight w:val="none"/>
                <w:lang w:val="zh-TW" w:eastAsia="zh-CN" w:bidi="ar-SA"/>
              </w:rPr>
              <w:t>专属配送时效与交接方案</w:t>
            </w:r>
          </w:p>
          <w:p w14:paraId="5206E6CB">
            <w:pPr>
              <w:autoSpaceDE w:val="0"/>
              <w:autoSpaceDN w:val="0"/>
              <w:spacing w:line="360" w:lineRule="auto"/>
              <w:jc w:val="center"/>
              <w:rPr>
                <w:rFonts w:hint="eastAsia" w:ascii="宋体" w:hAnsi="宋体" w:eastAsia="宋体" w:cs="宋体"/>
                <w:color w:val="auto"/>
                <w:kern w:val="2"/>
                <w:sz w:val="21"/>
                <w:szCs w:val="21"/>
                <w:highlight w:val="none"/>
                <w:lang w:val="zh-TW" w:eastAsia="zh-CN" w:bidi="ar-SA"/>
              </w:rPr>
            </w:pPr>
            <w:r>
              <w:rPr>
                <w:rFonts w:hint="eastAsia" w:ascii="宋体" w:hAnsi="宋体" w:eastAsia="宋体" w:cs="宋体"/>
                <w:color w:val="auto"/>
                <w:kern w:val="2"/>
                <w:sz w:val="21"/>
                <w:szCs w:val="21"/>
                <w:highlight w:val="none"/>
                <w:lang w:val="zh-TW" w:eastAsia="zh-CN" w:bidi="ar-SA"/>
              </w:rPr>
              <w:t>（</w:t>
            </w:r>
            <w:r>
              <w:rPr>
                <w:rFonts w:hint="eastAsia" w:ascii="宋体" w:hAnsi="宋体" w:cs="宋体"/>
                <w:color w:val="auto"/>
                <w:kern w:val="2"/>
                <w:sz w:val="21"/>
                <w:szCs w:val="21"/>
                <w:highlight w:val="none"/>
                <w:lang w:val="en-US" w:eastAsia="zh-CN" w:bidi="ar-SA"/>
              </w:rPr>
              <w:t>0-10</w:t>
            </w:r>
            <w:r>
              <w:rPr>
                <w:rFonts w:hint="eastAsia" w:ascii="宋体" w:hAnsi="宋体" w:eastAsia="宋体" w:cs="宋体"/>
                <w:color w:val="auto"/>
                <w:kern w:val="2"/>
                <w:sz w:val="21"/>
                <w:szCs w:val="21"/>
                <w:highlight w:val="none"/>
                <w:lang w:val="zh-TW" w:eastAsia="zh-CN" w:bidi="ar-SA"/>
              </w:rPr>
              <w:t>分）</w:t>
            </w:r>
          </w:p>
        </w:tc>
        <w:tc>
          <w:tcPr>
            <w:tcW w:w="6007" w:type="dxa"/>
            <w:noWrap w:val="0"/>
            <w:tcMar>
              <w:left w:w="57" w:type="dxa"/>
              <w:right w:w="57" w:type="dxa"/>
            </w:tcMar>
            <w:vAlign w:val="center"/>
          </w:tcPr>
          <w:p w14:paraId="78A8FF0E">
            <w:pPr>
              <w:autoSpaceDE w:val="0"/>
              <w:autoSpaceDN w:val="0"/>
              <w:adjustRightInd w:val="0"/>
              <w:spacing w:line="360" w:lineRule="auto"/>
              <w:textAlignment w:val="baseline"/>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 xml:space="preserve">针对特困供养机构固定开餐时间、食堂备货节奏定制配送方案，围绕配送时段、到货验收流程、运输保鲜管控、现场交接签字机制、准点送达承诺、分批保鲜配送、错峰交付等内容评审： </w:t>
            </w:r>
          </w:p>
          <w:p w14:paraId="44C29860">
            <w:pPr>
              <w:autoSpaceDE w:val="0"/>
              <w:autoSpaceDN w:val="0"/>
              <w:adjustRightInd w:val="0"/>
              <w:spacing w:line="360" w:lineRule="auto"/>
              <w:textAlignment w:val="baseline"/>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 xml:space="preserve">①方案针对性极强，全流程内容详实细化，各项保障措施完整落地，完全匹配食堂运营需求，得 </w:t>
            </w:r>
            <w:r>
              <w:rPr>
                <w:rFonts w:hint="eastAsia" w:ascii="宋体" w:hAnsi="宋体" w:cs="宋体"/>
                <w:color w:val="auto"/>
                <w:kern w:val="2"/>
                <w:sz w:val="21"/>
                <w:szCs w:val="21"/>
                <w:highlight w:val="none"/>
                <w:lang w:val="en-US" w:eastAsia="zh-CN" w:bidi="ar-SA"/>
              </w:rPr>
              <w:t>10</w:t>
            </w:r>
            <w:r>
              <w:rPr>
                <w:rFonts w:hint="default" w:ascii="宋体" w:hAnsi="宋体" w:eastAsia="宋体" w:cs="宋体"/>
                <w:color w:val="auto"/>
                <w:kern w:val="2"/>
                <w:sz w:val="21"/>
                <w:szCs w:val="21"/>
                <w:highlight w:val="none"/>
                <w:lang w:val="en-US" w:eastAsia="zh-CN" w:bidi="ar-SA"/>
              </w:rPr>
              <w:t xml:space="preserve">分； </w:t>
            </w:r>
          </w:p>
          <w:p w14:paraId="57D40BDF">
            <w:pPr>
              <w:autoSpaceDE w:val="0"/>
              <w:autoSpaceDN w:val="0"/>
              <w:adjustRightInd w:val="0"/>
              <w:spacing w:line="360" w:lineRule="auto"/>
              <w:textAlignment w:val="baseline"/>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 xml:space="preserve">②配送方案框架完整，配送时效、交接、保鲜等核心保障措施清晰，仅少量细节需优化，得 </w:t>
            </w:r>
            <w:r>
              <w:rPr>
                <w:rFonts w:hint="eastAsia" w:ascii="宋体" w:hAnsi="宋体" w:cs="宋体"/>
                <w:color w:val="auto"/>
                <w:kern w:val="2"/>
                <w:sz w:val="21"/>
                <w:szCs w:val="21"/>
                <w:highlight w:val="none"/>
                <w:lang w:val="en-US" w:eastAsia="zh-CN" w:bidi="ar-SA"/>
              </w:rPr>
              <w:t>6</w:t>
            </w:r>
            <w:r>
              <w:rPr>
                <w:rFonts w:hint="default" w:ascii="宋体" w:hAnsi="宋体" w:eastAsia="宋体" w:cs="宋体"/>
                <w:color w:val="auto"/>
                <w:kern w:val="2"/>
                <w:sz w:val="21"/>
                <w:szCs w:val="21"/>
                <w:highlight w:val="none"/>
                <w:lang w:val="en-US" w:eastAsia="zh-CN" w:bidi="ar-SA"/>
              </w:rPr>
              <w:t xml:space="preserve"> 分； </w:t>
            </w:r>
          </w:p>
          <w:p w14:paraId="5FD327EC">
            <w:pPr>
              <w:autoSpaceDE w:val="0"/>
              <w:autoSpaceDN w:val="0"/>
              <w:adjustRightInd w:val="0"/>
              <w:spacing w:line="360" w:lineRule="auto"/>
              <w:textAlignment w:val="baseline"/>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③配送方案内容基本齐全，具备基础时效与交接说明，但管控细则简略，存在完善空间，得</w:t>
            </w:r>
            <w:r>
              <w:rPr>
                <w:rFonts w:hint="eastAsia" w:ascii="宋体" w:hAnsi="宋体" w:cs="宋体"/>
                <w:color w:val="auto"/>
                <w:kern w:val="2"/>
                <w:sz w:val="21"/>
                <w:szCs w:val="21"/>
                <w:highlight w:val="none"/>
                <w:lang w:val="en-US" w:eastAsia="zh-CN" w:bidi="ar-SA"/>
              </w:rPr>
              <w:t>3</w:t>
            </w:r>
            <w:r>
              <w:rPr>
                <w:rFonts w:hint="default" w:ascii="宋体" w:hAnsi="宋体" w:eastAsia="宋体" w:cs="宋体"/>
                <w:color w:val="auto"/>
                <w:kern w:val="2"/>
                <w:sz w:val="21"/>
                <w:szCs w:val="21"/>
                <w:highlight w:val="none"/>
                <w:lang w:val="en-US" w:eastAsia="zh-CN" w:bidi="ar-SA"/>
              </w:rPr>
              <w:t>分；</w:t>
            </w:r>
          </w:p>
          <w:p w14:paraId="4CBAD39F">
            <w:pPr>
              <w:autoSpaceDE w:val="0"/>
              <w:autoSpaceDN w:val="0"/>
              <w:adjustRightInd w:val="0"/>
              <w:spacing w:line="360" w:lineRule="auto"/>
              <w:textAlignment w:val="baseline"/>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 xml:space="preserve"> ④配送方案内容单薄，未明确配送时效、交接、保鲜管控关键机制，缺陷较多，得 1 分； </w:t>
            </w:r>
          </w:p>
          <w:p w14:paraId="5A51371F">
            <w:pPr>
              <w:autoSpaceDE w:val="0"/>
              <w:autoSpaceDN w:val="0"/>
              <w:adjustRightInd w:val="0"/>
              <w:spacing w:line="360" w:lineRule="auto"/>
              <w:textAlignment w:val="baseline"/>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⑤未提供专项配送方案的，本项不得分。</w:t>
            </w:r>
          </w:p>
        </w:tc>
      </w:tr>
      <w:tr w14:paraId="044FD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7" w:hRule="atLeast"/>
          <w:jc w:val="center"/>
        </w:trPr>
        <w:tc>
          <w:tcPr>
            <w:tcW w:w="904" w:type="dxa"/>
            <w:vMerge w:val="continue"/>
            <w:noWrap w:val="0"/>
            <w:tcMar>
              <w:left w:w="57" w:type="dxa"/>
              <w:right w:w="57" w:type="dxa"/>
            </w:tcMar>
            <w:vAlign w:val="center"/>
          </w:tcPr>
          <w:p w14:paraId="5F001211">
            <w:pPr>
              <w:jc w:val="center"/>
              <w:rPr>
                <w:rFonts w:hint="eastAsia" w:ascii="宋体" w:hAnsi="宋体" w:eastAsia="宋体" w:cs="宋体"/>
                <w:color w:val="auto"/>
                <w:spacing w:val="0"/>
                <w:kern w:val="0"/>
                <w:szCs w:val="21"/>
              </w:rPr>
            </w:pPr>
          </w:p>
        </w:tc>
        <w:tc>
          <w:tcPr>
            <w:tcW w:w="1235" w:type="dxa"/>
            <w:vMerge w:val="continue"/>
            <w:noWrap w:val="0"/>
            <w:tcMar>
              <w:left w:w="57" w:type="dxa"/>
              <w:right w:w="57" w:type="dxa"/>
            </w:tcMar>
            <w:vAlign w:val="center"/>
          </w:tcPr>
          <w:p w14:paraId="32C83DC8">
            <w:pPr>
              <w:jc w:val="center"/>
              <w:rPr>
                <w:rFonts w:hint="eastAsia" w:ascii="宋体" w:hAnsi="宋体" w:eastAsia="宋体" w:cs="宋体"/>
                <w:color w:val="auto"/>
                <w:spacing w:val="0"/>
                <w:kern w:val="0"/>
                <w:szCs w:val="21"/>
              </w:rPr>
            </w:pPr>
          </w:p>
        </w:tc>
        <w:tc>
          <w:tcPr>
            <w:tcW w:w="1852" w:type="dxa"/>
            <w:noWrap w:val="0"/>
            <w:tcMar>
              <w:left w:w="57" w:type="dxa"/>
              <w:right w:w="57" w:type="dxa"/>
            </w:tcMar>
            <w:vAlign w:val="center"/>
          </w:tcPr>
          <w:p w14:paraId="0B8E274E">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从业人员管理与岗前培训方案</w:t>
            </w:r>
          </w:p>
          <w:p w14:paraId="6C7D383C">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0-10</w:t>
            </w:r>
            <w:r>
              <w:rPr>
                <w:rFonts w:hint="eastAsia" w:ascii="宋体" w:hAnsi="宋体" w:eastAsia="宋体" w:cs="宋体"/>
                <w:color w:val="auto"/>
                <w:kern w:val="2"/>
                <w:sz w:val="21"/>
                <w:szCs w:val="21"/>
                <w:highlight w:val="none"/>
                <w:lang w:val="en-US" w:eastAsia="zh-CN" w:bidi="ar-SA"/>
              </w:rPr>
              <w:t>分）</w:t>
            </w:r>
          </w:p>
        </w:tc>
        <w:tc>
          <w:tcPr>
            <w:tcW w:w="6007" w:type="dxa"/>
            <w:noWrap w:val="0"/>
            <w:tcMar>
              <w:left w:w="57" w:type="dxa"/>
              <w:right w:w="57" w:type="dxa"/>
            </w:tcMar>
            <w:vAlign w:val="center"/>
          </w:tcPr>
          <w:p w14:paraId="1CF2817F">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针对配送、品控、随车人员健康证、年度体检、岗前食安培训评审： </w:t>
            </w:r>
          </w:p>
          <w:p w14:paraId="207F25D7">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①人员管理制度详实，持证管理、体检周期、专项岗前培训体系完善，贴合供养机构要求，得</w:t>
            </w:r>
            <w:r>
              <w:rPr>
                <w:rFonts w:hint="eastAsia" w:ascii="宋体" w:hAnsi="宋体" w:cs="宋体"/>
                <w:color w:val="auto"/>
                <w:kern w:val="2"/>
                <w:sz w:val="21"/>
                <w:szCs w:val="21"/>
                <w:highlight w:val="none"/>
                <w:lang w:val="en-US" w:eastAsia="zh-CN" w:bidi="ar-SA"/>
              </w:rPr>
              <w:t>10</w:t>
            </w:r>
            <w:r>
              <w:rPr>
                <w:rFonts w:hint="eastAsia" w:ascii="宋体" w:hAnsi="宋体" w:eastAsia="宋体" w:cs="宋体"/>
                <w:color w:val="auto"/>
                <w:kern w:val="2"/>
                <w:sz w:val="21"/>
                <w:szCs w:val="21"/>
                <w:highlight w:val="none"/>
                <w:lang w:val="en-US" w:eastAsia="zh-CN" w:bidi="ar-SA"/>
              </w:rPr>
              <w:t>分；</w:t>
            </w:r>
          </w:p>
          <w:p w14:paraId="3CC7A1AB">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 ②人员管理体系完整，培训及健康管理齐全，少量细节优化，得 </w:t>
            </w:r>
            <w:r>
              <w:rPr>
                <w:rFonts w:hint="eastAsia" w:ascii="宋体" w:hAnsi="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 xml:space="preserve">分； </w:t>
            </w:r>
          </w:p>
          <w:p w14:paraId="61D9C500">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③制度基本齐全，培训计划、健康管理表述简略，得</w:t>
            </w:r>
            <w:r>
              <w:rPr>
                <w:rFonts w:hint="eastAsia" w:ascii="宋体" w:hAnsi="宋体" w:cs="宋体"/>
                <w:color w:val="auto"/>
                <w:kern w:val="2"/>
                <w:sz w:val="21"/>
                <w:szCs w:val="21"/>
                <w:highlight w:val="none"/>
                <w:lang w:val="en-US" w:eastAsia="zh-CN" w:bidi="ar-SA"/>
              </w:rPr>
              <w:t>6</w:t>
            </w:r>
            <w:r>
              <w:rPr>
                <w:rFonts w:hint="eastAsia" w:ascii="宋体" w:hAnsi="宋体" w:eastAsia="宋体" w:cs="宋体"/>
                <w:color w:val="auto"/>
                <w:kern w:val="2"/>
                <w:sz w:val="21"/>
                <w:szCs w:val="21"/>
                <w:highlight w:val="none"/>
                <w:lang w:val="en-US" w:eastAsia="zh-CN" w:bidi="ar-SA"/>
              </w:rPr>
              <w:t xml:space="preserve"> 分； </w:t>
            </w:r>
          </w:p>
          <w:p w14:paraId="7CEC9930">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④人员管理要求简单，持证、体检、培训关键条款缺失，得 </w:t>
            </w:r>
            <w:r>
              <w:rPr>
                <w:rFonts w:hint="eastAsia" w:ascii="宋体" w:hAnsi="宋体" w:cs="宋体"/>
                <w:color w:val="auto"/>
                <w:kern w:val="2"/>
                <w:sz w:val="21"/>
                <w:szCs w:val="21"/>
                <w:highlight w:val="none"/>
                <w:lang w:val="en-US" w:eastAsia="zh-CN" w:bidi="ar-SA"/>
              </w:rPr>
              <w:t xml:space="preserve">3 </w:t>
            </w:r>
            <w:r>
              <w:rPr>
                <w:rFonts w:hint="eastAsia" w:ascii="宋体" w:hAnsi="宋体" w:eastAsia="宋体" w:cs="宋体"/>
                <w:color w:val="auto"/>
                <w:kern w:val="2"/>
                <w:sz w:val="21"/>
                <w:szCs w:val="21"/>
                <w:highlight w:val="none"/>
                <w:lang w:val="en-US" w:eastAsia="zh-CN" w:bidi="ar-SA"/>
              </w:rPr>
              <w:t>分； ⑤未提供人员管理培训方案的，本项不得分。</w:t>
            </w:r>
          </w:p>
        </w:tc>
      </w:tr>
      <w:tr w14:paraId="029CE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7" w:hRule="atLeast"/>
          <w:jc w:val="center"/>
        </w:trPr>
        <w:tc>
          <w:tcPr>
            <w:tcW w:w="904" w:type="dxa"/>
            <w:vMerge w:val="continue"/>
            <w:noWrap w:val="0"/>
            <w:tcMar>
              <w:left w:w="57" w:type="dxa"/>
              <w:right w:w="57" w:type="dxa"/>
            </w:tcMar>
            <w:vAlign w:val="center"/>
          </w:tcPr>
          <w:p w14:paraId="6AB024BB">
            <w:pPr>
              <w:jc w:val="center"/>
              <w:rPr>
                <w:rFonts w:hint="eastAsia" w:ascii="宋体" w:hAnsi="宋体" w:eastAsia="宋体" w:cs="宋体"/>
                <w:color w:val="auto"/>
                <w:spacing w:val="0"/>
                <w:kern w:val="0"/>
                <w:szCs w:val="21"/>
              </w:rPr>
            </w:pPr>
          </w:p>
        </w:tc>
        <w:tc>
          <w:tcPr>
            <w:tcW w:w="1235" w:type="dxa"/>
            <w:vMerge w:val="continue"/>
            <w:noWrap w:val="0"/>
            <w:tcMar>
              <w:left w:w="57" w:type="dxa"/>
              <w:right w:w="57" w:type="dxa"/>
            </w:tcMar>
            <w:vAlign w:val="center"/>
          </w:tcPr>
          <w:p w14:paraId="64F070BF">
            <w:pPr>
              <w:jc w:val="center"/>
              <w:rPr>
                <w:rFonts w:hint="eastAsia" w:ascii="宋体" w:hAnsi="宋体" w:eastAsia="宋体" w:cs="宋体"/>
                <w:color w:val="auto"/>
                <w:spacing w:val="0"/>
                <w:kern w:val="0"/>
                <w:szCs w:val="21"/>
              </w:rPr>
            </w:pPr>
          </w:p>
        </w:tc>
        <w:tc>
          <w:tcPr>
            <w:tcW w:w="1852" w:type="dxa"/>
            <w:noWrap w:val="0"/>
            <w:tcMar>
              <w:left w:w="57" w:type="dxa"/>
              <w:right w:w="57" w:type="dxa"/>
            </w:tcMar>
            <w:vAlign w:val="center"/>
          </w:tcPr>
          <w:p w14:paraId="03AB5D95">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应急预案</w:t>
            </w:r>
          </w:p>
          <w:p w14:paraId="4C4C9E49">
            <w:pPr>
              <w:spacing w:line="360" w:lineRule="auto"/>
              <w:jc w:val="center"/>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zh-TW" w:eastAsia="zh-CN" w:bidi="ar-SA"/>
              </w:rPr>
              <w:t>（</w:t>
            </w:r>
            <w:r>
              <w:rPr>
                <w:rFonts w:hint="eastAsia" w:ascii="宋体" w:hAnsi="宋体" w:cs="宋体"/>
                <w:color w:val="auto"/>
                <w:kern w:val="2"/>
                <w:sz w:val="21"/>
                <w:szCs w:val="21"/>
                <w:highlight w:val="none"/>
                <w:lang w:val="en-US" w:eastAsia="zh-CN" w:bidi="ar-SA"/>
              </w:rPr>
              <w:t>0-10</w:t>
            </w:r>
            <w:r>
              <w:rPr>
                <w:rFonts w:hint="eastAsia" w:ascii="宋体" w:hAnsi="宋体" w:cs="宋体"/>
                <w:color w:val="auto"/>
                <w:kern w:val="2"/>
                <w:sz w:val="21"/>
                <w:szCs w:val="21"/>
                <w:highlight w:val="none"/>
                <w:lang w:val="zh-TW" w:eastAsia="zh-CN" w:bidi="ar-SA"/>
              </w:rPr>
              <w:t>分）</w:t>
            </w:r>
          </w:p>
        </w:tc>
        <w:tc>
          <w:tcPr>
            <w:tcW w:w="6007" w:type="dxa"/>
            <w:noWrap w:val="0"/>
            <w:tcMar>
              <w:left w:w="57" w:type="dxa"/>
              <w:right w:w="57" w:type="dxa"/>
            </w:tcMar>
            <w:vAlign w:val="center"/>
          </w:tcPr>
          <w:p w14:paraId="7262EFB7">
            <w:pPr>
              <w:spacing w:line="360" w:lineRule="auto"/>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评标委员会针对雨雪极端天气、节假日、食材紧缺、运输设备故障、突发公共卫生事件、突发断供等场景应急处置方案进行评审，重点核查应急备货库存、备用配送车队、备选食材货源、紧急补送处置机制等内容：</w:t>
            </w:r>
          </w:p>
          <w:p w14:paraId="5F83A622">
            <w:pPr>
              <w:spacing w:line="360" w:lineRule="auto"/>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 xml:space="preserve"> ①方案覆盖全部突发场景，内容全面详实，预案科学完善、落地操作性强，得10分；</w:t>
            </w:r>
          </w:p>
          <w:p w14:paraId="75D64ACA">
            <w:pPr>
              <w:spacing w:line="360" w:lineRule="auto"/>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 xml:space="preserve"> ②包含全部要求保障内容，预案框架完整、逻辑合理，具备基本实操性，得6 分；</w:t>
            </w:r>
          </w:p>
          <w:p w14:paraId="0AA31E9A">
            <w:pPr>
              <w:spacing w:line="360" w:lineRule="auto"/>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 xml:space="preserve"> ③具备应急保供方案，核心场景、保障措施存在缺失，针对性一般，得 3分；</w:t>
            </w:r>
          </w:p>
          <w:p w14:paraId="469BD698">
            <w:pPr>
              <w:spacing w:line="360" w:lineRule="auto"/>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 xml:space="preserve"> ④仅有简易文字说明，场景覆盖不全、应急保障措施单薄，存在明显缺陷，得 1 分； </w:t>
            </w:r>
          </w:p>
          <w:p w14:paraId="5FC20505">
            <w:pPr>
              <w:spacing w:line="360" w:lineRule="auto"/>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⑤未提供应急保供专项方案的，本项不得分。</w:t>
            </w:r>
          </w:p>
        </w:tc>
      </w:tr>
      <w:tr w14:paraId="2D7EB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jc w:val="center"/>
        </w:trPr>
        <w:tc>
          <w:tcPr>
            <w:tcW w:w="904" w:type="dxa"/>
            <w:vMerge w:val="restart"/>
            <w:noWrap w:val="0"/>
            <w:tcMar>
              <w:left w:w="57" w:type="dxa"/>
              <w:right w:w="57" w:type="dxa"/>
            </w:tcMar>
            <w:vAlign w:val="center"/>
          </w:tcPr>
          <w:p w14:paraId="48E79758">
            <w:pPr>
              <w:jc w:val="center"/>
              <w:rPr>
                <w:rFonts w:hint="eastAsia" w:ascii="宋体" w:hAnsi="宋体" w:eastAsia="宋体" w:cs="宋体"/>
                <w:color w:val="auto"/>
                <w:spacing w:val="0"/>
                <w:kern w:val="0"/>
                <w:szCs w:val="21"/>
              </w:rPr>
            </w:pPr>
            <w:r>
              <w:rPr>
                <w:rFonts w:hint="eastAsia" w:ascii="宋体" w:hAnsi="宋体" w:eastAsia="宋体" w:cs="宋体"/>
                <w:color w:val="auto"/>
                <w:spacing w:val="0"/>
                <w:kern w:val="0"/>
                <w:szCs w:val="21"/>
              </w:rPr>
              <w:t>2.2.</w:t>
            </w:r>
            <w:r>
              <w:rPr>
                <w:rFonts w:hint="eastAsia" w:ascii="宋体" w:hAnsi="宋体" w:cs="宋体"/>
                <w:color w:val="auto"/>
                <w:spacing w:val="0"/>
                <w:kern w:val="0"/>
                <w:szCs w:val="21"/>
                <w:lang w:val="en-US" w:eastAsia="zh-CN"/>
              </w:rPr>
              <w:t>3</w:t>
            </w:r>
          </w:p>
        </w:tc>
        <w:tc>
          <w:tcPr>
            <w:tcW w:w="1235" w:type="dxa"/>
            <w:vMerge w:val="restart"/>
            <w:noWrap w:val="0"/>
            <w:tcMar>
              <w:left w:w="57" w:type="dxa"/>
              <w:right w:w="57" w:type="dxa"/>
            </w:tcMar>
            <w:vAlign w:val="center"/>
          </w:tcPr>
          <w:p w14:paraId="065807B9">
            <w:pPr>
              <w:jc w:val="center"/>
              <w:rPr>
                <w:rFonts w:hint="eastAsia" w:ascii="宋体" w:hAnsi="宋体" w:eastAsia="宋体" w:cs="宋体"/>
                <w:color w:val="auto"/>
                <w:spacing w:val="0"/>
                <w:szCs w:val="21"/>
              </w:rPr>
            </w:pPr>
            <w:r>
              <w:rPr>
                <w:rFonts w:hint="eastAsia" w:ascii="宋体" w:hAnsi="宋体" w:eastAsia="宋体" w:cs="宋体"/>
                <w:color w:val="auto"/>
                <w:spacing w:val="0"/>
                <w:szCs w:val="21"/>
                <w:lang w:val="en-US" w:eastAsia="zh-CN"/>
              </w:rPr>
              <w:t>商务部分</w:t>
            </w:r>
            <w:r>
              <w:rPr>
                <w:rFonts w:hint="eastAsia" w:ascii="宋体" w:hAnsi="宋体" w:eastAsia="宋体" w:cs="宋体"/>
                <w:color w:val="auto"/>
                <w:spacing w:val="0"/>
                <w:szCs w:val="21"/>
              </w:rPr>
              <w:t>评分（</w:t>
            </w:r>
            <w:r>
              <w:rPr>
                <w:rFonts w:hint="eastAsia" w:ascii="宋体" w:hAnsi="宋体" w:cs="宋体"/>
                <w:color w:val="auto"/>
                <w:spacing w:val="0"/>
                <w:szCs w:val="21"/>
                <w:lang w:val="en-US" w:eastAsia="zh-CN"/>
              </w:rPr>
              <w:t>40</w:t>
            </w:r>
            <w:r>
              <w:rPr>
                <w:rFonts w:hint="eastAsia" w:ascii="宋体" w:hAnsi="宋体" w:eastAsia="宋体" w:cs="宋体"/>
                <w:color w:val="auto"/>
                <w:spacing w:val="0"/>
                <w:szCs w:val="21"/>
              </w:rPr>
              <w:t>分）</w:t>
            </w:r>
          </w:p>
        </w:tc>
        <w:tc>
          <w:tcPr>
            <w:tcW w:w="1852" w:type="dxa"/>
            <w:noWrap w:val="0"/>
            <w:tcMar>
              <w:left w:w="57" w:type="dxa"/>
              <w:right w:w="57" w:type="dxa"/>
            </w:tcMar>
            <w:vAlign w:val="center"/>
          </w:tcPr>
          <w:p w14:paraId="1A1E6CB8">
            <w:pPr>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业绩</w:t>
            </w:r>
          </w:p>
          <w:p w14:paraId="16158177">
            <w:pPr>
              <w:spacing w:line="360" w:lineRule="auto"/>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w:t>
            </w:r>
            <w:r>
              <w:rPr>
                <w:rFonts w:hint="eastAsia" w:ascii="宋体" w:hAnsi="宋体" w:cs="宋体"/>
                <w:color w:val="auto"/>
                <w:kern w:val="0"/>
                <w:sz w:val="21"/>
                <w:szCs w:val="21"/>
                <w:highlight w:val="none"/>
                <w:lang w:val="en-US" w:eastAsia="zh-CN"/>
              </w:rPr>
              <w:t>0-12</w:t>
            </w:r>
            <w:r>
              <w:rPr>
                <w:rFonts w:hint="eastAsia" w:ascii="宋体" w:hAnsi="宋体" w:eastAsia="宋体" w:cs="宋体"/>
                <w:color w:val="auto"/>
                <w:kern w:val="0"/>
                <w:sz w:val="21"/>
                <w:szCs w:val="21"/>
                <w:highlight w:val="none"/>
              </w:rPr>
              <w:t>分）</w:t>
            </w:r>
          </w:p>
        </w:tc>
        <w:tc>
          <w:tcPr>
            <w:tcW w:w="6007" w:type="dxa"/>
            <w:noWrap w:val="0"/>
            <w:tcMar>
              <w:left w:w="57" w:type="dxa"/>
              <w:right w:w="57" w:type="dxa"/>
            </w:tcMar>
            <w:vAlign w:val="center"/>
          </w:tcPr>
          <w:p w14:paraId="1FADCD13">
            <w:pPr>
              <w:wordWrap w:val="0"/>
              <w:topLinePunct/>
              <w:adjustRightInd w:val="0"/>
              <w:spacing w:line="360" w:lineRule="auto"/>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投标人202</w:t>
            </w: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年1月1日</w:t>
            </w:r>
            <w:r>
              <w:rPr>
                <w:rFonts w:hint="eastAsia" w:ascii="宋体" w:hAnsi="宋体" w:cs="宋体"/>
                <w:color w:val="auto"/>
                <w:kern w:val="0"/>
                <w:sz w:val="21"/>
                <w:szCs w:val="21"/>
                <w:highlight w:val="none"/>
                <w:lang w:val="en-US" w:eastAsia="zh-CN"/>
              </w:rPr>
              <w:t>以来具有类似项目</w:t>
            </w:r>
            <w:r>
              <w:rPr>
                <w:rFonts w:hint="eastAsia" w:ascii="宋体" w:hAnsi="宋体" w:eastAsia="宋体" w:cs="宋体"/>
                <w:color w:val="auto"/>
                <w:kern w:val="0"/>
                <w:sz w:val="21"/>
                <w:szCs w:val="21"/>
                <w:highlight w:val="none"/>
              </w:rPr>
              <w:t>业绩</w:t>
            </w:r>
            <w:r>
              <w:rPr>
                <w:rFonts w:hint="eastAsia" w:ascii="宋体" w:hAnsi="宋体" w:cs="宋体"/>
                <w:color w:val="auto"/>
                <w:kern w:val="0"/>
                <w:sz w:val="21"/>
                <w:szCs w:val="21"/>
                <w:highlight w:val="none"/>
                <w:lang w:val="en-US" w:eastAsia="zh-CN"/>
              </w:rPr>
              <w:t>的</w:t>
            </w:r>
            <w:r>
              <w:rPr>
                <w:rFonts w:hint="eastAsia" w:ascii="宋体" w:hAnsi="宋体" w:eastAsia="宋体" w:cs="宋体"/>
                <w:color w:val="auto"/>
                <w:kern w:val="0"/>
                <w:sz w:val="21"/>
                <w:szCs w:val="21"/>
                <w:highlight w:val="none"/>
              </w:rPr>
              <w:t>，每个得</w:t>
            </w:r>
            <w:r>
              <w:rPr>
                <w:rFonts w:hint="eastAsia" w:ascii="宋体" w:hAnsi="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分，最高得</w:t>
            </w:r>
            <w:r>
              <w:rPr>
                <w:rFonts w:hint="eastAsia" w:ascii="宋体" w:hAnsi="宋体" w:cs="宋体"/>
                <w:color w:val="auto"/>
                <w:kern w:val="0"/>
                <w:sz w:val="21"/>
                <w:szCs w:val="21"/>
                <w:highlight w:val="none"/>
                <w:lang w:val="en-US" w:eastAsia="zh-CN"/>
              </w:rPr>
              <w:t>12</w:t>
            </w:r>
            <w:r>
              <w:rPr>
                <w:rFonts w:hint="eastAsia" w:ascii="宋体" w:hAnsi="宋体" w:eastAsia="宋体" w:cs="宋体"/>
                <w:color w:val="auto"/>
                <w:kern w:val="0"/>
                <w:sz w:val="21"/>
                <w:szCs w:val="21"/>
                <w:highlight w:val="none"/>
              </w:rPr>
              <w:t>分。（</w:t>
            </w:r>
            <w:r>
              <w:rPr>
                <w:rFonts w:hint="eastAsia" w:ascii="宋体" w:hAnsi="宋体" w:eastAsia="宋体" w:cs="宋体"/>
                <w:color w:val="auto"/>
                <w:kern w:val="0"/>
                <w:sz w:val="21"/>
                <w:szCs w:val="21"/>
                <w:highlight w:val="none"/>
                <w:lang w:val="en-US" w:eastAsia="zh-CN"/>
              </w:rPr>
              <w:t>投标文件中需提</w:t>
            </w:r>
            <w:r>
              <w:rPr>
                <w:rFonts w:hint="eastAsia" w:ascii="宋体" w:hAnsi="宋体" w:eastAsia="宋体" w:cs="宋体"/>
                <w:color w:val="auto"/>
                <w:kern w:val="0"/>
                <w:sz w:val="21"/>
                <w:szCs w:val="21"/>
                <w:highlight w:val="none"/>
              </w:rPr>
              <w:t>供货合同</w:t>
            </w:r>
            <w:r>
              <w:rPr>
                <w:rFonts w:hint="eastAsia" w:ascii="宋体" w:hAnsi="宋体" w:eastAsia="宋体" w:cs="宋体"/>
                <w:color w:val="auto"/>
                <w:kern w:val="0"/>
                <w:sz w:val="21"/>
                <w:szCs w:val="21"/>
                <w:highlight w:val="none"/>
                <w:lang w:val="en-US" w:eastAsia="zh-CN"/>
              </w:rPr>
              <w:t>的扫描件</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以供货合同签订日期为准，不提供不得分</w:t>
            </w:r>
            <w:r>
              <w:rPr>
                <w:rFonts w:hint="eastAsia" w:ascii="宋体" w:hAnsi="宋体" w:eastAsia="宋体" w:cs="宋体"/>
                <w:color w:val="auto"/>
                <w:kern w:val="0"/>
                <w:sz w:val="21"/>
                <w:szCs w:val="21"/>
                <w:highlight w:val="none"/>
              </w:rPr>
              <w:t>）</w:t>
            </w:r>
          </w:p>
        </w:tc>
      </w:tr>
      <w:tr w14:paraId="59216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904" w:type="dxa"/>
            <w:vMerge w:val="continue"/>
            <w:noWrap w:val="0"/>
            <w:tcMar>
              <w:left w:w="57" w:type="dxa"/>
              <w:right w:w="57" w:type="dxa"/>
            </w:tcMar>
            <w:vAlign w:val="center"/>
          </w:tcPr>
          <w:p w14:paraId="5F695E2C">
            <w:pPr>
              <w:jc w:val="center"/>
              <w:rPr>
                <w:rFonts w:hint="eastAsia" w:ascii="宋体" w:hAnsi="宋体" w:eastAsia="宋体" w:cs="宋体"/>
                <w:color w:val="auto"/>
                <w:spacing w:val="0"/>
                <w:kern w:val="0"/>
                <w:szCs w:val="21"/>
              </w:rPr>
            </w:pPr>
          </w:p>
        </w:tc>
        <w:tc>
          <w:tcPr>
            <w:tcW w:w="1235" w:type="dxa"/>
            <w:vMerge w:val="continue"/>
            <w:noWrap w:val="0"/>
            <w:tcMar>
              <w:left w:w="57" w:type="dxa"/>
              <w:right w:w="57" w:type="dxa"/>
            </w:tcMar>
            <w:vAlign w:val="center"/>
          </w:tcPr>
          <w:p w14:paraId="6F64BB91">
            <w:pPr>
              <w:jc w:val="center"/>
              <w:rPr>
                <w:rFonts w:hint="eastAsia" w:ascii="宋体" w:hAnsi="宋体" w:eastAsia="宋体" w:cs="宋体"/>
                <w:color w:val="auto"/>
                <w:spacing w:val="0"/>
                <w:szCs w:val="21"/>
              </w:rPr>
            </w:pPr>
          </w:p>
        </w:tc>
        <w:tc>
          <w:tcPr>
            <w:tcW w:w="1852" w:type="dxa"/>
            <w:noWrap w:val="0"/>
            <w:tcMar>
              <w:left w:w="57" w:type="dxa"/>
              <w:right w:w="57" w:type="dxa"/>
            </w:tcMar>
            <w:vAlign w:val="center"/>
          </w:tcPr>
          <w:p w14:paraId="0D6AAD6B">
            <w:pPr>
              <w:autoSpaceDE w:val="0"/>
              <w:autoSpaceDN w:val="0"/>
              <w:spacing w:line="360" w:lineRule="auto"/>
              <w:ind w:left="109" w:leftChars="28" w:right="97" w:rightChars="0" w:hanging="50" w:hangingChars="24"/>
              <w:jc w:val="center"/>
              <w:rPr>
                <w:rFonts w:hint="eastAsia" w:ascii="宋体" w:hAnsi="宋体" w:cs="宋体"/>
                <w:color w:val="auto"/>
                <w:spacing w:val="1"/>
                <w:kern w:val="0"/>
                <w:sz w:val="21"/>
                <w:szCs w:val="21"/>
                <w:highlight w:val="none"/>
                <w:lang w:val="en-US" w:eastAsia="zh-CN"/>
              </w:rPr>
            </w:pPr>
            <w:r>
              <w:rPr>
                <w:rFonts w:hint="eastAsia" w:ascii="宋体" w:hAnsi="宋体" w:cs="宋体"/>
                <w:color w:val="auto"/>
                <w:spacing w:val="1"/>
                <w:kern w:val="0"/>
                <w:sz w:val="21"/>
                <w:szCs w:val="21"/>
                <w:highlight w:val="none"/>
                <w:lang w:val="en-US" w:eastAsia="zh-CN"/>
              </w:rPr>
              <w:t>人员配备</w:t>
            </w:r>
          </w:p>
          <w:p w14:paraId="0A50931A">
            <w:pPr>
              <w:autoSpaceDE w:val="0"/>
              <w:autoSpaceDN w:val="0"/>
              <w:spacing w:line="360" w:lineRule="auto"/>
              <w:ind w:left="109" w:leftChars="28" w:right="97" w:rightChars="0" w:hanging="50" w:hangingChars="24"/>
              <w:jc w:val="center"/>
              <w:rPr>
                <w:rFonts w:hint="eastAsia" w:ascii="宋体" w:hAnsi="宋体" w:cs="宋体"/>
                <w:color w:val="auto"/>
                <w:spacing w:val="1"/>
                <w:kern w:val="0"/>
                <w:sz w:val="21"/>
                <w:szCs w:val="21"/>
                <w:highlight w:val="none"/>
                <w:lang w:val="en-US" w:eastAsia="zh-CN"/>
              </w:rPr>
            </w:pPr>
            <w:r>
              <w:rPr>
                <w:rFonts w:hint="eastAsia" w:ascii="宋体" w:hAnsi="宋体" w:cs="宋体"/>
                <w:color w:val="auto"/>
                <w:spacing w:val="1"/>
                <w:kern w:val="0"/>
                <w:sz w:val="21"/>
                <w:szCs w:val="21"/>
                <w:highlight w:val="none"/>
                <w:lang w:val="en-US" w:eastAsia="zh-CN"/>
              </w:rPr>
              <w:t>（0-8分）</w:t>
            </w:r>
          </w:p>
        </w:tc>
        <w:tc>
          <w:tcPr>
            <w:tcW w:w="6007" w:type="dxa"/>
            <w:noWrap w:val="0"/>
            <w:tcMar>
              <w:left w:w="57" w:type="dxa"/>
              <w:right w:w="57" w:type="dxa"/>
            </w:tcMar>
            <w:vAlign w:val="center"/>
          </w:tcPr>
          <w:p w14:paraId="122B63B2">
            <w:pPr>
              <w:autoSpaceDE w:val="0"/>
              <w:autoSpaceDN w:val="0"/>
              <w:spacing w:line="360" w:lineRule="auto"/>
              <w:rPr>
                <w:rFonts w:hint="eastAsia" w:ascii="宋体" w:hAnsi="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供应商为本项目配备专职配送服务人员，每有1人得1分，最多得8分。（投标文件中须附人员健康证及劳动合同原件扫描件，否则不得分）</w:t>
            </w:r>
          </w:p>
        </w:tc>
      </w:tr>
      <w:tr w14:paraId="70A6E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8" w:hRule="atLeast"/>
          <w:jc w:val="center"/>
        </w:trPr>
        <w:tc>
          <w:tcPr>
            <w:tcW w:w="904" w:type="dxa"/>
            <w:vMerge w:val="continue"/>
            <w:noWrap w:val="0"/>
            <w:tcMar>
              <w:left w:w="57" w:type="dxa"/>
              <w:right w:w="57" w:type="dxa"/>
            </w:tcMar>
            <w:vAlign w:val="center"/>
          </w:tcPr>
          <w:p w14:paraId="315EC5A0">
            <w:pPr>
              <w:jc w:val="center"/>
              <w:rPr>
                <w:rFonts w:hint="eastAsia" w:ascii="宋体" w:hAnsi="宋体" w:eastAsia="宋体" w:cs="宋体"/>
                <w:color w:val="auto"/>
                <w:spacing w:val="0"/>
                <w:kern w:val="0"/>
                <w:szCs w:val="21"/>
              </w:rPr>
            </w:pPr>
          </w:p>
        </w:tc>
        <w:tc>
          <w:tcPr>
            <w:tcW w:w="1235" w:type="dxa"/>
            <w:vMerge w:val="continue"/>
            <w:noWrap w:val="0"/>
            <w:tcMar>
              <w:left w:w="57" w:type="dxa"/>
              <w:right w:w="57" w:type="dxa"/>
            </w:tcMar>
            <w:vAlign w:val="center"/>
          </w:tcPr>
          <w:p w14:paraId="6194D11A">
            <w:pPr>
              <w:jc w:val="center"/>
              <w:rPr>
                <w:rFonts w:hint="eastAsia" w:ascii="宋体" w:hAnsi="宋体" w:eastAsia="宋体" w:cs="宋体"/>
                <w:color w:val="auto"/>
                <w:spacing w:val="0"/>
                <w:szCs w:val="21"/>
              </w:rPr>
            </w:pPr>
          </w:p>
        </w:tc>
        <w:tc>
          <w:tcPr>
            <w:tcW w:w="1852" w:type="dxa"/>
            <w:noWrap w:val="0"/>
            <w:tcMar>
              <w:left w:w="57" w:type="dxa"/>
              <w:right w:w="57" w:type="dxa"/>
            </w:tcMar>
            <w:vAlign w:val="center"/>
          </w:tcPr>
          <w:p w14:paraId="543A8E60">
            <w:pPr>
              <w:autoSpaceDE w:val="0"/>
              <w:autoSpaceDN w:val="0"/>
              <w:spacing w:line="360" w:lineRule="auto"/>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配送能力</w:t>
            </w:r>
          </w:p>
          <w:p w14:paraId="2B9CACF8">
            <w:pPr>
              <w:autoSpaceDE w:val="0"/>
              <w:autoSpaceDN w:val="0"/>
              <w:spacing w:line="360" w:lineRule="auto"/>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0-</w:t>
            </w:r>
            <w:r>
              <w:rPr>
                <w:rFonts w:hint="eastAsia" w:ascii="宋体" w:hAnsi="宋体" w:eastAsia="宋体" w:cs="宋体"/>
                <w:color w:val="auto"/>
                <w:kern w:val="0"/>
                <w:sz w:val="21"/>
                <w:szCs w:val="21"/>
                <w:highlight w:val="none"/>
                <w:lang w:val="en-US" w:eastAsia="zh-CN" w:bidi="ar-SA"/>
              </w:rPr>
              <w:t>10分）</w:t>
            </w:r>
          </w:p>
        </w:tc>
        <w:tc>
          <w:tcPr>
            <w:tcW w:w="6007" w:type="dxa"/>
            <w:noWrap w:val="0"/>
            <w:tcMar>
              <w:left w:w="57" w:type="dxa"/>
              <w:right w:w="57" w:type="dxa"/>
            </w:tcMar>
            <w:vAlign w:val="center"/>
          </w:tcPr>
          <w:p w14:paraId="2B7C8B2B">
            <w:pPr>
              <w:autoSpaceDE w:val="0"/>
              <w:autoSpaceDN w:val="0"/>
              <w:adjustRightInd w:val="0"/>
              <w:spacing w:line="360" w:lineRule="auto"/>
              <w:textAlignment w:val="baseline"/>
              <w:rPr>
                <w:rFonts w:hint="eastAsia" w:ascii="宋体" w:hAnsi="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供应商具有自有或租赁的的配送车辆，每有一辆得2分，最多得10分；（如供应商是自有车辆，响应文件中需提供车辆行驶证扫描件、车辆外观照片；若供应商是租赁车辆，需提供车辆行驶证扫描件及租赁协议扫描件、车辆外观照片。没有车辆或证明资料不全的不得分）。</w:t>
            </w:r>
          </w:p>
        </w:tc>
      </w:tr>
      <w:tr w14:paraId="2A90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8" w:hRule="atLeast"/>
          <w:jc w:val="center"/>
        </w:trPr>
        <w:tc>
          <w:tcPr>
            <w:tcW w:w="904" w:type="dxa"/>
            <w:vMerge w:val="continue"/>
            <w:noWrap w:val="0"/>
            <w:tcMar>
              <w:left w:w="57" w:type="dxa"/>
              <w:right w:w="57" w:type="dxa"/>
            </w:tcMar>
            <w:vAlign w:val="center"/>
          </w:tcPr>
          <w:p w14:paraId="0B71C30B">
            <w:pPr>
              <w:jc w:val="center"/>
              <w:rPr>
                <w:rFonts w:hint="eastAsia" w:ascii="宋体" w:hAnsi="宋体" w:eastAsia="宋体" w:cs="宋体"/>
                <w:color w:val="auto"/>
                <w:spacing w:val="0"/>
                <w:kern w:val="0"/>
                <w:szCs w:val="21"/>
              </w:rPr>
            </w:pPr>
          </w:p>
        </w:tc>
        <w:tc>
          <w:tcPr>
            <w:tcW w:w="1235" w:type="dxa"/>
            <w:vMerge w:val="continue"/>
            <w:noWrap w:val="0"/>
            <w:tcMar>
              <w:left w:w="57" w:type="dxa"/>
              <w:right w:w="57" w:type="dxa"/>
            </w:tcMar>
            <w:vAlign w:val="center"/>
          </w:tcPr>
          <w:p w14:paraId="1195C9E3">
            <w:pPr>
              <w:jc w:val="center"/>
              <w:rPr>
                <w:rFonts w:hint="eastAsia" w:ascii="宋体" w:hAnsi="宋体" w:eastAsia="宋体" w:cs="宋体"/>
                <w:color w:val="auto"/>
                <w:spacing w:val="0"/>
                <w:szCs w:val="21"/>
              </w:rPr>
            </w:pPr>
          </w:p>
        </w:tc>
        <w:tc>
          <w:tcPr>
            <w:tcW w:w="1852" w:type="dxa"/>
            <w:shd w:val="clear" w:color="auto" w:fill="auto"/>
            <w:noWrap w:val="0"/>
            <w:tcMar>
              <w:left w:w="57" w:type="dxa"/>
              <w:right w:w="57" w:type="dxa"/>
            </w:tcMar>
            <w:vAlign w:val="center"/>
          </w:tcPr>
          <w:p w14:paraId="66CAB1A3">
            <w:pPr>
              <w:autoSpaceDE w:val="0"/>
              <w:autoSpaceDN w:val="0"/>
              <w:spacing w:line="360" w:lineRule="auto"/>
              <w:ind w:left="109" w:leftChars="28" w:right="97" w:rightChars="0" w:hanging="50" w:hangingChars="24"/>
              <w:jc w:val="center"/>
              <w:rPr>
                <w:rFonts w:hint="eastAsia" w:ascii="宋体" w:hAnsi="宋体" w:cs="宋体"/>
                <w:color w:val="auto"/>
                <w:spacing w:val="1"/>
                <w:kern w:val="0"/>
                <w:sz w:val="21"/>
                <w:szCs w:val="21"/>
                <w:highlight w:val="none"/>
                <w:lang w:val="en-US" w:eastAsia="zh-CN"/>
              </w:rPr>
            </w:pPr>
            <w:r>
              <w:rPr>
                <w:rFonts w:hint="eastAsia" w:ascii="宋体" w:hAnsi="宋体" w:cs="宋体"/>
                <w:color w:val="auto"/>
                <w:spacing w:val="1"/>
                <w:kern w:val="0"/>
                <w:sz w:val="21"/>
                <w:szCs w:val="21"/>
                <w:highlight w:val="none"/>
                <w:lang w:val="en-US" w:eastAsia="zh-CN"/>
              </w:rPr>
              <w:t>售后服务与动态优化机制</w:t>
            </w:r>
          </w:p>
          <w:p w14:paraId="5AA01EC6">
            <w:pPr>
              <w:autoSpaceDE w:val="0"/>
              <w:autoSpaceDN w:val="0"/>
              <w:spacing w:line="360" w:lineRule="auto"/>
              <w:ind w:left="109" w:leftChars="28" w:right="97" w:rightChars="0" w:hanging="50" w:hangingChars="24"/>
              <w:jc w:val="center"/>
              <w:rPr>
                <w:rFonts w:hint="eastAsia" w:ascii="宋体" w:hAnsi="宋体" w:eastAsia="宋体" w:cs="宋体"/>
                <w:color w:val="auto"/>
                <w:spacing w:val="1"/>
                <w:kern w:val="0"/>
                <w:sz w:val="21"/>
                <w:szCs w:val="21"/>
                <w:highlight w:val="none"/>
                <w:lang w:val="en-US" w:eastAsia="zh-CN" w:bidi="ar-SA"/>
              </w:rPr>
            </w:pPr>
            <w:r>
              <w:rPr>
                <w:rFonts w:hint="eastAsia" w:ascii="宋体" w:hAnsi="宋体" w:cs="宋体"/>
                <w:color w:val="auto"/>
                <w:spacing w:val="1"/>
                <w:kern w:val="0"/>
                <w:sz w:val="21"/>
                <w:szCs w:val="21"/>
                <w:highlight w:val="none"/>
                <w:lang w:val="en-US" w:eastAsia="zh-CN"/>
              </w:rPr>
              <w:t>（0-5分）</w:t>
            </w:r>
          </w:p>
        </w:tc>
        <w:tc>
          <w:tcPr>
            <w:tcW w:w="6007" w:type="dxa"/>
            <w:shd w:val="clear" w:color="auto" w:fill="auto"/>
            <w:noWrap w:val="0"/>
            <w:tcMar>
              <w:left w:w="57" w:type="dxa"/>
              <w:right w:w="57" w:type="dxa"/>
            </w:tcMar>
            <w:vAlign w:val="center"/>
          </w:tcPr>
          <w:p w14:paraId="40CC215F">
            <w:pPr>
              <w:spacing w:before="120" w:after="120" w:line="288" w:lineRule="auto"/>
              <w:ind w:left="0" w:leftChars="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设立专属项目对接人，建立食材不合格无条件退换、当日缺料即时补送、日常对接、月度回访、意见收集、问题整改、服务优化闭环机制，可根据供养人员饮食反馈动态调整食材品类、规格与供应频次，售后响应迅速、处置规范、服务精细化的，得</w:t>
            </w:r>
            <w:r>
              <w:rPr>
                <w:rFonts w:hint="eastAsia" w:ascii="宋体" w:hAnsi="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lang w:val="en-US" w:eastAsia="zh-CN"/>
              </w:rPr>
              <w:t>分；售后机制基本健全、可满足基础服务的，得</w:t>
            </w: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en-US" w:eastAsia="zh-CN"/>
              </w:rPr>
              <w:t>分；售后机制缺失、无专人对接的，得1分</w:t>
            </w:r>
            <w:r>
              <w:rPr>
                <w:rFonts w:hint="eastAsia" w:ascii="宋体" w:hAnsi="宋体" w:cs="宋体"/>
                <w:color w:val="auto"/>
                <w:kern w:val="0"/>
                <w:sz w:val="21"/>
                <w:szCs w:val="21"/>
                <w:highlight w:val="none"/>
                <w:lang w:val="en-US" w:eastAsia="zh-CN"/>
              </w:rPr>
              <w:t>；</w:t>
            </w:r>
            <w:r>
              <w:rPr>
                <w:rFonts w:hint="eastAsia" w:ascii="宋体" w:hAnsi="宋体" w:cs="宋体"/>
                <w:color w:val="auto"/>
                <w:kern w:val="2"/>
                <w:sz w:val="21"/>
                <w:szCs w:val="21"/>
                <w:highlight w:val="none"/>
                <w:lang w:val="en-US" w:eastAsia="zh-CN" w:bidi="ar-SA"/>
              </w:rPr>
              <w:t>未提供的，本项不得分。</w:t>
            </w:r>
          </w:p>
        </w:tc>
      </w:tr>
      <w:tr w14:paraId="0F5E7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9" w:hRule="atLeast"/>
          <w:jc w:val="center"/>
        </w:trPr>
        <w:tc>
          <w:tcPr>
            <w:tcW w:w="904" w:type="dxa"/>
            <w:vMerge w:val="continue"/>
            <w:noWrap w:val="0"/>
            <w:tcMar>
              <w:left w:w="57" w:type="dxa"/>
              <w:right w:w="57" w:type="dxa"/>
            </w:tcMar>
            <w:vAlign w:val="center"/>
          </w:tcPr>
          <w:p w14:paraId="473AA440">
            <w:pPr>
              <w:jc w:val="center"/>
              <w:rPr>
                <w:rFonts w:hint="eastAsia" w:ascii="宋体" w:hAnsi="宋体" w:eastAsia="宋体" w:cs="宋体"/>
                <w:color w:val="auto"/>
                <w:spacing w:val="0"/>
                <w:kern w:val="0"/>
                <w:szCs w:val="21"/>
              </w:rPr>
            </w:pPr>
          </w:p>
        </w:tc>
        <w:tc>
          <w:tcPr>
            <w:tcW w:w="1235" w:type="dxa"/>
            <w:vMerge w:val="continue"/>
            <w:noWrap w:val="0"/>
            <w:tcMar>
              <w:left w:w="57" w:type="dxa"/>
              <w:right w:w="57" w:type="dxa"/>
            </w:tcMar>
            <w:vAlign w:val="center"/>
          </w:tcPr>
          <w:p w14:paraId="3A39F55E">
            <w:pPr>
              <w:jc w:val="center"/>
              <w:rPr>
                <w:rFonts w:hint="eastAsia" w:ascii="宋体" w:hAnsi="宋体" w:eastAsia="宋体" w:cs="宋体"/>
                <w:color w:val="auto"/>
                <w:spacing w:val="0"/>
                <w:szCs w:val="21"/>
              </w:rPr>
            </w:pPr>
          </w:p>
        </w:tc>
        <w:tc>
          <w:tcPr>
            <w:tcW w:w="1852" w:type="dxa"/>
            <w:noWrap w:val="0"/>
            <w:tcMar>
              <w:left w:w="57" w:type="dxa"/>
              <w:right w:w="57" w:type="dxa"/>
            </w:tcMar>
            <w:vAlign w:val="center"/>
          </w:tcPr>
          <w:p w14:paraId="4023A12B">
            <w:pPr>
              <w:autoSpaceDE w:val="0"/>
              <w:autoSpaceDN w:val="0"/>
              <w:spacing w:line="360" w:lineRule="auto"/>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服务承诺</w:t>
            </w:r>
          </w:p>
          <w:p w14:paraId="1005EBDD">
            <w:pPr>
              <w:autoSpaceDE w:val="0"/>
              <w:autoSpaceDN w:val="0"/>
              <w:spacing w:line="360" w:lineRule="auto"/>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0-5</w:t>
            </w:r>
            <w:r>
              <w:rPr>
                <w:rFonts w:hint="eastAsia" w:ascii="宋体" w:hAnsi="宋体" w:eastAsia="宋体" w:cs="宋体"/>
                <w:color w:val="auto"/>
                <w:kern w:val="0"/>
                <w:sz w:val="21"/>
                <w:szCs w:val="21"/>
                <w:highlight w:val="none"/>
                <w:lang w:val="en-US" w:eastAsia="zh-CN" w:bidi="ar-SA"/>
              </w:rPr>
              <w:t>分）</w:t>
            </w:r>
          </w:p>
        </w:tc>
        <w:tc>
          <w:tcPr>
            <w:tcW w:w="6007" w:type="dxa"/>
            <w:noWrap w:val="0"/>
            <w:tcMar>
              <w:left w:w="57" w:type="dxa"/>
              <w:right w:w="57" w:type="dxa"/>
            </w:tcMar>
            <w:vAlign w:val="center"/>
          </w:tcPr>
          <w:p w14:paraId="4D449D76">
            <w:pPr>
              <w:autoSpaceDE w:val="0"/>
              <w:autoSpaceDN w:val="0"/>
              <w:adjustRightInd w:val="0"/>
              <w:spacing w:line="360" w:lineRule="auto"/>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1、承诺因产品问题而发生的食物中毒等群体事故，由供应商承担经济赔偿责任及其他法律责任，内容详细具体、合理、切合实际得</w:t>
            </w:r>
            <w:r>
              <w:rPr>
                <w:rFonts w:hint="eastAsia" w:ascii="宋体" w:hAnsi="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分，内容比较具体、合理的得</w:t>
            </w:r>
            <w:r>
              <w:rPr>
                <w:rFonts w:hint="eastAsia" w:ascii="宋体" w:hAnsi="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分，内容一般的得</w:t>
            </w:r>
            <w:r>
              <w:rPr>
                <w:rFonts w:hint="eastAsia" w:ascii="宋体" w:hAnsi="宋体" w:cs="宋体"/>
                <w:color w:val="auto"/>
                <w:kern w:val="0"/>
                <w:sz w:val="21"/>
                <w:szCs w:val="21"/>
                <w:highlight w:val="none"/>
                <w:lang w:val="en-US" w:eastAsia="zh-CN" w:bidi="ar-SA"/>
              </w:rPr>
              <w:t>0.5</w:t>
            </w:r>
            <w:r>
              <w:rPr>
                <w:rFonts w:hint="eastAsia" w:ascii="宋体" w:hAnsi="宋体" w:eastAsia="宋体" w:cs="宋体"/>
                <w:color w:val="auto"/>
                <w:kern w:val="0"/>
                <w:sz w:val="21"/>
                <w:szCs w:val="21"/>
                <w:highlight w:val="none"/>
                <w:lang w:val="en-US" w:eastAsia="zh-CN" w:bidi="ar-SA"/>
              </w:rPr>
              <w:t>分，缺项不得分；</w:t>
            </w:r>
          </w:p>
          <w:p w14:paraId="310E099A">
            <w:pPr>
              <w:autoSpaceDE w:val="0"/>
              <w:autoSpaceDN w:val="0"/>
              <w:adjustRightInd w:val="0"/>
              <w:spacing w:line="360" w:lineRule="auto"/>
              <w:textAlignment w:val="baseline"/>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2、承诺对出现的问题食品进行及时的召回和更换、供应商提供“企业产品若发生质量事故按《中华人民共和国食品安全法》相关规定执行赔偿承诺”，内容详细具体、合理得</w:t>
            </w:r>
            <w:r>
              <w:rPr>
                <w:rFonts w:hint="eastAsia" w:ascii="宋体" w:hAnsi="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分，一般的得</w:t>
            </w:r>
            <w:r>
              <w:rPr>
                <w:rFonts w:hint="eastAsia" w:ascii="宋体" w:hAnsi="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分，缺项不得分。</w:t>
            </w:r>
          </w:p>
          <w:p w14:paraId="356FFA7C">
            <w:pPr>
              <w:autoSpaceDE w:val="0"/>
              <w:autoSpaceDN w:val="0"/>
              <w:adjustRightInd w:val="0"/>
              <w:spacing w:line="360" w:lineRule="auto"/>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3、供应商承诺供货质量保证措施，坚决不提供对于临近保质期及已经过期产品，得</w:t>
            </w:r>
            <w:r>
              <w:rPr>
                <w:rFonts w:hint="eastAsia" w:ascii="宋体" w:hAnsi="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分，未提供不得分。</w:t>
            </w:r>
          </w:p>
        </w:tc>
      </w:tr>
    </w:tbl>
    <w:p w14:paraId="6F24F399">
      <w:pPr>
        <w:jc w:val="both"/>
        <w:rPr>
          <w:rFonts w:hint="eastAsia" w:ascii="宋体" w:hAnsi="宋体" w:eastAsia="宋体" w:cs="宋体"/>
          <w:b/>
          <w:bCs/>
          <w:snapToGrid w:val="0"/>
          <w:color w:val="auto"/>
          <w:spacing w:val="0"/>
          <w:kern w:val="21"/>
          <w:sz w:val="24"/>
          <w:szCs w:val="24"/>
          <w:lang w:val="en-US" w:eastAsia="zh-CN"/>
        </w:rPr>
      </w:pPr>
    </w:p>
    <w:p w14:paraId="04F29D57">
      <w:pPr>
        <w:jc w:val="both"/>
        <w:rPr>
          <w:rFonts w:hint="eastAsia" w:ascii="宋体" w:hAnsi="宋体" w:eastAsia="宋体" w:cs="宋体"/>
          <w:b/>
          <w:bCs/>
          <w:snapToGrid w:val="0"/>
          <w:color w:val="auto"/>
          <w:spacing w:val="0"/>
          <w:kern w:val="21"/>
          <w:sz w:val="24"/>
          <w:szCs w:val="24"/>
          <w:lang w:val="en-US" w:eastAsia="zh-CN"/>
        </w:rPr>
      </w:pPr>
    </w:p>
    <w:p w14:paraId="17C77273">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1.</w:t>
      </w:r>
      <w:bookmarkEnd w:id="19"/>
      <w:r>
        <w:rPr>
          <w:rFonts w:hint="eastAsia" w:ascii="宋体" w:hAnsi="宋体" w:eastAsia="宋体" w:cs="宋体"/>
          <w:snapToGrid w:val="0"/>
          <w:color w:val="auto"/>
          <w:spacing w:val="0"/>
          <w:kern w:val="21"/>
          <w:sz w:val="24"/>
          <w:szCs w:val="24"/>
          <w:highlight w:val="none"/>
        </w:rPr>
        <w:t>评标方法</w:t>
      </w:r>
    </w:p>
    <w:p w14:paraId="3720EF79">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本次评标采用综合评分法。</w:t>
      </w:r>
      <w:r>
        <w:rPr>
          <w:rFonts w:hint="eastAsia" w:ascii="宋体" w:hAnsi="宋体" w:eastAsia="宋体" w:cs="宋体"/>
          <w:snapToGrid w:val="0"/>
          <w:color w:val="auto"/>
          <w:spacing w:val="0"/>
          <w:kern w:val="21"/>
          <w:sz w:val="24"/>
          <w:szCs w:val="24"/>
          <w:highlight w:val="none"/>
          <w:lang w:val="en-US" w:eastAsia="zh-CN"/>
        </w:rPr>
        <w:t>评标委员会</w:t>
      </w:r>
      <w:r>
        <w:rPr>
          <w:rFonts w:hint="eastAsia" w:ascii="宋体" w:hAnsi="宋体" w:eastAsia="宋体" w:cs="宋体"/>
          <w:snapToGrid w:val="0"/>
          <w:color w:val="auto"/>
          <w:spacing w:val="0"/>
          <w:kern w:val="21"/>
          <w:sz w:val="24"/>
          <w:szCs w:val="24"/>
          <w:highlight w:val="none"/>
        </w:rPr>
        <w:t>对满足</w:t>
      </w:r>
      <w:r>
        <w:rPr>
          <w:rFonts w:hint="eastAsia" w:ascii="宋体" w:hAnsi="宋体" w:eastAsia="宋体" w:cs="宋体"/>
          <w:snapToGrid w:val="0"/>
          <w:color w:val="auto"/>
          <w:spacing w:val="0"/>
          <w:kern w:val="21"/>
          <w:sz w:val="24"/>
          <w:szCs w:val="24"/>
          <w:highlight w:val="none"/>
          <w:lang w:val="en-US" w:eastAsia="zh-CN"/>
        </w:rPr>
        <w:t>招标</w:t>
      </w:r>
      <w:r>
        <w:rPr>
          <w:rFonts w:hint="eastAsia" w:ascii="宋体" w:hAnsi="宋体" w:eastAsia="宋体" w:cs="宋体"/>
          <w:snapToGrid w:val="0"/>
          <w:color w:val="auto"/>
          <w:spacing w:val="0"/>
          <w:kern w:val="21"/>
          <w:sz w:val="24"/>
          <w:szCs w:val="24"/>
          <w:highlight w:val="none"/>
        </w:rPr>
        <w:t>文件实质性要求的</w:t>
      </w:r>
      <w:r>
        <w:rPr>
          <w:rFonts w:hint="eastAsia" w:ascii="宋体" w:hAnsi="宋体" w:eastAsia="宋体" w:cs="宋体"/>
          <w:snapToGrid w:val="0"/>
          <w:color w:val="auto"/>
          <w:spacing w:val="0"/>
          <w:kern w:val="21"/>
          <w:sz w:val="24"/>
          <w:szCs w:val="24"/>
          <w:highlight w:val="none"/>
          <w:lang w:val="en-US" w:eastAsia="zh-CN"/>
        </w:rPr>
        <w:t>投标</w:t>
      </w:r>
      <w:r>
        <w:rPr>
          <w:rFonts w:hint="eastAsia" w:ascii="宋体" w:hAnsi="宋体" w:eastAsia="宋体" w:cs="宋体"/>
          <w:snapToGrid w:val="0"/>
          <w:color w:val="auto"/>
          <w:spacing w:val="0"/>
          <w:kern w:val="21"/>
          <w:sz w:val="24"/>
          <w:szCs w:val="24"/>
          <w:highlight w:val="none"/>
        </w:rPr>
        <w:t>文件，按照本章规定的评分标准进行打分，并按得分由高到低顺序推荐3名</w:t>
      </w:r>
      <w:r>
        <w:rPr>
          <w:rFonts w:hint="eastAsia" w:ascii="宋体" w:hAnsi="宋体" w:eastAsia="宋体" w:cs="宋体"/>
          <w:snapToGrid w:val="0"/>
          <w:color w:val="auto"/>
          <w:spacing w:val="0"/>
          <w:kern w:val="21"/>
          <w:sz w:val="24"/>
          <w:szCs w:val="24"/>
          <w:highlight w:val="none"/>
          <w:lang w:val="en-US" w:eastAsia="zh-CN"/>
        </w:rPr>
        <w:t>中标</w:t>
      </w:r>
      <w:r>
        <w:rPr>
          <w:rFonts w:hint="eastAsia" w:ascii="宋体" w:hAnsi="宋体" w:eastAsia="宋体" w:cs="宋体"/>
          <w:snapToGrid w:val="0"/>
          <w:color w:val="auto"/>
          <w:spacing w:val="0"/>
          <w:kern w:val="21"/>
          <w:sz w:val="24"/>
          <w:szCs w:val="24"/>
          <w:highlight w:val="none"/>
        </w:rPr>
        <w:t>候选人。</w:t>
      </w:r>
    </w:p>
    <w:p w14:paraId="6569891B">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1. 投标文件的评审、比较和否决</w:t>
      </w:r>
    </w:p>
    <w:p w14:paraId="30A1B341">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1.1评标委员会将按照招标文件的规定，仅对在实质上响应招标文件要求的投标文件进行评估和比较。</w:t>
      </w:r>
    </w:p>
    <w:p w14:paraId="5DE6A41B">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1.2根据相关法律法规及有关招标投标文件规定，结合本项目具体情况，制定本次招标评标办法。并按照“公平、公正、科学、择优”的原则进行评标。采用百分制综合评估法进行评比。</w:t>
      </w:r>
    </w:p>
    <w:p w14:paraId="325EC4B9">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1.3在评审过程中，评标委员会可以要求</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就投标文件中含义不明确的内容进行陈述；凡遇到招标文件中无界定或界定不清、前后不一致使评委会成员意见有分歧且又难于协商一致的问题，均由评委会予以表决，获半数以上同意的即为通过，未获半数同意的即为否决。</w:t>
      </w:r>
    </w:p>
    <w:p w14:paraId="3A8DB64C">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1.4评标时，投标报价是评标的重要依据，但不是唯一依据，</w:t>
      </w:r>
      <w:r>
        <w:rPr>
          <w:rFonts w:hint="eastAsia" w:ascii="宋体" w:hAnsi="宋体" w:eastAsia="宋体" w:cs="宋体"/>
          <w:snapToGrid w:val="0"/>
          <w:color w:val="auto"/>
          <w:spacing w:val="0"/>
          <w:kern w:val="21"/>
          <w:sz w:val="24"/>
          <w:szCs w:val="24"/>
          <w:highlight w:val="none"/>
          <w:lang w:eastAsia="zh-CN"/>
        </w:rPr>
        <w:t>采购人</w:t>
      </w:r>
      <w:r>
        <w:rPr>
          <w:rFonts w:hint="eastAsia" w:ascii="宋体" w:hAnsi="宋体" w:eastAsia="宋体" w:cs="宋体"/>
          <w:snapToGrid w:val="0"/>
          <w:color w:val="auto"/>
          <w:spacing w:val="0"/>
          <w:kern w:val="21"/>
          <w:sz w:val="24"/>
          <w:szCs w:val="24"/>
          <w:highlight w:val="none"/>
        </w:rPr>
        <w:t>不承诺将合同授予报价最低或最高的</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w:t>
      </w:r>
    </w:p>
    <w:p w14:paraId="08E93CEC">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1.5评标委员会依据招标文件中规定的评标标准和方法，对投标文件进行评审和比较，向</w:t>
      </w:r>
      <w:r>
        <w:rPr>
          <w:rFonts w:hint="eastAsia" w:ascii="宋体" w:hAnsi="宋体" w:eastAsia="宋体" w:cs="宋体"/>
          <w:snapToGrid w:val="0"/>
          <w:color w:val="auto"/>
          <w:spacing w:val="0"/>
          <w:kern w:val="21"/>
          <w:sz w:val="24"/>
          <w:szCs w:val="24"/>
          <w:highlight w:val="none"/>
          <w:lang w:eastAsia="zh-CN"/>
        </w:rPr>
        <w:t>采购人</w:t>
      </w:r>
      <w:r>
        <w:rPr>
          <w:rFonts w:hint="eastAsia" w:ascii="宋体" w:hAnsi="宋体" w:eastAsia="宋体" w:cs="宋体"/>
          <w:snapToGrid w:val="0"/>
          <w:color w:val="auto"/>
          <w:spacing w:val="0"/>
          <w:kern w:val="21"/>
          <w:sz w:val="24"/>
          <w:szCs w:val="24"/>
          <w:highlight w:val="none"/>
        </w:rPr>
        <w:t>提出书面评标报告，并推荐合格的中标候选人。</w:t>
      </w:r>
      <w:r>
        <w:rPr>
          <w:rFonts w:hint="eastAsia" w:ascii="宋体" w:hAnsi="宋体" w:eastAsia="宋体" w:cs="宋体"/>
          <w:snapToGrid w:val="0"/>
          <w:color w:val="auto"/>
          <w:spacing w:val="0"/>
          <w:kern w:val="21"/>
          <w:sz w:val="24"/>
          <w:szCs w:val="24"/>
          <w:highlight w:val="none"/>
          <w:lang w:eastAsia="zh-CN"/>
        </w:rPr>
        <w:t>采购人</w:t>
      </w:r>
      <w:r>
        <w:rPr>
          <w:rFonts w:hint="eastAsia" w:ascii="宋体" w:hAnsi="宋体" w:eastAsia="宋体" w:cs="宋体"/>
          <w:snapToGrid w:val="0"/>
          <w:color w:val="auto"/>
          <w:spacing w:val="0"/>
          <w:kern w:val="21"/>
          <w:sz w:val="24"/>
          <w:szCs w:val="24"/>
          <w:highlight w:val="none"/>
        </w:rPr>
        <w:t>根据评标委员会提出的书面评标报告和推荐的中标候选人按序确定中标</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w:t>
      </w:r>
    </w:p>
    <w:p w14:paraId="44F9715F">
      <w:pPr>
        <w:ind w:firstLine="480" w:firstLineChars="200"/>
        <w:jc w:val="left"/>
        <w:rPr>
          <w:rFonts w:hint="eastAsia" w:ascii="宋体" w:hAnsi="宋体" w:eastAsia="宋体" w:cs="宋体"/>
          <w:snapToGrid w:val="0"/>
          <w:color w:val="auto"/>
          <w:spacing w:val="0"/>
          <w:kern w:val="21"/>
          <w:sz w:val="24"/>
          <w:szCs w:val="24"/>
          <w:highlight w:val="none"/>
        </w:rPr>
      </w:pPr>
      <w:bookmarkStart w:id="20" w:name="_Toc152042378"/>
      <w:bookmarkEnd w:id="20"/>
      <w:bookmarkStart w:id="21" w:name="_Toc144974568"/>
      <w:bookmarkEnd w:id="21"/>
      <w:bookmarkStart w:id="22" w:name="_Toc246996244"/>
      <w:bookmarkEnd w:id="22"/>
      <w:bookmarkStart w:id="23" w:name="_Toc179632619"/>
      <w:bookmarkEnd w:id="23"/>
      <w:bookmarkStart w:id="24" w:name="_Toc152045601"/>
      <w:bookmarkEnd w:id="24"/>
      <w:bookmarkStart w:id="25" w:name="_Toc4725"/>
      <w:bookmarkEnd w:id="25"/>
      <w:bookmarkStart w:id="26" w:name="_Toc247085759"/>
      <w:bookmarkEnd w:id="26"/>
      <w:bookmarkStart w:id="27" w:name="_Toc358707207"/>
      <w:bookmarkEnd w:id="27"/>
      <w:bookmarkStart w:id="28" w:name="_Toc7518075"/>
      <w:bookmarkEnd w:id="28"/>
      <w:bookmarkStart w:id="29" w:name="_Toc246996987"/>
      <w:r>
        <w:rPr>
          <w:rFonts w:hint="eastAsia" w:ascii="宋体" w:hAnsi="宋体" w:eastAsia="宋体" w:cs="宋体"/>
          <w:snapToGrid w:val="0"/>
          <w:color w:val="auto"/>
          <w:spacing w:val="0"/>
          <w:kern w:val="21"/>
          <w:sz w:val="24"/>
          <w:szCs w:val="24"/>
          <w:highlight w:val="none"/>
        </w:rPr>
        <w:t>2.</w:t>
      </w:r>
      <w:bookmarkEnd w:id="29"/>
      <w:r>
        <w:rPr>
          <w:rFonts w:hint="eastAsia" w:ascii="宋体" w:hAnsi="宋体" w:eastAsia="宋体" w:cs="宋体"/>
          <w:snapToGrid w:val="0"/>
          <w:color w:val="auto"/>
          <w:spacing w:val="0"/>
          <w:kern w:val="21"/>
          <w:sz w:val="24"/>
          <w:szCs w:val="24"/>
          <w:highlight w:val="none"/>
        </w:rPr>
        <w:t>评审标准</w:t>
      </w:r>
    </w:p>
    <w:p w14:paraId="5CA83F22">
      <w:pPr>
        <w:ind w:firstLine="480" w:firstLineChars="200"/>
        <w:jc w:val="left"/>
        <w:rPr>
          <w:rFonts w:hint="eastAsia" w:ascii="宋体" w:hAnsi="宋体" w:eastAsia="宋体" w:cs="宋体"/>
          <w:snapToGrid w:val="0"/>
          <w:color w:val="auto"/>
          <w:spacing w:val="0"/>
          <w:kern w:val="21"/>
          <w:sz w:val="24"/>
          <w:szCs w:val="24"/>
          <w:highlight w:val="none"/>
        </w:rPr>
      </w:pPr>
      <w:bookmarkStart w:id="30" w:name="_Toc152045602"/>
      <w:bookmarkEnd w:id="30"/>
      <w:bookmarkStart w:id="31" w:name="_Toc179632620"/>
      <w:bookmarkEnd w:id="31"/>
      <w:bookmarkStart w:id="32" w:name="_Toc247085760"/>
      <w:bookmarkEnd w:id="32"/>
      <w:bookmarkStart w:id="33" w:name="_Toc246996245"/>
      <w:bookmarkEnd w:id="33"/>
      <w:bookmarkStart w:id="34" w:name="_Toc246996988"/>
      <w:bookmarkEnd w:id="34"/>
      <w:bookmarkStart w:id="35" w:name="_Toc144974569"/>
      <w:bookmarkEnd w:id="35"/>
      <w:bookmarkStart w:id="36" w:name="_Toc152042379"/>
      <w:bookmarkEnd w:id="36"/>
      <w:bookmarkStart w:id="37" w:name="_Toc358707208"/>
      <w:r>
        <w:rPr>
          <w:rFonts w:hint="eastAsia" w:ascii="宋体" w:hAnsi="宋体" w:eastAsia="宋体" w:cs="宋体"/>
          <w:snapToGrid w:val="0"/>
          <w:color w:val="auto"/>
          <w:spacing w:val="0"/>
          <w:kern w:val="21"/>
          <w:sz w:val="24"/>
          <w:szCs w:val="24"/>
          <w:highlight w:val="none"/>
        </w:rPr>
        <w:t xml:space="preserve">2.1 </w:t>
      </w:r>
      <w:bookmarkEnd w:id="37"/>
      <w:r>
        <w:rPr>
          <w:rFonts w:hint="eastAsia" w:ascii="宋体" w:hAnsi="宋体" w:eastAsia="宋体" w:cs="宋体"/>
          <w:snapToGrid w:val="0"/>
          <w:color w:val="auto"/>
          <w:spacing w:val="0"/>
          <w:kern w:val="21"/>
          <w:sz w:val="24"/>
          <w:szCs w:val="24"/>
          <w:highlight w:val="none"/>
        </w:rPr>
        <w:t>初步评审标准</w:t>
      </w:r>
    </w:p>
    <w:p w14:paraId="26F3A57C">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2.1.1</w:t>
      </w:r>
      <w:r>
        <w:rPr>
          <w:rFonts w:hint="eastAsia" w:ascii="宋体" w:hAnsi="宋体" w:eastAsia="宋体" w:cs="宋体"/>
          <w:snapToGrid w:val="0"/>
          <w:color w:val="auto"/>
          <w:spacing w:val="0"/>
          <w:kern w:val="21"/>
          <w:sz w:val="24"/>
          <w:szCs w:val="24"/>
          <w:highlight w:val="none"/>
          <w:lang w:val="en-US" w:eastAsia="zh-CN"/>
        </w:rPr>
        <w:t>符合性</w:t>
      </w:r>
      <w:r>
        <w:rPr>
          <w:rFonts w:hint="eastAsia" w:ascii="宋体" w:hAnsi="宋体" w:eastAsia="宋体" w:cs="宋体"/>
          <w:snapToGrid w:val="0"/>
          <w:color w:val="auto"/>
          <w:spacing w:val="0"/>
          <w:kern w:val="21"/>
          <w:sz w:val="24"/>
          <w:szCs w:val="24"/>
          <w:highlight w:val="none"/>
        </w:rPr>
        <w:t>评审标准：见评标办法前附表。</w:t>
      </w:r>
    </w:p>
    <w:p w14:paraId="346E8D27">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2.1.2 资格评审标准：见评标办法前附表。</w:t>
      </w:r>
    </w:p>
    <w:p w14:paraId="3FA7975F">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2.1.3 响应评审标准：见评标办法前附表。</w:t>
      </w:r>
    </w:p>
    <w:p w14:paraId="5201F187">
      <w:pPr>
        <w:ind w:firstLine="480" w:firstLineChars="200"/>
        <w:jc w:val="left"/>
        <w:rPr>
          <w:rFonts w:hint="eastAsia" w:ascii="宋体" w:hAnsi="宋体" w:eastAsia="宋体" w:cs="宋体"/>
          <w:snapToGrid w:val="0"/>
          <w:color w:val="auto"/>
          <w:spacing w:val="0"/>
          <w:kern w:val="21"/>
          <w:sz w:val="24"/>
          <w:szCs w:val="24"/>
          <w:highlight w:val="none"/>
        </w:rPr>
      </w:pPr>
      <w:bookmarkStart w:id="38" w:name="_Toc246996989"/>
      <w:bookmarkEnd w:id="38"/>
      <w:bookmarkStart w:id="39" w:name="_Toc247085761"/>
      <w:bookmarkEnd w:id="39"/>
      <w:bookmarkStart w:id="40" w:name="_Toc358707209"/>
      <w:bookmarkEnd w:id="40"/>
      <w:bookmarkStart w:id="41" w:name="_Toc152045603"/>
      <w:bookmarkEnd w:id="41"/>
      <w:bookmarkStart w:id="42" w:name="_Toc179632621"/>
      <w:bookmarkEnd w:id="42"/>
      <w:bookmarkStart w:id="43" w:name="_Toc152042380"/>
      <w:bookmarkEnd w:id="43"/>
      <w:bookmarkStart w:id="44" w:name="_Toc246996246"/>
      <w:bookmarkEnd w:id="44"/>
      <w:bookmarkStart w:id="45" w:name="_Toc144974570"/>
      <w:r>
        <w:rPr>
          <w:rFonts w:hint="eastAsia" w:ascii="宋体" w:hAnsi="宋体" w:eastAsia="宋体" w:cs="宋体"/>
          <w:snapToGrid w:val="0"/>
          <w:color w:val="auto"/>
          <w:spacing w:val="0"/>
          <w:kern w:val="21"/>
          <w:sz w:val="24"/>
          <w:szCs w:val="24"/>
          <w:highlight w:val="none"/>
        </w:rPr>
        <w:t xml:space="preserve">2.2 </w:t>
      </w:r>
      <w:bookmarkEnd w:id="45"/>
      <w:r>
        <w:rPr>
          <w:rFonts w:hint="eastAsia" w:ascii="宋体" w:hAnsi="宋体" w:eastAsia="宋体" w:cs="宋体"/>
          <w:snapToGrid w:val="0"/>
          <w:color w:val="auto"/>
          <w:spacing w:val="0"/>
          <w:kern w:val="21"/>
          <w:sz w:val="24"/>
          <w:szCs w:val="24"/>
          <w:highlight w:val="none"/>
        </w:rPr>
        <w:t>评分标准</w:t>
      </w:r>
    </w:p>
    <w:p w14:paraId="634A22B8">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2.2.1技术标评分标准：见评标办法前附表；</w:t>
      </w:r>
    </w:p>
    <w:p w14:paraId="56A61BC5">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2.2.2</w:t>
      </w:r>
      <w:r>
        <w:rPr>
          <w:rFonts w:hint="eastAsia" w:ascii="宋体" w:hAnsi="宋体" w:eastAsia="宋体" w:cs="宋体"/>
          <w:snapToGrid w:val="0"/>
          <w:color w:val="auto"/>
          <w:spacing w:val="0"/>
          <w:kern w:val="21"/>
          <w:sz w:val="24"/>
          <w:szCs w:val="24"/>
          <w:highlight w:val="none"/>
          <w:lang w:val="en-US" w:eastAsia="zh-CN"/>
        </w:rPr>
        <w:t>商务部分</w:t>
      </w:r>
      <w:r>
        <w:rPr>
          <w:rFonts w:hint="eastAsia" w:ascii="宋体" w:hAnsi="宋体" w:eastAsia="宋体" w:cs="宋体"/>
          <w:snapToGrid w:val="0"/>
          <w:color w:val="auto"/>
          <w:spacing w:val="0"/>
          <w:kern w:val="21"/>
          <w:sz w:val="24"/>
          <w:szCs w:val="24"/>
          <w:highlight w:val="none"/>
        </w:rPr>
        <w:t>评分标准：见评标办法前附表。</w:t>
      </w:r>
    </w:p>
    <w:p w14:paraId="0B8D13C1">
      <w:pPr>
        <w:ind w:firstLine="480" w:firstLineChars="200"/>
        <w:jc w:val="left"/>
        <w:rPr>
          <w:rFonts w:hint="eastAsia" w:ascii="宋体" w:hAnsi="宋体" w:eastAsia="宋体" w:cs="宋体"/>
          <w:snapToGrid w:val="0"/>
          <w:color w:val="auto"/>
          <w:spacing w:val="0"/>
          <w:kern w:val="21"/>
          <w:sz w:val="24"/>
          <w:szCs w:val="24"/>
          <w:highlight w:val="none"/>
        </w:rPr>
      </w:pPr>
      <w:bookmarkStart w:id="46" w:name="_Toc152045604"/>
      <w:bookmarkEnd w:id="46"/>
      <w:bookmarkStart w:id="47" w:name="_Toc246996247"/>
      <w:bookmarkEnd w:id="47"/>
      <w:bookmarkStart w:id="48" w:name="_Toc4463"/>
      <w:bookmarkEnd w:id="48"/>
      <w:bookmarkStart w:id="49" w:name="_Toc7518076"/>
      <w:bookmarkEnd w:id="49"/>
      <w:bookmarkStart w:id="50" w:name="_Toc179632622"/>
      <w:bookmarkEnd w:id="50"/>
      <w:bookmarkStart w:id="51" w:name="_Toc246996990"/>
      <w:bookmarkEnd w:id="51"/>
      <w:bookmarkStart w:id="52" w:name="_Toc144974571"/>
      <w:bookmarkEnd w:id="52"/>
      <w:bookmarkStart w:id="53" w:name="_Toc358707210"/>
      <w:bookmarkEnd w:id="53"/>
      <w:bookmarkStart w:id="54" w:name="_Toc247085762"/>
      <w:bookmarkEnd w:id="54"/>
      <w:bookmarkStart w:id="55" w:name="_Toc152042381"/>
      <w:r>
        <w:rPr>
          <w:rFonts w:hint="eastAsia" w:ascii="宋体" w:hAnsi="宋体" w:eastAsia="宋体" w:cs="宋体"/>
          <w:snapToGrid w:val="0"/>
          <w:color w:val="auto"/>
          <w:spacing w:val="0"/>
          <w:kern w:val="21"/>
          <w:sz w:val="24"/>
          <w:szCs w:val="24"/>
          <w:highlight w:val="none"/>
        </w:rPr>
        <w:t>3.</w:t>
      </w:r>
      <w:bookmarkEnd w:id="55"/>
      <w:r>
        <w:rPr>
          <w:rFonts w:hint="eastAsia" w:ascii="宋体" w:hAnsi="宋体" w:eastAsia="宋体" w:cs="宋体"/>
          <w:snapToGrid w:val="0"/>
          <w:color w:val="auto"/>
          <w:spacing w:val="0"/>
          <w:kern w:val="21"/>
          <w:sz w:val="24"/>
          <w:szCs w:val="24"/>
          <w:highlight w:val="none"/>
        </w:rPr>
        <w:t>评标程序</w:t>
      </w:r>
    </w:p>
    <w:p w14:paraId="37E57A4F">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3.1.1 评标委员会依据本章评标办法前附表第</w:t>
      </w:r>
      <w:r>
        <w:rPr>
          <w:rFonts w:hint="eastAsia" w:ascii="宋体" w:hAnsi="宋体" w:cs="宋体"/>
          <w:snapToGrid w:val="0"/>
          <w:color w:val="auto"/>
          <w:spacing w:val="0"/>
          <w:kern w:val="21"/>
          <w:sz w:val="24"/>
          <w:szCs w:val="24"/>
          <w:highlight w:val="none"/>
          <w:lang w:val="en-US" w:eastAsia="zh-CN"/>
        </w:rPr>
        <w:t>1</w:t>
      </w:r>
      <w:r>
        <w:rPr>
          <w:rFonts w:hint="eastAsia" w:ascii="宋体" w:hAnsi="宋体" w:eastAsia="宋体" w:cs="宋体"/>
          <w:snapToGrid w:val="0"/>
          <w:color w:val="auto"/>
          <w:spacing w:val="0"/>
          <w:kern w:val="21"/>
          <w:sz w:val="24"/>
          <w:szCs w:val="24"/>
          <w:highlight w:val="none"/>
        </w:rPr>
        <w:t>.1.1项、第</w:t>
      </w:r>
      <w:r>
        <w:rPr>
          <w:rFonts w:hint="eastAsia" w:ascii="宋体" w:hAnsi="宋体" w:cs="宋体"/>
          <w:snapToGrid w:val="0"/>
          <w:color w:val="auto"/>
          <w:spacing w:val="0"/>
          <w:kern w:val="21"/>
          <w:sz w:val="24"/>
          <w:szCs w:val="24"/>
          <w:highlight w:val="none"/>
          <w:lang w:val="en-US" w:eastAsia="zh-CN"/>
        </w:rPr>
        <w:t>1</w:t>
      </w:r>
      <w:r>
        <w:rPr>
          <w:rFonts w:hint="eastAsia" w:ascii="宋体" w:hAnsi="宋体" w:eastAsia="宋体" w:cs="宋体"/>
          <w:snapToGrid w:val="0"/>
          <w:color w:val="auto"/>
          <w:spacing w:val="0"/>
          <w:kern w:val="21"/>
          <w:sz w:val="24"/>
          <w:szCs w:val="24"/>
          <w:highlight w:val="none"/>
        </w:rPr>
        <w:t>.1.2项、第</w:t>
      </w:r>
      <w:r>
        <w:rPr>
          <w:rFonts w:hint="eastAsia" w:ascii="宋体" w:hAnsi="宋体" w:cs="宋体"/>
          <w:snapToGrid w:val="0"/>
          <w:color w:val="auto"/>
          <w:spacing w:val="0"/>
          <w:kern w:val="21"/>
          <w:sz w:val="24"/>
          <w:szCs w:val="24"/>
          <w:highlight w:val="none"/>
          <w:lang w:val="en-US" w:eastAsia="zh-CN"/>
        </w:rPr>
        <w:t>1</w:t>
      </w:r>
      <w:r>
        <w:rPr>
          <w:rFonts w:hint="eastAsia" w:ascii="宋体" w:hAnsi="宋体" w:eastAsia="宋体" w:cs="宋体"/>
          <w:snapToGrid w:val="0"/>
          <w:color w:val="auto"/>
          <w:spacing w:val="0"/>
          <w:kern w:val="21"/>
          <w:sz w:val="24"/>
          <w:szCs w:val="24"/>
          <w:highlight w:val="none"/>
        </w:rPr>
        <w:t>.1.3项规定的评审标准对投标文件进行初步评审。有一项不符合评审标准的，其投标将被否决。</w:t>
      </w:r>
    </w:p>
    <w:p w14:paraId="608D67AB">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3.2</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有以下情形之一的，其投标作无效标处理：</w:t>
      </w:r>
    </w:p>
    <w:p w14:paraId="7A572DF5">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（1）串通投标或弄虚作假或有其他违法行为的；</w:t>
      </w:r>
    </w:p>
    <w:p w14:paraId="21F6CE28">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（2）不按</w:t>
      </w:r>
      <w:r>
        <w:rPr>
          <w:rFonts w:hint="eastAsia" w:ascii="宋体" w:hAnsi="宋体" w:eastAsia="宋体" w:cs="宋体"/>
          <w:snapToGrid w:val="0"/>
          <w:color w:val="auto"/>
          <w:spacing w:val="0"/>
          <w:kern w:val="21"/>
          <w:sz w:val="24"/>
          <w:szCs w:val="24"/>
          <w:highlight w:val="none"/>
          <w:lang w:eastAsia="zh-CN"/>
        </w:rPr>
        <w:t>评标委员会</w:t>
      </w:r>
      <w:r>
        <w:rPr>
          <w:rFonts w:hint="eastAsia" w:ascii="宋体" w:hAnsi="宋体" w:eastAsia="宋体" w:cs="宋体"/>
          <w:snapToGrid w:val="0"/>
          <w:color w:val="auto"/>
          <w:spacing w:val="0"/>
          <w:kern w:val="21"/>
          <w:sz w:val="24"/>
          <w:szCs w:val="24"/>
          <w:highlight w:val="none"/>
        </w:rPr>
        <w:t>要求澄清、说明或补正的。</w:t>
      </w:r>
    </w:p>
    <w:p w14:paraId="16C4840A">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3.3投标报价有算术错误的，</w:t>
      </w:r>
      <w:r>
        <w:rPr>
          <w:rFonts w:hint="eastAsia" w:ascii="宋体" w:hAnsi="宋体" w:eastAsia="宋体" w:cs="宋体"/>
          <w:snapToGrid w:val="0"/>
          <w:color w:val="auto"/>
          <w:spacing w:val="0"/>
          <w:kern w:val="21"/>
          <w:sz w:val="24"/>
          <w:szCs w:val="24"/>
          <w:highlight w:val="none"/>
          <w:lang w:eastAsia="zh-CN"/>
        </w:rPr>
        <w:t>评标委员会</w:t>
      </w:r>
      <w:r>
        <w:rPr>
          <w:rFonts w:hint="eastAsia" w:ascii="宋体" w:hAnsi="宋体" w:eastAsia="宋体" w:cs="宋体"/>
          <w:snapToGrid w:val="0"/>
          <w:color w:val="auto"/>
          <w:spacing w:val="0"/>
          <w:kern w:val="21"/>
          <w:sz w:val="24"/>
          <w:szCs w:val="24"/>
          <w:highlight w:val="none"/>
        </w:rPr>
        <w:t>按以下原则对投标报价进行修正，修正的价格经</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书面确认后具有约束力。</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不接受修正价格的，其投标被否决。</w:t>
      </w:r>
    </w:p>
    <w:p w14:paraId="3E300C2B">
      <w:pPr>
        <w:ind w:firstLine="480" w:firstLineChars="200"/>
        <w:jc w:val="left"/>
        <w:rPr>
          <w:rFonts w:hint="eastAsia" w:ascii="宋体" w:hAnsi="宋体" w:eastAsia="宋体" w:cs="宋体"/>
          <w:snapToGrid w:val="0"/>
          <w:color w:val="auto"/>
          <w:spacing w:val="0"/>
          <w:kern w:val="21"/>
          <w:sz w:val="24"/>
          <w:szCs w:val="24"/>
          <w:highlight w:val="none"/>
        </w:rPr>
      </w:pPr>
      <w:bookmarkStart w:id="56" w:name="_Toc152042383"/>
      <w:bookmarkEnd w:id="56"/>
      <w:r>
        <w:rPr>
          <w:rFonts w:hint="eastAsia" w:ascii="宋体" w:hAnsi="宋体" w:eastAsia="宋体" w:cs="宋体"/>
          <w:snapToGrid w:val="0"/>
          <w:color w:val="auto"/>
          <w:spacing w:val="0"/>
          <w:kern w:val="21"/>
          <w:sz w:val="24"/>
          <w:szCs w:val="24"/>
          <w:highlight w:val="none"/>
          <w:lang w:val="en-US" w:eastAsia="zh-CN"/>
        </w:rPr>
        <w:t>投标</w:t>
      </w:r>
      <w:r>
        <w:rPr>
          <w:rFonts w:hint="eastAsia" w:ascii="宋体" w:hAnsi="宋体" w:eastAsia="宋体" w:cs="宋体"/>
          <w:snapToGrid w:val="0"/>
          <w:color w:val="auto"/>
          <w:spacing w:val="0"/>
          <w:kern w:val="21"/>
          <w:sz w:val="24"/>
          <w:szCs w:val="24"/>
          <w:highlight w:val="none"/>
          <w:lang w:eastAsia="zh-CN"/>
        </w:rPr>
        <w:t>文件</w:t>
      </w:r>
      <w:r>
        <w:rPr>
          <w:rFonts w:hint="eastAsia" w:ascii="宋体" w:hAnsi="宋体" w:eastAsia="宋体" w:cs="宋体"/>
          <w:snapToGrid w:val="0"/>
          <w:color w:val="auto"/>
          <w:spacing w:val="0"/>
          <w:kern w:val="21"/>
          <w:sz w:val="24"/>
          <w:szCs w:val="24"/>
          <w:highlight w:val="none"/>
        </w:rPr>
        <w:t>中的大写金额与小写金额不一致的，以大写金额为准；</w:t>
      </w:r>
    </w:p>
    <w:p w14:paraId="2D76F3A5">
      <w:pPr>
        <w:ind w:firstLine="480" w:firstLineChars="200"/>
        <w:jc w:val="left"/>
        <w:rPr>
          <w:rFonts w:hint="eastAsia" w:ascii="宋体" w:hAnsi="宋体" w:eastAsia="宋体" w:cs="宋体"/>
          <w:snapToGrid w:val="0"/>
          <w:color w:val="auto"/>
          <w:spacing w:val="0"/>
          <w:kern w:val="21"/>
          <w:sz w:val="24"/>
          <w:szCs w:val="24"/>
          <w:highlight w:val="none"/>
        </w:rPr>
      </w:pPr>
      <w:bookmarkStart w:id="57" w:name="_Toc246996992"/>
      <w:bookmarkEnd w:id="57"/>
      <w:bookmarkStart w:id="58" w:name="_Toc179632624"/>
      <w:bookmarkEnd w:id="58"/>
      <w:bookmarkStart w:id="59" w:name="_Toc358707212"/>
      <w:bookmarkEnd w:id="59"/>
      <w:bookmarkStart w:id="60" w:name="_Toc246996249"/>
      <w:bookmarkEnd w:id="60"/>
      <w:bookmarkStart w:id="61" w:name="_Toc144974573"/>
      <w:bookmarkEnd w:id="61"/>
      <w:bookmarkStart w:id="62" w:name="_Toc247085764"/>
      <w:bookmarkEnd w:id="62"/>
      <w:bookmarkStart w:id="63" w:name="_Toc152045606"/>
      <w:bookmarkEnd w:id="63"/>
      <w:bookmarkStart w:id="64" w:name="_Toc152042384"/>
      <w:r>
        <w:rPr>
          <w:rFonts w:hint="eastAsia" w:ascii="宋体" w:hAnsi="宋体" w:eastAsia="宋体" w:cs="宋体"/>
          <w:snapToGrid w:val="0"/>
          <w:color w:val="auto"/>
          <w:spacing w:val="0"/>
          <w:kern w:val="21"/>
          <w:sz w:val="24"/>
          <w:szCs w:val="24"/>
          <w:highlight w:val="none"/>
        </w:rPr>
        <w:t>3.4</w:t>
      </w:r>
      <w:bookmarkEnd w:id="64"/>
      <w:r>
        <w:rPr>
          <w:rFonts w:hint="eastAsia" w:ascii="宋体" w:hAnsi="宋体" w:eastAsia="宋体" w:cs="宋体"/>
          <w:snapToGrid w:val="0"/>
          <w:color w:val="auto"/>
          <w:spacing w:val="0"/>
          <w:kern w:val="21"/>
          <w:sz w:val="24"/>
          <w:szCs w:val="24"/>
          <w:highlight w:val="none"/>
        </w:rPr>
        <w:t>详细评审</w:t>
      </w:r>
    </w:p>
    <w:p w14:paraId="5869E57A">
      <w:pPr>
        <w:ind w:firstLine="480" w:firstLineChars="200"/>
        <w:jc w:val="left"/>
        <w:rPr>
          <w:rFonts w:hint="eastAsia" w:ascii="宋体" w:hAnsi="宋体" w:eastAsia="宋体" w:cs="宋体"/>
          <w:snapToGrid w:val="0"/>
          <w:color w:val="auto"/>
          <w:spacing w:val="0"/>
          <w:kern w:val="21"/>
          <w:sz w:val="24"/>
          <w:szCs w:val="24"/>
          <w:highlight w:val="none"/>
        </w:rPr>
      </w:pPr>
      <w:bookmarkStart w:id="65" w:name="_Toc179632625"/>
      <w:bookmarkEnd w:id="65"/>
      <w:bookmarkStart w:id="66" w:name="_Toc246996993"/>
      <w:bookmarkEnd w:id="66"/>
      <w:bookmarkStart w:id="67" w:name="_Toc246996250"/>
      <w:bookmarkEnd w:id="67"/>
      <w:bookmarkStart w:id="68" w:name="_Toc152045607"/>
      <w:bookmarkEnd w:id="68"/>
      <w:bookmarkStart w:id="69" w:name="_Toc247085765"/>
      <w:bookmarkEnd w:id="69"/>
      <w:bookmarkStart w:id="70" w:name="_Toc358707213"/>
      <w:bookmarkEnd w:id="70"/>
      <w:bookmarkStart w:id="71" w:name="_Toc144974575"/>
      <w:bookmarkEnd w:id="71"/>
      <w:bookmarkStart w:id="72" w:name="_Toc152042385"/>
      <w:r>
        <w:rPr>
          <w:rFonts w:hint="eastAsia" w:ascii="宋体" w:hAnsi="宋体" w:eastAsia="宋体" w:cs="宋体"/>
          <w:snapToGrid w:val="0"/>
          <w:color w:val="auto"/>
          <w:spacing w:val="0"/>
          <w:kern w:val="21"/>
          <w:sz w:val="24"/>
          <w:szCs w:val="24"/>
          <w:highlight w:val="none"/>
        </w:rPr>
        <w:t xml:space="preserve">3.4.1 </w:t>
      </w:r>
      <w:r>
        <w:rPr>
          <w:rFonts w:hint="eastAsia" w:ascii="宋体" w:hAnsi="宋体" w:eastAsia="宋体" w:cs="宋体"/>
          <w:snapToGrid w:val="0"/>
          <w:color w:val="auto"/>
          <w:spacing w:val="0"/>
          <w:kern w:val="21"/>
          <w:sz w:val="24"/>
          <w:szCs w:val="24"/>
          <w:highlight w:val="none"/>
          <w:lang w:eastAsia="zh-CN"/>
        </w:rPr>
        <w:t>评标委员会</w:t>
      </w:r>
      <w:r>
        <w:rPr>
          <w:rFonts w:hint="eastAsia" w:ascii="宋体" w:hAnsi="宋体" w:eastAsia="宋体" w:cs="宋体"/>
          <w:snapToGrid w:val="0"/>
          <w:color w:val="auto"/>
          <w:spacing w:val="0"/>
          <w:kern w:val="21"/>
          <w:sz w:val="24"/>
          <w:szCs w:val="24"/>
          <w:highlight w:val="none"/>
        </w:rPr>
        <w:t>按本章第2.2款规定的量化因素和分值进行打分，并计算出综合评估得分。</w:t>
      </w:r>
      <w:bookmarkEnd w:id="72"/>
    </w:p>
    <w:p w14:paraId="2DAB2326">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（1）按本章第2.2.</w:t>
      </w:r>
      <w:r>
        <w:rPr>
          <w:rFonts w:hint="eastAsia" w:ascii="宋体" w:hAnsi="宋体" w:cs="宋体"/>
          <w:snapToGrid w:val="0"/>
          <w:color w:val="auto"/>
          <w:spacing w:val="0"/>
          <w:kern w:val="21"/>
          <w:sz w:val="24"/>
          <w:szCs w:val="24"/>
          <w:highlight w:val="none"/>
          <w:lang w:val="en-US" w:eastAsia="zh-CN"/>
        </w:rPr>
        <w:t>2</w:t>
      </w:r>
      <w:r>
        <w:rPr>
          <w:rFonts w:hint="eastAsia" w:ascii="宋体" w:hAnsi="宋体" w:eastAsia="宋体" w:cs="宋体"/>
          <w:snapToGrid w:val="0"/>
          <w:color w:val="auto"/>
          <w:spacing w:val="0"/>
          <w:kern w:val="21"/>
          <w:sz w:val="24"/>
          <w:szCs w:val="24"/>
          <w:highlight w:val="none"/>
        </w:rPr>
        <w:t>规定的评审因素和分值对技术部分计算出得分；</w:t>
      </w:r>
    </w:p>
    <w:p w14:paraId="73741391">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（2）按本章第2.2.</w:t>
      </w:r>
      <w:r>
        <w:rPr>
          <w:rFonts w:hint="eastAsia" w:ascii="宋体" w:hAnsi="宋体" w:cs="宋体"/>
          <w:snapToGrid w:val="0"/>
          <w:color w:val="auto"/>
          <w:spacing w:val="0"/>
          <w:kern w:val="21"/>
          <w:sz w:val="24"/>
          <w:szCs w:val="24"/>
          <w:highlight w:val="none"/>
          <w:lang w:val="en-US" w:eastAsia="zh-CN"/>
        </w:rPr>
        <w:t>3</w:t>
      </w:r>
      <w:r>
        <w:rPr>
          <w:rFonts w:hint="eastAsia" w:ascii="宋体" w:hAnsi="宋体" w:eastAsia="宋体" w:cs="宋体"/>
          <w:snapToGrid w:val="0"/>
          <w:color w:val="auto"/>
          <w:spacing w:val="0"/>
          <w:kern w:val="21"/>
          <w:sz w:val="24"/>
          <w:szCs w:val="24"/>
          <w:highlight w:val="none"/>
        </w:rPr>
        <w:t>目规定的评审因素和分值对商务部分计算出得分；</w:t>
      </w:r>
    </w:p>
    <w:p w14:paraId="2A101D98">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 xml:space="preserve">3.4.2 </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得分=技术部分+商务部分。</w:t>
      </w:r>
    </w:p>
    <w:p w14:paraId="0A0DD8C9">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3.4.3 在</w:t>
      </w:r>
      <w:r>
        <w:rPr>
          <w:rFonts w:hint="eastAsia" w:ascii="宋体" w:hAnsi="宋体" w:eastAsia="宋体" w:cs="宋体"/>
          <w:snapToGrid w:val="0"/>
          <w:color w:val="auto"/>
          <w:spacing w:val="0"/>
          <w:kern w:val="21"/>
          <w:sz w:val="24"/>
          <w:szCs w:val="24"/>
          <w:highlight w:val="none"/>
          <w:lang w:eastAsia="zh-CN"/>
        </w:rPr>
        <w:t>评标委员会</w:t>
      </w:r>
      <w:r>
        <w:rPr>
          <w:rFonts w:hint="eastAsia" w:ascii="宋体" w:hAnsi="宋体" w:eastAsia="宋体" w:cs="宋体"/>
          <w:snapToGrid w:val="0"/>
          <w:color w:val="auto"/>
          <w:spacing w:val="0"/>
          <w:kern w:val="21"/>
          <w:sz w:val="24"/>
          <w:szCs w:val="24"/>
          <w:highlight w:val="none"/>
        </w:rPr>
        <w:t>完成对技术部分和商务部分的汇总后取平均值，作为该</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的最终得分。</w:t>
      </w:r>
    </w:p>
    <w:p w14:paraId="6254472A">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3.4.4</w:t>
      </w:r>
      <w:r>
        <w:rPr>
          <w:rFonts w:hint="eastAsia" w:ascii="宋体" w:hAnsi="宋体" w:eastAsia="宋体" w:cs="宋体"/>
          <w:snapToGrid w:val="0"/>
          <w:color w:val="auto"/>
          <w:spacing w:val="0"/>
          <w:kern w:val="21"/>
          <w:sz w:val="24"/>
          <w:szCs w:val="24"/>
          <w:highlight w:val="none"/>
          <w:lang w:eastAsia="zh-CN"/>
        </w:rPr>
        <w:t>评标委员会</w:t>
      </w:r>
      <w:r>
        <w:rPr>
          <w:rFonts w:hint="eastAsia" w:ascii="宋体" w:hAnsi="宋体" w:eastAsia="宋体" w:cs="宋体"/>
          <w:snapToGrid w:val="0"/>
          <w:color w:val="auto"/>
          <w:spacing w:val="0"/>
          <w:kern w:val="21"/>
          <w:sz w:val="24"/>
          <w:szCs w:val="24"/>
          <w:highlight w:val="none"/>
        </w:rPr>
        <w:t>发现</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的报价明显低于其他投标报价，使得其投标报价可能低于其个别成本的，应当要求该</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做出书面说明并提供相应的证明材料。</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不能合理说明或者不能提供相应证明材料的，</w:t>
      </w:r>
      <w:r>
        <w:rPr>
          <w:rFonts w:hint="eastAsia" w:ascii="宋体" w:hAnsi="宋体" w:eastAsia="宋体" w:cs="宋体"/>
          <w:snapToGrid w:val="0"/>
          <w:color w:val="auto"/>
          <w:spacing w:val="0"/>
          <w:kern w:val="21"/>
          <w:sz w:val="24"/>
          <w:szCs w:val="24"/>
          <w:highlight w:val="none"/>
          <w:lang w:eastAsia="zh-CN"/>
        </w:rPr>
        <w:t>评标委员会</w:t>
      </w:r>
      <w:r>
        <w:rPr>
          <w:rFonts w:hint="eastAsia" w:ascii="宋体" w:hAnsi="宋体" w:eastAsia="宋体" w:cs="宋体"/>
          <w:snapToGrid w:val="0"/>
          <w:color w:val="auto"/>
          <w:spacing w:val="0"/>
          <w:kern w:val="21"/>
          <w:sz w:val="24"/>
          <w:szCs w:val="24"/>
          <w:highlight w:val="none"/>
        </w:rPr>
        <w:t>应当认定该</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以低于成本报价竞标，否决其投标。</w:t>
      </w:r>
    </w:p>
    <w:p w14:paraId="5E860E26">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 xml:space="preserve">3.5 </w:t>
      </w:r>
      <w:r>
        <w:rPr>
          <w:rFonts w:hint="eastAsia" w:ascii="宋体" w:hAnsi="宋体" w:eastAsia="宋体" w:cs="宋体"/>
          <w:snapToGrid w:val="0"/>
          <w:color w:val="auto"/>
          <w:spacing w:val="0"/>
          <w:kern w:val="21"/>
          <w:sz w:val="24"/>
          <w:szCs w:val="24"/>
          <w:highlight w:val="none"/>
          <w:lang w:eastAsia="zh-CN"/>
        </w:rPr>
        <w:t>投标文件</w:t>
      </w:r>
      <w:r>
        <w:rPr>
          <w:rFonts w:hint="eastAsia" w:ascii="宋体" w:hAnsi="宋体" w:eastAsia="宋体" w:cs="宋体"/>
          <w:snapToGrid w:val="0"/>
          <w:color w:val="auto"/>
          <w:spacing w:val="0"/>
          <w:kern w:val="21"/>
          <w:sz w:val="24"/>
          <w:szCs w:val="24"/>
          <w:highlight w:val="none"/>
        </w:rPr>
        <w:t>的澄清和补正</w:t>
      </w:r>
    </w:p>
    <w:p w14:paraId="3F52D443">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3.5.1在评标过程中，</w:t>
      </w:r>
      <w:r>
        <w:rPr>
          <w:rFonts w:hint="eastAsia" w:ascii="宋体" w:hAnsi="宋体" w:eastAsia="宋体" w:cs="宋体"/>
          <w:snapToGrid w:val="0"/>
          <w:color w:val="auto"/>
          <w:spacing w:val="0"/>
          <w:kern w:val="21"/>
          <w:sz w:val="24"/>
          <w:szCs w:val="24"/>
          <w:highlight w:val="none"/>
          <w:lang w:eastAsia="zh-CN"/>
        </w:rPr>
        <w:t>评标委员会</w:t>
      </w:r>
      <w:r>
        <w:rPr>
          <w:rFonts w:hint="eastAsia" w:ascii="宋体" w:hAnsi="宋体" w:eastAsia="宋体" w:cs="宋体"/>
          <w:snapToGrid w:val="0"/>
          <w:color w:val="auto"/>
          <w:spacing w:val="0"/>
          <w:kern w:val="21"/>
          <w:sz w:val="24"/>
          <w:szCs w:val="24"/>
          <w:highlight w:val="none"/>
        </w:rPr>
        <w:t>可以书面形式要求</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对所提交</w:t>
      </w:r>
      <w:r>
        <w:rPr>
          <w:rFonts w:hint="eastAsia" w:ascii="宋体" w:hAnsi="宋体" w:eastAsia="宋体" w:cs="宋体"/>
          <w:snapToGrid w:val="0"/>
          <w:color w:val="auto"/>
          <w:spacing w:val="0"/>
          <w:kern w:val="21"/>
          <w:sz w:val="24"/>
          <w:szCs w:val="24"/>
          <w:highlight w:val="none"/>
          <w:lang w:eastAsia="zh-CN"/>
        </w:rPr>
        <w:t>投标文件</w:t>
      </w:r>
      <w:r>
        <w:rPr>
          <w:rFonts w:hint="eastAsia" w:ascii="宋体" w:hAnsi="宋体" w:eastAsia="宋体" w:cs="宋体"/>
          <w:snapToGrid w:val="0"/>
          <w:color w:val="auto"/>
          <w:spacing w:val="0"/>
          <w:kern w:val="21"/>
          <w:sz w:val="24"/>
          <w:szCs w:val="24"/>
          <w:highlight w:val="none"/>
        </w:rPr>
        <w:t>中不明确的内容进行书面澄清或说明，或者对细微偏差进行补正。</w:t>
      </w:r>
      <w:r>
        <w:rPr>
          <w:rFonts w:hint="eastAsia" w:ascii="宋体" w:hAnsi="宋体" w:eastAsia="宋体" w:cs="宋体"/>
          <w:snapToGrid w:val="0"/>
          <w:color w:val="auto"/>
          <w:spacing w:val="0"/>
          <w:kern w:val="21"/>
          <w:sz w:val="24"/>
          <w:szCs w:val="24"/>
          <w:highlight w:val="none"/>
          <w:lang w:eastAsia="zh-CN"/>
        </w:rPr>
        <w:t>评标委员会</w:t>
      </w:r>
      <w:r>
        <w:rPr>
          <w:rFonts w:hint="eastAsia" w:ascii="宋体" w:hAnsi="宋体" w:eastAsia="宋体" w:cs="宋体"/>
          <w:snapToGrid w:val="0"/>
          <w:color w:val="auto"/>
          <w:spacing w:val="0"/>
          <w:kern w:val="21"/>
          <w:sz w:val="24"/>
          <w:szCs w:val="24"/>
          <w:highlight w:val="none"/>
        </w:rPr>
        <w:t>不接受</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主动提出的澄清、说明或补正。</w:t>
      </w:r>
    </w:p>
    <w:p w14:paraId="68D51864">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3.5.2 澄清、说明和补正不得改变</w:t>
      </w:r>
      <w:r>
        <w:rPr>
          <w:rFonts w:hint="eastAsia" w:ascii="宋体" w:hAnsi="宋体" w:eastAsia="宋体" w:cs="宋体"/>
          <w:snapToGrid w:val="0"/>
          <w:color w:val="auto"/>
          <w:spacing w:val="0"/>
          <w:kern w:val="21"/>
          <w:sz w:val="24"/>
          <w:szCs w:val="24"/>
          <w:highlight w:val="none"/>
          <w:lang w:eastAsia="zh-CN"/>
        </w:rPr>
        <w:t>投标文件</w:t>
      </w:r>
      <w:r>
        <w:rPr>
          <w:rFonts w:hint="eastAsia" w:ascii="宋体" w:hAnsi="宋体" w:eastAsia="宋体" w:cs="宋体"/>
          <w:snapToGrid w:val="0"/>
          <w:color w:val="auto"/>
          <w:spacing w:val="0"/>
          <w:kern w:val="21"/>
          <w:sz w:val="24"/>
          <w:szCs w:val="24"/>
          <w:highlight w:val="none"/>
        </w:rPr>
        <w:t>的实质性内容。</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的书面澄清、说明和补正属于</w:t>
      </w:r>
      <w:r>
        <w:rPr>
          <w:rFonts w:hint="eastAsia" w:ascii="宋体" w:hAnsi="宋体" w:eastAsia="宋体" w:cs="宋体"/>
          <w:snapToGrid w:val="0"/>
          <w:color w:val="auto"/>
          <w:spacing w:val="0"/>
          <w:kern w:val="21"/>
          <w:sz w:val="24"/>
          <w:szCs w:val="24"/>
          <w:highlight w:val="none"/>
          <w:lang w:eastAsia="zh-CN"/>
        </w:rPr>
        <w:t>投标文件</w:t>
      </w:r>
      <w:r>
        <w:rPr>
          <w:rFonts w:hint="eastAsia" w:ascii="宋体" w:hAnsi="宋体" w:eastAsia="宋体" w:cs="宋体"/>
          <w:snapToGrid w:val="0"/>
          <w:color w:val="auto"/>
          <w:spacing w:val="0"/>
          <w:kern w:val="21"/>
          <w:sz w:val="24"/>
          <w:szCs w:val="24"/>
          <w:highlight w:val="none"/>
        </w:rPr>
        <w:t>的组成部分。</w:t>
      </w:r>
    </w:p>
    <w:p w14:paraId="2E12D2FB">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 xml:space="preserve">3.5.3 </w:t>
      </w:r>
      <w:r>
        <w:rPr>
          <w:rFonts w:hint="eastAsia" w:ascii="宋体" w:hAnsi="宋体" w:eastAsia="宋体" w:cs="宋体"/>
          <w:snapToGrid w:val="0"/>
          <w:color w:val="auto"/>
          <w:spacing w:val="0"/>
          <w:kern w:val="21"/>
          <w:sz w:val="24"/>
          <w:szCs w:val="24"/>
          <w:highlight w:val="none"/>
          <w:lang w:eastAsia="zh-CN"/>
        </w:rPr>
        <w:t>评标委员会</w:t>
      </w:r>
      <w:r>
        <w:rPr>
          <w:rFonts w:hint="eastAsia" w:ascii="宋体" w:hAnsi="宋体" w:eastAsia="宋体" w:cs="宋体"/>
          <w:snapToGrid w:val="0"/>
          <w:color w:val="auto"/>
          <w:spacing w:val="0"/>
          <w:kern w:val="21"/>
          <w:sz w:val="24"/>
          <w:szCs w:val="24"/>
          <w:highlight w:val="none"/>
        </w:rPr>
        <w:t>对</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提交的澄清、说明或补正有疑问的，可以要求</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进一步澄清、说明或补正，直至满足</w:t>
      </w:r>
      <w:r>
        <w:rPr>
          <w:rFonts w:hint="eastAsia" w:ascii="宋体" w:hAnsi="宋体" w:eastAsia="宋体" w:cs="宋体"/>
          <w:snapToGrid w:val="0"/>
          <w:color w:val="auto"/>
          <w:spacing w:val="0"/>
          <w:kern w:val="21"/>
          <w:sz w:val="24"/>
          <w:szCs w:val="24"/>
          <w:highlight w:val="none"/>
          <w:lang w:eastAsia="zh-CN"/>
        </w:rPr>
        <w:t>评标委员会</w:t>
      </w:r>
      <w:r>
        <w:rPr>
          <w:rFonts w:hint="eastAsia" w:ascii="宋体" w:hAnsi="宋体" w:eastAsia="宋体" w:cs="宋体"/>
          <w:snapToGrid w:val="0"/>
          <w:color w:val="auto"/>
          <w:spacing w:val="0"/>
          <w:kern w:val="21"/>
          <w:sz w:val="24"/>
          <w:szCs w:val="24"/>
          <w:highlight w:val="none"/>
        </w:rPr>
        <w:t>的要求。</w:t>
      </w:r>
    </w:p>
    <w:p w14:paraId="2B7C71B8">
      <w:pPr>
        <w:ind w:firstLine="480" w:firstLineChars="200"/>
        <w:jc w:val="left"/>
        <w:rPr>
          <w:rFonts w:hint="eastAsia" w:ascii="宋体" w:hAnsi="宋体" w:eastAsia="宋体" w:cs="宋体"/>
          <w:snapToGrid w:val="0"/>
          <w:color w:val="auto"/>
          <w:spacing w:val="0"/>
          <w:kern w:val="21"/>
          <w:sz w:val="24"/>
          <w:szCs w:val="24"/>
          <w:highlight w:val="none"/>
        </w:rPr>
      </w:pPr>
      <w:bookmarkStart w:id="73" w:name="_Toc358707214"/>
      <w:bookmarkEnd w:id="73"/>
      <w:bookmarkStart w:id="74" w:name="_Toc179632626"/>
      <w:bookmarkEnd w:id="74"/>
      <w:bookmarkStart w:id="75" w:name="_Toc152042386"/>
      <w:bookmarkEnd w:id="75"/>
      <w:bookmarkStart w:id="76" w:name="_Toc246996994"/>
      <w:bookmarkEnd w:id="76"/>
      <w:bookmarkStart w:id="77" w:name="_Toc246996251"/>
      <w:bookmarkEnd w:id="77"/>
      <w:bookmarkStart w:id="78" w:name="_Toc7518077"/>
      <w:bookmarkEnd w:id="78"/>
      <w:bookmarkStart w:id="79" w:name="_Toc152045608"/>
      <w:bookmarkEnd w:id="79"/>
      <w:bookmarkStart w:id="80" w:name="_Toc144974576"/>
      <w:bookmarkEnd w:id="80"/>
      <w:bookmarkStart w:id="81" w:name="_Toc247085766"/>
      <w:r>
        <w:rPr>
          <w:rFonts w:hint="eastAsia" w:ascii="宋体" w:hAnsi="宋体" w:eastAsia="宋体" w:cs="宋体"/>
          <w:snapToGrid w:val="0"/>
          <w:color w:val="auto"/>
          <w:spacing w:val="0"/>
          <w:kern w:val="21"/>
          <w:sz w:val="24"/>
          <w:szCs w:val="24"/>
          <w:highlight w:val="none"/>
        </w:rPr>
        <w:t xml:space="preserve">3.6 </w:t>
      </w:r>
      <w:bookmarkEnd w:id="81"/>
      <w:r>
        <w:rPr>
          <w:rFonts w:hint="eastAsia" w:ascii="宋体" w:hAnsi="宋体" w:eastAsia="宋体" w:cs="宋体"/>
          <w:snapToGrid w:val="0"/>
          <w:color w:val="auto"/>
          <w:spacing w:val="0"/>
          <w:kern w:val="21"/>
          <w:sz w:val="24"/>
          <w:szCs w:val="24"/>
          <w:highlight w:val="none"/>
        </w:rPr>
        <w:t>评标结果</w:t>
      </w:r>
    </w:p>
    <w:p w14:paraId="6574E700">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3.6.1除第二章“</w:t>
      </w:r>
      <w:r>
        <w:rPr>
          <w:rFonts w:hint="eastAsia" w:ascii="宋体" w:hAnsi="宋体" w:eastAsia="宋体" w:cs="宋体"/>
          <w:snapToGrid w:val="0"/>
          <w:color w:val="auto"/>
          <w:spacing w:val="0"/>
          <w:kern w:val="21"/>
          <w:sz w:val="24"/>
          <w:szCs w:val="24"/>
          <w:highlight w:val="none"/>
          <w:lang w:eastAsia="zh-CN"/>
        </w:rPr>
        <w:t>投标人</w:t>
      </w:r>
      <w:r>
        <w:rPr>
          <w:rFonts w:hint="eastAsia" w:ascii="宋体" w:hAnsi="宋体" w:eastAsia="宋体" w:cs="宋体"/>
          <w:snapToGrid w:val="0"/>
          <w:color w:val="auto"/>
          <w:spacing w:val="0"/>
          <w:kern w:val="21"/>
          <w:sz w:val="24"/>
          <w:szCs w:val="24"/>
          <w:highlight w:val="none"/>
        </w:rPr>
        <w:t>须知”前附表授权直接确定成交人外，</w:t>
      </w:r>
      <w:r>
        <w:rPr>
          <w:rFonts w:hint="eastAsia" w:ascii="宋体" w:hAnsi="宋体" w:eastAsia="宋体" w:cs="宋体"/>
          <w:snapToGrid w:val="0"/>
          <w:color w:val="auto"/>
          <w:spacing w:val="0"/>
          <w:kern w:val="21"/>
          <w:sz w:val="24"/>
          <w:szCs w:val="24"/>
          <w:highlight w:val="none"/>
          <w:lang w:eastAsia="zh-CN"/>
        </w:rPr>
        <w:t>评标委员会</w:t>
      </w:r>
      <w:r>
        <w:rPr>
          <w:rFonts w:hint="eastAsia" w:ascii="宋体" w:hAnsi="宋体" w:eastAsia="宋体" w:cs="宋体"/>
          <w:snapToGrid w:val="0"/>
          <w:color w:val="auto"/>
          <w:spacing w:val="0"/>
          <w:kern w:val="21"/>
          <w:sz w:val="24"/>
          <w:szCs w:val="24"/>
          <w:highlight w:val="none"/>
        </w:rPr>
        <w:t>按照得分由高到低的顺序推荐成交候选人。</w:t>
      </w:r>
    </w:p>
    <w:p w14:paraId="641CC5AC">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 xml:space="preserve">3.6.2 </w:t>
      </w:r>
      <w:r>
        <w:rPr>
          <w:rFonts w:hint="eastAsia" w:ascii="宋体" w:hAnsi="宋体" w:eastAsia="宋体" w:cs="宋体"/>
          <w:snapToGrid w:val="0"/>
          <w:color w:val="auto"/>
          <w:spacing w:val="0"/>
          <w:kern w:val="21"/>
          <w:sz w:val="24"/>
          <w:szCs w:val="24"/>
          <w:highlight w:val="none"/>
          <w:lang w:eastAsia="zh-CN"/>
        </w:rPr>
        <w:t>评标委员会</w:t>
      </w:r>
      <w:r>
        <w:rPr>
          <w:rFonts w:hint="eastAsia" w:ascii="宋体" w:hAnsi="宋体" w:eastAsia="宋体" w:cs="宋体"/>
          <w:snapToGrid w:val="0"/>
          <w:color w:val="auto"/>
          <w:spacing w:val="0"/>
          <w:kern w:val="21"/>
          <w:sz w:val="24"/>
          <w:szCs w:val="24"/>
          <w:highlight w:val="none"/>
        </w:rPr>
        <w:t>完成评标后，应当向</w:t>
      </w:r>
      <w:r>
        <w:rPr>
          <w:rFonts w:hint="eastAsia" w:ascii="宋体" w:hAnsi="宋体" w:eastAsia="宋体" w:cs="宋体"/>
          <w:snapToGrid w:val="0"/>
          <w:color w:val="auto"/>
          <w:spacing w:val="0"/>
          <w:kern w:val="21"/>
          <w:sz w:val="24"/>
          <w:szCs w:val="24"/>
          <w:highlight w:val="none"/>
          <w:lang w:eastAsia="zh-CN"/>
        </w:rPr>
        <w:t>采购人</w:t>
      </w:r>
      <w:r>
        <w:rPr>
          <w:rFonts w:hint="eastAsia" w:ascii="宋体" w:hAnsi="宋体" w:eastAsia="宋体" w:cs="宋体"/>
          <w:snapToGrid w:val="0"/>
          <w:color w:val="auto"/>
          <w:spacing w:val="0"/>
          <w:kern w:val="21"/>
          <w:sz w:val="24"/>
          <w:szCs w:val="24"/>
          <w:highlight w:val="none"/>
        </w:rPr>
        <w:t>提交书面评标报告。</w:t>
      </w:r>
    </w:p>
    <w:p w14:paraId="6CC886F1">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lang w:val="en-US" w:eastAsia="zh-CN"/>
        </w:rPr>
        <w:t>4</w:t>
      </w:r>
      <w:r>
        <w:rPr>
          <w:rFonts w:hint="eastAsia" w:ascii="宋体" w:hAnsi="宋体" w:eastAsia="宋体" w:cs="宋体"/>
          <w:snapToGrid w:val="0"/>
          <w:color w:val="auto"/>
          <w:spacing w:val="0"/>
          <w:kern w:val="21"/>
          <w:sz w:val="24"/>
          <w:szCs w:val="24"/>
          <w:highlight w:val="none"/>
        </w:rPr>
        <w:t>.特殊情况的处置程序</w:t>
      </w:r>
    </w:p>
    <w:p w14:paraId="3CECD425">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lang w:val="en-US" w:eastAsia="zh-CN"/>
        </w:rPr>
        <w:t>4</w:t>
      </w:r>
      <w:r>
        <w:rPr>
          <w:rFonts w:hint="eastAsia" w:ascii="宋体" w:hAnsi="宋体" w:eastAsia="宋体" w:cs="宋体"/>
          <w:snapToGrid w:val="0"/>
          <w:color w:val="auto"/>
          <w:spacing w:val="0"/>
          <w:kern w:val="21"/>
          <w:sz w:val="24"/>
          <w:szCs w:val="24"/>
          <w:highlight w:val="none"/>
        </w:rPr>
        <w:t>.1 关于评标活动暂停</w:t>
      </w:r>
    </w:p>
    <w:p w14:paraId="455944C1">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lang w:val="en-US" w:eastAsia="zh-CN"/>
        </w:rPr>
        <w:t>4</w:t>
      </w:r>
      <w:r>
        <w:rPr>
          <w:rFonts w:hint="eastAsia" w:ascii="宋体" w:hAnsi="宋体" w:eastAsia="宋体" w:cs="宋体"/>
          <w:snapToGrid w:val="0"/>
          <w:color w:val="auto"/>
          <w:spacing w:val="0"/>
          <w:kern w:val="21"/>
          <w:sz w:val="24"/>
          <w:szCs w:val="24"/>
          <w:highlight w:val="none"/>
        </w:rPr>
        <w:t>.1.1评标委员会应当执行连续评标的原则，按评标办法中规定的程序、内容、方法、标准完成全部评标工作。只有发生不可抗力导致评标工作无法继续时，评标活动方可暂停。</w:t>
      </w:r>
    </w:p>
    <w:p w14:paraId="6DBF3DB6">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lang w:val="en-US" w:eastAsia="zh-CN"/>
        </w:rPr>
        <w:t>4</w:t>
      </w:r>
      <w:r>
        <w:rPr>
          <w:rFonts w:hint="eastAsia" w:ascii="宋体" w:hAnsi="宋体" w:eastAsia="宋体" w:cs="宋体"/>
          <w:snapToGrid w:val="0"/>
          <w:color w:val="auto"/>
          <w:spacing w:val="0"/>
          <w:kern w:val="21"/>
          <w:sz w:val="24"/>
          <w:szCs w:val="24"/>
          <w:highlight w:val="none"/>
        </w:rPr>
        <w:t>.1.2发生评标暂停情况时，评标委员会应当封存全部投标文件和评标记录，待不可抗力的影响结束且具备继续评标的条件时，由原评标委员会继续评标。</w:t>
      </w:r>
    </w:p>
    <w:p w14:paraId="74F05001">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lang w:val="en-US" w:eastAsia="zh-CN"/>
        </w:rPr>
        <w:t>4</w:t>
      </w:r>
      <w:r>
        <w:rPr>
          <w:rFonts w:hint="eastAsia" w:ascii="宋体" w:hAnsi="宋体" w:eastAsia="宋体" w:cs="宋体"/>
          <w:snapToGrid w:val="0"/>
          <w:color w:val="auto"/>
          <w:spacing w:val="0"/>
          <w:kern w:val="21"/>
          <w:sz w:val="24"/>
          <w:szCs w:val="24"/>
          <w:highlight w:val="none"/>
        </w:rPr>
        <w:t>.2 关于评标中途更换评委</w:t>
      </w:r>
    </w:p>
    <w:p w14:paraId="11DA7509">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lang w:val="en-US" w:eastAsia="zh-CN"/>
        </w:rPr>
        <w:t>4</w:t>
      </w:r>
      <w:r>
        <w:rPr>
          <w:rFonts w:hint="eastAsia" w:ascii="宋体" w:hAnsi="宋体" w:eastAsia="宋体" w:cs="宋体"/>
          <w:snapToGrid w:val="0"/>
          <w:color w:val="auto"/>
          <w:spacing w:val="0"/>
          <w:kern w:val="21"/>
          <w:sz w:val="24"/>
          <w:szCs w:val="24"/>
          <w:highlight w:val="none"/>
        </w:rPr>
        <w:t>.2.1 除非发生下列情况之一，评标委员会成员不得在评标中途更换：</w:t>
      </w:r>
    </w:p>
    <w:p w14:paraId="4977EC8C">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(1) 因不可抗拒的客观原因，不能到场或需在评标中途退出评标活动。</w:t>
      </w:r>
    </w:p>
    <w:p w14:paraId="06978617">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rPr>
        <w:t>(2) 根据法律法规规定，某个或某几个评标委员会成员需要回避。</w:t>
      </w:r>
    </w:p>
    <w:p w14:paraId="18C92BF8">
      <w:pPr>
        <w:ind w:firstLine="480" w:firstLineChars="200"/>
        <w:jc w:val="left"/>
        <w:rPr>
          <w:rFonts w:hint="eastAsia" w:ascii="宋体" w:hAnsi="宋体" w:eastAsia="宋体" w:cs="宋体"/>
          <w:snapToGrid w:val="0"/>
          <w:color w:val="auto"/>
          <w:spacing w:val="0"/>
          <w:kern w:val="21"/>
          <w:sz w:val="24"/>
          <w:szCs w:val="24"/>
          <w:highlight w:val="none"/>
        </w:rPr>
      </w:pPr>
      <w:r>
        <w:rPr>
          <w:rFonts w:hint="eastAsia" w:ascii="宋体" w:hAnsi="宋体" w:eastAsia="宋体" w:cs="宋体"/>
          <w:snapToGrid w:val="0"/>
          <w:color w:val="auto"/>
          <w:spacing w:val="0"/>
          <w:kern w:val="21"/>
          <w:sz w:val="24"/>
          <w:szCs w:val="24"/>
          <w:highlight w:val="none"/>
          <w:lang w:val="en-US" w:eastAsia="zh-CN"/>
        </w:rPr>
        <w:t>4</w:t>
      </w:r>
      <w:r>
        <w:rPr>
          <w:rFonts w:hint="eastAsia" w:ascii="宋体" w:hAnsi="宋体" w:eastAsia="宋体" w:cs="宋体"/>
          <w:snapToGrid w:val="0"/>
          <w:color w:val="auto"/>
          <w:spacing w:val="0"/>
          <w:kern w:val="21"/>
          <w:sz w:val="24"/>
          <w:szCs w:val="24"/>
          <w:highlight w:val="none"/>
        </w:rPr>
        <w:t>.2.2退出评标的评标委员会成员，其已完成的评标行为无效。由</w:t>
      </w:r>
      <w:r>
        <w:rPr>
          <w:rFonts w:hint="eastAsia" w:ascii="宋体" w:hAnsi="宋体" w:eastAsia="宋体" w:cs="宋体"/>
          <w:snapToGrid w:val="0"/>
          <w:color w:val="auto"/>
          <w:spacing w:val="0"/>
          <w:kern w:val="21"/>
          <w:sz w:val="24"/>
          <w:szCs w:val="24"/>
          <w:highlight w:val="none"/>
          <w:lang w:eastAsia="zh-CN"/>
        </w:rPr>
        <w:t>采购人</w:t>
      </w:r>
      <w:r>
        <w:rPr>
          <w:rFonts w:hint="eastAsia" w:ascii="宋体" w:hAnsi="宋体" w:eastAsia="宋体" w:cs="宋体"/>
          <w:snapToGrid w:val="0"/>
          <w:color w:val="auto"/>
          <w:spacing w:val="0"/>
          <w:kern w:val="21"/>
          <w:sz w:val="24"/>
          <w:szCs w:val="24"/>
          <w:highlight w:val="none"/>
        </w:rPr>
        <w:t>根据本招标文件规定的评标委员会成员生产方式另行确定替代者进行评标。</w:t>
      </w:r>
    </w:p>
    <w:p w14:paraId="370CB5A5">
      <w:pPr>
        <w:jc w:val="center"/>
        <w:rPr>
          <w:rFonts w:hint="eastAsia" w:ascii="宋体" w:hAnsi="宋体" w:eastAsia="宋体" w:cs="宋体"/>
          <w:snapToGrid w:val="0"/>
          <w:color w:val="auto"/>
          <w:spacing w:val="0"/>
          <w:kern w:val="21"/>
        </w:rPr>
      </w:pPr>
      <w:bookmarkStart w:id="82" w:name="_Toc485222557"/>
      <w:r>
        <w:rPr>
          <w:rFonts w:hint="eastAsia" w:ascii="宋体" w:hAnsi="宋体" w:eastAsia="宋体" w:cs="宋体"/>
          <w:snapToGrid w:val="0"/>
          <w:color w:val="auto"/>
          <w:spacing w:val="0"/>
          <w:kern w:val="21"/>
        </w:rPr>
        <w:br w:type="page"/>
      </w:r>
      <w:r>
        <w:rPr>
          <w:rFonts w:hint="eastAsia" w:ascii="宋体" w:hAnsi="宋体" w:eastAsia="宋体" w:cs="宋体"/>
          <w:b/>
          <w:bCs/>
          <w:snapToGrid w:val="0"/>
          <w:color w:val="auto"/>
          <w:spacing w:val="0"/>
          <w:kern w:val="21"/>
          <w:sz w:val="36"/>
          <w:szCs w:val="40"/>
        </w:rPr>
        <w:t>第</w:t>
      </w:r>
      <w:r>
        <w:rPr>
          <w:rFonts w:hint="eastAsia" w:ascii="宋体" w:hAnsi="宋体" w:eastAsia="宋体" w:cs="宋体"/>
          <w:b/>
          <w:bCs/>
          <w:snapToGrid w:val="0"/>
          <w:color w:val="auto"/>
          <w:spacing w:val="0"/>
          <w:kern w:val="21"/>
          <w:sz w:val="36"/>
          <w:szCs w:val="40"/>
          <w:lang w:val="en-US" w:eastAsia="zh-CN"/>
        </w:rPr>
        <w:t>五章</w:t>
      </w:r>
      <w:r>
        <w:rPr>
          <w:rFonts w:hint="eastAsia" w:ascii="宋体" w:hAnsi="宋体" w:eastAsia="宋体" w:cs="宋体"/>
          <w:b/>
          <w:bCs/>
          <w:snapToGrid w:val="0"/>
          <w:color w:val="auto"/>
          <w:spacing w:val="0"/>
          <w:kern w:val="21"/>
          <w:sz w:val="36"/>
          <w:szCs w:val="40"/>
        </w:rPr>
        <w:t xml:space="preserve">  合同条款及格式</w:t>
      </w:r>
      <w:bookmarkEnd w:id="82"/>
    </w:p>
    <w:p w14:paraId="5FEAFDBD">
      <w:pPr>
        <w:adjustRightInd w:val="0"/>
        <w:snapToGrid w:val="0"/>
        <w:spacing w:line="420" w:lineRule="exact"/>
        <w:ind w:firstLine="562" w:firstLineChars="200"/>
        <w:jc w:val="center"/>
        <w:rPr>
          <w:rFonts w:hint="eastAsia" w:ascii="宋体" w:hAnsi="宋体" w:eastAsia="宋体" w:cs="宋体"/>
          <w:b/>
          <w:snapToGrid w:val="0"/>
          <w:color w:val="auto"/>
          <w:spacing w:val="0"/>
          <w:kern w:val="21"/>
          <w:sz w:val="28"/>
          <w:szCs w:val="28"/>
        </w:rPr>
      </w:pPr>
      <w:bookmarkStart w:id="83" w:name="_Toc351203484"/>
    </w:p>
    <w:p w14:paraId="7C348634">
      <w:pPr>
        <w:widowControl/>
        <w:snapToGrid w:val="0"/>
        <w:spacing w:line="480" w:lineRule="exact"/>
        <w:ind w:firstLine="482" w:firstLineChars="200"/>
        <w:jc w:val="center"/>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w:t>
      </w:r>
      <w:r>
        <w:rPr>
          <w:rFonts w:hint="eastAsia" w:ascii="宋体" w:hAnsi="宋体" w:eastAsia="宋体" w:cs="宋体"/>
          <w:b/>
          <w:bCs/>
          <w:color w:val="auto"/>
          <w:sz w:val="24"/>
          <w:highlight w:val="none"/>
        </w:rPr>
        <w:t>合同格式仅供参考，采购人可根据采购项目的实际情况增减条款和内容）</w:t>
      </w:r>
    </w:p>
    <w:p w14:paraId="500BC818">
      <w:pPr>
        <w:spacing w:line="360" w:lineRule="auto"/>
        <w:ind w:firstLine="480" w:firstLineChars="200"/>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（本合同仅供参考）</w:t>
      </w:r>
    </w:p>
    <w:p w14:paraId="694F281A">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合同编号：</w:t>
      </w:r>
    </w:p>
    <w:p w14:paraId="6A4DCD1C">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签订地点：</w:t>
      </w:r>
    </w:p>
    <w:p w14:paraId="75CF7042">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签订时间：</w:t>
      </w:r>
    </w:p>
    <w:p w14:paraId="22F6B40E">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采购人（甲方）：</w:t>
      </w:r>
    </w:p>
    <w:p w14:paraId="43AE89C3">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供应商（乙方）：</w:t>
      </w:r>
    </w:p>
    <w:p w14:paraId="1480A2DD">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根据《中华人民共和国政府采购法》、《中华人民共和国</w:t>
      </w:r>
      <w:r>
        <w:rPr>
          <w:rFonts w:hint="eastAsia" w:ascii="宋体" w:hAnsi="宋体" w:eastAsia="宋体" w:cs="宋体"/>
          <w:bCs/>
          <w:color w:val="auto"/>
          <w:sz w:val="24"/>
          <w:szCs w:val="24"/>
          <w:lang w:val="en-US" w:eastAsia="zh-CN"/>
        </w:rPr>
        <w:t>民法典</w:t>
      </w:r>
      <w:r>
        <w:rPr>
          <w:rFonts w:hint="eastAsia" w:ascii="宋体" w:hAnsi="宋体" w:eastAsia="宋体" w:cs="宋体"/>
          <w:bCs/>
          <w:color w:val="auto"/>
          <w:sz w:val="24"/>
          <w:szCs w:val="24"/>
        </w:rPr>
        <w:t>》及</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rPr>
        <w:t>（项目名称）（项目编号： ）的《招标文件》、乙方的《投标文件》及《中标通知书》，甲、乙双方同意签订本合同。本项目的招标文件、投标文件、《中标通知书》等均为本合同不可分割的部分。</w:t>
      </w:r>
    </w:p>
    <w:p w14:paraId="36AE4B52">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一、服务内容：</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rPr>
        <w:t>；</w:t>
      </w:r>
    </w:p>
    <w:p w14:paraId="78388F6C">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二、服务周期：</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rPr>
        <w:t>；</w:t>
      </w:r>
    </w:p>
    <w:p w14:paraId="22510814">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三、</w:t>
      </w:r>
      <w:r>
        <w:rPr>
          <w:rFonts w:hint="eastAsia" w:ascii="宋体" w:hAnsi="宋体" w:cs="宋体"/>
          <w:bCs/>
          <w:color w:val="auto"/>
          <w:sz w:val="24"/>
          <w:szCs w:val="24"/>
          <w:lang w:eastAsia="zh-CN"/>
        </w:rPr>
        <w:t>配送地点</w:t>
      </w:r>
      <w:r>
        <w:rPr>
          <w:rFonts w:hint="eastAsia" w:ascii="宋体" w:hAnsi="宋体" w:eastAsia="宋体" w:cs="宋体"/>
          <w:bCs/>
          <w:color w:val="auto"/>
          <w:sz w:val="24"/>
          <w:szCs w:val="24"/>
        </w:rPr>
        <w:t>：</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rPr>
        <w:t>；</w:t>
      </w:r>
    </w:p>
    <w:p w14:paraId="30CEA7BC">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四、产品质保：</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rPr>
        <w:t>；</w:t>
      </w:r>
    </w:p>
    <w:p w14:paraId="60DE716F">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五、产品单价：</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rPr>
        <w:t>；</w:t>
      </w:r>
    </w:p>
    <w:p w14:paraId="32450BE7">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六、产品数量：</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rPr>
        <w:t>；</w:t>
      </w:r>
    </w:p>
    <w:p w14:paraId="51FF808D">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七、质量要求</w:t>
      </w:r>
    </w:p>
    <w:p w14:paraId="6C64DF2F">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1、乙方须按提供全新的货物。</w:t>
      </w:r>
    </w:p>
    <w:p w14:paraId="68460774">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2、货物必须符合或优于国家（行业）标准，以及本项目招标文件的质量要求和技术指标与出厂标准。</w:t>
      </w:r>
    </w:p>
    <w:p w14:paraId="5743D9C5">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3、乙方须在本合同签订之日起</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日内送交开始供货，并提供成品样品给甲方确认，在甲方出具样品确认书并封存成品样品后，乙方才能按样供货，并以此样品作为验收样品；每台货物上均应有产品质量检验合格标志。</w:t>
      </w:r>
    </w:p>
    <w:p w14:paraId="1F394D5E">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4、货物制造质量出现问题，乙方应负责三包（保修、包换、包退），费用由乙方负担，甲方有权到乙方生产场地检查货物质量和生产进度。</w:t>
      </w:r>
    </w:p>
    <w:p w14:paraId="040C7002">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5</w:t>
      </w:r>
      <w:r>
        <w:rPr>
          <w:rFonts w:hint="eastAsia" w:ascii="宋体" w:hAnsi="宋体" w:eastAsia="宋体" w:cs="宋体"/>
          <w:bCs/>
          <w:color w:val="auto"/>
          <w:sz w:val="24"/>
          <w:szCs w:val="24"/>
        </w:rPr>
        <w:t>、调换：接到采购方的订单同时后，个别品种因缺货而不能按时送达，乙方应及时通知采购方并协商解决，以确保采购方所需物资能按时按量送到。</w:t>
      </w:r>
    </w:p>
    <w:p w14:paraId="773AA225">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6</w:t>
      </w:r>
      <w:r>
        <w:rPr>
          <w:rFonts w:hint="eastAsia" w:ascii="宋体" w:hAnsi="宋体" w:eastAsia="宋体" w:cs="宋体"/>
          <w:bCs/>
          <w:color w:val="auto"/>
          <w:sz w:val="24"/>
          <w:szCs w:val="24"/>
        </w:rPr>
        <w:t>、严禁提供假冒、变质、过期和转基因的产品。</w:t>
      </w:r>
    </w:p>
    <w:p w14:paraId="63B7432E">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7</w:t>
      </w:r>
      <w:r>
        <w:rPr>
          <w:rFonts w:hint="eastAsia" w:ascii="宋体" w:hAnsi="宋体" w:eastAsia="宋体" w:cs="宋体"/>
          <w:bCs/>
          <w:color w:val="auto"/>
          <w:sz w:val="24"/>
          <w:szCs w:val="24"/>
        </w:rPr>
        <w:t>、货物接收方在验收的过程中，如发现乙方提供的商品存在数量、质量问题时，可直接要求乙方更换同量同类的优质商品，并以书面方式报局单位备案，由局单位视情况对乙方处以</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rPr>
        <w:t>元人民币罚款，如三次（含）以上发生同类事件，经</w:t>
      </w:r>
      <w:r>
        <w:rPr>
          <w:rFonts w:hint="eastAsia" w:ascii="宋体" w:hAnsi="宋体" w:cs="宋体"/>
          <w:bCs/>
          <w:color w:val="auto"/>
          <w:sz w:val="24"/>
          <w:szCs w:val="24"/>
          <w:lang w:eastAsia="zh-CN"/>
        </w:rPr>
        <w:t>卢氏县养老服务中心</w:t>
      </w:r>
      <w:r>
        <w:rPr>
          <w:rFonts w:hint="eastAsia" w:ascii="宋体" w:hAnsi="宋体" w:eastAsia="宋体" w:cs="宋体"/>
          <w:bCs/>
          <w:color w:val="auto"/>
          <w:sz w:val="24"/>
          <w:szCs w:val="24"/>
        </w:rPr>
        <w:t>调查属实的，可取消乙方供货资格。</w:t>
      </w:r>
    </w:p>
    <w:p w14:paraId="5C3C3CAF">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8</w:t>
      </w:r>
      <w:r>
        <w:rPr>
          <w:rFonts w:hint="eastAsia" w:ascii="宋体" w:hAnsi="宋体" w:eastAsia="宋体" w:cs="宋体"/>
          <w:bCs/>
          <w:color w:val="auto"/>
          <w:sz w:val="24"/>
          <w:szCs w:val="24"/>
        </w:rPr>
        <w:t>、甲方应为乙方提供的货物准备良好的储存场地。</w:t>
      </w:r>
    </w:p>
    <w:p w14:paraId="68A6B768">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八、运储条件</w:t>
      </w:r>
    </w:p>
    <w:p w14:paraId="2000CCFE">
      <w:pPr>
        <w:spacing w:line="360" w:lineRule="auto"/>
        <w:ind w:firstLine="480" w:firstLineChars="200"/>
        <w:rPr>
          <w:rFonts w:hint="eastAsia" w:ascii="宋体" w:hAnsi="宋体" w:eastAsia="宋体"/>
          <w:color w:val="auto"/>
          <w:sz w:val="24"/>
          <w:szCs w:val="24"/>
          <w:lang w:eastAsia="zh-CN"/>
        </w:rPr>
      </w:pPr>
      <w:r>
        <w:rPr>
          <w:rFonts w:hint="eastAsia" w:ascii="宋体" w:hAnsi="宋体" w:eastAsia="宋体"/>
          <w:color w:val="auto"/>
          <w:sz w:val="24"/>
          <w:szCs w:val="24"/>
        </w:rPr>
        <w:t>投标供应商须设有固定合法的配送地点或经营场所，具备单独符合条件的运输车辆</w:t>
      </w:r>
      <w:r>
        <w:rPr>
          <w:rFonts w:hint="eastAsia" w:ascii="宋体" w:hAnsi="宋体" w:eastAsia="宋体"/>
          <w:color w:val="auto"/>
          <w:sz w:val="24"/>
          <w:szCs w:val="24"/>
          <w:lang w:val="en-US" w:eastAsia="zh-CN"/>
        </w:rPr>
        <w:t>设备</w:t>
      </w:r>
      <w:r>
        <w:rPr>
          <w:rFonts w:hint="eastAsia" w:ascii="宋体" w:hAnsi="宋体" w:eastAsia="宋体"/>
          <w:color w:val="auto"/>
          <w:sz w:val="24"/>
          <w:szCs w:val="24"/>
        </w:rPr>
        <w:t>并具有专业人员配送（须提供从业人员健康证，含临时配送、紧急配送）、良好信誉和售后服务能力，如果在项目运行过程中，投标人出现项目转让、委托配送的情况，业主可以立即中止项目服务合同</w:t>
      </w:r>
      <w:r>
        <w:rPr>
          <w:rFonts w:hint="eastAsia" w:ascii="宋体" w:hAnsi="宋体" w:eastAsia="宋体"/>
          <w:color w:val="auto"/>
          <w:sz w:val="24"/>
          <w:szCs w:val="24"/>
          <w:lang w:eastAsia="zh-CN"/>
        </w:rPr>
        <w:t>。</w:t>
      </w:r>
    </w:p>
    <w:p w14:paraId="23D88083">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bCs/>
          <w:color w:val="auto"/>
          <w:sz w:val="24"/>
          <w:szCs w:val="24"/>
        </w:rPr>
        <w:t>九、供货方式</w:t>
      </w:r>
    </w:p>
    <w:p w14:paraId="529E052F">
      <w:pPr>
        <w:spacing w:line="360" w:lineRule="auto"/>
        <w:ind w:firstLine="480" w:firstLineChars="200"/>
        <w:rPr>
          <w:rFonts w:hint="default" w:ascii="宋体" w:hAnsi="宋体" w:eastAsia="宋体" w:cs="宋体"/>
          <w:bCs/>
          <w:color w:val="auto"/>
          <w:sz w:val="24"/>
          <w:szCs w:val="24"/>
          <w:u w:val="single"/>
          <w:lang w:val="en-US" w:eastAsia="zh-CN"/>
        </w:rPr>
      </w:pP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u w:val="none"/>
          <w:lang w:val="en-US" w:eastAsia="zh-CN"/>
        </w:rPr>
        <w:t>。</w:t>
      </w:r>
    </w:p>
    <w:p w14:paraId="7473C7D9">
      <w:pPr>
        <w:spacing w:line="360" w:lineRule="auto"/>
        <w:ind w:firstLine="480" w:firstLineChars="200"/>
        <w:rPr>
          <w:rFonts w:ascii="宋体" w:hAnsi="宋体" w:eastAsia="宋体" w:cs="宋体"/>
          <w:bCs/>
          <w:color w:val="auto"/>
          <w:sz w:val="24"/>
          <w:szCs w:val="24"/>
        </w:rPr>
      </w:pPr>
    </w:p>
    <w:p w14:paraId="6ED358A4">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十、验收及付款</w:t>
      </w:r>
    </w:p>
    <w:p w14:paraId="214B656E">
      <w:pPr>
        <w:spacing w:line="360" w:lineRule="auto"/>
        <w:ind w:firstLine="480" w:firstLineChars="200"/>
        <w:rPr>
          <w:rFonts w:hint="default" w:ascii="宋体" w:hAnsi="宋体" w:eastAsia="宋体" w:cs="宋体"/>
          <w:bCs/>
          <w:color w:val="auto"/>
          <w:sz w:val="24"/>
          <w:szCs w:val="24"/>
          <w:u w:val="single"/>
          <w:lang w:val="en-US" w:eastAsia="zh-CN"/>
        </w:rPr>
      </w:pP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u w:val="none"/>
          <w:lang w:val="en-US" w:eastAsia="zh-CN"/>
        </w:rPr>
        <w:t>。</w:t>
      </w:r>
    </w:p>
    <w:p w14:paraId="6C6ECD44">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十一、违约责任</w:t>
      </w:r>
    </w:p>
    <w:p w14:paraId="641971F8">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1、甲方的违约责任</w:t>
      </w:r>
    </w:p>
    <w:p w14:paraId="461F208D">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（1）甲方无正当理由拒收货物的，甲方应偿付合同总价百分之</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rPr>
        <w:t>的违约金；</w:t>
      </w:r>
    </w:p>
    <w:p w14:paraId="5E88C6F5">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（2）甲方逾期支付货款的，除应及时付足货款外，应向乙方偿付欠款总额万分之</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rPr>
        <w:t>/天的违约金逾期付款超过</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rPr>
        <w:t>天的，乙方有权终止合同；</w:t>
      </w:r>
    </w:p>
    <w:p w14:paraId="4D37EFEC">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2、乙方违约责任</w:t>
      </w:r>
    </w:p>
    <w:p w14:paraId="0F34DE17">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（1）乙方交付的货物质量不符合合同规定的，乙方应向甲方支付合同总价的百分之 的违约金，并须在合同规定的交货时间内更换合格的货物给甲方，否则，视作乙方不能交付货物而违约。</w:t>
      </w:r>
    </w:p>
    <w:p w14:paraId="7BB9E3B8">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（2）合同期内，中标企业因食品质量或其他原因造成违约行为或一般安全事故以上的，应勒令整改或终止合约，并处罚金。</w:t>
      </w:r>
    </w:p>
    <w:p w14:paraId="24018FC6">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（3）乙方货物经甲方送交具有法定资格条件的质量技术监督机构检测后，如检测结果认定货物质量不符合本合同规定标准的，如逾期不能更换合格的货物，甲方有权终止本合同，乙方应另付合同总价的百分之</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的赔偿金给甲方。</w:t>
      </w:r>
    </w:p>
    <w:p w14:paraId="1D024589">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（4）乙方保证本合同货物的质量安全无害，并符合《中华人民共和国消费者权益保护法》、《中华人民共和国计量法》等相关法律、法规的要求。</w:t>
      </w:r>
    </w:p>
    <w:p w14:paraId="65217B47">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（5）乙方偿付的违约金不足弥补甲方损失的，还应按甲方损失尚未弥补的部分支付赔偿金给甲方。</w:t>
      </w:r>
    </w:p>
    <w:p w14:paraId="13E2BE40">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（6）安全责任：由于乙方货物质量造成的安全质量事故，乙方应全权负责；</w:t>
      </w:r>
    </w:p>
    <w:p w14:paraId="5E5A4CD2">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（7）运输安全：乙方应确保配送运输过程中的安全。</w:t>
      </w:r>
    </w:p>
    <w:p w14:paraId="57303A08">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十二、争议解决办法</w:t>
      </w:r>
    </w:p>
    <w:p w14:paraId="4D648206">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1、因货物的质量问题发生争议，由质量技术监督部门或其指定的技术质检部门进行质量鉴定。货物符合标准，鉴定费由甲方承担；货物不符合质量标准的，鉴定费由乙方承担。</w:t>
      </w:r>
    </w:p>
    <w:p w14:paraId="2BF1F44C">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2、合同履行期间，若双方发生争议，可协商或由有关部门调解解决，协商或调解不成的，由当事人依法维护其合法权益。</w:t>
      </w:r>
    </w:p>
    <w:p w14:paraId="0C1EEB28">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十三、其他</w:t>
      </w:r>
    </w:p>
    <w:p w14:paraId="0704BD5A">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1、如有未尽事宜，由双方依法订立补充合同。</w:t>
      </w:r>
    </w:p>
    <w:p w14:paraId="67F1D3E3">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2、本合同一式六份，自双方签章之日起生效。甲方三份，乙方</w:t>
      </w:r>
      <w:r>
        <w:rPr>
          <w:rFonts w:hint="eastAsia" w:ascii="宋体" w:hAnsi="宋体" w:eastAsia="宋体" w:cs="宋体"/>
          <w:bCs/>
          <w:color w:val="auto"/>
          <w:sz w:val="24"/>
          <w:szCs w:val="24"/>
          <w:lang w:eastAsia="zh-CN"/>
        </w:rPr>
        <w:t>三</w:t>
      </w:r>
      <w:r>
        <w:rPr>
          <w:rFonts w:hint="eastAsia" w:ascii="宋体" w:hAnsi="宋体" w:eastAsia="宋体" w:cs="宋体"/>
          <w:bCs/>
          <w:color w:val="auto"/>
          <w:sz w:val="24"/>
          <w:szCs w:val="24"/>
        </w:rPr>
        <w:t>份。</w:t>
      </w:r>
    </w:p>
    <w:p w14:paraId="168AA51D">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甲方：（盖章）</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 xml:space="preserve"> </w:t>
      </w:r>
      <w:r>
        <w:rPr>
          <w:rFonts w:hint="eastAsia" w:ascii="宋体" w:hAnsi="宋体" w:eastAsia="宋体" w:cs="宋体"/>
          <w:bCs/>
          <w:color w:val="auto"/>
          <w:sz w:val="24"/>
          <w:szCs w:val="24"/>
          <w:lang w:eastAsia="zh-CN"/>
        </w:rPr>
        <w:t>乙</w:t>
      </w:r>
      <w:r>
        <w:rPr>
          <w:rFonts w:hint="eastAsia" w:ascii="宋体" w:hAnsi="宋体" w:eastAsia="宋体" w:cs="宋体"/>
          <w:bCs/>
          <w:color w:val="auto"/>
          <w:sz w:val="24"/>
          <w:szCs w:val="24"/>
        </w:rPr>
        <w:t>方：（盖章）</w:t>
      </w:r>
      <w:r>
        <w:rPr>
          <w:rFonts w:hint="eastAsia" w:ascii="宋体" w:hAnsi="宋体" w:eastAsia="宋体" w:cs="宋体"/>
          <w:bCs/>
          <w:color w:val="auto"/>
          <w:sz w:val="24"/>
          <w:szCs w:val="24"/>
          <w:lang w:val="en-US" w:eastAsia="zh-CN"/>
        </w:rPr>
        <w:t xml:space="preserve">  </w:t>
      </w:r>
    </w:p>
    <w:p w14:paraId="32F30E4C">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 xml:space="preserve">地址： </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地址：</w:t>
      </w:r>
    </w:p>
    <w:p w14:paraId="3D78A1A1">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 xml:space="preserve">法定代表人： </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法定代表人：</w:t>
      </w:r>
    </w:p>
    <w:p w14:paraId="60D2B428">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 xml:space="preserve">委托代理人： </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委托代理人：</w:t>
      </w:r>
    </w:p>
    <w:p w14:paraId="4889D2A2">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 xml:space="preserve">电话： </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电话：</w:t>
      </w:r>
    </w:p>
    <w:p w14:paraId="7F820334">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 xml:space="preserve">开户银行： </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开户银行：</w:t>
      </w:r>
    </w:p>
    <w:p w14:paraId="4B59E588">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 xml:space="preserve">帐号： </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账户：</w:t>
      </w:r>
    </w:p>
    <w:p w14:paraId="3D088109">
      <w:pPr>
        <w:spacing w:line="360" w:lineRule="auto"/>
        <w:ind w:firstLine="480" w:firstLineChars="200"/>
        <w:rPr>
          <w:rFonts w:ascii="宋体" w:hAnsi="宋体" w:eastAsia="宋体" w:cs="宋体"/>
          <w:bCs/>
          <w:color w:val="auto"/>
          <w:sz w:val="24"/>
          <w:szCs w:val="24"/>
        </w:rPr>
      </w:pPr>
      <w:r>
        <w:rPr>
          <w:rFonts w:hint="eastAsia" w:ascii="宋体" w:hAnsi="宋体" w:eastAsia="宋体" w:cs="宋体"/>
          <w:bCs/>
          <w:color w:val="auto"/>
          <w:sz w:val="24"/>
          <w:szCs w:val="24"/>
        </w:rPr>
        <w:t>签约时间： 年 月 日</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 xml:space="preserve"> 年 月 日</w:t>
      </w:r>
    </w:p>
    <w:p w14:paraId="562EE172">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注</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以上合同格式仅供</w:t>
      </w:r>
      <w:r>
        <w:rPr>
          <w:rFonts w:hint="eastAsia" w:ascii="宋体" w:hAnsi="宋体" w:eastAsia="宋体" w:cs="宋体"/>
          <w:bCs/>
          <w:color w:val="auto"/>
          <w:sz w:val="24"/>
          <w:szCs w:val="24"/>
          <w:lang w:eastAsia="zh-CN"/>
        </w:rPr>
        <w:t>采购人</w:t>
      </w:r>
      <w:r>
        <w:rPr>
          <w:rFonts w:hint="eastAsia" w:ascii="宋体" w:hAnsi="宋体" w:eastAsia="宋体" w:cs="宋体"/>
          <w:bCs/>
          <w:color w:val="auto"/>
          <w:sz w:val="24"/>
          <w:szCs w:val="24"/>
        </w:rPr>
        <w:t>和中标单位参考，</w:t>
      </w:r>
      <w:r>
        <w:rPr>
          <w:rFonts w:hint="eastAsia" w:ascii="宋体" w:hAnsi="宋体" w:eastAsia="宋体" w:cs="宋体"/>
          <w:bCs/>
          <w:color w:val="auto"/>
          <w:sz w:val="24"/>
          <w:szCs w:val="24"/>
          <w:lang w:eastAsia="zh-CN"/>
        </w:rPr>
        <w:t>采购人</w:t>
      </w:r>
      <w:r>
        <w:rPr>
          <w:rFonts w:hint="eastAsia" w:ascii="宋体" w:hAnsi="宋体" w:eastAsia="宋体" w:cs="宋体"/>
          <w:bCs/>
          <w:color w:val="auto"/>
          <w:sz w:val="24"/>
          <w:szCs w:val="24"/>
        </w:rPr>
        <w:t xml:space="preserve">和中标单位应根据实际情况自行增加、减少和修改合同的相应条款和约束内容。  </w:t>
      </w:r>
    </w:p>
    <w:p w14:paraId="0F57AB9C">
      <w:pPr>
        <w:spacing w:line="360" w:lineRule="auto"/>
        <w:ind w:firstLine="480" w:firstLineChars="200"/>
        <w:rPr>
          <w:rFonts w:hint="eastAsia" w:ascii="宋体" w:hAnsi="宋体" w:eastAsia="宋体" w:cs="宋体"/>
          <w:bCs/>
          <w:color w:val="auto"/>
          <w:sz w:val="24"/>
          <w:szCs w:val="24"/>
        </w:rPr>
        <w:sectPr>
          <w:footerReference r:id="rId10" w:type="default"/>
          <w:pgSz w:w="11906" w:h="16838"/>
          <w:pgMar w:top="1440" w:right="1440" w:bottom="1440" w:left="1440" w:header="851" w:footer="992" w:gutter="0"/>
          <w:pgNumType w:fmt="decimal" w:start="1"/>
          <w:cols w:space="720" w:num="1"/>
          <w:docGrid w:type="lines" w:linePitch="312" w:charSpace="0"/>
        </w:sectPr>
      </w:pPr>
    </w:p>
    <w:bookmarkEnd w:id="83"/>
    <w:p w14:paraId="4F855D66">
      <w:pPr>
        <w:jc w:val="center"/>
        <w:rPr>
          <w:rFonts w:hint="eastAsia" w:ascii="宋体" w:hAnsi="宋体" w:eastAsia="宋体" w:cs="宋体"/>
          <w:snapToGrid w:val="0"/>
          <w:color w:val="auto"/>
          <w:spacing w:val="0"/>
          <w:kern w:val="21"/>
        </w:rPr>
      </w:pPr>
      <w:bookmarkStart w:id="84" w:name="_Toc468276940"/>
      <w:bookmarkStart w:id="85" w:name="_Toc485222560"/>
      <w:r>
        <w:rPr>
          <w:rFonts w:hint="eastAsia" w:ascii="宋体" w:hAnsi="宋体" w:eastAsia="宋体" w:cs="宋体"/>
          <w:b/>
          <w:snapToGrid w:val="0"/>
          <w:color w:val="auto"/>
          <w:spacing w:val="0"/>
          <w:kern w:val="21"/>
          <w:sz w:val="36"/>
        </w:rPr>
        <w:t>第六</w:t>
      </w:r>
      <w:r>
        <w:rPr>
          <w:rFonts w:hint="eastAsia" w:ascii="宋体" w:hAnsi="宋体" w:eastAsia="宋体" w:cs="宋体"/>
          <w:b/>
          <w:snapToGrid w:val="0"/>
          <w:color w:val="auto"/>
          <w:spacing w:val="0"/>
          <w:kern w:val="21"/>
          <w:sz w:val="36"/>
          <w:lang w:val="en-US" w:eastAsia="zh-CN"/>
        </w:rPr>
        <w:t>章</w:t>
      </w:r>
      <w:r>
        <w:rPr>
          <w:rFonts w:hint="eastAsia" w:ascii="宋体" w:hAnsi="宋体" w:eastAsia="宋体" w:cs="宋体"/>
          <w:b/>
          <w:snapToGrid w:val="0"/>
          <w:color w:val="auto"/>
          <w:spacing w:val="0"/>
          <w:kern w:val="21"/>
          <w:sz w:val="36"/>
        </w:rPr>
        <w:t xml:space="preserve">  </w:t>
      </w:r>
      <w:bookmarkEnd w:id="84"/>
      <w:bookmarkEnd w:id="85"/>
      <w:bookmarkStart w:id="86" w:name="_Toc468276941"/>
      <w:bookmarkStart w:id="87" w:name="_Toc485222561"/>
      <w:r>
        <w:rPr>
          <w:rFonts w:hint="eastAsia" w:ascii="宋体" w:hAnsi="宋体" w:eastAsia="宋体" w:cs="宋体"/>
          <w:b/>
          <w:bCs/>
          <w:snapToGrid w:val="0"/>
          <w:color w:val="auto"/>
          <w:spacing w:val="0"/>
          <w:kern w:val="21"/>
          <w:sz w:val="36"/>
          <w:szCs w:val="40"/>
        </w:rPr>
        <w:t xml:space="preserve">  </w:t>
      </w:r>
      <w:r>
        <w:rPr>
          <w:rFonts w:hint="eastAsia" w:ascii="宋体" w:hAnsi="宋体" w:eastAsia="宋体" w:cs="宋体"/>
          <w:b/>
          <w:bCs/>
          <w:snapToGrid w:val="0"/>
          <w:color w:val="auto"/>
          <w:spacing w:val="0"/>
          <w:kern w:val="21"/>
          <w:sz w:val="36"/>
          <w:szCs w:val="40"/>
          <w:lang w:val="en-US" w:eastAsia="zh-CN"/>
        </w:rPr>
        <w:t>投标</w:t>
      </w:r>
      <w:r>
        <w:rPr>
          <w:rFonts w:hint="eastAsia" w:ascii="宋体" w:hAnsi="宋体" w:eastAsia="宋体" w:cs="宋体"/>
          <w:b/>
          <w:bCs/>
          <w:snapToGrid w:val="0"/>
          <w:color w:val="auto"/>
          <w:spacing w:val="0"/>
          <w:kern w:val="21"/>
          <w:sz w:val="36"/>
          <w:szCs w:val="40"/>
        </w:rPr>
        <w:t>文件格式</w:t>
      </w:r>
      <w:bookmarkEnd w:id="86"/>
      <w:bookmarkEnd w:id="87"/>
    </w:p>
    <w:p w14:paraId="5C48D91A">
      <w:pPr>
        <w:rPr>
          <w:rFonts w:hint="eastAsia" w:ascii="宋体" w:hAnsi="宋体" w:eastAsia="宋体" w:cs="宋体"/>
          <w:snapToGrid w:val="0"/>
          <w:color w:val="auto"/>
          <w:spacing w:val="0"/>
          <w:kern w:val="21"/>
        </w:rPr>
      </w:pPr>
    </w:p>
    <w:p w14:paraId="6197C51E">
      <w:pPr>
        <w:widowControl/>
        <w:spacing w:line="240" w:lineRule="auto"/>
        <w:jc w:val="center"/>
        <w:rPr>
          <w:rFonts w:hint="eastAsia" w:ascii="宋体" w:hAnsi="宋体" w:eastAsia="宋体" w:cs="宋体"/>
          <w:snapToGrid w:val="0"/>
          <w:color w:val="auto"/>
          <w:spacing w:val="0"/>
          <w:kern w:val="21"/>
          <w:sz w:val="24"/>
          <w:szCs w:val="20"/>
        </w:rPr>
      </w:pPr>
    </w:p>
    <w:p w14:paraId="010B1CA1">
      <w:pPr>
        <w:widowControl/>
        <w:spacing w:line="240" w:lineRule="auto"/>
        <w:jc w:val="center"/>
        <w:rPr>
          <w:rFonts w:hint="eastAsia" w:ascii="宋体" w:hAnsi="宋体" w:eastAsia="宋体" w:cs="宋体"/>
          <w:snapToGrid w:val="0"/>
          <w:color w:val="auto"/>
          <w:spacing w:val="0"/>
          <w:kern w:val="21"/>
          <w:sz w:val="24"/>
          <w:szCs w:val="20"/>
        </w:rPr>
      </w:pPr>
    </w:p>
    <w:p w14:paraId="7219DCFE">
      <w:pPr>
        <w:jc w:val="center"/>
        <w:rPr>
          <w:rFonts w:hint="eastAsia" w:ascii="宋体" w:hAnsi="宋体" w:eastAsia="宋体" w:cs="宋体"/>
          <w:b/>
          <w:snapToGrid w:val="0"/>
          <w:color w:val="auto"/>
          <w:spacing w:val="0"/>
          <w:kern w:val="21"/>
          <w:sz w:val="36"/>
        </w:rPr>
      </w:pPr>
    </w:p>
    <w:p w14:paraId="7CB87ACD">
      <w:pPr>
        <w:jc w:val="center"/>
        <w:rPr>
          <w:rFonts w:hint="eastAsia" w:ascii="宋体" w:hAnsi="宋体" w:eastAsia="宋体" w:cs="宋体"/>
          <w:b/>
          <w:snapToGrid w:val="0"/>
          <w:color w:val="auto"/>
          <w:spacing w:val="0"/>
          <w:kern w:val="21"/>
          <w:sz w:val="36"/>
          <w:lang w:eastAsia="zh-CN"/>
        </w:rPr>
      </w:pPr>
      <w:r>
        <w:rPr>
          <w:rFonts w:hint="eastAsia" w:ascii="宋体" w:hAnsi="宋体" w:eastAsia="宋体" w:cs="宋体"/>
          <w:b/>
          <w:snapToGrid w:val="0"/>
          <w:color w:val="auto"/>
          <w:spacing w:val="0"/>
          <w:kern w:val="21"/>
          <w:sz w:val="36"/>
          <w:u w:val="single"/>
        </w:rPr>
        <w:t>（项目名称）</w:t>
      </w:r>
    </w:p>
    <w:p w14:paraId="1978C63F">
      <w:pPr>
        <w:jc w:val="center"/>
        <w:rPr>
          <w:rFonts w:hint="eastAsia" w:ascii="宋体" w:hAnsi="宋体" w:eastAsia="宋体" w:cs="宋体"/>
          <w:b/>
          <w:snapToGrid w:val="0"/>
          <w:color w:val="auto"/>
          <w:spacing w:val="0"/>
          <w:kern w:val="21"/>
          <w:sz w:val="36"/>
        </w:rPr>
      </w:pPr>
    </w:p>
    <w:p w14:paraId="6EC27B6D">
      <w:pPr>
        <w:jc w:val="center"/>
        <w:rPr>
          <w:rFonts w:hint="eastAsia" w:ascii="宋体" w:hAnsi="宋体" w:eastAsia="宋体" w:cs="宋体"/>
          <w:b/>
          <w:snapToGrid w:val="0"/>
          <w:color w:val="auto"/>
          <w:spacing w:val="0"/>
          <w:kern w:val="21"/>
          <w:sz w:val="36"/>
        </w:rPr>
      </w:pPr>
      <w:r>
        <w:rPr>
          <w:rFonts w:hint="eastAsia" w:ascii="宋体" w:hAnsi="宋体" w:eastAsia="宋体" w:cs="宋体"/>
          <w:b/>
          <w:snapToGrid w:val="0"/>
          <w:color w:val="auto"/>
          <w:spacing w:val="0"/>
          <w:kern w:val="21"/>
          <w:sz w:val="36"/>
        </w:rPr>
        <w:t>项目编号：</w:t>
      </w:r>
    </w:p>
    <w:p w14:paraId="6B7E266C">
      <w:pPr>
        <w:jc w:val="center"/>
        <w:rPr>
          <w:rFonts w:hint="eastAsia" w:ascii="宋体" w:hAnsi="宋体" w:eastAsia="宋体" w:cs="宋体"/>
          <w:b/>
          <w:snapToGrid w:val="0"/>
          <w:color w:val="auto"/>
          <w:spacing w:val="0"/>
          <w:kern w:val="21"/>
          <w:sz w:val="36"/>
        </w:rPr>
      </w:pPr>
    </w:p>
    <w:p w14:paraId="18CCBE29">
      <w:pPr>
        <w:spacing w:line="293" w:lineRule="auto"/>
        <w:rPr>
          <w:rFonts w:hint="eastAsia" w:ascii="宋体" w:hAnsi="宋体" w:eastAsia="宋体" w:cs="宋体"/>
          <w:color w:val="auto"/>
          <w:spacing w:val="0"/>
        </w:rPr>
      </w:pPr>
    </w:p>
    <w:p w14:paraId="61EC6699">
      <w:pPr>
        <w:pStyle w:val="3"/>
        <w:rPr>
          <w:rFonts w:hint="eastAsia" w:ascii="宋体" w:hAnsi="宋体" w:eastAsia="宋体" w:cs="宋体"/>
          <w:color w:val="auto"/>
        </w:rPr>
      </w:pPr>
    </w:p>
    <w:p w14:paraId="3B871481">
      <w:pPr>
        <w:pStyle w:val="3"/>
        <w:spacing w:before="231" w:line="223" w:lineRule="auto"/>
        <w:jc w:val="center"/>
        <w:outlineLvl w:val="0"/>
        <w:rPr>
          <w:rFonts w:hint="eastAsia" w:ascii="宋体" w:hAnsi="宋体" w:eastAsia="宋体" w:cs="宋体"/>
          <w:color w:val="auto"/>
          <w:spacing w:val="0"/>
          <w:sz w:val="71"/>
          <w:szCs w:val="71"/>
        </w:rPr>
      </w:pPr>
      <w:r>
        <w:rPr>
          <w:rFonts w:hint="eastAsia" w:ascii="宋体" w:hAnsi="宋体" w:eastAsia="宋体" w:cs="宋体"/>
          <w:color w:val="auto"/>
          <w:spacing w:val="0"/>
          <w:sz w:val="71"/>
          <w:szCs w:val="71"/>
          <w:lang w:val="en-US" w:eastAsia="zh-CN"/>
        </w:rPr>
        <w:t>投 标</w:t>
      </w:r>
      <w:r>
        <w:rPr>
          <w:rFonts w:hint="eastAsia" w:ascii="宋体" w:hAnsi="宋体" w:eastAsia="宋体" w:cs="宋体"/>
          <w:color w:val="auto"/>
          <w:spacing w:val="0"/>
          <w:sz w:val="71"/>
          <w:szCs w:val="71"/>
        </w:rPr>
        <w:t xml:space="preserve"> 文 件</w:t>
      </w:r>
    </w:p>
    <w:p w14:paraId="34B70017">
      <w:pPr>
        <w:spacing w:line="247" w:lineRule="auto"/>
        <w:rPr>
          <w:rFonts w:hint="eastAsia" w:ascii="宋体" w:hAnsi="宋体" w:eastAsia="宋体" w:cs="宋体"/>
          <w:color w:val="auto"/>
          <w:spacing w:val="0"/>
        </w:rPr>
      </w:pPr>
    </w:p>
    <w:p w14:paraId="3CF6EDAA">
      <w:pPr>
        <w:spacing w:line="247" w:lineRule="auto"/>
        <w:rPr>
          <w:rFonts w:hint="eastAsia" w:ascii="宋体" w:hAnsi="宋体" w:eastAsia="宋体" w:cs="宋体"/>
          <w:color w:val="auto"/>
          <w:spacing w:val="0"/>
        </w:rPr>
      </w:pPr>
    </w:p>
    <w:p w14:paraId="20E144D1">
      <w:pPr>
        <w:spacing w:line="247" w:lineRule="auto"/>
        <w:rPr>
          <w:rFonts w:hint="eastAsia" w:ascii="宋体" w:hAnsi="宋体" w:eastAsia="宋体" w:cs="宋体"/>
          <w:color w:val="auto"/>
          <w:spacing w:val="0"/>
        </w:rPr>
      </w:pPr>
    </w:p>
    <w:p w14:paraId="6978DE1D">
      <w:pPr>
        <w:spacing w:line="247" w:lineRule="auto"/>
        <w:rPr>
          <w:rFonts w:hint="eastAsia" w:ascii="宋体" w:hAnsi="宋体" w:eastAsia="宋体" w:cs="宋体"/>
          <w:color w:val="auto"/>
          <w:spacing w:val="0"/>
        </w:rPr>
      </w:pPr>
    </w:p>
    <w:p w14:paraId="6A69CE78">
      <w:pPr>
        <w:spacing w:line="247" w:lineRule="auto"/>
        <w:rPr>
          <w:rFonts w:hint="eastAsia" w:ascii="宋体" w:hAnsi="宋体" w:eastAsia="宋体" w:cs="宋体"/>
          <w:color w:val="auto"/>
          <w:spacing w:val="0"/>
        </w:rPr>
      </w:pPr>
    </w:p>
    <w:p w14:paraId="16AB9AFC">
      <w:pPr>
        <w:spacing w:line="247" w:lineRule="auto"/>
        <w:rPr>
          <w:rFonts w:hint="eastAsia" w:ascii="宋体" w:hAnsi="宋体" w:eastAsia="宋体" w:cs="宋体"/>
          <w:color w:val="auto"/>
          <w:spacing w:val="0"/>
        </w:rPr>
      </w:pPr>
    </w:p>
    <w:p w14:paraId="38451378">
      <w:pPr>
        <w:spacing w:line="247" w:lineRule="auto"/>
        <w:rPr>
          <w:rFonts w:hint="eastAsia" w:ascii="宋体" w:hAnsi="宋体" w:eastAsia="宋体" w:cs="宋体"/>
          <w:color w:val="auto"/>
          <w:spacing w:val="0"/>
        </w:rPr>
      </w:pPr>
    </w:p>
    <w:p w14:paraId="6CA19C0A">
      <w:pPr>
        <w:spacing w:line="247" w:lineRule="auto"/>
        <w:rPr>
          <w:rFonts w:hint="eastAsia" w:ascii="宋体" w:hAnsi="宋体" w:eastAsia="宋体" w:cs="宋体"/>
          <w:color w:val="auto"/>
          <w:spacing w:val="0"/>
        </w:rPr>
      </w:pPr>
    </w:p>
    <w:p w14:paraId="6173114B">
      <w:pPr>
        <w:spacing w:line="248" w:lineRule="auto"/>
        <w:rPr>
          <w:rFonts w:hint="eastAsia" w:ascii="宋体" w:hAnsi="宋体" w:eastAsia="宋体" w:cs="宋体"/>
          <w:color w:val="auto"/>
          <w:spacing w:val="0"/>
        </w:rPr>
      </w:pPr>
    </w:p>
    <w:p w14:paraId="4B1883E2">
      <w:pPr>
        <w:spacing w:line="248" w:lineRule="auto"/>
        <w:rPr>
          <w:rFonts w:hint="eastAsia" w:ascii="宋体" w:hAnsi="宋体" w:eastAsia="宋体" w:cs="宋体"/>
          <w:color w:val="auto"/>
          <w:spacing w:val="0"/>
        </w:rPr>
      </w:pPr>
    </w:p>
    <w:p w14:paraId="44F40022">
      <w:pPr>
        <w:spacing w:line="248" w:lineRule="auto"/>
        <w:rPr>
          <w:rFonts w:hint="eastAsia" w:ascii="宋体" w:hAnsi="宋体" w:eastAsia="宋体" w:cs="宋体"/>
          <w:color w:val="auto"/>
          <w:spacing w:val="0"/>
        </w:rPr>
      </w:pPr>
    </w:p>
    <w:p w14:paraId="3DAD5E9E">
      <w:pPr>
        <w:spacing w:line="248" w:lineRule="auto"/>
        <w:rPr>
          <w:rFonts w:hint="eastAsia" w:ascii="宋体" w:hAnsi="宋体" w:eastAsia="宋体" w:cs="宋体"/>
          <w:color w:val="auto"/>
          <w:spacing w:val="0"/>
        </w:rPr>
      </w:pPr>
    </w:p>
    <w:p w14:paraId="3FD278FB">
      <w:pPr>
        <w:pStyle w:val="3"/>
        <w:spacing w:before="92" w:line="220" w:lineRule="auto"/>
        <w:ind w:firstLine="1960" w:firstLineChars="700"/>
        <w:rPr>
          <w:rFonts w:hint="eastAsia" w:ascii="宋体" w:hAnsi="宋体" w:eastAsia="宋体" w:cs="宋体"/>
          <w:color w:val="auto"/>
          <w:spacing w:val="0"/>
          <w:sz w:val="28"/>
          <w:szCs w:val="28"/>
        </w:rPr>
      </w:pPr>
      <w:r>
        <w:rPr>
          <w:rFonts w:hint="eastAsia" w:hAnsi="宋体" w:cs="宋体"/>
          <w:color w:val="auto"/>
          <w:spacing w:val="0"/>
          <w:sz w:val="28"/>
          <w:szCs w:val="28"/>
          <w:lang w:eastAsia="zh-CN"/>
        </w:rPr>
        <w:t>投标人</w:t>
      </w:r>
      <w:r>
        <w:rPr>
          <w:rFonts w:hint="eastAsia" w:ascii="宋体" w:hAnsi="宋体" w:eastAsia="宋体" w:cs="宋体"/>
          <w:color w:val="auto"/>
          <w:spacing w:val="0"/>
          <w:sz w:val="28"/>
          <w:szCs w:val="28"/>
        </w:rPr>
        <w:t>：</w:t>
      </w:r>
      <w:r>
        <w:rPr>
          <w:rFonts w:hint="eastAsia" w:ascii="宋体" w:hAnsi="宋体" w:eastAsia="宋体" w:cs="宋体"/>
          <w:color w:val="auto"/>
          <w:spacing w:val="0"/>
          <w:sz w:val="28"/>
          <w:szCs w:val="28"/>
          <w:u w:val="single"/>
        </w:rPr>
        <w:t xml:space="preserve">           </w:t>
      </w:r>
      <w:r>
        <w:rPr>
          <w:rFonts w:hint="eastAsia" w:ascii="宋体" w:hAnsi="宋体" w:eastAsia="宋体" w:cs="宋体"/>
          <w:color w:val="auto"/>
          <w:spacing w:val="0"/>
          <w:sz w:val="28"/>
          <w:szCs w:val="28"/>
        </w:rPr>
        <w:t>（签章）</w:t>
      </w:r>
    </w:p>
    <w:p w14:paraId="56F3639E">
      <w:pPr>
        <w:spacing w:line="254" w:lineRule="auto"/>
        <w:rPr>
          <w:rFonts w:hint="eastAsia" w:ascii="宋体" w:hAnsi="宋体" w:eastAsia="宋体" w:cs="宋体"/>
          <w:color w:val="auto"/>
          <w:spacing w:val="0"/>
        </w:rPr>
      </w:pPr>
    </w:p>
    <w:p w14:paraId="1B933254">
      <w:pPr>
        <w:spacing w:line="254" w:lineRule="auto"/>
        <w:rPr>
          <w:rFonts w:hint="eastAsia" w:ascii="宋体" w:hAnsi="宋体" w:eastAsia="宋体" w:cs="宋体"/>
          <w:color w:val="auto"/>
          <w:spacing w:val="0"/>
        </w:rPr>
      </w:pPr>
    </w:p>
    <w:p w14:paraId="5898442D">
      <w:pPr>
        <w:pStyle w:val="3"/>
        <w:spacing w:before="91" w:line="220" w:lineRule="auto"/>
        <w:ind w:firstLine="1960" w:firstLineChars="700"/>
        <w:rPr>
          <w:rFonts w:hint="eastAsia" w:ascii="宋体" w:hAnsi="宋体" w:eastAsia="宋体" w:cs="宋体"/>
          <w:color w:val="auto"/>
          <w:spacing w:val="0"/>
          <w:sz w:val="28"/>
          <w:szCs w:val="28"/>
        </w:rPr>
      </w:pPr>
      <w:r>
        <w:rPr>
          <w:rFonts w:hint="eastAsia" w:ascii="宋体" w:hAnsi="宋体" w:eastAsia="宋体" w:cs="宋体"/>
          <w:color w:val="auto"/>
          <w:spacing w:val="0"/>
          <w:sz w:val="28"/>
          <w:szCs w:val="28"/>
        </w:rPr>
        <w:t>法定代表人：</w:t>
      </w:r>
      <w:r>
        <w:rPr>
          <w:rFonts w:hint="eastAsia" w:ascii="宋体" w:hAnsi="宋体" w:eastAsia="宋体" w:cs="宋体"/>
          <w:color w:val="auto"/>
          <w:spacing w:val="0"/>
          <w:sz w:val="28"/>
          <w:szCs w:val="28"/>
          <w:u w:val="single"/>
        </w:rPr>
        <w:t xml:space="preserve">       </w:t>
      </w:r>
      <w:r>
        <w:rPr>
          <w:rFonts w:hint="eastAsia" w:ascii="宋体" w:hAnsi="宋体" w:eastAsia="宋体" w:cs="宋体"/>
          <w:color w:val="auto"/>
          <w:spacing w:val="0"/>
          <w:sz w:val="28"/>
          <w:szCs w:val="28"/>
        </w:rPr>
        <w:t>（电子签章）</w:t>
      </w:r>
    </w:p>
    <w:p w14:paraId="70292E4B">
      <w:pPr>
        <w:spacing w:line="253" w:lineRule="auto"/>
        <w:rPr>
          <w:rFonts w:hint="eastAsia" w:ascii="宋体" w:hAnsi="宋体" w:eastAsia="宋体" w:cs="宋体"/>
          <w:color w:val="auto"/>
          <w:spacing w:val="0"/>
        </w:rPr>
      </w:pPr>
    </w:p>
    <w:p w14:paraId="33FCDA87">
      <w:pPr>
        <w:spacing w:line="254" w:lineRule="auto"/>
        <w:rPr>
          <w:rFonts w:hint="eastAsia" w:ascii="宋体" w:hAnsi="宋体" w:eastAsia="宋体" w:cs="宋体"/>
          <w:color w:val="auto"/>
          <w:spacing w:val="0"/>
        </w:rPr>
      </w:pPr>
    </w:p>
    <w:p w14:paraId="00D5BDDC">
      <w:pPr>
        <w:pStyle w:val="3"/>
        <w:spacing w:before="92" w:line="221" w:lineRule="auto"/>
        <w:ind w:firstLine="1960" w:firstLineChars="700"/>
        <w:rPr>
          <w:rFonts w:hint="eastAsia" w:ascii="宋体" w:hAnsi="宋体" w:eastAsia="宋体" w:cs="宋体"/>
          <w:color w:val="auto"/>
          <w:spacing w:val="0"/>
          <w:sz w:val="28"/>
          <w:szCs w:val="28"/>
        </w:rPr>
      </w:pPr>
      <w:r>
        <w:rPr>
          <w:rFonts w:hint="eastAsia" w:ascii="宋体" w:hAnsi="宋体" w:eastAsia="宋体" w:cs="宋体"/>
          <w:color w:val="auto"/>
          <w:spacing w:val="0"/>
          <w:sz w:val="28"/>
          <w:szCs w:val="28"/>
        </w:rPr>
        <w:t>日  期：</w:t>
      </w:r>
      <w:r>
        <w:rPr>
          <w:rFonts w:hint="eastAsia" w:ascii="宋体" w:hAnsi="宋体" w:eastAsia="宋体" w:cs="宋体"/>
          <w:color w:val="auto"/>
          <w:spacing w:val="0"/>
          <w:sz w:val="28"/>
          <w:szCs w:val="28"/>
          <w:u w:val="single"/>
        </w:rPr>
        <w:t xml:space="preserve">     </w:t>
      </w:r>
      <w:r>
        <w:rPr>
          <w:rFonts w:hint="eastAsia" w:ascii="宋体" w:hAnsi="宋体" w:eastAsia="宋体" w:cs="宋体"/>
          <w:color w:val="auto"/>
          <w:spacing w:val="0"/>
          <w:sz w:val="28"/>
          <w:szCs w:val="28"/>
        </w:rPr>
        <w:t xml:space="preserve"> 年</w:t>
      </w:r>
      <w:r>
        <w:rPr>
          <w:rFonts w:hint="eastAsia" w:ascii="宋体" w:hAnsi="宋体" w:eastAsia="宋体" w:cs="宋体"/>
          <w:color w:val="auto"/>
          <w:spacing w:val="0"/>
          <w:sz w:val="28"/>
          <w:szCs w:val="28"/>
          <w:u w:val="single"/>
        </w:rPr>
        <w:t xml:space="preserve">  </w:t>
      </w:r>
      <w:r>
        <w:rPr>
          <w:rFonts w:hint="eastAsia" w:ascii="宋体" w:hAnsi="宋体" w:eastAsia="宋体" w:cs="宋体"/>
          <w:color w:val="auto"/>
          <w:spacing w:val="0"/>
          <w:sz w:val="28"/>
          <w:szCs w:val="28"/>
          <w:u w:val="single"/>
          <w:lang w:val="en-US" w:eastAsia="zh-CN"/>
        </w:rPr>
        <w:t xml:space="preserve"> </w:t>
      </w:r>
      <w:r>
        <w:rPr>
          <w:rFonts w:hint="eastAsia" w:ascii="宋体" w:hAnsi="宋体" w:eastAsia="宋体" w:cs="宋体"/>
          <w:color w:val="auto"/>
          <w:spacing w:val="0"/>
          <w:sz w:val="28"/>
          <w:szCs w:val="28"/>
        </w:rPr>
        <w:t>月</w:t>
      </w:r>
      <w:r>
        <w:rPr>
          <w:rFonts w:hint="eastAsia" w:ascii="宋体" w:hAnsi="宋体" w:eastAsia="宋体" w:cs="宋体"/>
          <w:color w:val="auto"/>
          <w:spacing w:val="0"/>
          <w:sz w:val="28"/>
          <w:szCs w:val="28"/>
          <w:u w:val="single"/>
        </w:rPr>
        <w:t xml:space="preserve">   </w:t>
      </w:r>
      <w:r>
        <w:rPr>
          <w:rFonts w:hint="eastAsia" w:ascii="宋体" w:hAnsi="宋体" w:eastAsia="宋体" w:cs="宋体"/>
          <w:color w:val="auto"/>
          <w:spacing w:val="0"/>
          <w:sz w:val="28"/>
          <w:szCs w:val="28"/>
        </w:rPr>
        <w:t>日</w:t>
      </w:r>
    </w:p>
    <w:p w14:paraId="05DBA85B">
      <w:pPr>
        <w:spacing w:line="221" w:lineRule="auto"/>
        <w:rPr>
          <w:rFonts w:hint="eastAsia" w:ascii="宋体" w:hAnsi="宋体" w:eastAsia="宋体" w:cs="宋体"/>
          <w:color w:val="auto"/>
          <w:spacing w:val="0"/>
          <w:sz w:val="28"/>
          <w:szCs w:val="28"/>
        </w:rPr>
        <w:sectPr>
          <w:footerReference r:id="rId11" w:type="default"/>
          <w:pgSz w:w="11905" w:h="16838"/>
          <w:pgMar w:top="1440" w:right="1440" w:bottom="1440" w:left="1440" w:header="0" w:footer="986" w:gutter="0"/>
          <w:pgNumType w:fmt="decimal"/>
          <w:cols w:space="720" w:num="1"/>
          <w:rtlGutter w:val="0"/>
          <w:docGrid w:linePitch="0" w:charSpace="0"/>
        </w:sectPr>
      </w:pPr>
    </w:p>
    <w:p w14:paraId="614E17B0">
      <w:pPr>
        <w:pStyle w:val="3"/>
        <w:spacing w:before="138" w:line="228" w:lineRule="auto"/>
        <w:ind w:left="3569"/>
        <w:rPr>
          <w:rFonts w:hint="eastAsia" w:ascii="宋体" w:hAnsi="宋体" w:eastAsia="宋体" w:cs="宋体"/>
          <w:color w:val="auto"/>
          <w:spacing w:val="0"/>
          <w:sz w:val="35"/>
          <w:szCs w:val="35"/>
        </w:rPr>
      </w:pPr>
      <w:r>
        <w:rPr>
          <w:rFonts w:hint="eastAsia" w:ascii="宋体" w:hAnsi="宋体" w:eastAsia="宋体" w:cs="宋体"/>
          <w:color w:val="auto"/>
          <w:spacing w:val="0"/>
          <w:sz w:val="35"/>
          <w:szCs w:val="35"/>
        </w:rPr>
        <w:t>目    录</w:t>
      </w:r>
    </w:p>
    <w:p w14:paraId="044CB103">
      <w:pPr>
        <w:pStyle w:val="3"/>
        <w:spacing w:before="234" w:line="220" w:lineRule="auto"/>
        <w:ind w:left="29"/>
        <w:jc w:val="left"/>
        <w:outlineLvl w:val="0"/>
        <w:rPr>
          <w:rFonts w:hint="eastAsia" w:ascii="宋体" w:hAnsi="宋体" w:eastAsia="宋体" w:cs="宋体"/>
          <w:color w:val="auto"/>
          <w:spacing w:val="0"/>
          <w:sz w:val="28"/>
          <w:szCs w:val="28"/>
          <w:lang w:val="en-US" w:eastAsia="zh-CN"/>
        </w:rPr>
      </w:pPr>
      <w:r>
        <w:rPr>
          <w:rFonts w:hint="eastAsia" w:ascii="宋体" w:hAnsi="宋体" w:eastAsia="宋体" w:cs="宋体"/>
          <w:color w:val="auto"/>
          <w:spacing w:val="0"/>
          <w:sz w:val="28"/>
          <w:szCs w:val="28"/>
        </w:rPr>
        <w:t>一、投标函及投标函附表</w:t>
      </w:r>
    </w:p>
    <w:p w14:paraId="2485F77D">
      <w:pPr>
        <w:pStyle w:val="3"/>
        <w:spacing w:before="234" w:line="220" w:lineRule="auto"/>
        <w:ind w:left="29"/>
        <w:jc w:val="left"/>
        <w:outlineLvl w:val="0"/>
        <w:rPr>
          <w:rFonts w:hint="eastAsia" w:ascii="宋体" w:hAnsi="宋体" w:eastAsia="宋体" w:cs="宋体"/>
          <w:color w:val="auto"/>
          <w:spacing w:val="0"/>
          <w:sz w:val="28"/>
          <w:szCs w:val="28"/>
          <w:lang w:val="en-US" w:eastAsia="zh-CN"/>
        </w:rPr>
      </w:pPr>
      <w:r>
        <w:rPr>
          <w:rFonts w:hint="eastAsia" w:ascii="宋体" w:hAnsi="宋体" w:eastAsia="宋体" w:cs="宋体"/>
          <w:color w:val="auto"/>
          <w:spacing w:val="0"/>
          <w:sz w:val="28"/>
          <w:szCs w:val="28"/>
        </w:rPr>
        <w:t>二、法定代表人身份证明书</w:t>
      </w:r>
    </w:p>
    <w:p w14:paraId="7FCE97F3">
      <w:pPr>
        <w:pStyle w:val="3"/>
        <w:spacing w:before="234" w:line="220" w:lineRule="auto"/>
        <w:ind w:left="29"/>
        <w:jc w:val="left"/>
        <w:outlineLvl w:val="0"/>
        <w:rPr>
          <w:rFonts w:hint="eastAsia" w:ascii="宋体" w:hAnsi="宋体" w:eastAsia="宋体" w:cs="宋体"/>
          <w:color w:val="auto"/>
          <w:spacing w:val="0"/>
          <w:sz w:val="28"/>
          <w:szCs w:val="28"/>
          <w:lang w:val="en-US" w:eastAsia="zh-CN"/>
        </w:rPr>
      </w:pPr>
      <w:r>
        <w:rPr>
          <w:rFonts w:hint="eastAsia" w:ascii="宋体" w:hAnsi="宋体" w:eastAsia="宋体" w:cs="宋体"/>
          <w:color w:val="auto"/>
          <w:spacing w:val="0"/>
          <w:sz w:val="28"/>
          <w:szCs w:val="28"/>
        </w:rPr>
        <w:t>三、授权委托书</w:t>
      </w:r>
    </w:p>
    <w:p w14:paraId="23ECA48A">
      <w:pPr>
        <w:pStyle w:val="3"/>
        <w:spacing w:before="234" w:line="220" w:lineRule="auto"/>
        <w:ind w:left="29"/>
        <w:jc w:val="left"/>
        <w:outlineLvl w:val="0"/>
        <w:rPr>
          <w:rFonts w:hint="eastAsia" w:ascii="宋体" w:hAnsi="宋体" w:eastAsia="宋体" w:cs="宋体"/>
          <w:color w:val="auto"/>
          <w:spacing w:val="0"/>
          <w:sz w:val="28"/>
          <w:szCs w:val="28"/>
          <w:lang w:val="en-US" w:eastAsia="zh-CN"/>
        </w:rPr>
      </w:pPr>
      <w:r>
        <w:rPr>
          <w:rFonts w:hint="eastAsia" w:ascii="宋体" w:hAnsi="宋体" w:eastAsia="宋体" w:cs="宋体"/>
          <w:color w:val="auto"/>
          <w:spacing w:val="0"/>
          <w:sz w:val="28"/>
          <w:szCs w:val="28"/>
          <w:lang w:val="en-US" w:eastAsia="zh-CN"/>
        </w:rPr>
        <w:t>四、技术标</w:t>
      </w:r>
    </w:p>
    <w:p w14:paraId="4CCAFAE9">
      <w:pPr>
        <w:pStyle w:val="3"/>
        <w:spacing w:before="234" w:line="220" w:lineRule="auto"/>
        <w:ind w:left="29"/>
        <w:jc w:val="left"/>
        <w:outlineLvl w:val="0"/>
        <w:rPr>
          <w:rFonts w:hint="eastAsia" w:ascii="宋体" w:hAnsi="宋体" w:eastAsia="宋体" w:cs="宋体"/>
          <w:color w:val="auto"/>
          <w:spacing w:val="0"/>
          <w:sz w:val="28"/>
          <w:szCs w:val="28"/>
          <w:lang w:val="en-US" w:eastAsia="zh-CN"/>
        </w:rPr>
      </w:pPr>
      <w:r>
        <w:rPr>
          <w:rFonts w:hint="eastAsia" w:ascii="宋体" w:hAnsi="宋体" w:eastAsia="宋体" w:cs="宋体"/>
          <w:color w:val="auto"/>
          <w:spacing w:val="0"/>
          <w:sz w:val="28"/>
          <w:szCs w:val="28"/>
          <w:lang w:val="en-US" w:eastAsia="zh-CN"/>
        </w:rPr>
        <w:t>五、商务标</w:t>
      </w:r>
    </w:p>
    <w:p w14:paraId="37F631CC">
      <w:pPr>
        <w:pStyle w:val="3"/>
        <w:spacing w:before="234" w:line="220" w:lineRule="auto"/>
        <w:ind w:left="29"/>
        <w:jc w:val="left"/>
        <w:outlineLvl w:val="0"/>
        <w:rPr>
          <w:rFonts w:hint="eastAsia" w:ascii="宋体" w:hAnsi="宋体" w:eastAsia="宋体" w:cs="宋体"/>
          <w:color w:val="auto"/>
          <w:spacing w:val="0"/>
          <w:sz w:val="28"/>
          <w:szCs w:val="28"/>
          <w:lang w:val="en-US" w:eastAsia="zh-CN"/>
        </w:rPr>
      </w:pPr>
      <w:r>
        <w:rPr>
          <w:rFonts w:hint="eastAsia" w:ascii="宋体" w:hAnsi="宋体" w:eastAsia="宋体" w:cs="宋体"/>
          <w:color w:val="auto"/>
          <w:spacing w:val="0"/>
          <w:sz w:val="28"/>
          <w:szCs w:val="28"/>
          <w:lang w:val="en-US" w:eastAsia="zh-CN"/>
        </w:rPr>
        <w:t>六、资格审查资料</w:t>
      </w:r>
    </w:p>
    <w:p w14:paraId="0F7575EF">
      <w:pPr>
        <w:pStyle w:val="3"/>
        <w:spacing w:before="234" w:line="220" w:lineRule="auto"/>
        <w:ind w:left="29"/>
        <w:jc w:val="left"/>
        <w:outlineLvl w:val="0"/>
        <w:rPr>
          <w:rFonts w:hint="eastAsia" w:ascii="宋体" w:hAnsi="宋体" w:eastAsia="宋体" w:cs="宋体"/>
          <w:color w:val="auto"/>
          <w:spacing w:val="0"/>
          <w:sz w:val="28"/>
          <w:szCs w:val="28"/>
        </w:rPr>
      </w:pPr>
      <w:r>
        <w:rPr>
          <w:rFonts w:hint="eastAsia" w:ascii="宋体" w:hAnsi="宋体" w:eastAsia="宋体" w:cs="宋体"/>
          <w:color w:val="auto"/>
          <w:spacing w:val="0"/>
          <w:sz w:val="28"/>
          <w:szCs w:val="28"/>
          <w:lang w:val="en-US" w:eastAsia="zh-CN"/>
        </w:rPr>
        <w:t>七、近年完成的类似项目情况表</w:t>
      </w:r>
    </w:p>
    <w:p w14:paraId="489E1746">
      <w:pPr>
        <w:pStyle w:val="3"/>
        <w:spacing w:before="234" w:line="220" w:lineRule="auto"/>
        <w:ind w:left="29"/>
        <w:jc w:val="left"/>
        <w:outlineLvl w:val="0"/>
        <w:rPr>
          <w:rFonts w:hint="eastAsia" w:ascii="宋体" w:hAnsi="宋体" w:eastAsia="宋体" w:cs="宋体"/>
          <w:color w:val="auto"/>
          <w:spacing w:val="0"/>
          <w:sz w:val="28"/>
          <w:szCs w:val="28"/>
          <w:lang w:val="en-US" w:eastAsia="zh-CN"/>
        </w:rPr>
      </w:pPr>
      <w:r>
        <w:rPr>
          <w:rFonts w:hint="eastAsia" w:ascii="宋体" w:hAnsi="宋体" w:eastAsia="宋体" w:cs="宋体"/>
          <w:color w:val="auto"/>
          <w:spacing w:val="0"/>
          <w:sz w:val="28"/>
          <w:szCs w:val="28"/>
          <w:lang w:val="en-US" w:eastAsia="zh-CN"/>
        </w:rPr>
        <w:t>八、投标人应附的其它资料</w:t>
      </w:r>
    </w:p>
    <w:p w14:paraId="5BA1C570">
      <w:pPr>
        <w:pStyle w:val="3"/>
        <w:spacing w:before="234" w:line="220" w:lineRule="auto"/>
        <w:ind w:left="29"/>
        <w:jc w:val="left"/>
        <w:outlineLvl w:val="0"/>
        <w:rPr>
          <w:rFonts w:hint="eastAsia" w:ascii="宋体" w:hAnsi="宋体" w:eastAsia="宋体" w:cs="宋体"/>
          <w:color w:val="auto"/>
          <w:spacing w:val="0"/>
          <w:sz w:val="28"/>
          <w:szCs w:val="28"/>
        </w:rPr>
        <w:sectPr>
          <w:footerReference r:id="rId12" w:type="default"/>
          <w:pgSz w:w="11905" w:h="16838"/>
          <w:pgMar w:top="1440" w:right="1440" w:bottom="1440" w:left="1440" w:header="0" w:footer="986" w:gutter="0"/>
          <w:pgNumType w:fmt="decimal"/>
          <w:cols w:space="720" w:num="1"/>
          <w:rtlGutter w:val="0"/>
          <w:docGrid w:linePitch="0" w:charSpace="0"/>
        </w:sectPr>
      </w:pPr>
    </w:p>
    <w:p w14:paraId="4363B87F">
      <w:pPr>
        <w:pStyle w:val="3"/>
        <w:spacing w:before="181" w:line="220" w:lineRule="auto"/>
        <w:jc w:val="center"/>
        <w:rPr>
          <w:rFonts w:hint="eastAsia" w:ascii="宋体" w:hAnsi="宋体" w:eastAsia="宋体" w:cs="宋体"/>
          <w:b/>
          <w:bCs/>
          <w:color w:val="auto"/>
          <w:spacing w:val="0"/>
          <w:sz w:val="32"/>
          <w:szCs w:val="32"/>
        </w:rPr>
      </w:pPr>
      <w:r>
        <w:rPr>
          <w:rFonts w:hint="eastAsia" w:ascii="宋体" w:hAnsi="宋体" w:eastAsia="宋体" w:cs="宋体"/>
          <w:b/>
          <w:bCs/>
          <w:color w:val="auto"/>
          <w:spacing w:val="0"/>
          <w:sz w:val="32"/>
          <w:szCs w:val="32"/>
        </w:rPr>
        <w:t>一、投标函及投标函附表</w:t>
      </w:r>
    </w:p>
    <w:p w14:paraId="78979162">
      <w:pPr>
        <w:pStyle w:val="3"/>
        <w:spacing w:before="159" w:line="221" w:lineRule="auto"/>
        <w:jc w:val="center"/>
        <w:outlineLvl w:val="1"/>
        <w:rPr>
          <w:rFonts w:hint="eastAsia" w:ascii="宋体" w:hAnsi="宋体" w:eastAsia="宋体" w:cs="宋体"/>
          <w:color w:val="auto"/>
          <w:spacing w:val="0"/>
          <w:sz w:val="28"/>
          <w:szCs w:val="28"/>
        </w:rPr>
      </w:pPr>
      <w:r>
        <w:rPr>
          <w:rFonts w:hint="eastAsia" w:ascii="宋体" w:hAnsi="宋体" w:eastAsia="宋体" w:cs="宋体"/>
          <w:color w:val="auto"/>
          <w:spacing w:val="0"/>
          <w:sz w:val="28"/>
          <w:szCs w:val="28"/>
        </w:rPr>
        <w:t>（一）投标函</w:t>
      </w:r>
    </w:p>
    <w:p w14:paraId="11B0AEBA">
      <w:pPr>
        <w:pStyle w:val="3"/>
        <w:keepNext w:val="0"/>
        <w:keepLines w:val="0"/>
        <w:pageBreakBefore w:val="0"/>
        <w:kinsoku/>
        <w:wordWrap/>
        <w:overflowPunct/>
        <w:topLinePunct w:val="0"/>
        <w:autoSpaceDE/>
        <w:autoSpaceDN/>
        <w:bidi w:val="0"/>
        <w:adjustRightInd/>
        <w:snapToGrid/>
        <w:spacing w:before="151" w:line="360" w:lineRule="auto"/>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致：（</w:t>
      </w:r>
      <w:r>
        <w:rPr>
          <w:rFonts w:hint="eastAsia" w:hAnsi="宋体" w:cs="宋体"/>
          <w:color w:val="auto"/>
          <w:spacing w:val="0"/>
          <w:sz w:val="24"/>
          <w:szCs w:val="24"/>
          <w:u w:val="single"/>
          <w:lang w:eastAsia="zh-CN"/>
        </w:rPr>
        <w:t>招标单位</w:t>
      </w:r>
      <w:r>
        <w:rPr>
          <w:rFonts w:hint="eastAsia" w:ascii="宋体" w:hAnsi="宋体" w:eastAsia="宋体" w:cs="宋体"/>
          <w:color w:val="auto"/>
          <w:spacing w:val="0"/>
          <w:sz w:val="24"/>
          <w:szCs w:val="24"/>
          <w:u w:val="single"/>
        </w:rPr>
        <w:t>名称</w:t>
      </w:r>
      <w:r>
        <w:rPr>
          <w:rFonts w:hint="eastAsia" w:ascii="宋体" w:hAnsi="宋体" w:eastAsia="宋体" w:cs="宋体"/>
          <w:color w:val="auto"/>
          <w:spacing w:val="0"/>
          <w:sz w:val="24"/>
          <w:szCs w:val="24"/>
        </w:rPr>
        <w:t>）：</w:t>
      </w:r>
    </w:p>
    <w:p w14:paraId="5034448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根据已收到贵方</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（项目名称）（项目编号）的招标文件，遵照《中华人民共和国</w:t>
      </w:r>
      <w:r>
        <w:rPr>
          <w:rFonts w:hint="eastAsia" w:ascii="宋体" w:hAnsi="宋体" w:eastAsia="宋体" w:cs="宋体"/>
          <w:color w:val="auto"/>
          <w:sz w:val="24"/>
          <w:szCs w:val="24"/>
          <w:lang w:val="en-US" w:eastAsia="zh-CN"/>
        </w:rPr>
        <w:t>招标投标法</w:t>
      </w:r>
      <w:r>
        <w:rPr>
          <w:rFonts w:hint="eastAsia" w:ascii="宋体" w:hAnsi="宋体" w:eastAsia="宋体" w:cs="宋体"/>
          <w:color w:val="auto"/>
          <w:sz w:val="24"/>
          <w:szCs w:val="24"/>
        </w:rPr>
        <w:t>》等有关规定，我单位经考察现场和研究上述招标文件及其它有关文件后，我方愿以</w:t>
      </w:r>
      <w:r>
        <w:rPr>
          <w:rFonts w:hint="eastAsia" w:ascii="宋体" w:hAnsi="宋体" w:eastAsia="宋体" w:cs="宋体"/>
          <w:color w:val="auto"/>
          <w:sz w:val="24"/>
          <w:szCs w:val="24"/>
          <w:lang w:val="en-US" w:eastAsia="zh-CN"/>
        </w:rPr>
        <w:t>招标文件规定的</w:t>
      </w:r>
      <w:r>
        <w:rPr>
          <w:rFonts w:hint="eastAsia" w:ascii="宋体" w:hAnsi="宋体" w:eastAsia="宋体" w:cs="宋体"/>
          <w:color w:val="auto"/>
          <w:sz w:val="24"/>
          <w:szCs w:val="24"/>
        </w:rPr>
        <w:t>（大写）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（小写：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）的投标报价，承包上述项目。</w:t>
      </w:r>
    </w:p>
    <w:p w14:paraId="2183F15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 我方已详细审阅全部招标文件，包括修改文件（如果有的话），及有关附件，我方完全知道必须放弃提出含糊不清或误解的权力。</w:t>
      </w:r>
    </w:p>
    <w:p w14:paraId="377A8A2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 一旦我方中标，我们将按照招标文件中规定的各项要求和我们的投标文件中的表述和承诺，按期、按质、按量完成中标义务。</w:t>
      </w:r>
    </w:p>
    <w:p w14:paraId="6BCEE03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 我方愿在中标后向</w:t>
      </w:r>
      <w:r>
        <w:rPr>
          <w:rFonts w:hint="eastAsia" w:ascii="宋体" w:hAnsi="宋体" w:eastAsia="宋体" w:cs="宋体"/>
          <w:color w:val="auto"/>
          <w:sz w:val="24"/>
          <w:szCs w:val="24"/>
          <w:lang w:eastAsia="zh-CN"/>
        </w:rPr>
        <w:t>招标代理机构</w:t>
      </w:r>
      <w:r>
        <w:rPr>
          <w:rFonts w:hint="eastAsia" w:ascii="宋体" w:hAnsi="宋体" w:eastAsia="宋体" w:cs="宋体"/>
          <w:color w:val="auto"/>
          <w:sz w:val="24"/>
          <w:szCs w:val="24"/>
        </w:rPr>
        <w:t>交纳招标代理费以及相关费用。</w:t>
      </w:r>
    </w:p>
    <w:p w14:paraId="6C39A81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 我方同意所递交的投标文件在规定的投标有效期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日历天内有效，在此期间我方投标有可能中标，我方将受此约束。</w:t>
      </w:r>
    </w:p>
    <w:p w14:paraId="0988A8F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5、除非另外达成协议并生效，贵方的中标通知书和本投标文件将构成约束我们双方的合同。</w:t>
      </w:r>
    </w:p>
    <w:p w14:paraId="187074D6">
      <w:pPr>
        <w:pStyle w:val="3"/>
        <w:spacing w:before="70" w:line="360" w:lineRule="auto"/>
        <w:ind w:left="1463"/>
        <w:rPr>
          <w:rFonts w:hint="eastAsia" w:ascii="宋体" w:hAnsi="宋体" w:eastAsia="宋体" w:cs="宋体"/>
          <w:color w:val="auto"/>
          <w:spacing w:val="0"/>
          <w:szCs w:val="24"/>
        </w:rPr>
      </w:pPr>
    </w:p>
    <w:p w14:paraId="032A5749">
      <w:pPr>
        <w:pStyle w:val="3"/>
        <w:spacing w:before="70" w:line="360" w:lineRule="auto"/>
        <w:ind w:left="1463"/>
        <w:rPr>
          <w:rFonts w:hint="eastAsia" w:ascii="宋体" w:hAnsi="宋体" w:eastAsia="宋体" w:cs="宋体"/>
          <w:color w:val="auto"/>
          <w:spacing w:val="0"/>
          <w:szCs w:val="24"/>
        </w:rPr>
      </w:pPr>
      <w:r>
        <w:rPr>
          <w:rFonts w:hint="eastAsia" w:hAnsi="宋体" w:cs="宋体"/>
          <w:color w:val="auto"/>
          <w:spacing w:val="0"/>
          <w:szCs w:val="24"/>
          <w:lang w:eastAsia="zh-CN"/>
        </w:rPr>
        <w:t>投标人</w:t>
      </w:r>
      <w:r>
        <w:rPr>
          <w:rFonts w:hint="eastAsia" w:ascii="宋体" w:hAnsi="宋体" w:eastAsia="宋体" w:cs="宋体"/>
          <w:color w:val="auto"/>
          <w:spacing w:val="0"/>
          <w:szCs w:val="24"/>
        </w:rPr>
        <w:t>：</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（单位签章）</w:t>
      </w:r>
    </w:p>
    <w:p w14:paraId="69DEC703">
      <w:pPr>
        <w:spacing w:line="360" w:lineRule="auto"/>
        <w:rPr>
          <w:rFonts w:hint="eastAsia" w:ascii="宋体" w:hAnsi="宋体" w:eastAsia="宋体" w:cs="宋体"/>
          <w:color w:val="auto"/>
          <w:spacing w:val="0"/>
        </w:rPr>
      </w:pPr>
    </w:p>
    <w:p w14:paraId="7E980047">
      <w:pPr>
        <w:pStyle w:val="3"/>
        <w:spacing w:before="78" w:line="360" w:lineRule="auto"/>
        <w:ind w:left="1464"/>
        <w:rPr>
          <w:rFonts w:hint="eastAsia" w:ascii="宋体" w:hAnsi="宋体" w:eastAsia="宋体" w:cs="宋体"/>
          <w:color w:val="auto"/>
          <w:spacing w:val="0"/>
          <w:szCs w:val="24"/>
        </w:rPr>
      </w:pPr>
      <w:r>
        <w:rPr>
          <w:rFonts w:hint="eastAsia" w:ascii="宋体" w:hAnsi="宋体" w:eastAsia="宋体" w:cs="宋体"/>
          <w:color w:val="auto"/>
          <w:spacing w:val="0"/>
          <w:szCs w:val="24"/>
        </w:rPr>
        <w:t>法定代表人：</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（电子签章）</w:t>
      </w:r>
    </w:p>
    <w:p w14:paraId="666DA599">
      <w:pPr>
        <w:spacing w:line="360" w:lineRule="auto"/>
        <w:rPr>
          <w:rFonts w:hint="eastAsia" w:ascii="宋体" w:hAnsi="宋体" w:eastAsia="宋体" w:cs="宋体"/>
          <w:color w:val="auto"/>
          <w:spacing w:val="0"/>
        </w:rPr>
      </w:pPr>
    </w:p>
    <w:p w14:paraId="6641438D">
      <w:pPr>
        <w:pStyle w:val="3"/>
        <w:tabs>
          <w:tab w:val="left" w:pos="3746"/>
        </w:tabs>
        <w:spacing w:before="79" w:line="360" w:lineRule="auto"/>
        <w:ind w:left="3146"/>
        <w:outlineLvl w:val="1"/>
        <w:rPr>
          <w:rFonts w:hint="eastAsia" w:ascii="宋体" w:hAnsi="宋体" w:eastAsia="宋体" w:cs="宋体"/>
          <w:color w:val="auto"/>
          <w:spacing w:val="0"/>
          <w:szCs w:val="24"/>
        </w:rPr>
      </w:pPr>
      <w:r>
        <w:rPr>
          <w:rFonts w:hint="eastAsia" w:ascii="宋体" w:hAnsi="宋体" w:eastAsia="宋体" w:cs="宋体"/>
          <w:color w:val="auto"/>
          <w:spacing w:val="0"/>
          <w:szCs w:val="24"/>
          <w:u w:val="single"/>
        </w:rPr>
        <w:tab/>
      </w:r>
      <w:r>
        <w:rPr>
          <w:rFonts w:hint="eastAsia" w:ascii="宋体" w:hAnsi="宋体" w:eastAsia="宋体" w:cs="宋体"/>
          <w:color w:val="auto"/>
          <w:spacing w:val="0"/>
          <w:szCs w:val="24"/>
        </w:rPr>
        <w:t xml:space="preserve"> 年</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月</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日</w:t>
      </w:r>
    </w:p>
    <w:p w14:paraId="4CA755BA">
      <w:pPr>
        <w:spacing w:line="360" w:lineRule="auto"/>
        <w:rPr>
          <w:rFonts w:hint="eastAsia" w:ascii="宋体" w:hAnsi="宋体" w:eastAsia="宋体" w:cs="宋体"/>
          <w:color w:val="auto"/>
          <w:spacing w:val="0"/>
          <w:sz w:val="24"/>
          <w:szCs w:val="24"/>
        </w:rPr>
        <w:sectPr>
          <w:footerReference r:id="rId13" w:type="default"/>
          <w:pgSz w:w="11905" w:h="16838"/>
          <w:pgMar w:top="1440" w:right="1440" w:bottom="1440" w:left="1440" w:header="0" w:footer="986" w:gutter="0"/>
          <w:pgNumType w:fmt="decimal"/>
          <w:cols w:space="720" w:num="1"/>
          <w:rtlGutter w:val="0"/>
          <w:docGrid w:linePitch="0" w:charSpace="0"/>
        </w:sectPr>
      </w:pPr>
    </w:p>
    <w:p w14:paraId="71C371B6">
      <w:pPr>
        <w:pStyle w:val="3"/>
        <w:spacing w:before="159" w:line="221" w:lineRule="auto"/>
        <w:jc w:val="center"/>
        <w:outlineLvl w:val="1"/>
        <w:rPr>
          <w:rFonts w:hint="eastAsia" w:ascii="宋体" w:hAnsi="宋体" w:eastAsia="宋体" w:cs="宋体"/>
          <w:color w:val="auto"/>
          <w:spacing w:val="0"/>
          <w:sz w:val="28"/>
          <w:szCs w:val="28"/>
        </w:rPr>
      </w:pPr>
      <w:r>
        <w:rPr>
          <w:rFonts w:hint="eastAsia" w:ascii="宋体" w:hAnsi="宋体" w:eastAsia="宋体" w:cs="宋体"/>
          <w:color w:val="auto"/>
          <w:spacing w:val="0"/>
          <w:sz w:val="28"/>
          <w:szCs w:val="28"/>
        </w:rPr>
        <w:t>（二）投标函附录</w:t>
      </w:r>
    </w:p>
    <w:p w14:paraId="33B1901E">
      <w:pPr>
        <w:spacing w:before="53"/>
        <w:rPr>
          <w:rFonts w:hint="eastAsia" w:ascii="宋体" w:hAnsi="宋体" w:eastAsia="宋体" w:cs="宋体"/>
          <w:color w:val="auto"/>
          <w:spacing w:val="0"/>
        </w:rPr>
      </w:pPr>
    </w:p>
    <w:tbl>
      <w:tblPr>
        <w:tblStyle w:val="17"/>
        <w:tblW w:w="8930"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93"/>
        <w:gridCol w:w="6137"/>
      </w:tblGrid>
      <w:tr w14:paraId="0B7004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2793" w:type="dxa"/>
            <w:noWrap w:val="0"/>
            <w:vAlign w:val="center"/>
          </w:tcPr>
          <w:p w14:paraId="283C3C81">
            <w:pPr>
              <w:pStyle w:val="22"/>
              <w:spacing w:before="78" w:line="360" w:lineRule="auto"/>
              <w:jc w:val="center"/>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项目名称</w:t>
            </w:r>
          </w:p>
        </w:tc>
        <w:tc>
          <w:tcPr>
            <w:tcW w:w="6137" w:type="dxa"/>
            <w:noWrap w:val="0"/>
            <w:vAlign w:val="center"/>
          </w:tcPr>
          <w:p w14:paraId="6D1E8D72">
            <w:pPr>
              <w:spacing w:line="360" w:lineRule="auto"/>
              <w:jc w:val="center"/>
              <w:rPr>
                <w:rFonts w:hint="eastAsia" w:ascii="宋体" w:hAnsi="宋体" w:eastAsia="宋体" w:cs="宋体"/>
                <w:color w:val="auto"/>
                <w:spacing w:val="0"/>
              </w:rPr>
            </w:pPr>
          </w:p>
        </w:tc>
      </w:tr>
      <w:tr w14:paraId="5B5901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2793" w:type="dxa"/>
            <w:noWrap w:val="0"/>
            <w:vAlign w:val="center"/>
          </w:tcPr>
          <w:p w14:paraId="6F5CAAA2">
            <w:pPr>
              <w:pStyle w:val="22"/>
              <w:spacing w:before="78" w:line="360" w:lineRule="auto"/>
              <w:jc w:val="center"/>
              <w:rPr>
                <w:rFonts w:hint="eastAsia" w:ascii="宋体" w:hAnsi="宋体" w:eastAsia="宋体" w:cs="宋体"/>
                <w:color w:val="auto"/>
                <w:spacing w:val="0"/>
                <w:sz w:val="24"/>
                <w:szCs w:val="24"/>
              </w:rPr>
            </w:pPr>
            <w:r>
              <w:rPr>
                <w:rFonts w:hint="eastAsia" w:cs="宋体"/>
                <w:color w:val="auto"/>
                <w:spacing w:val="0"/>
                <w:sz w:val="24"/>
                <w:szCs w:val="24"/>
                <w:lang w:eastAsia="zh-CN"/>
              </w:rPr>
              <w:t>投标人</w:t>
            </w:r>
            <w:r>
              <w:rPr>
                <w:rFonts w:hint="eastAsia" w:ascii="宋体" w:hAnsi="宋体" w:eastAsia="宋体" w:cs="宋体"/>
                <w:color w:val="auto"/>
                <w:spacing w:val="0"/>
                <w:sz w:val="24"/>
                <w:szCs w:val="24"/>
              </w:rPr>
              <w:t>名称</w:t>
            </w:r>
          </w:p>
        </w:tc>
        <w:tc>
          <w:tcPr>
            <w:tcW w:w="6137" w:type="dxa"/>
            <w:noWrap w:val="0"/>
            <w:vAlign w:val="center"/>
          </w:tcPr>
          <w:p w14:paraId="42C39A42">
            <w:pPr>
              <w:spacing w:line="360" w:lineRule="auto"/>
              <w:jc w:val="center"/>
              <w:rPr>
                <w:rFonts w:hint="eastAsia" w:ascii="宋体" w:hAnsi="宋体" w:eastAsia="宋体" w:cs="宋体"/>
                <w:color w:val="auto"/>
                <w:spacing w:val="0"/>
              </w:rPr>
            </w:pPr>
          </w:p>
        </w:tc>
      </w:tr>
      <w:tr w14:paraId="12DFAB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5" w:hRule="atLeast"/>
        </w:trPr>
        <w:tc>
          <w:tcPr>
            <w:tcW w:w="2793" w:type="dxa"/>
            <w:noWrap w:val="0"/>
            <w:vAlign w:val="center"/>
          </w:tcPr>
          <w:p w14:paraId="41685F97">
            <w:pPr>
              <w:spacing w:line="360" w:lineRule="auto"/>
              <w:jc w:val="center"/>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lang w:val="en-US" w:eastAsia="zh-CN"/>
              </w:rPr>
              <w:t>投标</w:t>
            </w:r>
            <w:r>
              <w:rPr>
                <w:rFonts w:hint="eastAsia" w:ascii="宋体" w:hAnsi="宋体" w:eastAsia="宋体" w:cs="宋体"/>
                <w:color w:val="auto"/>
                <w:spacing w:val="0"/>
                <w:sz w:val="24"/>
                <w:szCs w:val="24"/>
              </w:rPr>
              <w:t>报价</w:t>
            </w:r>
          </w:p>
          <w:p w14:paraId="1FAB49A6">
            <w:pPr>
              <w:spacing w:line="360" w:lineRule="auto"/>
              <w:jc w:val="center"/>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（供应商投标报价均按照招标控制价进行报价）</w:t>
            </w:r>
          </w:p>
        </w:tc>
        <w:tc>
          <w:tcPr>
            <w:tcW w:w="6137" w:type="dxa"/>
            <w:tcBorders>
              <w:right w:val="single" w:color="000000" w:sz="6" w:space="0"/>
            </w:tcBorders>
            <w:noWrap w:val="0"/>
            <w:vAlign w:val="center"/>
          </w:tcPr>
          <w:p w14:paraId="3ED53DD7">
            <w:pPr>
              <w:pStyle w:val="22"/>
              <w:spacing w:before="79" w:line="360" w:lineRule="auto"/>
              <w:ind w:left="15"/>
              <w:jc w:val="left"/>
              <w:rPr>
                <w:rFonts w:hint="eastAsia" w:ascii="宋体" w:hAnsi="宋体" w:eastAsia="宋体" w:cs="宋体"/>
                <w:color w:val="auto"/>
                <w:spacing w:val="0"/>
              </w:rPr>
            </w:pPr>
            <w:r>
              <w:rPr>
                <w:rFonts w:hint="eastAsia" w:ascii="宋体" w:hAnsi="宋体" w:eastAsia="宋体" w:cs="宋体"/>
                <w:color w:val="auto"/>
                <w:spacing w:val="0"/>
              </w:rPr>
              <w:t>大写：</w:t>
            </w:r>
          </w:p>
          <w:p w14:paraId="150DE3AC">
            <w:pPr>
              <w:pStyle w:val="22"/>
              <w:spacing w:before="79" w:line="360" w:lineRule="auto"/>
              <w:ind w:left="15"/>
              <w:jc w:val="left"/>
              <w:rPr>
                <w:rFonts w:hint="eastAsia" w:ascii="宋体" w:hAnsi="宋体" w:eastAsia="宋体" w:cs="宋体"/>
                <w:color w:val="auto"/>
                <w:spacing w:val="0"/>
              </w:rPr>
            </w:pPr>
            <w:r>
              <w:rPr>
                <w:rFonts w:hint="eastAsia" w:ascii="宋体" w:hAnsi="宋体" w:eastAsia="宋体" w:cs="宋体"/>
                <w:color w:val="auto"/>
                <w:spacing w:val="0"/>
              </w:rPr>
              <w:t>小写：</w:t>
            </w:r>
          </w:p>
        </w:tc>
      </w:tr>
      <w:tr w14:paraId="6D27EF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2793" w:type="dxa"/>
            <w:noWrap w:val="0"/>
            <w:vAlign w:val="center"/>
          </w:tcPr>
          <w:p w14:paraId="087BC4DF">
            <w:pPr>
              <w:pStyle w:val="22"/>
              <w:spacing w:before="78" w:line="360" w:lineRule="auto"/>
              <w:jc w:val="center"/>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质量要求</w:t>
            </w:r>
          </w:p>
        </w:tc>
        <w:tc>
          <w:tcPr>
            <w:tcW w:w="6137" w:type="dxa"/>
            <w:noWrap w:val="0"/>
            <w:vAlign w:val="center"/>
          </w:tcPr>
          <w:p w14:paraId="3007921A">
            <w:pPr>
              <w:spacing w:line="360" w:lineRule="auto"/>
              <w:jc w:val="both"/>
              <w:rPr>
                <w:rFonts w:hint="eastAsia" w:ascii="宋体" w:hAnsi="宋体" w:eastAsia="宋体" w:cs="宋体"/>
                <w:color w:val="auto"/>
                <w:spacing w:val="0"/>
              </w:rPr>
            </w:pPr>
          </w:p>
        </w:tc>
      </w:tr>
      <w:tr w14:paraId="25C94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2793" w:type="dxa"/>
            <w:noWrap w:val="0"/>
            <w:vAlign w:val="center"/>
          </w:tcPr>
          <w:p w14:paraId="2746E8C7">
            <w:pPr>
              <w:pStyle w:val="22"/>
              <w:spacing w:before="78" w:line="360" w:lineRule="auto"/>
              <w:jc w:val="center"/>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服务周期</w:t>
            </w:r>
          </w:p>
        </w:tc>
        <w:tc>
          <w:tcPr>
            <w:tcW w:w="6137" w:type="dxa"/>
            <w:noWrap w:val="0"/>
            <w:vAlign w:val="center"/>
          </w:tcPr>
          <w:p w14:paraId="52D42A73">
            <w:pPr>
              <w:spacing w:line="360" w:lineRule="auto"/>
              <w:jc w:val="center"/>
              <w:rPr>
                <w:rFonts w:hint="eastAsia" w:ascii="宋体" w:hAnsi="宋体" w:eastAsia="宋体" w:cs="宋体"/>
                <w:color w:val="auto"/>
                <w:spacing w:val="0"/>
              </w:rPr>
            </w:pPr>
          </w:p>
        </w:tc>
      </w:tr>
      <w:tr w14:paraId="53D5C5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2793" w:type="dxa"/>
            <w:noWrap w:val="0"/>
            <w:vAlign w:val="center"/>
          </w:tcPr>
          <w:p w14:paraId="15FFAD6C">
            <w:pPr>
              <w:pStyle w:val="22"/>
              <w:spacing w:before="78" w:line="360" w:lineRule="auto"/>
              <w:jc w:val="center"/>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val="en-US" w:eastAsia="zh-CN"/>
              </w:rPr>
              <w:t>投标</w:t>
            </w:r>
            <w:r>
              <w:rPr>
                <w:rFonts w:hint="eastAsia" w:ascii="宋体" w:hAnsi="宋体" w:eastAsia="宋体" w:cs="宋体"/>
                <w:color w:val="auto"/>
                <w:spacing w:val="0"/>
                <w:sz w:val="24"/>
                <w:szCs w:val="24"/>
                <w:lang w:eastAsia="zh-CN"/>
              </w:rPr>
              <w:t>有效期</w:t>
            </w:r>
          </w:p>
        </w:tc>
        <w:tc>
          <w:tcPr>
            <w:tcW w:w="6137" w:type="dxa"/>
            <w:noWrap w:val="0"/>
            <w:vAlign w:val="center"/>
          </w:tcPr>
          <w:p w14:paraId="00D3674D">
            <w:pPr>
              <w:spacing w:line="360" w:lineRule="auto"/>
              <w:jc w:val="center"/>
              <w:rPr>
                <w:rFonts w:hint="eastAsia" w:ascii="宋体" w:hAnsi="宋体" w:eastAsia="宋体" w:cs="宋体"/>
                <w:color w:val="auto"/>
                <w:spacing w:val="0"/>
              </w:rPr>
            </w:pPr>
          </w:p>
        </w:tc>
      </w:tr>
      <w:tr w14:paraId="6D021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2793" w:type="dxa"/>
            <w:noWrap w:val="0"/>
            <w:vAlign w:val="center"/>
          </w:tcPr>
          <w:p w14:paraId="3F6DBB67">
            <w:pPr>
              <w:pStyle w:val="22"/>
              <w:spacing w:before="78" w:line="360" w:lineRule="auto"/>
              <w:jc w:val="center"/>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项目负责人</w:t>
            </w:r>
          </w:p>
        </w:tc>
        <w:tc>
          <w:tcPr>
            <w:tcW w:w="6137" w:type="dxa"/>
            <w:noWrap w:val="0"/>
            <w:vAlign w:val="center"/>
          </w:tcPr>
          <w:p w14:paraId="67698A6E">
            <w:pPr>
              <w:spacing w:line="360" w:lineRule="auto"/>
              <w:jc w:val="center"/>
              <w:rPr>
                <w:rFonts w:hint="eastAsia" w:ascii="宋体" w:hAnsi="宋体" w:eastAsia="宋体" w:cs="宋体"/>
                <w:color w:val="auto"/>
                <w:spacing w:val="0"/>
              </w:rPr>
            </w:pPr>
          </w:p>
        </w:tc>
      </w:tr>
      <w:tr w14:paraId="201191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2793" w:type="dxa"/>
            <w:noWrap w:val="0"/>
            <w:vAlign w:val="center"/>
          </w:tcPr>
          <w:p w14:paraId="2688BC05">
            <w:pPr>
              <w:pStyle w:val="22"/>
              <w:spacing w:before="78" w:line="360" w:lineRule="auto"/>
              <w:jc w:val="center"/>
              <w:rPr>
                <w:rFonts w:hint="default"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项目负责人联系电话</w:t>
            </w:r>
          </w:p>
        </w:tc>
        <w:tc>
          <w:tcPr>
            <w:tcW w:w="6137" w:type="dxa"/>
            <w:noWrap w:val="0"/>
            <w:vAlign w:val="center"/>
          </w:tcPr>
          <w:p w14:paraId="5FD94CFC">
            <w:pPr>
              <w:spacing w:line="360" w:lineRule="auto"/>
              <w:jc w:val="center"/>
              <w:rPr>
                <w:rFonts w:hint="eastAsia" w:ascii="宋体" w:hAnsi="宋体" w:eastAsia="宋体" w:cs="宋体"/>
                <w:color w:val="auto"/>
                <w:spacing w:val="0"/>
              </w:rPr>
            </w:pPr>
          </w:p>
        </w:tc>
      </w:tr>
      <w:tr w14:paraId="355A0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2793" w:type="dxa"/>
            <w:noWrap w:val="0"/>
            <w:vAlign w:val="center"/>
          </w:tcPr>
          <w:p w14:paraId="6BA3F1E0">
            <w:pPr>
              <w:pStyle w:val="22"/>
              <w:spacing w:before="78" w:line="360" w:lineRule="auto"/>
              <w:jc w:val="center"/>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备注</w:t>
            </w:r>
          </w:p>
        </w:tc>
        <w:tc>
          <w:tcPr>
            <w:tcW w:w="6137" w:type="dxa"/>
            <w:noWrap w:val="0"/>
            <w:vAlign w:val="center"/>
          </w:tcPr>
          <w:p w14:paraId="6E2B25C4">
            <w:pPr>
              <w:spacing w:line="360" w:lineRule="auto"/>
              <w:jc w:val="center"/>
              <w:rPr>
                <w:rFonts w:hint="eastAsia" w:ascii="宋体" w:hAnsi="宋体" w:eastAsia="宋体" w:cs="宋体"/>
                <w:color w:val="auto"/>
                <w:spacing w:val="0"/>
              </w:rPr>
            </w:pPr>
          </w:p>
        </w:tc>
      </w:tr>
    </w:tbl>
    <w:p w14:paraId="66A72EAB">
      <w:pPr>
        <w:pStyle w:val="3"/>
        <w:spacing w:before="172" w:line="229" w:lineRule="auto"/>
        <w:ind w:left="22"/>
        <w:rPr>
          <w:rFonts w:hint="eastAsia" w:ascii="宋体" w:hAnsi="宋体" w:eastAsia="宋体" w:cs="宋体"/>
          <w:color w:val="auto"/>
          <w:spacing w:val="0"/>
          <w:sz w:val="20"/>
        </w:rPr>
      </w:pPr>
      <w:r>
        <w:rPr>
          <w:rFonts w:hint="eastAsia" w:ascii="宋体" w:hAnsi="宋体" w:eastAsia="宋体" w:cs="宋体"/>
          <w:color w:val="auto"/>
          <w:spacing w:val="0"/>
          <w:sz w:val="20"/>
        </w:rPr>
        <w:t>注：该表中所有空白项均为必填项。</w:t>
      </w:r>
    </w:p>
    <w:p w14:paraId="507E7069">
      <w:pPr>
        <w:spacing w:line="278" w:lineRule="auto"/>
        <w:rPr>
          <w:rFonts w:hint="eastAsia" w:ascii="宋体" w:hAnsi="宋体" w:eastAsia="宋体" w:cs="宋体"/>
          <w:color w:val="auto"/>
          <w:spacing w:val="0"/>
        </w:rPr>
      </w:pPr>
    </w:p>
    <w:p w14:paraId="0400BA51">
      <w:pPr>
        <w:spacing w:line="278" w:lineRule="auto"/>
        <w:rPr>
          <w:rFonts w:hint="eastAsia" w:ascii="宋体" w:hAnsi="宋体" w:eastAsia="宋体" w:cs="宋体"/>
          <w:color w:val="auto"/>
          <w:spacing w:val="0"/>
        </w:rPr>
      </w:pPr>
    </w:p>
    <w:p w14:paraId="6716DE0A">
      <w:pPr>
        <w:pStyle w:val="3"/>
        <w:spacing w:before="78" w:line="360" w:lineRule="auto"/>
        <w:ind w:left="1463"/>
        <w:rPr>
          <w:rFonts w:hint="eastAsia" w:ascii="宋体" w:hAnsi="宋体" w:eastAsia="宋体" w:cs="宋体"/>
          <w:color w:val="auto"/>
          <w:spacing w:val="0"/>
        </w:rPr>
      </w:pPr>
      <w:r>
        <w:rPr>
          <w:rFonts w:hint="eastAsia" w:hAnsi="宋体" w:cs="宋体"/>
          <w:color w:val="auto"/>
          <w:spacing w:val="0"/>
          <w:szCs w:val="24"/>
          <w:lang w:eastAsia="zh-CN"/>
        </w:rPr>
        <w:t>投标人</w:t>
      </w:r>
      <w:r>
        <w:rPr>
          <w:rFonts w:hint="eastAsia" w:ascii="宋体" w:hAnsi="宋体" w:eastAsia="宋体" w:cs="宋体"/>
          <w:color w:val="auto"/>
          <w:spacing w:val="0"/>
          <w:szCs w:val="24"/>
        </w:rPr>
        <w:t>：</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（单位签章）</w:t>
      </w:r>
    </w:p>
    <w:p w14:paraId="0668EBB7">
      <w:pPr>
        <w:pStyle w:val="3"/>
        <w:spacing w:before="78" w:line="360" w:lineRule="auto"/>
        <w:ind w:left="1464"/>
        <w:rPr>
          <w:rFonts w:hint="eastAsia" w:ascii="宋体" w:hAnsi="宋体" w:eastAsia="宋体" w:cs="宋体"/>
          <w:color w:val="auto"/>
          <w:spacing w:val="0"/>
          <w:szCs w:val="24"/>
        </w:rPr>
      </w:pPr>
      <w:r>
        <w:rPr>
          <w:rFonts w:hint="eastAsia" w:ascii="宋体" w:hAnsi="宋体" w:eastAsia="宋体" w:cs="宋体"/>
          <w:color w:val="auto"/>
          <w:spacing w:val="0"/>
          <w:szCs w:val="24"/>
        </w:rPr>
        <w:t>法定代表人：</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（电子签章）</w:t>
      </w:r>
    </w:p>
    <w:p w14:paraId="43057516">
      <w:pPr>
        <w:pStyle w:val="3"/>
        <w:tabs>
          <w:tab w:val="left" w:pos="3506"/>
        </w:tabs>
        <w:spacing w:before="26" w:line="360" w:lineRule="auto"/>
        <w:ind w:left="2426"/>
        <w:rPr>
          <w:rFonts w:hint="eastAsia" w:ascii="宋体" w:hAnsi="宋体" w:eastAsia="宋体" w:cs="宋体"/>
          <w:color w:val="auto"/>
          <w:spacing w:val="0"/>
          <w:szCs w:val="24"/>
        </w:rPr>
      </w:pPr>
      <w:r>
        <w:rPr>
          <w:rFonts w:hint="eastAsia" w:ascii="宋体" w:hAnsi="宋体" w:eastAsia="宋体" w:cs="宋体"/>
          <w:color w:val="auto"/>
          <w:spacing w:val="0"/>
          <w:szCs w:val="24"/>
          <w:u w:val="single"/>
        </w:rPr>
        <w:tab/>
      </w:r>
      <w:r>
        <w:rPr>
          <w:rFonts w:hint="eastAsia" w:ascii="宋体" w:hAnsi="宋体" w:eastAsia="宋体" w:cs="宋体"/>
          <w:color w:val="auto"/>
          <w:spacing w:val="0"/>
          <w:szCs w:val="24"/>
        </w:rPr>
        <w:t xml:space="preserve"> 年</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月</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日</w:t>
      </w:r>
    </w:p>
    <w:p w14:paraId="10B14F8D">
      <w:pPr>
        <w:spacing w:line="360" w:lineRule="auto"/>
        <w:rPr>
          <w:rFonts w:hint="eastAsia" w:ascii="宋体" w:hAnsi="宋体" w:eastAsia="宋体" w:cs="宋体"/>
          <w:color w:val="auto"/>
          <w:spacing w:val="0"/>
          <w:sz w:val="24"/>
          <w:szCs w:val="24"/>
        </w:rPr>
      </w:pPr>
    </w:p>
    <w:p w14:paraId="5921452A">
      <w:pPr>
        <w:spacing w:line="360" w:lineRule="auto"/>
        <w:jc w:val="center"/>
        <w:outlineLvl w:val="1"/>
        <w:rPr>
          <w:rFonts w:hint="eastAsia" w:ascii="宋体" w:hAnsi="宋体" w:eastAsia="宋体" w:cs="宋体"/>
          <w:b/>
          <w:bCs/>
          <w:color w:val="auto"/>
          <w:sz w:val="22"/>
          <w:szCs w:val="22"/>
          <w:lang w:eastAsia="zh-CN"/>
        </w:rPr>
      </w:pPr>
    </w:p>
    <w:p w14:paraId="5500FA19">
      <w:pPr>
        <w:pStyle w:val="3"/>
        <w:spacing w:before="181" w:line="220" w:lineRule="auto"/>
        <w:jc w:val="center"/>
        <w:outlineLvl w:val="0"/>
        <w:rPr>
          <w:rFonts w:hint="eastAsia" w:ascii="宋体" w:hAnsi="宋体" w:eastAsia="宋体" w:cs="宋体"/>
          <w:b/>
          <w:bCs/>
          <w:color w:val="auto"/>
          <w:spacing w:val="0"/>
          <w:sz w:val="32"/>
          <w:szCs w:val="32"/>
        </w:rPr>
      </w:pPr>
      <w:r>
        <w:rPr>
          <w:rFonts w:hint="eastAsia" w:ascii="宋体" w:hAnsi="宋体" w:eastAsia="宋体" w:cs="宋体"/>
          <w:b/>
          <w:bCs/>
          <w:color w:val="auto"/>
          <w:spacing w:val="0"/>
          <w:sz w:val="32"/>
          <w:szCs w:val="32"/>
        </w:rPr>
        <w:t>二、法定代表人身份证明书</w:t>
      </w:r>
    </w:p>
    <w:p w14:paraId="07E55676">
      <w:pPr>
        <w:spacing w:line="250" w:lineRule="auto"/>
        <w:rPr>
          <w:rFonts w:hint="eastAsia" w:ascii="宋体" w:hAnsi="宋体" w:eastAsia="宋体" w:cs="宋体"/>
          <w:color w:val="auto"/>
          <w:spacing w:val="0"/>
        </w:rPr>
      </w:pPr>
    </w:p>
    <w:p w14:paraId="624F07FF">
      <w:pPr>
        <w:spacing w:line="250" w:lineRule="auto"/>
        <w:rPr>
          <w:rFonts w:hint="eastAsia" w:ascii="宋体" w:hAnsi="宋体" w:eastAsia="宋体" w:cs="宋体"/>
          <w:color w:val="auto"/>
          <w:spacing w:val="0"/>
        </w:rPr>
      </w:pPr>
    </w:p>
    <w:p w14:paraId="6D902BEA">
      <w:pPr>
        <w:spacing w:line="251" w:lineRule="auto"/>
        <w:rPr>
          <w:rFonts w:hint="eastAsia" w:ascii="宋体" w:hAnsi="宋体" w:eastAsia="宋体" w:cs="宋体"/>
          <w:color w:val="auto"/>
          <w:spacing w:val="0"/>
        </w:rPr>
      </w:pPr>
    </w:p>
    <w:p w14:paraId="125BFDF3">
      <w:pPr>
        <w:spacing w:line="251" w:lineRule="auto"/>
        <w:rPr>
          <w:rFonts w:hint="eastAsia" w:ascii="宋体" w:hAnsi="宋体" w:eastAsia="宋体" w:cs="宋体"/>
          <w:color w:val="auto"/>
          <w:spacing w:val="0"/>
        </w:rPr>
      </w:pPr>
    </w:p>
    <w:p w14:paraId="3BF5677E">
      <w:pPr>
        <w:pStyle w:val="3"/>
        <w:spacing w:before="78" w:line="219" w:lineRule="auto"/>
        <w:ind w:left="23"/>
        <w:rPr>
          <w:rFonts w:hint="eastAsia" w:ascii="宋体" w:hAnsi="宋体" w:eastAsia="宋体" w:cs="宋体"/>
          <w:color w:val="auto"/>
          <w:spacing w:val="0"/>
          <w:szCs w:val="24"/>
        </w:rPr>
      </w:pPr>
      <w:r>
        <w:rPr>
          <w:rFonts w:hint="eastAsia" w:hAnsi="宋体" w:cs="宋体"/>
          <w:color w:val="auto"/>
          <w:spacing w:val="0"/>
          <w:szCs w:val="24"/>
          <w:lang w:eastAsia="zh-CN"/>
        </w:rPr>
        <w:t>投标人</w:t>
      </w:r>
      <w:r>
        <w:rPr>
          <w:rFonts w:hint="eastAsia" w:ascii="宋体" w:hAnsi="宋体" w:eastAsia="宋体" w:cs="宋体"/>
          <w:color w:val="auto"/>
          <w:spacing w:val="0"/>
          <w:szCs w:val="24"/>
        </w:rPr>
        <w:t>名称：</w:t>
      </w:r>
      <w:r>
        <w:rPr>
          <w:rFonts w:hint="eastAsia" w:ascii="宋体" w:hAnsi="宋体" w:eastAsia="宋体" w:cs="宋体"/>
          <w:color w:val="auto"/>
          <w:spacing w:val="0"/>
          <w:szCs w:val="24"/>
          <w:u w:val="single"/>
        </w:rPr>
        <w:t xml:space="preserve">            </w:t>
      </w:r>
    </w:p>
    <w:p w14:paraId="460808BA">
      <w:pPr>
        <w:pStyle w:val="3"/>
        <w:spacing w:before="182" w:line="221" w:lineRule="auto"/>
        <w:ind w:left="25"/>
        <w:rPr>
          <w:rFonts w:hint="eastAsia" w:ascii="宋体" w:hAnsi="宋体" w:eastAsia="宋体" w:cs="宋体"/>
          <w:color w:val="auto"/>
          <w:spacing w:val="0"/>
          <w:szCs w:val="24"/>
        </w:rPr>
      </w:pPr>
      <w:r>
        <w:rPr>
          <w:rFonts w:hint="eastAsia" w:ascii="宋体" w:hAnsi="宋体" w:eastAsia="宋体" w:cs="宋体"/>
          <w:color w:val="auto"/>
          <w:spacing w:val="0"/>
          <w:szCs w:val="24"/>
        </w:rPr>
        <w:t>单位性质：</w:t>
      </w:r>
      <w:r>
        <w:rPr>
          <w:rFonts w:hint="eastAsia" w:ascii="宋体" w:hAnsi="宋体" w:eastAsia="宋体" w:cs="宋体"/>
          <w:color w:val="auto"/>
          <w:spacing w:val="0"/>
          <w:szCs w:val="24"/>
          <w:u w:val="single"/>
        </w:rPr>
        <w:t xml:space="preserve">            </w:t>
      </w:r>
    </w:p>
    <w:p w14:paraId="7416506F">
      <w:pPr>
        <w:pStyle w:val="3"/>
        <w:spacing w:before="179" w:line="229" w:lineRule="auto"/>
        <w:ind w:left="23"/>
        <w:rPr>
          <w:rFonts w:hint="eastAsia" w:ascii="宋体" w:hAnsi="宋体" w:eastAsia="宋体" w:cs="宋体"/>
          <w:color w:val="auto"/>
          <w:spacing w:val="0"/>
          <w:szCs w:val="24"/>
        </w:rPr>
      </w:pPr>
      <w:r>
        <w:rPr>
          <w:rFonts w:hint="eastAsia" w:ascii="宋体" w:hAnsi="宋体" w:eastAsia="宋体" w:cs="宋体"/>
          <w:color w:val="auto"/>
          <w:spacing w:val="0"/>
          <w:szCs w:val="24"/>
        </w:rPr>
        <w:t xml:space="preserve">地址： </w:t>
      </w:r>
      <w:r>
        <w:rPr>
          <w:rFonts w:hint="eastAsia" w:ascii="宋体" w:hAnsi="宋体" w:eastAsia="宋体" w:cs="宋体"/>
          <w:color w:val="auto"/>
          <w:spacing w:val="0"/>
          <w:szCs w:val="24"/>
          <w:u w:val="single"/>
        </w:rPr>
        <w:t xml:space="preserve">            </w:t>
      </w:r>
    </w:p>
    <w:p w14:paraId="3EDE3843">
      <w:pPr>
        <w:pStyle w:val="3"/>
        <w:spacing w:before="169" w:line="358" w:lineRule="auto"/>
        <w:ind w:left="25"/>
        <w:rPr>
          <w:rFonts w:hint="eastAsia" w:ascii="宋体" w:hAnsi="宋体" w:eastAsia="宋体" w:cs="宋体"/>
          <w:color w:val="auto"/>
          <w:spacing w:val="0"/>
          <w:szCs w:val="24"/>
        </w:rPr>
      </w:pPr>
      <w:r>
        <w:rPr>
          <w:rFonts w:hint="eastAsia" w:ascii="宋体" w:hAnsi="宋体" w:eastAsia="宋体" w:cs="宋体"/>
          <w:color w:val="auto"/>
          <w:spacing w:val="0"/>
          <w:szCs w:val="24"/>
        </w:rPr>
        <w:t>成立时间：</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年</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月</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日</w:t>
      </w:r>
    </w:p>
    <w:p w14:paraId="27E3E336">
      <w:pPr>
        <w:pStyle w:val="3"/>
        <w:spacing w:before="1" w:line="220" w:lineRule="auto"/>
        <w:ind w:left="25"/>
        <w:rPr>
          <w:rFonts w:hint="eastAsia" w:ascii="宋体" w:hAnsi="宋体" w:eastAsia="宋体" w:cs="宋体"/>
          <w:color w:val="auto"/>
          <w:spacing w:val="0"/>
          <w:szCs w:val="24"/>
        </w:rPr>
      </w:pPr>
      <w:r>
        <w:rPr>
          <w:rFonts w:hint="eastAsia" w:ascii="宋体" w:hAnsi="宋体" w:eastAsia="宋体" w:cs="宋体"/>
          <w:color w:val="auto"/>
          <w:spacing w:val="0"/>
          <w:szCs w:val="24"/>
        </w:rPr>
        <w:t>经营期限</w:t>
      </w:r>
      <w:r>
        <w:rPr>
          <w:rFonts w:hint="eastAsia" w:ascii="宋体" w:hAnsi="宋体" w:eastAsia="宋体" w:cs="宋体"/>
          <w:color w:val="auto"/>
          <w:spacing w:val="0"/>
          <w:szCs w:val="24"/>
          <w:u w:val="single"/>
        </w:rPr>
        <w:t xml:space="preserve">：                                </w:t>
      </w:r>
    </w:p>
    <w:p w14:paraId="1C58DE08">
      <w:pPr>
        <w:pStyle w:val="3"/>
        <w:spacing w:before="181"/>
        <w:ind w:left="23"/>
        <w:rPr>
          <w:rFonts w:hint="eastAsia" w:ascii="宋体" w:hAnsi="宋体" w:eastAsia="宋体" w:cs="宋体"/>
          <w:color w:val="auto"/>
          <w:spacing w:val="0"/>
          <w:szCs w:val="24"/>
        </w:rPr>
      </w:pPr>
      <w:r>
        <w:rPr>
          <w:rFonts w:hint="eastAsia" w:ascii="宋体" w:hAnsi="宋体" w:eastAsia="宋体" w:cs="宋体"/>
          <w:color w:val="auto"/>
          <w:spacing w:val="0"/>
          <w:szCs w:val="24"/>
        </w:rPr>
        <w:t>姓名：</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性别：</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年龄：</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职务：</w:t>
      </w:r>
      <w:r>
        <w:rPr>
          <w:rFonts w:hint="eastAsia" w:ascii="宋体" w:hAnsi="宋体" w:eastAsia="宋体" w:cs="宋体"/>
          <w:color w:val="auto"/>
          <w:spacing w:val="0"/>
          <w:szCs w:val="24"/>
          <w:u w:val="single"/>
        </w:rPr>
        <w:t xml:space="preserve">          </w:t>
      </w:r>
    </w:p>
    <w:p w14:paraId="20DB2FA8">
      <w:pPr>
        <w:pStyle w:val="3"/>
        <w:spacing w:line="219" w:lineRule="auto"/>
        <w:ind w:left="28"/>
        <w:rPr>
          <w:rFonts w:hint="eastAsia" w:ascii="宋体" w:hAnsi="宋体" w:eastAsia="宋体" w:cs="宋体"/>
          <w:color w:val="auto"/>
          <w:spacing w:val="0"/>
          <w:szCs w:val="24"/>
        </w:rPr>
      </w:pPr>
      <w:r>
        <w:rPr>
          <w:rFonts w:hint="eastAsia" w:ascii="宋体" w:hAnsi="宋体" w:eastAsia="宋体" w:cs="宋体"/>
          <w:color w:val="auto"/>
          <w:spacing w:val="0"/>
          <w:szCs w:val="24"/>
        </w:rPr>
        <w:t>系</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w:t>
      </w:r>
      <w:r>
        <w:rPr>
          <w:rFonts w:hint="eastAsia" w:hAnsi="宋体" w:cs="宋体"/>
          <w:color w:val="auto"/>
          <w:spacing w:val="0"/>
          <w:szCs w:val="24"/>
          <w:lang w:eastAsia="zh-CN"/>
        </w:rPr>
        <w:t>投标人</w:t>
      </w:r>
      <w:r>
        <w:rPr>
          <w:rFonts w:hint="eastAsia" w:ascii="宋体" w:hAnsi="宋体" w:eastAsia="宋体" w:cs="宋体"/>
          <w:color w:val="auto"/>
          <w:spacing w:val="0"/>
          <w:szCs w:val="24"/>
        </w:rPr>
        <w:t>名称）的法定代表人。</w:t>
      </w:r>
    </w:p>
    <w:p w14:paraId="6C8AF891">
      <w:pPr>
        <w:pStyle w:val="3"/>
        <w:spacing w:before="181" w:line="220" w:lineRule="auto"/>
        <w:ind w:left="23"/>
        <w:rPr>
          <w:rFonts w:hint="eastAsia" w:ascii="宋体" w:hAnsi="宋体" w:eastAsia="宋体" w:cs="宋体"/>
          <w:color w:val="auto"/>
          <w:spacing w:val="0"/>
          <w:szCs w:val="24"/>
        </w:rPr>
      </w:pPr>
      <w:r>
        <w:rPr>
          <w:rFonts w:hint="eastAsia" w:ascii="宋体" w:hAnsi="宋体" w:eastAsia="宋体" w:cs="宋体"/>
          <w:color w:val="auto"/>
          <w:spacing w:val="0"/>
          <w:szCs w:val="24"/>
        </w:rPr>
        <w:t>特此证明。</w:t>
      </w:r>
    </w:p>
    <w:p w14:paraId="6833BEFF">
      <w:pPr>
        <w:spacing w:line="322" w:lineRule="auto"/>
        <w:rPr>
          <w:rFonts w:hint="eastAsia" w:ascii="宋体" w:hAnsi="宋体" w:eastAsia="宋体" w:cs="宋体"/>
          <w:color w:val="auto"/>
          <w:spacing w:val="0"/>
        </w:rPr>
      </w:pPr>
    </w:p>
    <w:p w14:paraId="691BAA2D">
      <w:pPr>
        <w:spacing w:line="323" w:lineRule="auto"/>
        <w:rPr>
          <w:rFonts w:hint="eastAsia" w:ascii="宋体" w:hAnsi="宋体" w:eastAsia="宋体" w:cs="宋体"/>
          <w:color w:val="auto"/>
          <w:spacing w:val="0"/>
        </w:rPr>
      </w:pPr>
    </w:p>
    <w:p w14:paraId="6AB2F911">
      <w:pPr>
        <w:pStyle w:val="3"/>
        <w:spacing w:before="78" w:line="219" w:lineRule="auto"/>
        <w:ind w:left="1954"/>
        <w:outlineLvl w:val="0"/>
        <w:rPr>
          <w:rFonts w:hint="eastAsia" w:ascii="宋体" w:hAnsi="宋体" w:eastAsia="宋体" w:cs="宋体"/>
          <w:color w:val="auto"/>
          <w:spacing w:val="0"/>
          <w:szCs w:val="24"/>
        </w:rPr>
      </w:pPr>
      <w:r>
        <w:rPr>
          <w:rFonts w:hint="eastAsia" w:ascii="宋体" w:hAnsi="宋体" w:eastAsia="宋体" w:cs="宋体"/>
          <w:color w:val="auto"/>
          <w:spacing w:val="0"/>
          <w:szCs w:val="24"/>
        </w:rPr>
        <w:t>（后附法定代表人身份证正反面扫描件）</w:t>
      </w:r>
    </w:p>
    <w:p w14:paraId="4E84E9F0">
      <w:pPr>
        <w:spacing w:line="245" w:lineRule="auto"/>
        <w:rPr>
          <w:rFonts w:hint="eastAsia" w:ascii="宋体" w:hAnsi="宋体" w:eastAsia="宋体" w:cs="宋体"/>
          <w:color w:val="auto"/>
          <w:spacing w:val="0"/>
        </w:rPr>
      </w:pPr>
    </w:p>
    <w:p w14:paraId="28B0E4E7">
      <w:pPr>
        <w:spacing w:line="246" w:lineRule="auto"/>
        <w:rPr>
          <w:rFonts w:hint="eastAsia" w:ascii="宋体" w:hAnsi="宋体" w:eastAsia="宋体" w:cs="宋体"/>
          <w:color w:val="auto"/>
          <w:spacing w:val="0"/>
        </w:rPr>
      </w:pPr>
    </w:p>
    <w:p w14:paraId="03D45C4D">
      <w:pPr>
        <w:pStyle w:val="3"/>
        <w:spacing w:before="78" w:line="219" w:lineRule="auto"/>
        <w:ind w:left="503"/>
        <w:rPr>
          <w:rFonts w:hint="eastAsia" w:ascii="宋体" w:hAnsi="宋体" w:eastAsia="宋体" w:cs="宋体"/>
          <w:color w:val="auto"/>
          <w:spacing w:val="0"/>
          <w:szCs w:val="24"/>
        </w:rPr>
      </w:pPr>
      <w:r>
        <w:rPr>
          <w:rFonts w:hint="eastAsia" w:hAnsi="宋体" w:cs="宋体"/>
          <w:color w:val="auto"/>
          <w:spacing w:val="0"/>
          <w:szCs w:val="24"/>
          <w:lang w:eastAsia="zh-CN"/>
        </w:rPr>
        <w:t>投标人</w:t>
      </w:r>
      <w:r>
        <w:rPr>
          <w:rFonts w:hint="eastAsia" w:ascii="宋体" w:hAnsi="宋体" w:eastAsia="宋体" w:cs="宋体"/>
          <w:color w:val="auto"/>
          <w:spacing w:val="0"/>
          <w:szCs w:val="24"/>
        </w:rPr>
        <w:t>：</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（单位签章）</w:t>
      </w:r>
    </w:p>
    <w:p w14:paraId="6CB148B7">
      <w:pPr>
        <w:spacing w:line="414" w:lineRule="auto"/>
        <w:rPr>
          <w:rFonts w:hint="eastAsia" w:ascii="宋体" w:hAnsi="宋体" w:eastAsia="宋体" w:cs="宋体"/>
          <w:color w:val="auto"/>
          <w:spacing w:val="0"/>
        </w:rPr>
      </w:pPr>
    </w:p>
    <w:p w14:paraId="352B4467">
      <w:pPr>
        <w:pStyle w:val="3"/>
        <w:spacing w:before="79" w:line="220" w:lineRule="auto"/>
        <w:ind w:left="544"/>
        <w:rPr>
          <w:rFonts w:hint="eastAsia" w:ascii="宋体" w:hAnsi="宋体" w:eastAsia="宋体" w:cs="宋体"/>
          <w:color w:val="auto"/>
          <w:spacing w:val="0"/>
          <w:szCs w:val="24"/>
        </w:rPr>
      </w:pPr>
      <w:r>
        <w:rPr>
          <w:rFonts w:hint="eastAsia" w:ascii="宋体" w:hAnsi="宋体" w:eastAsia="宋体" w:cs="宋体"/>
          <w:color w:val="auto"/>
          <w:spacing w:val="0"/>
          <w:szCs w:val="24"/>
        </w:rPr>
        <w:t>日期：</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年</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月</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日</w:t>
      </w:r>
    </w:p>
    <w:p w14:paraId="1624E01C">
      <w:pPr>
        <w:spacing w:line="220" w:lineRule="auto"/>
        <w:rPr>
          <w:rFonts w:hint="eastAsia" w:ascii="宋体" w:hAnsi="宋体" w:eastAsia="宋体" w:cs="宋体"/>
          <w:color w:val="auto"/>
          <w:spacing w:val="0"/>
          <w:sz w:val="24"/>
          <w:szCs w:val="24"/>
        </w:rPr>
        <w:sectPr>
          <w:footerReference r:id="rId14" w:type="default"/>
          <w:pgSz w:w="11905" w:h="16838"/>
          <w:pgMar w:top="1440" w:right="1440" w:bottom="1440" w:left="1440" w:header="0" w:footer="986" w:gutter="0"/>
          <w:pgNumType w:fmt="decimal"/>
          <w:cols w:space="720" w:num="1"/>
          <w:rtlGutter w:val="0"/>
          <w:docGrid w:linePitch="0" w:charSpace="0"/>
        </w:sectPr>
      </w:pPr>
    </w:p>
    <w:p w14:paraId="1FF713B7">
      <w:pPr>
        <w:pStyle w:val="3"/>
        <w:spacing w:before="181" w:line="220" w:lineRule="auto"/>
        <w:jc w:val="center"/>
        <w:rPr>
          <w:rFonts w:hint="eastAsia" w:ascii="宋体" w:hAnsi="宋体" w:eastAsia="宋体" w:cs="宋体"/>
          <w:b/>
          <w:bCs/>
          <w:color w:val="auto"/>
          <w:spacing w:val="0"/>
          <w:sz w:val="32"/>
          <w:szCs w:val="32"/>
        </w:rPr>
      </w:pPr>
      <w:r>
        <w:rPr>
          <w:rFonts w:hint="eastAsia" w:ascii="宋体" w:hAnsi="宋体" w:eastAsia="宋体" w:cs="宋体"/>
          <w:b/>
          <w:bCs/>
          <w:color w:val="auto"/>
          <w:spacing w:val="0"/>
          <w:sz w:val="32"/>
          <w:szCs w:val="32"/>
        </w:rPr>
        <w:t>三、授权委托书</w:t>
      </w:r>
    </w:p>
    <w:p w14:paraId="1961598B">
      <w:pPr>
        <w:spacing w:line="269" w:lineRule="auto"/>
        <w:rPr>
          <w:rFonts w:hint="eastAsia" w:ascii="宋体" w:hAnsi="宋体" w:eastAsia="宋体" w:cs="宋体"/>
          <w:color w:val="auto"/>
          <w:spacing w:val="0"/>
        </w:rPr>
      </w:pPr>
    </w:p>
    <w:p w14:paraId="3F2E8416">
      <w:pPr>
        <w:spacing w:line="269" w:lineRule="auto"/>
        <w:rPr>
          <w:rFonts w:hint="eastAsia" w:ascii="宋体" w:hAnsi="宋体" w:eastAsia="宋体" w:cs="宋体"/>
          <w:color w:val="auto"/>
          <w:spacing w:val="0"/>
        </w:rPr>
      </w:pPr>
    </w:p>
    <w:p w14:paraId="4195DFBE">
      <w:pPr>
        <w:pStyle w:val="3"/>
        <w:spacing w:before="78" w:line="359" w:lineRule="auto"/>
        <w:ind w:left="23" w:right="13" w:firstLine="480"/>
        <w:jc w:val="both"/>
        <w:rPr>
          <w:rFonts w:hint="eastAsia" w:ascii="宋体" w:hAnsi="宋体" w:eastAsia="宋体" w:cs="宋体"/>
          <w:color w:val="auto"/>
          <w:spacing w:val="0"/>
          <w:szCs w:val="24"/>
        </w:rPr>
      </w:pPr>
      <w:r>
        <w:rPr>
          <w:rFonts w:hint="eastAsia" w:ascii="宋体" w:hAnsi="宋体" w:eastAsia="宋体" w:cs="宋体"/>
          <w:color w:val="auto"/>
          <w:spacing w:val="0"/>
          <w:szCs w:val="24"/>
        </w:rPr>
        <w:t>本人</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（姓名）系</w:t>
      </w:r>
      <w:r>
        <w:rPr>
          <w:rFonts w:hint="eastAsia" w:ascii="宋体" w:hAnsi="宋体" w:eastAsia="宋体" w:cs="宋体"/>
          <w:color w:val="auto"/>
          <w:spacing w:val="0"/>
          <w:szCs w:val="24"/>
          <w:u w:val="single"/>
        </w:rPr>
        <w:t xml:space="preserve">       </w:t>
      </w:r>
      <w:r>
        <w:rPr>
          <w:rFonts w:hint="eastAsia" w:hAnsi="宋体" w:cs="宋体"/>
          <w:color w:val="auto"/>
          <w:spacing w:val="0"/>
          <w:szCs w:val="24"/>
          <w:u w:val="single"/>
          <w:lang w:val="en-US" w:eastAsia="zh-CN"/>
        </w:rPr>
        <w:t xml:space="preserve">             </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w:t>
      </w:r>
      <w:r>
        <w:rPr>
          <w:rFonts w:hint="eastAsia" w:hAnsi="宋体" w:cs="宋体"/>
          <w:color w:val="auto"/>
          <w:spacing w:val="0"/>
          <w:szCs w:val="24"/>
          <w:lang w:eastAsia="zh-CN"/>
        </w:rPr>
        <w:t>投标人</w:t>
      </w:r>
      <w:r>
        <w:rPr>
          <w:rFonts w:hint="eastAsia" w:ascii="宋体" w:hAnsi="宋体" w:eastAsia="宋体" w:cs="宋体"/>
          <w:color w:val="auto"/>
          <w:spacing w:val="0"/>
          <w:szCs w:val="24"/>
        </w:rPr>
        <w:t>名称）的法定代表人，现委托</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（姓名）为我方代理人。代理人根据授权，以我方名义签署、澄清、说明、补正、递交、撤回、修改</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（项目名称）</w:t>
      </w:r>
      <w:r>
        <w:rPr>
          <w:rFonts w:hint="eastAsia" w:hAnsi="宋体" w:cs="宋体"/>
          <w:color w:val="auto"/>
          <w:spacing w:val="0"/>
          <w:szCs w:val="24"/>
          <w:lang w:val="en-US" w:eastAsia="zh-CN"/>
        </w:rPr>
        <w:t>投标</w:t>
      </w:r>
      <w:r>
        <w:rPr>
          <w:rFonts w:hint="eastAsia" w:ascii="宋体" w:hAnsi="宋体" w:eastAsia="宋体" w:cs="宋体"/>
          <w:color w:val="auto"/>
          <w:spacing w:val="0"/>
          <w:szCs w:val="24"/>
        </w:rPr>
        <w:t>文件、签订合同和处理有关事宜，其法律后果由我方承担。</w:t>
      </w:r>
    </w:p>
    <w:p w14:paraId="50EB067D">
      <w:pPr>
        <w:spacing w:line="283" w:lineRule="auto"/>
        <w:rPr>
          <w:rFonts w:hint="eastAsia" w:ascii="宋体" w:hAnsi="宋体" w:eastAsia="宋体" w:cs="宋体"/>
          <w:color w:val="auto"/>
          <w:spacing w:val="0"/>
        </w:rPr>
      </w:pPr>
    </w:p>
    <w:p w14:paraId="0CD57858">
      <w:pPr>
        <w:spacing w:line="283" w:lineRule="auto"/>
        <w:rPr>
          <w:rFonts w:hint="eastAsia" w:ascii="宋体" w:hAnsi="宋体" w:eastAsia="宋体" w:cs="宋体"/>
          <w:color w:val="auto"/>
          <w:spacing w:val="0"/>
        </w:rPr>
      </w:pPr>
    </w:p>
    <w:p w14:paraId="4806F3E4">
      <w:pPr>
        <w:pStyle w:val="3"/>
        <w:spacing w:before="78"/>
        <w:ind w:left="502"/>
        <w:rPr>
          <w:rFonts w:hint="eastAsia" w:ascii="宋体" w:hAnsi="宋体" w:eastAsia="宋体" w:cs="宋体"/>
          <w:color w:val="auto"/>
          <w:spacing w:val="0"/>
          <w:szCs w:val="24"/>
        </w:rPr>
      </w:pPr>
      <w:r>
        <w:rPr>
          <w:rFonts w:hint="eastAsia" w:ascii="宋体" w:hAnsi="宋体" w:eastAsia="宋体" w:cs="宋体"/>
          <w:color w:val="auto"/>
          <w:spacing w:val="0"/>
          <w:szCs w:val="24"/>
        </w:rPr>
        <w:t>委托期限</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w:t>
      </w:r>
    </w:p>
    <w:p w14:paraId="381820E6">
      <w:pPr>
        <w:pStyle w:val="3"/>
        <w:spacing w:line="220" w:lineRule="auto"/>
        <w:ind w:left="502"/>
        <w:rPr>
          <w:rFonts w:hint="eastAsia" w:ascii="宋体" w:hAnsi="宋体" w:eastAsia="宋体" w:cs="宋体"/>
          <w:color w:val="auto"/>
          <w:spacing w:val="0"/>
          <w:szCs w:val="24"/>
        </w:rPr>
      </w:pPr>
      <w:r>
        <w:rPr>
          <w:rFonts w:hint="eastAsia" w:ascii="宋体" w:hAnsi="宋体" w:eastAsia="宋体" w:cs="宋体"/>
          <w:color w:val="auto"/>
          <w:spacing w:val="0"/>
          <w:szCs w:val="24"/>
        </w:rPr>
        <w:t>代理人无转委托权。</w:t>
      </w:r>
    </w:p>
    <w:p w14:paraId="1A148393">
      <w:pPr>
        <w:spacing w:line="283" w:lineRule="auto"/>
        <w:rPr>
          <w:rFonts w:hint="eastAsia" w:ascii="宋体" w:hAnsi="宋体" w:eastAsia="宋体" w:cs="宋体"/>
          <w:color w:val="auto"/>
          <w:spacing w:val="0"/>
        </w:rPr>
      </w:pPr>
    </w:p>
    <w:p w14:paraId="374DECBF">
      <w:pPr>
        <w:spacing w:line="283" w:lineRule="auto"/>
        <w:rPr>
          <w:rFonts w:hint="eastAsia" w:ascii="宋体" w:hAnsi="宋体" w:eastAsia="宋体" w:cs="宋体"/>
          <w:color w:val="auto"/>
          <w:spacing w:val="0"/>
        </w:rPr>
      </w:pPr>
    </w:p>
    <w:p w14:paraId="5FBBAB9D">
      <w:pPr>
        <w:pStyle w:val="3"/>
        <w:spacing w:before="78" w:line="219" w:lineRule="auto"/>
        <w:ind w:left="2019"/>
        <w:rPr>
          <w:rFonts w:hint="eastAsia" w:ascii="宋体" w:hAnsi="宋体" w:eastAsia="宋体" w:cs="宋体"/>
          <w:color w:val="auto"/>
          <w:spacing w:val="0"/>
          <w:szCs w:val="24"/>
        </w:rPr>
      </w:pPr>
      <w:r>
        <w:rPr>
          <w:rFonts w:hint="eastAsia" w:ascii="宋体" w:hAnsi="宋体" w:eastAsia="宋体" w:cs="宋体"/>
          <w:color w:val="auto"/>
          <w:spacing w:val="0"/>
          <w:szCs w:val="24"/>
        </w:rPr>
        <w:t>（后附委托代理人身份证正反面扫描件）</w:t>
      </w:r>
    </w:p>
    <w:p w14:paraId="6999CD9F">
      <w:pPr>
        <w:spacing w:line="245" w:lineRule="auto"/>
        <w:rPr>
          <w:rFonts w:hint="eastAsia" w:ascii="宋体" w:hAnsi="宋体" w:eastAsia="宋体" w:cs="宋体"/>
          <w:color w:val="auto"/>
          <w:spacing w:val="0"/>
        </w:rPr>
      </w:pPr>
    </w:p>
    <w:p w14:paraId="657C2459">
      <w:pPr>
        <w:spacing w:line="245" w:lineRule="auto"/>
        <w:rPr>
          <w:rFonts w:hint="eastAsia" w:ascii="宋体" w:hAnsi="宋体" w:eastAsia="宋体" w:cs="宋体"/>
          <w:color w:val="auto"/>
          <w:spacing w:val="0"/>
        </w:rPr>
      </w:pPr>
    </w:p>
    <w:p w14:paraId="016A5191">
      <w:pPr>
        <w:spacing w:line="245" w:lineRule="auto"/>
        <w:rPr>
          <w:rFonts w:hint="eastAsia" w:ascii="宋体" w:hAnsi="宋体" w:eastAsia="宋体" w:cs="宋体"/>
          <w:color w:val="auto"/>
          <w:spacing w:val="0"/>
        </w:rPr>
      </w:pPr>
    </w:p>
    <w:p w14:paraId="7DA32EA3">
      <w:pPr>
        <w:spacing w:line="245" w:lineRule="auto"/>
        <w:rPr>
          <w:rFonts w:hint="eastAsia" w:ascii="宋体" w:hAnsi="宋体" w:eastAsia="宋体" w:cs="宋体"/>
          <w:color w:val="auto"/>
          <w:spacing w:val="0"/>
        </w:rPr>
      </w:pPr>
    </w:p>
    <w:p w14:paraId="3F6F45DE">
      <w:pPr>
        <w:spacing w:line="245" w:lineRule="auto"/>
        <w:rPr>
          <w:rFonts w:hint="eastAsia" w:ascii="宋体" w:hAnsi="宋体" w:eastAsia="宋体" w:cs="宋体"/>
          <w:color w:val="auto"/>
          <w:spacing w:val="0"/>
        </w:rPr>
      </w:pPr>
    </w:p>
    <w:p w14:paraId="0C9F2857">
      <w:pPr>
        <w:spacing w:line="245" w:lineRule="auto"/>
        <w:rPr>
          <w:rFonts w:hint="eastAsia" w:ascii="宋体" w:hAnsi="宋体" w:eastAsia="宋体" w:cs="宋体"/>
          <w:color w:val="auto"/>
          <w:spacing w:val="0"/>
        </w:rPr>
      </w:pPr>
    </w:p>
    <w:p w14:paraId="1ADF2745">
      <w:pPr>
        <w:spacing w:line="246" w:lineRule="auto"/>
        <w:rPr>
          <w:rFonts w:hint="eastAsia" w:ascii="宋体" w:hAnsi="宋体" w:eastAsia="宋体" w:cs="宋体"/>
          <w:color w:val="auto"/>
          <w:spacing w:val="0"/>
        </w:rPr>
      </w:pPr>
    </w:p>
    <w:p w14:paraId="0B9EB58D">
      <w:pPr>
        <w:spacing w:line="246" w:lineRule="auto"/>
        <w:rPr>
          <w:rFonts w:hint="eastAsia" w:ascii="宋体" w:hAnsi="宋体" w:eastAsia="宋体" w:cs="宋体"/>
          <w:color w:val="auto"/>
          <w:spacing w:val="0"/>
        </w:rPr>
      </w:pPr>
    </w:p>
    <w:p w14:paraId="0113108C">
      <w:pPr>
        <w:pStyle w:val="3"/>
        <w:spacing w:before="78" w:line="219" w:lineRule="auto"/>
        <w:ind w:left="503"/>
        <w:rPr>
          <w:rFonts w:hint="eastAsia" w:ascii="宋体" w:hAnsi="宋体" w:eastAsia="宋体" w:cs="宋体"/>
          <w:color w:val="auto"/>
          <w:spacing w:val="0"/>
          <w:szCs w:val="24"/>
        </w:rPr>
      </w:pPr>
      <w:r>
        <w:rPr>
          <w:rFonts w:hint="eastAsia" w:hAnsi="宋体" w:cs="宋体"/>
          <w:color w:val="auto"/>
          <w:spacing w:val="0"/>
          <w:szCs w:val="24"/>
          <w:lang w:eastAsia="zh-CN"/>
        </w:rPr>
        <w:t>投标人</w:t>
      </w:r>
      <w:r>
        <w:rPr>
          <w:rFonts w:hint="eastAsia" w:ascii="宋体" w:hAnsi="宋体" w:eastAsia="宋体" w:cs="宋体"/>
          <w:color w:val="auto"/>
          <w:spacing w:val="0"/>
          <w:szCs w:val="24"/>
        </w:rPr>
        <w:t>：</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（单位签章）</w:t>
      </w:r>
    </w:p>
    <w:p w14:paraId="23D53B4E">
      <w:pPr>
        <w:pStyle w:val="3"/>
        <w:spacing w:before="180"/>
        <w:ind w:left="504"/>
        <w:rPr>
          <w:rFonts w:hint="eastAsia" w:ascii="宋体" w:hAnsi="宋体" w:eastAsia="宋体" w:cs="宋体"/>
          <w:color w:val="auto"/>
          <w:spacing w:val="0"/>
          <w:szCs w:val="24"/>
        </w:rPr>
      </w:pPr>
      <w:r>
        <w:rPr>
          <w:rFonts w:hint="eastAsia" w:ascii="宋体" w:hAnsi="宋体" w:eastAsia="宋体" w:cs="宋体"/>
          <w:color w:val="auto"/>
          <w:spacing w:val="0"/>
          <w:szCs w:val="24"/>
        </w:rPr>
        <w:t>法定代表人：</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（电子签章）</w:t>
      </w:r>
    </w:p>
    <w:p w14:paraId="34E9B6A9">
      <w:pPr>
        <w:pStyle w:val="3"/>
        <w:spacing w:line="220" w:lineRule="auto"/>
        <w:ind w:left="509"/>
        <w:rPr>
          <w:rFonts w:hint="eastAsia" w:ascii="宋体" w:hAnsi="宋体" w:eastAsia="宋体" w:cs="宋体"/>
          <w:color w:val="auto"/>
          <w:spacing w:val="0"/>
          <w:szCs w:val="24"/>
        </w:rPr>
      </w:pPr>
      <w:r>
        <w:rPr>
          <w:rFonts w:hint="eastAsia" w:ascii="宋体" w:hAnsi="宋体" w:eastAsia="宋体" w:cs="宋体"/>
          <w:color w:val="auto"/>
          <w:spacing w:val="0"/>
          <w:szCs w:val="24"/>
        </w:rPr>
        <w:t>身份证号码：</w:t>
      </w:r>
      <w:r>
        <w:rPr>
          <w:rFonts w:hint="eastAsia" w:ascii="宋体" w:hAnsi="宋体" w:eastAsia="宋体" w:cs="宋体"/>
          <w:color w:val="auto"/>
          <w:spacing w:val="0"/>
          <w:szCs w:val="24"/>
          <w:u w:val="single"/>
        </w:rPr>
        <w:t xml:space="preserve">            </w:t>
      </w:r>
    </w:p>
    <w:p w14:paraId="33229573">
      <w:pPr>
        <w:pStyle w:val="3"/>
        <w:spacing w:before="180"/>
        <w:ind w:left="502"/>
        <w:rPr>
          <w:rFonts w:hint="eastAsia" w:ascii="宋体" w:hAnsi="宋体" w:eastAsia="宋体" w:cs="宋体"/>
          <w:color w:val="auto"/>
          <w:spacing w:val="0"/>
          <w:szCs w:val="24"/>
        </w:rPr>
      </w:pPr>
      <w:r>
        <w:rPr>
          <w:rFonts w:hint="eastAsia" w:ascii="宋体" w:hAnsi="宋体" w:eastAsia="宋体" w:cs="宋体"/>
          <w:color w:val="auto"/>
          <w:spacing w:val="0"/>
          <w:szCs w:val="24"/>
        </w:rPr>
        <w:t>委托代理人：</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（签字和签法人章）</w:t>
      </w:r>
    </w:p>
    <w:p w14:paraId="7E345AA3">
      <w:pPr>
        <w:pStyle w:val="3"/>
        <w:spacing w:line="220" w:lineRule="auto"/>
        <w:ind w:left="509"/>
        <w:rPr>
          <w:rFonts w:hint="eastAsia" w:ascii="宋体" w:hAnsi="宋体" w:eastAsia="宋体" w:cs="宋体"/>
          <w:color w:val="auto"/>
          <w:spacing w:val="0"/>
          <w:szCs w:val="24"/>
        </w:rPr>
      </w:pPr>
      <w:r>
        <w:rPr>
          <w:rFonts w:hint="eastAsia" w:ascii="宋体" w:hAnsi="宋体" w:eastAsia="宋体" w:cs="宋体"/>
          <w:color w:val="auto"/>
          <w:spacing w:val="0"/>
          <w:szCs w:val="24"/>
        </w:rPr>
        <w:t>身份证号码：</w:t>
      </w:r>
      <w:r>
        <w:rPr>
          <w:rFonts w:hint="eastAsia" w:ascii="宋体" w:hAnsi="宋体" w:eastAsia="宋体" w:cs="宋体"/>
          <w:color w:val="auto"/>
          <w:spacing w:val="0"/>
          <w:szCs w:val="24"/>
          <w:u w:val="single"/>
        </w:rPr>
        <w:t xml:space="preserve">            </w:t>
      </w:r>
    </w:p>
    <w:p w14:paraId="1FF3D884">
      <w:pPr>
        <w:pStyle w:val="3"/>
        <w:spacing w:before="179" w:line="220" w:lineRule="auto"/>
        <w:ind w:left="544"/>
        <w:outlineLvl w:val="0"/>
        <w:rPr>
          <w:rFonts w:hint="eastAsia" w:ascii="宋体" w:hAnsi="宋体" w:eastAsia="宋体" w:cs="宋体"/>
          <w:color w:val="auto"/>
          <w:spacing w:val="0"/>
          <w:szCs w:val="24"/>
        </w:rPr>
      </w:pPr>
      <w:r>
        <w:rPr>
          <w:rFonts w:hint="eastAsia" w:ascii="宋体" w:hAnsi="宋体" w:eastAsia="宋体" w:cs="宋体"/>
          <w:color w:val="auto"/>
          <w:spacing w:val="0"/>
          <w:szCs w:val="24"/>
        </w:rPr>
        <w:t>日期：</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年</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月</w:t>
      </w:r>
      <w:r>
        <w:rPr>
          <w:rFonts w:hint="eastAsia" w:ascii="宋体" w:hAnsi="宋体" w:eastAsia="宋体" w:cs="宋体"/>
          <w:color w:val="auto"/>
          <w:spacing w:val="0"/>
          <w:szCs w:val="24"/>
          <w:u w:val="single"/>
        </w:rPr>
        <w:t xml:space="preserve">            </w:t>
      </w:r>
      <w:r>
        <w:rPr>
          <w:rFonts w:hint="eastAsia" w:ascii="宋体" w:hAnsi="宋体" w:eastAsia="宋体" w:cs="宋体"/>
          <w:color w:val="auto"/>
          <w:spacing w:val="0"/>
          <w:szCs w:val="24"/>
        </w:rPr>
        <w:t xml:space="preserve"> 日</w:t>
      </w:r>
    </w:p>
    <w:p w14:paraId="33BF1055">
      <w:pPr>
        <w:spacing w:line="220" w:lineRule="auto"/>
        <w:rPr>
          <w:rFonts w:hint="eastAsia" w:ascii="宋体" w:hAnsi="宋体" w:eastAsia="宋体" w:cs="宋体"/>
          <w:color w:val="auto"/>
          <w:spacing w:val="0"/>
          <w:sz w:val="24"/>
          <w:szCs w:val="24"/>
        </w:rPr>
        <w:sectPr>
          <w:footerReference r:id="rId15" w:type="default"/>
          <w:pgSz w:w="11905" w:h="16838"/>
          <w:pgMar w:top="1440" w:right="1440" w:bottom="1440" w:left="1440" w:header="0" w:footer="986" w:gutter="0"/>
          <w:pgNumType w:fmt="decimal"/>
          <w:cols w:space="720" w:num="1"/>
          <w:rtlGutter w:val="0"/>
          <w:docGrid w:linePitch="0" w:charSpace="0"/>
        </w:sectPr>
      </w:pPr>
    </w:p>
    <w:p w14:paraId="0CBF1D7C">
      <w:pPr>
        <w:pStyle w:val="3"/>
        <w:numPr>
          <w:ilvl w:val="0"/>
          <w:numId w:val="0"/>
        </w:numPr>
        <w:spacing w:before="181" w:line="221" w:lineRule="auto"/>
        <w:ind w:leftChars="100"/>
        <w:jc w:val="center"/>
        <w:outlineLvl w:val="0"/>
        <w:rPr>
          <w:rFonts w:hint="eastAsia" w:ascii="宋体" w:hAnsi="宋体" w:eastAsia="宋体" w:cs="宋体"/>
          <w:b/>
          <w:bCs/>
          <w:color w:val="auto"/>
          <w:spacing w:val="0"/>
          <w:sz w:val="32"/>
          <w:szCs w:val="32"/>
          <w:lang w:val="en-US" w:eastAsia="zh-CN"/>
        </w:rPr>
      </w:pPr>
      <w:r>
        <w:rPr>
          <w:rFonts w:hint="eastAsia" w:ascii="宋体" w:hAnsi="宋体" w:eastAsia="宋体" w:cs="宋体"/>
          <w:b/>
          <w:bCs/>
          <w:color w:val="auto"/>
          <w:spacing w:val="0"/>
          <w:sz w:val="32"/>
          <w:szCs w:val="32"/>
          <w:lang w:val="en-US" w:eastAsia="zh-CN"/>
        </w:rPr>
        <w:t>四、技术</w:t>
      </w:r>
      <w:r>
        <w:rPr>
          <w:rFonts w:hint="eastAsia" w:hAnsi="宋体" w:cs="宋体"/>
          <w:b/>
          <w:bCs/>
          <w:color w:val="auto"/>
          <w:spacing w:val="0"/>
          <w:sz w:val="32"/>
          <w:szCs w:val="32"/>
          <w:lang w:val="en-US" w:eastAsia="zh-CN"/>
        </w:rPr>
        <w:t>标</w:t>
      </w:r>
    </w:p>
    <w:p w14:paraId="4AE2BD97">
      <w:pPr>
        <w:pStyle w:val="4"/>
        <w:numPr>
          <w:ilvl w:val="0"/>
          <w:numId w:val="0"/>
        </w:numPr>
        <w:ind w:leftChars="100"/>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（此项内容格式自拟，内容应包括但不限制于评分办法提到的内容。）</w:t>
      </w:r>
    </w:p>
    <w:p w14:paraId="0F4BB03C">
      <w:pPr>
        <w:spacing w:line="221" w:lineRule="auto"/>
        <w:rPr>
          <w:rFonts w:hint="eastAsia" w:ascii="宋体" w:hAnsi="宋体" w:eastAsia="宋体" w:cs="宋体"/>
          <w:color w:val="auto"/>
          <w:spacing w:val="0"/>
          <w:sz w:val="28"/>
          <w:szCs w:val="28"/>
        </w:rPr>
        <w:sectPr>
          <w:footerReference r:id="rId16" w:type="default"/>
          <w:pgSz w:w="11905" w:h="16838"/>
          <w:pgMar w:top="1440" w:right="1440" w:bottom="1440" w:left="1440" w:header="0" w:footer="986" w:gutter="0"/>
          <w:pgNumType w:fmt="decimal"/>
          <w:cols w:space="720" w:num="1"/>
          <w:rtlGutter w:val="0"/>
          <w:docGrid w:linePitch="0" w:charSpace="0"/>
        </w:sectPr>
      </w:pPr>
    </w:p>
    <w:p w14:paraId="37DB4EEA">
      <w:pPr>
        <w:pStyle w:val="3"/>
        <w:numPr>
          <w:ilvl w:val="0"/>
          <w:numId w:val="0"/>
        </w:numPr>
        <w:spacing w:before="181" w:line="221" w:lineRule="auto"/>
        <w:ind w:leftChars="100"/>
        <w:jc w:val="center"/>
        <w:outlineLvl w:val="0"/>
        <w:rPr>
          <w:rFonts w:hint="eastAsia" w:ascii="宋体" w:hAnsi="宋体" w:eastAsia="宋体" w:cs="宋体"/>
          <w:b/>
          <w:bCs/>
          <w:color w:val="auto"/>
          <w:spacing w:val="0"/>
          <w:sz w:val="32"/>
          <w:szCs w:val="32"/>
          <w:lang w:val="en-US" w:eastAsia="zh-CN"/>
        </w:rPr>
      </w:pPr>
      <w:r>
        <w:rPr>
          <w:rFonts w:hint="eastAsia" w:ascii="宋体" w:hAnsi="宋体" w:eastAsia="宋体" w:cs="宋体"/>
          <w:b/>
          <w:bCs/>
          <w:color w:val="auto"/>
          <w:spacing w:val="0"/>
          <w:sz w:val="32"/>
          <w:szCs w:val="32"/>
          <w:lang w:val="en-US" w:eastAsia="zh-CN"/>
        </w:rPr>
        <w:t>五、商务标</w:t>
      </w:r>
    </w:p>
    <w:p w14:paraId="19BF0DFB">
      <w:pPr>
        <w:spacing w:line="221" w:lineRule="auto"/>
        <w:rPr>
          <w:rFonts w:hint="eastAsia" w:ascii="宋体" w:hAnsi="宋体" w:eastAsia="宋体" w:cs="宋体"/>
          <w:color w:val="auto"/>
          <w:spacing w:val="0"/>
          <w:sz w:val="28"/>
          <w:szCs w:val="28"/>
        </w:rPr>
      </w:pPr>
    </w:p>
    <w:p w14:paraId="49F431AB">
      <w:pPr>
        <w:pStyle w:val="4"/>
        <w:numPr>
          <w:ilvl w:val="0"/>
          <w:numId w:val="0"/>
        </w:numPr>
        <w:ind w:leftChars="100"/>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（此项内容格式自拟，内容应包括但不限制于评分办法提到的内容。）</w:t>
      </w:r>
    </w:p>
    <w:p w14:paraId="11B0EF3A">
      <w:pPr>
        <w:spacing w:line="221" w:lineRule="auto"/>
        <w:rPr>
          <w:rFonts w:hint="eastAsia" w:ascii="宋体" w:hAnsi="宋体" w:eastAsia="宋体" w:cs="宋体"/>
          <w:color w:val="auto"/>
          <w:spacing w:val="0"/>
          <w:sz w:val="28"/>
          <w:szCs w:val="28"/>
        </w:rPr>
        <w:sectPr>
          <w:footerReference r:id="rId17" w:type="default"/>
          <w:pgSz w:w="11905" w:h="16838"/>
          <w:pgMar w:top="1440" w:right="1440" w:bottom="1440" w:left="1440" w:header="0" w:footer="986" w:gutter="0"/>
          <w:pgNumType w:fmt="decimal"/>
          <w:cols w:space="720" w:num="1"/>
          <w:rtlGutter w:val="0"/>
          <w:docGrid w:linePitch="0" w:charSpace="0"/>
        </w:sectPr>
      </w:pPr>
    </w:p>
    <w:p w14:paraId="14EC200C">
      <w:pPr>
        <w:pStyle w:val="3"/>
        <w:numPr>
          <w:ilvl w:val="0"/>
          <w:numId w:val="0"/>
        </w:numPr>
        <w:spacing w:before="181" w:line="221" w:lineRule="auto"/>
        <w:ind w:leftChars="100"/>
        <w:jc w:val="center"/>
        <w:outlineLvl w:val="0"/>
        <w:rPr>
          <w:rFonts w:hint="eastAsia" w:ascii="宋体" w:hAnsi="宋体" w:eastAsia="宋体" w:cs="宋体"/>
          <w:b/>
          <w:bCs/>
          <w:color w:val="auto"/>
          <w:spacing w:val="0"/>
          <w:sz w:val="32"/>
          <w:szCs w:val="32"/>
          <w:lang w:val="en-US" w:eastAsia="zh-CN"/>
        </w:rPr>
      </w:pPr>
      <w:r>
        <w:rPr>
          <w:rFonts w:hint="eastAsia" w:ascii="宋体" w:hAnsi="宋体" w:eastAsia="宋体" w:cs="宋体"/>
          <w:b/>
          <w:bCs/>
          <w:color w:val="auto"/>
          <w:spacing w:val="0"/>
          <w:sz w:val="32"/>
          <w:szCs w:val="32"/>
          <w:lang w:val="en-US" w:eastAsia="zh-CN"/>
        </w:rPr>
        <w:t>六、资格审查资料</w:t>
      </w:r>
    </w:p>
    <w:p w14:paraId="61DD518C">
      <w:pPr>
        <w:pStyle w:val="3"/>
        <w:spacing w:before="289" w:line="220" w:lineRule="auto"/>
        <w:ind w:left="3177"/>
        <w:outlineLvl w:val="1"/>
        <w:rPr>
          <w:rFonts w:hint="eastAsia" w:ascii="宋体" w:hAnsi="宋体" w:eastAsia="宋体" w:cs="宋体"/>
          <w:color w:val="auto"/>
          <w:spacing w:val="0"/>
          <w:sz w:val="28"/>
          <w:szCs w:val="28"/>
        </w:rPr>
      </w:pPr>
      <w:r>
        <w:rPr>
          <w:rFonts w:hint="eastAsia" w:ascii="宋体" w:hAnsi="宋体" w:eastAsia="宋体" w:cs="宋体"/>
          <w:color w:val="auto"/>
          <w:spacing w:val="0"/>
          <w:sz w:val="28"/>
          <w:szCs w:val="28"/>
        </w:rPr>
        <w:t>（一）</w:t>
      </w:r>
      <w:r>
        <w:rPr>
          <w:rFonts w:hint="eastAsia" w:hAnsi="宋体" w:cs="宋体"/>
          <w:color w:val="auto"/>
          <w:spacing w:val="0"/>
          <w:sz w:val="28"/>
          <w:szCs w:val="28"/>
          <w:lang w:eastAsia="zh-CN"/>
        </w:rPr>
        <w:t>投标人</w:t>
      </w:r>
      <w:r>
        <w:rPr>
          <w:rFonts w:hint="eastAsia" w:ascii="宋体" w:hAnsi="宋体" w:eastAsia="宋体" w:cs="宋体"/>
          <w:color w:val="auto"/>
          <w:spacing w:val="0"/>
          <w:sz w:val="28"/>
          <w:szCs w:val="28"/>
        </w:rPr>
        <w:t>基本情况表</w:t>
      </w:r>
    </w:p>
    <w:p w14:paraId="27B56C28">
      <w:pPr>
        <w:spacing w:line="117" w:lineRule="exact"/>
        <w:rPr>
          <w:rFonts w:hint="eastAsia" w:ascii="宋体" w:hAnsi="宋体" w:eastAsia="宋体" w:cs="宋体"/>
          <w:color w:val="auto"/>
          <w:spacing w:val="0"/>
        </w:rPr>
      </w:pPr>
    </w:p>
    <w:tbl>
      <w:tblPr>
        <w:tblStyle w:val="17"/>
        <w:tblW w:w="8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1"/>
        <w:gridCol w:w="973"/>
        <w:gridCol w:w="1551"/>
        <w:gridCol w:w="1119"/>
        <w:gridCol w:w="1132"/>
        <w:gridCol w:w="235"/>
        <w:gridCol w:w="1679"/>
      </w:tblGrid>
      <w:tr w14:paraId="7E5D6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12DBEB9A">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供应商名称</w:t>
            </w:r>
          </w:p>
        </w:tc>
        <w:tc>
          <w:tcPr>
            <w:tcW w:w="6689" w:type="dxa"/>
            <w:gridSpan w:val="6"/>
            <w:tcBorders>
              <w:top w:val="single" w:color="auto" w:sz="4" w:space="0"/>
              <w:left w:val="single" w:color="auto" w:sz="4" w:space="0"/>
              <w:bottom w:val="single" w:color="auto" w:sz="4" w:space="0"/>
              <w:right w:val="single" w:color="auto" w:sz="4" w:space="0"/>
            </w:tcBorders>
            <w:noWrap w:val="0"/>
            <w:vAlign w:val="center"/>
          </w:tcPr>
          <w:p w14:paraId="2BFA1EA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r>
      <w:tr w14:paraId="07B18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2234EB13">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注册地址</w:t>
            </w:r>
          </w:p>
        </w:tc>
        <w:tc>
          <w:tcPr>
            <w:tcW w:w="3643" w:type="dxa"/>
            <w:gridSpan w:val="3"/>
            <w:tcBorders>
              <w:top w:val="single" w:color="auto" w:sz="4" w:space="0"/>
              <w:left w:val="single" w:color="auto" w:sz="4" w:space="0"/>
              <w:bottom w:val="single" w:color="auto" w:sz="4" w:space="0"/>
              <w:right w:val="single" w:color="auto" w:sz="4" w:space="0"/>
            </w:tcBorders>
            <w:noWrap w:val="0"/>
            <w:vAlign w:val="center"/>
          </w:tcPr>
          <w:p w14:paraId="22388EB6">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c>
          <w:tcPr>
            <w:tcW w:w="1367" w:type="dxa"/>
            <w:gridSpan w:val="2"/>
            <w:tcBorders>
              <w:top w:val="single" w:color="auto" w:sz="4" w:space="0"/>
              <w:left w:val="single" w:color="auto" w:sz="4" w:space="0"/>
              <w:bottom w:val="single" w:color="auto" w:sz="4" w:space="0"/>
              <w:right w:val="single" w:color="auto" w:sz="4" w:space="0"/>
            </w:tcBorders>
            <w:noWrap w:val="0"/>
            <w:vAlign w:val="center"/>
          </w:tcPr>
          <w:p w14:paraId="79C5F03D">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邮政编码</w:t>
            </w:r>
          </w:p>
        </w:tc>
        <w:tc>
          <w:tcPr>
            <w:tcW w:w="1679" w:type="dxa"/>
            <w:tcBorders>
              <w:top w:val="single" w:color="auto" w:sz="4" w:space="0"/>
              <w:left w:val="single" w:color="auto" w:sz="4" w:space="0"/>
              <w:bottom w:val="single" w:color="auto" w:sz="4" w:space="0"/>
              <w:right w:val="single" w:color="auto" w:sz="4" w:space="0"/>
            </w:tcBorders>
            <w:noWrap w:val="0"/>
            <w:vAlign w:val="center"/>
          </w:tcPr>
          <w:p w14:paraId="118F42C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r>
      <w:tr w14:paraId="5F310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731" w:type="dxa"/>
            <w:vMerge w:val="restart"/>
            <w:tcBorders>
              <w:top w:val="single" w:color="auto" w:sz="4" w:space="0"/>
              <w:left w:val="single" w:color="auto" w:sz="4" w:space="0"/>
              <w:bottom w:val="single" w:color="auto" w:sz="4" w:space="0"/>
              <w:right w:val="single" w:color="auto" w:sz="4" w:space="0"/>
            </w:tcBorders>
            <w:noWrap w:val="0"/>
            <w:vAlign w:val="center"/>
          </w:tcPr>
          <w:p w14:paraId="53B88F8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联系方式</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71BE140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联系人</w:t>
            </w:r>
          </w:p>
        </w:tc>
        <w:tc>
          <w:tcPr>
            <w:tcW w:w="2670" w:type="dxa"/>
            <w:gridSpan w:val="2"/>
            <w:tcBorders>
              <w:top w:val="single" w:color="auto" w:sz="4" w:space="0"/>
              <w:left w:val="single" w:color="auto" w:sz="4" w:space="0"/>
              <w:bottom w:val="single" w:color="auto" w:sz="4" w:space="0"/>
              <w:right w:val="single" w:color="auto" w:sz="4" w:space="0"/>
            </w:tcBorders>
            <w:noWrap w:val="0"/>
            <w:vAlign w:val="center"/>
          </w:tcPr>
          <w:p w14:paraId="2D2901CE">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c>
          <w:tcPr>
            <w:tcW w:w="1367" w:type="dxa"/>
            <w:gridSpan w:val="2"/>
            <w:tcBorders>
              <w:top w:val="single" w:color="auto" w:sz="4" w:space="0"/>
              <w:left w:val="single" w:color="auto" w:sz="4" w:space="0"/>
              <w:bottom w:val="single" w:color="auto" w:sz="4" w:space="0"/>
              <w:right w:val="single" w:color="auto" w:sz="4" w:space="0"/>
            </w:tcBorders>
            <w:noWrap w:val="0"/>
            <w:vAlign w:val="center"/>
          </w:tcPr>
          <w:p w14:paraId="65DA215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电话</w:t>
            </w:r>
          </w:p>
        </w:tc>
        <w:tc>
          <w:tcPr>
            <w:tcW w:w="1679" w:type="dxa"/>
            <w:tcBorders>
              <w:top w:val="single" w:color="auto" w:sz="4" w:space="0"/>
              <w:left w:val="single" w:color="auto" w:sz="4" w:space="0"/>
              <w:bottom w:val="single" w:color="auto" w:sz="4" w:space="0"/>
              <w:right w:val="single" w:color="auto" w:sz="4" w:space="0"/>
            </w:tcBorders>
            <w:noWrap w:val="0"/>
            <w:vAlign w:val="center"/>
          </w:tcPr>
          <w:p w14:paraId="296024C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r>
      <w:tr w14:paraId="0D4F9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731" w:type="dxa"/>
            <w:vMerge w:val="continue"/>
            <w:tcBorders>
              <w:top w:val="single" w:color="auto" w:sz="4" w:space="0"/>
              <w:left w:val="single" w:color="auto" w:sz="4" w:space="0"/>
              <w:bottom w:val="single" w:color="auto" w:sz="4" w:space="0"/>
              <w:right w:val="single" w:color="auto" w:sz="4" w:space="0"/>
            </w:tcBorders>
            <w:noWrap w:val="0"/>
            <w:vAlign w:val="center"/>
          </w:tcPr>
          <w:p w14:paraId="1BE97750">
            <w:pPr>
              <w:keepNext w:val="0"/>
              <w:keepLines w:val="0"/>
              <w:suppressLineNumbers w:val="0"/>
              <w:spacing w:before="0" w:beforeAutospacing="0" w:after="0" w:afterAutospacing="0"/>
              <w:ind w:left="0" w:right="0"/>
              <w:rPr>
                <w:rFonts w:hint="default" w:ascii="Times New Roman" w:hAnsi="Times New Roman" w:cs="Times New Roman"/>
                <w:color w:val="auto"/>
                <w:sz w:val="24"/>
                <w:szCs w:val="24"/>
                <w:highlight w:val="none"/>
              </w:rPr>
            </w:pPr>
          </w:p>
        </w:tc>
        <w:tc>
          <w:tcPr>
            <w:tcW w:w="973" w:type="dxa"/>
            <w:tcBorders>
              <w:top w:val="single" w:color="auto" w:sz="4" w:space="0"/>
              <w:left w:val="single" w:color="auto" w:sz="4" w:space="0"/>
              <w:bottom w:val="single" w:color="auto" w:sz="4" w:space="0"/>
              <w:right w:val="single" w:color="auto" w:sz="4" w:space="0"/>
            </w:tcBorders>
            <w:noWrap w:val="0"/>
            <w:vAlign w:val="center"/>
          </w:tcPr>
          <w:p w14:paraId="2123E40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传真</w:t>
            </w:r>
          </w:p>
        </w:tc>
        <w:tc>
          <w:tcPr>
            <w:tcW w:w="2670" w:type="dxa"/>
            <w:gridSpan w:val="2"/>
            <w:tcBorders>
              <w:top w:val="single" w:color="auto" w:sz="4" w:space="0"/>
              <w:left w:val="single" w:color="auto" w:sz="4" w:space="0"/>
              <w:bottom w:val="single" w:color="auto" w:sz="4" w:space="0"/>
              <w:right w:val="single" w:color="auto" w:sz="4" w:space="0"/>
            </w:tcBorders>
            <w:noWrap w:val="0"/>
            <w:vAlign w:val="center"/>
          </w:tcPr>
          <w:p w14:paraId="2C48C6A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c>
          <w:tcPr>
            <w:tcW w:w="1367" w:type="dxa"/>
            <w:gridSpan w:val="2"/>
            <w:tcBorders>
              <w:top w:val="single" w:color="auto" w:sz="4" w:space="0"/>
              <w:left w:val="single" w:color="auto" w:sz="4" w:space="0"/>
              <w:bottom w:val="single" w:color="auto" w:sz="4" w:space="0"/>
              <w:right w:val="single" w:color="auto" w:sz="4" w:space="0"/>
            </w:tcBorders>
            <w:noWrap w:val="0"/>
            <w:vAlign w:val="center"/>
          </w:tcPr>
          <w:p w14:paraId="30102C4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网址</w:t>
            </w:r>
          </w:p>
        </w:tc>
        <w:tc>
          <w:tcPr>
            <w:tcW w:w="1679" w:type="dxa"/>
            <w:tcBorders>
              <w:top w:val="single" w:color="auto" w:sz="4" w:space="0"/>
              <w:left w:val="single" w:color="auto" w:sz="4" w:space="0"/>
              <w:bottom w:val="single" w:color="auto" w:sz="4" w:space="0"/>
              <w:right w:val="single" w:color="auto" w:sz="4" w:space="0"/>
            </w:tcBorders>
            <w:noWrap w:val="0"/>
            <w:vAlign w:val="center"/>
          </w:tcPr>
          <w:p w14:paraId="20836C42">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r>
      <w:tr w14:paraId="4DAD4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3F6474F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组织结构</w:t>
            </w:r>
          </w:p>
        </w:tc>
        <w:tc>
          <w:tcPr>
            <w:tcW w:w="6689" w:type="dxa"/>
            <w:gridSpan w:val="6"/>
            <w:tcBorders>
              <w:top w:val="single" w:color="auto" w:sz="4" w:space="0"/>
              <w:left w:val="single" w:color="auto" w:sz="4" w:space="0"/>
              <w:bottom w:val="single" w:color="auto" w:sz="4" w:space="0"/>
              <w:right w:val="single" w:color="auto" w:sz="4" w:space="0"/>
            </w:tcBorders>
            <w:noWrap w:val="0"/>
            <w:vAlign w:val="center"/>
          </w:tcPr>
          <w:p w14:paraId="26E70353">
            <w:pPr>
              <w:keepNext w:val="0"/>
              <w:keepLines w:val="0"/>
              <w:widowControl w:val="0"/>
              <w:suppressLineNumbers w:val="0"/>
              <w:tabs>
                <w:tab w:val="left" w:pos="4776"/>
              </w:tabs>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r>
      <w:tr w14:paraId="0239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16F088D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法定代表人</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2C014A9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姓名</w:t>
            </w:r>
          </w:p>
        </w:tc>
        <w:tc>
          <w:tcPr>
            <w:tcW w:w="2670" w:type="dxa"/>
            <w:gridSpan w:val="2"/>
            <w:tcBorders>
              <w:top w:val="single" w:color="auto" w:sz="4" w:space="0"/>
              <w:left w:val="single" w:color="auto" w:sz="4" w:space="0"/>
              <w:bottom w:val="single" w:color="auto" w:sz="4" w:space="0"/>
              <w:right w:val="single" w:color="auto" w:sz="4" w:space="0"/>
            </w:tcBorders>
            <w:noWrap w:val="0"/>
            <w:vAlign w:val="center"/>
          </w:tcPr>
          <w:p w14:paraId="3EC1F74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14:paraId="75DAACB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电话</w:t>
            </w:r>
          </w:p>
        </w:tc>
        <w:tc>
          <w:tcPr>
            <w:tcW w:w="1914" w:type="dxa"/>
            <w:gridSpan w:val="2"/>
            <w:tcBorders>
              <w:top w:val="single" w:color="auto" w:sz="4" w:space="0"/>
              <w:left w:val="single" w:color="auto" w:sz="4" w:space="0"/>
              <w:bottom w:val="single" w:color="auto" w:sz="4" w:space="0"/>
              <w:right w:val="single" w:color="auto" w:sz="4" w:space="0"/>
            </w:tcBorders>
            <w:noWrap w:val="0"/>
            <w:vAlign w:val="center"/>
          </w:tcPr>
          <w:p w14:paraId="26A7D1EF">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r>
      <w:tr w14:paraId="148C6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179ABA8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成立时间</w:t>
            </w:r>
          </w:p>
        </w:tc>
        <w:tc>
          <w:tcPr>
            <w:tcW w:w="2524" w:type="dxa"/>
            <w:gridSpan w:val="2"/>
            <w:tcBorders>
              <w:top w:val="single" w:color="auto" w:sz="4" w:space="0"/>
              <w:left w:val="single" w:color="auto" w:sz="4" w:space="0"/>
              <w:bottom w:val="single" w:color="auto" w:sz="4" w:space="0"/>
              <w:right w:val="single" w:color="auto" w:sz="4" w:space="0"/>
            </w:tcBorders>
            <w:noWrap w:val="0"/>
            <w:vAlign w:val="center"/>
          </w:tcPr>
          <w:p w14:paraId="5DF8A64E">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c>
          <w:tcPr>
            <w:tcW w:w="4165" w:type="dxa"/>
            <w:gridSpan w:val="4"/>
            <w:tcBorders>
              <w:top w:val="single" w:color="auto" w:sz="4" w:space="0"/>
              <w:left w:val="single" w:color="auto" w:sz="4" w:space="0"/>
              <w:bottom w:val="single" w:color="auto" w:sz="4" w:space="0"/>
              <w:right w:val="single" w:color="auto" w:sz="4" w:space="0"/>
            </w:tcBorders>
            <w:noWrap w:val="0"/>
            <w:vAlign w:val="center"/>
          </w:tcPr>
          <w:p w14:paraId="7C8C82C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员工总人数：</w:t>
            </w:r>
          </w:p>
        </w:tc>
      </w:tr>
      <w:tr w14:paraId="59B1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557CCD8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营业执照号</w:t>
            </w:r>
          </w:p>
        </w:tc>
        <w:tc>
          <w:tcPr>
            <w:tcW w:w="6689" w:type="dxa"/>
            <w:gridSpan w:val="6"/>
            <w:tcBorders>
              <w:top w:val="single" w:color="auto" w:sz="4" w:space="0"/>
              <w:left w:val="single" w:color="auto" w:sz="4" w:space="0"/>
              <w:bottom w:val="single" w:color="auto" w:sz="4" w:space="0"/>
              <w:right w:val="single" w:color="auto" w:sz="4" w:space="0"/>
            </w:tcBorders>
            <w:noWrap w:val="0"/>
            <w:vAlign w:val="center"/>
          </w:tcPr>
          <w:p w14:paraId="657270E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r>
      <w:tr w14:paraId="676AE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3855018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注册资金</w:t>
            </w:r>
          </w:p>
        </w:tc>
        <w:tc>
          <w:tcPr>
            <w:tcW w:w="2524" w:type="dxa"/>
            <w:gridSpan w:val="2"/>
            <w:tcBorders>
              <w:top w:val="single" w:color="auto" w:sz="4" w:space="0"/>
              <w:left w:val="single" w:color="auto" w:sz="4" w:space="0"/>
              <w:bottom w:val="single" w:color="auto" w:sz="4" w:space="0"/>
              <w:right w:val="single" w:color="auto" w:sz="4" w:space="0"/>
            </w:tcBorders>
            <w:noWrap w:val="0"/>
            <w:vAlign w:val="center"/>
          </w:tcPr>
          <w:p w14:paraId="53FAADFE">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c>
          <w:tcPr>
            <w:tcW w:w="2251" w:type="dxa"/>
            <w:gridSpan w:val="2"/>
            <w:tcBorders>
              <w:top w:val="single" w:color="auto" w:sz="4" w:space="0"/>
              <w:left w:val="single" w:color="auto" w:sz="4" w:space="0"/>
              <w:bottom w:val="single" w:color="auto" w:sz="4" w:space="0"/>
              <w:right w:val="single" w:color="auto" w:sz="4" w:space="0"/>
            </w:tcBorders>
            <w:noWrap w:val="0"/>
            <w:vAlign w:val="center"/>
          </w:tcPr>
          <w:p w14:paraId="7FEC50F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开户银行</w:t>
            </w:r>
          </w:p>
        </w:tc>
        <w:tc>
          <w:tcPr>
            <w:tcW w:w="1914" w:type="dxa"/>
            <w:gridSpan w:val="2"/>
            <w:tcBorders>
              <w:top w:val="single" w:color="auto" w:sz="4" w:space="0"/>
              <w:left w:val="single" w:color="auto" w:sz="4" w:space="0"/>
              <w:bottom w:val="single" w:color="auto" w:sz="4" w:space="0"/>
              <w:right w:val="single" w:color="auto" w:sz="4" w:space="0"/>
            </w:tcBorders>
            <w:noWrap w:val="0"/>
            <w:vAlign w:val="center"/>
          </w:tcPr>
          <w:p w14:paraId="0C0A7D4A">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r>
      <w:tr w14:paraId="63E80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505B530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账号</w:t>
            </w:r>
          </w:p>
        </w:tc>
        <w:tc>
          <w:tcPr>
            <w:tcW w:w="6689" w:type="dxa"/>
            <w:gridSpan w:val="6"/>
            <w:tcBorders>
              <w:top w:val="single" w:color="auto" w:sz="4" w:space="0"/>
              <w:left w:val="single" w:color="auto" w:sz="4" w:space="0"/>
              <w:bottom w:val="single" w:color="auto" w:sz="4" w:space="0"/>
              <w:right w:val="single" w:color="auto" w:sz="4" w:space="0"/>
            </w:tcBorders>
            <w:noWrap w:val="0"/>
            <w:vAlign w:val="center"/>
          </w:tcPr>
          <w:p w14:paraId="45E1E2C3">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r>
      <w:tr w14:paraId="710AE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7269F7E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经营范围备注</w:t>
            </w:r>
          </w:p>
        </w:tc>
        <w:tc>
          <w:tcPr>
            <w:tcW w:w="6689" w:type="dxa"/>
            <w:gridSpan w:val="6"/>
            <w:tcBorders>
              <w:top w:val="single" w:color="auto" w:sz="4" w:space="0"/>
              <w:left w:val="single" w:color="auto" w:sz="4" w:space="0"/>
              <w:bottom w:val="single" w:color="auto" w:sz="4" w:space="0"/>
              <w:right w:val="single" w:color="auto" w:sz="4" w:space="0"/>
            </w:tcBorders>
            <w:noWrap w:val="0"/>
            <w:vAlign w:val="center"/>
          </w:tcPr>
          <w:p w14:paraId="1E7781AF">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sz w:val="24"/>
                <w:szCs w:val="24"/>
                <w:highlight w:val="none"/>
                <w:lang w:val="en-US"/>
              </w:rPr>
            </w:pPr>
          </w:p>
        </w:tc>
      </w:tr>
    </w:tbl>
    <w:p w14:paraId="596569BC">
      <w:pPr>
        <w:rPr>
          <w:rFonts w:hint="eastAsia" w:ascii="宋体" w:hAnsi="宋体" w:eastAsia="宋体" w:cs="宋体"/>
          <w:color w:val="auto"/>
          <w:spacing w:val="0"/>
        </w:rPr>
      </w:pPr>
    </w:p>
    <w:p w14:paraId="10FD86FF">
      <w:pPr>
        <w:rPr>
          <w:rFonts w:ascii="宋体" w:hAnsi="宋体" w:cs="仿宋"/>
          <w:b/>
          <w:color w:val="auto"/>
          <w:sz w:val="24"/>
          <w:szCs w:val="24"/>
          <w:highlight w:val="none"/>
        </w:rPr>
      </w:pPr>
      <w:r>
        <w:rPr>
          <w:rFonts w:hint="eastAsia" w:ascii="宋体" w:hAnsi="宋体" w:cs="仿宋"/>
          <w:b/>
          <w:color w:val="auto"/>
          <w:sz w:val="24"/>
          <w:szCs w:val="24"/>
          <w:highlight w:val="none"/>
        </w:rPr>
        <w:t>注：此表后应附营业执照</w:t>
      </w:r>
      <w:r>
        <w:rPr>
          <w:rFonts w:hint="eastAsia" w:ascii="宋体" w:hAnsi="宋体" w:eastAsia="宋体" w:cs="仿宋"/>
          <w:b/>
          <w:color w:val="auto"/>
          <w:sz w:val="24"/>
          <w:szCs w:val="24"/>
          <w:highlight w:val="none"/>
          <w:lang w:eastAsia="zh-CN"/>
        </w:rPr>
        <w:t>、食品生产许可或食品经营许可证</w:t>
      </w:r>
      <w:r>
        <w:rPr>
          <w:rFonts w:hint="eastAsia" w:ascii="宋体" w:hAnsi="宋体" w:cs="仿宋"/>
          <w:b/>
          <w:color w:val="auto"/>
          <w:sz w:val="24"/>
          <w:szCs w:val="24"/>
          <w:highlight w:val="none"/>
        </w:rPr>
        <w:t>等企业证件。</w:t>
      </w:r>
    </w:p>
    <w:p w14:paraId="71C661CD">
      <w:pPr>
        <w:rPr>
          <w:rFonts w:hint="eastAsia" w:ascii="宋体" w:hAnsi="宋体" w:eastAsia="宋体" w:cs="宋体"/>
          <w:color w:val="auto"/>
          <w:spacing w:val="0"/>
          <w:szCs w:val="21"/>
        </w:rPr>
        <w:sectPr>
          <w:footerReference r:id="rId18" w:type="default"/>
          <w:pgSz w:w="11905" w:h="16838"/>
          <w:pgMar w:top="1440" w:right="1440" w:bottom="1440" w:left="1440" w:header="0" w:footer="986" w:gutter="0"/>
          <w:pgNumType w:fmt="decimal"/>
          <w:cols w:space="720" w:num="1"/>
          <w:rtlGutter w:val="0"/>
          <w:docGrid w:linePitch="0" w:charSpace="0"/>
        </w:sectPr>
      </w:pPr>
    </w:p>
    <w:p w14:paraId="3F270582">
      <w:pPr>
        <w:pStyle w:val="3"/>
        <w:spacing w:before="180" w:line="221" w:lineRule="auto"/>
        <w:ind w:left="3201"/>
        <w:rPr>
          <w:rFonts w:hint="eastAsia" w:ascii="宋体" w:hAnsi="宋体" w:eastAsia="宋体" w:cs="宋体"/>
          <w:color w:val="auto"/>
          <w:spacing w:val="0"/>
          <w:sz w:val="28"/>
          <w:szCs w:val="28"/>
        </w:rPr>
      </w:pPr>
      <w:r>
        <w:rPr>
          <w:rFonts w:hint="eastAsia" w:ascii="宋体" w:hAnsi="宋体" w:eastAsia="宋体" w:cs="宋体"/>
          <w:color w:val="auto"/>
          <w:spacing w:val="0"/>
          <w:sz w:val="28"/>
          <w:szCs w:val="28"/>
        </w:rPr>
        <w:t>（二）资格审查资料</w:t>
      </w:r>
    </w:p>
    <w:p w14:paraId="0CF89968">
      <w:pPr>
        <w:spacing w:line="221" w:lineRule="auto"/>
        <w:rPr>
          <w:rFonts w:hint="eastAsia" w:ascii="宋体" w:hAnsi="宋体" w:eastAsia="宋体" w:cs="宋体"/>
          <w:color w:val="auto"/>
          <w:spacing w:val="0"/>
          <w:sz w:val="28"/>
          <w:szCs w:val="28"/>
        </w:rPr>
        <w:sectPr>
          <w:footerReference r:id="rId19" w:type="default"/>
          <w:pgSz w:w="11905" w:h="16838"/>
          <w:pgMar w:top="1440" w:right="1440" w:bottom="1440" w:left="1440" w:header="0" w:footer="986" w:gutter="0"/>
          <w:pgNumType w:fmt="decimal"/>
          <w:cols w:space="720" w:num="1"/>
          <w:rtlGutter w:val="0"/>
          <w:docGrid w:linePitch="0" w:charSpace="0"/>
        </w:sectPr>
      </w:pPr>
    </w:p>
    <w:p w14:paraId="2FC44E43">
      <w:pPr>
        <w:pStyle w:val="3"/>
        <w:numPr>
          <w:ilvl w:val="0"/>
          <w:numId w:val="0"/>
        </w:numPr>
        <w:spacing w:before="181" w:line="221" w:lineRule="auto"/>
        <w:ind w:leftChars="100"/>
        <w:jc w:val="center"/>
        <w:outlineLvl w:val="0"/>
        <w:rPr>
          <w:rFonts w:hint="eastAsia" w:ascii="宋体" w:hAnsi="宋体" w:eastAsia="宋体" w:cs="宋体"/>
          <w:b/>
          <w:bCs/>
          <w:color w:val="auto"/>
          <w:spacing w:val="0"/>
          <w:sz w:val="32"/>
          <w:szCs w:val="32"/>
          <w:lang w:val="en-US" w:eastAsia="zh-CN"/>
        </w:rPr>
      </w:pPr>
      <w:r>
        <w:rPr>
          <w:rFonts w:hint="eastAsia" w:ascii="宋体" w:hAnsi="宋体" w:eastAsia="宋体" w:cs="宋体"/>
          <w:b/>
          <w:bCs/>
          <w:color w:val="auto"/>
          <w:spacing w:val="0"/>
          <w:sz w:val="32"/>
          <w:szCs w:val="32"/>
          <w:lang w:val="en-US" w:eastAsia="zh-CN"/>
        </w:rPr>
        <w:t>七、近年完成的类似项目情况表</w:t>
      </w:r>
    </w:p>
    <w:p w14:paraId="60E5FF07">
      <w:pPr>
        <w:spacing w:line="116" w:lineRule="exact"/>
        <w:rPr>
          <w:rFonts w:hint="eastAsia" w:ascii="宋体" w:hAnsi="宋体" w:eastAsia="宋体" w:cs="宋体"/>
          <w:color w:val="auto"/>
          <w:spacing w:val="0"/>
        </w:rPr>
      </w:pPr>
    </w:p>
    <w:tbl>
      <w:tblPr>
        <w:tblStyle w:val="17"/>
        <w:tblW w:w="89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43"/>
        <w:gridCol w:w="6630"/>
      </w:tblGrid>
      <w:tr w14:paraId="2189D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2343" w:type="dxa"/>
            <w:noWrap w:val="0"/>
            <w:vAlign w:val="top"/>
          </w:tcPr>
          <w:p w14:paraId="767D2CC0">
            <w:pPr>
              <w:pStyle w:val="22"/>
              <w:spacing w:before="223" w:line="221" w:lineRule="auto"/>
              <w:ind w:left="701"/>
              <w:rPr>
                <w:rFonts w:hint="eastAsia" w:ascii="宋体" w:hAnsi="宋体" w:eastAsia="宋体" w:cs="宋体"/>
                <w:color w:val="auto"/>
                <w:spacing w:val="0"/>
              </w:rPr>
            </w:pPr>
            <w:r>
              <w:rPr>
                <w:rFonts w:hint="eastAsia" w:ascii="宋体" w:hAnsi="宋体" w:eastAsia="宋体" w:cs="宋体"/>
                <w:color w:val="auto"/>
                <w:spacing w:val="0"/>
              </w:rPr>
              <w:t>项目名称</w:t>
            </w:r>
          </w:p>
        </w:tc>
        <w:tc>
          <w:tcPr>
            <w:tcW w:w="6630" w:type="dxa"/>
            <w:noWrap w:val="0"/>
            <w:vAlign w:val="top"/>
          </w:tcPr>
          <w:p w14:paraId="41E8723B">
            <w:pPr>
              <w:rPr>
                <w:rFonts w:hint="eastAsia" w:ascii="宋体" w:hAnsi="宋体" w:eastAsia="宋体" w:cs="宋体"/>
                <w:color w:val="auto"/>
                <w:spacing w:val="0"/>
              </w:rPr>
            </w:pPr>
          </w:p>
        </w:tc>
      </w:tr>
      <w:tr w14:paraId="20A3E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2343" w:type="dxa"/>
            <w:noWrap w:val="0"/>
            <w:vAlign w:val="top"/>
          </w:tcPr>
          <w:p w14:paraId="667F805B">
            <w:pPr>
              <w:pStyle w:val="22"/>
              <w:spacing w:before="206" w:line="221" w:lineRule="auto"/>
              <w:ind w:left="581"/>
              <w:rPr>
                <w:rFonts w:hint="eastAsia" w:ascii="宋体" w:hAnsi="宋体" w:eastAsia="宋体" w:cs="宋体"/>
                <w:color w:val="auto"/>
                <w:spacing w:val="0"/>
              </w:rPr>
            </w:pPr>
            <w:r>
              <w:rPr>
                <w:rFonts w:hint="eastAsia" w:ascii="宋体" w:hAnsi="宋体" w:eastAsia="宋体" w:cs="宋体"/>
                <w:color w:val="auto"/>
                <w:spacing w:val="0"/>
              </w:rPr>
              <w:t>项目所在地</w:t>
            </w:r>
          </w:p>
        </w:tc>
        <w:tc>
          <w:tcPr>
            <w:tcW w:w="6630" w:type="dxa"/>
            <w:noWrap w:val="0"/>
            <w:vAlign w:val="top"/>
          </w:tcPr>
          <w:p w14:paraId="55A68220">
            <w:pPr>
              <w:rPr>
                <w:rFonts w:hint="eastAsia" w:ascii="宋体" w:hAnsi="宋体" w:eastAsia="宋体" w:cs="宋体"/>
                <w:color w:val="auto"/>
                <w:spacing w:val="0"/>
              </w:rPr>
            </w:pPr>
          </w:p>
        </w:tc>
      </w:tr>
      <w:tr w14:paraId="55F2A9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2343" w:type="dxa"/>
            <w:noWrap w:val="0"/>
            <w:vAlign w:val="top"/>
          </w:tcPr>
          <w:p w14:paraId="3D6AD74D">
            <w:pPr>
              <w:pStyle w:val="22"/>
              <w:spacing w:before="219" w:line="221" w:lineRule="auto"/>
              <w:ind w:left="581"/>
              <w:rPr>
                <w:rFonts w:hint="eastAsia" w:ascii="宋体" w:hAnsi="宋体" w:eastAsia="宋体" w:cs="宋体"/>
                <w:color w:val="auto"/>
                <w:spacing w:val="0"/>
              </w:rPr>
            </w:pPr>
            <w:r>
              <w:rPr>
                <w:rFonts w:hint="eastAsia" w:ascii="宋体" w:hAnsi="宋体" w:eastAsia="宋体" w:cs="宋体"/>
                <w:color w:val="auto"/>
                <w:spacing w:val="0"/>
              </w:rPr>
              <w:t>发包人名称</w:t>
            </w:r>
          </w:p>
        </w:tc>
        <w:tc>
          <w:tcPr>
            <w:tcW w:w="6630" w:type="dxa"/>
            <w:noWrap w:val="0"/>
            <w:vAlign w:val="top"/>
          </w:tcPr>
          <w:p w14:paraId="52EC80A4">
            <w:pPr>
              <w:rPr>
                <w:rFonts w:hint="eastAsia" w:ascii="宋体" w:hAnsi="宋体" w:eastAsia="宋体" w:cs="宋体"/>
                <w:color w:val="auto"/>
                <w:spacing w:val="0"/>
              </w:rPr>
            </w:pPr>
          </w:p>
        </w:tc>
      </w:tr>
      <w:tr w14:paraId="365A58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2343" w:type="dxa"/>
            <w:noWrap w:val="0"/>
            <w:vAlign w:val="top"/>
          </w:tcPr>
          <w:p w14:paraId="39E33197">
            <w:pPr>
              <w:pStyle w:val="22"/>
              <w:spacing w:before="207" w:line="221" w:lineRule="auto"/>
              <w:ind w:left="581"/>
              <w:rPr>
                <w:rFonts w:hint="eastAsia" w:ascii="宋体" w:hAnsi="宋体" w:eastAsia="宋体" w:cs="宋体"/>
                <w:color w:val="auto"/>
                <w:spacing w:val="0"/>
              </w:rPr>
            </w:pPr>
            <w:r>
              <w:rPr>
                <w:rFonts w:hint="eastAsia" w:ascii="宋体" w:hAnsi="宋体" w:eastAsia="宋体" w:cs="宋体"/>
                <w:color w:val="auto"/>
                <w:spacing w:val="0"/>
              </w:rPr>
              <w:t>发包人地址</w:t>
            </w:r>
          </w:p>
        </w:tc>
        <w:tc>
          <w:tcPr>
            <w:tcW w:w="6630" w:type="dxa"/>
            <w:noWrap w:val="0"/>
            <w:vAlign w:val="top"/>
          </w:tcPr>
          <w:p w14:paraId="4E06EA2D">
            <w:pPr>
              <w:rPr>
                <w:rFonts w:hint="eastAsia" w:ascii="宋体" w:hAnsi="宋体" w:eastAsia="宋体" w:cs="宋体"/>
                <w:color w:val="auto"/>
                <w:spacing w:val="0"/>
              </w:rPr>
            </w:pPr>
          </w:p>
        </w:tc>
      </w:tr>
      <w:tr w14:paraId="7E780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2343" w:type="dxa"/>
            <w:noWrap w:val="0"/>
            <w:vAlign w:val="top"/>
          </w:tcPr>
          <w:p w14:paraId="4BB152A7">
            <w:pPr>
              <w:pStyle w:val="22"/>
              <w:spacing w:before="222" w:line="221" w:lineRule="auto"/>
              <w:ind w:left="581"/>
              <w:rPr>
                <w:rFonts w:hint="eastAsia" w:ascii="宋体" w:hAnsi="宋体" w:eastAsia="宋体" w:cs="宋体"/>
                <w:color w:val="auto"/>
                <w:spacing w:val="0"/>
              </w:rPr>
            </w:pPr>
            <w:r>
              <w:rPr>
                <w:rFonts w:hint="eastAsia" w:ascii="宋体" w:hAnsi="宋体" w:eastAsia="宋体" w:cs="宋体"/>
                <w:color w:val="auto"/>
                <w:spacing w:val="0"/>
              </w:rPr>
              <w:t>发包人电话</w:t>
            </w:r>
          </w:p>
        </w:tc>
        <w:tc>
          <w:tcPr>
            <w:tcW w:w="6630" w:type="dxa"/>
            <w:noWrap w:val="0"/>
            <w:vAlign w:val="top"/>
          </w:tcPr>
          <w:p w14:paraId="0D0EB9D1">
            <w:pPr>
              <w:rPr>
                <w:rFonts w:hint="eastAsia" w:ascii="宋体" w:hAnsi="宋体" w:eastAsia="宋体" w:cs="宋体"/>
                <w:color w:val="auto"/>
                <w:spacing w:val="0"/>
              </w:rPr>
            </w:pPr>
          </w:p>
        </w:tc>
      </w:tr>
      <w:tr w14:paraId="644F6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2343" w:type="dxa"/>
            <w:noWrap w:val="0"/>
            <w:vAlign w:val="top"/>
          </w:tcPr>
          <w:p w14:paraId="4803A843">
            <w:pPr>
              <w:pStyle w:val="22"/>
              <w:spacing w:before="210" w:line="219" w:lineRule="auto"/>
              <w:ind w:left="698"/>
              <w:rPr>
                <w:rFonts w:hint="eastAsia" w:ascii="宋体" w:hAnsi="宋体" w:eastAsia="宋体" w:cs="宋体"/>
                <w:color w:val="auto"/>
                <w:spacing w:val="0"/>
              </w:rPr>
            </w:pPr>
            <w:r>
              <w:rPr>
                <w:rFonts w:hint="eastAsia" w:ascii="宋体" w:hAnsi="宋体" w:eastAsia="宋体" w:cs="宋体"/>
                <w:color w:val="auto"/>
                <w:spacing w:val="0"/>
              </w:rPr>
              <w:t>合同价格</w:t>
            </w:r>
          </w:p>
        </w:tc>
        <w:tc>
          <w:tcPr>
            <w:tcW w:w="6630" w:type="dxa"/>
            <w:noWrap w:val="0"/>
            <w:vAlign w:val="top"/>
          </w:tcPr>
          <w:p w14:paraId="3747E2F5">
            <w:pPr>
              <w:rPr>
                <w:rFonts w:hint="eastAsia" w:ascii="宋体" w:hAnsi="宋体" w:eastAsia="宋体" w:cs="宋体"/>
                <w:color w:val="auto"/>
                <w:spacing w:val="0"/>
              </w:rPr>
            </w:pPr>
          </w:p>
        </w:tc>
      </w:tr>
      <w:tr w14:paraId="05C0C0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2343" w:type="dxa"/>
            <w:noWrap w:val="0"/>
            <w:vAlign w:val="top"/>
          </w:tcPr>
          <w:p w14:paraId="44B8B9A2">
            <w:pPr>
              <w:pStyle w:val="22"/>
              <w:spacing w:before="210" w:line="221" w:lineRule="auto"/>
              <w:ind w:left="698"/>
              <w:rPr>
                <w:rFonts w:hint="eastAsia" w:ascii="宋体" w:hAnsi="宋体" w:eastAsia="宋体" w:cs="宋体"/>
                <w:color w:val="auto"/>
                <w:spacing w:val="0"/>
              </w:rPr>
            </w:pPr>
            <w:r>
              <w:rPr>
                <w:rFonts w:hint="eastAsia" w:ascii="宋体" w:hAnsi="宋体" w:eastAsia="宋体" w:cs="宋体"/>
                <w:color w:val="auto"/>
                <w:spacing w:val="0"/>
              </w:rPr>
              <w:t>质量要求</w:t>
            </w:r>
          </w:p>
        </w:tc>
        <w:tc>
          <w:tcPr>
            <w:tcW w:w="6630" w:type="dxa"/>
            <w:noWrap w:val="0"/>
            <w:vAlign w:val="top"/>
          </w:tcPr>
          <w:p w14:paraId="07D4E71A">
            <w:pPr>
              <w:rPr>
                <w:rFonts w:hint="eastAsia" w:ascii="宋体" w:hAnsi="宋体" w:eastAsia="宋体" w:cs="宋体"/>
                <w:color w:val="auto"/>
                <w:spacing w:val="0"/>
              </w:rPr>
            </w:pPr>
          </w:p>
        </w:tc>
      </w:tr>
      <w:tr w14:paraId="7E58E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2343" w:type="dxa"/>
            <w:noWrap w:val="0"/>
            <w:vAlign w:val="top"/>
          </w:tcPr>
          <w:p w14:paraId="2A918E3C">
            <w:pPr>
              <w:pStyle w:val="22"/>
              <w:spacing w:before="224" w:line="222" w:lineRule="auto"/>
              <w:ind w:left="940"/>
              <w:rPr>
                <w:rFonts w:hint="eastAsia" w:ascii="宋体" w:hAnsi="宋体" w:eastAsia="宋体" w:cs="宋体"/>
                <w:color w:val="auto"/>
                <w:spacing w:val="0"/>
              </w:rPr>
            </w:pPr>
            <w:r>
              <w:rPr>
                <w:rFonts w:hint="eastAsia" w:ascii="宋体" w:hAnsi="宋体" w:eastAsia="宋体" w:cs="宋体"/>
                <w:color w:val="auto"/>
                <w:spacing w:val="0"/>
              </w:rPr>
              <w:t>备注</w:t>
            </w:r>
          </w:p>
        </w:tc>
        <w:tc>
          <w:tcPr>
            <w:tcW w:w="6630" w:type="dxa"/>
            <w:noWrap w:val="0"/>
            <w:vAlign w:val="top"/>
          </w:tcPr>
          <w:p w14:paraId="109114B4">
            <w:pPr>
              <w:rPr>
                <w:rFonts w:hint="eastAsia" w:ascii="宋体" w:hAnsi="宋体" w:eastAsia="宋体" w:cs="宋体"/>
                <w:color w:val="auto"/>
                <w:spacing w:val="0"/>
              </w:rPr>
            </w:pPr>
          </w:p>
        </w:tc>
      </w:tr>
    </w:tbl>
    <w:p w14:paraId="14299F12">
      <w:pPr>
        <w:spacing w:line="251" w:lineRule="auto"/>
        <w:rPr>
          <w:rFonts w:hint="eastAsia" w:ascii="宋体" w:hAnsi="宋体" w:eastAsia="宋体" w:cs="宋体"/>
          <w:color w:val="auto"/>
          <w:spacing w:val="0"/>
        </w:rPr>
      </w:pPr>
    </w:p>
    <w:p w14:paraId="10D5805D">
      <w:pPr>
        <w:spacing w:line="251" w:lineRule="auto"/>
        <w:rPr>
          <w:rFonts w:hint="eastAsia" w:ascii="宋体" w:hAnsi="宋体" w:eastAsia="宋体" w:cs="宋体"/>
          <w:color w:val="auto"/>
          <w:spacing w:val="0"/>
        </w:rPr>
      </w:pPr>
    </w:p>
    <w:p w14:paraId="1CEFD9A4">
      <w:pPr>
        <w:pStyle w:val="3"/>
        <w:spacing w:before="78" w:line="220" w:lineRule="auto"/>
        <w:ind w:left="677"/>
        <w:rPr>
          <w:rFonts w:hint="eastAsia" w:ascii="宋体" w:hAnsi="宋体" w:eastAsia="宋体" w:cs="宋体"/>
          <w:color w:val="auto"/>
          <w:spacing w:val="0"/>
          <w:sz w:val="24"/>
          <w:szCs w:val="24"/>
        </w:rPr>
        <w:sectPr>
          <w:footerReference r:id="rId20" w:type="default"/>
          <w:pgSz w:w="11905" w:h="16838"/>
          <w:pgMar w:top="1440" w:right="1440" w:bottom="1440" w:left="1440" w:header="0" w:footer="986" w:gutter="0"/>
          <w:pgNumType w:fmt="decimal"/>
          <w:cols w:space="720" w:num="1"/>
          <w:rtlGutter w:val="0"/>
          <w:docGrid w:linePitch="0" w:charSpace="0"/>
        </w:sectPr>
      </w:pPr>
      <w:r>
        <w:rPr>
          <w:rFonts w:hint="eastAsia" w:ascii="宋体" w:hAnsi="宋体" w:eastAsia="宋体" w:cs="宋体"/>
          <w:color w:val="auto"/>
          <w:spacing w:val="0"/>
          <w:szCs w:val="24"/>
        </w:rPr>
        <w:t>备注：每张表格只填写一个项目，可标明序号及业绩类型。</w:t>
      </w:r>
    </w:p>
    <w:p w14:paraId="0ED3E203">
      <w:pPr>
        <w:pStyle w:val="3"/>
        <w:numPr>
          <w:ilvl w:val="0"/>
          <w:numId w:val="0"/>
        </w:numPr>
        <w:spacing w:before="181" w:line="221" w:lineRule="auto"/>
        <w:ind w:leftChars="100"/>
        <w:jc w:val="center"/>
        <w:outlineLvl w:val="0"/>
        <w:rPr>
          <w:rFonts w:hint="eastAsia" w:ascii="宋体" w:hAnsi="宋体" w:eastAsia="宋体" w:cs="宋体"/>
          <w:b/>
          <w:bCs/>
          <w:color w:val="auto"/>
          <w:spacing w:val="0"/>
          <w:sz w:val="32"/>
          <w:szCs w:val="32"/>
          <w:lang w:val="en-US" w:eastAsia="zh-CN"/>
        </w:rPr>
      </w:pPr>
      <w:r>
        <w:rPr>
          <w:rFonts w:hint="eastAsia" w:ascii="宋体" w:hAnsi="宋体" w:eastAsia="宋体" w:cs="宋体"/>
          <w:b/>
          <w:bCs/>
          <w:color w:val="auto"/>
          <w:spacing w:val="0"/>
          <w:sz w:val="32"/>
          <w:szCs w:val="32"/>
          <w:lang w:val="en-US" w:eastAsia="zh-CN"/>
        </w:rPr>
        <w:t>八、投标人应附的其它资料</w:t>
      </w:r>
    </w:p>
    <w:p w14:paraId="2368ED8A">
      <w:pPr>
        <w:widowControl/>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（投标人认为需要提供的相关资料）</w:t>
      </w:r>
    </w:p>
    <w:p w14:paraId="4DCFF1C7">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br w:type="page"/>
      </w:r>
    </w:p>
    <w:p w14:paraId="44783A9D">
      <w:pPr>
        <w:keepNext w:val="0"/>
        <w:keepLines w:val="0"/>
        <w:pageBreakBefore w:val="0"/>
        <w:kinsoku/>
        <w:wordWrap/>
        <w:overflowPunct/>
        <w:topLinePunct w:val="0"/>
        <w:autoSpaceDE/>
        <w:autoSpaceDN/>
        <w:bidi w:val="0"/>
        <w:adjustRightInd/>
        <w:snapToGrid/>
        <w:spacing w:line="600" w:lineRule="exact"/>
        <w:jc w:val="left"/>
        <w:textAlignment w:val="auto"/>
        <w:rPr>
          <w:rFonts w:hint="default" w:ascii="宋体" w:hAnsi="宋体" w:eastAsia="宋体" w:cs="宋体"/>
          <w:b/>
          <w:color w:val="auto"/>
          <w:sz w:val="24"/>
          <w:szCs w:val="21"/>
          <w:lang w:val="en-US" w:eastAsia="zh-CN"/>
        </w:rPr>
      </w:pPr>
      <w:r>
        <w:rPr>
          <w:rFonts w:hint="eastAsia" w:ascii="宋体" w:hAnsi="宋体" w:eastAsia="宋体" w:cs="宋体"/>
          <w:b/>
          <w:color w:val="auto"/>
          <w:sz w:val="24"/>
          <w:szCs w:val="21"/>
          <w:lang w:val="en-US" w:eastAsia="zh-CN"/>
        </w:rPr>
        <w:t>附件1</w:t>
      </w:r>
    </w:p>
    <w:p w14:paraId="53D5DCF8">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auto"/>
          <w:sz w:val="24"/>
          <w:szCs w:val="24"/>
        </w:rPr>
      </w:pPr>
      <w:r>
        <w:rPr>
          <w:rFonts w:hint="eastAsia" w:ascii="宋体" w:hAnsi="宋体" w:eastAsia="宋体" w:cs="宋体"/>
          <w:b/>
          <w:color w:val="auto"/>
          <w:sz w:val="24"/>
          <w:szCs w:val="21"/>
        </w:rPr>
        <w:t>中小企业声明函</w:t>
      </w:r>
      <w:bookmarkStart w:id="88" w:name="_Toc5242_WPSOffice_Level2"/>
      <w:bookmarkStart w:id="89" w:name="_Toc9571_WPSOffice_Level2"/>
      <w:bookmarkStart w:id="90" w:name="_Toc32209_WPSOffice_Level2"/>
      <w:r>
        <w:rPr>
          <w:rFonts w:hint="eastAsia" w:ascii="宋体" w:hAnsi="宋体" w:eastAsia="宋体" w:cs="宋体"/>
          <w:b/>
          <w:color w:val="auto"/>
          <w:sz w:val="24"/>
          <w:szCs w:val="21"/>
        </w:rPr>
        <w:t>（服务）</w:t>
      </w:r>
    </w:p>
    <w:p w14:paraId="322F114C">
      <w:pPr>
        <w:pStyle w:val="15"/>
        <w:keepNext w:val="0"/>
        <w:keepLines w:val="0"/>
        <w:pageBreakBefore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（属于中小微企业的填写，不属于的无需填写此项内容）</w:t>
      </w:r>
      <w:bookmarkEnd w:id="88"/>
      <w:bookmarkEnd w:id="89"/>
      <w:bookmarkEnd w:id="90"/>
    </w:p>
    <w:p w14:paraId="04A04CFB">
      <w:pPr>
        <w:rPr>
          <w:rFonts w:hint="eastAsia"/>
          <w:color w:val="auto"/>
        </w:rPr>
      </w:pPr>
    </w:p>
    <w:p w14:paraId="70E3A668">
      <w:pPr>
        <w:pStyle w:val="1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本公司（联合体）郑重声明，根据《政府采购促进中小企业发展管理办法》（财库（2020）46号）的规定，本公司（联合体）参加</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（单位名称）</w:t>
      </w:r>
      <w:r>
        <w:rPr>
          <w:rFonts w:hint="eastAsia" w:ascii="宋体" w:hAnsi="宋体" w:eastAsia="宋体" w:cs="宋体"/>
          <w:color w:val="auto"/>
          <w:sz w:val="24"/>
          <w:szCs w:val="24"/>
        </w:rPr>
        <w:t>的</w:t>
      </w:r>
      <w:r>
        <w:rPr>
          <w:rFonts w:hint="eastAsia" w:ascii="宋体" w:hAnsi="宋体" w:eastAsia="宋体" w:cs="宋体"/>
          <w:color w:val="auto"/>
          <w:sz w:val="24"/>
          <w:szCs w:val="24"/>
          <w:u w:val="single"/>
        </w:rPr>
        <w:t>（项目名称）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采购活动，服务全部由符合政策要求的中小企业承接。相关企业（含联合体中的中小企业、签订分包意向协议的中小企业）的具体情况如下：</w:t>
      </w:r>
    </w:p>
    <w:p w14:paraId="3941BE6E">
      <w:pPr>
        <w:pStyle w:val="1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u w:val="single"/>
        </w:rPr>
        <w:t>（标的名称）</w:t>
      </w:r>
      <w:r>
        <w:rPr>
          <w:rFonts w:hint="eastAsia" w:ascii="宋体" w:hAnsi="宋体" w:eastAsia="宋体" w:cs="宋体"/>
          <w:color w:val="auto"/>
          <w:sz w:val="24"/>
          <w:szCs w:val="24"/>
        </w:rPr>
        <w:t>，属于</w:t>
      </w:r>
      <w:r>
        <w:rPr>
          <w:rFonts w:hint="eastAsia" w:ascii="宋体" w:hAnsi="宋体" w:eastAsia="宋体" w:cs="宋体"/>
          <w:color w:val="auto"/>
          <w:sz w:val="24"/>
          <w:szCs w:val="24"/>
          <w:u w:val="single"/>
        </w:rPr>
        <w:t>（采购文件中明确的所属行业）</w:t>
      </w:r>
      <w:r>
        <w:rPr>
          <w:rFonts w:hint="eastAsia" w:ascii="宋体" w:hAnsi="宋体" w:eastAsia="宋体" w:cs="宋体"/>
          <w:color w:val="auto"/>
          <w:sz w:val="24"/>
          <w:szCs w:val="24"/>
        </w:rPr>
        <w:t>；承建（承接）企业为</w:t>
      </w:r>
      <w:r>
        <w:rPr>
          <w:rFonts w:hint="eastAsia" w:ascii="宋体" w:hAnsi="宋体" w:eastAsia="宋体" w:cs="宋体"/>
          <w:color w:val="auto"/>
          <w:sz w:val="24"/>
          <w:szCs w:val="24"/>
          <w:u w:val="single"/>
        </w:rPr>
        <w:t>（企业名称）</w:t>
      </w:r>
      <w:r>
        <w:rPr>
          <w:rFonts w:hint="eastAsia" w:ascii="宋体" w:hAnsi="宋体" w:eastAsia="宋体" w:cs="宋体"/>
          <w:color w:val="auto"/>
          <w:sz w:val="24"/>
          <w:szCs w:val="24"/>
        </w:rPr>
        <w:t>，从业人员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人，营业收入为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万元，资产总额为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万元，属于</w:t>
      </w:r>
      <w:r>
        <w:rPr>
          <w:rFonts w:hint="eastAsia" w:ascii="宋体" w:hAnsi="宋体" w:eastAsia="宋体" w:cs="宋体"/>
          <w:color w:val="auto"/>
          <w:sz w:val="24"/>
          <w:szCs w:val="24"/>
          <w:u w:val="single"/>
        </w:rPr>
        <w:t>（中型企业、小型企业、微型企业）</w:t>
      </w:r>
      <w:r>
        <w:rPr>
          <w:rFonts w:hint="eastAsia" w:ascii="宋体" w:hAnsi="宋体" w:eastAsia="宋体" w:cs="宋体"/>
          <w:color w:val="auto"/>
          <w:sz w:val="24"/>
          <w:szCs w:val="24"/>
        </w:rPr>
        <w:t>；</w:t>
      </w:r>
    </w:p>
    <w:p w14:paraId="3A57D122">
      <w:pPr>
        <w:pStyle w:val="15"/>
        <w:ind w:firstLine="84" w:firstLineChars="35"/>
        <w:rPr>
          <w:rFonts w:hint="eastAsia" w:ascii="宋体" w:hAnsi="宋体" w:eastAsia="宋体" w:cs="宋体"/>
          <w:color w:val="auto"/>
          <w:sz w:val="24"/>
          <w:szCs w:val="24"/>
        </w:rPr>
      </w:pPr>
      <w:r>
        <w:rPr>
          <w:rFonts w:hint="eastAsia" w:ascii="宋体" w:hAnsi="宋体" w:eastAsia="宋体" w:cs="宋体"/>
          <w:color w:val="auto"/>
          <w:sz w:val="24"/>
          <w:szCs w:val="24"/>
        </w:rPr>
        <w:t>......</w:t>
      </w:r>
    </w:p>
    <w:p w14:paraId="3957FC9A">
      <w:pPr>
        <w:pStyle w:val="1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以上企业，不属于大企业的分支机构，不存在控股股东为大企业的情形，也不存在与大企业的负责人为同一人的情形。</w:t>
      </w:r>
    </w:p>
    <w:p w14:paraId="3F23972E">
      <w:pPr>
        <w:pStyle w:val="1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本企业对上述声明内容的真实性负责。如有虚假，将依法承担相应责任。</w:t>
      </w:r>
    </w:p>
    <w:p w14:paraId="34ECE083">
      <w:pPr>
        <w:pStyle w:val="15"/>
        <w:spacing w:line="500" w:lineRule="exact"/>
        <w:ind w:firstLine="480" w:firstLineChars="200"/>
        <w:rPr>
          <w:rFonts w:hint="eastAsia" w:ascii="宋体" w:hAnsi="宋体" w:eastAsia="宋体" w:cs="宋体"/>
          <w:color w:val="auto"/>
          <w:sz w:val="24"/>
          <w:szCs w:val="24"/>
        </w:rPr>
      </w:pPr>
    </w:p>
    <w:p w14:paraId="01C1D11D">
      <w:pPr>
        <w:pStyle w:val="15"/>
        <w:spacing w:line="500" w:lineRule="exact"/>
        <w:ind w:firstLine="480" w:firstLineChars="200"/>
        <w:jc w:val="right"/>
        <w:rPr>
          <w:rFonts w:hint="eastAsia" w:ascii="宋体" w:hAnsi="宋体" w:eastAsia="宋体" w:cs="宋体"/>
          <w:color w:val="auto"/>
          <w:sz w:val="24"/>
          <w:szCs w:val="24"/>
          <w:lang w:eastAsia="zh-CN"/>
        </w:rPr>
      </w:pPr>
    </w:p>
    <w:p w14:paraId="247AFAA3">
      <w:pPr>
        <w:pStyle w:val="15"/>
        <w:spacing w:line="500" w:lineRule="exact"/>
        <w:ind w:firstLine="480" w:firstLineChars="200"/>
        <w:jc w:val="right"/>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投标供应商</w:t>
      </w:r>
      <w:r>
        <w:rPr>
          <w:rFonts w:hint="eastAsia" w:ascii="宋体" w:hAnsi="宋体" w:eastAsia="宋体" w:cs="宋体"/>
          <w:color w:val="auto"/>
          <w:sz w:val="24"/>
          <w:szCs w:val="24"/>
        </w:rPr>
        <w:t>：</w:t>
      </w:r>
      <w:r>
        <w:rPr>
          <w:rFonts w:hint="eastAsia" w:ascii="宋体" w:hAnsi="宋体"/>
          <w:color w:val="auto"/>
          <w:kern w:val="2"/>
          <w:sz w:val="24"/>
          <w:szCs w:val="24"/>
          <w:u w:val="single"/>
          <w:lang w:val="en-US" w:eastAsia="zh-CN"/>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盖</w:t>
      </w:r>
      <w:r>
        <w:rPr>
          <w:rFonts w:hint="eastAsia" w:ascii="宋体" w:hAnsi="宋体" w:eastAsia="宋体" w:cs="宋体"/>
          <w:color w:val="auto"/>
          <w:sz w:val="24"/>
          <w:szCs w:val="24"/>
        </w:rPr>
        <w:t>章）</w:t>
      </w:r>
    </w:p>
    <w:p w14:paraId="62B29344">
      <w:pPr>
        <w:pStyle w:val="15"/>
        <w:spacing w:line="500" w:lineRule="exact"/>
        <w:ind w:firstLine="480" w:firstLineChars="20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日</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期：</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年  月  日</w:t>
      </w:r>
    </w:p>
    <w:p w14:paraId="79B2B359">
      <w:pPr>
        <w:pStyle w:val="15"/>
        <w:spacing w:line="500" w:lineRule="exact"/>
        <w:ind w:left="0" w:leftChars="0" w:firstLine="0" w:firstLineChars="0"/>
        <w:rPr>
          <w:rFonts w:hint="eastAsia"/>
          <w:color w:val="auto"/>
        </w:rPr>
      </w:pPr>
      <w:r>
        <w:rPr>
          <w:rFonts w:hint="eastAsia" w:ascii="宋体" w:hAnsi="宋体" w:eastAsia="宋体" w:cs="宋体"/>
          <w:color w:val="auto"/>
          <w:sz w:val="24"/>
          <w:szCs w:val="24"/>
        </w:rPr>
        <w:t>注：从业人员、营业收入、资产总额填报上一年度数据，无上一年度数据的新成立企业可不填报。</w:t>
      </w:r>
    </w:p>
    <w:p w14:paraId="6690F918">
      <w:pPr>
        <w:pStyle w:val="3"/>
        <w:rPr>
          <w:rFonts w:hint="eastAsia"/>
          <w:color w:val="auto"/>
        </w:rPr>
      </w:pPr>
    </w:p>
    <w:p w14:paraId="22BBDDF0">
      <w:pPr>
        <w:pStyle w:val="4"/>
        <w:rPr>
          <w:rFonts w:hint="eastAsia"/>
          <w:color w:val="auto"/>
        </w:rPr>
      </w:pPr>
    </w:p>
    <w:p w14:paraId="1A09F754">
      <w:pPr>
        <w:pStyle w:val="4"/>
        <w:rPr>
          <w:rFonts w:hint="eastAsia"/>
          <w:color w:val="auto"/>
        </w:rPr>
      </w:pPr>
    </w:p>
    <w:p w14:paraId="16CBC84D">
      <w:pPr>
        <w:keepNext w:val="0"/>
        <w:keepLines w:val="0"/>
        <w:pageBreakBefore w:val="0"/>
        <w:kinsoku/>
        <w:wordWrap/>
        <w:overflowPunct/>
        <w:topLinePunct w:val="0"/>
        <w:autoSpaceDE/>
        <w:autoSpaceDN/>
        <w:bidi w:val="0"/>
        <w:adjustRightInd/>
        <w:snapToGrid/>
        <w:spacing w:line="600" w:lineRule="exact"/>
        <w:jc w:val="left"/>
        <w:textAlignment w:val="auto"/>
        <w:rPr>
          <w:rFonts w:hint="eastAsia" w:ascii="宋体" w:hAnsi="宋体" w:eastAsia="宋体" w:cs="宋体"/>
          <w:b/>
          <w:color w:val="auto"/>
          <w:sz w:val="24"/>
          <w:szCs w:val="21"/>
          <w:lang w:val="en-US" w:eastAsia="zh-CN"/>
        </w:rPr>
      </w:pPr>
    </w:p>
    <w:p w14:paraId="3336E17C">
      <w:pPr>
        <w:keepNext w:val="0"/>
        <w:keepLines w:val="0"/>
        <w:pageBreakBefore w:val="0"/>
        <w:kinsoku/>
        <w:wordWrap/>
        <w:overflowPunct/>
        <w:topLinePunct w:val="0"/>
        <w:autoSpaceDE/>
        <w:autoSpaceDN/>
        <w:bidi w:val="0"/>
        <w:adjustRightInd/>
        <w:snapToGrid/>
        <w:spacing w:line="600" w:lineRule="exact"/>
        <w:jc w:val="left"/>
        <w:textAlignment w:val="auto"/>
        <w:rPr>
          <w:rFonts w:hint="eastAsia" w:ascii="宋体" w:hAnsi="宋体" w:eastAsia="宋体" w:cs="宋体"/>
          <w:b w:val="0"/>
          <w:bCs w:val="0"/>
          <w:color w:val="auto"/>
          <w:sz w:val="28"/>
          <w:szCs w:val="20"/>
          <w:highlight w:val="none"/>
          <w:lang w:val="en-US" w:eastAsia="zh-CN" w:bidi="zh-CN"/>
        </w:rPr>
      </w:pPr>
      <w:r>
        <w:rPr>
          <w:rFonts w:hint="eastAsia" w:ascii="宋体" w:hAnsi="宋体" w:eastAsia="宋体" w:cs="宋体"/>
          <w:b/>
          <w:color w:val="auto"/>
          <w:sz w:val="24"/>
          <w:szCs w:val="21"/>
          <w:lang w:val="en-US" w:eastAsia="zh-CN"/>
        </w:rPr>
        <w:t>附件2</w:t>
      </w:r>
    </w:p>
    <w:p w14:paraId="43FE7F4D">
      <w:pPr>
        <w:pStyle w:val="10"/>
        <w:spacing w:line="500" w:lineRule="exact"/>
        <w:ind w:firstLine="3082" w:firstLineChars="1100"/>
        <w:jc w:val="both"/>
        <w:rPr>
          <w:rFonts w:hint="eastAsia" w:ascii="宋体" w:hAnsi="Calibri" w:eastAsia="Calibri" w:cs="宋体"/>
          <w:b/>
          <w:bCs/>
          <w:color w:val="auto"/>
          <w:kern w:val="0"/>
          <w:sz w:val="28"/>
          <w:szCs w:val="28"/>
          <w:highlight w:val="none"/>
          <w:lang w:val="en-US" w:eastAsia="en-US" w:bidi="ar-SA"/>
        </w:rPr>
      </w:pPr>
      <w:r>
        <w:rPr>
          <w:rFonts w:hint="eastAsia" w:ascii="宋体" w:hAnsi="Calibri" w:eastAsia="Calibri" w:cs="宋体"/>
          <w:b/>
          <w:bCs/>
          <w:color w:val="auto"/>
          <w:kern w:val="0"/>
          <w:sz w:val="28"/>
          <w:szCs w:val="28"/>
          <w:highlight w:val="none"/>
          <w:lang w:val="en-US" w:eastAsia="en-US" w:bidi="ar-SA"/>
        </w:rPr>
        <w:t>残疾人福利性单位声明函</w:t>
      </w:r>
    </w:p>
    <w:p w14:paraId="2AF477D2">
      <w:pPr>
        <w:pStyle w:val="10"/>
        <w:spacing w:line="500" w:lineRule="exact"/>
        <w:jc w:val="center"/>
        <w:rPr>
          <w:rFonts w:hint="eastAsia" w:cs="宋体"/>
          <w:color w:val="auto"/>
          <w:sz w:val="24"/>
          <w:szCs w:val="22"/>
          <w:highlight w:val="none"/>
          <w:lang w:val="en-US"/>
        </w:rPr>
      </w:pPr>
      <w:bookmarkStart w:id="91" w:name="_Toc21113_WPSOffice_Level2"/>
      <w:bookmarkStart w:id="92" w:name="_Toc13796_WPSOffice_Level2"/>
      <w:bookmarkStart w:id="93" w:name="_Toc18688"/>
      <w:bookmarkStart w:id="94" w:name="_Toc30155"/>
      <w:bookmarkStart w:id="95" w:name="_Toc31670_WPSOffice_Level2"/>
      <w:r>
        <w:rPr>
          <w:rFonts w:hint="eastAsia" w:cs="宋体"/>
          <w:color w:val="auto"/>
          <w:kern w:val="2"/>
          <w:sz w:val="24"/>
          <w:szCs w:val="24"/>
          <w:highlight w:val="none"/>
          <w:lang w:val="en-US" w:bidi="ar-SA"/>
        </w:rPr>
        <w:t>（属于残疾人福利性单位的填写，不属于的无需填写此项内容）</w:t>
      </w:r>
      <w:bookmarkEnd w:id="91"/>
      <w:bookmarkEnd w:id="92"/>
      <w:bookmarkEnd w:id="93"/>
      <w:bookmarkEnd w:id="94"/>
      <w:bookmarkEnd w:id="95"/>
    </w:p>
    <w:p w14:paraId="46C05BCD">
      <w:pPr>
        <w:spacing w:line="500" w:lineRule="exact"/>
        <w:ind w:firstLine="480" w:firstLineChars="200"/>
        <w:jc w:val="both"/>
        <w:rPr>
          <w:rFonts w:hint="eastAsia"/>
          <w:color w:val="auto"/>
          <w:kern w:val="2"/>
          <w:sz w:val="24"/>
          <w:highlight w:val="none"/>
          <w:lang w:val="en-US" w:bidi="ar"/>
        </w:rPr>
      </w:pPr>
    </w:p>
    <w:p w14:paraId="02E47B13">
      <w:pPr>
        <w:spacing w:line="500" w:lineRule="exact"/>
        <w:ind w:firstLine="480" w:firstLineChars="200"/>
        <w:jc w:val="both"/>
        <w:rPr>
          <w:rFonts w:hint="eastAsia"/>
          <w:color w:val="auto"/>
          <w:sz w:val="24"/>
          <w:highlight w:val="none"/>
          <w:lang w:val="en-US"/>
        </w:rPr>
      </w:pPr>
      <w:r>
        <w:rPr>
          <w:rFonts w:hint="eastAsia"/>
          <w:color w:val="auto"/>
          <w:kern w:val="2"/>
          <w:sz w:val="24"/>
          <w:highlight w:val="none"/>
          <w:lang w:val="en-US" w:bidi="ar"/>
        </w:rPr>
        <w:t>本单位郑重声明，根据《财政部 民政部 中国残疾人联合会关于促进残疾人就业政府采购政策的通知》（财库〔2017〕141 号）的规定，本单位为符合条件的残疾人福利性单位，且本单位参加</w:t>
      </w:r>
      <w:r>
        <w:rPr>
          <w:rFonts w:hint="eastAsia"/>
          <w:color w:val="auto"/>
          <w:kern w:val="2"/>
          <w:sz w:val="24"/>
          <w:highlight w:val="none"/>
          <w:u w:val="single"/>
          <w:lang w:val="en-US" w:bidi="ar"/>
        </w:rPr>
        <w:t xml:space="preserve">          </w:t>
      </w:r>
      <w:r>
        <w:rPr>
          <w:rFonts w:hint="eastAsia"/>
          <w:color w:val="auto"/>
          <w:kern w:val="2"/>
          <w:sz w:val="24"/>
          <w:highlight w:val="none"/>
          <w:lang w:val="en-US" w:bidi="ar"/>
        </w:rPr>
        <w:t>单位的</w:t>
      </w:r>
      <w:r>
        <w:rPr>
          <w:rFonts w:hint="eastAsia"/>
          <w:color w:val="auto"/>
          <w:kern w:val="2"/>
          <w:sz w:val="24"/>
          <w:highlight w:val="none"/>
          <w:u w:val="single"/>
          <w:lang w:val="en-US" w:bidi="ar"/>
        </w:rPr>
        <w:t xml:space="preserve">         </w:t>
      </w:r>
      <w:r>
        <w:rPr>
          <w:rFonts w:hint="eastAsia"/>
          <w:color w:val="auto"/>
          <w:kern w:val="2"/>
          <w:sz w:val="24"/>
          <w:highlight w:val="none"/>
          <w:lang w:val="en-US" w:bidi="ar"/>
        </w:rPr>
        <w:t>项目采购活动，提供本单位制造的货物（由本单位承担工程/提供服务），或者提供其他残疾人福利性单位制造的货物（不包括使用非残疾人福利性单位注册商标的货物）。</w:t>
      </w:r>
    </w:p>
    <w:p w14:paraId="55E860F4">
      <w:pPr>
        <w:spacing w:line="500" w:lineRule="exact"/>
        <w:ind w:firstLine="480" w:firstLineChars="200"/>
        <w:jc w:val="both"/>
        <w:rPr>
          <w:rFonts w:hint="eastAsia"/>
          <w:color w:val="auto"/>
          <w:sz w:val="24"/>
          <w:highlight w:val="none"/>
          <w:lang w:val="en-US"/>
        </w:rPr>
      </w:pPr>
      <w:r>
        <w:rPr>
          <w:rFonts w:hint="eastAsia"/>
          <w:color w:val="auto"/>
          <w:kern w:val="2"/>
          <w:sz w:val="24"/>
          <w:highlight w:val="none"/>
          <w:lang w:val="en-US" w:bidi="ar"/>
        </w:rPr>
        <w:t>本单位对上述声明的真实性负责。如有虚假，将依法承担相应责任。</w:t>
      </w:r>
    </w:p>
    <w:p w14:paraId="3C28B304">
      <w:pPr>
        <w:pStyle w:val="10"/>
        <w:rPr>
          <w:rFonts w:hint="eastAsia" w:cs="宋体"/>
          <w:color w:val="auto"/>
          <w:kern w:val="2"/>
          <w:sz w:val="24"/>
          <w:szCs w:val="24"/>
          <w:highlight w:val="none"/>
          <w:lang w:val="en-US" w:bidi="ar-SA"/>
        </w:rPr>
      </w:pPr>
    </w:p>
    <w:p w14:paraId="1DA9CED4">
      <w:pPr>
        <w:pStyle w:val="15"/>
        <w:spacing w:line="500" w:lineRule="exact"/>
        <w:ind w:firstLine="400" w:firstLineChars="200"/>
        <w:jc w:val="right"/>
        <w:rPr>
          <w:rFonts w:hint="eastAsia"/>
          <w:color w:val="auto"/>
          <w:kern w:val="2"/>
          <w:szCs w:val="24"/>
          <w:highlight w:val="none"/>
          <w:lang w:val="en-US" w:bidi="ar-SA"/>
        </w:rPr>
      </w:pPr>
      <w:r>
        <w:rPr>
          <w:rFonts w:hint="eastAsia"/>
          <w:color w:val="auto"/>
          <w:kern w:val="2"/>
          <w:szCs w:val="24"/>
          <w:highlight w:val="none"/>
          <w:lang w:val="en-US" w:bidi="ar-SA"/>
        </w:rPr>
        <w:t xml:space="preserve">    </w:t>
      </w:r>
    </w:p>
    <w:p w14:paraId="3D49D193">
      <w:pPr>
        <w:pStyle w:val="15"/>
        <w:spacing w:line="500" w:lineRule="exact"/>
        <w:ind w:firstLine="400" w:firstLineChars="200"/>
        <w:jc w:val="right"/>
        <w:rPr>
          <w:rFonts w:hint="eastAsia"/>
          <w:color w:val="auto"/>
          <w:kern w:val="2"/>
          <w:szCs w:val="24"/>
          <w:highlight w:val="none"/>
          <w:lang w:val="en-US" w:bidi="ar-SA"/>
        </w:rPr>
      </w:pPr>
    </w:p>
    <w:p w14:paraId="1CEB5A0A">
      <w:pPr>
        <w:pStyle w:val="15"/>
        <w:spacing w:line="500" w:lineRule="exact"/>
        <w:ind w:firstLine="480" w:firstLineChars="200"/>
        <w:jc w:val="right"/>
        <w:rPr>
          <w:rFonts w:hint="eastAsia"/>
          <w:color w:val="auto"/>
          <w:sz w:val="24"/>
          <w:szCs w:val="32"/>
          <w:highlight w:val="none"/>
        </w:rPr>
      </w:pPr>
      <w:r>
        <w:rPr>
          <w:rFonts w:hint="eastAsia"/>
          <w:color w:val="auto"/>
          <w:kern w:val="2"/>
          <w:sz w:val="24"/>
          <w:szCs w:val="32"/>
          <w:highlight w:val="none"/>
          <w:lang w:val="en-US" w:bidi="ar-SA"/>
        </w:rPr>
        <w:t xml:space="preserve"> 投标</w:t>
      </w:r>
      <w:r>
        <w:rPr>
          <w:rFonts w:hint="eastAsia"/>
          <w:color w:val="auto"/>
          <w:sz w:val="24"/>
          <w:szCs w:val="32"/>
          <w:highlight w:val="none"/>
        </w:rPr>
        <w:t>供应商：</w:t>
      </w:r>
      <w:r>
        <w:rPr>
          <w:rFonts w:hint="eastAsia"/>
          <w:color w:val="auto"/>
          <w:kern w:val="2"/>
          <w:sz w:val="24"/>
          <w:szCs w:val="32"/>
          <w:highlight w:val="none"/>
          <w:u w:val="single"/>
          <w:lang w:val="en-US"/>
        </w:rPr>
        <w:t xml:space="preserve">       </w:t>
      </w:r>
      <w:r>
        <w:rPr>
          <w:rFonts w:hint="eastAsia"/>
          <w:color w:val="auto"/>
          <w:sz w:val="24"/>
          <w:szCs w:val="32"/>
          <w:highlight w:val="none"/>
        </w:rPr>
        <w:t>（公章电子签章）</w:t>
      </w:r>
    </w:p>
    <w:p w14:paraId="44F508A5">
      <w:pPr>
        <w:pStyle w:val="15"/>
        <w:spacing w:line="500" w:lineRule="exact"/>
        <w:ind w:firstLine="480" w:firstLineChars="200"/>
        <w:jc w:val="center"/>
        <w:rPr>
          <w:rFonts w:hint="eastAsia"/>
          <w:color w:val="auto"/>
          <w:sz w:val="24"/>
          <w:szCs w:val="32"/>
          <w:highlight w:val="none"/>
        </w:rPr>
      </w:pPr>
      <w:r>
        <w:rPr>
          <w:rFonts w:hint="eastAsia"/>
          <w:color w:val="auto"/>
          <w:sz w:val="24"/>
          <w:szCs w:val="32"/>
          <w:highlight w:val="none"/>
          <w:lang w:val="en-US"/>
        </w:rPr>
        <w:t xml:space="preserve">                                   </w:t>
      </w:r>
      <w:r>
        <w:rPr>
          <w:rFonts w:hint="eastAsia"/>
          <w:color w:val="auto"/>
          <w:sz w:val="24"/>
          <w:szCs w:val="32"/>
          <w:highlight w:val="none"/>
        </w:rPr>
        <w:t>日</w:t>
      </w:r>
      <w:r>
        <w:rPr>
          <w:rFonts w:hint="eastAsia"/>
          <w:color w:val="auto"/>
          <w:sz w:val="24"/>
          <w:szCs w:val="32"/>
          <w:highlight w:val="none"/>
          <w:lang w:val="en-US"/>
        </w:rPr>
        <w:t xml:space="preserve">      </w:t>
      </w:r>
      <w:r>
        <w:rPr>
          <w:rFonts w:hint="eastAsia"/>
          <w:color w:val="auto"/>
          <w:sz w:val="24"/>
          <w:szCs w:val="32"/>
          <w:highlight w:val="none"/>
        </w:rPr>
        <w:t>期：</w:t>
      </w:r>
      <w:r>
        <w:rPr>
          <w:rFonts w:hint="eastAsia"/>
          <w:color w:val="auto"/>
          <w:sz w:val="24"/>
          <w:szCs w:val="32"/>
          <w:highlight w:val="none"/>
          <w:lang w:val="en-US"/>
        </w:rPr>
        <w:t xml:space="preserve">     </w:t>
      </w:r>
      <w:r>
        <w:rPr>
          <w:rFonts w:hint="eastAsia"/>
          <w:color w:val="auto"/>
          <w:sz w:val="24"/>
          <w:szCs w:val="32"/>
          <w:highlight w:val="none"/>
        </w:rPr>
        <w:t>年  月  日</w:t>
      </w:r>
    </w:p>
    <w:p w14:paraId="544C9830">
      <w:pPr>
        <w:widowControl/>
        <w:jc w:val="center"/>
        <w:rPr>
          <w:rFonts w:hint="default" w:ascii="宋体" w:hAnsi="宋体" w:eastAsia="宋体" w:cs="宋体"/>
          <w:b/>
          <w:bCs/>
          <w:color w:val="auto"/>
          <w:sz w:val="21"/>
          <w:szCs w:val="21"/>
          <w:highlight w:val="none"/>
          <w:lang w:val="en-US" w:eastAsia="zh-CN"/>
        </w:rPr>
      </w:pPr>
    </w:p>
    <w:p w14:paraId="5DA6D70D">
      <w:pPr>
        <w:pStyle w:val="10"/>
        <w:numPr>
          <w:ilvl w:val="0"/>
          <w:numId w:val="0"/>
        </w:numPr>
        <w:rPr>
          <w:rFonts w:hint="default" w:eastAsia="宋体"/>
          <w:color w:val="auto"/>
          <w:lang w:val="en-US" w:eastAsia="zh-CN"/>
        </w:rPr>
      </w:pPr>
    </w:p>
    <w:p w14:paraId="382B1B63">
      <w:pPr>
        <w:rPr>
          <w:color w:val="auto"/>
        </w:rPr>
      </w:pPr>
    </w:p>
    <w:sectPr>
      <w:footerReference r:id="rId21" w:type="default"/>
      <w:pgSz w:w="11905" w:h="16838"/>
      <w:pgMar w:top="1440" w:right="1440" w:bottom="1440" w:left="1440" w:header="0" w:footer="986" w:gutter="0"/>
      <w:pgNumType w:fmt="decimal"/>
      <w:cols w:space="72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FD9E5">
    <w:pPr>
      <w:pStyle w:val="8"/>
      <w:tabs>
        <w:tab w:val="center" w:pos="4320"/>
        <w:tab w:val="clear" w:pos="4153"/>
      </w:tabs>
      <w:ind w:firstLine="360"/>
      <w:jc w:val="both"/>
    </w:pPr>
    <w:r>
      <w:rPr>
        <w:rFonts w:hint="eastAsia"/>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FAC13">
    <w:pPr>
      <w:spacing w:line="176" w:lineRule="auto"/>
      <w:ind w:left="4084"/>
      <w:rPr>
        <w:rFonts w:eastAsia="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CBBB3C">
                          <w:pPr>
                            <w:pStyle w:val="8"/>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6CCBBB3C">
                    <w:pPr>
                      <w:pStyle w:val="8"/>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39564">
    <w:pPr>
      <w:spacing w:line="176" w:lineRule="auto"/>
      <w:ind w:left="4084"/>
      <w:rPr>
        <w:rFonts w:eastAsia="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989F41">
                          <w:pPr>
                            <w:pStyle w:val="8"/>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14989F41">
                    <w:pPr>
                      <w:pStyle w:val="8"/>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31BA1">
    <w:pPr>
      <w:spacing w:line="176" w:lineRule="auto"/>
      <w:ind w:left="4080"/>
      <w:rPr>
        <w:rFonts w:eastAsia="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DD5207">
                          <w:pPr>
                            <w:pStyle w:val="8"/>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6DDD5207">
                    <w:pPr>
                      <w:pStyle w:val="8"/>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794F5">
    <w:pPr>
      <w:spacing w:line="176" w:lineRule="auto"/>
      <w:ind w:left="4617"/>
      <w:rPr>
        <w:rFonts w:eastAsia="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4670BB">
                          <w:pPr>
                            <w:pStyle w:val="8"/>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604670BB">
                    <w:pPr>
                      <w:pStyle w:val="8"/>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90427">
    <w:pPr>
      <w:spacing w:line="176" w:lineRule="auto"/>
      <w:ind w:left="4080"/>
      <w:rPr>
        <w:rFonts w:eastAsia="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919347">
                          <w:pPr>
                            <w:pStyle w:val="8"/>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44919347">
                    <w:pPr>
                      <w:pStyle w:val="8"/>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65CC3">
    <w:pPr>
      <w:spacing w:line="176" w:lineRule="auto"/>
      <w:ind w:left="4250"/>
      <w:rPr>
        <w:rFonts w:eastAsia="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D10812">
                          <w:pPr>
                            <w:pStyle w:val="8"/>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4AD10812">
                    <w:pPr>
                      <w:pStyle w:val="8"/>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4182F">
    <w:pPr>
      <w:pStyle w:val="8"/>
      <w:jc w:val="center"/>
      <w:rPr>
        <w:rFonts w:ascii="宋体" w:hAnsi="宋体"/>
        <w:sz w:val="19"/>
        <w:szCs w:val="19"/>
      </w:rPr>
    </w:pPr>
    <w:r>
      <w:rPr>
        <w:sz w:val="19"/>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859329">
                          <w:pPr>
                            <w:pStyle w:val="8"/>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4C859329">
                    <w:pPr>
                      <w:pStyle w:val="8"/>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FD7D2">
    <w:pPr>
      <w:pStyle w:val="8"/>
      <w:framePr w:wrap="around" w:vAnchor="text" w:hAnchor="margin" w:xAlign="center" w:y="1"/>
      <w:rPr>
        <w:rStyle w:val="21"/>
      </w:rPr>
    </w:pPr>
    <w:r>
      <w:fldChar w:fldCharType="begin"/>
    </w:r>
    <w:r>
      <w:rPr>
        <w:rStyle w:val="21"/>
      </w:rPr>
      <w:instrText xml:space="preserve">PAGE  </w:instrText>
    </w:r>
    <w:r>
      <w:fldChar w:fldCharType="separate"/>
    </w:r>
    <w:r>
      <w:fldChar w:fldCharType="end"/>
    </w:r>
  </w:p>
  <w:p w14:paraId="0097E996">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3241E">
    <w:pPr>
      <w:pStyle w:val="8"/>
      <w:jc w:val="center"/>
      <w:rPr>
        <w:rFonts w:hint="eastAsia"/>
      </w:rPr>
    </w:pPr>
    <w:r>
      <w:rPr>
        <w:rFonts w:hint="eastAsia"/>
      </w:rPr>
      <w:t>21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79959">
    <w:pPr>
      <w:pStyle w:val="8"/>
      <w:tabs>
        <w:tab w:val="center" w:pos="4320"/>
        <w:tab w:val="clear" w:pos="4153"/>
      </w:tabs>
      <w:ind w:firstLine="360"/>
      <w:jc w:val="both"/>
    </w:pPr>
    <w:r>
      <w:rPr>
        <w:rFonts w:hint="eastAsia"/>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9F0FB">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1F2455">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681F2455">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E1D62">
    <w:pPr>
      <w:spacing w:line="176" w:lineRule="auto"/>
      <w:ind w:left="4084"/>
      <w:rPr>
        <w:rFonts w:eastAsia="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18477A">
                          <w:pPr>
                            <w:pStyle w:val="8"/>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E18477A">
                    <w:pPr>
                      <w:pStyle w:val="8"/>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C8255">
    <w:pPr>
      <w:spacing w:line="176" w:lineRule="auto"/>
      <w:ind w:left="4084"/>
      <w:rPr>
        <w:rFonts w:eastAsia="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3AC947">
                          <w:pPr>
                            <w:pStyle w:val="8"/>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253AC947">
                    <w:pPr>
                      <w:pStyle w:val="8"/>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7F506">
    <w:pPr>
      <w:spacing w:line="176" w:lineRule="auto"/>
      <w:ind w:left="4084"/>
      <w:rPr>
        <w:rFonts w:eastAsia="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09A1D0">
                          <w:pPr>
                            <w:pStyle w:val="8"/>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E09A1D0">
                    <w:pPr>
                      <w:pStyle w:val="8"/>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2239B">
    <w:pPr>
      <w:spacing w:line="176" w:lineRule="auto"/>
      <w:ind w:left="4084"/>
      <w:rPr>
        <w:rFonts w:eastAsia="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2D8831">
                          <w:pPr>
                            <w:pStyle w:val="8"/>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6B2D8831">
                    <w:pPr>
                      <w:pStyle w:val="8"/>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5DFA7">
    <w:pPr>
      <w:spacing w:before="120" w:beforeLines="50" w:after="120" w:afterLines="50"/>
      <w:ind w:firstLine="420" w:firstLineChars="200"/>
      <w:rPr>
        <w:rFonts w:hint="eastAsia" w:asci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ACA99A"/>
    <w:multiLevelType w:val="singleLevel"/>
    <w:tmpl w:val="0FACA99A"/>
    <w:lvl w:ilvl="0" w:tentative="0">
      <w:start w:val="1"/>
      <w:numFmt w:val="chineseCounting"/>
      <w:suff w:val="nothing"/>
      <w:lvlText w:val="%1、"/>
      <w:lvlJc w:val="left"/>
      <w:rPr>
        <w:rFonts w:hint="eastAsia"/>
      </w:rPr>
    </w:lvl>
  </w:abstractNum>
  <w:abstractNum w:abstractNumId="1">
    <w:nsid w:val="2EEC4B40"/>
    <w:multiLevelType w:val="singleLevel"/>
    <w:tmpl w:val="2EEC4B40"/>
    <w:lvl w:ilvl="0" w:tentative="0">
      <w:start w:val="1"/>
      <w:numFmt w:val="decimal"/>
      <w:suff w:val="nothing"/>
      <w:lvlText w:val="%1、"/>
      <w:lvlJc w:val="left"/>
    </w:lvl>
  </w:abstractNum>
  <w:abstractNum w:abstractNumId="2">
    <w:nsid w:val="4F3FF634"/>
    <w:multiLevelType w:val="singleLevel"/>
    <w:tmpl w:val="4F3FF634"/>
    <w:lvl w:ilvl="0" w:tentative="0">
      <w:start w:val="2"/>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BC6476"/>
    <w:rsid w:val="01470E0B"/>
    <w:rsid w:val="03352D1A"/>
    <w:rsid w:val="047742CE"/>
    <w:rsid w:val="05465FAD"/>
    <w:rsid w:val="055B0860"/>
    <w:rsid w:val="058F7CA1"/>
    <w:rsid w:val="05F11B6D"/>
    <w:rsid w:val="07211951"/>
    <w:rsid w:val="088A1415"/>
    <w:rsid w:val="09F31A48"/>
    <w:rsid w:val="0DC87621"/>
    <w:rsid w:val="0E88245D"/>
    <w:rsid w:val="1100659C"/>
    <w:rsid w:val="120A23E2"/>
    <w:rsid w:val="122B3102"/>
    <w:rsid w:val="12E87ABB"/>
    <w:rsid w:val="14157276"/>
    <w:rsid w:val="148166BA"/>
    <w:rsid w:val="14F52AEE"/>
    <w:rsid w:val="159A0E7A"/>
    <w:rsid w:val="15C97968"/>
    <w:rsid w:val="16F753EC"/>
    <w:rsid w:val="18631D3C"/>
    <w:rsid w:val="19C447A6"/>
    <w:rsid w:val="1C22234B"/>
    <w:rsid w:val="1DD77B25"/>
    <w:rsid w:val="1FB922B6"/>
    <w:rsid w:val="201A3A01"/>
    <w:rsid w:val="22AC176E"/>
    <w:rsid w:val="23BC6476"/>
    <w:rsid w:val="24636CE7"/>
    <w:rsid w:val="29F539C6"/>
    <w:rsid w:val="2A1C2FFB"/>
    <w:rsid w:val="2A205862"/>
    <w:rsid w:val="2C6E283F"/>
    <w:rsid w:val="2DDF099C"/>
    <w:rsid w:val="2E5B431F"/>
    <w:rsid w:val="30185F3E"/>
    <w:rsid w:val="31097D0B"/>
    <w:rsid w:val="3155119F"/>
    <w:rsid w:val="324E7D5F"/>
    <w:rsid w:val="39411F3B"/>
    <w:rsid w:val="3AB02FA5"/>
    <w:rsid w:val="3B564B5A"/>
    <w:rsid w:val="3D9E46E1"/>
    <w:rsid w:val="3E027A45"/>
    <w:rsid w:val="3E6F5651"/>
    <w:rsid w:val="3FD947CD"/>
    <w:rsid w:val="41A41AB6"/>
    <w:rsid w:val="439E42E3"/>
    <w:rsid w:val="4488049C"/>
    <w:rsid w:val="449373DE"/>
    <w:rsid w:val="47322354"/>
    <w:rsid w:val="47CB540F"/>
    <w:rsid w:val="486A0C38"/>
    <w:rsid w:val="49981337"/>
    <w:rsid w:val="4A1E2A29"/>
    <w:rsid w:val="4A872512"/>
    <w:rsid w:val="4E550E6D"/>
    <w:rsid w:val="4EDD5CDE"/>
    <w:rsid w:val="51B83109"/>
    <w:rsid w:val="552B56A1"/>
    <w:rsid w:val="562F4854"/>
    <w:rsid w:val="57572CCF"/>
    <w:rsid w:val="58601BB3"/>
    <w:rsid w:val="5A9118FE"/>
    <w:rsid w:val="5EAF519E"/>
    <w:rsid w:val="5EBC3E14"/>
    <w:rsid w:val="62183C9E"/>
    <w:rsid w:val="62522A10"/>
    <w:rsid w:val="64004658"/>
    <w:rsid w:val="67F1641A"/>
    <w:rsid w:val="690436E5"/>
    <w:rsid w:val="6B0753E4"/>
    <w:rsid w:val="6BAB49B3"/>
    <w:rsid w:val="6D983849"/>
    <w:rsid w:val="6E93434E"/>
    <w:rsid w:val="70E11BD6"/>
    <w:rsid w:val="71EC5A32"/>
    <w:rsid w:val="723E08BB"/>
    <w:rsid w:val="76E25292"/>
    <w:rsid w:val="76FD6408"/>
    <w:rsid w:val="78104AA8"/>
    <w:rsid w:val="78C807D6"/>
    <w:rsid w:val="79247B13"/>
    <w:rsid w:val="7B2A48FF"/>
    <w:rsid w:val="7B491472"/>
    <w:rsid w:val="7B8D6816"/>
    <w:rsid w:val="7CF5706A"/>
    <w:rsid w:val="7DE2720E"/>
    <w:rsid w:val="7F0D28E1"/>
    <w:rsid w:val="7F9C09BE"/>
    <w:rsid w:val="7FA914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1"/>
      <w:szCs w:val="22"/>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99"/>
    <w:pPr>
      <w:widowControl/>
      <w:jc w:val="left"/>
    </w:pPr>
    <w:rPr>
      <w:rFonts w:ascii="宋体" w:hAnsi="Times New Roman" w:eastAsia="宋体" w:cs="Times New Roman"/>
      <w:kern w:val="0"/>
      <w:sz w:val="24"/>
      <w:szCs w:val="20"/>
    </w:rPr>
  </w:style>
  <w:style w:type="paragraph" w:customStyle="1" w:styleId="4">
    <w:name w:val="Default"/>
    <w:basedOn w:val="5"/>
    <w:qFormat/>
    <w:uiPriority w:val="0"/>
    <w:pPr>
      <w:widowControl w:val="0"/>
      <w:tabs>
        <w:tab w:val="right" w:leader="dot" w:pos="9345"/>
      </w:tabs>
      <w:autoSpaceDE w:val="0"/>
      <w:autoSpaceDN w:val="0"/>
      <w:adjustRightInd w:val="0"/>
    </w:pPr>
    <w:rPr>
      <w:rFonts w:ascii="宋体" w:eastAsia="微软雅黑"/>
      <w:color w:val="000000"/>
      <w:sz w:val="24"/>
      <w:szCs w:val="24"/>
      <w:lang w:val="en-US" w:eastAsia="zh-CN" w:bidi="ar-SA"/>
    </w:rPr>
  </w:style>
  <w:style w:type="paragraph" w:styleId="5">
    <w:name w:val="Plain Text"/>
    <w:basedOn w:val="1"/>
    <w:next w:val="3"/>
    <w:qFormat/>
    <w:uiPriority w:val="99"/>
    <w:pPr>
      <w:spacing w:line="240" w:lineRule="auto"/>
    </w:pPr>
    <w:rPr>
      <w:rFonts w:ascii="宋体" w:hAnsi="Courier New" w:eastAsia="宋体" w:cs="Times New Roman"/>
      <w:szCs w:val="20"/>
    </w:rPr>
  </w:style>
  <w:style w:type="paragraph" w:styleId="6">
    <w:name w:val="Body Text Indent"/>
    <w:basedOn w:val="1"/>
    <w:next w:val="7"/>
    <w:qFormat/>
    <w:uiPriority w:val="99"/>
    <w:pPr>
      <w:widowControl/>
      <w:spacing w:after="120" w:line="240" w:lineRule="auto"/>
      <w:ind w:left="420" w:leftChars="200"/>
      <w:jc w:val="left"/>
    </w:pPr>
    <w:rPr>
      <w:rFonts w:ascii="Times New Roman" w:hAnsi="Times New Roman" w:eastAsia="宋体" w:cs="Times New Roman"/>
      <w:kern w:val="0"/>
      <w:sz w:val="20"/>
      <w:szCs w:val="20"/>
    </w:rPr>
  </w:style>
  <w:style w:type="paragraph" w:styleId="7">
    <w:name w:val="envelope return"/>
    <w:basedOn w:val="1"/>
    <w:qFormat/>
    <w:uiPriority w:val="0"/>
    <w:pPr>
      <w:snapToGrid w:val="0"/>
    </w:pPr>
    <w:rPr>
      <w:rFonts w:ascii="Arial" w:hAnsi="Arial"/>
    </w:rPr>
  </w:style>
  <w:style w:type="paragraph" w:styleId="8">
    <w:name w:val="footer"/>
    <w:basedOn w:val="1"/>
    <w:qFormat/>
    <w:uiPriority w:val="99"/>
    <w:pPr>
      <w:widowControl/>
      <w:tabs>
        <w:tab w:val="center" w:pos="4153"/>
        <w:tab w:val="right" w:pos="8306"/>
      </w:tabs>
      <w:snapToGrid w:val="0"/>
      <w:spacing w:line="240" w:lineRule="auto"/>
      <w:jc w:val="left"/>
    </w:pPr>
    <w:rPr>
      <w:rFonts w:ascii="Times New Roman" w:hAnsi="Times New Roman" w:eastAsia="宋体" w:cs="Times New Roman"/>
      <w:kern w:val="0"/>
      <w:sz w:val="18"/>
      <w:szCs w:val="20"/>
    </w:rPr>
  </w:style>
  <w:style w:type="paragraph" w:styleId="9">
    <w:name w:val="toc 2"/>
    <w:basedOn w:val="1"/>
    <w:next w:val="1"/>
    <w:qFormat/>
    <w:uiPriority w:val="39"/>
    <w:pPr>
      <w:tabs>
        <w:tab w:val="right" w:leader="dot" w:pos="9345"/>
      </w:tabs>
      <w:spacing w:line="440" w:lineRule="exact"/>
      <w:ind w:left="198" w:firstLine="768" w:firstLineChars="320"/>
      <w:jc w:val="left"/>
    </w:pPr>
    <w:rPr>
      <w:rFonts w:ascii="Times New Roman" w:hAnsi="Times New Roman" w:eastAsia="宋体" w:cs="Times New Roman"/>
      <w:smallCaps/>
      <w:kern w:val="0"/>
      <w:sz w:val="20"/>
      <w:szCs w:val="20"/>
    </w:rPr>
  </w:style>
  <w:style w:type="paragraph" w:styleId="10">
    <w:name w:val="Body Text 2"/>
    <w:basedOn w:val="1"/>
    <w:next w:val="3"/>
    <w:qFormat/>
    <w:uiPriority w:val="99"/>
    <w:pPr>
      <w:spacing w:after="120" w:line="480" w:lineRule="auto"/>
    </w:pPr>
    <w:rPr>
      <w:rFonts w:ascii="Times New Roman" w:hAnsi="Times New Roman" w:eastAsia="宋体" w:cs="Times New Roman"/>
      <w:szCs w:val="24"/>
    </w:rPr>
  </w:style>
  <w:style w:type="paragraph" w:styleId="11">
    <w:name w:val="Message Header"/>
    <w:basedOn w:val="1"/>
    <w:next w:val="12"/>
    <w:unhideWhenUsed/>
    <w:qFormat/>
    <w:uiPriority w:val="99"/>
    <w:pPr>
      <w:widowControl/>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line="240" w:lineRule="auto"/>
      <w:ind w:left="1080" w:leftChars="500" w:hanging="1080" w:hangingChars="500"/>
      <w:jc w:val="left"/>
    </w:pPr>
    <w:rPr>
      <w:rFonts w:ascii="Cambria" w:hAnsi="Cambria" w:eastAsia="宋体" w:cs="Times New Roman"/>
      <w:kern w:val="0"/>
      <w:sz w:val="24"/>
      <w:szCs w:val="20"/>
    </w:rPr>
  </w:style>
  <w:style w:type="paragraph" w:customStyle="1" w:styleId="12">
    <w:name w:val="我的正文"/>
    <w:basedOn w:val="6"/>
    <w:qFormat/>
    <w:uiPriority w:val="0"/>
    <w:pPr>
      <w:ind w:firstLine="480" w:firstLineChars="200"/>
    </w:pPr>
    <w:rPr>
      <w:szCs w:val="20"/>
    </w:rPr>
  </w:style>
  <w:style w:type="paragraph" w:styleId="13">
    <w:name w:val="Normal (Web)"/>
    <w:basedOn w:val="1"/>
    <w:qFormat/>
    <w:uiPriority w:val="0"/>
    <w:rPr>
      <w:sz w:val="24"/>
      <w:lang w:eastAsia="zh-CN"/>
    </w:rPr>
  </w:style>
  <w:style w:type="paragraph" w:styleId="14">
    <w:name w:val="Title"/>
    <w:basedOn w:val="9"/>
    <w:next w:val="1"/>
    <w:qFormat/>
    <w:uiPriority w:val="0"/>
    <w:pPr>
      <w:widowControl/>
      <w:spacing w:before="240" w:after="60" w:line="240" w:lineRule="auto"/>
      <w:jc w:val="center"/>
      <w:outlineLvl w:val="0"/>
    </w:pPr>
    <w:rPr>
      <w:rFonts w:ascii="Cambria" w:hAnsi="Cambria" w:eastAsia="宋体" w:cs="Times New Roman"/>
      <w:b/>
      <w:bCs/>
      <w:kern w:val="0"/>
      <w:sz w:val="32"/>
      <w:szCs w:val="32"/>
    </w:rPr>
  </w:style>
  <w:style w:type="paragraph" w:styleId="15">
    <w:name w:val="Body Text First Indent"/>
    <w:basedOn w:val="3"/>
    <w:next w:val="1"/>
    <w:unhideWhenUsed/>
    <w:qFormat/>
    <w:uiPriority w:val="0"/>
    <w:pPr>
      <w:widowControl/>
      <w:spacing w:after="120" w:line="240" w:lineRule="auto"/>
      <w:ind w:firstLine="420" w:firstLineChars="100"/>
      <w:jc w:val="left"/>
    </w:pPr>
    <w:rPr>
      <w:rFonts w:ascii="Times New Roman" w:hAnsi="Times New Roman" w:eastAsia="宋体" w:cs="Times New Roman"/>
      <w:kern w:val="0"/>
      <w:sz w:val="20"/>
      <w:szCs w:val="20"/>
    </w:rPr>
  </w:style>
  <w:style w:type="paragraph" w:styleId="16">
    <w:name w:val="Body Text First Indent 2"/>
    <w:basedOn w:val="6"/>
    <w:next w:val="1"/>
    <w:qFormat/>
    <w:uiPriority w:val="0"/>
    <w:pPr>
      <w:widowControl/>
      <w:spacing w:before="100" w:beforeAutospacing="1" w:after="120"/>
      <w:ind w:left="420" w:firstLine="420"/>
      <w:jc w:val="left"/>
    </w:pPr>
    <w:rPr>
      <w:rFonts w:ascii="Times New Roman" w:hAnsi="Times New Roman" w:eastAsia="Arial Unicode MS" w:cs="Times New Roman"/>
      <w:color w:val="000000"/>
      <w:kern w:val="0"/>
      <w:sz w:val="20"/>
      <w:szCs w:val="20"/>
    </w:rPr>
  </w:style>
  <w:style w:type="table" w:styleId="18">
    <w:name w:val="Table Grid"/>
    <w:basedOn w:val="17"/>
    <w:qFormat/>
    <w:uiPriority w:val="99"/>
    <w:pPr>
      <w:widowControl w:val="0"/>
      <w:spacing w:line="240" w:lineRule="auto"/>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bCs/>
      <w:vanish/>
      <w:color w:val="FFFFFF"/>
      <w:bdr w:val="single" w:color="76C0E3" w:sz="6" w:space="0"/>
      <w:shd w:val="clear" w:color="auto" w:fill="76C0E3"/>
      <w:vertAlign w:val="baseline"/>
    </w:rPr>
  </w:style>
  <w:style w:type="character" w:styleId="21">
    <w:name w:val="page number"/>
    <w:qFormat/>
    <w:uiPriority w:val="99"/>
    <w:rPr>
      <w:rFonts w:cs="Times New Roman"/>
    </w:rPr>
  </w:style>
  <w:style w:type="paragraph" w:customStyle="1" w:styleId="22">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66</Pages>
  <Words>32118</Words>
  <Characters>34787</Characters>
  <Lines>0</Lines>
  <Paragraphs>0</Paragraphs>
  <TotalTime>300</TotalTime>
  <ScaleCrop>false</ScaleCrop>
  <LinksUpToDate>false</LinksUpToDate>
  <CharactersWithSpaces>36108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2026-06-13T07:57:00Z</dcterms:created>
  <dc:creator>Administrator</dc:creator>
  <cp:lastModifiedBy>omsc84593</cp:lastModifiedBy>
  <cp:lastPrinted>2026-07-07T02:59:00Z</cp:lastPrinted>
  <dcterms:modified xsi:type="dcterms:W3CDTF">2026-07-07T09:06:21Z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3B6F3A49BD4E4BF1932458B488AF6A58_13</vt:lpwstr>
  </property>
  <property fmtid="{D5CDD505-2E9C-101B-9397-08002B2CF9AE}" pid="4" name="KSOTemplateDocerSaveRecord">
    <vt:lpwstr>eyJoZGlkIjoiYzZhYTYwMTI4MmExNmFiODY1OGVmNmU0YTA0Y2I1ZTIiLCJ1c2VySWQiOiIxNzUyMjM2NDcwIn0=</vt:lpwstr>
  </property>
</Properties>
</file>