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7F908">
      <w:pPr>
        <w:spacing w:line="240" w:lineRule="auto"/>
        <w:jc w:val="center"/>
        <w:rPr>
          <w:rFonts w:hint="eastAsia" w:ascii="宋体" w:hAnsi="宋体" w:eastAsia="宋体" w:cs="宋体"/>
          <w:b/>
          <w:snapToGrid w:val="0"/>
          <w:color w:val="auto"/>
          <w:spacing w:val="0"/>
          <w:kern w:val="21"/>
          <w:sz w:val="48"/>
          <w:szCs w:val="36"/>
        </w:rPr>
      </w:pPr>
      <w:bookmarkStart w:id="96" w:name="_GoBack"/>
      <w:bookmarkEnd w:id="96"/>
    </w:p>
    <w:p w14:paraId="14AD35AE">
      <w:pPr>
        <w:widowControl/>
        <w:jc w:val="center"/>
        <w:rPr>
          <w:rFonts w:hint="default" w:ascii="宋体" w:hAnsi="宋体" w:cs="宋体"/>
          <w:b/>
          <w:snapToGrid w:val="0"/>
          <w:color w:val="auto"/>
          <w:spacing w:val="0"/>
          <w:kern w:val="21"/>
          <w:sz w:val="48"/>
          <w:szCs w:val="48"/>
          <w:lang w:val="en-US" w:eastAsia="zh-CN"/>
        </w:rPr>
      </w:pPr>
      <w:r>
        <w:rPr>
          <w:rFonts w:hint="eastAsia" w:ascii="宋体" w:hAnsi="宋体" w:cs="宋体"/>
          <w:b/>
          <w:snapToGrid w:val="0"/>
          <w:color w:val="auto"/>
          <w:spacing w:val="0"/>
          <w:kern w:val="21"/>
          <w:sz w:val="48"/>
          <w:szCs w:val="48"/>
          <w:lang w:eastAsia="zh-CN"/>
        </w:rPr>
        <w:t>卢氏县养老服务中心2026-2027年度集</w:t>
      </w:r>
      <w:r>
        <w:rPr>
          <w:rFonts w:hint="eastAsia" w:ascii="宋体" w:hAnsi="宋体" w:cs="宋体"/>
          <w:b/>
          <w:snapToGrid w:val="0"/>
          <w:color w:val="auto"/>
          <w:spacing w:val="0"/>
          <w:kern w:val="21"/>
          <w:sz w:val="48"/>
          <w:szCs w:val="48"/>
          <w:lang w:val="en-US" w:eastAsia="zh-CN"/>
        </w:rPr>
        <w:t>中</w:t>
      </w:r>
    </w:p>
    <w:p w14:paraId="2F3737C0">
      <w:pPr>
        <w:widowControl/>
        <w:jc w:val="center"/>
        <w:rPr>
          <w:rFonts w:hint="eastAsia" w:ascii="宋体" w:hAnsi="宋体" w:eastAsia="宋体" w:cs="宋体"/>
          <w:b/>
          <w:snapToGrid w:val="0"/>
          <w:color w:val="auto"/>
          <w:spacing w:val="0"/>
          <w:kern w:val="21"/>
          <w:sz w:val="48"/>
          <w:szCs w:val="48"/>
          <w:lang w:eastAsia="zh-CN"/>
        </w:rPr>
      </w:pPr>
      <w:r>
        <w:rPr>
          <w:rFonts w:hint="eastAsia" w:ascii="宋体" w:hAnsi="宋体" w:cs="宋体"/>
          <w:b/>
          <w:snapToGrid w:val="0"/>
          <w:color w:val="auto"/>
          <w:spacing w:val="0"/>
          <w:kern w:val="21"/>
          <w:sz w:val="48"/>
          <w:szCs w:val="48"/>
          <w:lang w:eastAsia="zh-CN"/>
        </w:rPr>
        <w:t>供养人员餐厅食材采购项目（</w:t>
      </w:r>
      <w:r>
        <w:rPr>
          <w:rFonts w:hint="eastAsia" w:ascii="宋体" w:hAnsi="宋体" w:cs="宋体"/>
          <w:b/>
          <w:snapToGrid w:val="0"/>
          <w:color w:val="auto"/>
          <w:spacing w:val="0"/>
          <w:kern w:val="21"/>
          <w:sz w:val="48"/>
          <w:szCs w:val="48"/>
          <w:lang w:val="en-US" w:eastAsia="zh-CN"/>
        </w:rPr>
        <w:t>二次</w:t>
      </w:r>
      <w:r>
        <w:rPr>
          <w:rFonts w:hint="eastAsia" w:ascii="宋体" w:hAnsi="宋体" w:cs="宋体"/>
          <w:b/>
          <w:snapToGrid w:val="0"/>
          <w:color w:val="auto"/>
          <w:spacing w:val="0"/>
          <w:kern w:val="21"/>
          <w:sz w:val="48"/>
          <w:szCs w:val="48"/>
          <w:lang w:eastAsia="zh-CN"/>
        </w:rPr>
        <w:t>）</w:t>
      </w:r>
    </w:p>
    <w:p w14:paraId="5AE0096A">
      <w:pPr>
        <w:widowControl/>
        <w:jc w:val="center"/>
        <w:rPr>
          <w:rFonts w:hint="eastAsia" w:ascii="宋体" w:hAnsi="宋体" w:eastAsia="宋体" w:cs="宋体"/>
          <w:b/>
          <w:snapToGrid w:val="0"/>
          <w:color w:val="auto"/>
          <w:spacing w:val="0"/>
          <w:kern w:val="21"/>
          <w:sz w:val="72"/>
          <w:szCs w:val="72"/>
        </w:rPr>
      </w:pPr>
    </w:p>
    <w:p w14:paraId="57D3F433">
      <w:pPr>
        <w:widowControl/>
        <w:jc w:val="center"/>
        <w:rPr>
          <w:rFonts w:hint="eastAsia" w:ascii="宋体" w:hAnsi="宋体" w:eastAsia="宋体" w:cs="宋体"/>
          <w:b/>
          <w:snapToGrid w:val="0"/>
          <w:color w:val="auto"/>
          <w:spacing w:val="0"/>
          <w:kern w:val="21"/>
          <w:sz w:val="72"/>
          <w:szCs w:val="72"/>
        </w:rPr>
      </w:pPr>
      <w:r>
        <w:rPr>
          <w:rFonts w:hint="eastAsia" w:ascii="宋体" w:hAnsi="宋体" w:cs="宋体"/>
          <w:b/>
          <w:color w:val="auto"/>
          <w:sz w:val="84"/>
          <w:szCs w:val="84"/>
          <w:highlight w:val="none"/>
          <w:lang w:val="en-US" w:eastAsia="zh-CN"/>
        </w:rPr>
        <w:t xml:space="preserve">招 标 </w:t>
      </w:r>
      <w:r>
        <w:rPr>
          <w:rFonts w:hint="eastAsia" w:ascii="宋体" w:hAnsi="宋体" w:eastAsia="宋体" w:cs="宋体"/>
          <w:b/>
          <w:color w:val="auto"/>
          <w:sz w:val="84"/>
          <w:szCs w:val="84"/>
          <w:highlight w:val="none"/>
        </w:rPr>
        <w:t>文</w:t>
      </w:r>
      <w:r>
        <w:rPr>
          <w:rFonts w:hint="eastAsia" w:ascii="宋体" w:hAnsi="宋体" w:cs="宋体"/>
          <w:b/>
          <w:color w:val="auto"/>
          <w:sz w:val="84"/>
          <w:szCs w:val="84"/>
          <w:highlight w:val="none"/>
          <w:lang w:val="en-US" w:eastAsia="zh-CN"/>
        </w:rPr>
        <w:t xml:space="preserve"> </w:t>
      </w:r>
      <w:r>
        <w:rPr>
          <w:rFonts w:hint="eastAsia" w:ascii="宋体" w:hAnsi="宋体" w:eastAsia="宋体" w:cs="宋体"/>
          <w:b/>
          <w:color w:val="auto"/>
          <w:sz w:val="84"/>
          <w:szCs w:val="84"/>
          <w:highlight w:val="none"/>
        </w:rPr>
        <w:t>件</w:t>
      </w:r>
    </w:p>
    <w:p w14:paraId="2E2C9A96">
      <w:pPr>
        <w:keepNext w:val="0"/>
        <w:keepLines w:val="0"/>
        <w:widowControl/>
        <w:suppressLineNumbers w:val="0"/>
        <w:jc w:val="center"/>
        <w:rPr>
          <w:b/>
          <w:bCs/>
          <w:color w:val="auto"/>
          <w:sz w:val="28"/>
          <w:szCs w:val="28"/>
          <w:highlight w:val="none"/>
        </w:rPr>
      </w:pPr>
      <w:r>
        <w:rPr>
          <w:rFonts w:hint="eastAsia"/>
          <w:b/>
          <w:bCs/>
          <w:color w:val="auto"/>
          <w:sz w:val="28"/>
          <w:szCs w:val="28"/>
          <w:highlight w:val="none"/>
        </w:rPr>
        <w:t>项目编号：三卢公开采购-2026-25</w:t>
      </w:r>
      <w:r>
        <w:rPr>
          <w:rFonts w:hint="eastAsia"/>
          <w:b/>
          <w:bCs/>
          <w:color w:val="auto"/>
          <w:sz w:val="28"/>
          <w:szCs w:val="28"/>
          <w:highlight w:val="none"/>
          <w:lang w:eastAsia="zh-CN"/>
        </w:rPr>
        <w:t>、LSGZ[2026]159-ZC122</w:t>
      </w:r>
    </w:p>
    <w:p w14:paraId="38B8B06B">
      <w:pPr>
        <w:keepNext w:val="0"/>
        <w:keepLines w:val="0"/>
        <w:widowControl/>
        <w:suppressLineNumbers w:val="0"/>
        <w:jc w:val="center"/>
        <w:rPr>
          <w:color w:val="auto"/>
          <w:sz w:val="28"/>
          <w:szCs w:val="28"/>
          <w:highlight w:val="none"/>
        </w:rPr>
      </w:pPr>
    </w:p>
    <w:p w14:paraId="3BF61001">
      <w:pPr>
        <w:pStyle w:val="4"/>
        <w:spacing w:line="360" w:lineRule="auto"/>
        <w:jc w:val="center"/>
        <w:rPr>
          <w:rFonts w:hint="eastAsia" w:ascii="宋体" w:hAnsi="宋体" w:eastAsia="宋体" w:cs="宋体"/>
          <w:color w:val="auto"/>
          <w:spacing w:val="0"/>
          <w:lang w:val="en-US" w:eastAsia="zh-CN"/>
        </w:rPr>
      </w:pPr>
      <w:r>
        <w:rPr>
          <w:rFonts w:hint="eastAsia" w:ascii="宋体" w:hAnsi="宋体" w:eastAsia="宋体" w:cs="黑体"/>
          <w:color w:val="auto"/>
          <w:sz w:val="22"/>
          <w:szCs w:val="22"/>
          <w:highlight w:val="none"/>
          <w:lang w:eastAsia="zh-CN"/>
        </w:rPr>
        <w:drawing>
          <wp:anchor distT="0" distB="0" distL="114300" distR="114300" simplePos="0" relativeHeight="251660288" behindDoc="1" locked="0" layoutInCell="1" allowOverlap="1">
            <wp:simplePos x="0" y="0"/>
            <wp:positionH relativeFrom="column">
              <wp:posOffset>1615440</wp:posOffset>
            </wp:positionH>
            <wp:positionV relativeFrom="paragraph">
              <wp:posOffset>270510</wp:posOffset>
            </wp:positionV>
            <wp:extent cx="2434590" cy="2320290"/>
            <wp:effectExtent l="0" t="0" r="3810" b="3810"/>
            <wp:wrapTight wrapText="bothSides">
              <wp:wrapPolygon>
                <wp:start x="0" y="0"/>
                <wp:lineTo x="0" y="21458"/>
                <wp:lineTo x="21465" y="21458"/>
                <wp:lineTo x="21465" y="0"/>
                <wp:lineTo x="0" y="0"/>
              </wp:wrapPolygon>
            </wp:wrapTight>
            <wp:docPr id="16"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LOGO"/>
                    <pic:cNvPicPr>
                      <a:picLocks noChangeAspect="1"/>
                    </pic:cNvPicPr>
                  </pic:nvPicPr>
                  <pic:blipFill>
                    <a:blip r:embed="rId23"/>
                    <a:srcRect l="13492" t="13984" r="16697" b="19483"/>
                    <a:stretch>
                      <a:fillRect/>
                    </a:stretch>
                  </pic:blipFill>
                  <pic:spPr>
                    <a:xfrm>
                      <a:off x="0" y="0"/>
                      <a:ext cx="2434590" cy="2320290"/>
                    </a:xfrm>
                    <a:prstGeom prst="rect">
                      <a:avLst/>
                    </a:prstGeom>
                    <a:noFill/>
                    <a:ln>
                      <a:noFill/>
                    </a:ln>
                  </pic:spPr>
                </pic:pic>
              </a:graphicData>
            </a:graphic>
          </wp:anchor>
        </w:drawing>
      </w:r>
      <w:r>
        <w:rPr>
          <w:rFonts w:hint="eastAsia" w:ascii="宋体" w:hAnsi="宋体" w:eastAsia="宋体" w:cs="宋体"/>
          <w:b w:val="0"/>
          <w:snapToGrid w:val="0"/>
          <w:color w:val="auto"/>
          <w:spacing w:val="0"/>
          <w:kern w:val="21"/>
        </w:rPr>
        <w:t xml:space="preserve">  </w:t>
      </w:r>
    </w:p>
    <w:p w14:paraId="7C58B90A">
      <w:pPr>
        <w:widowControl/>
        <w:spacing w:line="240" w:lineRule="auto"/>
        <w:ind w:firstLine="2508" w:firstLineChars="896"/>
        <w:jc w:val="left"/>
        <w:rPr>
          <w:rFonts w:hint="eastAsia" w:ascii="宋体" w:hAnsi="宋体" w:eastAsia="宋体" w:cs="宋体"/>
          <w:snapToGrid w:val="0"/>
          <w:color w:val="auto"/>
          <w:spacing w:val="0"/>
          <w:kern w:val="21"/>
          <w:sz w:val="28"/>
          <w:szCs w:val="28"/>
        </w:rPr>
      </w:pPr>
    </w:p>
    <w:p w14:paraId="33CE7CC5">
      <w:pPr>
        <w:widowControl/>
        <w:jc w:val="left"/>
        <w:rPr>
          <w:rFonts w:hint="eastAsia" w:ascii="宋体" w:hAnsi="宋体" w:eastAsia="宋体" w:cs="宋体"/>
          <w:color w:val="auto"/>
          <w:spacing w:val="0"/>
        </w:rPr>
      </w:pPr>
    </w:p>
    <w:p w14:paraId="16BC7897">
      <w:pPr>
        <w:pStyle w:val="16"/>
        <w:rPr>
          <w:rFonts w:hint="eastAsia" w:ascii="宋体" w:hAnsi="宋体" w:eastAsia="宋体" w:cs="宋体"/>
          <w:snapToGrid w:val="0"/>
          <w:color w:val="auto"/>
          <w:spacing w:val="0"/>
          <w:kern w:val="21"/>
        </w:rPr>
      </w:pPr>
    </w:p>
    <w:p w14:paraId="7897A7F7">
      <w:pPr>
        <w:widowControl/>
        <w:jc w:val="center"/>
        <w:rPr>
          <w:rFonts w:hint="eastAsia" w:ascii="宋体" w:hAnsi="宋体" w:eastAsia="宋体" w:cs="宋体"/>
          <w:b/>
          <w:snapToGrid w:val="0"/>
          <w:color w:val="auto"/>
          <w:spacing w:val="0"/>
          <w:kern w:val="21"/>
          <w:szCs w:val="21"/>
        </w:rPr>
      </w:pPr>
    </w:p>
    <w:p w14:paraId="2B1E4FDD">
      <w:pPr>
        <w:pStyle w:val="3"/>
        <w:rPr>
          <w:rFonts w:hint="eastAsia" w:ascii="宋体" w:hAnsi="宋体" w:eastAsia="宋体" w:cs="宋体"/>
          <w:b/>
          <w:snapToGrid w:val="0"/>
          <w:color w:val="auto"/>
          <w:spacing w:val="0"/>
          <w:kern w:val="21"/>
          <w:szCs w:val="21"/>
        </w:rPr>
      </w:pPr>
    </w:p>
    <w:p w14:paraId="1BE99357">
      <w:pPr>
        <w:pStyle w:val="10"/>
        <w:rPr>
          <w:rFonts w:hint="eastAsia" w:ascii="宋体" w:hAnsi="宋体" w:eastAsia="宋体" w:cs="宋体"/>
          <w:b/>
          <w:snapToGrid w:val="0"/>
          <w:color w:val="auto"/>
          <w:spacing w:val="0"/>
          <w:kern w:val="21"/>
          <w:szCs w:val="21"/>
        </w:rPr>
      </w:pPr>
    </w:p>
    <w:p w14:paraId="7932B0EF">
      <w:pPr>
        <w:pStyle w:val="10"/>
        <w:rPr>
          <w:rFonts w:hint="eastAsia" w:ascii="宋体" w:hAnsi="宋体" w:eastAsia="宋体" w:cs="宋体"/>
          <w:b/>
          <w:snapToGrid w:val="0"/>
          <w:color w:val="auto"/>
          <w:spacing w:val="0"/>
          <w:kern w:val="21"/>
          <w:szCs w:val="21"/>
        </w:rPr>
      </w:pPr>
    </w:p>
    <w:p w14:paraId="32978915">
      <w:pPr>
        <w:widowControl/>
        <w:jc w:val="left"/>
        <w:rPr>
          <w:rFonts w:hint="eastAsia" w:ascii="宋体" w:hAnsi="宋体" w:eastAsia="宋体" w:cs="宋体"/>
          <w:b/>
          <w:snapToGrid w:val="0"/>
          <w:color w:val="auto"/>
          <w:spacing w:val="0"/>
          <w:kern w:val="21"/>
          <w:szCs w:val="21"/>
        </w:rPr>
      </w:pPr>
    </w:p>
    <w:p w14:paraId="55E0A19C">
      <w:pPr>
        <w:widowControl/>
        <w:ind w:left="2264" w:leftChars="619" w:hanging="964" w:hangingChars="300"/>
        <w:jc w:val="left"/>
        <w:rPr>
          <w:rFonts w:hint="eastAsia" w:ascii="宋体" w:hAnsi="宋体" w:eastAsia="宋体" w:cs="宋体"/>
          <w:b/>
          <w:snapToGrid w:val="0"/>
          <w:color w:val="auto"/>
          <w:spacing w:val="0"/>
          <w:kern w:val="21"/>
          <w:sz w:val="32"/>
          <w:szCs w:val="32"/>
        </w:rPr>
      </w:pPr>
    </w:p>
    <w:p w14:paraId="7F6FF09B">
      <w:pPr>
        <w:widowControl/>
        <w:tabs>
          <w:tab w:val="right" w:leader="dot" w:pos="9345"/>
        </w:tabs>
        <w:spacing w:before="120" w:after="120" w:line="440" w:lineRule="exact"/>
        <w:ind w:firstLine="1606" w:firstLineChars="500"/>
        <w:rPr>
          <w:rFonts w:hint="eastAsia" w:ascii="宋体" w:hAnsi="宋体" w:eastAsia="宋体" w:cs="宋体"/>
          <w:b/>
          <w:snapToGrid w:val="0"/>
          <w:color w:val="auto"/>
          <w:spacing w:val="0"/>
          <w:kern w:val="21"/>
          <w:sz w:val="32"/>
          <w:szCs w:val="32"/>
          <w:lang w:eastAsia="zh-CN"/>
        </w:rPr>
      </w:pPr>
      <w:r>
        <w:rPr>
          <w:rFonts w:hint="eastAsia" w:ascii="宋体" w:hAnsi="宋体" w:eastAsia="宋体" w:cs="宋体"/>
          <w:b/>
          <w:snapToGrid w:val="0"/>
          <w:color w:val="auto"/>
          <w:spacing w:val="0"/>
          <w:kern w:val="21"/>
          <w:sz w:val="32"/>
          <w:szCs w:val="32"/>
          <w:lang w:val="en-US" w:eastAsia="zh-CN"/>
        </w:rPr>
        <w:t>采 购 人</w:t>
      </w:r>
      <w:r>
        <w:rPr>
          <w:rFonts w:hint="eastAsia" w:ascii="宋体" w:hAnsi="宋体" w:eastAsia="宋体" w:cs="宋体"/>
          <w:b/>
          <w:snapToGrid w:val="0"/>
          <w:color w:val="auto"/>
          <w:spacing w:val="0"/>
          <w:kern w:val="21"/>
          <w:sz w:val="32"/>
          <w:szCs w:val="32"/>
        </w:rPr>
        <w:t>：</w:t>
      </w:r>
      <w:r>
        <w:rPr>
          <w:rFonts w:hint="eastAsia" w:ascii="宋体" w:hAnsi="宋体" w:cs="宋体"/>
          <w:b/>
          <w:snapToGrid w:val="0"/>
          <w:color w:val="auto"/>
          <w:spacing w:val="0"/>
          <w:kern w:val="21"/>
          <w:sz w:val="32"/>
          <w:szCs w:val="32"/>
          <w:lang w:eastAsia="zh-CN"/>
        </w:rPr>
        <w:t>卢氏县养老服务中心</w:t>
      </w:r>
    </w:p>
    <w:p w14:paraId="76B93D59">
      <w:pPr>
        <w:widowControl/>
        <w:tabs>
          <w:tab w:val="right" w:leader="dot" w:pos="9345"/>
        </w:tabs>
        <w:spacing w:before="120" w:after="120" w:line="440" w:lineRule="exact"/>
        <w:ind w:firstLine="1606" w:firstLineChars="500"/>
        <w:rPr>
          <w:rFonts w:hint="eastAsia" w:ascii="宋体" w:hAnsi="宋体" w:eastAsia="宋体" w:cs="宋体"/>
          <w:b/>
          <w:snapToGrid w:val="0"/>
          <w:color w:val="auto"/>
          <w:spacing w:val="0"/>
          <w:kern w:val="21"/>
          <w:sz w:val="32"/>
          <w:szCs w:val="32"/>
          <w:lang w:eastAsia="zh-CN"/>
        </w:rPr>
      </w:pPr>
      <w:r>
        <w:rPr>
          <w:rFonts w:hint="eastAsia" w:ascii="宋体" w:hAnsi="宋体" w:eastAsia="宋体" w:cs="宋体"/>
          <w:b/>
          <w:snapToGrid w:val="0"/>
          <w:color w:val="auto"/>
          <w:spacing w:val="0"/>
          <w:kern w:val="21"/>
          <w:sz w:val="32"/>
          <w:szCs w:val="32"/>
        </w:rPr>
        <w:t>代理机构：</w:t>
      </w:r>
      <w:r>
        <w:rPr>
          <w:rFonts w:hint="eastAsia" w:ascii="宋体" w:hAnsi="宋体" w:cs="宋体"/>
          <w:b/>
          <w:snapToGrid w:val="0"/>
          <w:color w:val="auto"/>
          <w:spacing w:val="0"/>
          <w:kern w:val="21"/>
          <w:sz w:val="32"/>
          <w:szCs w:val="32"/>
          <w:lang w:eastAsia="zh-CN"/>
        </w:rPr>
        <w:t>河南良智行工程管理咨询有限公司</w:t>
      </w:r>
    </w:p>
    <w:p w14:paraId="7099F932">
      <w:pPr>
        <w:widowControl/>
        <w:tabs>
          <w:tab w:val="right" w:leader="dot" w:pos="9345"/>
        </w:tabs>
        <w:spacing w:before="120" w:after="120" w:line="440" w:lineRule="exact"/>
        <w:ind w:firstLine="1606" w:firstLineChars="500"/>
        <w:rPr>
          <w:rFonts w:hint="eastAsia" w:ascii="宋体" w:hAnsi="宋体" w:eastAsia="宋体" w:cs="宋体"/>
          <w:b/>
          <w:bCs/>
          <w:snapToGrid w:val="0"/>
          <w:color w:val="auto"/>
          <w:spacing w:val="0"/>
          <w:kern w:val="21"/>
          <w:sz w:val="44"/>
          <w:szCs w:val="44"/>
        </w:rPr>
        <w:sectPr>
          <w:footerReference r:id="rId8" w:type="first"/>
          <w:headerReference r:id="rId5" w:type="default"/>
          <w:footerReference r:id="rId6" w:type="default"/>
          <w:footerReference r:id="rId7" w:type="even"/>
          <w:pgSz w:w="11905" w:h="16838"/>
          <w:pgMar w:top="1440" w:right="1440" w:bottom="1440" w:left="1440" w:header="0" w:footer="986" w:gutter="0"/>
          <w:pgNumType w:start="1"/>
          <w:cols w:space="720" w:num="1"/>
          <w:rtlGutter w:val="0"/>
          <w:docGrid w:linePitch="0" w:charSpace="0"/>
        </w:sectPr>
      </w:pPr>
      <w:r>
        <w:rPr>
          <w:rFonts w:hint="eastAsia" w:ascii="宋体" w:hAnsi="宋体" w:cs="宋体"/>
          <w:b/>
          <w:snapToGrid w:val="0"/>
          <w:color w:val="auto"/>
          <w:spacing w:val="0"/>
          <w:kern w:val="21"/>
          <w:sz w:val="32"/>
          <w:szCs w:val="32"/>
          <w:lang w:val="en-US" w:eastAsia="zh-CN"/>
        </w:rPr>
        <w:t>日</w:t>
      </w:r>
      <w:r>
        <w:rPr>
          <w:rFonts w:hint="eastAsia" w:ascii="宋体" w:hAnsi="宋体" w:eastAsia="宋体" w:cs="宋体"/>
          <w:b/>
          <w:snapToGrid w:val="0"/>
          <w:color w:val="auto"/>
          <w:spacing w:val="0"/>
          <w:kern w:val="21"/>
          <w:sz w:val="32"/>
          <w:szCs w:val="32"/>
        </w:rPr>
        <w:t xml:space="preserve">    </w:t>
      </w:r>
      <w:r>
        <w:rPr>
          <w:rFonts w:hint="eastAsia" w:ascii="宋体" w:hAnsi="宋体" w:cs="宋体"/>
          <w:b/>
          <w:snapToGrid w:val="0"/>
          <w:color w:val="auto"/>
          <w:spacing w:val="0"/>
          <w:kern w:val="21"/>
          <w:sz w:val="32"/>
          <w:szCs w:val="32"/>
          <w:lang w:val="en-US" w:eastAsia="zh-CN"/>
        </w:rPr>
        <w:t>期</w:t>
      </w:r>
      <w:r>
        <w:rPr>
          <w:rFonts w:hint="eastAsia" w:ascii="宋体" w:hAnsi="宋体" w:eastAsia="宋体" w:cs="宋体"/>
          <w:b/>
          <w:snapToGrid w:val="0"/>
          <w:color w:val="auto"/>
          <w:spacing w:val="0"/>
          <w:kern w:val="21"/>
          <w:sz w:val="32"/>
          <w:szCs w:val="32"/>
        </w:rPr>
        <w:t>：二〇二</w:t>
      </w:r>
      <w:r>
        <w:rPr>
          <w:rFonts w:hint="eastAsia" w:ascii="宋体" w:hAnsi="宋体" w:cs="宋体"/>
          <w:b/>
          <w:snapToGrid w:val="0"/>
          <w:color w:val="auto"/>
          <w:spacing w:val="0"/>
          <w:kern w:val="21"/>
          <w:sz w:val="32"/>
          <w:szCs w:val="32"/>
          <w:lang w:val="en-US" w:eastAsia="zh-CN"/>
        </w:rPr>
        <w:t>六</w:t>
      </w:r>
      <w:r>
        <w:rPr>
          <w:rFonts w:hint="eastAsia" w:ascii="宋体" w:hAnsi="宋体" w:eastAsia="宋体" w:cs="宋体"/>
          <w:b/>
          <w:snapToGrid w:val="0"/>
          <w:color w:val="auto"/>
          <w:spacing w:val="0"/>
          <w:kern w:val="21"/>
          <w:sz w:val="32"/>
          <w:szCs w:val="32"/>
        </w:rPr>
        <w:t>年</w:t>
      </w:r>
      <w:r>
        <w:rPr>
          <w:rFonts w:hint="eastAsia" w:ascii="宋体" w:hAnsi="宋体" w:cs="宋体"/>
          <w:b/>
          <w:snapToGrid w:val="0"/>
          <w:color w:val="auto"/>
          <w:spacing w:val="0"/>
          <w:kern w:val="21"/>
          <w:sz w:val="32"/>
          <w:szCs w:val="32"/>
          <w:lang w:val="en-US" w:eastAsia="zh-CN"/>
        </w:rPr>
        <w:t>七</w:t>
      </w:r>
      <w:r>
        <w:rPr>
          <w:rFonts w:hint="eastAsia" w:ascii="宋体" w:hAnsi="宋体" w:eastAsia="宋体" w:cs="宋体"/>
          <w:b/>
          <w:snapToGrid w:val="0"/>
          <w:color w:val="auto"/>
          <w:spacing w:val="0"/>
          <w:kern w:val="21"/>
          <w:sz w:val="32"/>
          <w:szCs w:val="32"/>
        </w:rPr>
        <w:t>月</w:t>
      </w:r>
    </w:p>
    <w:p w14:paraId="49214F86">
      <w:pPr>
        <w:spacing w:after="240" w:line="440" w:lineRule="exact"/>
        <w:jc w:val="center"/>
        <w:rPr>
          <w:rFonts w:hint="eastAsia" w:ascii="宋体" w:hAnsi="宋体" w:eastAsia="宋体" w:cs="宋体"/>
          <w:b/>
          <w:bCs/>
          <w:snapToGrid w:val="0"/>
          <w:color w:val="auto"/>
          <w:spacing w:val="0"/>
          <w:kern w:val="21"/>
          <w:sz w:val="44"/>
          <w:szCs w:val="20"/>
        </w:rPr>
      </w:pPr>
      <w:r>
        <w:rPr>
          <w:rFonts w:hint="eastAsia" w:ascii="宋体" w:hAnsi="宋体" w:eastAsia="宋体" w:cs="宋体"/>
          <w:b/>
          <w:bCs/>
          <w:snapToGrid w:val="0"/>
          <w:color w:val="auto"/>
          <w:spacing w:val="0"/>
          <w:kern w:val="21"/>
          <w:sz w:val="44"/>
          <w:szCs w:val="20"/>
        </w:rPr>
        <w:t>目录</w:t>
      </w:r>
    </w:p>
    <w:p w14:paraId="2F0E7A5D">
      <w:pPr>
        <w:spacing w:after="240" w:line="440" w:lineRule="exact"/>
        <w:jc w:val="center"/>
        <w:rPr>
          <w:rFonts w:hint="eastAsia" w:ascii="宋体" w:hAnsi="宋体" w:eastAsia="宋体" w:cs="宋体"/>
          <w:b/>
          <w:bCs/>
          <w:snapToGrid w:val="0"/>
          <w:color w:val="auto"/>
          <w:spacing w:val="0"/>
          <w:kern w:val="21"/>
          <w:sz w:val="44"/>
          <w:szCs w:val="20"/>
        </w:rPr>
      </w:pPr>
    </w:p>
    <w:p w14:paraId="0A74EAF8">
      <w:pPr>
        <w:widowControl/>
        <w:tabs>
          <w:tab w:val="right" w:leader="dot" w:pos="9345"/>
        </w:tabs>
        <w:spacing w:before="120" w:after="120" w:line="480" w:lineRule="auto"/>
        <w:jc w:val="left"/>
        <w:rPr>
          <w:rFonts w:hint="eastAsia" w:ascii="宋体" w:hAnsi="宋体" w:eastAsia="宋体" w:cs="宋体"/>
          <w:snapToGrid w:val="0"/>
          <w:color w:val="auto"/>
          <w:spacing w:val="0"/>
          <w:kern w:val="21"/>
          <w:sz w:val="30"/>
          <w:szCs w:val="30"/>
        </w:rPr>
      </w:pPr>
      <w:r>
        <w:rPr>
          <w:rFonts w:hint="eastAsia" w:ascii="宋体" w:hAnsi="宋体" w:eastAsia="宋体" w:cs="宋体"/>
          <w:bCs/>
          <w:snapToGrid w:val="0"/>
          <w:color w:val="auto"/>
          <w:spacing w:val="0"/>
          <w:kern w:val="21"/>
          <w:sz w:val="30"/>
          <w:szCs w:val="30"/>
        </w:rPr>
        <w:fldChar w:fldCharType="begin"/>
      </w:r>
      <w:r>
        <w:rPr>
          <w:rFonts w:hint="eastAsia" w:ascii="宋体" w:hAnsi="宋体" w:eastAsia="宋体" w:cs="宋体"/>
          <w:bCs/>
          <w:snapToGrid w:val="0"/>
          <w:color w:val="auto"/>
          <w:spacing w:val="0"/>
          <w:kern w:val="21"/>
          <w:sz w:val="30"/>
          <w:szCs w:val="30"/>
        </w:rPr>
        <w:instrText xml:space="preserve"> TOC \h \z \t "样式19,4,样式3,2,样式4,3,样式7,1"</w:instrText>
      </w:r>
      <w:r>
        <w:rPr>
          <w:rFonts w:hint="eastAsia" w:ascii="宋体" w:hAnsi="宋体" w:eastAsia="宋体" w:cs="宋体"/>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instrText xml:space="preserve">HYPERLINK \l "_Toc485222549"</w:instrText>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第一</w:t>
      </w:r>
      <w:r>
        <w:rPr>
          <w:rFonts w:hint="eastAsia" w:ascii="宋体" w:hAnsi="宋体" w:eastAsia="宋体" w:cs="宋体"/>
          <w:b/>
          <w:bCs/>
          <w:snapToGrid w:val="0"/>
          <w:color w:val="auto"/>
          <w:spacing w:val="0"/>
          <w:kern w:val="21"/>
          <w:sz w:val="30"/>
          <w:szCs w:val="30"/>
          <w:u w:val="single"/>
          <w:lang w:val="en-US" w:eastAsia="zh-CN"/>
        </w:rPr>
        <w:t>章</w:t>
      </w:r>
      <w:r>
        <w:rPr>
          <w:rFonts w:hint="eastAsia" w:ascii="宋体" w:hAnsi="宋体" w:eastAsia="宋体" w:cs="宋体"/>
          <w:b/>
          <w:bCs/>
          <w:snapToGrid w:val="0"/>
          <w:color w:val="auto"/>
          <w:spacing w:val="0"/>
          <w:kern w:val="21"/>
          <w:sz w:val="30"/>
          <w:szCs w:val="30"/>
          <w:u w:val="single"/>
        </w:rPr>
        <w:t xml:space="preserve">  </w:t>
      </w:r>
      <w:r>
        <w:rPr>
          <w:rFonts w:hint="eastAsia" w:ascii="宋体" w:hAnsi="宋体" w:eastAsia="宋体" w:cs="宋体"/>
          <w:b/>
          <w:bCs/>
          <w:snapToGrid w:val="0"/>
          <w:color w:val="auto"/>
          <w:spacing w:val="0"/>
          <w:kern w:val="21"/>
          <w:sz w:val="30"/>
          <w:szCs w:val="30"/>
          <w:u w:val="single"/>
          <w:lang w:val="en-US" w:eastAsia="zh-CN"/>
        </w:rPr>
        <w:t>招标</w:t>
      </w:r>
      <w:r>
        <w:rPr>
          <w:rFonts w:hint="eastAsia" w:ascii="宋体" w:hAnsi="宋体" w:eastAsia="宋体" w:cs="宋体"/>
          <w:b/>
          <w:bCs/>
          <w:snapToGrid w:val="0"/>
          <w:color w:val="auto"/>
          <w:spacing w:val="0"/>
          <w:kern w:val="21"/>
          <w:sz w:val="30"/>
          <w:szCs w:val="30"/>
          <w:u w:val="single"/>
        </w:rPr>
        <w:t>公告</w:t>
      </w:r>
      <w:r>
        <w:rPr>
          <w:rFonts w:hint="eastAsia" w:ascii="宋体" w:hAnsi="宋体" w:eastAsia="宋体" w:cs="宋体"/>
          <w:b/>
          <w:bCs/>
          <w:snapToGrid w:val="0"/>
          <w:color w:val="auto"/>
          <w:spacing w:val="0"/>
          <w:kern w:val="21"/>
          <w:sz w:val="30"/>
          <w:szCs w:val="30"/>
        </w:rPr>
        <w:tab/>
      </w: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rPr>
        <w:instrText xml:space="preserve"> PAGEREF _Toc485222549 \h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rPr>
        <w:t>1</w:t>
      </w:r>
      <w:r>
        <w:rPr>
          <w:rFonts w:hint="eastAsia" w:ascii="宋体" w:hAnsi="宋体" w:eastAsia="宋体" w:cs="宋体"/>
          <w:b/>
          <w:bCs/>
          <w:snapToGrid w:val="0"/>
          <w:color w:val="auto"/>
          <w:spacing w:val="0"/>
          <w:kern w:val="21"/>
          <w:sz w:val="30"/>
          <w:szCs w:val="30"/>
        </w:rPr>
        <w:fldChar w:fldCharType="end"/>
      </w:r>
      <w:r>
        <w:rPr>
          <w:rFonts w:hint="eastAsia" w:ascii="宋体" w:hAnsi="宋体" w:eastAsia="宋体" w:cs="宋体"/>
          <w:b/>
          <w:bCs/>
          <w:snapToGrid w:val="0"/>
          <w:color w:val="auto"/>
          <w:spacing w:val="0"/>
          <w:kern w:val="21"/>
          <w:sz w:val="30"/>
          <w:szCs w:val="30"/>
        </w:rPr>
        <w:fldChar w:fldCharType="end"/>
      </w:r>
    </w:p>
    <w:p w14:paraId="45C914C0">
      <w:pPr>
        <w:widowControl/>
        <w:tabs>
          <w:tab w:val="right" w:leader="dot" w:pos="9345"/>
        </w:tabs>
        <w:spacing w:line="480" w:lineRule="auto"/>
        <w:jc w:val="left"/>
        <w:rPr>
          <w:rFonts w:hint="eastAsia" w:ascii="宋体" w:hAnsi="宋体" w:eastAsia="宋体" w:cs="宋体"/>
          <w:snapToGrid w:val="0"/>
          <w:color w:val="auto"/>
          <w:spacing w:val="0"/>
          <w:kern w:val="21"/>
          <w:sz w:val="30"/>
          <w:szCs w:val="30"/>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instrText xml:space="preserve">HYPERLINK \l "_Toc485222550"</w:instrText>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第二</w:t>
      </w:r>
      <w:r>
        <w:rPr>
          <w:rFonts w:hint="eastAsia" w:ascii="宋体" w:hAnsi="宋体" w:eastAsia="宋体" w:cs="宋体"/>
          <w:b/>
          <w:bCs/>
          <w:snapToGrid w:val="0"/>
          <w:color w:val="auto"/>
          <w:spacing w:val="0"/>
          <w:kern w:val="21"/>
          <w:sz w:val="30"/>
          <w:szCs w:val="30"/>
          <w:u w:val="single"/>
          <w:lang w:val="en-US" w:eastAsia="zh-CN"/>
        </w:rPr>
        <w:t>章</w:t>
      </w:r>
      <w:r>
        <w:rPr>
          <w:rFonts w:hint="eastAsia" w:ascii="宋体" w:hAnsi="宋体" w:eastAsia="宋体" w:cs="宋体"/>
          <w:b/>
          <w:bCs/>
          <w:snapToGrid w:val="0"/>
          <w:color w:val="auto"/>
          <w:spacing w:val="0"/>
          <w:kern w:val="21"/>
          <w:sz w:val="30"/>
          <w:szCs w:val="30"/>
          <w:u w:val="single"/>
        </w:rPr>
        <w:t xml:space="preserve">  </w:t>
      </w:r>
      <w:r>
        <w:rPr>
          <w:rFonts w:hint="eastAsia" w:ascii="宋体" w:hAnsi="宋体" w:eastAsia="宋体" w:cs="宋体"/>
          <w:b/>
          <w:bCs/>
          <w:snapToGrid w:val="0"/>
          <w:color w:val="auto"/>
          <w:spacing w:val="0"/>
          <w:kern w:val="21"/>
          <w:sz w:val="30"/>
          <w:szCs w:val="30"/>
          <w:u w:val="single"/>
          <w:lang w:eastAsia="zh-CN"/>
        </w:rPr>
        <w:t>投标人</w:t>
      </w:r>
      <w:r>
        <w:rPr>
          <w:rFonts w:hint="eastAsia" w:ascii="宋体" w:hAnsi="宋体" w:eastAsia="宋体" w:cs="宋体"/>
          <w:b/>
          <w:bCs/>
          <w:snapToGrid w:val="0"/>
          <w:color w:val="auto"/>
          <w:spacing w:val="0"/>
          <w:kern w:val="21"/>
          <w:sz w:val="30"/>
          <w:szCs w:val="30"/>
          <w:u w:val="single"/>
        </w:rPr>
        <w:t>须知</w:t>
      </w:r>
      <w:r>
        <w:rPr>
          <w:rFonts w:hint="eastAsia" w:ascii="宋体" w:hAnsi="宋体" w:eastAsia="宋体" w:cs="宋体"/>
          <w:b/>
          <w:bCs/>
          <w:snapToGrid w:val="0"/>
          <w:color w:val="auto"/>
          <w:spacing w:val="0"/>
          <w:kern w:val="21"/>
          <w:sz w:val="30"/>
          <w:szCs w:val="30"/>
        </w:rPr>
        <w:tab/>
      </w: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rPr>
        <w:instrText xml:space="preserve"> PAGEREF _Toc485222550 \h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rPr>
        <w:t>6</w:t>
      </w:r>
      <w:r>
        <w:rPr>
          <w:rFonts w:hint="eastAsia" w:ascii="宋体" w:hAnsi="宋体" w:eastAsia="宋体" w:cs="宋体"/>
          <w:b/>
          <w:bCs/>
          <w:snapToGrid w:val="0"/>
          <w:color w:val="auto"/>
          <w:spacing w:val="0"/>
          <w:kern w:val="21"/>
          <w:sz w:val="30"/>
          <w:szCs w:val="30"/>
        </w:rPr>
        <w:fldChar w:fldCharType="end"/>
      </w:r>
      <w:r>
        <w:rPr>
          <w:rFonts w:hint="eastAsia" w:ascii="宋体" w:hAnsi="宋体" w:eastAsia="宋体" w:cs="宋体"/>
          <w:b/>
          <w:bCs/>
          <w:snapToGrid w:val="0"/>
          <w:color w:val="auto"/>
          <w:spacing w:val="0"/>
          <w:kern w:val="21"/>
          <w:sz w:val="30"/>
          <w:szCs w:val="30"/>
        </w:rPr>
        <w:fldChar w:fldCharType="end"/>
      </w:r>
    </w:p>
    <w:p w14:paraId="657B8869">
      <w:pPr>
        <w:widowControl/>
        <w:tabs>
          <w:tab w:val="right" w:leader="dot" w:pos="9345"/>
        </w:tabs>
        <w:spacing w:before="120" w:after="120" w:line="480" w:lineRule="auto"/>
        <w:jc w:val="left"/>
        <w:rPr>
          <w:rFonts w:hint="default" w:ascii="宋体" w:hAnsi="宋体" w:eastAsia="宋体" w:cs="宋体"/>
          <w:b/>
          <w:bCs/>
          <w:snapToGrid w:val="0"/>
          <w:color w:val="auto"/>
          <w:spacing w:val="0"/>
          <w:kern w:val="21"/>
          <w:sz w:val="30"/>
          <w:szCs w:val="30"/>
          <w:lang w:val="en-US" w:eastAsia="zh-CN"/>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HYPERLINK \l "_Toc485222558"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w:t>
      </w:r>
      <w:r>
        <w:rPr>
          <w:rFonts w:hint="eastAsia" w:ascii="宋体" w:hAnsi="宋体" w:eastAsia="宋体" w:cs="宋体"/>
          <w:b/>
          <w:bCs/>
          <w:snapToGrid w:val="0"/>
          <w:color w:val="auto"/>
          <w:spacing w:val="0"/>
          <w:kern w:val="21"/>
          <w:sz w:val="30"/>
          <w:szCs w:val="30"/>
          <w:u w:val="single"/>
          <w:lang w:val="en-US" w:eastAsia="zh-CN"/>
        </w:rPr>
        <w:t>三章</w:t>
      </w:r>
      <w:r>
        <w:rPr>
          <w:rFonts w:hint="eastAsia" w:ascii="宋体" w:hAnsi="宋体" w:eastAsia="宋体" w:cs="宋体"/>
          <w:b/>
          <w:bCs/>
          <w:snapToGrid w:val="0"/>
          <w:color w:val="auto"/>
          <w:spacing w:val="0"/>
          <w:kern w:val="21"/>
          <w:sz w:val="30"/>
          <w:szCs w:val="30"/>
          <w:u w:val="single"/>
        </w:rPr>
        <w:t xml:space="preserve">  服务内容及要求</w:t>
      </w:r>
      <w:r>
        <w:rPr>
          <w:rFonts w:hint="eastAsia" w:ascii="宋体" w:hAnsi="宋体" w:eastAsia="宋体" w:cs="宋体"/>
          <w:b/>
          <w:bCs/>
          <w:snapToGrid w:val="0"/>
          <w:color w:val="auto"/>
          <w:spacing w:val="0"/>
          <w:kern w:val="21"/>
          <w:sz w:val="30"/>
          <w:szCs w:val="30"/>
          <w:u w:val="single"/>
        </w:rPr>
        <w:tab/>
      </w:r>
      <w:r>
        <w:rPr>
          <w:rFonts w:hint="eastAsia" w:ascii="宋体" w:hAnsi="宋体" w:eastAsia="宋体" w:cs="宋体"/>
          <w:b/>
          <w:bCs/>
          <w:snapToGrid w:val="0"/>
          <w:color w:val="auto"/>
          <w:spacing w:val="0"/>
          <w:kern w:val="21"/>
          <w:sz w:val="30"/>
          <w:szCs w:val="30"/>
        </w:rPr>
        <w:fldChar w:fldCharType="end"/>
      </w:r>
      <w:r>
        <w:rPr>
          <w:rFonts w:hint="eastAsia" w:ascii="宋体" w:hAnsi="宋体" w:cs="宋体"/>
          <w:b/>
          <w:bCs/>
          <w:snapToGrid w:val="0"/>
          <w:color w:val="auto"/>
          <w:spacing w:val="0"/>
          <w:kern w:val="21"/>
          <w:sz w:val="30"/>
          <w:szCs w:val="30"/>
          <w:lang w:val="en-US" w:eastAsia="zh-CN"/>
        </w:rPr>
        <w:t>33</w:t>
      </w:r>
    </w:p>
    <w:p w14:paraId="60A7066A">
      <w:pPr>
        <w:widowControl/>
        <w:tabs>
          <w:tab w:val="right" w:leader="dot" w:pos="9345"/>
        </w:tabs>
        <w:spacing w:before="120" w:after="120" w:line="480" w:lineRule="auto"/>
        <w:jc w:val="left"/>
        <w:rPr>
          <w:rFonts w:hint="eastAsia" w:ascii="宋体" w:hAnsi="宋体" w:eastAsia="宋体" w:cs="宋体"/>
          <w:snapToGrid w:val="0"/>
          <w:color w:val="auto"/>
          <w:spacing w:val="0"/>
          <w:kern w:val="21"/>
          <w:sz w:val="30"/>
          <w:szCs w:val="30"/>
          <w:lang w:val="en-US" w:eastAsia="zh-CN"/>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instrText xml:space="preserve">HYPERLINK \l "_Toc485222551"</w:instrText>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w:t>
      </w:r>
      <w:r>
        <w:rPr>
          <w:rFonts w:hint="eastAsia" w:ascii="宋体" w:hAnsi="宋体" w:eastAsia="宋体" w:cs="宋体"/>
          <w:b/>
          <w:bCs/>
          <w:snapToGrid w:val="0"/>
          <w:color w:val="auto"/>
          <w:spacing w:val="0"/>
          <w:kern w:val="21"/>
          <w:sz w:val="30"/>
          <w:szCs w:val="30"/>
          <w:u w:val="single"/>
          <w:lang w:val="en-US" w:eastAsia="zh-CN"/>
        </w:rPr>
        <w:t>四章</w:t>
      </w:r>
      <w:r>
        <w:rPr>
          <w:rFonts w:hint="eastAsia" w:ascii="宋体" w:hAnsi="宋体" w:eastAsia="宋体" w:cs="宋体"/>
          <w:b/>
          <w:bCs/>
          <w:snapToGrid w:val="0"/>
          <w:color w:val="auto"/>
          <w:spacing w:val="0"/>
          <w:kern w:val="21"/>
          <w:sz w:val="30"/>
          <w:szCs w:val="30"/>
          <w:u w:val="single"/>
        </w:rPr>
        <w:t xml:space="preserve">  </w:t>
      </w:r>
      <w:r>
        <w:rPr>
          <w:rFonts w:hint="eastAsia" w:ascii="宋体" w:hAnsi="宋体" w:eastAsia="宋体" w:cs="宋体"/>
          <w:b/>
          <w:bCs/>
          <w:snapToGrid w:val="0"/>
          <w:color w:val="auto"/>
          <w:spacing w:val="0"/>
          <w:kern w:val="21"/>
          <w:sz w:val="30"/>
          <w:szCs w:val="30"/>
          <w:u w:val="single"/>
          <w:lang w:val="en-US" w:eastAsia="zh-CN"/>
        </w:rPr>
        <w:t>评标</w:t>
      </w:r>
      <w:r>
        <w:rPr>
          <w:rFonts w:hint="eastAsia" w:ascii="宋体" w:hAnsi="宋体" w:eastAsia="宋体" w:cs="宋体"/>
          <w:b/>
          <w:bCs/>
          <w:snapToGrid w:val="0"/>
          <w:color w:val="auto"/>
          <w:spacing w:val="0"/>
          <w:kern w:val="21"/>
          <w:sz w:val="30"/>
          <w:szCs w:val="30"/>
          <w:u w:val="single"/>
        </w:rPr>
        <w:t>办法</w:t>
      </w:r>
      <w:r>
        <w:rPr>
          <w:rFonts w:hint="eastAsia" w:ascii="宋体" w:hAnsi="宋体" w:eastAsia="宋体" w:cs="宋体"/>
          <w:b/>
          <w:bCs/>
          <w:snapToGrid w:val="0"/>
          <w:color w:val="auto"/>
          <w:spacing w:val="0"/>
          <w:kern w:val="21"/>
          <w:sz w:val="30"/>
          <w:szCs w:val="30"/>
        </w:rPr>
        <w:tab/>
      </w:r>
      <w:r>
        <w:rPr>
          <w:rFonts w:hint="eastAsia" w:ascii="宋体" w:hAnsi="宋体" w:cs="宋体"/>
          <w:b/>
          <w:bCs/>
          <w:snapToGrid w:val="0"/>
          <w:color w:val="auto"/>
          <w:spacing w:val="0"/>
          <w:kern w:val="21"/>
          <w:sz w:val="30"/>
          <w:szCs w:val="30"/>
          <w:lang w:val="en-US" w:eastAsia="zh-CN"/>
        </w:rPr>
        <w:t>4</w:t>
      </w:r>
      <w:r>
        <w:rPr>
          <w:rFonts w:hint="eastAsia" w:ascii="宋体" w:hAnsi="宋体" w:eastAsia="宋体" w:cs="宋体"/>
          <w:b/>
          <w:bCs/>
          <w:snapToGrid w:val="0"/>
          <w:color w:val="auto"/>
          <w:spacing w:val="0"/>
          <w:kern w:val="21"/>
          <w:sz w:val="30"/>
          <w:szCs w:val="30"/>
        </w:rPr>
        <w:fldChar w:fldCharType="end"/>
      </w:r>
      <w:r>
        <w:rPr>
          <w:rFonts w:hint="eastAsia" w:ascii="宋体" w:hAnsi="宋体" w:cs="宋体"/>
          <w:b/>
          <w:bCs/>
          <w:snapToGrid w:val="0"/>
          <w:color w:val="auto"/>
          <w:spacing w:val="0"/>
          <w:kern w:val="21"/>
          <w:sz w:val="30"/>
          <w:szCs w:val="30"/>
          <w:lang w:val="en-US" w:eastAsia="zh-CN"/>
        </w:rPr>
        <w:t>0</w:t>
      </w:r>
    </w:p>
    <w:p w14:paraId="6E15FD90">
      <w:pPr>
        <w:widowControl/>
        <w:tabs>
          <w:tab w:val="right" w:leader="dot" w:pos="9345"/>
        </w:tabs>
        <w:spacing w:before="120" w:after="120" w:line="480" w:lineRule="auto"/>
        <w:jc w:val="left"/>
        <w:rPr>
          <w:rFonts w:hint="eastAsia" w:ascii="宋体" w:hAnsi="宋体" w:eastAsia="宋体" w:cs="宋体"/>
          <w:b/>
          <w:bCs/>
          <w:snapToGrid w:val="0"/>
          <w:color w:val="auto"/>
          <w:spacing w:val="0"/>
          <w:kern w:val="21"/>
          <w:sz w:val="30"/>
          <w:szCs w:val="30"/>
          <w:u w:val="single"/>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instrText xml:space="preserve">HYPERLINK \l "_Toc485222557"</w:instrText>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w:t>
      </w:r>
      <w:r>
        <w:rPr>
          <w:rFonts w:hint="eastAsia" w:ascii="宋体" w:hAnsi="宋体" w:eastAsia="宋体" w:cs="宋体"/>
          <w:b/>
          <w:bCs/>
          <w:snapToGrid w:val="0"/>
          <w:color w:val="auto"/>
          <w:spacing w:val="0"/>
          <w:kern w:val="21"/>
          <w:sz w:val="30"/>
          <w:szCs w:val="30"/>
          <w:u w:val="single"/>
          <w:lang w:val="en-US" w:eastAsia="zh-CN"/>
        </w:rPr>
        <w:t>五章</w:t>
      </w:r>
      <w:r>
        <w:rPr>
          <w:rFonts w:hint="eastAsia" w:ascii="宋体" w:hAnsi="宋体" w:eastAsia="宋体" w:cs="宋体"/>
          <w:b/>
          <w:bCs/>
          <w:snapToGrid w:val="0"/>
          <w:color w:val="auto"/>
          <w:spacing w:val="0"/>
          <w:kern w:val="21"/>
          <w:sz w:val="30"/>
          <w:szCs w:val="30"/>
          <w:u w:val="single"/>
        </w:rPr>
        <w:t xml:space="preserve">  合同条款及格式</w:t>
      </w:r>
      <w:r>
        <w:rPr>
          <w:rFonts w:hint="eastAsia" w:ascii="宋体" w:hAnsi="宋体" w:eastAsia="宋体" w:cs="宋体"/>
          <w:b/>
          <w:bCs/>
          <w:snapToGrid w:val="0"/>
          <w:color w:val="auto"/>
          <w:spacing w:val="0"/>
          <w:kern w:val="21"/>
          <w:sz w:val="30"/>
          <w:szCs w:val="30"/>
        </w:rPr>
        <w:tab/>
      </w: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rPr>
        <w:instrText xml:space="preserve"> PAGEREF _Toc485222557 \h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rPr>
        <w:t>48</w:t>
      </w:r>
      <w:r>
        <w:rPr>
          <w:rFonts w:hint="eastAsia" w:ascii="宋体" w:hAnsi="宋体" w:eastAsia="宋体" w:cs="宋体"/>
          <w:b/>
          <w:bCs/>
          <w:snapToGrid w:val="0"/>
          <w:color w:val="auto"/>
          <w:spacing w:val="0"/>
          <w:kern w:val="21"/>
          <w:sz w:val="30"/>
          <w:szCs w:val="30"/>
        </w:rPr>
        <w:fldChar w:fldCharType="end"/>
      </w:r>
      <w:r>
        <w:rPr>
          <w:rFonts w:hint="eastAsia" w:ascii="宋体" w:hAnsi="宋体" w:eastAsia="宋体" w:cs="宋体"/>
          <w:b/>
          <w:bCs/>
          <w:snapToGrid w:val="0"/>
          <w:color w:val="auto"/>
          <w:spacing w:val="0"/>
          <w:kern w:val="21"/>
          <w:sz w:val="30"/>
          <w:szCs w:val="30"/>
        </w:rPr>
        <w:fldChar w:fldCharType="end"/>
      </w:r>
    </w:p>
    <w:p w14:paraId="6B64776B">
      <w:pPr>
        <w:widowControl/>
        <w:tabs>
          <w:tab w:val="right" w:leader="dot" w:pos="9345"/>
        </w:tabs>
        <w:spacing w:before="120" w:after="120" w:line="480" w:lineRule="auto"/>
        <w:jc w:val="left"/>
        <w:rPr>
          <w:rFonts w:hint="default" w:ascii="宋体" w:hAnsi="宋体" w:eastAsia="宋体" w:cs="宋体"/>
          <w:b/>
          <w:bCs/>
          <w:snapToGrid w:val="0"/>
          <w:color w:val="auto"/>
          <w:spacing w:val="0"/>
          <w:kern w:val="21"/>
          <w:sz w:val="30"/>
          <w:szCs w:val="30"/>
          <w:u w:val="single"/>
          <w:lang w:val="en-US" w:eastAsia="zh-CN"/>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HYPERLINK \l "_Toc485222561"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第六</w:t>
      </w:r>
      <w:r>
        <w:rPr>
          <w:rFonts w:hint="eastAsia" w:ascii="宋体" w:hAnsi="宋体" w:eastAsia="宋体" w:cs="宋体"/>
          <w:b/>
          <w:bCs/>
          <w:snapToGrid w:val="0"/>
          <w:color w:val="auto"/>
          <w:spacing w:val="0"/>
          <w:kern w:val="21"/>
          <w:sz w:val="30"/>
          <w:szCs w:val="30"/>
          <w:u w:val="single"/>
          <w:lang w:val="en-US" w:eastAsia="zh-CN"/>
        </w:rPr>
        <w:t>章</w:t>
      </w:r>
      <w:r>
        <w:rPr>
          <w:rFonts w:hint="eastAsia" w:ascii="宋体" w:hAnsi="宋体" w:eastAsia="宋体" w:cs="宋体"/>
          <w:b/>
          <w:bCs/>
          <w:snapToGrid w:val="0"/>
          <w:color w:val="auto"/>
          <w:spacing w:val="0"/>
          <w:kern w:val="21"/>
          <w:sz w:val="30"/>
          <w:szCs w:val="30"/>
          <w:u w:val="single"/>
        </w:rPr>
        <w:t xml:space="preserve">  </w:t>
      </w:r>
      <w:r>
        <w:rPr>
          <w:rFonts w:hint="eastAsia" w:ascii="宋体" w:hAnsi="宋体" w:eastAsia="宋体" w:cs="宋体"/>
          <w:b/>
          <w:bCs/>
          <w:snapToGrid w:val="0"/>
          <w:color w:val="auto"/>
          <w:spacing w:val="0"/>
          <w:kern w:val="21"/>
          <w:sz w:val="30"/>
          <w:szCs w:val="30"/>
          <w:u w:val="single"/>
          <w:lang w:val="en-US" w:eastAsia="zh-CN"/>
        </w:rPr>
        <w:t>投标</w:t>
      </w:r>
      <w:r>
        <w:rPr>
          <w:rFonts w:hint="eastAsia" w:ascii="宋体" w:hAnsi="宋体" w:eastAsia="宋体" w:cs="宋体"/>
          <w:b/>
          <w:bCs/>
          <w:snapToGrid w:val="0"/>
          <w:color w:val="auto"/>
          <w:spacing w:val="0"/>
          <w:kern w:val="21"/>
          <w:sz w:val="30"/>
          <w:szCs w:val="30"/>
          <w:u w:val="single"/>
        </w:rPr>
        <w:t>文</w:t>
      </w:r>
      <w:bookmarkStart w:id="0" w:name="_Hlt12629659"/>
      <w:bookmarkStart w:id="1" w:name="_Hlt12629658"/>
      <w:r>
        <w:rPr>
          <w:rFonts w:hint="eastAsia" w:ascii="宋体" w:hAnsi="宋体" w:eastAsia="宋体" w:cs="宋体"/>
          <w:b/>
          <w:bCs/>
          <w:snapToGrid w:val="0"/>
          <w:color w:val="auto"/>
          <w:spacing w:val="0"/>
          <w:kern w:val="21"/>
          <w:sz w:val="30"/>
          <w:szCs w:val="30"/>
          <w:u w:val="single"/>
        </w:rPr>
        <w:t>件</w:t>
      </w:r>
      <w:bookmarkEnd w:id="0"/>
      <w:bookmarkEnd w:id="1"/>
      <w:r>
        <w:rPr>
          <w:rFonts w:hint="eastAsia" w:ascii="宋体" w:hAnsi="宋体" w:eastAsia="宋体" w:cs="宋体"/>
          <w:b/>
          <w:bCs/>
          <w:snapToGrid w:val="0"/>
          <w:color w:val="auto"/>
          <w:spacing w:val="0"/>
          <w:kern w:val="21"/>
          <w:sz w:val="30"/>
          <w:szCs w:val="30"/>
          <w:u w:val="single"/>
        </w:rPr>
        <w:t>格式</w:t>
      </w:r>
      <w:r>
        <w:rPr>
          <w:rFonts w:hint="eastAsia" w:ascii="宋体" w:hAnsi="宋体" w:eastAsia="宋体" w:cs="宋体"/>
          <w:b/>
          <w:bCs/>
          <w:snapToGrid w:val="0"/>
          <w:color w:val="auto"/>
          <w:spacing w:val="0"/>
          <w:kern w:val="21"/>
          <w:sz w:val="30"/>
          <w:szCs w:val="30"/>
          <w:u w:val="single"/>
        </w:rPr>
        <w:tab/>
      </w:r>
      <w:r>
        <w:rPr>
          <w:rFonts w:hint="eastAsia" w:ascii="宋体" w:hAnsi="宋体" w:eastAsia="宋体" w:cs="宋体"/>
          <w:b/>
          <w:bCs/>
          <w:snapToGrid w:val="0"/>
          <w:color w:val="auto"/>
          <w:spacing w:val="0"/>
          <w:kern w:val="21"/>
          <w:sz w:val="30"/>
          <w:szCs w:val="30"/>
        </w:rPr>
        <w:fldChar w:fldCharType="end"/>
      </w:r>
      <w:r>
        <w:rPr>
          <w:rFonts w:hint="eastAsia" w:ascii="宋体" w:hAnsi="宋体" w:eastAsia="宋体" w:cs="宋体"/>
          <w:b/>
          <w:bCs/>
          <w:snapToGrid w:val="0"/>
          <w:color w:val="auto"/>
          <w:spacing w:val="0"/>
          <w:kern w:val="21"/>
          <w:sz w:val="30"/>
          <w:szCs w:val="30"/>
          <w:lang w:val="en-US" w:eastAsia="zh-CN"/>
        </w:rPr>
        <w:t>5</w:t>
      </w:r>
      <w:r>
        <w:rPr>
          <w:rFonts w:hint="eastAsia" w:ascii="宋体" w:hAnsi="宋体" w:cs="宋体"/>
          <w:b/>
          <w:bCs/>
          <w:snapToGrid w:val="0"/>
          <w:color w:val="auto"/>
          <w:spacing w:val="0"/>
          <w:kern w:val="21"/>
          <w:sz w:val="30"/>
          <w:szCs w:val="30"/>
          <w:lang w:val="en-US" w:eastAsia="zh-CN"/>
        </w:rPr>
        <w:t>1</w:t>
      </w:r>
    </w:p>
    <w:p w14:paraId="4485D492">
      <w:pPr>
        <w:tabs>
          <w:tab w:val="right" w:leader="dot" w:pos="8729"/>
        </w:tabs>
        <w:spacing w:line="480" w:lineRule="auto"/>
        <w:jc w:val="left"/>
        <w:rPr>
          <w:rFonts w:hint="eastAsia" w:ascii="宋体" w:hAnsi="宋体" w:eastAsia="宋体" w:cs="宋体"/>
          <w:b/>
          <w:snapToGrid w:val="0"/>
          <w:color w:val="auto"/>
          <w:spacing w:val="0"/>
          <w:kern w:val="21"/>
          <w:sz w:val="36"/>
          <w:szCs w:val="36"/>
        </w:rPr>
        <w:sectPr>
          <w:footerReference r:id="rId9" w:type="default"/>
          <w:pgSz w:w="11905" w:h="16838"/>
          <w:pgMar w:top="1440" w:right="1440" w:bottom="1440" w:left="1440" w:header="0" w:footer="986" w:gutter="0"/>
          <w:pgNumType w:start="1"/>
          <w:cols w:space="720" w:num="1"/>
          <w:rtlGutter w:val="0"/>
          <w:docGrid w:linePitch="0" w:charSpace="0"/>
        </w:sectPr>
      </w:pPr>
      <w:r>
        <w:rPr>
          <w:rFonts w:hint="eastAsia" w:ascii="宋体" w:hAnsi="宋体" w:eastAsia="宋体" w:cs="宋体"/>
          <w:b/>
          <w:snapToGrid w:val="0"/>
          <w:color w:val="auto"/>
          <w:spacing w:val="0"/>
          <w:kern w:val="21"/>
          <w:sz w:val="30"/>
          <w:szCs w:val="30"/>
        </w:rPr>
        <w:fldChar w:fldCharType="end"/>
      </w:r>
      <w:bookmarkStart w:id="2" w:name="_Toc485222549"/>
      <w:bookmarkStart w:id="3" w:name="_Toc181180296"/>
      <w:bookmarkStart w:id="4" w:name="_Toc183264282"/>
    </w:p>
    <w:p w14:paraId="2F205A6B">
      <w:pPr>
        <w:tabs>
          <w:tab w:val="right" w:leader="dot" w:pos="8729"/>
        </w:tabs>
        <w:spacing w:line="480" w:lineRule="auto"/>
        <w:jc w:val="center"/>
        <w:rPr>
          <w:rFonts w:hint="eastAsia" w:ascii="宋体" w:hAnsi="宋体" w:eastAsia="宋体" w:cs="宋体"/>
          <w:b/>
          <w:bCs/>
          <w:snapToGrid w:val="0"/>
          <w:color w:val="auto"/>
          <w:spacing w:val="0"/>
          <w:kern w:val="21"/>
          <w:sz w:val="36"/>
          <w:szCs w:val="36"/>
        </w:rPr>
      </w:pPr>
      <w:r>
        <w:rPr>
          <w:rFonts w:hint="eastAsia" w:ascii="宋体" w:hAnsi="宋体" w:eastAsia="宋体" w:cs="宋体"/>
          <w:b/>
          <w:bCs/>
          <w:snapToGrid w:val="0"/>
          <w:color w:val="auto"/>
          <w:spacing w:val="0"/>
          <w:kern w:val="21"/>
          <w:sz w:val="36"/>
          <w:szCs w:val="36"/>
        </w:rPr>
        <w:t>第一</w:t>
      </w:r>
      <w:r>
        <w:rPr>
          <w:rFonts w:hint="eastAsia" w:ascii="宋体" w:hAnsi="宋体" w:eastAsia="宋体" w:cs="宋体"/>
          <w:b/>
          <w:bCs/>
          <w:snapToGrid w:val="0"/>
          <w:color w:val="auto"/>
          <w:spacing w:val="0"/>
          <w:kern w:val="21"/>
          <w:sz w:val="36"/>
          <w:szCs w:val="36"/>
          <w:lang w:val="en-US" w:eastAsia="zh-CN"/>
        </w:rPr>
        <w:t>章</w:t>
      </w:r>
      <w:r>
        <w:rPr>
          <w:rFonts w:hint="eastAsia" w:ascii="宋体" w:hAnsi="宋体" w:eastAsia="宋体" w:cs="宋体"/>
          <w:b/>
          <w:bCs/>
          <w:snapToGrid w:val="0"/>
          <w:color w:val="auto"/>
          <w:spacing w:val="0"/>
          <w:kern w:val="21"/>
          <w:sz w:val="36"/>
          <w:szCs w:val="36"/>
        </w:rPr>
        <w:t xml:space="preserve">  </w:t>
      </w:r>
      <w:r>
        <w:rPr>
          <w:rFonts w:hint="eastAsia" w:ascii="宋体" w:hAnsi="宋体" w:eastAsia="宋体" w:cs="宋体"/>
          <w:b/>
          <w:bCs/>
          <w:snapToGrid w:val="0"/>
          <w:color w:val="auto"/>
          <w:spacing w:val="0"/>
          <w:kern w:val="21"/>
          <w:sz w:val="36"/>
          <w:szCs w:val="36"/>
          <w:lang w:val="en-US" w:eastAsia="zh-CN"/>
        </w:rPr>
        <w:t>招标</w:t>
      </w:r>
      <w:r>
        <w:rPr>
          <w:rFonts w:hint="eastAsia" w:ascii="宋体" w:hAnsi="宋体" w:eastAsia="宋体" w:cs="宋体"/>
          <w:b/>
          <w:bCs/>
          <w:snapToGrid w:val="0"/>
          <w:color w:val="auto"/>
          <w:spacing w:val="0"/>
          <w:kern w:val="21"/>
          <w:sz w:val="36"/>
          <w:szCs w:val="36"/>
        </w:rPr>
        <w:t>公告</w:t>
      </w:r>
      <w:bookmarkEnd w:id="2"/>
    </w:p>
    <w:p w14:paraId="2D61892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河南良智行工程管理咨询有限公司</w:t>
      </w:r>
      <w:r>
        <w:rPr>
          <w:rFonts w:hint="eastAsia" w:ascii="宋体" w:hAnsi="宋体" w:eastAsia="宋体" w:cs="宋体"/>
          <w:color w:val="auto"/>
          <w:sz w:val="24"/>
          <w:szCs w:val="24"/>
          <w:highlight w:val="none"/>
        </w:rPr>
        <w:t>受</w:t>
      </w:r>
      <w:r>
        <w:rPr>
          <w:rFonts w:hint="eastAsia" w:ascii="宋体" w:hAnsi="宋体" w:cs="宋体"/>
          <w:color w:val="auto"/>
          <w:sz w:val="24"/>
          <w:szCs w:val="24"/>
          <w:highlight w:val="none"/>
          <w:lang w:eastAsia="zh-CN"/>
        </w:rPr>
        <w:t>卢氏县养老服务中心</w:t>
      </w:r>
      <w:r>
        <w:rPr>
          <w:rFonts w:hint="eastAsia" w:ascii="宋体" w:hAnsi="宋体" w:eastAsia="宋体" w:cs="宋体"/>
          <w:color w:val="auto"/>
          <w:sz w:val="24"/>
          <w:szCs w:val="24"/>
          <w:highlight w:val="none"/>
        </w:rPr>
        <w:t>的委托，就</w:t>
      </w:r>
      <w:r>
        <w:rPr>
          <w:rFonts w:hint="eastAsia" w:ascii="宋体" w:hAnsi="宋体" w:cs="宋体"/>
          <w:color w:val="auto"/>
          <w:sz w:val="24"/>
          <w:szCs w:val="24"/>
          <w:highlight w:val="none"/>
          <w:lang w:eastAsia="zh-CN"/>
        </w:rPr>
        <w:t>卢氏县养老服务中心2026-2027年度集中供养人员餐厅食材采购项目（</w:t>
      </w:r>
      <w:r>
        <w:rPr>
          <w:rFonts w:hint="eastAsia" w:ascii="宋体" w:hAnsi="宋体" w:cs="宋体"/>
          <w:color w:val="auto"/>
          <w:sz w:val="24"/>
          <w:szCs w:val="24"/>
          <w:highlight w:val="none"/>
          <w:lang w:val="en-US" w:eastAsia="zh-CN"/>
        </w:rPr>
        <w:t>二次</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进行公开招标，欢迎符合条件的供应商参加。</w:t>
      </w:r>
    </w:p>
    <w:p w14:paraId="0A77F8AA">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一、项目概况与采购范围</w:t>
      </w:r>
    </w:p>
    <w:p w14:paraId="432013E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1、项目名称：</w:t>
      </w:r>
      <w:r>
        <w:rPr>
          <w:rFonts w:hint="eastAsia" w:ascii="宋体" w:hAnsi="宋体" w:cs="宋体"/>
          <w:color w:val="auto"/>
          <w:sz w:val="24"/>
          <w:szCs w:val="24"/>
          <w:highlight w:val="none"/>
          <w:lang w:eastAsia="zh-CN"/>
        </w:rPr>
        <w:t>卢氏县养老服务中心2026-2027年度集中供养人员餐厅食材采购项目（</w:t>
      </w:r>
      <w:r>
        <w:rPr>
          <w:rFonts w:hint="eastAsia" w:ascii="宋体" w:hAnsi="宋体" w:cs="宋体"/>
          <w:color w:val="auto"/>
          <w:sz w:val="24"/>
          <w:szCs w:val="24"/>
          <w:highlight w:val="none"/>
          <w:lang w:val="en-US" w:eastAsia="zh-CN"/>
        </w:rPr>
        <w:t>二次</w:t>
      </w:r>
      <w:r>
        <w:rPr>
          <w:rFonts w:hint="eastAsia" w:ascii="宋体" w:hAnsi="宋体" w:cs="宋体"/>
          <w:color w:val="auto"/>
          <w:sz w:val="24"/>
          <w:szCs w:val="24"/>
          <w:highlight w:val="none"/>
          <w:lang w:eastAsia="zh-CN"/>
        </w:rPr>
        <w:t>）</w:t>
      </w:r>
    </w:p>
    <w:p w14:paraId="7B2BE25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2、采购人：</w:t>
      </w:r>
      <w:r>
        <w:rPr>
          <w:rFonts w:hint="eastAsia" w:ascii="宋体" w:hAnsi="宋体" w:cs="宋体"/>
          <w:color w:val="auto"/>
          <w:sz w:val="24"/>
          <w:szCs w:val="24"/>
          <w:highlight w:val="none"/>
          <w:lang w:eastAsia="zh-CN"/>
        </w:rPr>
        <w:t>卢氏县养老服务中心</w:t>
      </w:r>
    </w:p>
    <w:p w14:paraId="25D28AA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3、项目编号：三卢公开采购-2026-25</w:t>
      </w:r>
      <w:r>
        <w:rPr>
          <w:rFonts w:hint="eastAsia" w:ascii="宋体" w:hAnsi="宋体" w:eastAsia="宋体" w:cs="宋体"/>
          <w:color w:val="auto"/>
          <w:sz w:val="24"/>
          <w:szCs w:val="24"/>
          <w:highlight w:val="none"/>
          <w:lang w:eastAsia="zh-CN"/>
        </w:rPr>
        <w:t>、LSGZ[2026]159-ZC122</w:t>
      </w:r>
    </w:p>
    <w:p w14:paraId="6257605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4、采购内容：本项目</w:t>
      </w:r>
      <w:r>
        <w:rPr>
          <w:rFonts w:hint="eastAsia" w:ascii="宋体" w:hAnsi="宋体" w:cs="宋体"/>
          <w:color w:val="auto"/>
          <w:sz w:val="24"/>
          <w:szCs w:val="24"/>
          <w:highlight w:val="none"/>
          <w:lang w:val="en-US" w:eastAsia="zh-CN"/>
        </w:rPr>
        <w:t>采购内容</w:t>
      </w:r>
      <w:r>
        <w:rPr>
          <w:rFonts w:hint="eastAsia" w:ascii="宋体" w:hAnsi="宋体" w:eastAsia="宋体" w:cs="宋体"/>
          <w:color w:val="auto"/>
          <w:sz w:val="24"/>
          <w:szCs w:val="24"/>
          <w:highlight w:val="none"/>
        </w:rPr>
        <w:t>为</w:t>
      </w:r>
      <w:r>
        <w:rPr>
          <w:rFonts w:hint="eastAsia" w:ascii="宋体" w:hAnsi="宋体" w:cs="宋体"/>
          <w:color w:val="auto"/>
          <w:sz w:val="24"/>
          <w:szCs w:val="24"/>
          <w:highlight w:val="none"/>
          <w:lang w:val="en-US" w:eastAsia="zh-CN"/>
        </w:rPr>
        <w:t>特困</w:t>
      </w:r>
      <w:r>
        <w:rPr>
          <w:rFonts w:hint="eastAsia" w:ascii="宋体" w:hAnsi="宋体" w:cs="宋体"/>
          <w:color w:val="auto"/>
          <w:sz w:val="24"/>
          <w:szCs w:val="24"/>
          <w:highlight w:val="none"/>
          <w:lang w:eastAsia="zh-CN"/>
        </w:rPr>
        <w:t>集中供养人员餐厅食材采购</w:t>
      </w:r>
      <w:r>
        <w:rPr>
          <w:rFonts w:hint="eastAsia" w:ascii="宋体" w:hAnsi="宋体" w:eastAsia="宋体" w:cs="宋体"/>
          <w:color w:val="auto"/>
          <w:sz w:val="24"/>
          <w:szCs w:val="24"/>
          <w:highlight w:val="none"/>
        </w:rPr>
        <w:t>原材料大米、面粉、食用油、干面条、杂粮、猪肉、牛羊肉、鸡肉等肉类、干货、副食、蔬菜、调料等供应服务。</w:t>
      </w:r>
    </w:p>
    <w:p w14:paraId="0D72957B">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5、标段划分：本项目共划分</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个标段。</w:t>
      </w:r>
    </w:p>
    <w:p w14:paraId="790630B1">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6、资金来源：财政资金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已落实。</w:t>
      </w:r>
    </w:p>
    <w:p w14:paraId="3A2F217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7、预算金额：</w:t>
      </w:r>
      <w:r>
        <w:rPr>
          <w:rFonts w:hint="eastAsia" w:ascii="宋体" w:hAnsi="宋体" w:cs="宋体"/>
          <w:color w:val="auto"/>
          <w:sz w:val="24"/>
          <w:szCs w:val="24"/>
          <w:highlight w:val="none"/>
          <w:lang w:val="en-US" w:eastAsia="zh-CN"/>
        </w:rPr>
        <w:t>277.00万元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本预算为暂定金额，以实际采购数量为准，按照实际供货数量据实结算</w:t>
      </w:r>
      <w:r>
        <w:rPr>
          <w:rFonts w:hint="eastAsia" w:ascii="宋体" w:hAnsi="宋体" w:eastAsia="宋体" w:cs="宋体"/>
          <w:color w:val="auto"/>
          <w:sz w:val="24"/>
          <w:szCs w:val="24"/>
          <w:highlight w:val="none"/>
        </w:rPr>
        <w:t>）</w:t>
      </w:r>
    </w:p>
    <w:p w14:paraId="271BC463">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配送地点</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卢氏县五里川镇养老院、朱阳关镇养老院、瓦窑沟乡养老院、杜关镇养老院、石龙头重度残疾供养中心、兴贤里特困供养中心</w:t>
      </w:r>
      <w:r>
        <w:rPr>
          <w:rFonts w:hint="eastAsia" w:ascii="宋体" w:hAnsi="宋体" w:eastAsia="宋体" w:cs="宋体"/>
          <w:color w:val="auto"/>
          <w:sz w:val="24"/>
          <w:szCs w:val="24"/>
          <w:highlight w:val="none"/>
        </w:rPr>
        <w:t>。</w:t>
      </w:r>
    </w:p>
    <w:p w14:paraId="26F0D21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质量要求：产品质量合格，符合国家及行业相关食品卫生安全要求，且符合采购人要求。</w:t>
      </w:r>
    </w:p>
    <w:p w14:paraId="3CCC4AB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10</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服务周期：</w:t>
      </w:r>
      <w:r>
        <w:rPr>
          <w:rFonts w:hint="eastAsia" w:ascii="宋体" w:hAnsi="宋体" w:cs="宋体"/>
          <w:color w:val="auto"/>
          <w:sz w:val="24"/>
          <w:szCs w:val="24"/>
          <w:highlight w:val="none"/>
          <w:lang w:val="en-US" w:eastAsia="zh-CN"/>
        </w:rPr>
        <w:t>合同签订后1年</w:t>
      </w:r>
    </w:p>
    <w:p w14:paraId="39F256C5">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二、供应商资格要求</w:t>
      </w:r>
    </w:p>
    <w:p w14:paraId="171E0B7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满足《中华人民共和国政府采购法》第二十二条规定；</w:t>
      </w:r>
    </w:p>
    <w:p w14:paraId="3513527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2、落实政府采购政策满足的资格要求：</w:t>
      </w:r>
    </w:p>
    <w:p w14:paraId="738693C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根据《政府采购促进中小企业发展管理办法》（财库〔2020〕46号）规定，本项目专门面向中小企业采购；同时供应商须提供《中小企业声明函》。</w:t>
      </w:r>
    </w:p>
    <w:p w14:paraId="4C571500">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本项目的特定资格要求</w:t>
      </w:r>
    </w:p>
    <w:p w14:paraId="6170B98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3.1.供应商须具有独立承担民事责任的能力，须提供有效的营业执照或其他证明材料；</w:t>
      </w:r>
    </w:p>
    <w:p w14:paraId="095EACC1">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3.2.若投标人为生产商需具有食品生产许可证；若投标人为经销商需具有食品经营许可证；投标人有固定的门面</w:t>
      </w:r>
      <w:r>
        <w:rPr>
          <w:rFonts w:hint="eastAsia" w:ascii="宋体" w:hAnsi="宋体" w:cs="宋体"/>
          <w:color w:val="auto"/>
          <w:sz w:val="24"/>
          <w:szCs w:val="24"/>
          <w:highlight w:val="none"/>
          <w:lang w:val="en-US" w:eastAsia="zh-CN"/>
        </w:rPr>
        <w:t>和</w:t>
      </w:r>
      <w:r>
        <w:rPr>
          <w:rFonts w:hint="eastAsia" w:ascii="宋体" w:hAnsi="宋体" w:eastAsia="宋体" w:cs="宋体"/>
          <w:color w:val="auto"/>
          <w:sz w:val="24"/>
          <w:szCs w:val="24"/>
          <w:highlight w:val="none"/>
        </w:rPr>
        <w:t>仓储条件。</w:t>
      </w:r>
    </w:p>
    <w:p w14:paraId="2858C01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.拟派的项目负责人需在防疫部门办理健康证</w:t>
      </w:r>
      <w:r>
        <w:rPr>
          <w:rFonts w:hint="eastAsia" w:ascii="宋体" w:hAnsi="宋体" w:cs="宋体"/>
          <w:color w:val="auto"/>
          <w:sz w:val="24"/>
          <w:szCs w:val="24"/>
          <w:highlight w:val="none"/>
          <w:lang w:eastAsia="zh-CN"/>
        </w:rPr>
        <w:t>，为本单位员工</w:t>
      </w:r>
      <w:r>
        <w:rPr>
          <w:rFonts w:hint="eastAsia" w:ascii="宋体" w:hAnsi="宋体"/>
          <w:color w:val="auto"/>
          <w:sz w:val="24"/>
          <w:highlight w:val="none"/>
          <w:lang w:val="en-US" w:eastAsia="zh-CN"/>
        </w:rPr>
        <w:t>且已参加社会保险，</w:t>
      </w:r>
      <w:r>
        <w:rPr>
          <w:rFonts w:hint="eastAsia" w:ascii="宋体" w:hAnsi="宋体" w:cs="宋体"/>
          <w:color w:val="auto"/>
          <w:sz w:val="24"/>
          <w:szCs w:val="32"/>
        </w:rPr>
        <w:t>须提供投标截止日前由社保机构出具的养老保险缴费证明</w:t>
      </w:r>
      <w:r>
        <w:rPr>
          <w:rFonts w:hint="eastAsia" w:ascii="宋体" w:hAnsi="宋体" w:cs="宋体"/>
          <w:color w:val="auto"/>
          <w:sz w:val="24"/>
          <w:szCs w:val="24"/>
          <w:highlight w:val="none"/>
          <w:lang w:eastAsia="zh-CN"/>
        </w:rPr>
        <w:t>；</w:t>
      </w:r>
    </w:p>
    <w:p w14:paraId="0A91F8A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.具有良好的</w:t>
      </w:r>
      <w:r>
        <w:rPr>
          <w:rFonts w:hint="eastAsia" w:ascii="宋体" w:hAnsi="宋体" w:eastAsia="宋体" w:cs="宋体"/>
          <w:color w:val="auto"/>
          <w:sz w:val="24"/>
          <w:szCs w:val="24"/>
          <w:highlight w:val="none"/>
          <w:lang w:val="en-US" w:eastAsia="zh-CN"/>
        </w:rPr>
        <w:t>财务状况</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提供202</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年度第三方审计机构出具的财务报告或自行承诺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1EBD315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.供应商具有依法缴纳税收和社会保障资金的良好记录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提供承诺书或</w:t>
      </w:r>
      <w:r>
        <w:rPr>
          <w:rFonts w:hint="eastAsia" w:ascii="宋体" w:hAnsi="宋体" w:eastAsia="宋体" w:cs="宋体"/>
          <w:color w:val="auto"/>
          <w:sz w:val="24"/>
          <w:szCs w:val="24"/>
          <w:highlight w:val="none"/>
          <w:lang w:val="en-US" w:eastAsia="zh-CN"/>
        </w:rPr>
        <w:t>近</w:t>
      </w:r>
      <w:r>
        <w:rPr>
          <w:rFonts w:hint="eastAsia" w:ascii="宋体" w:hAnsi="宋体" w:eastAsia="宋体" w:cs="宋体"/>
          <w:color w:val="auto"/>
          <w:sz w:val="24"/>
          <w:szCs w:val="24"/>
          <w:highlight w:val="none"/>
        </w:rPr>
        <w:t>三个</w:t>
      </w:r>
      <w:r>
        <w:rPr>
          <w:rFonts w:hint="eastAsia" w:ascii="宋体" w:hAnsi="宋体" w:eastAsia="宋体" w:cs="宋体"/>
          <w:color w:val="auto"/>
          <w:sz w:val="24"/>
          <w:szCs w:val="24"/>
          <w:highlight w:val="none"/>
          <w:lang w:val="en-US" w:eastAsia="zh-CN"/>
        </w:rPr>
        <w:t>月企业税收证明材料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24AB8A2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.供应商具有履行合同所必须的设备和专业技术服务能力(提供承诺书）；</w:t>
      </w:r>
    </w:p>
    <w:p w14:paraId="00AF27F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参加政府采购活动前3年内在经营活动中没有骗取中标、重大违法记录、严重违约等问题</w:t>
      </w:r>
      <w:r>
        <w:rPr>
          <w:rFonts w:hint="eastAsia" w:ascii="宋体" w:hAnsi="宋体" w:cs="宋体"/>
          <w:color w:val="auto"/>
          <w:sz w:val="24"/>
          <w:szCs w:val="24"/>
          <w:highlight w:val="none"/>
          <w:lang w:val="en-US" w:eastAsia="zh-CN"/>
        </w:rPr>
        <w:t>；</w:t>
      </w:r>
    </w:p>
    <w:p w14:paraId="5024AC7B">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参加政府采购活动前3年内无行贿犯罪记录，供应商出具的无行贿犯罪记录在中国裁判文书网自行查询或自行承诺（查询对象：企业、法定代表人、项目负责人）；</w:t>
      </w:r>
    </w:p>
    <w:p w14:paraId="5D987250">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提供企业注册地工商管理部门出具的无商业贿赂和不正当竞争行为的查询证明（若当地工商管理部门不办理此项业务，供应商须自行出具本企业无商业贿赂和不正当竞争行为承诺书）；</w:t>
      </w:r>
    </w:p>
    <w:p w14:paraId="6A5F77E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单位负责人为同一人或者存在直接控股、管理关系的不同供应商，不得参加同一合同项下的采购活动（提供“国家企业信用信息公示系统”网页查询信息截图,查询信息应包含公司基本信息、股东信息及股权变更信息等相关信息；査询时间必须是招标公告发布以后开标时间以前，查询结果清晰可见)；</w:t>
      </w:r>
    </w:p>
    <w:p w14:paraId="6AF85582">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招标公告发布以后开标时间以前并提供网站查询信息截图或打印页，查询结果清晰可见)；</w:t>
      </w:r>
    </w:p>
    <w:p w14:paraId="74FBD3D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本次招标实行资格后审；</w:t>
      </w:r>
    </w:p>
    <w:p w14:paraId="143CBCBC">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t>本项目不接受联合体投标。</w:t>
      </w:r>
    </w:p>
    <w:p w14:paraId="76E76A9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注：被列入失信被执行人及重大税收违法失信主体的企业做无效标处理。采购人或采购代理机构有权对供应商信用记录进行甄别和复查。</w:t>
      </w:r>
    </w:p>
    <w:p w14:paraId="4289B37D">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三、招标文件的获取方式 </w:t>
      </w:r>
    </w:p>
    <w:p w14:paraId="688B3121">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没有报名环节，供应商凭CA数字证书通过三门峡市公共资源交易中心网（网址：http://gzjy.smx.gov.cn/），点击交易平台选择“交易主体登录”，在所参与项目右侧点击参与投标，即可直接下载本项目招标文件及其相关资料；</w:t>
      </w:r>
    </w:p>
    <w:p w14:paraId="65B5158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办理CA证书：http://gzjy.smx.gov.cn/bzzx/008001/20231102/4defc9b5-408e-47f2-9e9f-1f376a06ee1f.html</w:t>
      </w:r>
    </w:p>
    <w:p w14:paraId="79730E8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2、文件下载时间：202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rPr>
        <w:t>时00分至202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日08时40分；</w:t>
      </w:r>
    </w:p>
    <w:p w14:paraId="75C203A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为不见面开标项目。开标当日，供应商无需到开标现场参加开标会议，供应商应当在开标截止时间前，登陆不见面开标大厅选择登陆三门峡市公共资源电子招投标系统进行登陆（网址为http://120.194.249.36:10094/BidOpening/bidopeninghallaction/hall/login）,在线准时参加开标活动并进行响应文件解密等。每位供应商的解密时间为开标时间起30分钟内完成。因供应商原因未能解密、解密失败或解密超时的将被拒绝。</w:t>
      </w:r>
    </w:p>
    <w:p w14:paraId="3FCA1CC8">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4、本项目为全电子招标，不再收取招标文件费用。</w:t>
      </w:r>
    </w:p>
    <w:p w14:paraId="488B20F0">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四、投标保证金</w:t>
      </w:r>
    </w:p>
    <w:p w14:paraId="03518B0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按照《河南省财政厅关于优化政府采购营商环境有关问题的通知》（豫财购[2019]4号文）的要求本项目不再收取投标保证金。</w:t>
      </w:r>
    </w:p>
    <w:p w14:paraId="746BEFA0">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五、供应商资料的提交</w:t>
      </w:r>
    </w:p>
    <w:p w14:paraId="49BB02C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实行资格后审，审查内容以投标截止时间前在三门峡市公共资源交易系统上传的投标文件的信息为准。其上传资料真实性由供应商自行承担，同时，供应商需要完善主体库信息。否则，由此造成应得分而未得分或资格审查不合格等情况的，由供应商承担责任。</w:t>
      </w:r>
    </w:p>
    <w:p w14:paraId="7B6A7534">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六、投标文件递交的截止时间及开评标地点：</w:t>
      </w:r>
    </w:p>
    <w:p w14:paraId="1DC9C29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1、投标文件递交截止时间及开标时间：202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日08时40分。</w:t>
      </w:r>
    </w:p>
    <w:p w14:paraId="0A80171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2、开标地点：卢氏县公共资源交易中心四楼第一开标室；</w:t>
      </w:r>
    </w:p>
    <w:p w14:paraId="10690663">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3、评标地点：卢氏县公共资源交易中心二楼第</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评标室。</w:t>
      </w:r>
    </w:p>
    <w:p w14:paraId="0C9A5A34">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七、发布公告的媒介 </w:t>
      </w:r>
    </w:p>
    <w:p w14:paraId="705A0FF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本次招标公告同时在</w:t>
      </w:r>
      <w:r>
        <w:rPr>
          <w:rFonts w:hint="eastAsia" w:ascii="宋体" w:hAnsi="宋体" w:eastAsia="宋体" w:cs="宋体"/>
          <w:color w:val="auto"/>
          <w:sz w:val="24"/>
          <w:szCs w:val="24"/>
          <w:highlight w:val="none"/>
          <w:lang w:val="en-US" w:eastAsia="zh-CN"/>
        </w:rPr>
        <w:t>《中国采购与招标网》、《中国招标投标公共服务平台》</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《河南省政府采购网》、《三门峡市公共资源交易中心网》上发布。</w:t>
      </w:r>
    </w:p>
    <w:p w14:paraId="04639ADF">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八、其他补充事宜 </w:t>
      </w:r>
    </w:p>
    <w:p w14:paraId="4E0E6E6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1、供应商应仔细阅读操作手册，在本公告中要求的截止时间前完成网上投标文件的上传递交等工作。因供应商操作不当等问题造成的无法下载招标文件、无法投标等一切后果，由供应商自行承担；</w:t>
      </w:r>
    </w:p>
    <w:p w14:paraId="0974013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2、投标所发生一切费用由各供应商自行承担，并承担相应的风险和责任；</w:t>
      </w:r>
    </w:p>
    <w:p w14:paraId="0B1E4A10">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3、供应商上传递交的投标文件不论中标与否均不予退还。</w:t>
      </w:r>
    </w:p>
    <w:p w14:paraId="447D38C8">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温馨提示：本项目为电子化、无纸化交易项目，开标时不再接受任何纸质资料，为保证您能投标成功，请需仔细阅读招标文件和三门峡市公共资源交易中心官网业务办理指南。</w:t>
      </w:r>
    </w:p>
    <w:p w14:paraId="41B5A38B">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九、凡对本次招标提出询问，请按照以下方式联系 </w:t>
      </w:r>
    </w:p>
    <w:p w14:paraId="50012B01">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监督单位：卢氏县政府采购办公室</w:t>
      </w:r>
    </w:p>
    <w:p w14:paraId="7FDA8C4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联系电话：0398-7863556</w:t>
      </w:r>
    </w:p>
    <w:p w14:paraId="3742A7F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地址：卢氏县城关镇解放路中段</w:t>
      </w:r>
    </w:p>
    <w:p w14:paraId="50216D4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监督单位：</w:t>
      </w:r>
      <w:r>
        <w:rPr>
          <w:rFonts w:hint="eastAsia" w:ascii="宋体" w:hAnsi="宋体" w:cs="宋体"/>
          <w:color w:val="auto"/>
          <w:sz w:val="24"/>
          <w:szCs w:val="24"/>
          <w:highlight w:val="none"/>
          <w:lang w:eastAsia="zh-CN"/>
        </w:rPr>
        <w:t>卢氏县民政局</w:t>
      </w:r>
    </w:p>
    <w:p w14:paraId="6398CFC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段志强</w:t>
      </w:r>
    </w:p>
    <w:p w14:paraId="6CB635A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电话：13693987598、0398-7872335</w:t>
      </w:r>
    </w:p>
    <w:p w14:paraId="5BCD5B2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地址：卢氏县城关镇清惠路中段</w:t>
      </w:r>
    </w:p>
    <w:p w14:paraId="60A7F25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eastAsia="zh-CN"/>
        </w:rPr>
        <w:t>卢氏县养老服务中心</w:t>
      </w:r>
    </w:p>
    <w:p w14:paraId="3025415B">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杨新辉</w:t>
      </w:r>
    </w:p>
    <w:p w14:paraId="6D84DFA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电话：</w:t>
      </w:r>
      <w:r>
        <w:rPr>
          <w:rFonts w:hint="eastAsia" w:ascii="宋体" w:hAnsi="宋体" w:cs="宋体"/>
          <w:color w:val="auto"/>
          <w:sz w:val="24"/>
          <w:szCs w:val="24"/>
          <w:highlight w:val="none"/>
          <w:lang w:val="en-US" w:eastAsia="zh-CN"/>
        </w:rPr>
        <w:t>13938128866</w:t>
      </w:r>
    </w:p>
    <w:p w14:paraId="05D0D48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en-US" w:eastAsia="zh-CN"/>
        </w:rPr>
        <w:t>卢氏县东明镇西苑路与洛北大渠交叉口东北角</w:t>
      </w:r>
    </w:p>
    <w:p w14:paraId="01C8ECB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采购代理机构：</w:t>
      </w:r>
      <w:r>
        <w:rPr>
          <w:rFonts w:hint="eastAsia" w:ascii="宋体" w:hAnsi="宋体" w:eastAsia="宋体" w:cs="宋体"/>
          <w:color w:val="auto"/>
          <w:sz w:val="24"/>
          <w:szCs w:val="24"/>
          <w:highlight w:val="none"/>
          <w:lang w:val="en-US" w:eastAsia="zh-CN"/>
        </w:rPr>
        <w:t>河南良智行工程管理咨询有限公司</w:t>
      </w:r>
    </w:p>
    <w:p w14:paraId="753ACB7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联系人：陈女士</w:t>
      </w:r>
    </w:p>
    <w:p w14:paraId="37563B1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w:t>
      </w:r>
      <w:r>
        <w:rPr>
          <w:rFonts w:hint="eastAsia" w:ascii="宋体" w:hAnsi="宋体" w:cs="宋体"/>
          <w:color w:val="auto"/>
          <w:sz w:val="24"/>
          <w:szCs w:val="24"/>
          <w:highlight w:val="none"/>
          <w:lang w:val="en-US" w:eastAsia="zh-CN"/>
        </w:rPr>
        <w:t>15239806083、</w:t>
      </w:r>
      <w:r>
        <w:rPr>
          <w:rFonts w:hint="eastAsia" w:ascii="宋体" w:hAnsi="宋体" w:eastAsia="宋体" w:cs="宋体"/>
          <w:color w:val="auto"/>
          <w:sz w:val="24"/>
          <w:szCs w:val="24"/>
          <w:highlight w:val="none"/>
          <w:lang w:val="en-US" w:eastAsia="zh-CN"/>
        </w:rPr>
        <w:t>13323983558</w:t>
      </w:r>
    </w:p>
    <w:p w14:paraId="1C169B2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地址：河南省郑州市惠济区江山路西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008乡道南弘泰小区1号楼1单元3层302号</w:t>
      </w:r>
    </w:p>
    <w:p w14:paraId="5AD3DE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napToGrid w:val="0"/>
          <w:color w:val="auto"/>
          <w:spacing w:val="0"/>
          <w:kern w:val="21"/>
          <w:sz w:val="36"/>
          <w:szCs w:val="40"/>
        </w:rPr>
      </w:pPr>
      <w:bookmarkStart w:id="5" w:name="_Toc485222550"/>
    </w:p>
    <w:p w14:paraId="049D40FA">
      <w:pPr>
        <w:rPr>
          <w:rFonts w:hint="eastAsia" w:ascii="宋体" w:hAnsi="宋体" w:eastAsia="宋体" w:cs="宋体"/>
          <w:b/>
          <w:bCs/>
          <w:snapToGrid w:val="0"/>
          <w:color w:val="auto"/>
          <w:spacing w:val="0"/>
          <w:kern w:val="21"/>
          <w:sz w:val="36"/>
          <w:szCs w:val="40"/>
        </w:rPr>
      </w:pPr>
      <w:r>
        <w:rPr>
          <w:rFonts w:hint="eastAsia" w:ascii="宋体" w:hAnsi="宋体" w:eastAsia="宋体" w:cs="宋体"/>
          <w:b/>
          <w:bCs/>
          <w:snapToGrid w:val="0"/>
          <w:color w:val="auto"/>
          <w:spacing w:val="0"/>
          <w:kern w:val="21"/>
          <w:sz w:val="36"/>
          <w:szCs w:val="40"/>
        </w:rPr>
        <w:br w:type="page"/>
      </w:r>
    </w:p>
    <w:p w14:paraId="772C15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spacing w:val="0"/>
          <w:kern w:val="21"/>
        </w:rPr>
      </w:pPr>
      <w:r>
        <w:rPr>
          <w:rFonts w:hint="eastAsia" w:ascii="宋体" w:hAnsi="宋体" w:eastAsia="宋体" w:cs="宋体"/>
          <w:b/>
          <w:bCs/>
          <w:snapToGrid w:val="0"/>
          <w:color w:val="auto"/>
          <w:spacing w:val="0"/>
          <w:kern w:val="21"/>
          <w:sz w:val="36"/>
          <w:szCs w:val="40"/>
        </w:rPr>
        <w:t>第二</w:t>
      </w:r>
      <w:r>
        <w:rPr>
          <w:rFonts w:hint="eastAsia" w:ascii="宋体" w:hAnsi="宋体" w:eastAsia="宋体" w:cs="宋体"/>
          <w:b/>
          <w:bCs/>
          <w:snapToGrid w:val="0"/>
          <w:color w:val="auto"/>
          <w:spacing w:val="0"/>
          <w:kern w:val="21"/>
          <w:sz w:val="36"/>
          <w:szCs w:val="40"/>
          <w:lang w:val="en-US" w:eastAsia="zh-CN"/>
        </w:rPr>
        <w:t>章</w:t>
      </w:r>
      <w:r>
        <w:rPr>
          <w:rFonts w:hint="eastAsia" w:ascii="宋体" w:hAnsi="宋体" w:eastAsia="宋体" w:cs="宋体"/>
          <w:b/>
          <w:bCs/>
          <w:snapToGrid w:val="0"/>
          <w:color w:val="auto"/>
          <w:spacing w:val="0"/>
          <w:kern w:val="21"/>
          <w:sz w:val="36"/>
          <w:szCs w:val="40"/>
        </w:rPr>
        <w:t xml:space="preserve">  </w:t>
      </w:r>
      <w:r>
        <w:rPr>
          <w:rFonts w:hint="eastAsia" w:ascii="宋体" w:hAnsi="宋体" w:eastAsia="宋体" w:cs="宋体"/>
          <w:b/>
          <w:bCs/>
          <w:snapToGrid w:val="0"/>
          <w:color w:val="auto"/>
          <w:spacing w:val="0"/>
          <w:kern w:val="21"/>
          <w:sz w:val="36"/>
          <w:szCs w:val="40"/>
          <w:lang w:eastAsia="zh-CN"/>
        </w:rPr>
        <w:t>投标人</w:t>
      </w:r>
      <w:r>
        <w:rPr>
          <w:rFonts w:hint="eastAsia" w:ascii="宋体" w:hAnsi="宋体" w:eastAsia="宋体" w:cs="宋体"/>
          <w:b/>
          <w:bCs/>
          <w:snapToGrid w:val="0"/>
          <w:color w:val="auto"/>
          <w:spacing w:val="0"/>
          <w:kern w:val="21"/>
          <w:sz w:val="36"/>
          <w:szCs w:val="40"/>
        </w:rPr>
        <w:t>须知</w:t>
      </w:r>
      <w:bookmarkEnd w:id="3"/>
      <w:bookmarkEnd w:id="4"/>
      <w:bookmarkEnd w:id="5"/>
    </w:p>
    <w:p w14:paraId="2DCEB8FB">
      <w:pPr>
        <w:jc w:val="center"/>
        <w:rPr>
          <w:rFonts w:hint="eastAsia" w:ascii="宋体" w:hAnsi="宋体" w:eastAsia="宋体" w:cs="宋体"/>
          <w:b/>
          <w:bCs/>
          <w:snapToGrid w:val="0"/>
          <w:color w:val="auto"/>
          <w:spacing w:val="0"/>
          <w:kern w:val="21"/>
          <w:sz w:val="32"/>
          <w:szCs w:val="32"/>
        </w:rPr>
      </w:pPr>
      <w:bookmarkStart w:id="6" w:name="_Toc183264284"/>
      <w:r>
        <w:rPr>
          <w:rFonts w:hint="eastAsia" w:ascii="宋体" w:hAnsi="宋体" w:eastAsia="宋体" w:cs="宋体"/>
          <w:b/>
          <w:bCs/>
          <w:snapToGrid w:val="0"/>
          <w:color w:val="auto"/>
          <w:spacing w:val="0"/>
          <w:kern w:val="21"/>
          <w:sz w:val="32"/>
          <w:szCs w:val="32"/>
          <w:lang w:eastAsia="zh-CN"/>
        </w:rPr>
        <w:t>投标人</w:t>
      </w:r>
      <w:r>
        <w:rPr>
          <w:rFonts w:hint="eastAsia" w:ascii="宋体" w:hAnsi="宋体" w:eastAsia="宋体" w:cs="宋体"/>
          <w:b/>
          <w:bCs/>
          <w:snapToGrid w:val="0"/>
          <w:color w:val="auto"/>
          <w:spacing w:val="0"/>
          <w:kern w:val="21"/>
          <w:sz w:val="32"/>
          <w:szCs w:val="32"/>
        </w:rPr>
        <w:t>须知前附表</w:t>
      </w:r>
    </w:p>
    <w:tbl>
      <w:tblPr>
        <w:tblStyle w:val="17"/>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2105"/>
        <w:gridCol w:w="6810"/>
      </w:tblGrid>
      <w:tr w14:paraId="52ED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5E76646">
            <w:pPr>
              <w:widowControl/>
              <w:jc w:val="center"/>
              <w:rPr>
                <w:rFonts w:hint="eastAsia" w:ascii="宋体" w:hAnsi="宋体" w:eastAsia="宋体" w:cs="宋体"/>
                <w:b/>
                <w:bCs/>
                <w:snapToGrid w:val="0"/>
                <w:color w:val="auto"/>
                <w:spacing w:val="0"/>
                <w:kern w:val="21"/>
                <w:szCs w:val="21"/>
                <w:highlight w:val="none"/>
              </w:rPr>
            </w:pPr>
            <w:r>
              <w:rPr>
                <w:rFonts w:hint="eastAsia" w:ascii="宋体" w:hAnsi="宋体" w:eastAsia="宋体" w:cs="宋体"/>
                <w:b/>
                <w:bCs/>
                <w:snapToGrid w:val="0"/>
                <w:color w:val="auto"/>
                <w:spacing w:val="0"/>
                <w:kern w:val="21"/>
                <w:szCs w:val="21"/>
                <w:highlight w:val="none"/>
              </w:rPr>
              <w:t>序号</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8F58EE2">
            <w:pPr>
              <w:widowControl/>
              <w:jc w:val="center"/>
              <w:rPr>
                <w:rFonts w:hint="eastAsia" w:ascii="宋体" w:hAnsi="宋体" w:eastAsia="宋体" w:cs="宋体"/>
                <w:b/>
                <w:bCs/>
                <w:snapToGrid w:val="0"/>
                <w:color w:val="auto"/>
                <w:spacing w:val="0"/>
                <w:kern w:val="21"/>
                <w:szCs w:val="21"/>
                <w:highlight w:val="none"/>
              </w:rPr>
            </w:pPr>
            <w:r>
              <w:rPr>
                <w:rFonts w:hint="eastAsia" w:ascii="宋体" w:hAnsi="宋体" w:eastAsia="宋体" w:cs="宋体"/>
                <w:b/>
                <w:bCs/>
                <w:snapToGrid w:val="0"/>
                <w:color w:val="auto"/>
                <w:spacing w:val="0"/>
                <w:kern w:val="21"/>
                <w:szCs w:val="21"/>
                <w:highlight w:val="none"/>
              </w:rPr>
              <w:t>条款名称</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5255B42">
            <w:pPr>
              <w:widowControl/>
              <w:jc w:val="center"/>
              <w:rPr>
                <w:rFonts w:hint="eastAsia" w:ascii="宋体" w:hAnsi="宋体" w:eastAsia="宋体" w:cs="宋体"/>
                <w:b/>
                <w:bCs/>
                <w:snapToGrid w:val="0"/>
                <w:color w:val="auto"/>
                <w:spacing w:val="0"/>
                <w:kern w:val="21"/>
                <w:szCs w:val="21"/>
                <w:highlight w:val="none"/>
              </w:rPr>
            </w:pPr>
            <w:r>
              <w:rPr>
                <w:rFonts w:hint="eastAsia" w:ascii="宋体" w:hAnsi="宋体" w:eastAsia="宋体" w:cs="宋体"/>
                <w:b/>
                <w:bCs/>
                <w:snapToGrid w:val="0"/>
                <w:color w:val="auto"/>
                <w:spacing w:val="0"/>
                <w:kern w:val="21"/>
                <w:szCs w:val="21"/>
                <w:highlight w:val="none"/>
              </w:rPr>
              <w:t>编列内容</w:t>
            </w:r>
          </w:p>
        </w:tc>
      </w:tr>
      <w:tr w14:paraId="7460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EEFFEB1">
            <w:pPr>
              <w:pStyle w:val="22"/>
              <w:spacing w:before="78" w:line="184" w:lineRule="auto"/>
              <w:jc w:val="center"/>
              <w:rPr>
                <w:rFonts w:hint="eastAsia" w:ascii="宋体" w:hAnsi="宋体" w:eastAsia="宋体" w:cs="宋体"/>
                <w:b/>
                <w:bCs/>
                <w:snapToGrid w:val="0"/>
                <w:color w:val="auto"/>
                <w:spacing w:val="0"/>
                <w:kern w:val="21"/>
                <w:sz w:val="21"/>
                <w:szCs w:val="21"/>
                <w:highlight w:val="none"/>
                <w:lang w:val="en-US" w:eastAsia="zh-CN"/>
              </w:rPr>
            </w:pPr>
            <w:r>
              <w:rPr>
                <w:rFonts w:hint="eastAsia" w:ascii="宋体" w:hAnsi="宋体" w:eastAsia="宋体" w:cs="宋体"/>
                <w:color w:val="auto"/>
                <w:spacing w:val="0"/>
                <w:highlight w:val="none"/>
              </w:rPr>
              <w:t>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00B77F6">
            <w:pPr>
              <w:widowControl/>
              <w:jc w:val="center"/>
              <w:rPr>
                <w:rFonts w:hint="eastAsia" w:ascii="宋体" w:hAnsi="宋体" w:eastAsia="宋体" w:cs="宋体"/>
                <w:snapToGrid w:val="0"/>
                <w:color w:val="auto"/>
                <w:spacing w:val="0"/>
                <w:kern w:val="21"/>
                <w:sz w:val="21"/>
                <w:szCs w:val="21"/>
                <w:highlight w:val="none"/>
                <w:lang w:val="en-US" w:eastAsia="zh-CN" w:bidi="ar-SA"/>
              </w:rPr>
            </w:pPr>
            <w:r>
              <w:rPr>
                <w:rFonts w:hint="eastAsia" w:ascii="宋体" w:hAnsi="宋体" w:eastAsia="宋体" w:cs="宋体"/>
                <w:snapToGrid w:val="0"/>
                <w:color w:val="auto"/>
                <w:spacing w:val="0"/>
                <w:kern w:val="21"/>
                <w:szCs w:val="21"/>
                <w:highlight w:val="none"/>
                <w:lang w:val="en-US" w:eastAsia="zh-CN"/>
              </w:rPr>
              <w:t>采购人</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4E8FED3">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采购人：卢氏县养老服务中心</w:t>
            </w:r>
          </w:p>
          <w:p w14:paraId="4D2A4141">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联系人：杨新辉</w:t>
            </w:r>
          </w:p>
          <w:p w14:paraId="06EEAC13">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电话：13938128866</w:t>
            </w:r>
          </w:p>
          <w:p w14:paraId="7CFFB916">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地址：卢氏县东明镇西苑路与洛北大渠交叉口东北角</w:t>
            </w:r>
          </w:p>
        </w:tc>
      </w:tr>
      <w:tr w14:paraId="0D76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F6C49F9">
            <w:pPr>
              <w:widowControl/>
              <w:jc w:val="center"/>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D8B9B50">
            <w:pPr>
              <w:widowControl/>
              <w:jc w:val="center"/>
              <w:rPr>
                <w:rFonts w:hint="eastAsia" w:ascii="宋体" w:hAnsi="宋体" w:eastAsia="宋体" w:cs="宋体"/>
                <w:b/>
                <w:bCs/>
                <w:snapToGrid w:val="0"/>
                <w:color w:val="auto"/>
                <w:spacing w:val="0"/>
                <w:kern w:val="21"/>
                <w:sz w:val="21"/>
                <w:szCs w:val="21"/>
                <w:highlight w:val="none"/>
                <w:lang w:val="en-US" w:eastAsia="en-US" w:bidi="ar-SA"/>
              </w:rPr>
            </w:pPr>
            <w:r>
              <w:rPr>
                <w:rFonts w:hint="eastAsia" w:ascii="宋体" w:hAnsi="宋体" w:eastAsia="宋体" w:cs="宋体"/>
                <w:snapToGrid w:val="0"/>
                <w:color w:val="auto"/>
                <w:spacing w:val="0"/>
                <w:kern w:val="21"/>
                <w:szCs w:val="21"/>
                <w:highlight w:val="none"/>
                <w:lang w:val="en-US" w:eastAsia="zh-CN"/>
              </w:rPr>
              <w:t>监督单位</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74B164C">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监督单位：卢氏县政府采购办公室</w:t>
            </w:r>
          </w:p>
          <w:p w14:paraId="697E29B6">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联系电话：0398-7863556</w:t>
            </w:r>
          </w:p>
          <w:p w14:paraId="54D0D605">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地址：卢氏县城关镇解放路中段</w:t>
            </w:r>
          </w:p>
          <w:p w14:paraId="4EBE89AD">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监督单位：卢氏县民政局</w:t>
            </w:r>
          </w:p>
          <w:p w14:paraId="65205320">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联系人：段志强</w:t>
            </w:r>
          </w:p>
          <w:p w14:paraId="68135228">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电话：13693987598、0398-7872335</w:t>
            </w:r>
          </w:p>
          <w:p w14:paraId="50666B48">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地址：卢氏县城关镇清惠路中段</w:t>
            </w:r>
          </w:p>
        </w:tc>
      </w:tr>
      <w:tr w14:paraId="6715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920BE0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A4B3DE9">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采购</w:t>
            </w:r>
            <w:r>
              <w:rPr>
                <w:rFonts w:hint="eastAsia" w:ascii="宋体" w:hAnsi="宋体" w:eastAsia="宋体" w:cs="宋体"/>
                <w:snapToGrid w:val="0"/>
                <w:color w:val="auto"/>
                <w:spacing w:val="0"/>
                <w:kern w:val="21"/>
                <w:szCs w:val="21"/>
                <w:highlight w:val="none"/>
              </w:rPr>
              <w:t>代理机构</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B86E3AB">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rPr>
              <w:t>采购代理机构：</w:t>
            </w:r>
            <w:r>
              <w:rPr>
                <w:rFonts w:hint="eastAsia" w:ascii="宋体" w:hAnsi="宋体" w:eastAsia="宋体" w:cs="宋体"/>
                <w:snapToGrid w:val="0"/>
                <w:color w:val="auto"/>
                <w:spacing w:val="0"/>
                <w:kern w:val="21"/>
                <w:szCs w:val="21"/>
                <w:highlight w:val="none"/>
                <w:lang w:val="en-US" w:eastAsia="zh-CN"/>
              </w:rPr>
              <w:t>河南良智行工程管理咨询有限公司</w:t>
            </w:r>
          </w:p>
          <w:p w14:paraId="5D65EC0A">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联系人：陈女士</w:t>
            </w:r>
          </w:p>
          <w:p w14:paraId="011B8F59">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电话：15239806083</w:t>
            </w:r>
            <w:r>
              <w:rPr>
                <w:rFonts w:hint="eastAsia" w:ascii="宋体" w:hAnsi="宋体" w:cs="宋体"/>
                <w:snapToGrid w:val="0"/>
                <w:color w:val="auto"/>
                <w:spacing w:val="0"/>
                <w:kern w:val="21"/>
                <w:szCs w:val="21"/>
                <w:highlight w:val="none"/>
                <w:lang w:val="en-US" w:eastAsia="zh-CN"/>
              </w:rPr>
              <w:t>、</w:t>
            </w:r>
            <w:r>
              <w:rPr>
                <w:rFonts w:hint="eastAsia" w:ascii="宋体" w:hAnsi="宋体" w:eastAsia="宋体" w:cs="宋体"/>
                <w:snapToGrid w:val="0"/>
                <w:color w:val="auto"/>
                <w:spacing w:val="0"/>
                <w:kern w:val="21"/>
                <w:szCs w:val="21"/>
                <w:highlight w:val="none"/>
                <w:lang w:val="en-US" w:eastAsia="zh-CN"/>
              </w:rPr>
              <w:t>13323983558</w:t>
            </w:r>
          </w:p>
          <w:p w14:paraId="0E3221E9">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地址：河南省郑州市惠济区江山路西、008乡道南弘泰小区1号楼1单元3层302号</w:t>
            </w:r>
          </w:p>
        </w:tc>
      </w:tr>
      <w:tr w14:paraId="41BE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60A2DC9">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BCD16D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项目名称</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615A2C71">
            <w:pPr>
              <w:widowControl/>
              <w:rPr>
                <w:rFonts w:hint="eastAsia" w:ascii="宋体" w:hAnsi="宋体" w:eastAsia="宋体" w:cs="宋体"/>
                <w:snapToGrid w:val="0"/>
                <w:color w:val="auto"/>
                <w:spacing w:val="0"/>
                <w:kern w:val="21"/>
                <w:szCs w:val="21"/>
                <w:highlight w:val="none"/>
                <w:lang w:eastAsia="zh-CN"/>
              </w:rPr>
            </w:pPr>
            <w:r>
              <w:rPr>
                <w:rFonts w:hint="eastAsia" w:ascii="宋体" w:hAnsi="宋体" w:cs="宋体"/>
                <w:snapToGrid w:val="0"/>
                <w:color w:val="auto"/>
                <w:spacing w:val="0"/>
                <w:kern w:val="21"/>
                <w:szCs w:val="21"/>
                <w:highlight w:val="none"/>
                <w:lang w:eastAsia="zh-CN"/>
              </w:rPr>
              <w:t>卢氏县养老服务中心2026-2027年度集中供养人员餐厅食材采购项目（</w:t>
            </w:r>
            <w:r>
              <w:rPr>
                <w:rFonts w:hint="eastAsia" w:ascii="宋体" w:hAnsi="宋体" w:cs="宋体"/>
                <w:snapToGrid w:val="0"/>
                <w:color w:val="auto"/>
                <w:spacing w:val="0"/>
                <w:kern w:val="21"/>
                <w:szCs w:val="21"/>
                <w:highlight w:val="none"/>
                <w:lang w:val="en-US" w:eastAsia="zh-CN"/>
              </w:rPr>
              <w:t>二次</w:t>
            </w:r>
            <w:r>
              <w:rPr>
                <w:rFonts w:hint="eastAsia" w:ascii="宋体" w:hAnsi="宋体" w:cs="宋体"/>
                <w:snapToGrid w:val="0"/>
                <w:color w:val="auto"/>
                <w:spacing w:val="0"/>
                <w:kern w:val="21"/>
                <w:szCs w:val="21"/>
                <w:highlight w:val="none"/>
                <w:lang w:eastAsia="zh-CN"/>
              </w:rPr>
              <w:t>）</w:t>
            </w:r>
          </w:p>
        </w:tc>
      </w:tr>
      <w:tr w14:paraId="7AA8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9AC5DB4">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F6C81B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标段划分</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BF219D9">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本项目共分为</w:t>
            </w:r>
            <w:r>
              <w:rPr>
                <w:rFonts w:hint="eastAsia" w:ascii="宋体" w:hAnsi="宋体" w:cs="宋体"/>
                <w:snapToGrid w:val="0"/>
                <w:color w:val="auto"/>
                <w:spacing w:val="0"/>
                <w:kern w:val="21"/>
                <w:szCs w:val="21"/>
                <w:highlight w:val="none"/>
                <w:lang w:val="en-US" w:eastAsia="zh-CN"/>
              </w:rPr>
              <w:t>1</w:t>
            </w:r>
            <w:r>
              <w:rPr>
                <w:rFonts w:hint="eastAsia" w:ascii="宋体" w:hAnsi="宋体" w:eastAsia="宋体" w:cs="宋体"/>
                <w:snapToGrid w:val="0"/>
                <w:color w:val="auto"/>
                <w:spacing w:val="0"/>
                <w:kern w:val="21"/>
                <w:szCs w:val="21"/>
                <w:highlight w:val="none"/>
              </w:rPr>
              <w:t>个标段</w:t>
            </w:r>
          </w:p>
        </w:tc>
      </w:tr>
      <w:tr w14:paraId="2F2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9F97D28">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10D5468">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rPr>
              <w:t>采购内容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FD42644">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本项目</w:t>
            </w:r>
            <w:r>
              <w:rPr>
                <w:rFonts w:hint="eastAsia" w:ascii="宋体" w:hAnsi="宋体" w:eastAsia="宋体" w:cs="宋体"/>
                <w:snapToGrid w:val="0"/>
                <w:color w:val="auto"/>
                <w:spacing w:val="0"/>
                <w:kern w:val="21"/>
                <w:szCs w:val="21"/>
                <w:highlight w:val="none"/>
                <w:lang w:val="en-US" w:eastAsia="zh-CN"/>
              </w:rPr>
              <w:t>采购内容</w:t>
            </w:r>
            <w:r>
              <w:rPr>
                <w:rFonts w:hint="eastAsia" w:ascii="宋体" w:hAnsi="宋体" w:eastAsia="宋体" w:cs="宋体"/>
                <w:snapToGrid w:val="0"/>
                <w:color w:val="auto"/>
                <w:spacing w:val="0"/>
                <w:kern w:val="21"/>
                <w:szCs w:val="21"/>
                <w:highlight w:val="none"/>
              </w:rPr>
              <w:t>为</w:t>
            </w:r>
            <w:r>
              <w:rPr>
                <w:rFonts w:hint="eastAsia" w:ascii="宋体" w:hAnsi="宋体" w:eastAsia="宋体" w:cs="宋体"/>
                <w:snapToGrid w:val="0"/>
                <w:color w:val="auto"/>
                <w:spacing w:val="0"/>
                <w:kern w:val="21"/>
                <w:szCs w:val="21"/>
                <w:highlight w:val="none"/>
                <w:lang w:val="en-US" w:eastAsia="zh-CN"/>
              </w:rPr>
              <w:t>特困</w:t>
            </w:r>
            <w:r>
              <w:rPr>
                <w:rFonts w:hint="eastAsia" w:ascii="宋体" w:hAnsi="宋体" w:eastAsia="宋体" w:cs="宋体"/>
                <w:snapToGrid w:val="0"/>
                <w:color w:val="auto"/>
                <w:spacing w:val="0"/>
                <w:kern w:val="21"/>
                <w:szCs w:val="21"/>
                <w:highlight w:val="none"/>
                <w:lang w:eastAsia="zh-CN"/>
              </w:rPr>
              <w:t>集中供养人员餐厅食材采购</w:t>
            </w:r>
            <w:r>
              <w:rPr>
                <w:rFonts w:hint="eastAsia" w:ascii="宋体" w:hAnsi="宋体" w:eastAsia="宋体" w:cs="宋体"/>
                <w:snapToGrid w:val="0"/>
                <w:color w:val="auto"/>
                <w:spacing w:val="0"/>
                <w:kern w:val="21"/>
                <w:szCs w:val="21"/>
                <w:highlight w:val="none"/>
              </w:rPr>
              <w:t>原材料大米、面粉、食用油、干面条、杂粮、猪肉、牛羊肉、鸡肉等肉类、干货、副食、蔬菜、调料等供应服务</w:t>
            </w:r>
          </w:p>
        </w:tc>
      </w:tr>
      <w:tr w14:paraId="2B63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C1F97A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5ABB90C">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招标范围</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14E52B36">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文件及答疑、澄清文件的所有内容</w:t>
            </w:r>
          </w:p>
        </w:tc>
      </w:tr>
      <w:tr w14:paraId="5CE3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8E5620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5E5F8F5">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资金来源</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1869B788">
            <w:pPr>
              <w:widowControl/>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财政资金，已落实</w:t>
            </w:r>
          </w:p>
        </w:tc>
      </w:tr>
      <w:tr w14:paraId="6FC9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A36E15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D09A784">
            <w:pPr>
              <w:widowControl/>
              <w:jc w:val="center"/>
              <w:rPr>
                <w:rFonts w:hint="default" w:ascii="宋体" w:hAnsi="宋体" w:eastAsia="宋体" w:cs="宋体"/>
                <w:snapToGrid w:val="0"/>
                <w:color w:val="auto"/>
                <w:spacing w:val="0"/>
                <w:kern w:val="21"/>
                <w:szCs w:val="21"/>
                <w:highlight w:val="none"/>
                <w:lang w:val="en-US" w:eastAsia="zh-CN"/>
              </w:rPr>
            </w:pPr>
            <w:r>
              <w:rPr>
                <w:rFonts w:hint="eastAsia" w:ascii="宋体" w:hAnsi="宋体" w:cs="宋体"/>
                <w:snapToGrid w:val="0"/>
                <w:color w:val="auto"/>
                <w:spacing w:val="0"/>
                <w:kern w:val="21"/>
                <w:szCs w:val="21"/>
                <w:highlight w:val="none"/>
                <w:lang w:val="en-US" w:eastAsia="zh-CN"/>
              </w:rPr>
              <w:t>配送地点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10AC51B">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卢氏县五里川镇养老院、朱阳关镇养老院、瓦窑沟乡养老院、杜关镇养老院、石龙头重度残疾供养中心、兴贤里特困供养中心</w:t>
            </w:r>
          </w:p>
        </w:tc>
      </w:tr>
      <w:tr w14:paraId="0BDF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DB1B9D0">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2D113FD">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供货时间</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20D41B8">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合同签订后</w:t>
            </w:r>
            <w:r>
              <w:rPr>
                <w:rFonts w:hint="eastAsia" w:ascii="宋体" w:hAnsi="宋体" w:cs="宋体"/>
                <w:snapToGrid w:val="0"/>
                <w:color w:val="auto"/>
                <w:spacing w:val="0"/>
                <w:kern w:val="21"/>
                <w:szCs w:val="21"/>
                <w:highlight w:val="none"/>
                <w:lang w:val="en-US" w:eastAsia="zh-CN"/>
              </w:rPr>
              <w:t>2</w:t>
            </w:r>
            <w:r>
              <w:rPr>
                <w:rFonts w:hint="eastAsia" w:ascii="宋体" w:hAnsi="宋体" w:eastAsia="宋体" w:cs="宋体"/>
                <w:snapToGrid w:val="0"/>
                <w:color w:val="auto"/>
                <w:spacing w:val="0"/>
                <w:kern w:val="21"/>
                <w:szCs w:val="21"/>
                <w:highlight w:val="none"/>
                <w:lang w:val="en-US" w:eastAsia="zh-CN"/>
              </w:rPr>
              <w:t>日历天内开始供货</w:t>
            </w:r>
          </w:p>
        </w:tc>
      </w:tr>
      <w:tr w14:paraId="20DF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B3E90F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7932FD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服务周期</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A3BC681">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合同签订后1年</w:t>
            </w:r>
          </w:p>
        </w:tc>
      </w:tr>
      <w:tr w14:paraId="1EF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931857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CA9DDE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质量标准</w:t>
            </w:r>
          </w:p>
        </w:tc>
        <w:tc>
          <w:tcPr>
            <w:tcW w:w="6810" w:type="dxa"/>
            <w:tcBorders>
              <w:top w:val="single" w:color="auto" w:sz="4" w:space="0"/>
              <w:left w:val="single" w:color="auto" w:sz="4" w:space="0"/>
              <w:bottom w:val="single" w:color="auto" w:sz="4" w:space="0"/>
              <w:right w:val="single" w:color="auto" w:sz="4" w:space="0"/>
            </w:tcBorders>
            <w:noWrap w:val="0"/>
            <w:vAlign w:val="bottom"/>
          </w:tcPr>
          <w:p w14:paraId="12DB4D22">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b w:val="0"/>
                <w:bCs w:val="0"/>
                <w:snapToGrid w:val="0"/>
                <w:color w:val="auto"/>
                <w:spacing w:val="0"/>
                <w:kern w:val="21"/>
                <w:szCs w:val="21"/>
                <w:highlight w:val="none"/>
              </w:rPr>
              <w:t>产品质量合格，符合国家及行业相关食品卫生安全要求，且符合采购人要求。</w:t>
            </w:r>
          </w:p>
        </w:tc>
      </w:tr>
      <w:tr w14:paraId="73B6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39CD818">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50FEAE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供应商资格</w:t>
            </w:r>
            <w:r>
              <w:rPr>
                <w:rFonts w:hint="eastAsia" w:ascii="宋体" w:hAnsi="宋体" w:eastAsia="宋体" w:cs="宋体"/>
                <w:snapToGrid w:val="0"/>
                <w:color w:val="auto"/>
                <w:spacing w:val="0"/>
                <w:kern w:val="21"/>
                <w:szCs w:val="21"/>
                <w:highlight w:val="none"/>
              </w:rPr>
              <w:t>条件</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19F4501E">
            <w:pPr>
              <w:widowControl/>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cs="宋体"/>
                <w:snapToGrid w:val="0"/>
                <w:color w:val="auto"/>
                <w:spacing w:val="0"/>
                <w:kern w:val="21"/>
                <w:szCs w:val="21"/>
                <w:highlight w:val="none"/>
                <w:lang w:val="en-US" w:eastAsia="zh-CN"/>
              </w:rPr>
              <w:t>详见招标公告</w:t>
            </w:r>
          </w:p>
        </w:tc>
      </w:tr>
      <w:tr w14:paraId="66D1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ADCCA2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9558137">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rPr>
              <w:t>是否接受联合体参加</w:t>
            </w:r>
            <w:r>
              <w:rPr>
                <w:rFonts w:hint="eastAsia" w:ascii="宋体" w:hAnsi="宋体" w:eastAsia="宋体" w:cs="宋体"/>
                <w:snapToGrid w:val="0"/>
                <w:color w:val="auto"/>
                <w:spacing w:val="0"/>
                <w:kern w:val="21"/>
                <w:szCs w:val="21"/>
                <w:highlight w:val="none"/>
                <w:lang w:val="en-US" w:eastAsia="zh-CN"/>
              </w:rPr>
              <w:t>投标</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E3CBE5A">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不接受</w:t>
            </w:r>
          </w:p>
        </w:tc>
      </w:tr>
      <w:tr w14:paraId="1568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4EDA9E7">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1E44648">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踏勘现场</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33229A1">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不组织</w:t>
            </w:r>
          </w:p>
        </w:tc>
      </w:tr>
      <w:tr w14:paraId="4863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60FFC22">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52B848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答疑会</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7F35EF2">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不召开</w:t>
            </w:r>
          </w:p>
        </w:tc>
      </w:tr>
      <w:tr w14:paraId="3C13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EE90DB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F60C014">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分包</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14A48C4">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不允许</w:t>
            </w:r>
          </w:p>
        </w:tc>
      </w:tr>
      <w:tr w14:paraId="3BFE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4B4BF7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0E757D0">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偏离</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AA916F9">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不允许</w:t>
            </w:r>
          </w:p>
        </w:tc>
      </w:tr>
      <w:tr w14:paraId="37D7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FF076E0">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956541C">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是否允许递交备选方案</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6FD3EAFB">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不接受</w:t>
            </w:r>
          </w:p>
        </w:tc>
      </w:tr>
      <w:tr w14:paraId="54C0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restart"/>
            <w:tcBorders>
              <w:top w:val="single" w:color="auto" w:sz="4" w:space="0"/>
              <w:left w:val="single" w:color="auto" w:sz="4" w:space="0"/>
              <w:right w:val="single" w:color="auto" w:sz="4" w:space="0"/>
            </w:tcBorders>
            <w:noWrap w:val="0"/>
            <w:vAlign w:val="center"/>
          </w:tcPr>
          <w:p w14:paraId="79E18D0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20</w:t>
            </w:r>
          </w:p>
        </w:tc>
        <w:tc>
          <w:tcPr>
            <w:tcW w:w="2105" w:type="dxa"/>
            <w:vMerge w:val="restart"/>
            <w:tcBorders>
              <w:top w:val="single" w:color="auto" w:sz="4" w:space="0"/>
              <w:left w:val="single" w:color="auto" w:sz="4" w:space="0"/>
              <w:right w:val="single" w:color="auto" w:sz="4" w:space="0"/>
            </w:tcBorders>
            <w:noWrap w:val="0"/>
            <w:vAlign w:val="center"/>
          </w:tcPr>
          <w:p w14:paraId="73A6D094">
            <w:pPr>
              <w:widowControl/>
              <w:jc w:val="center"/>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rPr>
              <w:t>最高限价（招标控制价）</w:t>
            </w:r>
            <w:r>
              <w:rPr>
                <w:rFonts w:hint="eastAsia" w:ascii="宋体" w:hAnsi="宋体" w:eastAsia="宋体" w:cs="宋体"/>
                <w:snapToGrid w:val="0"/>
                <w:color w:val="auto"/>
                <w:spacing w:val="0"/>
                <w:kern w:val="21"/>
                <w:szCs w:val="21"/>
                <w:highlight w:val="none"/>
                <w:lang w:val="en-US" w:eastAsia="zh-CN"/>
              </w:rPr>
              <w:t>及投标报价要求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F4A3A92">
            <w:pPr>
              <w:widowControl/>
              <w:numPr>
                <w:ilvl w:val="0"/>
                <w:numId w:val="0"/>
              </w:numPr>
              <w:jc w:val="left"/>
              <w:rPr>
                <w:rFonts w:hint="eastAsia" w:ascii="宋体" w:hAnsi="宋体" w:eastAsia="宋体" w:cs="宋体"/>
                <w:b/>
                <w:bCs/>
                <w:snapToGrid w:val="0"/>
                <w:color w:val="auto"/>
                <w:spacing w:val="0"/>
                <w:kern w:val="21"/>
                <w:szCs w:val="21"/>
                <w:highlight w:val="none"/>
                <w:lang w:val="en-US" w:eastAsia="zh-CN"/>
              </w:rPr>
            </w:pPr>
            <w:r>
              <w:rPr>
                <w:rFonts w:hint="eastAsia" w:ascii="宋体" w:hAnsi="宋体" w:eastAsia="宋体" w:cs="宋体"/>
                <w:b/>
                <w:bCs/>
                <w:snapToGrid w:val="0"/>
                <w:color w:val="auto"/>
                <w:spacing w:val="0"/>
                <w:kern w:val="21"/>
                <w:szCs w:val="21"/>
                <w:highlight w:val="none"/>
                <w:lang w:val="en-US" w:eastAsia="zh-CN"/>
              </w:rPr>
              <w:t>最高限价（招标控制价）:</w:t>
            </w:r>
          </w:p>
          <w:p w14:paraId="409BAF30">
            <w:pPr>
              <w:widowControl/>
              <w:numPr>
                <w:ilvl w:val="0"/>
                <w:numId w:val="0"/>
              </w:numPr>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1、招标控制价：</w:t>
            </w:r>
            <w:r>
              <w:rPr>
                <w:rFonts w:hint="eastAsia" w:ascii="宋体" w:hAnsi="宋体" w:cs="宋体"/>
                <w:snapToGrid w:val="0"/>
                <w:color w:val="auto"/>
                <w:spacing w:val="0"/>
                <w:kern w:val="21"/>
                <w:szCs w:val="21"/>
                <w:highlight w:val="none"/>
                <w:lang w:val="en-US" w:eastAsia="zh-CN"/>
              </w:rPr>
              <w:t>277.00万元</w:t>
            </w:r>
            <w:r>
              <w:rPr>
                <w:rFonts w:hint="eastAsia" w:ascii="宋体" w:hAnsi="宋体" w:eastAsia="宋体" w:cs="宋体"/>
                <w:snapToGrid w:val="0"/>
                <w:color w:val="auto"/>
                <w:spacing w:val="0"/>
                <w:kern w:val="21"/>
                <w:szCs w:val="21"/>
                <w:highlight w:val="none"/>
                <w:lang w:val="en-US" w:eastAsia="zh-CN"/>
              </w:rPr>
              <w:t>（本预算为暂定金额，以实际采购数量为准，按照实际供货数量据实结算）</w:t>
            </w:r>
          </w:p>
          <w:p w14:paraId="221E1F24">
            <w:pPr>
              <w:widowControl/>
              <w:numPr>
                <w:ilvl w:val="0"/>
                <w:numId w:val="0"/>
              </w:numPr>
              <w:jc w:val="left"/>
              <w:rPr>
                <w:rFonts w:hint="default" w:ascii="宋体" w:hAnsi="宋体" w:eastAsia="宋体" w:cs="宋体"/>
                <w:snapToGrid w:val="0"/>
                <w:color w:val="auto"/>
                <w:spacing w:val="0"/>
                <w:kern w:val="21"/>
                <w:szCs w:val="21"/>
                <w:highlight w:val="none"/>
                <w:lang w:val="en-US"/>
              </w:rPr>
            </w:pPr>
            <w:r>
              <w:rPr>
                <w:rFonts w:hint="eastAsia" w:ascii="宋体" w:hAnsi="宋体" w:eastAsia="宋体" w:cs="宋体"/>
                <w:snapToGrid w:val="0"/>
                <w:color w:val="auto"/>
                <w:spacing w:val="0"/>
                <w:kern w:val="21"/>
                <w:szCs w:val="21"/>
                <w:highlight w:val="none"/>
                <w:lang w:val="en-US" w:eastAsia="zh-CN"/>
              </w:rPr>
              <w:t>2、供应商报价不得超出招标控制价，否则予以废标处理。若所有供应商的报价均超过招标控制价，则采购人有权重新组织采购。</w:t>
            </w:r>
          </w:p>
        </w:tc>
      </w:tr>
      <w:tr w14:paraId="7545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continue"/>
            <w:tcBorders>
              <w:left w:val="single" w:color="auto" w:sz="4" w:space="0"/>
              <w:bottom w:val="single" w:color="auto" w:sz="4" w:space="0"/>
              <w:right w:val="single" w:color="auto" w:sz="4" w:space="0"/>
            </w:tcBorders>
            <w:noWrap w:val="0"/>
            <w:vAlign w:val="center"/>
          </w:tcPr>
          <w:p w14:paraId="632234ED">
            <w:pPr>
              <w:widowControl/>
              <w:jc w:val="center"/>
              <w:rPr>
                <w:rFonts w:hint="eastAsia" w:ascii="宋体" w:hAnsi="宋体" w:eastAsia="宋体" w:cs="宋体"/>
                <w:snapToGrid w:val="0"/>
                <w:color w:val="auto"/>
                <w:spacing w:val="0"/>
                <w:kern w:val="21"/>
                <w:szCs w:val="21"/>
                <w:highlight w:val="none"/>
              </w:rPr>
            </w:pPr>
          </w:p>
        </w:tc>
        <w:tc>
          <w:tcPr>
            <w:tcW w:w="2105" w:type="dxa"/>
            <w:vMerge w:val="continue"/>
            <w:tcBorders>
              <w:left w:val="single" w:color="auto" w:sz="4" w:space="0"/>
              <w:bottom w:val="single" w:color="auto" w:sz="4" w:space="0"/>
              <w:right w:val="single" w:color="auto" w:sz="4" w:space="0"/>
            </w:tcBorders>
            <w:noWrap w:val="0"/>
            <w:vAlign w:val="center"/>
          </w:tcPr>
          <w:p w14:paraId="0F7C6981">
            <w:pPr>
              <w:widowControl/>
              <w:jc w:val="center"/>
              <w:rPr>
                <w:rFonts w:hint="eastAsia" w:ascii="宋体" w:hAnsi="宋体" w:eastAsia="宋体" w:cs="宋体"/>
                <w:snapToGrid w:val="0"/>
                <w:color w:val="auto"/>
                <w:spacing w:val="0"/>
                <w:kern w:val="21"/>
                <w:szCs w:val="21"/>
                <w:highlight w:val="none"/>
              </w:rPr>
            </w:pP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8D0B195">
            <w:pPr>
              <w:widowControl/>
              <w:numPr>
                <w:ilvl w:val="0"/>
                <w:numId w:val="0"/>
              </w:numPr>
              <w:jc w:val="left"/>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b/>
                <w:bCs/>
                <w:snapToGrid w:val="0"/>
                <w:color w:val="auto"/>
                <w:spacing w:val="0"/>
                <w:kern w:val="21"/>
                <w:szCs w:val="21"/>
                <w:highlight w:val="none"/>
                <w:lang w:val="en-US" w:eastAsia="zh-CN"/>
              </w:rPr>
              <w:t>投</w:t>
            </w:r>
            <w:r>
              <w:rPr>
                <w:rFonts w:hint="eastAsia" w:ascii="宋体" w:hAnsi="宋体" w:cs="宋体"/>
                <w:b/>
                <w:bCs/>
                <w:snapToGrid w:val="0"/>
                <w:color w:val="auto"/>
                <w:spacing w:val="0"/>
                <w:kern w:val="21"/>
                <w:szCs w:val="21"/>
                <w:highlight w:val="none"/>
                <w:lang w:val="en-US" w:eastAsia="zh-CN"/>
              </w:rPr>
              <w:t>标</w:t>
            </w:r>
            <w:r>
              <w:rPr>
                <w:rFonts w:hint="eastAsia" w:ascii="宋体" w:hAnsi="宋体" w:eastAsia="宋体" w:cs="宋体"/>
                <w:b/>
                <w:bCs/>
                <w:snapToGrid w:val="0"/>
                <w:color w:val="auto"/>
                <w:spacing w:val="0"/>
                <w:kern w:val="21"/>
                <w:szCs w:val="21"/>
                <w:highlight w:val="none"/>
                <w:lang w:val="en-US" w:eastAsia="zh-CN"/>
              </w:rPr>
              <w:t>报价的其他要求</w:t>
            </w:r>
            <w:r>
              <w:rPr>
                <w:rFonts w:hint="eastAsia" w:ascii="宋体" w:hAnsi="宋体" w:eastAsia="宋体" w:cs="宋体"/>
                <w:snapToGrid w:val="0"/>
                <w:color w:val="auto"/>
                <w:spacing w:val="0"/>
                <w:kern w:val="21"/>
                <w:szCs w:val="21"/>
                <w:highlight w:val="none"/>
                <w:lang w:val="en-US" w:eastAsia="zh-CN"/>
              </w:rPr>
              <w:t>：</w:t>
            </w:r>
          </w:p>
          <w:p w14:paraId="4F7941A9">
            <w:pPr>
              <w:widowControl/>
              <w:numPr>
                <w:ilvl w:val="0"/>
                <w:numId w:val="0"/>
              </w:numPr>
              <w:jc w:val="left"/>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1、</w:t>
            </w:r>
            <w:r>
              <w:rPr>
                <w:rFonts w:hint="eastAsia" w:ascii="宋体" w:hAnsi="宋体" w:eastAsia="宋体" w:cs="宋体"/>
                <w:b/>
                <w:bCs/>
                <w:snapToGrid w:val="0"/>
                <w:color w:val="auto"/>
                <w:spacing w:val="0"/>
                <w:kern w:val="21"/>
                <w:szCs w:val="21"/>
                <w:highlight w:val="none"/>
                <w:lang w:val="en-US" w:eastAsia="zh-CN"/>
              </w:rPr>
              <w:t>本</w:t>
            </w:r>
            <w:r>
              <w:rPr>
                <w:rFonts w:hint="eastAsia" w:ascii="宋体" w:hAnsi="宋体" w:cs="宋体"/>
                <w:b/>
                <w:bCs/>
                <w:snapToGrid w:val="0"/>
                <w:color w:val="auto"/>
                <w:spacing w:val="0"/>
                <w:kern w:val="21"/>
                <w:szCs w:val="21"/>
                <w:highlight w:val="none"/>
                <w:lang w:val="en-US" w:eastAsia="zh-CN"/>
              </w:rPr>
              <w:t>项目投标</w:t>
            </w:r>
            <w:r>
              <w:rPr>
                <w:rFonts w:hint="eastAsia" w:ascii="宋体" w:hAnsi="宋体" w:eastAsia="宋体" w:cs="宋体"/>
                <w:b/>
                <w:bCs/>
                <w:snapToGrid w:val="0"/>
                <w:color w:val="auto"/>
                <w:spacing w:val="0"/>
                <w:kern w:val="21"/>
                <w:szCs w:val="21"/>
                <w:highlight w:val="none"/>
                <w:lang w:val="en-US" w:eastAsia="zh-CN"/>
              </w:rPr>
              <w:t>供应商投标报价均按照招标控制价金额进行报价</w:t>
            </w:r>
            <w:r>
              <w:rPr>
                <w:rFonts w:hint="eastAsia" w:ascii="宋体" w:hAnsi="宋体" w:cs="宋体"/>
                <w:b/>
                <w:bCs/>
                <w:snapToGrid w:val="0"/>
                <w:color w:val="auto"/>
                <w:spacing w:val="0"/>
                <w:kern w:val="21"/>
                <w:szCs w:val="21"/>
                <w:highlight w:val="none"/>
                <w:lang w:val="en-US" w:eastAsia="zh-CN"/>
              </w:rPr>
              <w:t>(投标报价不进行分值评审)</w:t>
            </w:r>
            <w:r>
              <w:rPr>
                <w:rFonts w:hint="eastAsia" w:ascii="宋体" w:hAnsi="宋体" w:eastAsia="宋体" w:cs="宋体"/>
                <w:snapToGrid w:val="0"/>
                <w:color w:val="auto"/>
                <w:spacing w:val="0"/>
                <w:kern w:val="21"/>
                <w:szCs w:val="21"/>
                <w:highlight w:val="none"/>
                <w:lang w:val="en-US" w:eastAsia="zh-CN"/>
              </w:rPr>
              <w:t>。</w:t>
            </w:r>
          </w:p>
          <w:p w14:paraId="4D859C0D">
            <w:pPr>
              <w:widowControl/>
              <w:numPr>
                <w:ilvl w:val="0"/>
                <w:numId w:val="0"/>
              </w:numPr>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2、供应商所报价格应包含为完成本项目所包含的食材购置费、运输费、保管费、配送费、人员工资、利润、税金等交付至各</w:t>
            </w:r>
            <w:r>
              <w:rPr>
                <w:rFonts w:hint="eastAsia" w:ascii="宋体" w:hAnsi="宋体" w:cs="宋体"/>
                <w:snapToGrid w:val="0"/>
                <w:color w:val="auto"/>
                <w:spacing w:val="0"/>
                <w:kern w:val="21"/>
                <w:szCs w:val="21"/>
                <w:highlight w:val="none"/>
                <w:lang w:val="en-US" w:eastAsia="zh-CN"/>
              </w:rPr>
              <w:t>养老院</w:t>
            </w:r>
            <w:r>
              <w:rPr>
                <w:rFonts w:hint="eastAsia" w:ascii="宋体" w:hAnsi="宋体" w:eastAsia="宋体" w:cs="宋体"/>
                <w:snapToGrid w:val="0"/>
                <w:color w:val="auto"/>
                <w:spacing w:val="0"/>
                <w:kern w:val="21"/>
                <w:szCs w:val="21"/>
                <w:highlight w:val="none"/>
                <w:lang w:val="en-US" w:eastAsia="zh-CN"/>
              </w:rPr>
              <w:t>餐厅前所发生的一切费用。</w:t>
            </w:r>
          </w:p>
          <w:p w14:paraId="384BB857">
            <w:pPr>
              <w:widowControl/>
              <w:numPr>
                <w:ilvl w:val="0"/>
                <w:numId w:val="0"/>
              </w:numPr>
              <w:jc w:val="left"/>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3、供应商投标价格不等同于本项目结算价格。</w:t>
            </w:r>
          </w:p>
          <w:p w14:paraId="07683983">
            <w:pPr>
              <w:widowControl/>
              <w:numPr>
                <w:ilvl w:val="0"/>
                <w:numId w:val="0"/>
              </w:numPr>
              <w:jc w:val="left"/>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4、结算价款以采购人和供应商双方约定的市场询价（如县域内各大型超市和农贸批发市场等）的同期、同品质、同品种的均价</w:t>
            </w:r>
            <w:r>
              <w:rPr>
                <w:rFonts w:hint="eastAsia" w:ascii="宋体" w:hAnsi="宋体" w:cs="宋体"/>
                <w:snapToGrid w:val="0"/>
                <w:color w:val="auto"/>
                <w:spacing w:val="0"/>
                <w:kern w:val="21"/>
                <w:szCs w:val="21"/>
                <w:highlight w:val="none"/>
                <w:lang w:val="en-US" w:eastAsia="zh-CN"/>
              </w:rPr>
              <w:t>（非活动价格）</w:t>
            </w:r>
            <w:r>
              <w:rPr>
                <w:rFonts w:hint="eastAsia" w:ascii="宋体" w:hAnsi="宋体" w:eastAsia="宋体" w:cs="宋体"/>
                <w:snapToGrid w:val="0"/>
                <w:color w:val="auto"/>
                <w:spacing w:val="0"/>
                <w:kern w:val="21"/>
                <w:szCs w:val="21"/>
                <w:highlight w:val="none"/>
                <w:lang w:val="en-US" w:eastAsia="zh-CN"/>
              </w:rPr>
              <w:t>为基准价进行结算，</w:t>
            </w:r>
            <w:r>
              <w:rPr>
                <w:rFonts w:hint="eastAsia" w:ascii="宋体" w:hAnsi="宋体" w:cs="宋体"/>
                <w:snapToGrid w:val="0"/>
                <w:color w:val="auto"/>
                <w:spacing w:val="0"/>
                <w:kern w:val="21"/>
                <w:szCs w:val="21"/>
                <w:highlight w:val="none"/>
                <w:lang w:val="en-US" w:eastAsia="zh-CN"/>
              </w:rPr>
              <w:t>具体事项</w:t>
            </w:r>
            <w:r>
              <w:rPr>
                <w:rFonts w:hint="eastAsia" w:ascii="宋体" w:hAnsi="宋体" w:eastAsia="宋体" w:cs="宋体"/>
                <w:snapToGrid w:val="0"/>
                <w:color w:val="auto"/>
                <w:spacing w:val="0"/>
                <w:kern w:val="21"/>
                <w:szCs w:val="21"/>
                <w:highlight w:val="none"/>
                <w:lang w:val="en-US" w:eastAsia="zh-CN"/>
              </w:rPr>
              <w:t>由采购人和供应商在签订合同时商定。</w:t>
            </w:r>
          </w:p>
          <w:p w14:paraId="3B10908C">
            <w:pPr>
              <w:widowControl/>
              <w:numPr>
                <w:ilvl w:val="0"/>
                <w:numId w:val="0"/>
              </w:numPr>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5、最终结算价款以供应数量为准进行结算。</w:t>
            </w:r>
          </w:p>
        </w:tc>
      </w:tr>
      <w:tr w14:paraId="1E07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762BBFA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21</w:t>
            </w:r>
          </w:p>
        </w:tc>
        <w:tc>
          <w:tcPr>
            <w:tcW w:w="2105" w:type="dxa"/>
            <w:vMerge w:val="restart"/>
            <w:tcBorders>
              <w:top w:val="single" w:color="auto" w:sz="4" w:space="0"/>
              <w:left w:val="single" w:color="auto" w:sz="4" w:space="0"/>
              <w:bottom w:val="single" w:color="auto" w:sz="4" w:space="0"/>
              <w:right w:val="single" w:color="auto" w:sz="4" w:space="0"/>
            </w:tcBorders>
            <w:noWrap w:val="0"/>
            <w:vAlign w:val="center"/>
          </w:tcPr>
          <w:p w14:paraId="2277FCA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eastAsia="zh-CN"/>
              </w:rPr>
              <w:t>采购人</w:t>
            </w:r>
            <w:r>
              <w:rPr>
                <w:rFonts w:hint="eastAsia" w:ascii="宋体" w:hAnsi="宋体" w:eastAsia="宋体" w:cs="宋体"/>
                <w:snapToGrid w:val="0"/>
                <w:color w:val="auto"/>
                <w:spacing w:val="0"/>
                <w:kern w:val="21"/>
                <w:szCs w:val="21"/>
                <w:highlight w:val="none"/>
              </w:rPr>
              <w:t>书面澄清的时间</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8130607">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时间：提交首次</w:t>
            </w: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文件截止时间前</w:t>
            </w:r>
            <w:r>
              <w:rPr>
                <w:rFonts w:hint="eastAsia" w:ascii="宋体" w:hAnsi="宋体" w:eastAsia="宋体" w:cs="宋体"/>
                <w:snapToGrid w:val="0"/>
                <w:color w:val="auto"/>
                <w:spacing w:val="0"/>
                <w:kern w:val="21"/>
                <w:szCs w:val="21"/>
                <w:highlight w:val="none"/>
                <w:lang w:val="en-US" w:eastAsia="zh-CN"/>
              </w:rPr>
              <w:t>10</w:t>
            </w:r>
            <w:r>
              <w:rPr>
                <w:rFonts w:hint="eastAsia" w:ascii="宋体" w:hAnsi="宋体" w:eastAsia="宋体" w:cs="宋体"/>
                <w:snapToGrid w:val="0"/>
                <w:color w:val="auto"/>
                <w:spacing w:val="0"/>
                <w:kern w:val="21"/>
                <w:szCs w:val="21"/>
                <w:highlight w:val="none"/>
              </w:rPr>
              <w:t>日</w:t>
            </w:r>
          </w:p>
        </w:tc>
      </w:tr>
      <w:tr w14:paraId="4F96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EE02587">
            <w:pPr>
              <w:widowControl/>
              <w:jc w:val="center"/>
              <w:rPr>
                <w:rFonts w:hint="eastAsia" w:ascii="宋体" w:hAnsi="宋体" w:eastAsia="宋体" w:cs="宋体"/>
                <w:snapToGrid w:val="0"/>
                <w:color w:val="auto"/>
                <w:spacing w:val="0"/>
                <w:kern w:val="21"/>
                <w:szCs w:val="21"/>
                <w:highlight w:val="none"/>
              </w:rPr>
            </w:pPr>
          </w:p>
        </w:tc>
        <w:tc>
          <w:tcPr>
            <w:tcW w:w="2105" w:type="dxa"/>
            <w:vMerge w:val="continue"/>
            <w:tcBorders>
              <w:top w:val="single" w:color="auto" w:sz="4" w:space="0"/>
              <w:left w:val="single" w:color="auto" w:sz="4" w:space="0"/>
              <w:bottom w:val="single" w:color="auto" w:sz="4" w:space="0"/>
              <w:right w:val="single" w:color="auto" w:sz="4" w:space="0"/>
            </w:tcBorders>
            <w:noWrap w:val="0"/>
            <w:vAlign w:val="center"/>
          </w:tcPr>
          <w:p w14:paraId="7FEC88ED">
            <w:pPr>
              <w:widowControl/>
              <w:jc w:val="center"/>
              <w:rPr>
                <w:rFonts w:hint="eastAsia" w:ascii="宋体" w:hAnsi="宋体" w:eastAsia="宋体" w:cs="宋体"/>
                <w:snapToGrid w:val="0"/>
                <w:color w:val="auto"/>
                <w:spacing w:val="0"/>
                <w:kern w:val="21"/>
                <w:szCs w:val="21"/>
                <w:highlight w:val="none"/>
              </w:rPr>
            </w:pPr>
          </w:p>
        </w:tc>
        <w:tc>
          <w:tcPr>
            <w:tcW w:w="6810" w:type="dxa"/>
            <w:tcBorders>
              <w:top w:val="single" w:color="auto" w:sz="4" w:space="0"/>
              <w:left w:val="single" w:color="auto" w:sz="4" w:space="0"/>
              <w:bottom w:val="single" w:color="auto" w:sz="4" w:space="0"/>
              <w:right w:val="single" w:color="auto" w:sz="4" w:space="0"/>
            </w:tcBorders>
            <w:noWrap w:val="0"/>
            <w:vAlign w:val="center"/>
          </w:tcPr>
          <w:p w14:paraId="69071C9C">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形式：在三门峡市公共资源电子招标投标交易平台提出</w:t>
            </w:r>
          </w:p>
        </w:tc>
      </w:tr>
      <w:tr w14:paraId="6000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F99556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E181A6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文件澄清发出的形式</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5325312">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通过三门峡市公共资源电子招标投标交易平台发布且同时在原公告媒体发布澄清公告</w:t>
            </w:r>
          </w:p>
        </w:tc>
      </w:tr>
      <w:tr w14:paraId="48EE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0AA25E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D40ADE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文件修改发出的形式</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D9C40FE">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通过三门峡市公共资源电子招标投标交易平台发布且同时在原公告媒体发布变更公告</w:t>
            </w:r>
          </w:p>
        </w:tc>
      </w:tr>
      <w:tr w14:paraId="0D16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61B6D60">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79A7035">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确认收到</w:t>
            </w: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文件澄清或者修改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96CAA67">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在投标截止时间前须自行查看在原公告发布媒体上发布的澄清或修改公告，因</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未及时查看而造成的后果自负。</w:t>
            </w:r>
          </w:p>
        </w:tc>
      </w:tr>
      <w:tr w14:paraId="4E63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19B71D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F79FAE2">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构成</w:t>
            </w:r>
            <w:r>
              <w:rPr>
                <w:rFonts w:hint="eastAsia" w:ascii="宋体" w:hAnsi="宋体" w:eastAsia="宋体" w:cs="宋体"/>
                <w:snapToGrid w:val="0"/>
                <w:color w:val="auto"/>
                <w:spacing w:val="0"/>
                <w:kern w:val="21"/>
                <w:szCs w:val="21"/>
                <w:highlight w:val="none"/>
                <w:lang w:val="en-US" w:eastAsia="zh-CN"/>
              </w:rPr>
              <w:t>招标文件</w:t>
            </w:r>
            <w:r>
              <w:rPr>
                <w:rFonts w:hint="eastAsia" w:ascii="宋体" w:hAnsi="宋体" w:eastAsia="宋体" w:cs="宋体"/>
                <w:snapToGrid w:val="0"/>
                <w:color w:val="auto"/>
                <w:spacing w:val="0"/>
                <w:kern w:val="21"/>
                <w:szCs w:val="21"/>
                <w:highlight w:val="none"/>
              </w:rPr>
              <w:t>的其他材料</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586FF4D">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答疑纪要、</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的补充和修改文件（如有）等。</w:t>
            </w:r>
          </w:p>
        </w:tc>
      </w:tr>
      <w:tr w14:paraId="2185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A2236E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3648C30">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保证金</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94FDDDB">
            <w:pPr>
              <w:widowControl/>
              <w:jc w:val="left"/>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无</w:t>
            </w:r>
          </w:p>
        </w:tc>
      </w:tr>
      <w:tr w14:paraId="1A8F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EA32C4C">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CFFD09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有效期</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739B1FC6">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文件递交截止之日起60日历天</w:t>
            </w:r>
          </w:p>
        </w:tc>
      </w:tr>
      <w:tr w14:paraId="21C9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1388A5D">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CD11DDE">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近年财务状况的年份要求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31BD849">
            <w:pP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提供202</w:t>
            </w:r>
            <w:r>
              <w:rPr>
                <w:rFonts w:hint="eastAsia" w:ascii="宋体" w:hAnsi="宋体" w:eastAsia="宋体" w:cs="宋体"/>
                <w:snapToGrid w:val="0"/>
                <w:color w:val="auto"/>
                <w:spacing w:val="0"/>
                <w:kern w:val="21"/>
                <w:szCs w:val="21"/>
                <w:highlight w:val="none"/>
                <w:lang w:val="en-US" w:eastAsia="zh-CN"/>
              </w:rPr>
              <w:t>5</w:t>
            </w:r>
            <w:r>
              <w:rPr>
                <w:rFonts w:hint="eastAsia" w:ascii="宋体" w:hAnsi="宋体" w:eastAsia="宋体" w:cs="宋体"/>
                <w:snapToGrid w:val="0"/>
                <w:color w:val="auto"/>
                <w:spacing w:val="0"/>
                <w:kern w:val="21"/>
                <w:szCs w:val="21"/>
                <w:highlight w:val="none"/>
              </w:rPr>
              <w:t>年度第三方审计机构出具的财务报告或自行承诺</w:t>
            </w:r>
          </w:p>
        </w:tc>
      </w:tr>
      <w:tr w14:paraId="6056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BE3A7D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08746F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近年完成的类似项目的年份要求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B39533B">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202</w:t>
            </w:r>
            <w:r>
              <w:rPr>
                <w:rFonts w:hint="eastAsia" w:ascii="宋体" w:hAnsi="宋体" w:cs="宋体"/>
                <w:snapToGrid w:val="0"/>
                <w:color w:val="auto"/>
                <w:spacing w:val="0"/>
                <w:kern w:val="21"/>
                <w:szCs w:val="21"/>
                <w:highlight w:val="none"/>
                <w:lang w:val="en-US" w:eastAsia="zh-CN"/>
              </w:rPr>
              <w:t>3</w:t>
            </w:r>
            <w:r>
              <w:rPr>
                <w:rFonts w:hint="eastAsia" w:ascii="宋体" w:hAnsi="宋体" w:eastAsia="宋体" w:cs="宋体"/>
                <w:snapToGrid w:val="0"/>
                <w:color w:val="auto"/>
                <w:spacing w:val="0"/>
                <w:kern w:val="21"/>
                <w:szCs w:val="21"/>
                <w:highlight w:val="none"/>
              </w:rPr>
              <w:t>年1月1日以来</w:t>
            </w:r>
          </w:p>
        </w:tc>
      </w:tr>
      <w:tr w14:paraId="42FD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71405D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BB516B2">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近年发生的诉讼及仲裁情况的年份要求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1E47F7FE">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20</w:t>
            </w:r>
            <w:r>
              <w:rPr>
                <w:rFonts w:hint="eastAsia" w:ascii="宋体" w:hAnsi="宋体" w:eastAsia="宋体" w:cs="宋体"/>
                <w:snapToGrid w:val="0"/>
                <w:color w:val="auto"/>
                <w:spacing w:val="0"/>
                <w:kern w:val="21"/>
                <w:szCs w:val="21"/>
                <w:highlight w:val="none"/>
                <w:lang w:val="en-US" w:eastAsia="zh-CN"/>
              </w:rPr>
              <w:t>2</w:t>
            </w:r>
            <w:r>
              <w:rPr>
                <w:rFonts w:hint="eastAsia" w:ascii="宋体" w:hAnsi="宋体" w:cs="宋体"/>
                <w:snapToGrid w:val="0"/>
                <w:color w:val="auto"/>
                <w:spacing w:val="0"/>
                <w:kern w:val="21"/>
                <w:szCs w:val="21"/>
                <w:highlight w:val="none"/>
                <w:lang w:val="en-US" w:eastAsia="zh-CN"/>
              </w:rPr>
              <w:t>3</w:t>
            </w:r>
            <w:r>
              <w:rPr>
                <w:rFonts w:hint="eastAsia" w:ascii="宋体" w:hAnsi="宋体" w:eastAsia="宋体" w:cs="宋体"/>
                <w:snapToGrid w:val="0"/>
                <w:color w:val="auto"/>
                <w:spacing w:val="0"/>
                <w:kern w:val="21"/>
                <w:szCs w:val="21"/>
                <w:highlight w:val="none"/>
              </w:rPr>
              <w:t>年1月1日以来</w:t>
            </w:r>
          </w:p>
        </w:tc>
      </w:tr>
      <w:tr w14:paraId="62F4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2A713D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9791AF5">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是否允许递交备选投标方案</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CA06906">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不允许</w:t>
            </w:r>
          </w:p>
        </w:tc>
      </w:tr>
      <w:tr w14:paraId="2D60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5A0A7AD">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D44633D">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签字和（或）盖章要求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5A6C699">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电子化投标文件的签章：</w:t>
            </w:r>
          </w:p>
          <w:p w14:paraId="55D49F4B">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在生成电子化投标文件后，应对电子化投标文件进行签章，未对电子化投标文件进行签章的视为无效文件。</w:t>
            </w:r>
          </w:p>
          <w:p w14:paraId="54CEE61A">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2、招标文件中要求法定代表人或授权委托人盖章的，</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在进行电子化投标文件签章时，以签盖法定代表人签章为准。</w:t>
            </w:r>
          </w:p>
          <w:p w14:paraId="40A3C3BA">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3、电子化投标文件工具请点击https://download.bqpoint.com/download/downloadlist.html?SoftTypeCode=06进行下载。</w:t>
            </w:r>
          </w:p>
        </w:tc>
      </w:tr>
      <w:tr w14:paraId="4D8C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7D57597">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199B291">
            <w:pPr>
              <w:widowControl/>
              <w:spacing w:line="360" w:lineRule="auto"/>
              <w:jc w:val="center"/>
              <w:textAlignment w:val="auto"/>
              <w:rPr>
                <w:rFonts w:hint="eastAsia" w:ascii="宋体" w:hAnsi="宋体" w:eastAsia="宋体" w:cs="宋体"/>
                <w:snapToGrid w:val="0"/>
                <w:color w:val="auto"/>
                <w:spacing w:val="0"/>
                <w:kern w:val="21"/>
                <w:szCs w:val="21"/>
                <w:highlight w:val="none"/>
              </w:rPr>
            </w:pPr>
            <w:r>
              <w:rPr>
                <w:rFonts w:hint="eastAsia" w:ascii="宋体" w:hAnsi="宋体" w:eastAsia="宋体" w:cs="宋体"/>
                <w:color w:val="auto"/>
                <w:kern w:val="0"/>
                <w:sz w:val="21"/>
                <w:szCs w:val="21"/>
                <w:highlight w:val="none"/>
              </w:rPr>
              <w:t>递交投标文件地点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073DBBC">
            <w:pPr>
              <w:widowControl/>
              <w:spacing w:line="360" w:lineRule="auto"/>
              <w:jc w:val="left"/>
              <w:textAlignment w:val="auto"/>
              <w:rPr>
                <w:rFonts w:hint="eastAsia" w:ascii="宋体" w:hAnsi="宋体" w:eastAsia="宋体" w:cs="宋体"/>
                <w:snapToGrid w:val="0"/>
                <w:color w:val="auto"/>
                <w:spacing w:val="0"/>
                <w:kern w:val="21"/>
                <w:szCs w:val="21"/>
                <w:highlight w:val="none"/>
              </w:rPr>
            </w:pPr>
            <w:r>
              <w:rPr>
                <w:rFonts w:hint="eastAsia" w:ascii="宋体" w:hAnsi="宋体" w:eastAsia="宋体" w:cs="宋体"/>
                <w:color w:val="auto"/>
                <w:kern w:val="0"/>
                <w:sz w:val="21"/>
                <w:szCs w:val="21"/>
                <w:highlight w:val="none"/>
              </w:rPr>
              <w:t>电子投标文件的电子版用企业和法人 CA 数字证书在开标截止时间前上传至“三门峡市公共资源交易中心网站”</w:t>
            </w:r>
          </w:p>
        </w:tc>
      </w:tr>
      <w:tr w14:paraId="295D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51B1F15">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C2A1A21">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响应人代表出席开标会</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7CFDD77">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所有投标响应人的法定代表人或其委托代理人无需到现场参加开标会议，仔细阅读</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和三门峡市公共资源交易中心官网业务办理指南。</w:t>
            </w:r>
          </w:p>
        </w:tc>
      </w:tr>
      <w:tr w14:paraId="016F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E963132">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39604BD">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是否退还</w:t>
            </w: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文件</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29E3298">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否</w:t>
            </w:r>
          </w:p>
        </w:tc>
      </w:tr>
      <w:tr w14:paraId="5101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right w:val="single" w:color="auto" w:sz="4" w:space="0"/>
            </w:tcBorders>
            <w:noWrap w:val="0"/>
            <w:vAlign w:val="center"/>
          </w:tcPr>
          <w:p w14:paraId="489EA87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21EDD1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开标</w:t>
            </w:r>
            <w:r>
              <w:rPr>
                <w:rFonts w:hint="eastAsia" w:ascii="宋体" w:hAnsi="宋体" w:eastAsia="宋体" w:cs="宋体"/>
                <w:snapToGrid w:val="0"/>
                <w:color w:val="auto"/>
                <w:spacing w:val="0"/>
                <w:kern w:val="21"/>
                <w:szCs w:val="21"/>
                <w:highlight w:val="none"/>
              </w:rPr>
              <w:t>时间和地点</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39FD7F61">
            <w:pPr>
              <w:widowControl/>
              <w:numPr>
                <w:ilvl w:val="0"/>
                <w:numId w:val="1"/>
              </w:num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开标</w:t>
            </w:r>
            <w:r>
              <w:rPr>
                <w:rFonts w:hint="eastAsia" w:ascii="宋体" w:hAnsi="宋体" w:eastAsia="宋体" w:cs="宋体"/>
                <w:snapToGrid w:val="0"/>
                <w:color w:val="auto"/>
                <w:spacing w:val="0"/>
                <w:kern w:val="21"/>
                <w:szCs w:val="21"/>
                <w:highlight w:val="none"/>
              </w:rPr>
              <w:t>时间：202</w:t>
            </w:r>
            <w:r>
              <w:rPr>
                <w:rFonts w:hint="eastAsia" w:ascii="宋体" w:hAnsi="宋体" w:eastAsia="宋体" w:cs="宋体"/>
                <w:snapToGrid w:val="0"/>
                <w:color w:val="auto"/>
                <w:spacing w:val="0"/>
                <w:kern w:val="21"/>
                <w:szCs w:val="21"/>
                <w:highlight w:val="none"/>
                <w:lang w:val="en-US" w:eastAsia="zh-CN"/>
              </w:rPr>
              <w:t>6</w:t>
            </w:r>
            <w:r>
              <w:rPr>
                <w:rFonts w:hint="eastAsia" w:ascii="宋体" w:hAnsi="宋体" w:eastAsia="宋体" w:cs="宋体"/>
                <w:snapToGrid w:val="0"/>
                <w:color w:val="auto"/>
                <w:spacing w:val="0"/>
                <w:kern w:val="21"/>
                <w:szCs w:val="21"/>
                <w:highlight w:val="none"/>
              </w:rPr>
              <w:t>年</w:t>
            </w:r>
            <w:r>
              <w:rPr>
                <w:rFonts w:hint="eastAsia" w:ascii="宋体" w:hAnsi="宋体" w:eastAsia="宋体" w:cs="宋体"/>
                <w:snapToGrid w:val="0"/>
                <w:color w:val="auto"/>
                <w:spacing w:val="0"/>
                <w:kern w:val="21"/>
                <w:szCs w:val="21"/>
                <w:highlight w:val="none"/>
                <w:lang w:val="en-US" w:eastAsia="zh-CN"/>
              </w:rPr>
              <w:t>08</w:t>
            </w:r>
            <w:r>
              <w:rPr>
                <w:rFonts w:hint="eastAsia" w:ascii="宋体" w:hAnsi="宋体" w:eastAsia="宋体" w:cs="宋体"/>
                <w:snapToGrid w:val="0"/>
                <w:color w:val="auto"/>
                <w:spacing w:val="0"/>
                <w:kern w:val="21"/>
                <w:szCs w:val="21"/>
                <w:highlight w:val="none"/>
              </w:rPr>
              <w:t>月</w:t>
            </w:r>
            <w:r>
              <w:rPr>
                <w:rFonts w:hint="eastAsia" w:ascii="宋体" w:hAnsi="宋体" w:eastAsia="宋体" w:cs="宋体"/>
                <w:snapToGrid w:val="0"/>
                <w:color w:val="auto"/>
                <w:spacing w:val="0"/>
                <w:kern w:val="21"/>
                <w:szCs w:val="21"/>
                <w:highlight w:val="none"/>
                <w:lang w:val="en-US" w:eastAsia="zh-CN"/>
              </w:rPr>
              <w:t>20</w:t>
            </w:r>
            <w:r>
              <w:rPr>
                <w:rFonts w:hint="eastAsia" w:ascii="宋体" w:hAnsi="宋体" w:eastAsia="宋体" w:cs="宋体"/>
                <w:snapToGrid w:val="0"/>
                <w:color w:val="auto"/>
                <w:spacing w:val="0"/>
                <w:kern w:val="21"/>
                <w:szCs w:val="21"/>
                <w:highlight w:val="none"/>
              </w:rPr>
              <w:t>日08时40分</w:t>
            </w:r>
          </w:p>
          <w:p w14:paraId="45CBE5B5">
            <w:pPr>
              <w:widowControl/>
              <w:numPr>
                <w:ilvl w:val="0"/>
                <w:numId w:val="0"/>
              </w:num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2、开标地点：卢氏县公共资源交易中心</w:t>
            </w:r>
            <w:r>
              <w:rPr>
                <w:rFonts w:hint="eastAsia" w:ascii="宋体" w:hAnsi="宋体" w:eastAsia="宋体" w:cs="宋体"/>
                <w:snapToGrid w:val="0"/>
                <w:color w:val="auto"/>
                <w:spacing w:val="0"/>
                <w:kern w:val="21"/>
                <w:szCs w:val="21"/>
                <w:highlight w:val="none"/>
                <w:lang w:val="en-US" w:eastAsia="zh-CN"/>
              </w:rPr>
              <w:t>四</w:t>
            </w:r>
            <w:r>
              <w:rPr>
                <w:rFonts w:hint="eastAsia" w:ascii="宋体" w:hAnsi="宋体" w:eastAsia="宋体" w:cs="宋体"/>
                <w:snapToGrid w:val="0"/>
                <w:color w:val="auto"/>
                <w:spacing w:val="0"/>
                <w:kern w:val="21"/>
                <w:szCs w:val="21"/>
                <w:highlight w:val="none"/>
              </w:rPr>
              <w:t>楼第</w:t>
            </w:r>
            <w:r>
              <w:rPr>
                <w:rFonts w:hint="eastAsia" w:ascii="宋体" w:hAnsi="宋体" w:eastAsia="宋体" w:cs="宋体"/>
                <w:snapToGrid w:val="0"/>
                <w:color w:val="auto"/>
                <w:spacing w:val="0"/>
                <w:kern w:val="21"/>
                <w:szCs w:val="21"/>
                <w:highlight w:val="none"/>
                <w:lang w:val="en-US" w:eastAsia="zh-CN"/>
              </w:rPr>
              <w:t>一</w:t>
            </w:r>
            <w:r>
              <w:rPr>
                <w:rFonts w:hint="eastAsia" w:ascii="宋体" w:hAnsi="宋体" w:eastAsia="宋体" w:cs="宋体"/>
                <w:snapToGrid w:val="0"/>
                <w:color w:val="auto"/>
                <w:spacing w:val="0"/>
                <w:kern w:val="21"/>
                <w:szCs w:val="21"/>
                <w:highlight w:val="none"/>
              </w:rPr>
              <w:t>开标室；</w:t>
            </w:r>
          </w:p>
          <w:p w14:paraId="0CAC001F">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3、评标地点：卢氏县公共资源交易中心二楼第</w:t>
            </w:r>
            <w:r>
              <w:rPr>
                <w:rFonts w:hint="eastAsia" w:ascii="宋体" w:hAnsi="宋体" w:cs="宋体"/>
                <w:snapToGrid w:val="0"/>
                <w:color w:val="auto"/>
                <w:spacing w:val="0"/>
                <w:kern w:val="21"/>
                <w:szCs w:val="21"/>
                <w:highlight w:val="none"/>
                <w:lang w:val="en-US" w:eastAsia="zh-CN"/>
              </w:rPr>
              <w:t>一</w:t>
            </w:r>
            <w:r>
              <w:rPr>
                <w:rFonts w:hint="eastAsia" w:ascii="宋体" w:hAnsi="宋体" w:eastAsia="宋体" w:cs="宋体"/>
                <w:snapToGrid w:val="0"/>
                <w:color w:val="auto"/>
                <w:spacing w:val="0"/>
                <w:kern w:val="21"/>
                <w:szCs w:val="21"/>
                <w:highlight w:val="none"/>
              </w:rPr>
              <w:t>评标室。</w:t>
            </w:r>
          </w:p>
        </w:tc>
      </w:tr>
      <w:tr w14:paraId="3526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AF9B348">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14AEB8C">
            <w:pPr>
              <w:widowControl/>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评标委员会的组建</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143CE8D2">
            <w:pPr>
              <w:widowControl/>
              <w:jc w:val="lef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评标委员会成员为</w:t>
            </w:r>
            <w:r>
              <w:rPr>
                <w:rFonts w:hint="eastAsia" w:ascii="宋体" w:hAnsi="宋体" w:cs="宋体"/>
                <w:snapToGrid w:val="0"/>
                <w:color w:val="auto"/>
                <w:spacing w:val="0"/>
                <w:kern w:val="21"/>
                <w:sz w:val="21"/>
                <w:szCs w:val="21"/>
                <w:highlight w:val="none"/>
                <w:lang w:val="en-US" w:eastAsia="zh-CN"/>
              </w:rPr>
              <w:t>5</w:t>
            </w:r>
            <w:r>
              <w:rPr>
                <w:rFonts w:hint="eastAsia" w:ascii="宋体" w:hAnsi="宋体" w:eastAsia="宋体" w:cs="宋体"/>
                <w:snapToGrid w:val="0"/>
                <w:color w:val="auto"/>
                <w:spacing w:val="0"/>
                <w:kern w:val="21"/>
                <w:sz w:val="21"/>
                <w:szCs w:val="21"/>
                <w:highlight w:val="none"/>
              </w:rPr>
              <w:t>人，由</w:t>
            </w:r>
            <w:r>
              <w:rPr>
                <w:rFonts w:hint="eastAsia" w:ascii="宋体" w:hAnsi="宋体" w:eastAsia="宋体" w:cs="宋体"/>
                <w:snapToGrid w:val="0"/>
                <w:color w:val="auto"/>
                <w:spacing w:val="0"/>
                <w:kern w:val="21"/>
                <w:sz w:val="21"/>
                <w:szCs w:val="21"/>
                <w:highlight w:val="none"/>
                <w:lang w:val="en-US" w:eastAsia="zh-CN"/>
              </w:rPr>
              <w:t>采购人</w:t>
            </w:r>
            <w:r>
              <w:rPr>
                <w:rFonts w:hint="eastAsia" w:ascii="宋体" w:hAnsi="宋体" w:eastAsia="宋体" w:cs="宋体"/>
                <w:snapToGrid w:val="0"/>
                <w:color w:val="auto"/>
                <w:spacing w:val="0"/>
                <w:kern w:val="21"/>
                <w:sz w:val="21"/>
                <w:szCs w:val="21"/>
                <w:highlight w:val="none"/>
              </w:rPr>
              <w:t>代表</w:t>
            </w:r>
            <w:r>
              <w:rPr>
                <w:rFonts w:hint="eastAsia" w:ascii="宋体" w:hAnsi="宋体" w:cs="宋体"/>
                <w:snapToGrid w:val="0"/>
                <w:color w:val="auto"/>
                <w:spacing w:val="0"/>
                <w:kern w:val="21"/>
                <w:sz w:val="21"/>
                <w:szCs w:val="21"/>
                <w:highlight w:val="none"/>
                <w:lang w:val="en-US" w:eastAsia="zh-CN"/>
              </w:rPr>
              <w:t>1</w:t>
            </w:r>
            <w:r>
              <w:rPr>
                <w:rFonts w:hint="eastAsia" w:ascii="宋体" w:hAnsi="宋体" w:eastAsia="宋体" w:cs="宋体"/>
                <w:snapToGrid w:val="0"/>
                <w:color w:val="auto"/>
                <w:spacing w:val="0"/>
                <w:kern w:val="21"/>
                <w:sz w:val="21"/>
                <w:szCs w:val="21"/>
                <w:highlight w:val="none"/>
              </w:rPr>
              <w:t>人，其余技术、经济类专家</w:t>
            </w:r>
            <w:r>
              <w:rPr>
                <w:rFonts w:hint="eastAsia" w:ascii="宋体" w:hAnsi="宋体" w:cs="宋体"/>
                <w:snapToGrid w:val="0"/>
                <w:color w:val="auto"/>
                <w:spacing w:val="0"/>
                <w:kern w:val="21"/>
                <w:sz w:val="21"/>
                <w:szCs w:val="21"/>
                <w:highlight w:val="none"/>
                <w:lang w:val="en-US" w:eastAsia="zh-CN"/>
              </w:rPr>
              <w:t>4</w:t>
            </w:r>
            <w:r>
              <w:rPr>
                <w:rFonts w:hint="eastAsia" w:ascii="宋体" w:hAnsi="宋体" w:eastAsia="宋体" w:cs="宋体"/>
                <w:snapToGrid w:val="0"/>
                <w:color w:val="auto"/>
                <w:spacing w:val="0"/>
                <w:kern w:val="21"/>
                <w:sz w:val="21"/>
                <w:szCs w:val="21"/>
                <w:highlight w:val="none"/>
              </w:rPr>
              <w:t>人组成。评标专家确定方式：当天开标后通过卢氏县公共资源交易中心抽取终端，从河南省政府采购评审专家库中随机抽取。</w:t>
            </w:r>
          </w:p>
        </w:tc>
      </w:tr>
      <w:tr w14:paraId="6F0D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5AE21A5">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03FB144">
            <w:pPr>
              <w:widowControl/>
              <w:spacing w:line="400" w:lineRule="exact"/>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color w:val="auto"/>
                <w:spacing w:val="6"/>
                <w:sz w:val="21"/>
                <w:szCs w:val="21"/>
                <w:highlight w:val="none"/>
              </w:rPr>
              <w:t>是否授权评标委员会确定中标人</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BCFF852">
            <w:pPr>
              <w:widowControl/>
              <w:spacing w:line="400" w:lineRule="exac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color w:val="auto"/>
                <w:spacing w:val="6"/>
                <w:sz w:val="21"/>
                <w:szCs w:val="21"/>
                <w:highlight w:val="none"/>
              </w:rPr>
              <w:t>否，评标委员会推选</w:t>
            </w:r>
            <w:r>
              <w:rPr>
                <w:rFonts w:hint="eastAsia" w:ascii="宋体" w:hAnsi="宋体" w:eastAsia="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名中标候选人</w:t>
            </w:r>
          </w:p>
        </w:tc>
      </w:tr>
      <w:tr w14:paraId="04C7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48ADC38">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9F1E499">
            <w:pPr>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结果公示</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04EA89E">
            <w:pP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在</w:t>
            </w:r>
            <w:r>
              <w:rPr>
                <w:rFonts w:hint="eastAsia" w:ascii="宋体" w:hAnsi="宋体" w:eastAsia="宋体" w:cs="宋体"/>
                <w:snapToGrid w:val="0"/>
                <w:color w:val="auto"/>
                <w:spacing w:val="0"/>
                <w:kern w:val="21"/>
                <w:sz w:val="21"/>
                <w:szCs w:val="21"/>
                <w:highlight w:val="none"/>
                <w:lang w:val="en-US" w:eastAsia="zh-CN"/>
              </w:rPr>
              <w:t>中标</w:t>
            </w:r>
            <w:r>
              <w:rPr>
                <w:rFonts w:hint="eastAsia" w:ascii="宋体" w:hAnsi="宋体" w:eastAsia="宋体" w:cs="宋体"/>
                <w:snapToGrid w:val="0"/>
                <w:color w:val="auto"/>
                <w:spacing w:val="0"/>
                <w:kern w:val="21"/>
                <w:sz w:val="21"/>
                <w:szCs w:val="21"/>
                <w:highlight w:val="none"/>
              </w:rPr>
              <w:t>通知书发出前，</w:t>
            </w:r>
            <w:r>
              <w:rPr>
                <w:rFonts w:hint="eastAsia" w:ascii="宋体" w:hAnsi="宋体" w:eastAsia="宋体" w:cs="宋体"/>
                <w:snapToGrid w:val="0"/>
                <w:color w:val="auto"/>
                <w:spacing w:val="0"/>
                <w:kern w:val="21"/>
                <w:sz w:val="21"/>
                <w:szCs w:val="21"/>
                <w:highlight w:val="none"/>
                <w:lang w:eastAsia="zh-CN"/>
              </w:rPr>
              <w:t>采购人</w:t>
            </w:r>
            <w:r>
              <w:rPr>
                <w:rFonts w:hint="eastAsia" w:ascii="宋体" w:hAnsi="宋体" w:eastAsia="宋体" w:cs="宋体"/>
                <w:snapToGrid w:val="0"/>
                <w:color w:val="auto"/>
                <w:spacing w:val="0"/>
                <w:kern w:val="21"/>
                <w:sz w:val="21"/>
                <w:szCs w:val="21"/>
                <w:highlight w:val="none"/>
              </w:rPr>
              <w:t>将成交候选人的情况在本招标项目招标公告发布的同一媒介、交易中心予以公示，接受社会监督</w:t>
            </w:r>
          </w:p>
        </w:tc>
      </w:tr>
      <w:tr w14:paraId="4569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57956A5">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40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61557B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付款方式</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C2FB58A">
            <w:pPr>
              <w:widowControl/>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cs="宋体"/>
                <w:snapToGrid w:val="0"/>
                <w:color w:val="auto"/>
                <w:spacing w:val="0"/>
                <w:kern w:val="21"/>
                <w:szCs w:val="21"/>
                <w:highlight w:val="none"/>
                <w:lang w:val="en-US" w:eastAsia="zh-CN"/>
              </w:rPr>
              <w:t>卢氏县养老服务中心</w:t>
            </w:r>
            <w:r>
              <w:rPr>
                <w:rFonts w:hint="default" w:ascii="宋体" w:hAnsi="宋体" w:eastAsia="宋体" w:cs="宋体"/>
                <w:snapToGrid w:val="0"/>
                <w:color w:val="auto"/>
                <w:spacing w:val="0"/>
                <w:kern w:val="21"/>
                <w:szCs w:val="21"/>
                <w:highlight w:val="none"/>
                <w:lang w:val="en-US" w:eastAsia="zh-CN"/>
              </w:rPr>
              <w:t>统一招标供应商提供的商品，各接收养老院应严格组织验收，验收时必须两人同时在场，并在供货清单上签字，确保产品质量、数量。各类食材应附商品合格证及供货清单（一式三份），食材单价以市场询价（如县域内各大型超市和农贸批发市场等）的同期、同品质、同品种的均价（非活动价格））为基准价</w:t>
            </w:r>
            <w:r>
              <w:rPr>
                <w:rFonts w:hint="eastAsia" w:ascii="宋体" w:hAnsi="宋体" w:cs="宋体"/>
                <w:snapToGrid w:val="0"/>
                <w:color w:val="auto"/>
                <w:spacing w:val="0"/>
                <w:kern w:val="21"/>
                <w:szCs w:val="21"/>
                <w:highlight w:val="none"/>
                <w:lang w:val="en-US" w:eastAsia="zh-CN"/>
              </w:rPr>
              <w:t>，</w:t>
            </w:r>
            <w:r>
              <w:rPr>
                <w:rFonts w:hint="default" w:ascii="宋体" w:hAnsi="宋体" w:eastAsia="宋体" w:cs="宋体"/>
                <w:snapToGrid w:val="0"/>
                <w:color w:val="auto"/>
                <w:spacing w:val="0"/>
                <w:kern w:val="21"/>
                <w:szCs w:val="21"/>
                <w:highlight w:val="none"/>
                <w:lang w:val="en-US" w:eastAsia="zh-CN"/>
              </w:rPr>
              <w:t>据实结算。货款每月由被服务养老院按照实际配送量，经各养老院营养改善管理员</w:t>
            </w:r>
            <w:r>
              <w:rPr>
                <w:rFonts w:hint="eastAsia" w:ascii="宋体" w:hAnsi="宋体" w:cs="宋体"/>
                <w:snapToGrid w:val="0"/>
                <w:color w:val="auto"/>
                <w:spacing w:val="0"/>
                <w:kern w:val="21"/>
                <w:szCs w:val="21"/>
                <w:highlight w:val="none"/>
                <w:lang w:val="en-US" w:eastAsia="zh-CN"/>
              </w:rPr>
              <w:t>及</w:t>
            </w:r>
            <w:r>
              <w:rPr>
                <w:rFonts w:hint="default" w:ascii="宋体" w:hAnsi="宋体" w:eastAsia="宋体" w:cs="宋体"/>
                <w:snapToGrid w:val="0"/>
                <w:color w:val="auto"/>
                <w:spacing w:val="0"/>
                <w:kern w:val="21"/>
                <w:szCs w:val="21"/>
                <w:highlight w:val="none"/>
                <w:lang w:val="en-US" w:eastAsia="zh-CN"/>
              </w:rPr>
              <w:t>领导签字汇总上报卢氏县养老服务中心审核、报账，审核无误后货款直接拨付供应商账户。</w:t>
            </w:r>
          </w:p>
        </w:tc>
      </w:tr>
      <w:tr w14:paraId="7440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EF26167">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41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FBA025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履约担保</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FA8E83B">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不收取</w:t>
            </w:r>
          </w:p>
        </w:tc>
      </w:tr>
      <w:tr w14:paraId="6FE4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0F8CD55">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rPr>
              <w:t>4</w:t>
            </w:r>
            <w:r>
              <w:rPr>
                <w:rFonts w:hint="eastAsia" w:ascii="宋体" w:hAnsi="宋体" w:eastAsia="宋体" w:cs="宋体"/>
                <w:snapToGrid w:val="0"/>
                <w:color w:val="auto"/>
                <w:spacing w:val="0"/>
                <w:kern w:val="21"/>
                <w:szCs w:val="21"/>
                <w:highlight w:val="none"/>
                <w:lang w:val="en-US"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9B43F85">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质量保证金</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812ABF4">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不收取</w:t>
            </w:r>
          </w:p>
        </w:tc>
      </w:tr>
      <w:tr w14:paraId="3D38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C2BA600">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rPr>
              <w:t>4</w:t>
            </w:r>
            <w:r>
              <w:rPr>
                <w:rFonts w:hint="eastAsia" w:ascii="宋体" w:hAnsi="宋体" w:eastAsia="宋体" w:cs="宋体"/>
                <w:snapToGrid w:val="0"/>
                <w:color w:val="auto"/>
                <w:spacing w:val="0"/>
                <w:kern w:val="21"/>
                <w:szCs w:val="21"/>
                <w:highlight w:val="none"/>
                <w:lang w:val="en-US" w:eastAsia="zh-CN"/>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62552A2">
            <w:pPr>
              <w:pStyle w:val="22"/>
              <w:spacing w:before="78" w:line="220" w:lineRule="auto"/>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color w:val="auto"/>
                <w:spacing w:val="0"/>
                <w:sz w:val="21"/>
                <w:szCs w:val="21"/>
                <w:highlight w:val="none"/>
              </w:rPr>
              <w:t>代理服务费</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578128D2">
            <w:pPr>
              <w:jc w:val="left"/>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eastAsia="zh-CN"/>
              </w:rPr>
              <w:t>根据《河南省招标代理服务收费标准》的通知-豫招协[2023]002号收费标准，</w:t>
            </w:r>
            <w:r>
              <w:rPr>
                <w:rFonts w:hint="eastAsia" w:ascii="宋体" w:hAnsi="宋体" w:cs="宋体"/>
                <w:snapToGrid w:val="0"/>
                <w:color w:val="auto"/>
                <w:spacing w:val="0"/>
                <w:kern w:val="21"/>
                <w:szCs w:val="21"/>
                <w:highlight w:val="none"/>
                <w:lang w:val="en-US" w:eastAsia="zh-CN"/>
              </w:rPr>
              <w:t>收取</w:t>
            </w:r>
            <w:r>
              <w:rPr>
                <w:rFonts w:hint="eastAsia" w:ascii="宋体" w:hAnsi="宋体" w:eastAsia="宋体" w:cs="宋体"/>
                <w:snapToGrid w:val="0"/>
                <w:color w:val="auto"/>
                <w:spacing w:val="0"/>
                <w:kern w:val="21"/>
                <w:szCs w:val="21"/>
                <w:highlight w:val="none"/>
                <w:lang w:eastAsia="zh-CN"/>
              </w:rPr>
              <w:t>招标代理服务费</w:t>
            </w:r>
            <w:r>
              <w:rPr>
                <w:rFonts w:hint="eastAsia" w:ascii="宋体" w:hAnsi="宋体" w:cs="宋体"/>
                <w:snapToGrid w:val="0"/>
                <w:color w:val="auto"/>
                <w:spacing w:val="0"/>
                <w:kern w:val="21"/>
                <w:szCs w:val="21"/>
                <w:highlight w:val="none"/>
                <w:lang w:eastAsia="zh-CN"/>
              </w:rPr>
              <w:t>（</w:t>
            </w:r>
            <w:r>
              <w:rPr>
                <w:rFonts w:hint="eastAsia" w:ascii="宋体" w:hAnsi="宋体" w:cs="宋体"/>
                <w:snapToGrid w:val="0"/>
                <w:color w:val="auto"/>
                <w:spacing w:val="0"/>
                <w:kern w:val="21"/>
                <w:szCs w:val="21"/>
                <w:highlight w:val="none"/>
                <w:lang w:val="en-US" w:eastAsia="zh-CN"/>
              </w:rPr>
              <w:t>本项目为服务类收费标准</w:t>
            </w:r>
            <w:r>
              <w:rPr>
                <w:rFonts w:hint="eastAsia" w:ascii="宋体" w:hAnsi="宋体" w:cs="宋体"/>
                <w:snapToGrid w:val="0"/>
                <w:color w:val="auto"/>
                <w:spacing w:val="0"/>
                <w:kern w:val="21"/>
                <w:szCs w:val="21"/>
                <w:highlight w:val="none"/>
                <w:lang w:eastAsia="zh-CN"/>
              </w:rPr>
              <w:t>）</w:t>
            </w:r>
            <w:r>
              <w:rPr>
                <w:rFonts w:hint="eastAsia" w:ascii="宋体" w:hAnsi="宋体" w:eastAsia="宋体" w:cs="宋体"/>
                <w:snapToGrid w:val="0"/>
                <w:color w:val="auto"/>
                <w:spacing w:val="0"/>
                <w:kern w:val="21"/>
                <w:szCs w:val="21"/>
                <w:highlight w:val="none"/>
                <w:lang w:eastAsia="zh-CN"/>
              </w:rPr>
              <w:t>。</w:t>
            </w:r>
          </w:p>
        </w:tc>
      </w:tr>
      <w:tr w14:paraId="66EF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7F15AA6">
            <w:pPr>
              <w:widowControl/>
              <w:jc w:val="center"/>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44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7298D70">
            <w:pPr>
              <w:pStyle w:val="22"/>
              <w:spacing w:before="78" w:line="220" w:lineRule="auto"/>
              <w:jc w:val="center"/>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采购标的所属行业</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1B32EEB">
            <w:pPr>
              <w:pStyle w:val="22"/>
              <w:spacing w:before="78" w:line="220" w:lineRule="auto"/>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w:t>
            </w:r>
            <w:r>
              <w:rPr>
                <w:rFonts w:hint="eastAsia" w:ascii="宋体" w:hAnsi="宋体" w:eastAsia="宋体" w:cs="宋体"/>
                <w:color w:val="auto"/>
                <w:spacing w:val="0"/>
                <w:sz w:val="21"/>
                <w:szCs w:val="21"/>
                <w:highlight w:val="none"/>
              </w:rPr>
              <w:t>采购标的所属行业：</w:t>
            </w:r>
            <w:r>
              <w:rPr>
                <w:rFonts w:hint="eastAsia" w:ascii="宋体" w:hAnsi="宋体" w:eastAsia="宋体" w:cs="宋体"/>
                <w:color w:val="auto"/>
                <w:spacing w:val="0"/>
                <w:sz w:val="21"/>
                <w:szCs w:val="21"/>
                <w:highlight w:val="none"/>
                <w:lang w:eastAsia="zh-CN"/>
              </w:rPr>
              <w:t>“</w:t>
            </w:r>
            <w:r>
              <w:rPr>
                <w:rFonts w:hint="eastAsia" w:cs="宋体"/>
                <w:color w:val="auto"/>
                <w:spacing w:val="0"/>
                <w:sz w:val="21"/>
                <w:szCs w:val="21"/>
                <w:highlight w:val="none"/>
                <w:lang w:val="en-US" w:eastAsia="zh-CN"/>
              </w:rPr>
              <w:t>批发业</w:t>
            </w:r>
            <w:r>
              <w:rPr>
                <w:rFonts w:hint="eastAsia" w:ascii="宋体" w:hAnsi="宋体" w:eastAsia="宋体" w:cs="宋体"/>
                <w:color w:val="auto"/>
                <w:spacing w:val="0"/>
                <w:sz w:val="21"/>
                <w:szCs w:val="21"/>
                <w:highlight w:val="none"/>
                <w:lang w:eastAsia="zh-CN"/>
              </w:rPr>
              <w:t>”</w:t>
            </w:r>
          </w:p>
          <w:p w14:paraId="1EC94F32">
            <w:pPr>
              <w:pStyle w:val="22"/>
              <w:spacing w:before="78" w:line="220" w:lineRule="auto"/>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划定标准为：《工业和信息化部、国家统计局、国家发展和改革委员会、财政部关于印发&lt;中小企业划型标准规定的通知&gt;（工信部联企业〔2011〕300号）规定的划分标准为依据。</w:t>
            </w:r>
          </w:p>
        </w:tc>
      </w:tr>
      <w:tr w14:paraId="6BF0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889" w:type="dxa"/>
            <w:gridSpan w:val="3"/>
            <w:tcBorders>
              <w:top w:val="single" w:color="auto" w:sz="4" w:space="0"/>
              <w:left w:val="single" w:color="auto" w:sz="4" w:space="0"/>
              <w:bottom w:val="single" w:color="auto" w:sz="4" w:space="0"/>
              <w:right w:val="single" w:color="auto" w:sz="4" w:space="0"/>
            </w:tcBorders>
            <w:noWrap w:val="0"/>
            <w:vAlign w:val="center"/>
          </w:tcPr>
          <w:p w14:paraId="099DB7E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b/>
                <w:bCs/>
                <w:snapToGrid w:val="0"/>
                <w:color w:val="auto"/>
                <w:spacing w:val="0"/>
                <w:kern w:val="21"/>
                <w:szCs w:val="21"/>
                <w:highlight w:val="none"/>
              </w:rPr>
              <w:t>需要补充的其他内容</w:t>
            </w:r>
          </w:p>
        </w:tc>
      </w:tr>
      <w:tr w14:paraId="749D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599F7FE">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B469F16">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是否实行计算机辅助评标</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83206DD">
            <w:p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w:t>
            </w:r>
          </w:p>
          <w:p w14:paraId="69E57EC3">
            <w:p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须独立制作、修改和上传</w:t>
            </w:r>
            <w:r>
              <w:rPr>
                <w:rFonts w:hint="eastAsia" w:ascii="宋体" w:hAnsi="宋体" w:eastAsia="宋体" w:cs="宋体"/>
                <w:snapToGrid w:val="0"/>
                <w:color w:val="auto"/>
                <w:spacing w:val="0"/>
                <w:kern w:val="21"/>
                <w:szCs w:val="21"/>
                <w:highlight w:val="none"/>
                <w:lang w:eastAsia="zh-CN"/>
              </w:rPr>
              <w:t>投标文件</w:t>
            </w:r>
            <w:r>
              <w:rPr>
                <w:rFonts w:hint="eastAsia" w:ascii="宋体" w:hAnsi="宋体" w:eastAsia="宋体" w:cs="宋体"/>
                <w:snapToGrid w:val="0"/>
                <w:color w:val="auto"/>
                <w:spacing w:val="0"/>
                <w:kern w:val="21"/>
                <w:szCs w:val="21"/>
                <w:highlight w:val="none"/>
              </w:rPr>
              <w:t>，若因“</w:t>
            </w:r>
            <w:r>
              <w:rPr>
                <w:rFonts w:hint="eastAsia" w:ascii="宋体" w:hAnsi="宋体" w:eastAsia="宋体" w:cs="宋体"/>
                <w:snapToGrid w:val="0"/>
                <w:color w:val="auto"/>
                <w:spacing w:val="0"/>
                <w:kern w:val="21"/>
                <w:szCs w:val="21"/>
                <w:highlight w:val="none"/>
                <w:lang w:eastAsia="zh-CN"/>
              </w:rPr>
              <w:t>投标文件</w:t>
            </w:r>
            <w:r>
              <w:rPr>
                <w:rFonts w:hint="eastAsia" w:ascii="宋体" w:hAnsi="宋体" w:eastAsia="宋体" w:cs="宋体"/>
                <w:snapToGrid w:val="0"/>
                <w:color w:val="auto"/>
                <w:spacing w:val="0"/>
                <w:kern w:val="21"/>
                <w:szCs w:val="21"/>
                <w:highlight w:val="none"/>
              </w:rPr>
              <w:t>制作机器码”与其他</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一致，机器码一致的所有</w:t>
            </w:r>
            <w:r>
              <w:rPr>
                <w:rFonts w:hint="eastAsia" w:ascii="宋体" w:hAnsi="宋体" w:eastAsia="宋体" w:cs="宋体"/>
                <w:snapToGrid w:val="0"/>
                <w:color w:val="auto"/>
                <w:spacing w:val="0"/>
                <w:kern w:val="21"/>
                <w:szCs w:val="21"/>
                <w:highlight w:val="none"/>
                <w:lang w:eastAsia="zh-CN"/>
              </w:rPr>
              <w:t>投标文件</w:t>
            </w:r>
            <w:r>
              <w:rPr>
                <w:rFonts w:hint="eastAsia" w:ascii="宋体" w:hAnsi="宋体" w:eastAsia="宋体" w:cs="宋体"/>
                <w:snapToGrid w:val="0"/>
                <w:color w:val="auto"/>
                <w:spacing w:val="0"/>
                <w:kern w:val="21"/>
                <w:szCs w:val="21"/>
                <w:highlight w:val="none"/>
              </w:rPr>
              <w:t>按无效文件处理，所造成的不良后果由</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自行承担。</w:t>
            </w:r>
          </w:p>
        </w:tc>
      </w:tr>
      <w:tr w14:paraId="5379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8AD203B">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3668B5C">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质疑</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E11B303">
            <w:pPr>
              <w:widowControl/>
              <w:numPr>
                <w:ilvl w:val="0"/>
                <w:numId w:val="2"/>
              </w:num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认为采购文件、采购过程、中标或者成交结果使自己的权益受到损害的，可以在知道或者应知其权益受到损害之日起7个工作日内，以书面形式向</w:t>
            </w:r>
            <w:r>
              <w:rPr>
                <w:rFonts w:hint="eastAsia" w:ascii="宋体" w:hAnsi="宋体" w:eastAsia="宋体" w:cs="宋体"/>
                <w:snapToGrid w:val="0"/>
                <w:color w:val="auto"/>
                <w:spacing w:val="0"/>
                <w:kern w:val="21"/>
                <w:szCs w:val="21"/>
                <w:highlight w:val="none"/>
                <w:lang w:eastAsia="zh-CN"/>
              </w:rPr>
              <w:t>采购人</w:t>
            </w:r>
            <w:r>
              <w:rPr>
                <w:rFonts w:hint="eastAsia" w:ascii="宋体" w:hAnsi="宋体" w:eastAsia="宋体" w:cs="宋体"/>
                <w:snapToGrid w:val="0"/>
                <w:color w:val="auto"/>
                <w:spacing w:val="0"/>
                <w:kern w:val="21"/>
                <w:szCs w:val="21"/>
                <w:highlight w:val="none"/>
              </w:rPr>
              <w:t>、</w:t>
            </w:r>
            <w:r>
              <w:rPr>
                <w:rFonts w:hint="eastAsia" w:ascii="宋体" w:hAnsi="宋体" w:eastAsia="宋体" w:cs="宋体"/>
                <w:snapToGrid w:val="0"/>
                <w:color w:val="auto"/>
                <w:spacing w:val="0"/>
                <w:kern w:val="21"/>
                <w:szCs w:val="21"/>
                <w:highlight w:val="none"/>
                <w:lang w:eastAsia="zh-CN"/>
              </w:rPr>
              <w:t>招标代理机构</w:t>
            </w:r>
            <w:r>
              <w:rPr>
                <w:rFonts w:hint="eastAsia" w:ascii="宋体" w:hAnsi="宋体" w:eastAsia="宋体" w:cs="宋体"/>
                <w:snapToGrid w:val="0"/>
                <w:color w:val="auto"/>
                <w:spacing w:val="0"/>
                <w:kern w:val="21"/>
                <w:szCs w:val="21"/>
                <w:highlight w:val="none"/>
              </w:rPr>
              <w:t>提出质疑。</w:t>
            </w:r>
          </w:p>
          <w:p w14:paraId="1C992FE2">
            <w:pPr>
              <w:widowControl/>
              <w:numPr>
                <w:ilvl w:val="0"/>
                <w:numId w:val="2"/>
              </w:num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要求</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在法定质疑期内一次性提出针对同一采购程序环节的质疑。</w:t>
            </w:r>
          </w:p>
          <w:p w14:paraId="1C0BB9EA">
            <w:pPr>
              <w:widowControl/>
              <w:numPr>
                <w:ilvl w:val="0"/>
                <w:numId w:val="3"/>
              </w:num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接收质疑函的方式：接收加盖单位公章的书面质疑函接收单位：详见公告联系人</w:t>
            </w:r>
          </w:p>
          <w:p w14:paraId="0B347F64">
            <w:pPr>
              <w:widowControl/>
              <w:numPr>
                <w:ilvl w:val="0"/>
                <w:numId w:val="3"/>
              </w:num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质疑函的内容、格式：应符合《中华人民共和国财政部令第94号—政府采购质疑和投诉办法》相关规定和财政部门制定的《政府采购质疑函范本》格式。</w:t>
            </w:r>
          </w:p>
          <w:p w14:paraId="0B582B9E">
            <w:pPr>
              <w:widowControl/>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三</w:t>
            </w:r>
            <w:r>
              <w:rPr>
                <w:rFonts w:hint="eastAsia" w:ascii="宋体" w:hAnsi="宋体" w:eastAsia="宋体" w:cs="宋体"/>
                <w:snapToGrid w:val="0"/>
                <w:color w:val="auto"/>
                <w:spacing w:val="0"/>
                <w:kern w:val="21"/>
                <w:szCs w:val="21"/>
                <w:highlight w:val="none"/>
              </w:rPr>
              <w:t>、</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应在法定质疑期内一次性针对同一采购程序环节提出质疑，否则针对再次提出质疑将不予接收。（采购程序环节分为：采购公告、</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、采购过程、成交结果）</w:t>
            </w:r>
          </w:p>
        </w:tc>
      </w:tr>
      <w:tr w14:paraId="5E16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A148310">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65A4C4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招标文件</w:t>
            </w:r>
            <w:r>
              <w:rPr>
                <w:rFonts w:hint="eastAsia" w:ascii="宋体" w:hAnsi="宋体" w:eastAsia="宋体" w:cs="宋体"/>
                <w:snapToGrid w:val="0"/>
                <w:color w:val="auto"/>
                <w:spacing w:val="0"/>
                <w:kern w:val="21"/>
                <w:szCs w:val="21"/>
                <w:highlight w:val="none"/>
              </w:rPr>
              <w:t>的解释</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3CA02CC">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在符合相关法律法规的前提下，</w:t>
            </w: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文件的解释权归</w:t>
            </w:r>
            <w:r>
              <w:rPr>
                <w:rFonts w:hint="eastAsia" w:ascii="宋体" w:hAnsi="宋体" w:eastAsia="宋体" w:cs="宋体"/>
                <w:snapToGrid w:val="0"/>
                <w:color w:val="auto"/>
                <w:spacing w:val="0"/>
                <w:kern w:val="21"/>
                <w:szCs w:val="21"/>
                <w:highlight w:val="none"/>
                <w:lang w:val="en-US" w:eastAsia="zh-CN"/>
              </w:rPr>
              <w:t>采购人</w:t>
            </w:r>
            <w:r>
              <w:rPr>
                <w:rFonts w:hint="eastAsia" w:ascii="宋体" w:hAnsi="宋体" w:eastAsia="宋体" w:cs="宋体"/>
                <w:snapToGrid w:val="0"/>
                <w:color w:val="auto"/>
                <w:spacing w:val="0"/>
                <w:kern w:val="21"/>
                <w:szCs w:val="21"/>
                <w:highlight w:val="none"/>
              </w:rPr>
              <w:t>所有。</w:t>
            </w:r>
          </w:p>
        </w:tc>
      </w:tr>
      <w:tr w14:paraId="5E3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AD961B5">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020520D">
            <w:pPr>
              <w:keepLines/>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相关费用</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07293AA">
            <w:pPr>
              <w:keepLines/>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招标文件</w:t>
            </w:r>
            <w:r>
              <w:rPr>
                <w:rFonts w:hint="eastAsia" w:ascii="宋体" w:hAnsi="宋体" w:eastAsia="宋体" w:cs="宋体"/>
                <w:snapToGrid w:val="0"/>
                <w:color w:val="auto"/>
                <w:spacing w:val="0"/>
                <w:kern w:val="21"/>
                <w:szCs w:val="21"/>
                <w:highlight w:val="none"/>
              </w:rPr>
              <w:t>费：本项目为全电子招标，不收取</w:t>
            </w:r>
            <w:r>
              <w:rPr>
                <w:rFonts w:hint="eastAsia" w:ascii="宋体" w:hAnsi="宋体" w:eastAsia="宋体" w:cs="宋体"/>
                <w:snapToGrid w:val="0"/>
                <w:color w:val="auto"/>
                <w:spacing w:val="0"/>
                <w:kern w:val="21"/>
                <w:szCs w:val="21"/>
                <w:highlight w:val="none"/>
                <w:lang w:val="en-US" w:eastAsia="zh-CN"/>
              </w:rPr>
              <w:t>招标文件</w:t>
            </w:r>
            <w:r>
              <w:rPr>
                <w:rFonts w:hint="eastAsia" w:ascii="宋体" w:hAnsi="宋体" w:eastAsia="宋体" w:cs="宋体"/>
                <w:snapToGrid w:val="0"/>
                <w:color w:val="auto"/>
                <w:spacing w:val="0"/>
                <w:kern w:val="21"/>
                <w:szCs w:val="21"/>
                <w:highlight w:val="none"/>
              </w:rPr>
              <w:t>文件费；</w:t>
            </w:r>
          </w:p>
        </w:tc>
      </w:tr>
      <w:tr w14:paraId="71AF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A14FA31">
            <w:pPr>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88D438E">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解释权</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F907187">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构成本</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的各个组成部分应互为解释，互为说明，如有不明确或不一致，构成合同文件组成内容，以合同文件约定内容为准，且以专用合同草案约定的合同文件优先顺序解释；除</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中有特别规定外，仅适用于招标投标阶段的规定，按招标公告（投标邀请书）、评标办法、投标文件格式的先后顺序解释；同一组成文件中就同一事项的规定或约定不一致的，以编排顺序在后者为准；同一组成文件不同版本之间有不一致的，已形成时间在后者为准。按本款前述规定仍不能形成结论的，由</w:t>
            </w:r>
            <w:r>
              <w:rPr>
                <w:rFonts w:hint="eastAsia" w:ascii="宋体" w:hAnsi="宋体" w:eastAsia="宋体" w:cs="宋体"/>
                <w:snapToGrid w:val="0"/>
                <w:color w:val="auto"/>
                <w:spacing w:val="0"/>
                <w:kern w:val="21"/>
                <w:szCs w:val="21"/>
                <w:highlight w:val="none"/>
                <w:lang w:eastAsia="zh-CN"/>
              </w:rPr>
              <w:t>采购人</w:t>
            </w:r>
            <w:r>
              <w:rPr>
                <w:rFonts w:hint="eastAsia" w:ascii="宋体" w:hAnsi="宋体" w:eastAsia="宋体" w:cs="宋体"/>
                <w:snapToGrid w:val="0"/>
                <w:color w:val="auto"/>
                <w:spacing w:val="0"/>
                <w:kern w:val="21"/>
                <w:szCs w:val="21"/>
                <w:highlight w:val="none"/>
              </w:rPr>
              <w:t>或委托代理机构负责解释。</w:t>
            </w:r>
          </w:p>
        </w:tc>
      </w:tr>
      <w:tr w14:paraId="43A7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8990057">
            <w:pPr>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27C90EA">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同义词语</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73864F6">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构成</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组成部分的“通用合同条款”、“专用合同条款”、“技术标准和要求”等章节中出现的措辞“发包人”和“承包人”，在招标投标阶段应当分别按“</w:t>
            </w:r>
            <w:r>
              <w:rPr>
                <w:rFonts w:hint="eastAsia" w:ascii="宋体" w:hAnsi="宋体" w:eastAsia="宋体" w:cs="宋体"/>
                <w:snapToGrid w:val="0"/>
                <w:color w:val="auto"/>
                <w:spacing w:val="0"/>
                <w:kern w:val="21"/>
                <w:szCs w:val="21"/>
                <w:highlight w:val="none"/>
                <w:lang w:eastAsia="zh-CN"/>
              </w:rPr>
              <w:t>采购人</w:t>
            </w:r>
            <w:r>
              <w:rPr>
                <w:rFonts w:hint="eastAsia" w:ascii="宋体" w:hAnsi="宋体" w:eastAsia="宋体" w:cs="宋体"/>
                <w:snapToGrid w:val="0"/>
                <w:color w:val="auto"/>
                <w:spacing w:val="0"/>
                <w:kern w:val="21"/>
                <w:szCs w:val="21"/>
                <w:highlight w:val="none"/>
              </w:rPr>
              <w:t>”和“投标人”进行理解。</w:t>
            </w:r>
          </w:p>
        </w:tc>
      </w:tr>
      <w:tr w14:paraId="2F60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B819AB8">
            <w:pPr>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EAFBF3E">
            <w:pPr>
              <w:pStyle w:val="22"/>
              <w:spacing w:before="78" w:line="221" w:lineRule="auto"/>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color w:val="auto"/>
                <w:spacing w:val="0"/>
                <w:sz w:val="21"/>
                <w:szCs w:val="21"/>
                <w:highlight w:val="none"/>
              </w:rPr>
              <w:t>重新招标的情形</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6BFA4221">
            <w:pPr>
              <w:jc w:val="lef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（1）投标截止时间止，</w:t>
            </w:r>
            <w:r>
              <w:rPr>
                <w:rFonts w:hint="eastAsia" w:ascii="宋体" w:hAnsi="宋体" w:eastAsia="宋体" w:cs="宋体"/>
                <w:snapToGrid w:val="0"/>
                <w:color w:val="auto"/>
                <w:spacing w:val="0"/>
                <w:kern w:val="21"/>
                <w:sz w:val="21"/>
                <w:szCs w:val="21"/>
                <w:highlight w:val="none"/>
                <w:lang w:eastAsia="zh-CN"/>
              </w:rPr>
              <w:t>投标人</w:t>
            </w:r>
            <w:r>
              <w:rPr>
                <w:rFonts w:hint="eastAsia" w:ascii="宋体" w:hAnsi="宋体" w:eastAsia="宋体" w:cs="宋体"/>
                <w:snapToGrid w:val="0"/>
                <w:color w:val="auto"/>
                <w:spacing w:val="0"/>
                <w:kern w:val="21"/>
                <w:sz w:val="21"/>
                <w:szCs w:val="21"/>
                <w:highlight w:val="none"/>
              </w:rPr>
              <w:t>少于 3 个的；</w:t>
            </w:r>
          </w:p>
          <w:p w14:paraId="4C9AB59D">
            <w:pPr>
              <w:jc w:val="lef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（2）经评标委员会评审后否决所有投标的。</w:t>
            </w:r>
          </w:p>
          <w:p w14:paraId="53DD957B">
            <w:pPr>
              <w:jc w:val="lef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lang w:eastAsia="zh-CN"/>
              </w:rPr>
              <w:t>采购人</w:t>
            </w:r>
            <w:r>
              <w:rPr>
                <w:rFonts w:hint="eastAsia" w:ascii="宋体" w:hAnsi="宋体" w:eastAsia="宋体" w:cs="宋体"/>
                <w:snapToGrid w:val="0"/>
                <w:color w:val="auto"/>
                <w:spacing w:val="0"/>
                <w:kern w:val="21"/>
                <w:sz w:val="21"/>
                <w:szCs w:val="21"/>
                <w:highlight w:val="none"/>
              </w:rPr>
              <w:t>应当依法重新招标。</w:t>
            </w:r>
          </w:p>
        </w:tc>
      </w:tr>
      <w:tr w14:paraId="7D3E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BE61FDE">
            <w:pPr>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A036D6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电子化交易</w:t>
            </w:r>
          </w:p>
          <w:p w14:paraId="1F60259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注意事项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11FB98A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具体要求：本项目为电子化、无纸化交易项目，投标文件是投标人、投标人通过中心投标文件制作系统制作，并经过签章和加密后生成的电子版投标文件。电子化投标文件具体制作文件请点击 http://t.cn/A6ZvtVob 进行下载。</w:t>
            </w:r>
          </w:p>
          <w:p w14:paraId="6E2C25C5">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温馨提示：本项目为电子化、无纸化交易项目，为保证您能投标成功，请需仔细阅读以下条款。</w:t>
            </w:r>
          </w:p>
          <w:p w14:paraId="1057721C">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一、电子化投标 </w:t>
            </w:r>
          </w:p>
          <w:p w14:paraId="1A08CA86">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（一）网上投标保证金的缴纳 </w:t>
            </w:r>
          </w:p>
          <w:p w14:paraId="0FE6EAE4">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1、缴纳方式详见：本项目投标保证金可使用电子保函缴纳，开具方式请登录“网站首页-电子保函平台”或者“登录系统首页右下角-三门峡金融服务平台”或者直接登陆：http://120.194.249.36:10094/smxbaohan/ 进行操作。</w:t>
            </w:r>
          </w:p>
          <w:p w14:paraId="5CEFB63F">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2、投标人在成功缴纳后，可以将银行回单制作在投标文件中， 作为缴纳保证金的依据。</w:t>
            </w:r>
          </w:p>
          <w:p w14:paraId="5B36727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3、投标人应仔细阅读操作手册并充分考虑异地跨行转账到账时间等因素，因投标人操作不当或银行到账时间等问题造成开标时间未到达指定账户影响投标的，由投标人自行承担后果。</w:t>
            </w:r>
          </w:p>
          <w:p w14:paraId="3F0B000B">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4、未中标投标人的投标保证金在项目结束后，将通过中心交易平台退还。</w:t>
            </w:r>
          </w:p>
          <w:p w14:paraId="044FC8EE">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（二）电子化投标文件的签章 </w:t>
            </w:r>
          </w:p>
          <w:p w14:paraId="20D245FB">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1、投标人在生成电子化投标文件后，应对电子化投标文件进行签章，未进行签章的视为无效投标。</w:t>
            </w:r>
          </w:p>
          <w:p w14:paraId="7DF82AD1">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招标文件中要求法定代表人或授权委托人签字或盖章的，投标人在进行电子化响应文件需签章，签章时以签盖法定代表人签章为准。电子化响应文件具体制作教材请投标人通过CA证书登录三门峡市公共资源电子化交易系统在右上角“组建下载”中查看。</w:t>
            </w:r>
          </w:p>
          <w:p w14:paraId="3E950FC2">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（三）电子化投标文件的格式及上传投标文件 </w:t>
            </w:r>
          </w:p>
          <w:p w14:paraId="02E7F5FC">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1、投标人所上传的电子化投标文件，应是通过中心投标文件制作系统制作的（投标文件制作工具下载地址：http://www.smxgzjy.org），经过签章和加密后生成的电子版投标文件。上传投标文件格式后缀为SMXTF。</w:t>
            </w:r>
          </w:p>
          <w:p w14:paraId="31786BC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注：投标人投报多个标段的，需要每个标段单独制作电子投标文件。</w:t>
            </w:r>
          </w:p>
          <w:p w14:paraId="44E254C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2、电子化投标文件应在投标截止时间前成功上传至三门峡市公共资源电子化交易系统。至投标截止时间止，仍未上传成功的电子化投标文件将不予接收。</w:t>
            </w:r>
          </w:p>
          <w:p w14:paraId="264BE766">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7AEF65AA">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技术联系电话：4009980000</w:t>
            </w:r>
          </w:p>
          <w:p w14:paraId="496F998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（四）电子化项目开标、解密、唱标、评标 </w:t>
            </w:r>
          </w:p>
          <w:p w14:paraId="36957A9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本项目采用电子化、无纸化进行招标，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w:t>
            </w:r>
          </w:p>
          <w:p w14:paraId="7E2E879C">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2、开标时，由投标人使用 CA 证书，在规定时间内对其电子化投标文件进行解密。每位投标人的解密时间为开标时间起30分钟内，如在规定时间内未完成解密的，其投标文件不予开标、唱标。</w:t>
            </w:r>
          </w:p>
          <w:p w14:paraId="578013E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3、电子化投标文件解密异常的处理 </w:t>
            </w:r>
          </w:p>
          <w:p w14:paraId="0F51D0F4">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如出现投标人的电子投标文件无法解密等异常情况，投标人应及时致电中介服务机构说明。投标文件异常，按以下步骤进行处理： </w:t>
            </w:r>
          </w:p>
          <w:p w14:paraId="2A7B9C5C">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（1）首先由技术人员进行问题排查</w:t>
            </w:r>
          </w:p>
          <w:p w14:paraId="44354621">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（2）经技术人员排查后，是投标人文件自身问题导致投标文件无法解密的，该投标文件将不予接收、解密和唱标。开标会议继续进行。</w:t>
            </w:r>
          </w:p>
          <w:p w14:paraId="0723EF9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 </w:t>
            </w:r>
          </w:p>
          <w:p w14:paraId="745F9096">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4、待所有投标人投标文件解密完成后，由中介服务机构操作，对所有已解密投标文件进行唱标。 </w:t>
            </w:r>
          </w:p>
          <w:p w14:paraId="27698767">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投标人应保证在开标期间电话、电脑、网络能够正常工作，投标人因停电、电脑病毒、网络堵塞等原因，未在规定的解密时间内对投标文件进行解密的，其投标文件不予接收、唱标。 </w:t>
            </w:r>
          </w:p>
          <w:p w14:paraId="57CD778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5、开标时投标人可登录到交易系统中在开标解密栏中点击报价一览表查看自己的投标报价。如对自己的唱标内容有异议的，应在投标人解密成功后10分钟内向中服务机构通过开标大厅对话框提出质疑。中介服务机构应在监督人员的监督下接受投标人的质疑通过开标大厅对话框进行答复并做好书面记录。投标人未在规定时间内提出质疑的，视为认可唱标内容。</w:t>
            </w:r>
          </w:p>
          <w:p w14:paraId="3A27B088">
            <w:pPr>
              <w:widowControl/>
              <w:jc w:val="left"/>
              <w:rPr>
                <w:rFonts w:hint="eastAsia" w:ascii="宋体" w:hAnsi="宋体" w:eastAsia="宋体" w:cs="宋体"/>
                <w:color w:val="auto"/>
                <w:spacing w:val="0"/>
                <w:highlight w:val="none"/>
                <w:lang w:val="en-US" w:eastAsia="zh-CN"/>
              </w:rPr>
            </w:pPr>
            <w:r>
              <w:rPr>
                <w:rFonts w:hint="eastAsia" w:ascii="宋体" w:hAnsi="宋体" w:eastAsia="宋体" w:cs="宋体"/>
                <w:color w:val="auto"/>
                <w:spacing w:val="0"/>
                <w:highlight w:val="none"/>
                <w:lang w:val="en-US" w:eastAsia="zh-CN"/>
              </w:rPr>
              <w:t>6、评标时，评标委员会对电子化投标文件有质疑的，将通过电子化交易系统向供应商发起质疑。供应商的回复文件必须以经过供应商和其法定代表人签章的PDF式文件为准，并通过电子化交易系统提交至评标委员会。</w:t>
            </w:r>
          </w:p>
          <w:p w14:paraId="07FBF452">
            <w:pPr>
              <w:widowControl/>
              <w:jc w:val="left"/>
              <w:rPr>
                <w:rFonts w:hint="eastAsia" w:ascii="宋体" w:hAnsi="宋体" w:eastAsia="宋体" w:cs="宋体"/>
                <w:color w:val="auto"/>
                <w:spacing w:val="0"/>
                <w:highlight w:val="none"/>
                <w:lang w:val="en-US" w:eastAsia="zh-CN"/>
              </w:rPr>
            </w:pPr>
            <w:r>
              <w:rPr>
                <w:rFonts w:hint="eastAsia" w:ascii="宋体" w:hAnsi="宋体" w:eastAsia="宋体" w:cs="宋体"/>
                <w:color w:val="auto"/>
                <w:spacing w:val="0"/>
                <w:highlight w:val="none"/>
                <w:lang w:val="en-US" w:eastAsia="zh-CN"/>
              </w:rPr>
              <w:t>7、如评标委员会对需要回复的供应商在规定时间内（30分钟内）通过电子化交易系统未收到回复的，视为投标人放弃回复，评标委员会将自行对需要回复的内容进行认定。</w:t>
            </w:r>
          </w:p>
          <w:p w14:paraId="13F4E64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二、 相关证书原件的提交</w:t>
            </w:r>
          </w:p>
          <w:p w14:paraId="5BE9464B">
            <w:pPr>
              <w:widowControl/>
              <w:jc w:val="left"/>
              <w:rPr>
                <w:rFonts w:hint="eastAsia" w:ascii="宋体" w:hAnsi="宋体" w:eastAsia="宋体" w:cs="宋体"/>
                <w:color w:val="auto"/>
                <w:spacing w:val="0"/>
                <w:highlight w:val="none"/>
                <w:lang w:eastAsia="zh-CN"/>
              </w:rPr>
            </w:pPr>
            <w:r>
              <w:rPr>
                <w:rFonts w:hint="eastAsia" w:ascii="宋体" w:hAnsi="宋体" w:cs="宋体"/>
                <w:color w:val="auto"/>
                <w:spacing w:val="0"/>
                <w:highlight w:val="none"/>
                <w:lang w:eastAsia="zh-CN"/>
              </w:rPr>
              <w:t>（</w:t>
            </w:r>
            <w:r>
              <w:rPr>
                <w:rFonts w:hint="eastAsia" w:ascii="宋体" w:hAnsi="宋体" w:cs="宋体"/>
                <w:color w:val="auto"/>
                <w:spacing w:val="0"/>
                <w:highlight w:val="none"/>
                <w:lang w:val="en-US" w:eastAsia="zh-CN"/>
              </w:rPr>
              <w:t>一</w:t>
            </w:r>
            <w:r>
              <w:rPr>
                <w:rFonts w:hint="eastAsia" w:ascii="宋体" w:hAnsi="宋体" w:cs="宋体"/>
                <w:color w:val="auto"/>
                <w:spacing w:val="0"/>
                <w:highlight w:val="none"/>
                <w:lang w:eastAsia="zh-CN"/>
              </w:rPr>
              <w:t>）</w:t>
            </w:r>
            <w:r>
              <w:rPr>
                <w:rFonts w:hint="eastAsia" w:ascii="宋体" w:hAnsi="宋体" w:eastAsia="宋体" w:cs="宋体"/>
                <w:color w:val="auto"/>
                <w:spacing w:val="0"/>
                <w:highlight w:val="none"/>
                <w:lang w:eastAsia="zh-CN"/>
              </w:rPr>
              <w:t>本项目实行资格后审，招标文件中要求投标人提交相关资料原件的，投标人需将原件扫描件制作到电子投标文件中，同时投标人要完善主体库，但不作为评标依据。评标委员会对原件的核验工作按以下条款进行：</w:t>
            </w:r>
          </w:p>
          <w:p w14:paraId="2BCF6082">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（三）</w:t>
            </w:r>
            <w:r>
              <w:rPr>
                <w:rFonts w:hint="eastAsia" w:ascii="宋体" w:hAnsi="宋体" w:eastAsia="宋体" w:cs="宋体"/>
                <w:color w:val="auto"/>
                <w:spacing w:val="0"/>
                <w:highlight w:val="none"/>
                <w:lang w:val="en-US" w:eastAsia="zh-CN"/>
              </w:rPr>
              <w:t>投标人应保证上传内容齐全，真实有效，原件扫描件清晰可辨。因投标人上传原因导致应得分项而未得分或资格审查不合格等情况的，由投标人自行承担责任</w:t>
            </w:r>
            <w:r>
              <w:rPr>
                <w:rFonts w:hint="eastAsia" w:ascii="宋体" w:hAnsi="宋体" w:eastAsia="宋体" w:cs="宋体"/>
                <w:color w:val="auto"/>
                <w:spacing w:val="0"/>
                <w:highlight w:val="none"/>
                <w:lang w:eastAsia="zh-CN"/>
              </w:rPr>
              <w:t>。</w:t>
            </w:r>
          </w:p>
          <w:p w14:paraId="703CEA8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提示：本项目为电子化、无纸化交易项目，开标时不再接受任何纸质资料，为保证您能投标成功，请需仔细阅读以上条款。</w:t>
            </w:r>
          </w:p>
        </w:tc>
      </w:tr>
      <w:bookmarkEnd w:id="6"/>
    </w:tbl>
    <w:p w14:paraId="44D37B31">
      <w:pPr>
        <w:jc w:val="center"/>
        <w:rPr>
          <w:rFonts w:hint="eastAsia" w:ascii="宋体" w:hAnsi="宋体" w:eastAsia="宋体" w:cs="宋体"/>
          <w:b/>
          <w:bCs/>
          <w:snapToGrid w:val="0"/>
          <w:color w:val="auto"/>
          <w:spacing w:val="0"/>
          <w:kern w:val="21"/>
          <w:sz w:val="32"/>
          <w:szCs w:val="32"/>
          <w:lang w:eastAsia="zh-CN"/>
        </w:rPr>
      </w:pPr>
      <w:bookmarkStart w:id="7" w:name="_Toc485222551"/>
      <w:bookmarkStart w:id="8" w:name="_Toc183264294"/>
      <w:bookmarkStart w:id="9" w:name="_Toc181180297"/>
      <w:r>
        <w:rPr>
          <w:rFonts w:hint="eastAsia" w:ascii="宋体" w:hAnsi="宋体" w:eastAsia="宋体" w:cs="宋体"/>
          <w:b/>
          <w:bCs/>
          <w:snapToGrid w:val="0"/>
          <w:color w:val="auto"/>
          <w:spacing w:val="0"/>
          <w:kern w:val="21"/>
          <w:sz w:val="32"/>
          <w:szCs w:val="32"/>
          <w:lang w:eastAsia="zh-CN"/>
        </w:rPr>
        <w:t>一、总则</w:t>
      </w:r>
    </w:p>
    <w:p w14:paraId="71095C4E">
      <w:pPr>
        <w:widowControl/>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1、项目概况</w:t>
      </w:r>
    </w:p>
    <w:p w14:paraId="236FE6BD">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根据《中华人民共和国政府采购法》、《中华人民共和国政府采购法实施条例》等有关法律、法规和规章的规定，本招标项目已具备招标条件，现对本项目进行招标。</w:t>
      </w:r>
    </w:p>
    <w:p w14:paraId="774E28B8">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1.1.1 本次项目</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w:t>
      </w:r>
    </w:p>
    <w:p w14:paraId="54A927C6">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1.1.2 本次代理机构：见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w:t>
      </w:r>
    </w:p>
    <w:p w14:paraId="5C0B3B28">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1.1.3 </w:t>
      </w:r>
      <w:r>
        <w:rPr>
          <w:rFonts w:hint="eastAsia" w:ascii="宋体" w:hAnsi="宋体" w:eastAsia="宋体" w:cs="宋体"/>
          <w:color w:val="auto"/>
          <w:sz w:val="24"/>
          <w:szCs w:val="24"/>
        </w:rPr>
        <w:t>本次项目名称：见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w:t>
      </w:r>
    </w:p>
    <w:p w14:paraId="1579C649">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2、投标费用</w:t>
      </w:r>
    </w:p>
    <w:p w14:paraId="17C8AEF1">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承担其投标文件编制与递交所涉及的一切费用。在任何情况下</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和</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对上述费用均不承担任何责任。</w:t>
      </w:r>
    </w:p>
    <w:p w14:paraId="2D00BC47">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3、定义及解释</w:t>
      </w:r>
    </w:p>
    <w:p w14:paraId="5D45A253">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3.1货物：系指投标人按招标文件规定而提供</w:t>
      </w:r>
      <w:r>
        <w:rPr>
          <w:rFonts w:hint="eastAsia" w:ascii="宋体" w:hAnsi="宋体" w:cs="宋体"/>
          <w:color w:val="auto"/>
          <w:sz w:val="24"/>
          <w:szCs w:val="24"/>
          <w:lang w:val="en-US" w:eastAsia="zh-CN"/>
        </w:rPr>
        <w:t>采购人需求的食材</w:t>
      </w:r>
      <w:r>
        <w:rPr>
          <w:rFonts w:hint="eastAsia" w:ascii="宋体" w:hAnsi="宋体" w:eastAsia="宋体" w:cs="宋体"/>
          <w:color w:val="auto"/>
          <w:sz w:val="24"/>
          <w:szCs w:val="24"/>
        </w:rPr>
        <w:t>。</w:t>
      </w:r>
    </w:p>
    <w:p w14:paraId="797CC0AF">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 服务：系指投标人按招标文件规定向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提供的一切工作内容。</w:t>
      </w:r>
    </w:p>
    <w:p w14:paraId="4108E2F6">
      <w:pPr>
        <w:widowControl/>
        <w:spacing w:line="360" w:lineRule="auto"/>
        <w:ind w:right="-48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 xml:space="preserve">3.3 </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：见</w:t>
      </w: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须知前附表。</w:t>
      </w:r>
    </w:p>
    <w:p w14:paraId="741AF4D7">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3.4</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：是指响应招标、参加投标竞争的法人。</w:t>
      </w:r>
    </w:p>
    <w:p w14:paraId="4BC8D3E0">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 xml:space="preserve">3.5 </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 xml:space="preserve">须知前附表。  </w:t>
      </w:r>
    </w:p>
    <w:p w14:paraId="354D61C2">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3.6</w:t>
      </w:r>
      <w:r>
        <w:rPr>
          <w:rFonts w:hint="eastAsia" w:ascii="宋体" w:hAnsi="宋体" w:eastAsia="宋体" w:cs="宋体"/>
          <w:color w:val="auto"/>
          <w:sz w:val="24"/>
          <w:szCs w:val="24"/>
        </w:rPr>
        <w:t xml:space="preserve"> 评标委员会：是指</w:t>
      </w:r>
      <w:r>
        <w:rPr>
          <w:rFonts w:hint="eastAsia" w:ascii="宋体" w:hAnsi="宋体" w:eastAsia="宋体" w:cs="宋体"/>
          <w:color w:val="auto"/>
          <w:sz w:val="24"/>
          <w:szCs w:val="24"/>
          <w:lang w:val="en-US" w:eastAsia="zh-CN"/>
        </w:rPr>
        <w:t>依法</w:t>
      </w:r>
      <w:r>
        <w:rPr>
          <w:rFonts w:hint="eastAsia" w:ascii="宋体" w:hAnsi="宋体" w:eastAsia="宋体" w:cs="宋体"/>
          <w:color w:val="auto"/>
          <w:sz w:val="24"/>
          <w:szCs w:val="24"/>
        </w:rPr>
        <w:t>规定组建的专门负责本次招标的评标工作的临时机构。</w:t>
      </w:r>
    </w:p>
    <w:p w14:paraId="5465D66A">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3.7 </w:t>
      </w:r>
      <w:r>
        <w:rPr>
          <w:rFonts w:hint="eastAsia" w:ascii="宋体" w:hAnsi="宋体" w:eastAsia="宋体" w:cs="宋体"/>
          <w:color w:val="auto"/>
          <w:sz w:val="24"/>
          <w:szCs w:val="24"/>
          <w:highlight w:val="none"/>
        </w:rPr>
        <w:t>日期：指公历日。</w:t>
      </w:r>
    </w:p>
    <w:p w14:paraId="265340A6">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4、合格的</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（详见</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须知前附表）</w:t>
      </w:r>
    </w:p>
    <w:p w14:paraId="466E14D4">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5、保证</w:t>
      </w:r>
    </w:p>
    <w:p w14:paraId="632395F1">
      <w:pPr>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应保证在投标文件中所提交的资料和数据是真实的。</w:t>
      </w:r>
    </w:p>
    <w:p w14:paraId="7E21CEAF">
      <w:pPr>
        <w:widowControl/>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二、招标文件</w:t>
      </w:r>
    </w:p>
    <w:p w14:paraId="442D168A">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6、招标文件的组成</w:t>
      </w:r>
    </w:p>
    <w:p w14:paraId="68F12944">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6.1 </w:t>
      </w:r>
      <w:r>
        <w:rPr>
          <w:rFonts w:hint="eastAsia" w:ascii="宋体" w:hAnsi="宋体" w:eastAsia="宋体" w:cs="宋体"/>
          <w:color w:val="auto"/>
          <w:sz w:val="24"/>
          <w:szCs w:val="24"/>
          <w:highlight w:val="none"/>
        </w:rPr>
        <w:t>招标文件包括下列内容及按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须知第22条款内容发出的答疑文件和第23条款内容发出的补充文件。</w:t>
      </w:r>
    </w:p>
    <w:p w14:paraId="1764A8D7">
      <w:pPr>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第一章 招标公告 </w:t>
      </w:r>
    </w:p>
    <w:p w14:paraId="4047B8AA">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第二章 </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w:t>
      </w:r>
    </w:p>
    <w:p w14:paraId="20DAFB68">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第三章 服务内容及要求</w:t>
      </w:r>
    </w:p>
    <w:p w14:paraId="51A2E939">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第四章 评标办法</w:t>
      </w:r>
    </w:p>
    <w:p w14:paraId="6CF9895C">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第五章 合同条款及格式</w:t>
      </w:r>
    </w:p>
    <w:p w14:paraId="4A027F84">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第六章 投标文件格式</w:t>
      </w:r>
    </w:p>
    <w:p w14:paraId="644A00BB">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rPr>
        <w:t>6.2</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应详细阅读招标文件中的所</w:t>
      </w:r>
      <w:r>
        <w:rPr>
          <w:rFonts w:hint="eastAsia" w:ascii="宋体" w:hAnsi="宋体" w:eastAsia="宋体" w:cs="宋体"/>
          <w:color w:val="auto"/>
          <w:sz w:val="24"/>
          <w:szCs w:val="24"/>
          <w:highlight w:val="none"/>
        </w:rPr>
        <w:t>有条款内容、格式、表格和所涉及的相关规范。如果</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不按招标文件的要求提交投标文件和资料的，或者投标文件没有对招标文件提出的实质性要求和条件作出响应，将导致投标文件不被接受，其后果由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自己负责。</w:t>
      </w:r>
    </w:p>
    <w:p w14:paraId="60189891">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7、招标文件的澄清</w:t>
      </w:r>
    </w:p>
    <w:p w14:paraId="50E85521">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7.1</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应仔细阅读和检查招标文件的全部内容。如发现缺页或附件不全，应及时向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提出，以便补齐。如有疑问，应在</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须知前附表规定的时间前要求</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对招标文件予以澄清。</w:t>
      </w:r>
    </w:p>
    <w:p w14:paraId="132CC577">
      <w:pPr>
        <w:shd w:val="clear" w:color="auto" w:fill="FFFFFF"/>
        <w:snapToGrid w:val="0"/>
        <w:spacing w:line="360" w:lineRule="auto"/>
        <w:ind w:right="105" w:rightChars="50" w:firstLine="472" w:firstLineChars="196"/>
        <w:rPr>
          <w:rFonts w:hint="eastAsia" w:ascii="宋体" w:hAnsi="宋体" w:eastAsia="宋体" w:cs="宋体"/>
          <w:color w:val="auto"/>
          <w:sz w:val="24"/>
          <w:szCs w:val="24"/>
        </w:rPr>
      </w:pPr>
      <w:r>
        <w:rPr>
          <w:rFonts w:hint="eastAsia" w:ascii="宋体" w:hAnsi="宋体" w:eastAsia="宋体" w:cs="宋体"/>
          <w:b/>
          <w:bCs/>
          <w:color w:val="auto"/>
          <w:sz w:val="24"/>
          <w:szCs w:val="24"/>
        </w:rPr>
        <w:t>7.2</w:t>
      </w:r>
      <w:r>
        <w:rPr>
          <w:rFonts w:hint="eastAsia" w:ascii="宋体" w:hAnsi="宋体" w:eastAsia="宋体" w:cs="宋体"/>
          <w:color w:val="auto"/>
          <w:sz w:val="24"/>
          <w:szCs w:val="24"/>
        </w:rPr>
        <w:t>招标文件的澄清将在</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须知前附表规定的时间前，将需澄清及答疑内容在三门峡市公共资源交易中心网以网上形式通知所有已购买招标文件的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。如果澄清发出的时间距投标截止时间不足15天，相应延长投标截止时间。</w:t>
      </w:r>
    </w:p>
    <w:p w14:paraId="5542CD7D">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8、招标文件的修改</w:t>
      </w:r>
    </w:p>
    <w:p w14:paraId="5DBA05A7">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8.1在投标截止时间15日前的任何时间，</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可以用补充文件的方式修正招标文件，该补充文件将成为招标文件的组成部分。</w:t>
      </w:r>
    </w:p>
    <w:p w14:paraId="4DA637EF">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8.2补充文件将以公告形式发布。</w:t>
      </w:r>
    </w:p>
    <w:p w14:paraId="6ACE0E71">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8.3为使</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有足够的时间按修正的招标文件准备电子化投标文件，</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可以酌情延长投标截止时间。</w:t>
      </w:r>
    </w:p>
    <w:p w14:paraId="0C81EFEA">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三、投标文件的编制</w:t>
      </w:r>
    </w:p>
    <w:p w14:paraId="27E896ED">
      <w:pPr>
        <w:widowControl/>
        <w:snapToGrid w:val="0"/>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9.1投标文件的组成</w:t>
      </w:r>
    </w:p>
    <w:p w14:paraId="6D679734">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详见招标文件第六章投标文件格式</w:t>
      </w:r>
    </w:p>
    <w:p w14:paraId="2630C06F">
      <w:pPr>
        <w:widowControl/>
        <w:snapToGrid w:val="0"/>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9.2投标文件编制要求</w:t>
      </w:r>
    </w:p>
    <w:p w14:paraId="2E1B40E9">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注：本项目为电子化、无纸化交易项目，投标文件是投标人、</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（以下简称“投标人”）通过中心投标文件制作系统制作，并经过电子签章和加密后生成的电子版投标文件。投标人投标时，将不再接受任何纸质文件资料。</w:t>
      </w:r>
    </w:p>
    <w:p w14:paraId="7078E4AE">
      <w:pPr>
        <w:widowControl/>
        <w:snapToGrid w:val="0"/>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9.3特别说明</w:t>
      </w:r>
    </w:p>
    <w:p w14:paraId="787E546D">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9.3.1投标语言</w:t>
      </w:r>
    </w:p>
    <w:p w14:paraId="5F09A88B">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提交的投标文件以及</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与</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就有关投标的所有往来函电均应使用中文。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提供的文件可以用英文，但相应内容应附有中文翻译本，在解释时以中文翻译本为准。</w:t>
      </w:r>
    </w:p>
    <w:p w14:paraId="00BD678A">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9.3.2计量</w:t>
      </w:r>
    </w:p>
    <w:p w14:paraId="1FDF85C2">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在投标文</w:t>
      </w:r>
      <w:r>
        <w:rPr>
          <w:rFonts w:hint="eastAsia" w:ascii="宋体" w:hAnsi="宋体" w:eastAsia="宋体" w:cs="宋体"/>
          <w:color w:val="auto"/>
          <w:sz w:val="24"/>
          <w:szCs w:val="24"/>
          <w:highlight w:val="none"/>
        </w:rPr>
        <w:t>件所有计量单位均采用中华人民共和国法定计量单位。</w:t>
      </w:r>
    </w:p>
    <w:p w14:paraId="2E4052AE">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在投标文件中所提交的所有资料和文件均应是真实的和有效的，如有作假，则将该</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的投标作无效标处理，若成交后被发现有上述行为的，则</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有权取消其成交资格，并且该</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应承担由此而造成的一切损失（包括经济损失</w:t>
      </w:r>
      <w:r>
        <w:rPr>
          <w:rFonts w:hint="eastAsia" w:ascii="宋体" w:hAnsi="宋体" w:eastAsia="宋体" w:cs="宋体"/>
          <w:color w:val="auto"/>
          <w:sz w:val="24"/>
          <w:szCs w:val="24"/>
        </w:rPr>
        <w:t>和法律责任）。</w:t>
      </w:r>
    </w:p>
    <w:p w14:paraId="182878C2">
      <w:pPr>
        <w:widowControl/>
        <w:snapToGrid w:val="0"/>
        <w:spacing w:line="360" w:lineRule="auto"/>
        <w:ind w:firstLine="482" w:firstLineChars="200"/>
        <w:jc w:val="left"/>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9.4投标服务的报价</w:t>
      </w:r>
    </w:p>
    <w:p w14:paraId="521281DA">
      <w:pPr>
        <w:widowControl/>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9.4.</w:t>
      </w:r>
      <w:r>
        <w:rPr>
          <w:rFonts w:hint="eastAsia" w:ascii="宋体" w:hAnsi="宋体" w:eastAsia="宋体" w:cs="宋体"/>
          <w:color w:val="auto"/>
          <w:sz w:val="24"/>
          <w:szCs w:val="24"/>
          <w:lang w:val="en-US" w:eastAsia="zh-CN"/>
        </w:rPr>
        <w:t>1、本项目投标供应商投标报价均按照招标控制价金额进行报价(投标报价不进行分值评审)。</w:t>
      </w:r>
    </w:p>
    <w:p w14:paraId="3EB11120">
      <w:pPr>
        <w:widowControl/>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9.4.</w:t>
      </w:r>
      <w:r>
        <w:rPr>
          <w:rFonts w:hint="eastAsia" w:ascii="宋体" w:hAnsi="宋体" w:eastAsia="宋体" w:cs="宋体"/>
          <w:color w:val="auto"/>
          <w:sz w:val="24"/>
          <w:szCs w:val="24"/>
          <w:lang w:val="en-US" w:eastAsia="zh-CN"/>
        </w:rPr>
        <w:t>2、供应商所报价格应包含为完成本项目所包含的食材购置费、运输费、保管费、配送费、人员工资、利润、税金等交付至各养老院餐厅前所发生的一切费用。</w:t>
      </w:r>
    </w:p>
    <w:p w14:paraId="7EC6040E">
      <w:pPr>
        <w:widowControl/>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9.4.</w:t>
      </w:r>
      <w:r>
        <w:rPr>
          <w:rFonts w:hint="eastAsia" w:ascii="宋体" w:hAnsi="宋体" w:eastAsia="宋体" w:cs="宋体"/>
          <w:color w:val="auto"/>
          <w:sz w:val="24"/>
          <w:szCs w:val="24"/>
          <w:lang w:val="en-US" w:eastAsia="zh-CN"/>
        </w:rPr>
        <w:t>3、供应商投标价格不等同于本项目结算价格。</w:t>
      </w:r>
    </w:p>
    <w:p w14:paraId="1EB91FDC">
      <w:pPr>
        <w:widowControl/>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9.4.</w:t>
      </w:r>
      <w:r>
        <w:rPr>
          <w:rFonts w:hint="eastAsia" w:ascii="宋体" w:hAnsi="宋体" w:eastAsia="宋体" w:cs="宋体"/>
          <w:color w:val="auto"/>
          <w:sz w:val="24"/>
          <w:szCs w:val="24"/>
          <w:lang w:val="en-US" w:eastAsia="zh-CN"/>
        </w:rPr>
        <w:t>4、结算价款以采购人和供应商双方约定的市场询价（如县域内各大型超市和农贸批发市场等）的同期、同品质、同品种的均价（非活动价格）为基准价进行结算，具体事项由采购人和供应商在签订合同时商定。</w:t>
      </w:r>
    </w:p>
    <w:p w14:paraId="70F010B4">
      <w:pPr>
        <w:widowControl/>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9.4.</w:t>
      </w:r>
      <w:r>
        <w:rPr>
          <w:rFonts w:hint="eastAsia" w:ascii="宋体" w:hAnsi="宋体" w:eastAsia="宋体" w:cs="宋体"/>
          <w:color w:val="auto"/>
          <w:sz w:val="24"/>
          <w:szCs w:val="24"/>
          <w:lang w:val="en-US" w:eastAsia="zh-CN"/>
        </w:rPr>
        <w:t>5、最终结算价款以供应数量为准进行结算。</w:t>
      </w:r>
    </w:p>
    <w:p w14:paraId="6A4D5C87">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9.4.</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该项目类别及取费标准按照国家相关规定执行。</w:t>
      </w:r>
    </w:p>
    <w:p w14:paraId="26428AB2">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9.4.</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全部报价均应以人民币为计量币种，并以人民币进行结算。</w:t>
      </w:r>
    </w:p>
    <w:p w14:paraId="003B2A18">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10投标保证金</w:t>
      </w:r>
    </w:p>
    <w:p w14:paraId="4D2F7586">
      <w:pPr>
        <w:spacing w:line="360" w:lineRule="auto"/>
        <w:ind w:firstLine="482" w:firstLineChars="200"/>
        <w:jc w:val="left"/>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10.1</w:t>
      </w:r>
      <w:r>
        <w:rPr>
          <w:rFonts w:hint="eastAsia" w:ascii="宋体" w:hAnsi="宋体" w:eastAsia="宋体" w:cs="宋体"/>
          <w:color w:val="auto"/>
          <w:sz w:val="24"/>
          <w:szCs w:val="24"/>
          <w:lang w:val="en-US" w:eastAsia="zh-CN"/>
        </w:rPr>
        <w:t>见投标人须知前附表</w:t>
      </w:r>
    </w:p>
    <w:p w14:paraId="6779A071">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11、投标有效期</w:t>
      </w:r>
    </w:p>
    <w:p w14:paraId="78D7E6BC">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11.1</w:t>
      </w:r>
      <w:r>
        <w:rPr>
          <w:rFonts w:hint="eastAsia" w:ascii="宋体" w:hAnsi="宋体" w:eastAsia="宋体" w:cs="宋体"/>
          <w:color w:val="auto"/>
          <w:sz w:val="24"/>
          <w:szCs w:val="24"/>
          <w:lang w:val="en-US" w:eastAsia="zh-CN"/>
        </w:rPr>
        <w:t>投标</w:t>
      </w:r>
      <w:r>
        <w:rPr>
          <w:rFonts w:hint="eastAsia" w:ascii="宋体" w:hAnsi="宋体" w:eastAsia="宋体" w:cs="宋体"/>
          <w:color w:val="auto"/>
          <w:sz w:val="24"/>
          <w:szCs w:val="24"/>
        </w:rPr>
        <w:t>文件递交截止之日起60日历天。</w:t>
      </w:r>
    </w:p>
    <w:p w14:paraId="3CC2014B">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11.2在特殊情况下，</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可征求</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同意延长投标有效期，这种要求和答复均应以信函、传真等形式提交。</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可以拒绝</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的这种要求。同意延长投标有效期的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不需要也不允许修改其投标文件。</w:t>
      </w:r>
    </w:p>
    <w:p w14:paraId="0DA26E3B">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12、投标文件的组成</w:t>
      </w:r>
    </w:p>
    <w:p w14:paraId="186F3B6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（1）投标函及投标函附录</w:t>
      </w:r>
    </w:p>
    <w:p w14:paraId="1B6BBF3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法定代表人身份证明书</w:t>
      </w:r>
    </w:p>
    <w:p w14:paraId="7D5554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授权委托书</w:t>
      </w:r>
    </w:p>
    <w:p w14:paraId="74E0594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技术标</w:t>
      </w:r>
    </w:p>
    <w:p w14:paraId="39B10B5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商务标</w:t>
      </w:r>
    </w:p>
    <w:p w14:paraId="1C8BEC23">
      <w:pPr>
        <w:widowControl/>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资格审查资料</w:t>
      </w:r>
    </w:p>
    <w:p w14:paraId="6F46E8BF">
      <w:pPr>
        <w:widowControl/>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7</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近年完成的类似项目情况表</w:t>
      </w:r>
    </w:p>
    <w:p w14:paraId="1D3F2423">
      <w:pPr>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8</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应附的其它资料</w:t>
      </w:r>
    </w:p>
    <w:p w14:paraId="2940ECB9">
      <w:pPr>
        <w:spacing w:line="360" w:lineRule="auto"/>
        <w:ind w:firstLine="482" w:firstLineChars="200"/>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13、投标文件的签署</w:t>
      </w:r>
    </w:p>
    <w:p w14:paraId="5D7A22F0">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13.1投标文件投标函应加盖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单位公章并经法定代表人签章。</w:t>
      </w:r>
    </w:p>
    <w:p w14:paraId="0FE29265">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14、投标文件格式</w:t>
      </w:r>
    </w:p>
    <w:p w14:paraId="228DE3A0">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投标文件应包括本须知第12条中规定的全部内容，</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提交的投标文件应当使用招标文件所提供的投标文件全部格式（表格可以按同样格式扩展）。</w:t>
      </w:r>
    </w:p>
    <w:p w14:paraId="0667F697">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四、电子化投标文件的递交</w:t>
      </w:r>
    </w:p>
    <w:p w14:paraId="35EEE213">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15、投标文件的递交</w:t>
      </w:r>
    </w:p>
    <w:p w14:paraId="2B5756A3">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15.1 在规定时间内，上传投标文件至三门峡市公共资源交易中心平台。</w:t>
      </w:r>
    </w:p>
    <w:p w14:paraId="5A8D223B">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 xml:space="preserve">16、投标截止时间 </w:t>
      </w:r>
    </w:p>
    <w:p w14:paraId="750D010A">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16.1.1</w:t>
      </w:r>
      <w:r>
        <w:rPr>
          <w:rFonts w:hint="eastAsia" w:ascii="宋体" w:hAnsi="宋体" w:eastAsia="宋体" w:cs="宋体"/>
          <w:color w:val="auto"/>
          <w:sz w:val="24"/>
          <w:szCs w:val="24"/>
        </w:rPr>
        <w:t>投标文件的截止时间见本须知前附表规定。</w:t>
      </w:r>
    </w:p>
    <w:p w14:paraId="1269C15F">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16.1.2</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可按本须知中规定以修改补充通知的方式，酌情延长递交投标文件的截止时间。在此情况下，</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的所有权利和义务以及</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受制约的截止时间，均以延长后新的投标截止时间为准。</w:t>
      </w:r>
    </w:p>
    <w:p w14:paraId="0098D10F">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16.1.3</w:t>
      </w:r>
      <w:r>
        <w:rPr>
          <w:rFonts w:hint="eastAsia" w:ascii="宋体" w:hAnsi="宋体" w:eastAsia="宋体" w:cs="宋体"/>
          <w:color w:val="auto"/>
          <w:sz w:val="24"/>
          <w:szCs w:val="24"/>
        </w:rPr>
        <w:t>到投标截止时间止，</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收到的投标文件少于3家的，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将依法重新组织招标。</w:t>
      </w:r>
    </w:p>
    <w:p w14:paraId="5F43BE25">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16.2</w:t>
      </w:r>
      <w:r>
        <w:rPr>
          <w:rFonts w:hint="eastAsia" w:ascii="宋体" w:hAnsi="宋体" w:eastAsia="宋体" w:cs="宋体"/>
          <w:color w:val="auto"/>
          <w:sz w:val="24"/>
          <w:szCs w:val="24"/>
        </w:rPr>
        <w:t>迟交的投标文件</w:t>
      </w:r>
    </w:p>
    <w:p w14:paraId="12CE1E76">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逾期上传并未签到的投标文件，</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不予受理。</w:t>
      </w:r>
    </w:p>
    <w:p w14:paraId="1A11CD3E">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16.3</w:t>
      </w:r>
      <w:r>
        <w:rPr>
          <w:rFonts w:hint="eastAsia" w:ascii="宋体" w:hAnsi="宋体" w:eastAsia="宋体" w:cs="宋体"/>
          <w:color w:val="auto"/>
          <w:sz w:val="24"/>
          <w:szCs w:val="24"/>
        </w:rPr>
        <w:t>投标文件的补充、修改与撤回</w:t>
      </w:r>
    </w:p>
    <w:p w14:paraId="3D4EC12B">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16.3.1</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在递交投标文件以后，在规定的投标截止时间之前，可以补充修改或撤回已递交的投标文件，并通知</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。补充、修改的内容为投标文件的组成部分。</w:t>
      </w:r>
    </w:p>
    <w:p w14:paraId="7214553C">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16.3.2</w:t>
      </w:r>
      <w:r>
        <w:rPr>
          <w:rFonts w:hint="eastAsia" w:ascii="宋体" w:hAnsi="宋体" w:eastAsia="宋体" w:cs="宋体"/>
          <w:color w:val="auto"/>
          <w:sz w:val="24"/>
          <w:szCs w:val="24"/>
        </w:rPr>
        <w:t>在投标截止时间之后，</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不得补充、修改投标文件。</w:t>
      </w:r>
    </w:p>
    <w:p w14:paraId="20CDD81D">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五、开标</w:t>
      </w:r>
    </w:p>
    <w:p w14:paraId="69DD1F3A">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17、开标</w:t>
      </w:r>
    </w:p>
    <w:p w14:paraId="0C58F220">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17.1</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按本须知前附表所规定的时间和地点公开开标，开标会议由</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主持，在有关部门监督下进行。</w:t>
      </w:r>
    </w:p>
    <w:p w14:paraId="7B0CAF5D">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17.2开标程序：</w:t>
      </w:r>
    </w:p>
    <w:p w14:paraId="2F6DF2A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本项目采用电子化、无纸化进行招标，开标当日，</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无需到开标现场参加开标会议，</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应当在投标截止时间前，登陆不见面开标大厅选择登陆三门峡市公共资源电子招投标系统进行登陆（网址为</w:t>
      </w:r>
      <w:r>
        <w:rPr>
          <w:rFonts w:hint="eastAsia" w:ascii="宋体" w:hAnsi="宋体" w:eastAsia="宋体" w:cs="宋体"/>
          <w:bCs/>
          <w:color w:val="auto"/>
          <w:sz w:val="24"/>
          <w:szCs w:val="24"/>
        </w:rPr>
        <w:t>http://120.194.249.36:10094/BidOpening/bidopeninghallaction/hall/login</w:t>
      </w:r>
      <w:r>
        <w:rPr>
          <w:rFonts w:hint="eastAsia" w:ascii="宋体" w:hAnsi="宋体" w:eastAsia="宋体" w:cs="宋体"/>
          <w:color w:val="auto"/>
          <w:sz w:val="24"/>
          <w:szCs w:val="24"/>
        </w:rPr>
        <w:t>）,在线准时参加开标活动并进行投标文件解密等。</w:t>
      </w:r>
    </w:p>
    <w:p w14:paraId="473E8FD9">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电子化投标文件采用一次加密方式。开标时，由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使用CA 证书，在规定时间内对其电子化投标文件进行解密。每位</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的解密时间为开标时间起30分钟内，如在规定时间内未完成解密的，其投标文件不予开标、唱标。每位</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的解密时间为开标时间起30分钟内完成。</w:t>
      </w:r>
    </w:p>
    <w:p w14:paraId="1679814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17.3电子化投标文件解密异常的处理</w:t>
      </w:r>
    </w:p>
    <w:p w14:paraId="70A13F2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如出现</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的电子投标文件无法解密等异常情况，</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应及时致电中介服务机构说明。投标文件异常，按以下步骤进行处理：</w:t>
      </w:r>
    </w:p>
    <w:p w14:paraId="52037935">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（1）首先由技术人员进行问题排查。</w:t>
      </w:r>
    </w:p>
    <w:p w14:paraId="15B085F2">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（2）经技术人员排查后，是</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文件自身问题导致投标文件无法解密的，该投标文件将不予接收、解密和唱标。开标会议继续进行。</w:t>
      </w:r>
    </w:p>
    <w:p w14:paraId="5D832896">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52A8D005">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17.4待所有</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投标文件解密完成后，由中介服务机构操作，对所有已解密投标文件进行唱标。</w:t>
      </w:r>
    </w:p>
    <w:p w14:paraId="7FD0AAA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应保证在开标期间电话、电脑、网络能够正常工作，</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因停电、电脑病毒、网络堵塞等原因，未在规定的解密时间内对投标文件进行解密的，其投标文件不予接收、唱标。</w:t>
      </w:r>
    </w:p>
    <w:p w14:paraId="7E7B306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17.5 开标时投标人可登录到交易系统中在开标解密栏中点击报价一览表查看自己的投标报价。如对自己的唱标内容有异议的，应在投标人解密成功后10分钟内向中服务机构通过开标大厅对话框提出质疑。中介服务机构做好书面记录。投标人未在规定时间内提出质疑的，视为认可唱标内容</w:t>
      </w:r>
      <w:r>
        <w:rPr>
          <w:rFonts w:hint="eastAsia" w:ascii="宋体" w:hAnsi="宋体" w:eastAsia="宋体" w:cs="宋体"/>
          <w:bCs/>
          <w:color w:val="auto"/>
          <w:sz w:val="24"/>
          <w:szCs w:val="24"/>
          <w:lang w:eastAsia="zh-CN"/>
        </w:rPr>
        <w:t>。</w:t>
      </w:r>
    </w:p>
    <w:p w14:paraId="34B6ACB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17.6投标文件的有效性</w:t>
      </w:r>
    </w:p>
    <w:p w14:paraId="1E753940">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17.6.1投标文件有下列情形之一的为无效投标文件，</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不予受理：</w:t>
      </w:r>
    </w:p>
    <w:p w14:paraId="3ADA532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逾期上传的或者未上传指定平台的；</w:t>
      </w:r>
    </w:p>
    <w:p w14:paraId="5EA433A1">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未按规定递交投标承诺函的。</w:t>
      </w:r>
    </w:p>
    <w:p w14:paraId="79D4CFA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17.6.2 </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将有效投标文件，送评标委员会进行评审、比较。</w:t>
      </w:r>
    </w:p>
    <w:p w14:paraId="411E14D9">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六、评标与定标</w:t>
      </w:r>
    </w:p>
    <w:p w14:paraId="1BB5C24F">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18.评标委员会</w:t>
      </w:r>
    </w:p>
    <w:p w14:paraId="2281BCDD">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18.1</w:t>
      </w:r>
      <w:r>
        <w:rPr>
          <w:rFonts w:hint="eastAsia" w:ascii="宋体" w:hAnsi="宋体" w:eastAsia="宋体" w:cs="宋体"/>
          <w:color w:val="auto"/>
          <w:sz w:val="24"/>
          <w:szCs w:val="24"/>
        </w:rPr>
        <w:t>评标由</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依法组建的评标委员会负责。评标委员会由</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熟悉相关业务的代表，以及有关方面的专家组成。评标委员会成员人数以及专家的确定方式见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w:t>
      </w:r>
    </w:p>
    <w:p w14:paraId="26F61AA8">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18.2</w:t>
      </w:r>
      <w:r>
        <w:rPr>
          <w:rFonts w:hint="eastAsia" w:ascii="宋体" w:hAnsi="宋体" w:eastAsia="宋体" w:cs="宋体"/>
          <w:color w:val="auto"/>
          <w:sz w:val="24"/>
          <w:szCs w:val="24"/>
        </w:rPr>
        <w:t>评标委员会成员有下列情形之一的，应当回避：</w:t>
      </w:r>
    </w:p>
    <w:p w14:paraId="7CDCEB51">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的主要负责人的近亲属；</w:t>
      </w:r>
    </w:p>
    <w:p w14:paraId="6E570670">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（2）项目主管部门或者行政监督部门的人员；</w:t>
      </w:r>
    </w:p>
    <w:p w14:paraId="714E7880">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（3）与</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有经济利益关系，可能影响对投标公正评审的；</w:t>
      </w:r>
    </w:p>
    <w:p w14:paraId="71475B57">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（4）曾因在招标、评标以及其他与招标投标有关活动中从事违法行为而受过行政处罚或刑事处罚的。</w:t>
      </w:r>
    </w:p>
    <w:p w14:paraId="10D92A36">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19.评标过程的保密</w:t>
      </w:r>
    </w:p>
    <w:p w14:paraId="7667E40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19.1开标后，直至授予中标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合同为止，凡属于对投标文件的审查、澄清、评价和比较有关的资料，中标候选人的推荐情况，及其他任何与评标有关的情况均应严格保密。</w:t>
      </w:r>
    </w:p>
    <w:p w14:paraId="06F91253">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19.2在投标文件的评审和比较、中标候选人推荐以及授予合同的过程中，</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和评标委员会施加影响的任何行为，都将会导致其投标被拒绝。</w:t>
      </w:r>
    </w:p>
    <w:p w14:paraId="6A538DF8">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19.3中标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确定后，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不对未中标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就评标过程以及未能成交原因作出任何解释。未中标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不得向评标委员会组成人员或其他有关人员索问评标过程的情况和材料。</w:t>
      </w:r>
    </w:p>
    <w:p w14:paraId="6A276D9B">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20. 评标原则</w:t>
      </w:r>
      <w:r>
        <w:rPr>
          <w:rFonts w:hint="eastAsia" w:ascii="宋体" w:hAnsi="宋体" w:eastAsia="宋体" w:cs="宋体"/>
          <w:b/>
          <w:bCs/>
          <w:color w:val="auto"/>
          <w:sz w:val="24"/>
          <w:szCs w:val="24"/>
        </w:rPr>
        <w:tab/>
      </w:r>
    </w:p>
    <w:p w14:paraId="6607CCD1">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评标活动遵循公平、公正、科学和择优的原则。</w:t>
      </w:r>
    </w:p>
    <w:p w14:paraId="01A859B0">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21、投标文件的澄清</w:t>
      </w:r>
    </w:p>
    <w:p w14:paraId="05C271C3">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为有助于投标文件的审查、评价和比较，评标委员会可以通知</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对投标文件含义不明确的内容作必要的澄清或说明，</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应进行澄清或说明，但不得超出投标文件的范围或改变投标文件的实质性内容。根据本须知规定，凡属于评标委员会在评标中发现的计算错误并进行核实的修改不在此列。</w:t>
      </w:r>
    </w:p>
    <w:p w14:paraId="3786408A">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22、投标文件的初步评审</w:t>
      </w:r>
    </w:p>
    <w:p w14:paraId="16896814">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rPr>
        <w:t>22.1评标委员会应当对符合资格的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的投标文件进行符合性审查，以确定其是否满足招标文件的实质</w:t>
      </w:r>
      <w:r>
        <w:rPr>
          <w:rFonts w:hint="eastAsia" w:ascii="宋体" w:hAnsi="宋体" w:eastAsia="宋体" w:cs="宋体"/>
          <w:color w:val="auto"/>
          <w:sz w:val="24"/>
          <w:szCs w:val="24"/>
          <w:highlight w:val="none"/>
        </w:rPr>
        <w:t>性要求。</w:t>
      </w:r>
    </w:p>
    <w:p w14:paraId="532434A3">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22.2投标价超出</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预算的投标将会被拒绝。</w:t>
      </w:r>
    </w:p>
    <w:p w14:paraId="44006F58">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22.3实质上没有响应招标文件要求的投标将被拒绝，</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不得通过修正或撤消不符之处而使其投标成为实质上响应投标。</w:t>
      </w:r>
    </w:p>
    <w:p w14:paraId="69E7F045">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22.4评标中有下列情形之一的，其投标将会被拒绝：</w:t>
      </w:r>
    </w:p>
    <w:p w14:paraId="409BC8D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 </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未按照招标文件的规定提交投标承诺函的；</w:t>
      </w:r>
    </w:p>
    <w:p w14:paraId="5EDF250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投标文件未按招标文件要求签署、盖章的；</w:t>
      </w:r>
    </w:p>
    <w:p w14:paraId="604E18CD">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 不具备招标文件中规定的资质要求的；</w:t>
      </w:r>
    </w:p>
    <w:p w14:paraId="07E88FF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 报价超过招标文件中规定的预算金额或者最高限价的；</w:t>
      </w:r>
    </w:p>
    <w:p w14:paraId="7F2997C6">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(5)投标文件含有</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不能接受的附加条件的；</w:t>
      </w:r>
    </w:p>
    <w:p w14:paraId="54071A62">
      <w:pPr>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(6)法律、法规和招标文件规定的其他无效情形。</w:t>
      </w:r>
    </w:p>
    <w:p w14:paraId="048F4B5F">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23、投标文件计算错误的修正</w:t>
      </w:r>
    </w:p>
    <w:p w14:paraId="40FF1B2E">
      <w:pPr>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highlight w:val="none"/>
        </w:rPr>
        <w:t>23.1</w:t>
      </w:r>
      <w:r>
        <w:rPr>
          <w:rFonts w:hint="eastAsia" w:ascii="宋体" w:hAnsi="宋体" w:eastAsia="宋体" w:cs="宋体"/>
          <w:color w:val="auto"/>
          <w:sz w:val="24"/>
          <w:szCs w:val="24"/>
          <w:highlight w:val="none"/>
        </w:rPr>
        <w:t>对于投标文件中含义不明确、同类问题表述不一致或者有明显文字和计算错误的内容，评</w:t>
      </w:r>
      <w:r>
        <w:rPr>
          <w:rFonts w:hint="eastAsia" w:ascii="宋体" w:hAnsi="宋体" w:eastAsia="宋体" w:cs="宋体"/>
          <w:color w:val="auto"/>
          <w:sz w:val="24"/>
          <w:szCs w:val="24"/>
        </w:rPr>
        <w:t>标委员会应当以书面形式要求</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作出必要的澄清、说明或者补正。投标文件报价出现前后不一致的按以下方法修正：</w:t>
      </w:r>
    </w:p>
    <w:p w14:paraId="005F400C">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23.1.1</w:t>
      </w:r>
      <w:r>
        <w:rPr>
          <w:rFonts w:hint="eastAsia" w:ascii="宋体" w:hAnsi="宋体" w:eastAsia="宋体" w:cs="宋体"/>
          <w:color w:val="auto"/>
          <w:kern w:val="2"/>
          <w:sz w:val="24"/>
          <w:szCs w:val="24"/>
        </w:rPr>
        <w:t>投标文件中投标函附表（报价表）内容与投标文件中相应内容不一致的，以投标函附表（报价表）为准；</w:t>
      </w:r>
    </w:p>
    <w:p w14:paraId="2ECF1DF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kern w:val="2"/>
          <w:sz w:val="24"/>
          <w:szCs w:val="24"/>
        </w:rPr>
        <w:t>23.1.2</w:t>
      </w:r>
      <w:r>
        <w:rPr>
          <w:rFonts w:hint="eastAsia" w:ascii="宋体" w:hAnsi="宋体" w:eastAsia="宋体" w:cs="宋体"/>
          <w:color w:val="auto"/>
          <w:sz w:val="24"/>
          <w:szCs w:val="24"/>
        </w:rPr>
        <w:t>大写金额和小写金额不一致的，以大写金额为准；</w:t>
      </w:r>
    </w:p>
    <w:p w14:paraId="3CD9E52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23.1.3单价金额小数点或者百分比有明显错位的，以开标一览表的总价为准，并修改单价；</w:t>
      </w:r>
    </w:p>
    <w:p w14:paraId="18EC7289">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23.1.4总价金额与按单价汇总金额不一致的，以单价金额计算结果为准。</w:t>
      </w:r>
    </w:p>
    <w:p w14:paraId="4C1912A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同时出现两种以上不一致的，按照顺序修正。</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不确认的，其投标无效。</w:t>
      </w:r>
    </w:p>
    <w:p w14:paraId="7E6D60A7">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 投标文件的评审、比较和否决</w:t>
      </w:r>
    </w:p>
    <w:p w14:paraId="2D84103E">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24.1</w:t>
      </w:r>
      <w:r>
        <w:rPr>
          <w:rFonts w:hint="eastAsia" w:ascii="宋体" w:hAnsi="宋体" w:eastAsia="宋体" w:cs="宋体"/>
          <w:color w:val="auto"/>
          <w:sz w:val="24"/>
          <w:szCs w:val="24"/>
        </w:rPr>
        <w:t>评标委员会将按照招标文件的规定，仅对在实质上响应招标文件要求的投标文件进行评估和比较。</w:t>
      </w:r>
    </w:p>
    <w:p w14:paraId="5A9F6405">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24.2</w:t>
      </w:r>
      <w:r>
        <w:rPr>
          <w:rFonts w:hint="eastAsia" w:ascii="宋体" w:hAnsi="宋体" w:eastAsia="宋体" w:cs="宋体"/>
          <w:color w:val="auto"/>
          <w:sz w:val="24"/>
          <w:szCs w:val="24"/>
        </w:rPr>
        <w:t>根据相关法律法规，结合本项目具体情况，制定本次招标评标办法。并按照“公平、公正、科学、择优”的原则进行评标。</w:t>
      </w:r>
    </w:p>
    <w:p w14:paraId="298A1A8D">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24.3</w:t>
      </w:r>
      <w:r>
        <w:rPr>
          <w:rFonts w:hint="eastAsia" w:ascii="宋体" w:hAnsi="宋体" w:eastAsia="宋体" w:cs="宋体"/>
          <w:color w:val="auto"/>
          <w:sz w:val="24"/>
          <w:szCs w:val="24"/>
        </w:rPr>
        <w:t>在评审过程中，评标委员会可以要求</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就投标文件中含义不明确的内容进行说明并提供相关材料。</w:t>
      </w:r>
    </w:p>
    <w:p w14:paraId="0C11EE1F">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24.4</w:t>
      </w:r>
      <w:r>
        <w:rPr>
          <w:rFonts w:hint="eastAsia" w:ascii="宋体" w:hAnsi="宋体" w:eastAsia="宋体" w:cs="宋体"/>
          <w:color w:val="auto"/>
          <w:sz w:val="24"/>
          <w:szCs w:val="24"/>
        </w:rPr>
        <w:t>评标时，投标报价是评标的重要依据，但不是唯一依据，</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不承诺将合同授予报价最低或最高的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w:t>
      </w:r>
    </w:p>
    <w:p w14:paraId="3213249D">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24.5</w:t>
      </w:r>
      <w:r>
        <w:rPr>
          <w:rFonts w:hint="eastAsia" w:ascii="宋体" w:hAnsi="宋体" w:eastAsia="宋体" w:cs="宋体"/>
          <w:color w:val="auto"/>
          <w:sz w:val="24"/>
          <w:szCs w:val="24"/>
        </w:rPr>
        <w:t>评标委员会依据本须知规定的评标标准和方法，对投标文件进行评审和比较，向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提出书面评标报告，并推荐合格的中标候选人。</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根据评标委员会提出的书面评标报告和推荐的中标候选人按序确定中标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w:t>
      </w:r>
    </w:p>
    <w:p w14:paraId="7A13ED71">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七、授予合同</w:t>
      </w:r>
    </w:p>
    <w:p w14:paraId="50060B9D">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25、合同授予标准</w:t>
      </w:r>
    </w:p>
    <w:p w14:paraId="373178A1">
      <w:pPr>
        <w:widowControl/>
        <w:spacing w:line="360" w:lineRule="auto"/>
        <w:ind w:firstLine="482" w:firstLineChars="200"/>
        <w:jc w:val="left"/>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25.1</w:t>
      </w:r>
      <w:r>
        <w:rPr>
          <w:rFonts w:hint="eastAsia" w:ascii="宋体" w:hAnsi="宋体" w:eastAsia="宋体" w:cs="宋体"/>
          <w:color w:val="auto"/>
          <w:sz w:val="24"/>
          <w:szCs w:val="24"/>
        </w:rPr>
        <w:t>本招标项目的合同将授予按本评标办法确定的中标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。确定中标供应商后，由采购人组织监督单位和相关人员对中标供应商固定合法的配送地点或经营场所及设备进行实地考察，对于不符合采购人要求的供应商，根据采购人要求</w:t>
      </w:r>
      <w:r>
        <w:rPr>
          <w:rFonts w:hint="eastAsia" w:ascii="宋体" w:hAnsi="宋体" w:eastAsia="宋体" w:cs="宋体"/>
          <w:color w:val="auto"/>
          <w:sz w:val="24"/>
          <w:szCs w:val="24"/>
          <w:lang w:val="en-US" w:eastAsia="zh-CN"/>
        </w:rPr>
        <w:t>时限内</w:t>
      </w:r>
      <w:r>
        <w:rPr>
          <w:rFonts w:hint="eastAsia" w:ascii="宋体" w:hAnsi="宋体" w:eastAsia="宋体" w:cs="宋体"/>
          <w:color w:val="auto"/>
          <w:sz w:val="24"/>
          <w:szCs w:val="24"/>
        </w:rPr>
        <w:t>进行整改，直到符合要求，再签订合同。</w:t>
      </w:r>
      <w:r>
        <w:rPr>
          <w:rFonts w:hint="eastAsia" w:ascii="宋体" w:hAnsi="宋体" w:eastAsia="宋体" w:cs="宋体"/>
          <w:color w:val="auto"/>
          <w:sz w:val="24"/>
          <w:szCs w:val="24"/>
          <w:lang w:val="en-US" w:eastAsia="zh-CN"/>
        </w:rPr>
        <w:t>拒绝整改的，采购人有权取消其中标资格。</w:t>
      </w:r>
    </w:p>
    <w:p w14:paraId="68D285E0">
      <w:pPr>
        <w:widowControl/>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25.2</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和其委托的</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，在项目评标结束</w:t>
      </w:r>
      <w:r>
        <w:rPr>
          <w:rFonts w:hint="eastAsia" w:ascii="宋体" w:hAnsi="宋体" w:eastAsia="宋体" w:cs="宋体"/>
          <w:color w:val="auto"/>
          <w:sz w:val="24"/>
          <w:szCs w:val="24"/>
          <w:lang w:val="en-US" w:eastAsia="zh-CN"/>
        </w:rPr>
        <w:t>后当日</w:t>
      </w:r>
      <w:r>
        <w:rPr>
          <w:rFonts w:hint="eastAsia" w:ascii="宋体" w:hAnsi="宋体" w:eastAsia="宋体" w:cs="宋体"/>
          <w:color w:val="auto"/>
          <w:sz w:val="24"/>
          <w:szCs w:val="24"/>
        </w:rPr>
        <w:t>完成评标报告的报送、中标成交</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的确定、中标公告的发布、中标成交通知书发出。</w:t>
      </w:r>
    </w:p>
    <w:p w14:paraId="5BAA7B66">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25.3</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确定排名第一的中标候选人为中标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。当确定中标的中标候选人放弃中标或因不可抗力提出不能履行合同的，采购人可以按照评审报告推荐的中标或者成交候选人名单排序，确定下一候选人为中标或者成交供应商，也可以重新开展政府采购活动。</w:t>
      </w:r>
    </w:p>
    <w:p w14:paraId="05987D42">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26、</w:t>
      </w:r>
      <w:r>
        <w:rPr>
          <w:rFonts w:hint="eastAsia" w:ascii="宋体" w:hAnsi="宋体" w:eastAsia="宋体" w:cs="宋体"/>
          <w:b/>
          <w:bCs/>
          <w:color w:val="auto"/>
          <w:sz w:val="24"/>
          <w:szCs w:val="24"/>
          <w:lang w:eastAsia="zh-CN"/>
        </w:rPr>
        <w:t>采购人</w:t>
      </w:r>
      <w:r>
        <w:rPr>
          <w:rFonts w:hint="eastAsia" w:ascii="宋体" w:hAnsi="宋体" w:eastAsia="宋体" w:cs="宋体"/>
          <w:b/>
          <w:bCs/>
          <w:color w:val="auto"/>
          <w:sz w:val="24"/>
          <w:szCs w:val="24"/>
        </w:rPr>
        <w:t>拒绝投标的权力</w:t>
      </w:r>
    </w:p>
    <w:p w14:paraId="505DDB66">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不承诺将合同授予报价最低的或最高的</w:t>
      </w:r>
      <w:r>
        <w:rPr>
          <w:rFonts w:hint="eastAsia" w:ascii="宋体" w:hAnsi="宋体" w:eastAsia="宋体" w:cs="宋体"/>
          <w:color w:val="auto"/>
          <w:sz w:val="24"/>
          <w:szCs w:val="24"/>
          <w:lang w:val="en-US" w:eastAsia="zh-CN"/>
        </w:rPr>
        <w:t>中标</w:t>
      </w:r>
      <w:r>
        <w:rPr>
          <w:rFonts w:hint="eastAsia" w:ascii="宋体" w:hAnsi="宋体" w:eastAsia="宋体" w:cs="宋体"/>
          <w:color w:val="auto"/>
          <w:sz w:val="24"/>
          <w:szCs w:val="24"/>
        </w:rPr>
        <w:t>（成交）候选人。</w:t>
      </w:r>
    </w:p>
    <w:p w14:paraId="17972017">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27、中标通知</w:t>
      </w:r>
    </w:p>
    <w:p w14:paraId="1EAA575E">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27.1</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确定后，在发布本项目招标公告的媒介上发布中标公告。</w:t>
      </w:r>
    </w:p>
    <w:p w14:paraId="47F1A3CE">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27.2</w:t>
      </w:r>
      <w:r>
        <w:rPr>
          <w:rFonts w:hint="eastAsia" w:ascii="宋体" w:hAnsi="宋体" w:eastAsia="宋体" w:cs="宋体"/>
          <w:color w:val="auto"/>
          <w:sz w:val="24"/>
          <w:szCs w:val="24"/>
        </w:rPr>
        <w:t>中标通知书是合同的组成部分。</w:t>
      </w:r>
    </w:p>
    <w:p w14:paraId="1E3B4527">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27.3</w:t>
      </w:r>
      <w:r>
        <w:rPr>
          <w:rFonts w:hint="eastAsia" w:ascii="宋体" w:hAnsi="宋体" w:eastAsia="宋体" w:cs="宋体"/>
          <w:color w:val="auto"/>
          <w:sz w:val="24"/>
          <w:szCs w:val="24"/>
        </w:rPr>
        <w:t>对未中标的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，不做任何未中标原因的解释。所有投标文件不予退还。</w:t>
      </w:r>
    </w:p>
    <w:p w14:paraId="548229A7">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28.合同协议书的签署</w:t>
      </w:r>
    </w:p>
    <w:p w14:paraId="28677FC9">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28.1</w:t>
      </w:r>
      <w:r>
        <w:rPr>
          <w:rFonts w:hint="eastAsia" w:ascii="宋体" w:hAnsi="宋体" w:eastAsia="宋体" w:cs="宋体"/>
          <w:color w:val="auto"/>
          <w:sz w:val="24"/>
          <w:szCs w:val="24"/>
        </w:rPr>
        <w:t>招标人与中标投标人将于中标通知书发出之日起1个工作日内签订合同，合同签订后2个工作日内在河南省政府采购网上发布公告并完成合同备案，按照招标文件及成交投标人的电子化投标文件订立书面采购合同，招标人和成交投标人不得再行订立背离合同实质性内容的其他协议。</w:t>
      </w:r>
    </w:p>
    <w:p w14:paraId="191E5F8E">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28.2</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如不按本投标须知的规定与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订立合同，则</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将废除授标，给</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造成损失的，向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缴纳经济补偿，同时依法承担相应法律责任。</w:t>
      </w:r>
    </w:p>
    <w:p w14:paraId="3CDFBFB2">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29. 履约保证金</w:t>
      </w:r>
    </w:p>
    <w:p w14:paraId="2262E598">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29.1.</w:t>
      </w:r>
      <w:r>
        <w:rPr>
          <w:rFonts w:hint="eastAsia" w:ascii="宋体" w:hAnsi="宋体" w:eastAsia="宋体" w:cs="宋体"/>
          <w:bCs/>
          <w:color w:val="auto"/>
          <w:sz w:val="24"/>
          <w:szCs w:val="24"/>
        </w:rPr>
        <w:t>本项目不再收取履约保证金</w:t>
      </w:r>
      <w:r>
        <w:rPr>
          <w:rFonts w:hint="eastAsia" w:ascii="宋体" w:hAnsi="宋体" w:eastAsia="宋体" w:cs="宋体"/>
          <w:color w:val="auto"/>
          <w:sz w:val="24"/>
          <w:szCs w:val="24"/>
        </w:rPr>
        <w:t>。</w:t>
      </w:r>
    </w:p>
    <w:p w14:paraId="364ACD93">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八</w:t>
      </w:r>
      <w:r>
        <w:rPr>
          <w:rFonts w:hint="eastAsia" w:ascii="宋体" w:hAnsi="宋体" w:eastAsia="宋体" w:cs="宋体"/>
          <w:b/>
          <w:bCs/>
          <w:color w:val="auto"/>
          <w:sz w:val="24"/>
          <w:szCs w:val="24"/>
        </w:rPr>
        <w:t>.纪律和监督</w:t>
      </w:r>
    </w:p>
    <w:p w14:paraId="1C70AB5E">
      <w:pPr>
        <w:widowControl/>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30.</w:t>
      </w:r>
      <w:r>
        <w:rPr>
          <w:rFonts w:hint="eastAsia" w:ascii="宋体" w:hAnsi="宋体" w:eastAsia="宋体" w:cs="宋体"/>
          <w:b/>
          <w:bCs/>
          <w:color w:val="auto"/>
          <w:sz w:val="24"/>
          <w:szCs w:val="24"/>
        </w:rPr>
        <w:t>对采购人的纪律要求</w:t>
      </w:r>
    </w:p>
    <w:p w14:paraId="2ACF28D1">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采购人不得泄露招标投标活动中应当保密的情况和资料，不得与供应商串通损害国家利益、社会公共利益或者他人合法权益。</w:t>
      </w:r>
    </w:p>
    <w:p w14:paraId="054977E3">
      <w:pPr>
        <w:widowControl/>
        <w:spacing w:line="360" w:lineRule="auto"/>
        <w:ind w:firstLine="482" w:firstLineChars="2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31.对供应商的纪律要求</w:t>
      </w:r>
    </w:p>
    <w:p w14:paraId="78CB3EA8">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（1）供应商不得相互串通投标或者与采购人串通投标，</w:t>
      </w:r>
    </w:p>
    <w:p w14:paraId="7937B9F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（2）不得向采购人或者评标委员会成员行贿谋取中标，</w:t>
      </w:r>
    </w:p>
    <w:p w14:paraId="285ACF6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（3）不得以他人名义投标或者以其他方式弄虚作假骗取中标，</w:t>
      </w:r>
    </w:p>
    <w:p w14:paraId="08FFA1E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（4）不得恶意低价抢标；</w:t>
      </w:r>
    </w:p>
    <w:p w14:paraId="23A93EC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（5）供应商不得以任何方式干扰、影响评标工作。</w:t>
      </w:r>
    </w:p>
    <w:p w14:paraId="33C1E0E1">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（6）不得向采购人提出不合理的要求作为签订合同的条件；</w:t>
      </w:r>
    </w:p>
    <w:p w14:paraId="470CFF2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（7）不得无正当理由放弃中标或中标后拒绝与采购人签订合同；</w:t>
      </w:r>
    </w:p>
    <w:p w14:paraId="22D3DC98">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（8）不得恶意诋毁其他供应商、采购人或采购代理机构；</w:t>
      </w:r>
    </w:p>
    <w:p w14:paraId="7302D0B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（9）在参与政府采购活动中，不得有其他违法违规行为。 </w:t>
      </w:r>
    </w:p>
    <w:p w14:paraId="12D836AE">
      <w:pPr>
        <w:widowControl/>
        <w:spacing w:line="360" w:lineRule="auto"/>
        <w:ind w:firstLine="482" w:firstLineChars="2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32.对评标委员会成员的纪律要求</w:t>
      </w:r>
    </w:p>
    <w:p w14:paraId="7DBC365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7D05322">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（1）确定参与评标至评标结束前，不得私自接触供应商；</w:t>
      </w:r>
    </w:p>
    <w:p w14:paraId="69B4F217">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（2）不得接受供应商提出的与投标文件不一致的澄清和说明；</w:t>
      </w:r>
    </w:p>
    <w:p w14:paraId="0FB5A613">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（3）不得征询采购人的倾向性意见；</w:t>
      </w:r>
    </w:p>
    <w:p w14:paraId="5B98674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（7）不得对主观评审因素协商评分；</w:t>
      </w:r>
    </w:p>
    <w:p w14:paraId="381E71A6">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（8）不得对客观评审因素评分不一致；</w:t>
      </w:r>
    </w:p>
    <w:p w14:paraId="273F196F">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（6）评标委员会成员不得接受供应商、采购人和采购代理机构等他人的贿赂或者其他不正当利益；</w:t>
      </w:r>
    </w:p>
    <w:p w14:paraId="5967F4B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（7）不得以不合理的条件对供应商实行差别待遇或者歧视待遇，排斥其他供应商公平参与竞争；</w:t>
      </w:r>
    </w:p>
    <w:p w14:paraId="7EBB060C">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（8）不得诱导、干预或影响其他评标专家依法依规独立评标；</w:t>
      </w:r>
    </w:p>
    <w:p w14:paraId="697AC4C3">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（9）在评标活动中，评标委员会成员不得擅离职守，影响评标工作正常进行；</w:t>
      </w:r>
    </w:p>
    <w:p w14:paraId="5C132F3D">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（10）不得记录、复制或带走任何评标资料；</w:t>
      </w:r>
    </w:p>
    <w:p w14:paraId="0B9B7E3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（11）不得泄露评标过程中获悉的对投标文件的评审和比较、中标候选人的推荐情况以及与评标有关的应当保密的情况和资料；</w:t>
      </w:r>
    </w:p>
    <w:p w14:paraId="187EEF7C">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（12）评标委员会成员与供应商存在利害关系应当回避；</w:t>
      </w:r>
    </w:p>
    <w:p w14:paraId="462CAB48">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（13）在参与政府采购评标活动中，不得有其他违法违规行为。 </w:t>
      </w:r>
    </w:p>
    <w:p w14:paraId="098F4929">
      <w:pPr>
        <w:widowControl/>
        <w:spacing w:line="360" w:lineRule="auto"/>
        <w:ind w:firstLine="482" w:firstLineChars="2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33.对与评标活动有关的工作人员的纪律要求</w:t>
      </w:r>
    </w:p>
    <w:p w14:paraId="7251404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与评标活动有关的工作人员不得收受他人的财物或者其他好处，不得向他人透露对投标文 件的评审和比较、中标候选人的推荐情况以及评标有关的其他情况。在评标活动中，与评标活动有关的工作人员不得擅离职守，影响评标程序正常进行,与供应商有利害关系的应当回避,在参与或服务政府采购活动中，不得有其他违法违规行为。</w:t>
      </w:r>
    </w:p>
    <w:p w14:paraId="3185D601">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九</w:t>
      </w:r>
      <w:r>
        <w:rPr>
          <w:rFonts w:hint="eastAsia" w:ascii="宋体" w:hAnsi="宋体" w:eastAsia="宋体" w:cs="宋体"/>
          <w:b/>
          <w:bCs/>
          <w:color w:val="auto"/>
          <w:sz w:val="24"/>
          <w:szCs w:val="24"/>
        </w:rPr>
        <w:t>. 重新招标</w:t>
      </w:r>
    </w:p>
    <w:p w14:paraId="400ECCEE">
      <w:pPr>
        <w:widowControl/>
        <w:spacing w:line="360" w:lineRule="auto"/>
        <w:ind w:firstLine="482" w:firstLineChars="2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34.重新招标</w:t>
      </w:r>
    </w:p>
    <w:p w14:paraId="1A66526C">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rPr>
        <w:t>出现下列情形之一的，将终止政府采购活动，发布项目终止公告并说明原因，重新开展采购</w:t>
      </w:r>
      <w:r>
        <w:rPr>
          <w:rFonts w:hint="eastAsia" w:ascii="宋体" w:hAnsi="宋体" w:eastAsia="宋体" w:cs="宋体"/>
          <w:b w:val="0"/>
          <w:bCs w:val="0"/>
          <w:color w:val="auto"/>
          <w:sz w:val="24"/>
          <w:szCs w:val="24"/>
          <w:highlight w:val="none"/>
        </w:rPr>
        <w:t>活动：</w:t>
      </w:r>
    </w:p>
    <w:p w14:paraId="28CEEBAC">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.1、不符合法律、法规和招标文件中规定的其他实质性要求的；</w:t>
      </w:r>
    </w:p>
    <w:p w14:paraId="1868910F">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.2、其他法律、法规及本招标文件规定的属响应无效的情形。终止采购活</w:t>
      </w:r>
      <w:r>
        <w:rPr>
          <w:rFonts w:hint="eastAsia" w:ascii="宋体" w:hAnsi="宋体" w:eastAsia="宋体" w:cs="宋体"/>
          <w:b w:val="0"/>
          <w:bCs w:val="0"/>
          <w:color w:val="auto"/>
          <w:sz w:val="24"/>
          <w:szCs w:val="24"/>
        </w:rPr>
        <w:t>动的条款；</w:t>
      </w:r>
    </w:p>
    <w:p w14:paraId="3E99F70E">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34</w:t>
      </w:r>
      <w:r>
        <w:rPr>
          <w:rFonts w:hint="eastAsia" w:ascii="宋体" w:hAnsi="宋体" w:eastAsia="宋体" w:cs="宋体"/>
          <w:b w:val="0"/>
          <w:bCs w:val="0"/>
          <w:color w:val="auto"/>
          <w:sz w:val="24"/>
          <w:szCs w:val="24"/>
        </w:rPr>
        <w:t>.3、因情况变化，不再符合规定的采购方式适用情形的；出现影响采购公正的违法、违规行为的；</w:t>
      </w:r>
    </w:p>
    <w:p w14:paraId="43104B19">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34</w:t>
      </w:r>
      <w:r>
        <w:rPr>
          <w:rFonts w:hint="eastAsia" w:ascii="宋体" w:hAnsi="宋体" w:eastAsia="宋体" w:cs="宋体"/>
          <w:b w:val="0"/>
          <w:bCs w:val="0"/>
          <w:color w:val="auto"/>
          <w:sz w:val="24"/>
          <w:szCs w:val="24"/>
        </w:rPr>
        <w:t>.4、投标截止时间结束后参加</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不足3家的，应重新组织采购，评审期间符合专业条件的</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或者对招标文件作出实质响应的</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不足3家的，应重新组织采购。</w:t>
      </w:r>
    </w:p>
    <w:p w14:paraId="057C0E1B">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w:t>
      </w:r>
      <w:r>
        <w:rPr>
          <w:rFonts w:hint="eastAsia" w:ascii="宋体" w:hAnsi="宋体" w:eastAsia="宋体" w:cs="宋体"/>
          <w:b/>
          <w:bCs/>
          <w:color w:val="auto"/>
          <w:sz w:val="24"/>
          <w:szCs w:val="24"/>
        </w:rPr>
        <w:t>、投诉</w:t>
      </w:r>
    </w:p>
    <w:p w14:paraId="791F9E6D">
      <w:pPr>
        <w:autoSpaceDE w:val="0"/>
        <w:autoSpaceDN w:val="0"/>
        <w:adjustRightInd w:val="0"/>
        <w:spacing w:before="32" w:line="360" w:lineRule="auto"/>
        <w:ind w:right="-57" w:firstLine="464" w:firstLineChars="200"/>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lang w:eastAsia="zh-CN"/>
        </w:rPr>
        <w:t>投标人</w:t>
      </w:r>
      <w:r>
        <w:rPr>
          <w:rFonts w:hint="eastAsia" w:ascii="宋体" w:hAnsi="宋体" w:eastAsia="宋体" w:cs="宋体"/>
          <w:color w:val="auto"/>
          <w:spacing w:val="-4"/>
          <w:sz w:val="24"/>
          <w:szCs w:val="24"/>
        </w:rPr>
        <w:t>和其他利害关系人认为本次招标违反法律、法规和规章规定的，有权向有关行政监督部门投诉。</w:t>
      </w:r>
    </w:p>
    <w:p w14:paraId="40DEA7F4">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一</w:t>
      </w:r>
      <w:r>
        <w:rPr>
          <w:rFonts w:hint="eastAsia" w:ascii="宋体" w:hAnsi="宋体" w:eastAsia="宋体" w:cs="宋体"/>
          <w:b/>
          <w:bCs/>
          <w:color w:val="auto"/>
          <w:sz w:val="24"/>
          <w:szCs w:val="24"/>
        </w:rPr>
        <w:t>、质疑程序及处理</w:t>
      </w:r>
    </w:p>
    <w:p w14:paraId="05F515CD">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.1若</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认为其投标未获公平评审或招标文件、采购过程和中标结果使自己的合法权益受到损害，可以在知道或者应知其权益受到损害之日起7个工作日内，将质疑书原件送达</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或</w:t>
      </w:r>
      <w:r>
        <w:rPr>
          <w:rFonts w:hint="eastAsia" w:ascii="宋体" w:hAnsi="宋体" w:eastAsia="宋体" w:cs="宋体"/>
          <w:b w:val="0"/>
          <w:bCs w:val="0"/>
          <w:color w:val="auto"/>
          <w:sz w:val="24"/>
          <w:szCs w:val="24"/>
          <w:lang w:eastAsia="zh-CN"/>
        </w:rPr>
        <w:t>招标代理机构</w:t>
      </w:r>
      <w:r>
        <w:rPr>
          <w:rFonts w:hint="eastAsia" w:ascii="宋体" w:hAnsi="宋体" w:eastAsia="宋体" w:cs="宋体"/>
          <w:b w:val="0"/>
          <w:bCs w:val="0"/>
          <w:color w:val="auto"/>
          <w:sz w:val="24"/>
          <w:szCs w:val="24"/>
        </w:rPr>
        <w:t>。提出质疑期限的计算，依照下列规定办理：</w:t>
      </w:r>
    </w:p>
    <w:p w14:paraId="3462031A">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（一）对可以质疑的招标文件提出质疑的，为收到招标文件之日或者招标文件公告期限届满之日；</w:t>
      </w:r>
    </w:p>
    <w:p w14:paraId="1216F9E9">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（二）对采购过程提出质疑的，为各采购程序环节结束之日；</w:t>
      </w:r>
    </w:p>
    <w:p w14:paraId="0C2333F8">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（三）对成交结果提出质疑的，为中标结果公告期限届满之日。</w:t>
      </w:r>
    </w:p>
    <w:p w14:paraId="7C2DD60C">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.2质疑书应当包括下列主要内容，并按照“谁主张、谁举证”的原则，附上相关证明材料。否则，</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不予受理：</w:t>
      </w:r>
    </w:p>
    <w:p w14:paraId="29FB13E3">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（四）提起质疑的日期</w:t>
      </w:r>
    </w:p>
    <w:p w14:paraId="663D125E">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质疑实行实名制并须在质疑书上署名。</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不得进行虚假、恶意质疑，不得以质疑为手段获取不当得利、实现非法目的。</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为自然人的，应当由本人签字；</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为法人的，应当由法定代表人签字或盖章并加盖公章；</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为其他组织的，应当由主要负责人签字或盖章并加盖公章。</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其他工作人员或代理人员在质疑书上的署名不具有法律效力。</w:t>
      </w:r>
    </w:p>
    <w:p w14:paraId="74483E60">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委托代理人办理质疑事宜，应当提交授权委托书，并载明委托代理的具体权限和事项。授权委托书应当由委托人签字并加盖单位公章。</w:t>
      </w:r>
    </w:p>
    <w:p w14:paraId="2B8D4FF8">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.5质疑书提交方式。</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或者其委托代理人应当当面提交质疑书及相关证明材料。</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以电子邮件、传真等其他方式提交质疑书及相关证明材料的，或者不是</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或者其委托代理人提交质疑书及相关证明材料的，</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或采购机构可以拒收。</w:t>
      </w:r>
    </w:p>
    <w:p w14:paraId="1AEE1DD0">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.6</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不得虚假质疑和恶意质疑，并对质疑内容的真实性承担责任。</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或者其他利害关系人通过捏造事实、伪造证明材料等方式提出异议或投诉，阻碍招标活动正常</w:t>
      </w:r>
      <w:r>
        <w:rPr>
          <w:rFonts w:hint="eastAsia" w:ascii="宋体" w:hAnsi="宋体" w:eastAsia="宋体" w:cs="宋体"/>
          <w:b w:val="0"/>
          <w:bCs w:val="0"/>
          <w:color w:val="auto"/>
          <w:sz w:val="24"/>
          <w:szCs w:val="24"/>
          <w:highlight w:val="none"/>
        </w:rPr>
        <w:t>进行的，属于严重不良行为，</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将提请财政部门将其列入不良行为记录名单，并依法予以处罚。</w:t>
      </w:r>
    </w:p>
    <w:p w14:paraId="013C6678">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.7</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将在收到符合上述条件的书面质疑后7个工作日内审查质疑事项，作出答复或相关处理决定，并以书面形式通知质疑</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和其他有关</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，但答复的内容不涉及商业秘密。若质疑涉及招标制度或程序，将被转交政府采购的管理部门审查。</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遵循“谁过错谁负担”的原则，有过错的一方承担调查论证费用。</w:t>
      </w:r>
    </w:p>
    <w:p w14:paraId="0E5A6BC4">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.8质疑</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对</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的答复不满意以及</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未在规定的时间内做出答复的，可以在答复期满后15个工作日内向</w:t>
      </w:r>
      <w:r>
        <w:rPr>
          <w:rFonts w:hint="eastAsia" w:ascii="宋体" w:hAnsi="宋体" w:eastAsia="宋体" w:cs="宋体"/>
          <w:b w:val="0"/>
          <w:bCs w:val="0"/>
          <w:color w:val="auto"/>
          <w:sz w:val="24"/>
          <w:szCs w:val="24"/>
          <w:highlight w:val="none"/>
          <w:lang w:val="en-US" w:eastAsia="zh-CN"/>
        </w:rPr>
        <w:t>相关</w:t>
      </w:r>
      <w:r>
        <w:rPr>
          <w:rFonts w:hint="eastAsia" w:ascii="宋体" w:hAnsi="宋体" w:eastAsia="宋体" w:cs="宋体"/>
          <w:b w:val="0"/>
          <w:bCs w:val="0"/>
          <w:color w:val="auto"/>
          <w:sz w:val="24"/>
          <w:szCs w:val="24"/>
          <w:highlight w:val="none"/>
        </w:rPr>
        <w:t>部门投诉。</w:t>
      </w:r>
    </w:p>
    <w:p w14:paraId="10E72E0A">
      <w:pPr>
        <w:widowControl/>
        <w:spacing w:line="360" w:lineRule="auto"/>
        <w:jc w:val="center"/>
        <w:rPr>
          <w:rFonts w:hint="eastAsia" w:ascii="宋体" w:hAnsi="宋体" w:eastAsia="宋体" w:cs="宋体"/>
          <w:b/>
          <w:bCs/>
          <w:color w:val="auto"/>
          <w:sz w:val="24"/>
          <w:szCs w:val="24"/>
          <w:highlight w:val="none"/>
          <w:lang w:val="en-US" w:eastAsia="zh-CN"/>
        </w:rPr>
      </w:pPr>
      <w:bookmarkStart w:id="10" w:name="_Toc15562"/>
      <w:r>
        <w:rPr>
          <w:rFonts w:hint="eastAsia" w:ascii="宋体" w:hAnsi="宋体" w:eastAsia="宋体" w:cs="宋体"/>
          <w:b/>
          <w:bCs/>
          <w:color w:val="auto"/>
          <w:sz w:val="24"/>
          <w:szCs w:val="24"/>
          <w:highlight w:val="none"/>
          <w:lang w:val="en-US" w:eastAsia="zh-CN"/>
        </w:rPr>
        <w:t>十一、招标代理费收取</w:t>
      </w:r>
      <w:bookmarkEnd w:id="10"/>
    </w:p>
    <w:p w14:paraId="3903E69A">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36.招标代理服务收费参照豫招协[2023]002号河南省招标投标协会关于印发《河南省招标代理服务收费指导意见》规定的收费标准收取中标服务费。</w:t>
      </w:r>
    </w:p>
    <w:p w14:paraId="13A1915A">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河南省招标代理服务费计算标准</w:t>
      </w:r>
    </w:p>
    <w:tbl>
      <w:tblPr>
        <w:tblStyle w:val="17"/>
        <w:tblpPr w:leftFromText="180" w:rightFromText="180" w:vertAnchor="text" w:horzAnchor="page" w:tblpX="1862" w:tblpY="481"/>
        <w:tblOverlap w:val="never"/>
        <w:tblW w:w="8339" w:type="dxa"/>
        <w:tblInd w:w="0" w:type="dxa"/>
        <w:tblLayout w:type="fixed"/>
        <w:tblCellMar>
          <w:top w:w="0" w:type="dxa"/>
          <w:left w:w="15" w:type="dxa"/>
          <w:bottom w:w="0" w:type="dxa"/>
          <w:right w:w="15" w:type="dxa"/>
        </w:tblCellMar>
      </w:tblPr>
      <w:tblGrid>
        <w:gridCol w:w="3553"/>
        <w:gridCol w:w="1642"/>
        <w:gridCol w:w="1433"/>
        <w:gridCol w:w="1711"/>
      </w:tblGrid>
      <w:tr w14:paraId="5604A1C3">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691344AA">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22E187A4">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D8378FB">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F5BFF52">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服务</w:t>
            </w:r>
          </w:p>
        </w:tc>
      </w:tr>
      <w:tr w14:paraId="50F48C4A">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7F93975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0814554">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C0291E9">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8FCC8FF">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1.70%</w:t>
            </w:r>
          </w:p>
        </w:tc>
      </w:tr>
      <w:tr w14:paraId="1B39C113">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6B9366EB">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4C3E400">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A1E08E1">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27B9B06">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1.20%</w:t>
            </w:r>
          </w:p>
        </w:tc>
      </w:tr>
      <w:tr w14:paraId="2347FEEA">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449C0EC8">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A8AE480">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0331E66">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5071F6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0.70%</w:t>
            </w:r>
          </w:p>
        </w:tc>
      </w:tr>
      <w:tr w14:paraId="718EBC37">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2B55C9D2">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1F975B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C9DE8E8">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3DF8AC5">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0.40%</w:t>
            </w:r>
          </w:p>
        </w:tc>
      </w:tr>
      <w:tr w14:paraId="68614AE2">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5B2E9F3A">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591501F">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3F0DFE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656EA9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0.25%</w:t>
            </w:r>
          </w:p>
        </w:tc>
      </w:tr>
      <w:tr w14:paraId="1F30D32E">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32539995">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77BAE4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C6A48D6">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D8CF689">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0.10%</w:t>
            </w:r>
          </w:p>
        </w:tc>
      </w:tr>
      <w:tr w14:paraId="1DA31713">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right w:val="single" w:color="000000" w:sz="4" w:space="0"/>
            </w:tcBorders>
            <w:noWrap w:val="0"/>
            <w:vAlign w:val="center"/>
          </w:tcPr>
          <w:p w14:paraId="4DBA8882">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43130D3F">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0.045%</w:t>
            </w:r>
          </w:p>
        </w:tc>
        <w:tc>
          <w:tcPr>
            <w:tcW w:w="1433" w:type="dxa"/>
            <w:tcBorders>
              <w:top w:val="single" w:color="000000" w:sz="4" w:space="0"/>
              <w:left w:val="single" w:color="000000" w:sz="4" w:space="0"/>
              <w:right w:val="single" w:color="000000" w:sz="4" w:space="0"/>
            </w:tcBorders>
            <w:noWrap w:val="0"/>
            <w:vAlign w:val="center"/>
          </w:tcPr>
          <w:p w14:paraId="308631F1">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0.045%</w:t>
            </w:r>
          </w:p>
        </w:tc>
        <w:tc>
          <w:tcPr>
            <w:tcW w:w="1711" w:type="dxa"/>
            <w:tcBorders>
              <w:top w:val="single" w:color="000000" w:sz="4" w:space="0"/>
              <w:left w:val="single" w:color="000000" w:sz="4" w:space="0"/>
              <w:right w:val="single" w:color="000000" w:sz="4" w:space="0"/>
            </w:tcBorders>
            <w:noWrap w:val="0"/>
            <w:vAlign w:val="center"/>
          </w:tcPr>
          <w:p w14:paraId="23B87FB9">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0.045%</w:t>
            </w:r>
          </w:p>
        </w:tc>
      </w:tr>
      <w:tr w14:paraId="543A0390">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7595AC1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793067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1DA274B">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D151A32">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0.010%</w:t>
            </w:r>
          </w:p>
        </w:tc>
      </w:tr>
      <w:tr w14:paraId="26DB92B6">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4D307AAA">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50亿--100亿元（含</w:t>
            </w:r>
            <w:r>
              <w:rPr>
                <w:rFonts w:hint="eastAsia" w:ascii="宋体" w:hAnsi="宋体" w:eastAsia="宋体" w:cs="宋体"/>
                <w:color w:val="auto"/>
                <w:kern w:val="0"/>
                <w:sz w:val="22"/>
                <w:szCs w:val="16"/>
                <w:lang w:bidi="zh-CN"/>
              </w:rPr>
              <w:t>100</w:t>
            </w:r>
            <w:r>
              <w:rPr>
                <w:rFonts w:ascii="宋体" w:hAnsi="宋体" w:eastAsia="宋体" w:cs="宋体"/>
                <w:color w:val="auto"/>
                <w:kern w:val="0"/>
                <w:sz w:val="22"/>
                <w:szCs w:val="16"/>
                <w:lang w:val="zh-CN" w:bidi="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C10426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0DE30E">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76C34F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0.008%</w:t>
            </w:r>
          </w:p>
        </w:tc>
      </w:tr>
      <w:tr w14:paraId="0B263BA6">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635A43C7">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FFDF88A">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C943745">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075A5D1">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0.004%</w:t>
            </w:r>
          </w:p>
        </w:tc>
      </w:tr>
      <w:tr w14:paraId="430C9922">
        <w:tblPrEx>
          <w:tblCellMar>
            <w:top w:w="0" w:type="dxa"/>
            <w:left w:w="15" w:type="dxa"/>
            <w:bottom w:w="0" w:type="dxa"/>
            <w:right w:w="15" w:type="dxa"/>
          </w:tblCellMar>
        </w:tblPrEx>
        <w:trPr>
          <w:trHeight w:val="621" w:hRule="atLeast"/>
        </w:trPr>
        <w:tc>
          <w:tcPr>
            <w:tcW w:w="8339" w:type="dxa"/>
            <w:gridSpan w:val="4"/>
            <w:noWrap w:val="0"/>
            <w:vAlign w:val="center"/>
          </w:tcPr>
          <w:p w14:paraId="3DFE9D9F">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注：1</w:t>
            </w:r>
            <w:r>
              <w:rPr>
                <w:rFonts w:hint="eastAsia" w:ascii="宋体" w:hAnsi="宋体" w:eastAsia="宋体" w:cs="宋体"/>
                <w:color w:val="auto"/>
                <w:kern w:val="0"/>
                <w:sz w:val="22"/>
                <w:szCs w:val="22"/>
                <w:lang w:val="zh-CN" w:bidi="zh-CN"/>
              </w:rPr>
              <w:t>.</w:t>
            </w:r>
            <w:r>
              <w:rPr>
                <w:rFonts w:ascii="宋体" w:hAnsi="宋体" w:eastAsia="宋体" w:cs="宋体"/>
                <w:color w:val="auto"/>
                <w:kern w:val="0"/>
                <w:sz w:val="22"/>
                <w:szCs w:val="22"/>
                <w:lang w:val="zh-CN" w:bidi="zh-CN"/>
              </w:rPr>
              <w:t>按本表费率计算的收费金额为招标代理服务费的基准价格，不含工程量清单、最高投标限价（招标控制价）或标底的编制费用。</w:t>
            </w:r>
          </w:p>
          <w:p w14:paraId="5C385FA6">
            <w:pPr>
              <w:autoSpaceDN w:val="0"/>
              <w:spacing w:line="500" w:lineRule="exact"/>
              <w:jc w:val="left"/>
              <w:textAlignment w:val="center"/>
              <w:rPr>
                <w:rFonts w:ascii="宋体" w:hAnsi="宋体" w:eastAsia="宋体" w:cs="宋体"/>
                <w:color w:val="auto"/>
                <w:kern w:val="0"/>
                <w:sz w:val="22"/>
                <w:szCs w:val="22"/>
                <w:lang w:bidi="zh-CN"/>
              </w:rPr>
            </w:pPr>
            <w:r>
              <w:rPr>
                <w:rFonts w:hint="eastAsia" w:ascii="宋体" w:hAnsi="宋体" w:eastAsia="宋体" w:cs="宋体"/>
                <w:color w:val="auto"/>
                <w:kern w:val="0"/>
                <w:sz w:val="22"/>
                <w:szCs w:val="22"/>
                <w:lang w:bidi="zh-CN"/>
              </w:rPr>
              <w:t>2.招标代理服务收费按差额定率累进法计算。</w:t>
            </w:r>
          </w:p>
          <w:p w14:paraId="1A89BAED">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例如：某工程招标代理业务，项目预算金额（招标控制价）为10000 万元，招标代理服务收费计算如下：</w:t>
            </w:r>
          </w:p>
          <w:p w14:paraId="576F98C3">
            <w:pPr>
              <w:autoSpaceDN w:val="0"/>
              <w:spacing w:line="500" w:lineRule="exact"/>
              <w:jc w:val="left"/>
              <w:textAlignment w:val="center"/>
              <w:rPr>
                <w:rFonts w:ascii="宋体" w:hAnsi="宋体" w:eastAsia="宋体" w:cs="宋体"/>
                <w:color w:val="auto"/>
                <w:kern w:val="0"/>
                <w:sz w:val="22"/>
                <w:szCs w:val="22"/>
                <w:lang w:val="zh-CN" w:bidi="zh-CN"/>
              </w:rPr>
            </w:pPr>
            <w:r>
              <w:rPr>
                <w:rFonts w:hint="eastAsia" w:ascii="宋体" w:hAnsi="宋体" w:eastAsia="宋体" w:cs="宋体"/>
                <w:color w:val="auto"/>
                <w:kern w:val="0"/>
                <w:sz w:val="22"/>
                <w:szCs w:val="22"/>
                <w:lang w:bidi="zh-CN"/>
              </w:rPr>
              <w:t xml:space="preserve"> </w:t>
            </w:r>
            <w:r>
              <w:rPr>
                <w:rFonts w:ascii="宋体" w:hAnsi="宋体" w:eastAsia="宋体" w:cs="宋体"/>
                <w:color w:val="auto"/>
                <w:kern w:val="0"/>
                <w:sz w:val="22"/>
                <w:szCs w:val="22"/>
                <w:lang w:val="zh-CN" w:bidi="zh-CN"/>
              </w:rPr>
              <w:t>100万元×1.2%=1.2万元</w:t>
            </w:r>
          </w:p>
          <w:p w14:paraId="5E4416A9">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（500-100）万元×1.0%=4万元</w:t>
            </w:r>
          </w:p>
          <w:p w14:paraId="06B97CA8">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（1000-500）×0.7%=3.5万元</w:t>
            </w:r>
          </w:p>
          <w:p w14:paraId="154FE220">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（5000-1000）×0.4%=16万元</w:t>
            </w:r>
          </w:p>
          <w:p w14:paraId="117AF246">
            <w:pPr>
              <w:autoSpaceDN w:val="0"/>
              <w:spacing w:line="500" w:lineRule="exact"/>
              <w:jc w:val="left"/>
              <w:textAlignment w:val="center"/>
              <w:rPr>
                <w:rFonts w:ascii="宋体" w:hAnsi="宋体" w:eastAsia="宋体" w:cs="宋体"/>
                <w:color w:val="auto"/>
                <w:kern w:val="0"/>
                <w:sz w:val="21"/>
                <w:szCs w:val="16"/>
                <w:lang w:val="zh-CN" w:bidi="zh-CN"/>
              </w:rPr>
            </w:pPr>
            <w:r>
              <w:rPr>
                <w:rFonts w:ascii="宋体" w:hAnsi="宋体" w:eastAsia="宋体" w:cs="宋体"/>
                <w:color w:val="auto"/>
                <w:kern w:val="0"/>
                <w:sz w:val="22"/>
                <w:szCs w:val="22"/>
                <w:lang w:val="zh-CN" w:bidi="zh-CN"/>
              </w:rPr>
              <w:t>（10000-5000）×0.25%=12.5万元合计收费=1.2+4+3.5+16+12.5=37.2万元</w:t>
            </w:r>
          </w:p>
        </w:tc>
      </w:tr>
    </w:tbl>
    <w:p w14:paraId="042510C9">
      <w:pPr>
        <w:widowControl/>
        <w:spacing w:line="360" w:lineRule="auto"/>
        <w:jc w:val="center"/>
        <w:rPr>
          <w:rFonts w:hint="eastAsia" w:ascii="宋体" w:hAnsi="宋体" w:eastAsia="宋体" w:cs="宋体"/>
          <w:b/>
          <w:bCs/>
          <w:color w:val="auto"/>
          <w:sz w:val="24"/>
          <w:szCs w:val="24"/>
          <w:highlight w:val="none"/>
          <w:lang w:val="en-US" w:eastAsia="zh-CN"/>
        </w:rPr>
      </w:pPr>
    </w:p>
    <w:p w14:paraId="6D0FFAFF">
      <w:pPr>
        <w:widowControl/>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十二</w:t>
      </w:r>
      <w:r>
        <w:rPr>
          <w:rFonts w:hint="eastAsia" w:ascii="宋体" w:hAnsi="宋体" w:eastAsia="宋体" w:cs="宋体"/>
          <w:b/>
          <w:bCs/>
          <w:color w:val="auto"/>
          <w:sz w:val="24"/>
          <w:szCs w:val="24"/>
          <w:highlight w:val="none"/>
        </w:rPr>
        <w:t>、其他</w:t>
      </w:r>
    </w:p>
    <w:p w14:paraId="2A6710A5">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未尽事宜按国家有关规定执行。</w:t>
      </w:r>
    </w:p>
    <w:p w14:paraId="1D71C3D5">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本招标文件最终解释权归</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lang w:eastAsia="zh-CN"/>
        </w:rPr>
        <w:t>人</w:t>
      </w:r>
      <w:r>
        <w:rPr>
          <w:rFonts w:hint="eastAsia" w:ascii="宋体" w:hAnsi="宋体" w:eastAsia="宋体" w:cs="宋体"/>
          <w:b w:val="0"/>
          <w:bCs w:val="0"/>
          <w:color w:val="auto"/>
          <w:sz w:val="24"/>
          <w:szCs w:val="24"/>
          <w:highlight w:val="none"/>
        </w:rPr>
        <w:t>。</w:t>
      </w:r>
    </w:p>
    <w:p w14:paraId="20CF8770">
      <w:pPr>
        <w:rPr>
          <w:rFonts w:hint="eastAsia" w:ascii="宋体" w:hAnsi="宋体" w:eastAsia="宋体" w:cs="宋体"/>
          <w:b/>
          <w:bCs/>
          <w:color w:val="auto"/>
          <w:sz w:val="24"/>
          <w:szCs w:val="24"/>
          <w:highlight w:val="none"/>
          <w:lang w:val="en-US" w:eastAsia="zh-CN"/>
        </w:rPr>
      </w:pPr>
    </w:p>
    <w:p w14:paraId="756C0E0C">
      <w:pPr>
        <w:rPr>
          <w:rFonts w:hint="eastAsia" w:ascii="宋体" w:hAnsi="宋体" w:eastAsia="宋体" w:cs="宋体"/>
          <w:b/>
          <w:bCs/>
          <w:color w:val="auto"/>
          <w:sz w:val="24"/>
          <w:szCs w:val="24"/>
          <w:highlight w:val="none"/>
          <w:lang w:val="en-US" w:eastAsia="zh-CN"/>
        </w:rPr>
      </w:pPr>
    </w:p>
    <w:p w14:paraId="3132EC8E">
      <w:pPr>
        <w:rPr>
          <w:rFonts w:hint="eastAsia" w:ascii="宋体" w:hAnsi="宋体" w:eastAsia="宋体" w:cs="宋体"/>
          <w:b/>
          <w:bCs/>
          <w:color w:val="auto"/>
          <w:sz w:val="24"/>
          <w:szCs w:val="24"/>
          <w:highlight w:val="none"/>
          <w:lang w:val="en-US" w:eastAsia="zh-CN"/>
        </w:rPr>
      </w:pPr>
    </w:p>
    <w:p w14:paraId="5C543613">
      <w:pPr>
        <w:rPr>
          <w:rFonts w:hint="eastAsia" w:ascii="宋体" w:hAnsi="宋体" w:eastAsia="宋体" w:cs="宋体"/>
          <w:b/>
          <w:bCs/>
          <w:color w:val="auto"/>
          <w:sz w:val="24"/>
          <w:szCs w:val="24"/>
          <w:highlight w:val="none"/>
          <w:lang w:val="en-US" w:eastAsia="zh-CN"/>
        </w:rPr>
      </w:pPr>
    </w:p>
    <w:p w14:paraId="13048640">
      <w:pPr>
        <w:rPr>
          <w:rFonts w:hint="eastAsia" w:ascii="宋体" w:hAnsi="宋体" w:eastAsia="宋体" w:cs="宋体"/>
          <w:b/>
          <w:bCs/>
          <w:color w:val="auto"/>
          <w:sz w:val="24"/>
          <w:szCs w:val="24"/>
          <w:highlight w:val="none"/>
          <w:lang w:val="en-US" w:eastAsia="zh-CN"/>
        </w:rPr>
      </w:pPr>
    </w:p>
    <w:p w14:paraId="72F8E656">
      <w:pPr>
        <w:rPr>
          <w:rFonts w:hint="eastAsia" w:ascii="宋体" w:hAnsi="宋体" w:eastAsia="宋体" w:cs="宋体"/>
          <w:b/>
          <w:bCs/>
          <w:color w:val="auto"/>
          <w:sz w:val="24"/>
          <w:szCs w:val="24"/>
          <w:highlight w:val="none"/>
          <w:lang w:val="en-US" w:eastAsia="zh-CN"/>
        </w:rPr>
      </w:pPr>
    </w:p>
    <w:p w14:paraId="1D360FE7">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附件1：</w:t>
      </w:r>
      <w:r>
        <w:rPr>
          <w:rFonts w:hint="eastAsia" w:ascii="宋体" w:hAnsi="宋体" w:eastAsia="宋体" w:cs="宋体"/>
          <w:b/>
          <w:bCs/>
          <w:color w:val="auto"/>
          <w:sz w:val="24"/>
          <w:szCs w:val="24"/>
          <w:highlight w:val="none"/>
        </w:rPr>
        <w:t xml:space="preserve">            </w:t>
      </w:r>
    </w:p>
    <w:p w14:paraId="32362F47">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中小企业划型标准规定</w:t>
      </w:r>
    </w:p>
    <w:tbl>
      <w:tblPr>
        <w:tblStyle w:val="17"/>
        <w:tblW w:w="9353" w:type="dxa"/>
        <w:jc w:val="center"/>
        <w:shd w:val="clear" w:color="auto" w:fill="FFFFFF"/>
        <w:tblLayout w:type="fixed"/>
        <w:tblCellMar>
          <w:top w:w="0" w:type="dxa"/>
          <w:left w:w="0" w:type="dxa"/>
          <w:bottom w:w="0" w:type="dxa"/>
          <w:right w:w="0" w:type="dxa"/>
        </w:tblCellMar>
      </w:tblPr>
      <w:tblGrid>
        <w:gridCol w:w="1144"/>
        <w:gridCol w:w="1492"/>
        <w:gridCol w:w="728"/>
        <w:gridCol w:w="1245"/>
        <w:gridCol w:w="1965"/>
        <w:gridCol w:w="1756"/>
        <w:gridCol w:w="1023"/>
      </w:tblGrid>
      <w:tr w14:paraId="654A7D82">
        <w:tblPrEx>
          <w:tblCellMar>
            <w:top w:w="0" w:type="dxa"/>
            <w:left w:w="0" w:type="dxa"/>
            <w:bottom w:w="0" w:type="dxa"/>
            <w:right w:w="0" w:type="dxa"/>
          </w:tblCellMar>
        </w:tblPrEx>
        <w:trPr>
          <w:trHeight w:val="653" w:hRule="atLeast"/>
          <w:jc w:val="center"/>
        </w:trPr>
        <w:tc>
          <w:tcPr>
            <w:tcW w:w="1144"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765BCCDA">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中行业名称</w:t>
            </w:r>
          </w:p>
        </w:tc>
        <w:tc>
          <w:tcPr>
            <w:tcW w:w="1492"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3D2BBB4D">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中指标名称</w:t>
            </w:r>
          </w:p>
        </w:tc>
        <w:tc>
          <w:tcPr>
            <w:tcW w:w="728"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79B4D8AE">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中计量单位</w:t>
            </w:r>
          </w:p>
        </w:tc>
        <w:tc>
          <w:tcPr>
            <w:tcW w:w="1245"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6B107DE4">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大大型</w:t>
            </w:r>
          </w:p>
        </w:tc>
        <w:tc>
          <w:tcPr>
            <w:tcW w:w="1965"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69C82BFD">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中中型</w:t>
            </w:r>
          </w:p>
        </w:tc>
        <w:tc>
          <w:tcPr>
            <w:tcW w:w="1756"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129FB4EB">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中小型</w:t>
            </w:r>
          </w:p>
        </w:tc>
        <w:tc>
          <w:tcPr>
            <w:tcW w:w="1023"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14F4EE16">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微微型</w:t>
            </w:r>
          </w:p>
        </w:tc>
      </w:tr>
      <w:tr w14:paraId="72B555CD">
        <w:tblPrEx>
          <w:tblCellMar>
            <w:top w:w="0" w:type="dxa"/>
            <w:left w:w="0" w:type="dxa"/>
            <w:bottom w:w="0" w:type="dxa"/>
            <w:right w:w="0" w:type="dxa"/>
          </w:tblCellMar>
        </w:tblPrEx>
        <w:trPr>
          <w:trHeight w:val="682" w:hRule="atLeast"/>
          <w:jc w:val="center"/>
        </w:trPr>
        <w:tc>
          <w:tcPr>
            <w:tcW w:w="1144" w:type="dxa"/>
            <w:tcBorders>
              <w:top w:val="single" w:color="auto" w:sz="4" w:space="0"/>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0A74DB2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农、林、牧、渔业</w:t>
            </w: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38BE9531">
            <w:pPr>
              <w:pStyle w:val="13"/>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41D681B2">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EC0AA00">
            <w:pPr>
              <w:pStyle w:val="13"/>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8BB2FCB">
            <w:pPr>
              <w:pStyle w:val="13"/>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136906A">
            <w:pPr>
              <w:pStyle w:val="13"/>
              <w:wordWrap w:val="0"/>
              <w:jc w:val="center"/>
              <w:rPr>
                <w:rFonts w:hint="eastAsia"/>
                <w:color w:val="auto"/>
                <w:sz w:val="21"/>
                <w:szCs w:val="21"/>
                <w:highlight w:val="none"/>
              </w:rPr>
            </w:pPr>
            <w:r>
              <w:rPr>
                <w:rFonts w:hint="eastAsia"/>
                <w:color w:val="auto"/>
                <w:spacing w:val="8"/>
                <w:sz w:val="21"/>
                <w:szCs w:val="21"/>
                <w:highlight w:val="none"/>
              </w:rPr>
              <w:t>50≤Y＜500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310881F3">
            <w:pPr>
              <w:pStyle w:val="13"/>
              <w:wordWrap w:val="0"/>
              <w:jc w:val="center"/>
              <w:rPr>
                <w:rFonts w:hint="eastAsia"/>
                <w:color w:val="auto"/>
                <w:sz w:val="21"/>
                <w:szCs w:val="21"/>
                <w:highlight w:val="none"/>
              </w:rPr>
            </w:pPr>
            <w:r>
              <w:rPr>
                <w:rFonts w:hint="eastAsia"/>
                <w:color w:val="auto"/>
                <w:spacing w:val="8"/>
                <w:sz w:val="21"/>
                <w:szCs w:val="21"/>
                <w:highlight w:val="none"/>
              </w:rPr>
              <w:t>Y＜50</w:t>
            </w:r>
          </w:p>
        </w:tc>
      </w:tr>
      <w:tr w14:paraId="01CEB732">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073D0FD">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13DF116">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95A0A98">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6A352BA">
            <w:pPr>
              <w:pStyle w:val="13"/>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04B8A7">
            <w:pPr>
              <w:pStyle w:val="13"/>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F1A974E">
            <w:pPr>
              <w:pStyle w:val="13"/>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00CCFF">
            <w:pPr>
              <w:pStyle w:val="13"/>
              <w:wordWrap w:val="0"/>
              <w:jc w:val="center"/>
              <w:rPr>
                <w:rFonts w:hint="eastAsia"/>
                <w:color w:val="auto"/>
                <w:sz w:val="21"/>
                <w:szCs w:val="21"/>
                <w:highlight w:val="none"/>
              </w:rPr>
            </w:pPr>
            <w:r>
              <w:rPr>
                <w:rFonts w:hint="eastAsia"/>
                <w:color w:val="auto"/>
                <w:spacing w:val="8"/>
                <w:sz w:val="21"/>
                <w:szCs w:val="21"/>
                <w:highlight w:val="none"/>
              </w:rPr>
              <w:t>X＜20</w:t>
            </w:r>
          </w:p>
        </w:tc>
      </w:tr>
      <w:tr w14:paraId="18020EEA">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A14C41D">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79C681">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212517">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B743624">
            <w:pPr>
              <w:pStyle w:val="13"/>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25A004">
            <w:pPr>
              <w:pStyle w:val="13"/>
              <w:wordWrap w:val="0"/>
              <w:jc w:val="center"/>
              <w:rPr>
                <w:rFonts w:hint="eastAsia"/>
                <w:color w:val="auto"/>
                <w:sz w:val="21"/>
                <w:szCs w:val="21"/>
                <w:highlight w:val="none"/>
              </w:rPr>
            </w:pPr>
            <w:r>
              <w:rPr>
                <w:rFonts w:hint="eastAsia"/>
                <w:color w:val="auto"/>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513EE5">
            <w:pPr>
              <w:pStyle w:val="13"/>
              <w:wordWrap w:val="0"/>
              <w:jc w:val="center"/>
              <w:rPr>
                <w:rFonts w:hint="eastAsia"/>
                <w:color w:val="auto"/>
                <w:sz w:val="21"/>
                <w:szCs w:val="21"/>
                <w:highlight w:val="none"/>
              </w:rPr>
            </w:pPr>
            <w:r>
              <w:rPr>
                <w:rFonts w:hint="eastAsia"/>
                <w:color w:val="auto"/>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546800">
            <w:pPr>
              <w:pStyle w:val="13"/>
              <w:wordWrap w:val="0"/>
              <w:jc w:val="center"/>
              <w:rPr>
                <w:rFonts w:hint="eastAsia"/>
                <w:color w:val="auto"/>
                <w:sz w:val="21"/>
                <w:szCs w:val="21"/>
                <w:highlight w:val="none"/>
              </w:rPr>
            </w:pPr>
            <w:r>
              <w:rPr>
                <w:rFonts w:hint="eastAsia"/>
                <w:color w:val="auto"/>
                <w:spacing w:val="8"/>
                <w:sz w:val="21"/>
                <w:szCs w:val="21"/>
                <w:highlight w:val="none"/>
              </w:rPr>
              <w:t>Y＜300</w:t>
            </w:r>
          </w:p>
        </w:tc>
      </w:tr>
      <w:tr w14:paraId="52CBE0A5">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D63FA7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FA6D522">
            <w:pPr>
              <w:pStyle w:val="13"/>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6907CB">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85AD73">
            <w:pPr>
              <w:pStyle w:val="13"/>
              <w:wordWrap w:val="0"/>
              <w:jc w:val="center"/>
              <w:rPr>
                <w:rFonts w:hint="eastAsia"/>
                <w:color w:val="auto"/>
                <w:sz w:val="21"/>
                <w:szCs w:val="21"/>
                <w:highlight w:val="none"/>
              </w:rPr>
            </w:pPr>
            <w:r>
              <w:rPr>
                <w:rFonts w:hint="eastAsia"/>
                <w:color w:val="auto"/>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ECBC35">
            <w:pPr>
              <w:pStyle w:val="13"/>
              <w:wordWrap w:val="0"/>
              <w:jc w:val="center"/>
              <w:rPr>
                <w:rFonts w:hint="eastAsia"/>
                <w:color w:val="auto"/>
                <w:sz w:val="21"/>
                <w:szCs w:val="21"/>
                <w:highlight w:val="none"/>
              </w:rPr>
            </w:pPr>
            <w:r>
              <w:rPr>
                <w:rFonts w:hint="eastAsia"/>
                <w:color w:val="auto"/>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AE056E">
            <w:pPr>
              <w:pStyle w:val="13"/>
              <w:wordWrap w:val="0"/>
              <w:jc w:val="center"/>
              <w:rPr>
                <w:rFonts w:hint="eastAsia"/>
                <w:color w:val="auto"/>
                <w:sz w:val="21"/>
                <w:szCs w:val="21"/>
                <w:highlight w:val="none"/>
              </w:rPr>
            </w:pPr>
            <w:r>
              <w:rPr>
                <w:rFonts w:hint="eastAsia"/>
                <w:color w:val="auto"/>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70B9EB">
            <w:pPr>
              <w:pStyle w:val="13"/>
              <w:wordWrap w:val="0"/>
              <w:jc w:val="center"/>
              <w:rPr>
                <w:rFonts w:hint="eastAsia"/>
                <w:color w:val="auto"/>
                <w:sz w:val="21"/>
                <w:szCs w:val="21"/>
                <w:highlight w:val="none"/>
              </w:rPr>
            </w:pPr>
            <w:r>
              <w:rPr>
                <w:rFonts w:hint="eastAsia"/>
                <w:color w:val="auto"/>
                <w:spacing w:val="8"/>
                <w:sz w:val="21"/>
                <w:szCs w:val="21"/>
                <w:highlight w:val="none"/>
              </w:rPr>
              <w:t>Y＜300</w:t>
            </w:r>
          </w:p>
        </w:tc>
      </w:tr>
      <w:tr w14:paraId="5B32CC2B">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4730991">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2DA389">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4AACDD">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E98C7DB">
            <w:pPr>
              <w:pStyle w:val="13"/>
              <w:wordWrap w:val="0"/>
              <w:jc w:val="center"/>
              <w:rPr>
                <w:rFonts w:hint="eastAsia"/>
                <w:color w:val="auto"/>
                <w:sz w:val="21"/>
                <w:szCs w:val="21"/>
                <w:highlight w:val="none"/>
              </w:rPr>
            </w:pPr>
            <w:r>
              <w:rPr>
                <w:rFonts w:hint="eastAsia"/>
                <w:color w:val="auto"/>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830ED9">
            <w:pPr>
              <w:pStyle w:val="13"/>
              <w:wordWrap w:val="0"/>
              <w:jc w:val="center"/>
              <w:rPr>
                <w:rFonts w:hint="eastAsia"/>
                <w:color w:val="auto"/>
                <w:sz w:val="21"/>
                <w:szCs w:val="21"/>
                <w:highlight w:val="none"/>
              </w:rPr>
            </w:pPr>
            <w:r>
              <w:rPr>
                <w:rFonts w:hint="eastAsia"/>
                <w:color w:val="auto"/>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664B9D7">
            <w:pPr>
              <w:pStyle w:val="13"/>
              <w:wordWrap w:val="0"/>
              <w:jc w:val="center"/>
              <w:rPr>
                <w:rFonts w:hint="eastAsia"/>
                <w:color w:val="auto"/>
                <w:sz w:val="21"/>
                <w:szCs w:val="21"/>
                <w:highlight w:val="none"/>
              </w:rPr>
            </w:pPr>
            <w:r>
              <w:rPr>
                <w:rFonts w:hint="eastAsia"/>
                <w:color w:val="auto"/>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D7889AD">
            <w:pPr>
              <w:pStyle w:val="13"/>
              <w:wordWrap w:val="0"/>
              <w:jc w:val="center"/>
              <w:rPr>
                <w:rFonts w:hint="eastAsia"/>
                <w:color w:val="auto"/>
                <w:sz w:val="21"/>
                <w:szCs w:val="21"/>
                <w:highlight w:val="none"/>
              </w:rPr>
            </w:pPr>
            <w:r>
              <w:rPr>
                <w:rFonts w:hint="eastAsia"/>
                <w:color w:val="auto"/>
                <w:spacing w:val="8"/>
                <w:sz w:val="21"/>
                <w:szCs w:val="21"/>
                <w:highlight w:val="none"/>
              </w:rPr>
              <w:t>Z＜300</w:t>
            </w:r>
          </w:p>
        </w:tc>
      </w:tr>
      <w:tr w14:paraId="1CC35DAC">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80918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D5529C">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1633335">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359BA1">
            <w:pPr>
              <w:pStyle w:val="13"/>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E62361">
            <w:pPr>
              <w:pStyle w:val="13"/>
              <w:wordWrap w:val="0"/>
              <w:jc w:val="center"/>
              <w:rPr>
                <w:rFonts w:hint="eastAsia"/>
                <w:color w:val="auto"/>
                <w:sz w:val="21"/>
                <w:szCs w:val="21"/>
                <w:highlight w:val="none"/>
              </w:rPr>
            </w:pPr>
            <w:r>
              <w:rPr>
                <w:rFonts w:hint="eastAsia"/>
                <w:color w:val="auto"/>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7421E6D">
            <w:pPr>
              <w:pStyle w:val="13"/>
              <w:wordWrap w:val="0"/>
              <w:jc w:val="center"/>
              <w:rPr>
                <w:rFonts w:hint="eastAsia"/>
                <w:color w:val="auto"/>
                <w:sz w:val="21"/>
                <w:szCs w:val="21"/>
                <w:highlight w:val="none"/>
              </w:rPr>
            </w:pPr>
            <w:r>
              <w:rPr>
                <w:rFonts w:hint="eastAsia"/>
                <w:color w:val="auto"/>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BA3309">
            <w:pPr>
              <w:pStyle w:val="13"/>
              <w:wordWrap w:val="0"/>
              <w:jc w:val="center"/>
              <w:rPr>
                <w:rFonts w:hint="eastAsia"/>
                <w:color w:val="auto"/>
                <w:sz w:val="21"/>
                <w:szCs w:val="21"/>
                <w:highlight w:val="none"/>
              </w:rPr>
            </w:pPr>
            <w:r>
              <w:rPr>
                <w:rFonts w:hint="eastAsia"/>
                <w:color w:val="auto"/>
                <w:spacing w:val="8"/>
                <w:sz w:val="21"/>
                <w:szCs w:val="21"/>
                <w:highlight w:val="none"/>
              </w:rPr>
              <w:t>X＜5</w:t>
            </w:r>
          </w:p>
        </w:tc>
      </w:tr>
      <w:tr w14:paraId="0338D6D6">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479CDD">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E5539A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6E2D428">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47675E2">
            <w:pPr>
              <w:pStyle w:val="13"/>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D16F935">
            <w:pPr>
              <w:pStyle w:val="13"/>
              <w:wordWrap w:val="0"/>
              <w:jc w:val="center"/>
              <w:rPr>
                <w:rFonts w:hint="eastAsia"/>
                <w:color w:val="auto"/>
                <w:sz w:val="21"/>
                <w:szCs w:val="21"/>
                <w:highlight w:val="none"/>
              </w:rPr>
            </w:pPr>
            <w:r>
              <w:rPr>
                <w:rFonts w:hint="eastAsia"/>
                <w:color w:val="auto"/>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459CC1">
            <w:pPr>
              <w:pStyle w:val="13"/>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90A904">
            <w:pPr>
              <w:pStyle w:val="13"/>
              <w:wordWrap w:val="0"/>
              <w:jc w:val="center"/>
              <w:rPr>
                <w:rFonts w:hint="eastAsia"/>
                <w:color w:val="auto"/>
                <w:sz w:val="21"/>
                <w:szCs w:val="21"/>
                <w:highlight w:val="none"/>
              </w:rPr>
            </w:pPr>
            <w:r>
              <w:rPr>
                <w:rFonts w:hint="eastAsia"/>
                <w:color w:val="auto"/>
                <w:spacing w:val="8"/>
                <w:sz w:val="21"/>
                <w:szCs w:val="21"/>
                <w:highlight w:val="none"/>
              </w:rPr>
              <w:t>Y＜1000</w:t>
            </w:r>
          </w:p>
        </w:tc>
      </w:tr>
      <w:tr w14:paraId="27C9F5FD">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AF38734">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0D09638">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D00C1B">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196B38C">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1E4A74">
            <w:pPr>
              <w:pStyle w:val="13"/>
              <w:wordWrap w:val="0"/>
              <w:jc w:val="center"/>
              <w:rPr>
                <w:rFonts w:hint="eastAsia"/>
                <w:color w:val="auto"/>
                <w:sz w:val="21"/>
                <w:szCs w:val="21"/>
                <w:highlight w:val="none"/>
              </w:rPr>
            </w:pPr>
            <w:r>
              <w:rPr>
                <w:rFonts w:hint="eastAsia"/>
                <w:color w:val="auto"/>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B7BBAE0">
            <w:pPr>
              <w:pStyle w:val="13"/>
              <w:wordWrap w:val="0"/>
              <w:jc w:val="center"/>
              <w:rPr>
                <w:rFonts w:hint="eastAsia"/>
                <w:color w:val="auto"/>
                <w:sz w:val="21"/>
                <w:szCs w:val="21"/>
                <w:highlight w:val="none"/>
              </w:rPr>
            </w:pPr>
            <w:r>
              <w:rPr>
                <w:rFonts w:hint="eastAsia"/>
                <w:color w:val="auto"/>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504C6D">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62989EEC">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C7572C7">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DFF992B">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D1F923A">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81DD50">
            <w:pPr>
              <w:pStyle w:val="13"/>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4BEFA60">
            <w:pPr>
              <w:pStyle w:val="13"/>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A1F569">
            <w:pPr>
              <w:pStyle w:val="13"/>
              <w:wordWrap w:val="0"/>
              <w:jc w:val="center"/>
              <w:rPr>
                <w:rFonts w:hint="eastAsia"/>
                <w:color w:val="auto"/>
                <w:sz w:val="21"/>
                <w:szCs w:val="21"/>
                <w:highlight w:val="none"/>
              </w:rPr>
            </w:pPr>
            <w:r>
              <w:rPr>
                <w:rFonts w:hint="eastAsia"/>
                <w:color w:val="auto"/>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3F60F4">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7C47ED2B">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C8E3D66">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449A09">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6ACDD1">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5B070AB">
            <w:pPr>
              <w:pStyle w:val="13"/>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A483E6">
            <w:pPr>
              <w:pStyle w:val="13"/>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2110B2">
            <w:pPr>
              <w:pStyle w:val="13"/>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4CE2B24">
            <w:pPr>
              <w:pStyle w:val="13"/>
              <w:wordWrap w:val="0"/>
              <w:jc w:val="center"/>
              <w:rPr>
                <w:rFonts w:hint="eastAsia"/>
                <w:color w:val="auto"/>
                <w:sz w:val="21"/>
                <w:szCs w:val="21"/>
                <w:highlight w:val="none"/>
              </w:rPr>
            </w:pPr>
            <w:r>
              <w:rPr>
                <w:rFonts w:hint="eastAsia"/>
                <w:color w:val="auto"/>
                <w:spacing w:val="8"/>
                <w:sz w:val="21"/>
                <w:szCs w:val="21"/>
                <w:highlight w:val="none"/>
              </w:rPr>
              <w:t>X＜20</w:t>
            </w:r>
          </w:p>
        </w:tc>
      </w:tr>
      <w:tr w14:paraId="20104E98">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5B5580F">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07CFFE0">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C8B202">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03A960">
            <w:pPr>
              <w:pStyle w:val="13"/>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BFDABE">
            <w:pPr>
              <w:pStyle w:val="13"/>
              <w:wordWrap w:val="0"/>
              <w:jc w:val="center"/>
              <w:rPr>
                <w:rFonts w:hint="eastAsia"/>
                <w:color w:val="auto"/>
                <w:sz w:val="21"/>
                <w:szCs w:val="21"/>
                <w:highlight w:val="none"/>
              </w:rPr>
            </w:pPr>
            <w:r>
              <w:rPr>
                <w:rFonts w:hint="eastAsia"/>
                <w:color w:val="auto"/>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749E958">
            <w:pPr>
              <w:pStyle w:val="13"/>
              <w:wordWrap w:val="0"/>
              <w:jc w:val="center"/>
              <w:rPr>
                <w:rFonts w:hint="eastAsia"/>
                <w:color w:val="auto"/>
                <w:sz w:val="21"/>
                <w:szCs w:val="21"/>
                <w:highlight w:val="none"/>
              </w:rPr>
            </w:pPr>
            <w:r>
              <w:rPr>
                <w:rFonts w:hint="eastAsia"/>
                <w:color w:val="auto"/>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61F40C">
            <w:pPr>
              <w:pStyle w:val="13"/>
              <w:wordWrap w:val="0"/>
              <w:jc w:val="center"/>
              <w:rPr>
                <w:rFonts w:hint="eastAsia"/>
                <w:color w:val="auto"/>
                <w:sz w:val="21"/>
                <w:szCs w:val="21"/>
                <w:highlight w:val="none"/>
              </w:rPr>
            </w:pPr>
            <w:r>
              <w:rPr>
                <w:rFonts w:hint="eastAsia"/>
                <w:color w:val="auto"/>
                <w:spacing w:val="8"/>
                <w:sz w:val="21"/>
                <w:szCs w:val="21"/>
                <w:highlight w:val="none"/>
              </w:rPr>
              <w:t>Y＜200</w:t>
            </w:r>
          </w:p>
        </w:tc>
      </w:tr>
      <w:tr w14:paraId="6D90328D">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ECD7FE5">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A256FB">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17BD1E3">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B4AE5D">
            <w:pPr>
              <w:pStyle w:val="13"/>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3C8B4F">
            <w:pPr>
              <w:pStyle w:val="13"/>
              <w:wordWrap w:val="0"/>
              <w:jc w:val="center"/>
              <w:rPr>
                <w:rFonts w:hint="eastAsia"/>
                <w:color w:val="auto"/>
                <w:sz w:val="21"/>
                <w:szCs w:val="21"/>
                <w:highlight w:val="none"/>
              </w:rPr>
            </w:pPr>
            <w:r>
              <w:rPr>
                <w:rFonts w:hint="eastAsia"/>
                <w:color w:val="auto"/>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C9B9937">
            <w:pPr>
              <w:pStyle w:val="13"/>
              <w:wordWrap w:val="0"/>
              <w:jc w:val="center"/>
              <w:rPr>
                <w:rFonts w:hint="eastAsia"/>
                <w:color w:val="auto"/>
                <w:sz w:val="21"/>
                <w:szCs w:val="21"/>
                <w:highlight w:val="none"/>
              </w:rPr>
            </w:pPr>
            <w:r>
              <w:rPr>
                <w:rFonts w:hint="eastAsia"/>
                <w:color w:val="auto"/>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06DA795">
            <w:pPr>
              <w:pStyle w:val="13"/>
              <w:wordWrap w:val="0"/>
              <w:jc w:val="center"/>
              <w:rPr>
                <w:rFonts w:hint="eastAsia"/>
                <w:color w:val="auto"/>
                <w:sz w:val="21"/>
                <w:szCs w:val="21"/>
                <w:highlight w:val="none"/>
              </w:rPr>
            </w:pPr>
            <w:r>
              <w:rPr>
                <w:rFonts w:hint="eastAsia"/>
                <w:color w:val="auto"/>
                <w:spacing w:val="8"/>
                <w:sz w:val="21"/>
                <w:szCs w:val="21"/>
                <w:highlight w:val="none"/>
              </w:rPr>
              <w:t>X＜20</w:t>
            </w:r>
          </w:p>
        </w:tc>
      </w:tr>
      <w:tr w14:paraId="118FEA2D">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692CA7E">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1B88708">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54455F">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089C275">
            <w:pPr>
              <w:pStyle w:val="13"/>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C71BD5">
            <w:pPr>
              <w:pStyle w:val="13"/>
              <w:wordWrap w:val="0"/>
              <w:jc w:val="center"/>
              <w:rPr>
                <w:rFonts w:hint="eastAsia"/>
                <w:color w:val="auto"/>
                <w:sz w:val="21"/>
                <w:szCs w:val="21"/>
                <w:highlight w:val="none"/>
              </w:rPr>
            </w:pPr>
            <w:r>
              <w:rPr>
                <w:rFonts w:hint="eastAsia"/>
                <w:color w:val="auto"/>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2B4632D">
            <w:pPr>
              <w:pStyle w:val="13"/>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0A8A350">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34CB0EC4">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16D2689">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D476C5">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AF4781">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A75019A">
            <w:pPr>
              <w:pStyle w:val="13"/>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5F76C1">
            <w:pPr>
              <w:pStyle w:val="13"/>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1172B0F">
            <w:pPr>
              <w:pStyle w:val="13"/>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1C05DA1">
            <w:pPr>
              <w:pStyle w:val="13"/>
              <w:wordWrap w:val="0"/>
              <w:jc w:val="center"/>
              <w:rPr>
                <w:rFonts w:hint="eastAsia"/>
                <w:color w:val="auto"/>
                <w:sz w:val="21"/>
                <w:szCs w:val="21"/>
                <w:highlight w:val="none"/>
              </w:rPr>
            </w:pPr>
            <w:r>
              <w:rPr>
                <w:rFonts w:hint="eastAsia"/>
                <w:color w:val="auto"/>
                <w:spacing w:val="8"/>
                <w:sz w:val="21"/>
                <w:szCs w:val="21"/>
                <w:highlight w:val="none"/>
              </w:rPr>
              <w:t>X＜20</w:t>
            </w:r>
          </w:p>
        </w:tc>
      </w:tr>
      <w:tr w14:paraId="16F123D4">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1071073">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3F086D">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D7C641">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AFE5EB2">
            <w:pPr>
              <w:pStyle w:val="13"/>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297B20">
            <w:pPr>
              <w:pStyle w:val="13"/>
              <w:wordWrap w:val="0"/>
              <w:jc w:val="center"/>
              <w:rPr>
                <w:rFonts w:hint="eastAsia"/>
                <w:color w:val="auto"/>
                <w:sz w:val="21"/>
                <w:szCs w:val="21"/>
                <w:highlight w:val="none"/>
              </w:rPr>
            </w:pPr>
            <w:r>
              <w:rPr>
                <w:rFonts w:hint="eastAsia"/>
                <w:color w:val="auto"/>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4E1C19">
            <w:pPr>
              <w:pStyle w:val="13"/>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EF361C">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6C294980">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721C3CD">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5145CBD">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D60C31">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A75D791">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D9FD38">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139635">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93EA3B">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200738BD">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1044E89">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BF8243A">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7E3E62">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D50D95B">
            <w:pPr>
              <w:pStyle w:val="13"/>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123D6B">
            <w:pPr>
              <w:pStyle w:val="13"/>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B1C69E3">
            <w:pPr>
              <w:pStyle w:val="13"/>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114781">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50E2CBDE">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0E52033">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064D8A">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5B77632">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CBAF26E">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D404367">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EDEECD">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8F3CEC">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4D132D1B">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auto" w:sz="4" w:space="0"/>
              <w:right w:val="single" w:color="4F81BD" w:sz="6" w:space="0"/>
            </w:tcBorders>
            <w:shd w:val="clear" w:color="auto" w:fill="FFFFFF"/>
            <w:noWrap w:val="0"/>
            <w:tcMar>
              <w:left w:w="105" w:type="dxa"/>
              <w:right w:w="105" w:type="dxa"/>
            </w:tcMar>
            <w:vAlign w:val="center"/>
          </w:tcPr>
          <w:p w14:paraId="103279B9">
            <w:pPr>
              <w:wordWrap w:val="0"/>
              <w:jc w:val="center"/>
              <w:rPr>
                <w:rFonts w:hint="eastAsia" w:ascii="宋体" w:hAnsi="宋体" w:cs="宋体"/>
                <w:color w:val="auto"/>
                <w:spacing w:val="8"/>
                <w:szCs w:val="21"/>
                <w:highlight w:val="none"/>
              </w:rPr>
            </w:pPr>
          </w:p>
        </w:tc>
        <w:tc>
          <w:tcPr>
            <w:tcW w:w="1492"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1699B22F">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34C6D369">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6AAAEDE1">
            <w:pPr>
              <w:pStyle w:val="13"/>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33E4CEFB">
            <w:pPr>
              <w:pStyle w:val="13"/>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1DBB0CA6">
            <w:pPr>
              <w:pStyle w:val="13"/>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4304EB51">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272F9926">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F72393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信息传输业 *</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07006D8">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C202491">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05D6DA7">
            <w:pPr>
              <w:pStyle w:val="13"/>
              <w:wordWrap w:val="0"/>
              <w:jc w:val="center"/>
              <w:rPr>
                <w:rFonts w:hint="eastAsia"/>
                <w:color w:val="auto"/>
                <w:sz w:val="21"/>
                <w:szCs w:val="21"/>
                <w:highlight w:val="none"/>
              </w:rPr>
            </w:pPr>
            <w:r>
              <w:rPr>
                <w:rFonts w:hint="eastAsia"/>
                <w:color w:val="auto"/>
                <w:spacing w:val="8"/>
                <w:sz w:val="21"/>
                <w:szCs w:val="21"/>
                <w:highlight w:val="none"/>
              </w:rPr>
              <w:t>X≥2000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4BC131D">
            <w:pPr>
              <w:pStyle w:val="13"/>
              <w:wordWrap w:val="0"/>
              <w:jc w:val="center"/>
              <w:rPr>
                <w:rFonts w:hint="eastAsia"/>
                <w:color w:val="auto"/>
                <w:sz w:val="21"/>
                <w:szCs w:val="21"/>
                <w:highlight w:val="none"/>
              </w:rPr>
            </w:pPr>
            <w:r>
              <w:rPr>
                <w:rFonts w:hint="eastAsia"/>
                <w:color w:val="auto"/>
                <w:spacing w:val="8"/>
                <w:sz w:val="21"/>
                <w:szCs w:val="21"/>
                <w:highlight w:val="none"/>
              </w:rPr>
              <w:t>100≤X＜2000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B6C9448">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03FD8A0">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24462CCD">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9568DA7">
            <w:pPr>
              <w:wordWrap w:val="0"/>
              <w:jc w:val="center"/>
              <w:rPr>
                <w:rFonts w:hint="eastAsia" w:ascii="宋体" w:hAnsi="宋体" w:cs="宋体"/>
                <w:color w:val="auto"/>
                <w:spacing w:val="8"/>
                <w:szCs w:val="21"/>
                <w:highlight w:val="none"/>
              </w:rPr>
            </w:pPr>
          </w:p>
        </w:tc>
        <w:tc>
          <w:tcPr>
            <w:tcW w:w="1492"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6540990D">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2431D0EE">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1FBFB329">
            <w:pPr>
              <w:pStyle w:val="13"/>
              <w:wordWrap w:val="0"/>
              <w:jc w:val="center"/>
              <w:rPr>
                <w:rFonts w:hint="eastAsia"/>
                <w:color w:val="auto"/>
                <w:sz w:val="21"/>
                <w:szCs w:val="21"/>
                <w:highlight w:val="none"/>
              </w:rPr>
            </w:pPr>
            <w:r>
              <w:rPr>
                <w:rFonts w:hint="eastAsia"/>
                <w:color w:val="auto"/>
                <w:spacing w:val="8"/>
                <w:sz w:val="21"/>
                <w:szCs w:val="21"/>
                <w:highlight w:val="none"/>
              </w:rPr>
              <w:t>Y≥100000</w:t>
            </w:r>
          </w:p>
        </w:tc>
        <w:tc>
          <w:tcPr>
            <w:tcW w:w="196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679B7CA0">
            <w:pPr>
              <w:pStyle w:val="13"/>
              <w:wordWrap w:val="0"/>
              <w:jc w:val="center"/>
              <w:rPr>
                <w:rFonts w:hint="eastAsia"/>
                <w:color w:val="auto"/>
                <w:sz w:val="21"/>
                <w:szCs w:val="21"/>
                <w:highlight w:val="none"/>
              </w:rPr>
            </w:pPr>
            <w:r>
              <w:rPr>
                <w:rFonts w:hint="eastAsia"/>
                <w:color w:val="auto"/>
                <w:spacing w:val="8"/>
                <w:sz w:val="21"/>
                <w:szCs w:val="21"/>
                <w:highlight w:val="none"/>
              </w:rPr>
              <w:t>1000≤Y＜100000</w:t>
            </w:r>
          </w:p>
        </w:tc>
        <w:tc>
          <w:tcPr>
            <w:tcW w:w="1756"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5F6445D1">
            <w:pPr>
              <w:pStyle w:val="13"/>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3279FA59">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0D516578">
        <w:tblPrEx>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D854CAC">
            <w:pPr>
              <w:pStyle w:val="13"/>
              <w:wordWrap w:val="0"/>
              <w:spacing w:line="240" w:lineRule="atLeast"/>
              <w:jc w:val="center"/>
              <w:rPr>
                <w:rFonts w:hint="eastAsia"/>
                <w:color w:val="auto"/>
                <w:sz w:val="21"/>
                <w:szCs w:val="21"/>
                <w:highlight w:val="none"/>
              </w:rPr>
            </w:pPr>
            <w:r>
              <w:rPr>
                <w:rFonts w:hint="eastAsia"/>
                <w:color w:val="auto"/>
                <w:spacing w:val="-15"/>
                <w:sz w:val="21"/>
                <w:szCs w:val="21"/>
                <w:highlight w:val="none"/>
              </w:rPr>
              <w:t>软件和信息技术服</w:t>
            </w:r>
            <w:r>
              <w:rPr>
                <w:rFonts w:hint="eastAsia"/>
                <w:color w:val="auto"/>
                <w:spacing w:val="8"/>
                <w:sz w:val="21"/>
                <w:szCs w:val="21"/>
                <w:highlight w:val="none"/>
              </w:rPr>
              <w:t>务业</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22C6DBC">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9820E34">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9B0C40C">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1B62507">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E42BE5E">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FD7557C">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30174543">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4F81BD" w:sz="6" w:space="0"/>
              <w:right w:val="single" w:color="4F81BD" w:sz="6" w:space="0"/>
            </w:tcBorders>
            <w:shd w:val="clear" w:color="auto" w:fill="FFFFFF"/>
            <w:noWrap w:val="0"/>
            <w:tcMar>
              <w:left w:w="105" w:type="dxa"/>
              <w:right w:w="105" w:type="dxa"/>
            </w:tcMar>
            <w:vAlign w:val="center"/>
          </w:tcPr>
          <w:p w14:paraId="19060CAF">
            <w:pPr>
              <w:wordWrap w:val="0"/>
              <w:jc w:val="center"/>
              <w:rPr>
                <w:rFonts w:hint="eastAsia" w:ascii="宋体" w:hAnsi="宋体" w:cs="宋体"/>
                <w:color w:val="auto"/>
                <w:spacing w:val="8"/>
                <w:szCs w:val="21"/>
                <w:highlight w:val="none"/>
              </w:rPr>
            </w:pP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5040BB16">
            <w:pPr>
              <w:pStyle w:val="13"/>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02B0DDF7">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1300F8A">
            <w:pPr>
              <w:pStyle w:val="13"/>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1A3FA80A">
            <w:pPr>
              <w:pStyle w:val="13"/>
              <w:wordWrap w:val="0"/>
              <w:jc w:val="center"/>
              <w:rPr>
                <w:rFonts w:hint="eastAsia"/>
                <w:color w:val="auto"/>
                <w:sz w:val="21"/>
                <w:szCs w:val="21"/>
                <w:highlight w:val="none"/>
              </w:rPr>
            </w:pPr>
            <w:r>
              <w:rPr>
                <w:rFonts w:hint="eastAsia"/>
                <w:color w:val="auto"/>
                <w:spacing w:val="8"/>
                <w:sz w:val="21"/>
                <w:szCs w:val="21"/>
                <w:highlight w:val="none"/>
              </w:rPr>
              <w:t>1000≤Y＜10000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42429CB">
            <w:pPr>
              <w:pStyle w:val="13"/>
              <w:wordWrap w:val="0"/>
              <w:jc w:val="center"/>
              <w:rPr>
                <w:rFonts w:hint="eastAsia"/>
                <w:color w:val="auto"/>
                <w:sz w:val="21"/>
                <w:szCs w:val="21"/>
                <w:highlight w:val="none"/>
              </w:rPr>
            </w:pPr>
            <w:r>
              <w:rPr>
                <w:rFonts w:hint="eastAsia"/>
                <w:color w:val="auto"/>
                <w:spacing w:val="8"/>
                <w:sz w:val="21"/>
                <w:szCs w:val="21"/>
                <w:highlight w:val="none"/>
              </w:rPr>
              <w:t>50≤Y＜1000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51D3CC47">
            <w:pPr>
              <w:pStyle w:val="13"/>
              <w:wordWrap w:val="0"/>
              <w:jc w:val="center"/>
              <w:rPr>
                <w:rFonts w:hint="eastAsia"/>
                <w:color w:val="auto"/>
                <w:sz w:val="21"/>
                <w:szCs w:val="21"/>
                <w:highlight w:val="none"/>
              </w:rPr>
            </w:pPr>
            <w:r>
              <w:rPr>
                <w:rFonts w:hint="eastAsia"/>
                <w:color w:val="auto"/>
                <w:spacing w:val="8"/>
                <w:sz w:val="21"/>
                <w:szCs w:val="21"/>
                <w:highlight w:val="none"/>
              </w:rPr>
              <w:t>Y＜50</w:t>
            </w:r>
          </w:p>
        </w:tc>
      </w:tr>
      <w:tr w14:paraId="7FCE13DB">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51A4D9F">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5008B2">
            <w:pPr>
              <w:pStyle w:val="13"/>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873781">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0DDEB1">
            <w:pPr>
              <w:pStyle w:val="13"/>
              <w:wordWrap w:val="0"/>
              <w:jc w:val="center"/>
              <w:rPr>
                <w:rFonts w:hint="eastAsia"/>
                <w:color w:val="auto"/>
                <w:sz w:val="21"/>
                <w:szCs w:val="21"/>
                <w:highlight w:val="none"/>
              </w:rPr>
            </w:pPr>
            <w:r>
              <w:rPr>
                <w:rFonts w:hint="eastAsia"/>
                <w:color w:val="auto"/>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E95A1F6">
            <w:pPr>
              <w:pStyle w:val="13"/>
              <w:wordWrap w:val="0"/>
              <w:jc w:val="center"/>
              <w:rPr>
                <w:rFonts w:hint="eastAsia"/>
                <w:color w:val="auto"/>
                <w:sz w:val="21"/>
                <w:szCs w:val="21"/>
                <w:highlight w:val="none"/>
              </w:rPr>
            </w:pPr>
            <w:r>
              <w:rPr>
                <w:rFonts w:hint="eastAsia"/>
                <w:color w:val="auto"/>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75AAD09">
            <w:pPr>
              <w:pStyle w:val="13"/>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227483">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14EC2614">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AC053AC">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E7C18D8">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11DFBE">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E99C5C">
            <w:pPr>
              <w:pStyle w:val="13"/>
              <w:wordWrap w:val="0"/>
              <w:jc w:val="center"/>
              <w:rPr>
                <w:rFonts w:hint="eastAsia"/>
                <w:color w:val="auto"/>
                <w:sz w:val="21"/>
                <w:szCs w:val="21"/>
                <w:highlight w:val="none"/>
              </w:rPr>
            </w:pPr>
            <w:r>
              <w:rPr>
                <w:rFonts w:hint="eastAsia"/>
                <w:color w:val="auto"/>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E8F697">
            <w:pPr>
              <w:pStyle w:val="13"/>
              <w:wordWrap w:val="0"/>
              <w:jc w:val="center"/>
              <w:rPr>
                <w:rFonts w:hint="eastAsia"/>
                <w:color w:val="auto"/>
                <w:sz w:val="21"/>
                <w:szCs w:val="21"/>
                <w:highlight w:val="none"/>
              </w:rPr>
            </w:pPr>
            <w:r>
              <w:rPr>
                <w:rFonts w:hint="eastAsia"/>
                <w:color w:val="auto"/>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97A3AE2">
            <w:pPr>
              <w:pStyle w:val="13"/>
              <w:wordWrap w:val="0"/>
              <w:jc w:val="center"/>
              <w:rPr>
                <w:rFonts w:hint="eastAsia"/>
                <w:color w:val="auto"/>
                <w:sz w:val="21"/>
                <w:szCs w:val="21"/>
                <w:highlight w:val="none"/>
              </w:rPr>
            </w:pPr>
            <w:r>
              <w:rPr>
                <w:rFonts w:hint="eastAsia"/>
                <w:color w:val="auto"/>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B9DA22E">
            <w:pPr>
              <w:pStyle w:val="13"/>
              <w:wordWrap w:val="0"/>
              <w:jc w:val="center"/>
              <w:rPr>
                <w:rFonts w:hint="eastAsia"/>
                <w:color w:val="auto"/>
                <w:sz w:val="21"/>
                <w:szCs w:val="21"/>
                <w:highlight w:val="none"/>
              </w:rPr>
            </w:pPr>
            <w:r>
              <w:rPr>
                <w:rFonts w:hint="eastAsia"/>
                <w:color w:val="auto"/>
                <w:spacing w:val="8"/>
                <w:sz w:val="21"/>
                <w:szCs w:val="21"/>
                <w:highlight w:val="none"/>
              </w:rPr>
              <w:t>Z＜2000</w:t>
            </w:r>
          </w:p>
        </w:tc>
      </w:tr>
      <w:tr w14:paraId="38DCE01C">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757BC98">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DB30D4">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5A3E3B">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07642A7">
            <w:pPr>
              <w:pStyle w:val="13"/>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0DDD47">
            <w:pPr>
              <w:pStyle w:val="13"/>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832C288">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D4D0B1">
            <w:pPr>
              <w:pStyle w:val="13"/>
              <w:wordWrap w:val="0"/>
              <w:jc w:val="center"/>
              <w:rPr>
                <w:rFonts w:hint="eastAsia"/>
                <w:color w:val="auto"/>
                <w:sz w:val="21"/>
                <w:szCs w:val="21"/>
                <w:highlight w:val="none"/>
              </w:rPr>
            </w:pPr>
            <w:r>
              <w:rPr>
                <w:rFonts w:hint="eastAsia"/>
                <w:color w:val="auto"/>
                <w:spacing w:val="8"/>
                <w:sz w:val="21"/>
                <w:szCs w:val="21"/>
                <w:highlight w:val="none"/>
              </w:rPr>
              <w:t>X＜100</w:t>
            </w:r>
          </w:p>
        </w:tc>
      </w:tr>
      <w:tr w14:paraId="7CDC9BD3">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CEFFB92">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39E7F41">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753C38">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4829AA">
            <w:pPr>
              <w:pStyle w:val="13"/>
              <w:wordWrap w:val="0"/>
              <w:jc w:val="center"/>
              <w:rPr>
                <w:rFonts w:hint="eastAsia"/>
                <w:color w:val="auto"/>
                <w:sz w:val="21"/>
                <w:szCs w:val="21"/>
                <w:highlight w:val="none"/>
              </w:rPr>
            </w:pPr>
            <w:r>
              <w:rPr>
                <w:rFonts w:hint="eastAsia"/>
                <w:color w:val="auto"/>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6946DE7">
            <w:pPr>
              <w:pStyle w:val="13"/>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7FAA98">
            <w:pPr>
              <w:pStyle w:val="13"/>
              <w:wordWrap w:val="0"/>
              <w:jc w:val="center"/>
              <w:rPr>
                <w:rFonts w:hint="eastAsia"/>
                <w:color w:val="auto"/>
                <w:sz w:val="21"/>
                <w:szCs w:val="21"/>
                <w:highlight w:val="none"/>
              </w:rPr>
            </w:pPr>
            <w:r>
              <w:rPr>
                <w:rFonts w:hint="eastAsia"/>
                <w:color w:val="auto"/>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2872ED">
            <w:pPr>
              <w:pStyle w:val="13"/>
              <w:wordWrap w:val="0"/>
              <w:jc w:val="center"/>
              <w:rPr>
                <w:rFonts w:hint="eastAsia"/>
                <w:color w:val="auto"/>
                <w:sz w:val="21"/>
                <w:szCs w:val="21"/>
                <w:highlight w:val="none"/>
              </w:rPr>
            </w:pPr>
            <w:r>
              <w:rPr>
                <w:rFonts w:hint="eastAsia"/>
                <w:color w:val="auto"/>
                <w:spacing w:val="8"/>
                <w:sz w:val="21"/>
                <w:szCs w:val="21"/>
                <w:highlight w:val="none"/>
              </w:rPr>
              <w:t>Y＜500</w:t>
            </w:r>
          </w:p>
        </w:tc>
      </w:tr>
      <w:tr w14:paraId="23E0A2E9">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BA9B1B5">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1426AD">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1A1DC06">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0F3000">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30CA6E">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AE1FF52">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2FB8509">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422194FA">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4E4B357">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0A648E0">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79517B">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D69BEB">
            <w:pPr>
              <w:pStyle w:val="13"/>
              <w:wordWrap w:val="0"/>
              <w:jc w:val="center"/>
              <w:rPr>
                <w:rFonts w:hint="eastAsia"/>
                <w:color w:val="auto"/>
                <w:sz w:val="21"/>
                <w:szCs w:val="21"/>
                <w:highlight w:val="none"/>
              </w:rPr>
            </w:pPr>
            <w:r>
              <w:rPr>
                <w:rFonts w:hint="eastAsia"/>
                <w:color w:val="auto"/>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A2C866">
            <w:pPr>
              <w:pStyle w:val="13"/>
              <w:wordWrap w:val="0"/>
              <w:jc w:val="center"/>
              <w:rPr>
                <w:rFonts w:hint="eastAsia"/>
                <w:color w:val="auto"/>
                <w:sz w:val="21"/>
                <w:szCs w:val="21"/>
                <w:highlight w:val="none"/>
              </w:rPr>
            </w:pPr>
            <w:r>
              <w:rPr>
                <w:rFonts w:hint="eastAsia"/>
                <w:color w:val="auto"/>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E63547">
            <w:pPr>
              <w:pStyle w:val="13"/>
              <w:wordWrap w:val="0"/>
              <w:jc w:val="center"/>
              <w:rPr>
                <w:rFonts w:hint="eastAsia"/>
                <w:color w:val="auto"/>
                <w:sz w:val="21"/>
                <w:szCs w:val="21"/>
                <w:highlight w:val="none"/>
              </w:rPr>
            </w:pPr>
            <w:r>
              <w:rPr>
                <w:rFonts w:hint="eastAsia"/>
                <w:color w:val="auto"/>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91B216B">
            <w:pPr>
              <w:pStyle w:val="13"/>
              <w:wordWrap w:val="0"/>
              <w:jc w:val="center"/>
              <w:rPr>
                <w:rFonts w:hint="eastAsia"/>
                <w:color w:val="auto"/>
                <w:sz w:val="21"/>
                <w:szCs w:val="21"/>
                <w:highlight w:val="none"/>
              </w:rPr>
            </w:pPr>
            <w:r>
              <w:rPr>
                <w:rFonts w:hint="eastAsia"/>
                <w:color w:val="auto"/>
                <w:spacing w:val="8"/>
                <w:sz w:val="21"/>
                <w:szCs w:val="21"/>
                <w:highlight w:val="none"/>
              </w:rPr>
              <w:t>Z＜100</w:t>
            </w:r>
          </w:p>
        </w:tc>
      </w:tr>
      <w:tr w14:paraId="19F4F8ED">
        <w:tblPrEx>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C7EA9BF">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A49654F">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F06DB4">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C3AEFD">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0766502">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2B28E05">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4A5AFB">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bl>
    <w:p w14:paraId="29EE5C46">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说明：1.大型、中型和小型企业须</w:t>
      </w:r>
      <w:r>
        <w:rPr>
          <w:rFonts w:hint="eastAsia" w:ascii="宋体" w:hAnsi="宋体" w:cs="宋体"/>
          <w:b/>
          <w:bCs/>
          <w:color w:val="auto"/>
          <w:kern w:val="0"/>
          <w:sz w:val="24"/>
          <w:szCs w:val="24"/>
          <w:highlight w:val="none"/>
        </w:rPr>
        <w:t>同时满足所列指标的下限，否则下划一档</w:t>
      </w:r>
      <w:r>
        <w:rPr>
          <w:rFonts w:hint="eastAsia" w:ascii="宋体" w:hAnsi="宋体" w:cs="宋体"/>
          <w:color w:val="auto"/>
          <w:kern w:val="0"/>
          <w:sz w:val="24"/>
          <w:szCs w:val="24"/>
          <w:highlight w:val="none"/>
        </w:rPr>
        <w:t>；微型企业只须满足所列指标中的一项即可。</w:t>
      </w:r>
    </w:p>
    <w:p w14:paraId="063DD538">
      <w:pPr>
        <w:keepNext w:val="0"/>
        <w:keepLines w:val="0"/>
        <w:pageBreakBefore w:val="0"/>
        <w:widowControl w:val="0"/>
        <w:numPr>
          <w:ilvl w:val="0"/>
          <w:numId w:val="4"/>
        </w:numPr>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附表中各行业的范围以《国民经济行业分类》（GB/T4754-2017）为准。</w:t>
      </w:r>
      <w:r>
        <w:rPr>
          <w:rFonts w:hint="eastAsia" w:ascii="宋体" w:hAnsi="宋体" w:cs="宋体"/>
          <w:b/>
          <w:bCs/>
          <w:color w:val="auto"/>
          <w:kern w:val="0"/>
          <w:sz w:val="24"/>
          <w:szCs w:val="24"/>
          <w:highlight w:val="none"/>
        </w:rPr>
        <w:t>带*的项为行业组合类别</w:t>
      </w:r>
      <w:r>
        <w:rPr>
          <w:rFonts w:hint="eastAsia" w:ascii="宋体" w:hAnsi="宋体" w:cs="宋体"/>
          <w:color w:val="auto"/>
          <w:kern w:val="0"/>
          <w:sz w:val="24"/>
          <w:szCs w:val="24"/>
          <w:highlight w:val="none"/>
        </w:rPr>
        <w:t>，其中，</w:t>
      </w:r>
      <w:r>
        <w:rPr>
          <w:rFonts w:hint="eastAsia" w:ascii="宋体" w:hAnsi="宋体" w:cs="宋体"/>
          <w:b/>
          <w:bCs/>
          <w:color w:val="auto"/>
          <w:kern w:val="0"/>
          <w:sz w:val="24"/>
          <w:szCs w:val="24"/>
          <w:highlight w:val="none"/>
        </w:rPr>
        <w:t>工业</w:t>
      </w:r>
      <w:r>
        <w:rPr>
          <w:rFonts w:hint="eastAsia" w:ascii="宋体" w:hAnsi="宋体" w:cs="宋体"/>
          <w:color w:val="auto"/>
          <w:kern w:val="0"/>
          <w:sz w:val="24"/>
          <w:szCs w:val="24"/>
          <w:highlight w:val="none"/>
        </w:rPr>
        <w:t>包括采矿业，制造业，电力、热力、燃气及水生产和供应业；</w:t>
      </w:r>
      <w:r>
        <w:rPr>
          <w:rFonts w:hint="eastAsia" w:ascii="宋体" w:hAnsi="宋体" w:cs="宋体"/>
          <w:b/>
          <w:bCs/>
          <w:color w:val="auto"/>
          <w:kern w:val="0"/>
          <w:sz w:val="24"/>
          <w:szCs w:val="24"/>
          <w:highlight w:val="none"/>
        </w:rPr>
        <w:t>交通运输业</w:t>
      </w:r>
      <w:r>
        <w:rPr>
          <w:rFonts w:hint="eastAsia" w:ascii="宋体" w:hAnsi="宋体" w:cs="宋体"/>
          <w:color w:val="auto"/>
          <w:kern w:val="0"/>
          <w:sz w:val="24"/>
          <w:szCs w:val="24"/>
          <w:highlight w:val="none"/>
        </w:rPr>
        <w:t>包括道路运输业，水上运输业，航空运输业，管道运输业，多式联运和运输代理业、装卸搬运，不包括铁路运输业；</w:t>
      </w:r>
      <w:r>
        <w:rPr>
          <w:rFonts w:hint="eastAsia" w:ascii="宋体" w:hAnsi="宋体" w:cs="宋体"/>
          <w:b/>
          <w:bCs/>
          <w:color w:val="auto"/>
          <w:kern w:val="0"/>
          <w:sz w:val="24"/>
          <w:szCs w:val="24"/>
          <w:highlight w:val="none"/>
        </w:rPr>
        <w:t>仓储业</w:t>
      </w:r>
      <w:r>
        <w:rPr>
          <w:rFonts w:hint="eastAsia" w:ascii="宋体" w:hAnsi="宋体" w:cs="宋体"/>
          <w:color w:val="auto"/>
          <w:kern w:val="0"/>
          <w:sz w:val="24"/>
          <w:szCs w:val="24"/>
          <w:highlight w:val="none"/>
        </w:rPr>
        <w:t>包括通用仓储，低温仓储，危险品仓储，谷物、棉花等农产品仓储，中药材仓储和其他仓储业；</w:t>
      </w:r>
      <w:r>
        <w:rPr>
          <w:rFonts w:hint="eastAsia" w:ascii="宋体" w:hAnsi="宋体" w:cs="宋体"/>
          <w:b/>
          <w:bCs/>
          <w:color w:val="auto"/>
          <w:kern w:val="0"/>
          <w:sz w:val="24"/>
          <w:szCs w:val="24"/>
          <w:highlight w:val="none"/>
        </w:rPr>
        <w:t>信息传输业</w:t>
      </w:r>
      <w:r>
        <w:rPr>
          <w:rFonts w:hint="eastAsia" w:ascii="宋体" w:hAnsi="宋体" w:cs="宋体"/>
          <w:color w:val="auto"/>
          <w:kern w:val="0"/>
          <w:sz w:val="24"/>
          <w:szCs w:val="24"/>
          <w:highlight w:val="none"/>
        </w:rPr>
        <w:t>包括电信、广播电视和卫星传输服务，互联网和相关服务；</w:t>
      </w:r>
      <w:r>
        <w:rPr>
          <w:rFonts w:hint="eastAsia" w:ascii="宋体" w:hAnsi="宋体" w:cs="宋体"/>
          <w:b/>
          <w:bCs/>
          <w:color w:val="auto"/>
          <w:kern w:val="0"/>
          <w:sz w:val="24"/>
          <w:szCs w:val="24"/>
          <w:highlight w:val="none"/>
        </w:rPr>
        <w:t>其他未列明行业</w:t>
      </w:r>
      <w:r>
        <w:rPr>
          <w:rFonts w:hint="eastAsia" w:ascii="宋体" w:hAnsi="宋体" w:cs="宋体"/>
          <w:color w:val="auto"/>
          <w:kern w:val="0"/>
          <w:sz w:val="24"/>
          <w:szCs w:val="24"/>
          <w:highlight w:val="none"/>
        </w:rPr>
        <w:t>包括科学研究和技术服务业，水利、环境和公共设施管理业，居民服务、修理和其他服务业，社会工作，文化、体育和娱乐业，以及房地产中介服务，其他房地产业等，不包括自有房地产经营活动。</w:t>
      </w:r>
    </w:p>
    <w:p w14:paraId="63F513BE">
      <w:pPr>
        <w:keepNext w:val="0"/>
        <w:keepLines w:val="0"/>
        <w:pageBreakBefore w:val="0"/>
        <w:widowControl w:val="0"/>
        <w:numPr>
          <w:ilvl w:val="0"/>
          <w:numId w:val="4"/>
        </w:numPr>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企业划分指标以现行统计制度为准。</w:t>
      </w:r>
    </w:p>
    <w:p w14:paraId="7E678E29">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（1）从业人员，是指期末从业人员数，没有期末从业人员数的，采用全年平均人员数代替。</w:t>
      </w:r>
    </w:p>
    <w:p w14:paraId="43C45397">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16D0C39F">
      <w:pPr>
        <w:keepNext w:val="0"/>
        <w:keepLines w:val="0"/>
        <w:pageBreakBefore w:val="0"/>
        <w:widowControl w:val="0"/>
        <w:kinsoku/>
        <w:wordWrap w:val="0"/>
        <w:overflowPunct/>
        <w:topLinePunct w:val="0"/>
        <w:autoSpaceDE/>
        <w:autoSpaceDN/>
        <w:bidi w:val="0"/>
        <w:adjustRightInd/>
        <w:snapToGrid/>
        <w:spacing w:line="420" w:lineRule="exact"/>
        <w:ind w:left="420" w:left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（3）资产总额，采用资产总计代替。</w:t>
      </w:r>
    </w:p>
    <w:p w14:paraId="7474D195">
      <w:pPr>
        <w:pStyle w:val="12"/>
        <w:rPr>
          <w:rFonts w:hint="eastAsia" w:ascii="宋体" w:hAnsi="宋体" w:eastAsia="宋体" w:cs="宋体"/>
          <w:b/>
          <w:bCs/>
          <w:snapToGrid w:val="0"/>
          <w:color w:val="auto"/>
          <w:spacing w:val="0"/>
          <w:kern w:val="21"/>
          <w:sz w:val="36"/>
          <w:szCs w:val="40"/>
        </w:rPr>
      </w:pPr>
    </w:p>
    <w:p w14:paraId="0AC3295B">
      <w:pPr>
        <w:pStyle w:val="12"/>
        <w:rPr>
          <w:rFonts w:hint="eastAsia" w:ascii="宋体" w:hAnsi="宋体" w:eastAsia="宋体" w:cs="宋体"/>
          <w:b/>
          <w:bCs/>
          <w:snapToGrid w:val="0"/>
          <w:color w:val="auto"/>
          <w:spacing w:val="0"/>
          <w:kern w:val="21"/>
          <w:sz w:val="36"/>
          <w:szCs w:val="40"/>
        </w:rPr>
      </w:pPr>
    </w:p>
    <w:p w14:paraId="1EF951A6">
      <w:pPr>
        <w:pStyle w:val="12"/>
        <w:ind w:left="0" w:leftChars="0" w:firstLine="0" w:firstLineChars="0"/>
        <w:rPr>
          <w:rFonts w:hint="eastAsia" w:ascii="宋体" w:hAnsi="宋体" w:eastAsia="宋体" w:cs="宋体"/>
          <w:b/>
          <w:bCs/>
          <w:snapToGrid w:val="0"/>
          <w:color w:val="auto"/>
          <w:spacing w:val="0"/>
          <w:kern w:val="21"/>
          <w:sz w:val="36"/>
          <w:szCs w:val="40"/>
        </w:rPr>
      </w:pPr>
    </w:p>
    <w:p w14:paraId="0167C97A">
      <w:pPr>
        <w:widowControl/>
        <w:jc w:val="left"/>
        <w:rPr>
          <w:rFonts w:hint="eastAsia" w:ascii="宋体" w:hAnsi="宋体" w:eastAsia="宋体" w:cs="宋体"/>
          <w:color w:val="auto"/>
          <w:sz w:val="24"/>
          <w:szCs w:val="24"/>
          <w:highlight w:val="none"/>
          <w:lang w:eastAsia="zh-CN"/>
        </w:rPr>
      </w:pPr>
      <w:bookmarkStart w:id="11" w:name="_Toc4644"/>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：河南省政府采购合同融资政策告知函</w:t>
      </w:r>
      <w:bookmarkEnd w:id="11"/>
    </w:p>
    <w:p w14:paraId="4AEDC4DA">
      <w:pPr>
        <w:keepNext w:val="0"/>
        <w:keepLines w:val="0"/>
        <w:pageBreakBefore w:val="0"/>
        <w:widowControl w:val="0"/>
        <w:kinsoku/>
        <w:wordWrap/>
        <w:overflowPunct/>
        <w:topLinePunct w:val="0"/>
        <w:bidi w:val="0"/>
        <w:adjustRightInd w:val="0"/>
        <w:snapToGrid w:val="0"/>
        <w:spacing w:line="360" w:lineRule="auto"/>
        <w:ind w:firstLine="482" w:firstLineChars="200"/>
        <w:jc w:val="center"/>
        <w:rPr>
          <w:rFonts w:hint="eastAsia" w:ascii="宋体" w:hAnsi="宋体" w:eastAsia="宋体" w:cs="宋体"/>
          <w:b/>
          <w:bCs/>
          <w:color w:val="auto"/>
          <w:sz w:val="24"/>
          <w:szCs w:val="24"/>
          <w:highlight w:val="none"/>
        </w:rPr>
      </w:pPr>
      <w:bookmarkStart w:id="12" w:name="_Toc19399"/>
      <w:bookmarkStart w:id="13" w:name="_Toc7567"/>
    </w:p>
    <w:p w14:paraId="1EC958E1">
      <w:pPr>
        <w:keepNext w:val="0"/>
        <w:keepLines w:val="0"/>
        <w:pageBreakBefore w:val="0"/>
        <w:widowControl w:val="0"/>
        <w:kinsoku/>
        <w:wordWrap/>
        <w:overflowPunct/>
        <w:topLinePunct w:val="0"/>
        <w:bidi w:val="0"/>
        <w:adjustRightInd w:val="0"/>
        <w:snapToGrid w:val="0"/>
        <w:spacing w:line="360" w:lineRule="auto"/>
        <w:ind w:firstLine="482" w:firstLineChars="200"/>
        <w:jc w:val="center"/>
        <w:outlineLvl w:val="0"/>
        <w:rPr>
          <w:rFonts w:hint="eastAsia" w:ascii="宋体" w:hAnsi="宋体" w:eastAsia="宋体" w:cs="宋体"/>
          <w:color w:val="auto"/>
          <w:sz w:val="24"/>
          <w:szCs w:val="24"/>
          <w:highlight w:val="none"/>
        </w:rPr>
      </w:pPr>
      <w:bookmarkStart w:id="14" w:name="_Toc32579"/>
      <w:bookmarkStart w:id="15" w:name="_Toc16735"/>
      <w:r>
        <w:rPr>
          <w:rFonts w:hint="eastAsia" w:ascii="宋体" w:hAnsi="宋体" w:eastAsia="宋体" w:cs="宋体"/>
          <w:b/>
          <w:bCs/>
          <w:color w:val="auto"/>
          <w:sz w:val="24"/>
          <w:szCs w:val="24"/>
          <w:highlight w:val="none"/>
        </w:rPr>
        <w:t>河南省政府采购合同融资政策告知函</w:t>
      </w:r>
      <w:bookmarkEnd w:id="12"/>
      <w:bookmarkEnd w:id="13"/>
      <w:bookmarkEnd w:id="14"/>
      <w:bookmarkEnd w:id="15"/>
    </w:p>
    <w:p w14:paraId="2164ADD9">
      <w:pPr>
        <w:keepNext w:val="0"/>
        <w:keepLines w:val="0"/>
        <w:pageBreakBefore w:val="0"/>
        <w:widowControl w:val="0"/>
        <w:kinsoku/>
        <w:wordWrap/>
        <w:overflowPunct/>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p>
    <w:p w14:paraId="4D58F680">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各</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w:t>
      </w:r>
    </w:p>
    <w:p w14:paraId="030331EF">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欢迎贵公司参与河南省政府采购活动！</w:t>
      </w:r>
    </w:p>
    <w:p w14:paraId="29EB9BE4">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政府采购合同融资是河南省财政厅支持中小微企业发展，针对参与政府采购活动的</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68E3C5BB">
      <w:pPr>
        <w:pStyle w:val="4"/>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rPr>
      </w:pPr>
      <w:bookmarkStart w:id="16" w:name="_Toc15196"/>
      <w:r>
        <w:rPr>
          <w:rFonts w:hint="eastAsia" w:ascii="宋体" w:hAnsi="宋体" w:eastAsia="宋体" w:cs="宋体"/>
          <w:b w:val="0"/>
          <w:bCs w:val="0"/>
          <w:color w:val="auto"/>
          <w:sz w:val="24"/>
          <w:szCs w:val="24"/>
          <w:highlight w:val="none"/>
        </w:rPr>
        <w:t>贷款渠道和提供贷款的金融机构，可在河南省政府采购网“河南省政府采购合同融资平台”查询联系。</w:t>
      </w:r>
      <w:bookmarkEnd w:id="16"/>
    </w:p>
    <w:p w14:paraId="1D8CE38B">
      <w:pPr>
        <w:rPr>
          <w:rFonts w:ascii="宋体" w:hAnsi="宋体" w:cs="宋体"/>
          <w:color w:val="auto"/>
          <w:sz w:val="24"/>
          <w:szCs w:val="24"/>
        </w:rPr>
      </w:pPr>
    </w:p>
    <w:p w14:paraId="48D7FE98">
      <w:pPr>
        <w:widowControl w:val="0"/>
        <w:jc w:val="both"/>
        <w:textAlignment w:val="auto"/>
        <w:rPr>
          <w:rFonts w:hint="eastAsia" w:ascii="宋体" w:hAnsi="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rPr>
        <w:br w:type="page"/>
      </w:r>
      <w:r>
        <w:rPr>
          <w:rFonts w:hint="eastAsia" w:ascii="宋体" w:hAnsi="宋体" w:eastAsia="宋体" w:cs="宋体"/>
          <w:color w:val="auto"/>
          <w:sz w:val="24"/>
          <w:szCs w:val="24"/>
          <w:highlight w:val="none"/>
          <w:lang w:eastAsia="zh-CN"/>
        </w:rPr>
        <w:t>附件</w:t>
      </w:r>
      <w:r>
        <w:rPr>
          <w:rFonts w:hint="eastAsia" w:ascii="宋体" w:hAnsi="宋体" w:eastAsia="宋体" w:cs="宋体"/>
          <w:color w:val="auto"/>
          <w:sz w:val="24"/>
          <w:szCs w:val="24"/>
          <w:highlight w:val="none"/>
          <w:lang w:val="en-US" w:eastAsia="zh-CN"/>
        </w:rPr>
        <w:t>3：卢氏县政府采购合同融资政策告知书</w:t>
      </w:r>
    </w:p>
    <w:p w14:paraId="6C23E59E">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p>
    <w:p w14:paraId="6035FC2B">
      <w:pPr>
        <w:keepNext w:val="0"/>
        <w:keepLines w:val="0"/>
        <w:pageBreakBefore w:val="0"/>
        <w:widowControl w:val="0"/>
        <w:kinsoku/>
        <w:wordWrap/>
        <w:overflowPunct/>
        <w:topLinePunct w:val="0"/>
        <w:bidi w:val="0"/>
        <w:adjustRightInd w:val="0"/>
        <w:snapToGrid w:val="0"/>
        <w:spacing w:line="360" w:lineRule="auto"/>
        <w:ind w:firstLine="482" w:firstLineChars="20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卢氏县政府采购合同融资政策告知书</w:t>
      </w:r>
    </w:p>
    <w:p w14:paraId="588712B5">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p>
    <w:p w14:paraId="7BEED1BB">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各供应商:</w:t>
      </w:r>
    </w:p>
    <w:p w14:paraId="47D2AE30">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欢迎贵公司参与卢氏县政府采购活动!近年来，卢氏县积极发挥政府采购政策功能，加大对中小企业支持力度，创新运用“政采贷”信贷产品，畅通中小企业融资“绿色通道”，为企业发展提质增效注入金融活水。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75D588BB">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特别提醒</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该告知书仅统计了我县部分可以提供线上融资的金融机构，凡参与我县政府采购项目，有融资需求的本地或外地中标(成交)供应商，均可通过“河南省政府采购网”进入“河南省政府采购合同融资平台”，申请融资服务，凡在政府采购合同融资平台登记的金融机构均可开展融资贷款业务。对“政采贷”工作开展过程中发现的新问题、新情况或者建议意见，及时向我县财政部门反馈</w:t>
      </w:r>
      <w:r>
        <w:rPr>
          <w:rFonts w:hint="eastAsia" w:ascii="宋体" w:hAnsi="宋体" w:cs="宋体"/>
          <w:b w:val="0"/>
          <w:bCs w:val="0"/>
          <w:color w:val="auto"/>
          <w:sz w:val="24"/>
          <w:szCs w:val="24"/>
          <w:highlight w:val="none"/>
          <w:lang w:val="en-US" w:eastAsia="zh-CN"/>
        </w:rPr>
        <w:t>。</w:t>
      </w:r>
    </w:p>
    <w:p w14:paraId="7AE4038E">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联系电话:0398-7863556</w:t>
      </w:r>
    </w:p>
    <w:p w14:paraId="35C6CD4C">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p>
    <w:p w14:paraId="3CF4082A">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承接银行联系方式</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5"/>
        <w:gridCol w:w="3065"/>
        <w:gridCol w:w="3066"/>
      </w:tblGrid>
      <w:tr w14:paraId="265D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center"/>
          </w:tcPr>
          <w:p w14:paraId="78E3C4A7">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单位名称</w:t>
            </w:r>
          </w:p>
        </w:tc>
        <w:tc>
          <w:tcPr>
            <w:tcW w:w="3065" w:type="dxa"/>
            <w:noWrap w:val="0"/>
            <w:vAlign w:val="center"/>
          </w:tcPr>
          <w:p w14:paraId="7B8162E2">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联系人</w:t>
            </w:r>
          </w:p>
        </w:tc>
        <w:tc>
          <w:tcPr>
            <w:tcW w:w="3066" w:type="dxa"/>
            <w:noWrap w:val="0"/>
            <w:vAlign w:val="center"/>
          </w:tcPr>
          <w:p w14:paraId="390150DF">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联系方式</w:t>
            </w:r>
          </w:p>
        </w:tc>
      </w:tr>
      <w:tr w14:paraId="24BC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center"/>
          </w:tcPr>
          <w:p w14:paraId="40B6B406">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中国建设银行股份有限公司卢氏支行</w:t>
            </w:r>
          </w:p>
        </w:tc>
        <w:tc>
          <w:tcPr>
            <w:tcW w:w="3065" w:type="dxa"/>
            <w:noWrap w:val="0"/>
            <w:vAlign w:val="center"/>
          </w:tcPr>
          <w:p w14:paraId="198C3810">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张江涛</w:t>
            </w:r>
          </w:p>
        </w:tc>
        <w:tc>
          <w:tcPr>
            <w:tcW w:w="3066" w:type="dxa"/>
            <w:noWrap w:val="0"/>
            <w:vAlign w:val="center"/>
          </w:tcPr>
          <w:p w14:paraId="6D7095E3">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18739850204</w:t>
            </w:r>
          </w:p>
        </w:tc>
      </w:tr>
      <w:tr w14:paraId="734F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center"/>
          </w:tcPr>
          <w:p w14:paraId="6597C405">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中国农业银行股份有限公司卢氏县支行</w:t>
            </w:r>
          </w:p>
        </w:tc>
        <w:tc>
          <w:tcPr>
            <w:tcW w:w="3065" w:type="dxa"/>
            <w:noWrap w:val="0"/>
            <w:vAlign w:val="center"/>
          </w:tcPr>
          <w:p w14:paraId="7D767971">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代仁旺</w:t>
            </w:r>
          </w:p>
        </w:tc>
        <w:tc>
          <w:tcPr>
            <w:tcW w:w="3066" w:type="dxa"/>
            <w:noWrap w:val="0"/>
            <w:vAlign w:val="center"/>
          </w:tcPr>
          <w:p w14:paraId="0FBB99CC">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18939062604</w:t>
            </w:r>
          </w:p>
        </w:tc>
      </w:tr>
      <w:tr w14:paraId="7D06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center"/>
          </w:tcPr>
          <w:p w14:paraId="7D590C88">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中原银行股份有限公司</w:t>
            </w:r>
          </w:p>
          <w:p w14:paraId="4ED26DBA">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卢氏支行</w:t>
            </w:r>
          </w:p>
        </w:tc>
        <w:tc>
          <w:tcPr>
            <w:tcW w:w="3065" w:type="dxa"/>
            <w:noWrap w:val="0"/>
            <w:vAlign w:val="center"/>
          </w:tcPr>
          <w:p w14:paraId="21F3E5D7">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李 博</w:t>
            </w:r>
          </w:p>
        </w:tc>
        <w:tc>
          <w:tcPr>
            <w:tcW w:w="3066" w:type="dxa"/>
            <w:noWrap w:val="0"/>
            <w:vAlign w:val="center"/>
          </w:tcPr>
          <w:p w14:paraId="0CC3294F">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15839857887</w:t>
            </w:r>
          </w:p>
        </w:tc>
      </w:tr>
    </w:tbl>
    <w:p w14:paraId="7EED48E2">
      <w:pPr>
        <w:widowControl w:val="0"/>
        <w:autoSpaceDE w:val="0"/>
        <w:autoSpaceDN w:val="0"/>
        <w:adjustRightInd w:val="0"/>
        <w:spacing w:beforeAutospacing="0" w:afterAutospacing="0" w:line="600" w:lineRule="exact"/>
        <w:ind w:right="-58"/>
        <w:jc w:val="both"/>
        <w:rPr>
          <w:rFonts w:hint="eastAsia"/>
          <w:color w:val="auto"/>
          <w:sz w:val="28"/>
          <w:szCs w:val="28"/>
        </w:rPr>
      </w:pPr>
    </w:p>
    <w:p w14:paraId="0C96BDED">
      <w:pPr>
        <w:jc w:val="both"/>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eastAsia="zh-CN"/>
        </w:rPr>
        <w:t>附件</w:t>
      </w:r>
      <w:r>
        <w:rPr>
          <w:rFonts w:hint="eastAsia" w:ascii="宋体" w:hAnsi="宋体" w:cs="宋体"/>
          <w:b w:val="0"/>
          <w:bCs w:val="0"/>
          <w:color w:val="auto"/>
          <w:sz w:val="24"/>
          <w:szCs w:val="24"/>
          <w:highlight w:val="none"/>
          <w:lang w:val="en-US" w:eastAsia="zh-CN"/>
        </w:rPr>
        <w:t>4：</w:t>
      </w:r>
    </w:p>
    <w:p w14:paraId="386BD715">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质疑函范本</w:t>
      </w:r>
    </w:p>
    <w:p w14:paraId="5AA3F4B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762B22C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质疑供应商：</w:t>
      </w:r>
    </w:p>
    <w:p w14:paraId="44DA954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地址：邮编：</w:t>
      </w:r>
    </w:p>
    <w:p w14:paraId="0802307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联系电话：</w:t>
      </w:r>
    </w:p>
    <w:p w14:paraId="339938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p w14:paraId="2CAD354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34F19F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地址：邮编：</w:t>
      </w:r>
    </w:p>
    <w:p w14:paraId="33DC45C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11DDC44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p>
    <w:p w14:paraId="5BF8F571">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质疑项目的编号： 包号：</w:t>
      </w:r>
    </w:p>
    <w:p w14:paraId="1938731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p w14:paraId="12ED447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 xml:space="preserve">获取日期: </w:t>
      </w:r>
    </w:p>
    <w:p w14:paraId="7B9B81C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三、质疑事项具体内容</w:t>
      </w:r>
    </w:p>
    <w:p w14:paraId="7E8F9FB3">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质疑事项1:</w:t>
      </w:r>
    </w:p>
    <w:p w14:paraId="324F3E5C">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事实依据：</w:t>
      </w:r>
    </w:p>
    <w:p w14:paraId="08A4FA04">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p>
    <w:p w14:paraId="2F8338D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6CE9403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46D000B">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四、与质疑事项相关的质疑请求</w:t>
      </w:r>
    </w:p>
    <w:p w14:paraId="0AF4FC9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p>
    <w:p w14:paraId="63B4175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585927AB">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日期：</w:t>
      </w:r>
    </w:p>
    <w:p w14:paraId="1823B50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质疑函制作说明：</w:t>
      </w:r>
    </w:p>
    <w:p w14:paraId="207A7B7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14:paraId="224F3D8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CA21B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14:paraId="2EFC2F2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14:paraId="1DF6B9A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14:paraId="651D9675">
      <w:pPr>
        <w:widowControl w:val="0"/>
        <w:autoSpaceDE w:val="0"/>
        <w:autoSpaceDN w:val="0"/>
        <w:adjustRightInd w:val="0"/>
        <w:spacing w:beforeAutospacing="0" w:afterAutospacing="0" w:line="360" w:lineRule="auto"/>
        <w:ind w:right="-58"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w:t>
      </w:r>
      <w:r>
        <w:rPr>
          <w:rFonts w:hint="eastAsia" w:ascii="宋体" w:hAnsi="宋体" w:eastAsia="宋体" w:cs="宋体"/>
          <w:color w:val="auto"/>
          <w:sz w:val="24"/>
          <w:szCs w:val="24"/>
          <w:highlight w:val="none"/>
          <w:lang w:eastAsia="zh-CN"/>
        </w:rPr>
        <w:t>章。</w:t>
      </w:r>
    </w:p>
    <w:p w14:paraId="5AF721A0">
      <w:pPr>
        <w:pStyle w:val="12"/>
        <w:rPr>
          <w:rFonts w:hint="eastAsia" w:ascii="宋体" w:hAnsi="宋体" w:eastAsia="宋体" w:cs="宋体"/>
          <w:b/>
          <w:bCs/>
          <w:snapToGrid w:val="0"/>
          <w:color w:val="auto"/>
          <w:spacing w:val="0"/>
          <w:kern w:val="21"/>
          <w:sz w:val="36"/>
          <w:szCs w:val="40"/>
        </w:rPr>
      </w:pPr>
    </w:p>
    <w:p w14:paraId="308D0AEF">
      <w:pPr>
        <w:pStyle w:val="12"/>
        <w:rPr>
          <w:rFonts w:hint="eastAsia" w:ascii="宋体" w:hAnsi="宋体" w:eastAsia="宋体" w:cs="宋体"/>
          <w:b/>
          <w:bCs/>
          <w:snapToGrid w:val="0"/>
          <w:color w:val="auto"/>
          <w:spacing w:val="0"/>
          <w:kern w:val="21"/>
          <w:sz w:val="36"/>
          <w:szCs w:val="40"/>
        </w:rPr>
      </w:pPr>
    </w:p>
    <w:p w14:paraId="1485DBC2">
      <w:pPr>
        <w:pStyle w:val="12"/>
        <w:rPr>
          <w:rFonts w:hint="eastAsia" w:ascii="宋体" w:hAnsi="宋体" w:eastAsia="宋体" w:cs="宋体"/>
          <w:b/>
          <w:bCs/>
          <w:snapToGrid w:val="0"/>
          <w:color w:val="auto"/>
          <w:spacing w:val="0"/>
          <w:kern w:val="21"/>
          <w:sz w:val="36"/>
          <w:szCs w:val="40"/>
        </w:rPr>
      </w:pPr>
    </w:p>
    <w:p w14:paraId="33133DE3">
      <w:pPr>
        <w:pStyle w:val="12"/>
        <w:rPr>
          <w:rFonts w:hint="eastAsia" w:ascii="宋体" w:hAnsi="宋体" w:eastAsia="宋体" w:cs="宋体"/>
          <w:b/>
          <w:bCs/>
          <w:snapToGrid w:val="0"/>
          <w:color w:val="auto"/>
          <w:spacing w:val="0"/>
          <w:kern w:val="21"/>
          <w:sz w:val="36"/>
          <w:szCs w:val="40"/>
        </w:rPr>
      </w:pPr>
    </w:p>
    <w:p w14:paraId="46E41349">
      <w:pPr>
        <w:pStyle w:val="12"/>
        <w:rPr>
          <w:rFonts w:hint="eastAsia" w:ascii="宋体" w:hAnsi="宋体" w:eastAsia="宋体" w:cs="宋体"/>
          <w:b/>
          <w:bCs/>
          <w:snapToGrid w:val="0"/>
          <w:color w:val="auto"/>
          <w:spacing w:val="0"/>
          <w:kern w:val="21"/>
          <w:sz w:val="36"/>
          <w:szCs w:val="40"/>
        </w:rPr>
      </w:pPr>
    </w:p>
    <w:p w14:paraId="748467E1">
      <w:pPr>
        <w:pStyle w:val="12"/>
        <w:rPr>
          <w:rFonts w:hint="eastAsia" w:ascii="宋体" w:hAnsi="宋体" w:eastAsia="宋体" w:cs="宋体"/>
          <w:b/>
          <w:bCs/>
          <w:snapToGrid w:val="0"/>
          <w:color w:val="auto"/>
          <w:spacing w:val="0"/>
          <w:kern w:val="21"/>
          <w:sz w:val="36"/>
          <w:szCs w:val="40"/>
        </w:rPr>
      </w:pPr>
    </w:p>
    <w:p w14:paraId="12C2CB66">
      <w:pPr>
        <w:pStyle w:val="12"/>
        <w:rPr>
          <w:rFonts w:hint="eastAsia" w:ascii="宋体" w:hAnsi="宋体" w:eastAsia="宋体" w:cs="宋体"/>
          <w:b/>
          <w:bCs/>
          <w:snapToGrid w:val="0"/>
          <w:color w:val="auto"/>
          <w:spacing w:val="0"/>
          <w:kern w:val="21"/>
          <w:sz w:val="36"/>
          <w:szCs w:val="40"/>
        </w:rPr>
      </w:pPr>
    </w:p>
    <w:p w14:paraId="08F0139D">
      <w:pPr>
        <w:pStyle w:val="12"/>
        <w:rPr>
          <w:rFonts w:hint="eastAsia" w:ascii="宋体" w:hAnsi="宋体" w:eastAsia="宋体" w:cs="宋体"/>
          <w:b/>
          <w:bCs/>
          <w:snapToGrid w:val="0"/>
          <w:color w:val="auto"/>
          <w:spacing w:val="0"/>
          <w:kern w:val="21"/>
          <w:sz w:val="36"/>
          <w:szCs w:val="40"/>
        </w:rPr>
      </w:pPr>
    </w:p>
    <w:p w14:paraId="4D118909">
      <w:pPr>
        <w:pStyle w:val="12"/>
        <w:rPr>
          <w:rFonts w:hint="eastAsia" w:ascii="宋体" w:hAnsi="宋体" w:eastAsia="宋体" w:cs="宋体"/>
          <w:b/>
          <w:bCs/>
          <w:snapToGrid w:val="0"/>
          <w:color w:val="auto"/>
          <w:spacing w:val="0"/>
          <w:kern w:val="21"/>
          <w:sz w:val="36"/>
          <w:szCs w:val="40"/>
        </w:rPr>
      </w:pPr>
    </w:p>
    <w:p w14:paraId="514BB0DD">
      <w:pPr>
        <w:pStyle w:val="12"/>
        <w:rPr>
          <w:rFonts w:hint="eastAsia" w:ascii="宋体" w:hAnsi="宋体" w:eastAsia="宋体" w:cs="宋体"/>
          <w:b/>
          <w:bCs/>
          <w:snapToGrid w:val="0"/>
          <w:color w:val="auto"/>
          <w:spacing w:val="0"/>
          <w:kern w:val="21"/>
          <w:sz w:val="36"/>
          <w:szCs w:val="40"/>
        </w:rPr>
      </w:pPr>
    </w:p>
    <w:p w14:paraId="3642AE76">
      <w:pPr>
        <w:pStyle w:val="12"/>
        <w:rPr>
          <w:rFonts w:hint="eastAsia" w:ascii="宋体" w:hAnsi="宋体" w:eastAsia="宋体" w:cs="宋体"/>
          <w:b/>
          <w:bCs/>
          <w:snapToGrid w:val="0"/>
          <w:color w:val="auto"/>
          <w:spacing w:val="0"/>
          <w:kern w:val="21"/>
          <w:sz w:val="36"/>
          <w:szCs w:val="40"/>
        </w:rPr>
      </w:pPr>
    </w:p>
    <w:p w14:paraId="1561FA91">
      <w:pPr>
        <w:pStyle w:val="12"/>
        <w:rPr>
          <w:rFonts w:hint="eastAsia" w:ascii="宋体" w:hAnsi="宋体" w:eastAsia="宋体" w:cs="宋体"/>
          <w:b/>
          <w:bCs/>
          <w:snapToGrid w:val="0"/>
          <w:color w:val="auto"/>
          <w:spacing w:val="0"/>
          <w:kern w:val="21"/>
          <w:sz w:val="36"/>
          <w:szCs w:val="40"/>
        </w:rPr>
      </w:pPr>
    </w:p>
    <w:p w14:paraId="629C509B">
      <w:pPr>
        <w:pStyle w:val="12"/>
        <w:rPr>
          <w:rFonts w:hint="eastAsia" w:ascii="宋体" w:hAnsi="宋体" w:eastAsia="宋体" w:cs="宋体"/>
          <w:b/>
          <w:bCs/>
          <w:snapToGrid w:val="0"/>
          <w:color w:val="auto"/>
          <w:spacing w:val="0"/>
          <w:kern w:val="21"/>
          <w:sz w:val="36"/>
          <w:szCs w:val="40"/>
        </w:rPr>
      </w:pPr>
    </w:p>
    <w:p w14:paraId="6086F81F">
      <w:pPr>
        <w:pStyle w:val="12"/>
        <w:rPr>
          <w:rFonts w:hint="eastAsia" w:ascii="宋体" w:hAnsi="宋体" w:eastAsia="宋体" w:cs="宋体"/>
          <w:b/>
          <w:bCs/>
          <w:snapToGrid w:val="0"/>
          <w:color w:val="auto"/>
          <w:spacing w:val="0"/>
          <w:kern w:val="21"/>
          <w:sz w:val="36"/>
          <w:szCs w:val="40"/>
        </w:rPr>
      </w:pPr>
    </w:p>
    <w:p w14:paraId="3ACD9887">
      <w:pPr>
        <w:pStyle w:val="12"/>
        <w:rPr>
          <w:rFonts w:hint="eastAsia" w:ascii="宋体" w:hAnsi="宋体" w:eastAsia="宋体" w:cs="宋体"/>
          <w:b/>
          <w:bCs/>
          <w:snapToGrid w:val="0"/>
          <w:color w:val="auto"/>
          <w:spacing w:val="0"/>
          <w:kern w:val="21"/>
          <w:sz w:val="36"/>
          <w:szCs w:val="40"/>
        </w:rPr>
      </w:pPr>
    </w:p>
    <w:bookmarkEnd w:id="7"/>
    <w:bookmarkEnd w:id="8"/>
    <w:bookmarkEnd w:id="9"/>
    <w:p w14:paraId="12179CE8">
      <w:pPr>
        <w:jc w:val="center"/>
        <w:rPr>
          <w:rFonts w:hint="eastAsia" w:ascii="宋体" w:hAnsi="宋体" w:eastAsia="宋体" w:cs="宋体"/>
          <w:snapToGrid w:val="0"/>
          <w:color w:val="auto"/>
          <w:spacing w:val="0"/>
          <w:kern w:val="21"/>
        </w:rPr>
      </w:pPr>
      <w:bookmarkStart w:id="17" w:name="_Toc183264302"/>
      <w:r>
        <w:rPr>
          <w:rFonts w:hint="eastAsia" w:ascii="宋体" w:hAnsi="宋体" w:eastAsia="宋体" w:cs="宋体"/>
          <w:b/>
          <w:bCs/>
          <w:snapToGrid w:val="0"/>
          <w:color w:val="auto"/>
          <w:spacing w:val="0"/>
          <w:kern w:val="21"/>
          <w:sz w:val="36"/>
          <w:szCs w:val="40"/>
        </w:rPr>
        <w:t xml:space="preserve">第三章 </w:t>
      </w:r>
      <w:r>
        <w:rPr>
          <w:rFonts w:hint="eastAsia" w:ascii="宋体" w:hAnsi="宋体" w:eastAsia="宋体" w:cs="宋体"/>
          <w:b/>
          <w:bCs/>
          <w:snapToGrid w:val="0"/>
          <w:color w:val="auto"/>
          <w:spacing w:val="0"/>
          <w:kern w:val="21"/>
          <w:sz w:val="36"/>
          <w:szCs w:val="40"/>
          <w:lang w:val="en-US" w:eastAsia="zh-CN"/>
        </w:rPr>
        <w:t xml:space="preserve"> </w:t>
      </w:r>
      <w:r>
        <w:rPr>
          <w:rFonts w:hint="eastAsia" w:ascii="宋体" w:hAnsi="宋体" w:eastAsia="宋体" w:cs="宋体"/>
          <w:b/>
          <w:bCs/>
          <w:snapToGrid w:val="0"/>
          <w:color w:val="auto"/>
          <w:spacing w:val="0"/>
          <w:kern w:val="21"/>
          <w:sz w:val="36"/>
          <w:szCs w:val="40"/>
        </w:rPr>
        <w:t>服务内容及</w:t>
      </w:r>
      <w:r>
        <w:rPr>
          <w:rFonts w:hint="eastAsia" w:ascii="宋体" w:hAnsi="宋体" w:eastAsia="宋体" w:cs="宋体"/>
          <w:b/>
          <w:snapToGrid w:val="0"/>
          <w:color w:val="auto"/>
          <w:kern w:val="21"/>
          <w:sz w:val="36"/>
          <w:highlight w:val="none"/>
        </w:rPr>
        <w:t>要求</w:t>
      </w:r>
    </w:p>
    <w:bookmarkEnd w:id="17"/>
    <w:p w14:paraId="66702785">
      <w:pPr>
        <w:jc w:val="center"/>
        <w:rPr>
          <w:rFonts w:hint="default" w:ascii="宋体" w:hAnsi="宋体" w:eastAsia="宋体" w:cs="宋体"/>
          <w:snapToGrid w:val="0"/>
          <w:color w:val="auto"/>
          <w:kern w:val="21"/>
          <w:sz w:val="24"/>
          <w:szCs w:val="24"/>
          <w:highlight w:val="none"/>
          <w:lang w:val="en-US"/>
        </w:rPr>
      </w:pPr>
      <w:bookmarkStart w:id="18" w:name="_Toc57105664"/>
      <w:bookmarkStart w:id="19" w:name="_Toc152045600"/>
    </w:p>
    <w:p w14:paraId="7C0BE197">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一、项目概况与采购范围</w:t>
      </w:r>
    </w:p>
    <w:p w14:paraId="5CEBF3F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1、项目名称：</w:t>
      </w:r>
      <w:r>
        <w:rPr>
          <w:rFonts w:hint="eastAsia" w:ascii="宋体" w:hAnsi="宋体" w:cs="宋体"/>
          <w:color w:val="auto"/>
          <w:sz w:val="24"/>
          <w:szCs w:val="24"/>
          <w:highlight w:val="none"/>
          <w:lang w:eastAsia="zh-CN"/>
        </w:rPr>
        <w:t>卢氏县养老服务中心2026-2027年度集中供养人员餐厅食材采购项目（</w:t>
      </w:r>
      <w:r>
        <w:rPr>
          <w:rFonts w:hint="eastAsia" w:ascii="宋体" w:hAnsi="宋体" w:cs="宋体"/>
          <w:color w:val="auto"/>
          <w:sz w:val="24"/>
          <w:szCs w:val="24"/>
          <w:highlight w:val="none"/>
          <w:lang w:val="en-US" w:eastAsia="zh-CN"/>
        </w:rPr>
        <w:t>二次</w:t>
      </w:r>
      <w:r>
        <w:rPr>
          <w:rFonts w:hint="eastAsia" w:ascii="宋体" w:hAnsi="宋体" w:cs="宋体"/>
          <w:color w:val="auto"/>
          <w:sz w:val="24"/>
          <w:szCs w:val="24"/>
          <w:highlight w:val="none"/>
          <w:lang w:eastAsia="zh-CN"/>
        </w:rPr>
        <w:t>）</w:t>
      </w:r>
    </w:p>
    <w:p w14:paraId="4B8AF4D2">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2、采购人：</w:t>
      </w:r>
      <w:r>
        <w:rPr>
          <w:rFonts w:hint="eastAsia" w:ascii="宋体" w:hAnsi="宋体" w:cs="宋体"/>
          <w:color w:val="auto"/>
          <w:sz w:val="24"/>
          <w:szCs w:val="24"/>
          <w:highlight w:val="none"/>
          <w:lang w:eastAsia="zh-CN"/>
        </w:rPr>
        <w:t>卢氏县养老服务中心</w:t>
      </w:r>
    </w:p>
    <w:p w14:paraId="45BBBA90">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3、项目编号：三卢公开采购-2026-25</w:t>
      </w:r>
      <w:r>
        <w:rPr>
          <w:rFonts w:hint="eastAsia" w:ascii="宋体" w:hAnsi="宋体" w:eastAsia="宋体" w:cs="宋体"/>
          <w:color w:val="auto"/>
          <w:sz w:val="24"/>
          <w:szCs w:val="24"/>
          <w:highlight w:val="none"/>
          <w:lang w:eastAsia="zh-CN"/>
        </w:rPr>
        <w:t>、LSGZ[2026]159-ZC122</w:t>
      </w:r>
    </w:p>
    <w:p w14:paraId="29CE4D0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4、采购内容：本项目</w:t>
      </w:r>
      <w:r>
        <w:rPr>
          <w:rFonts w:hint="eastAsia" w:ascii="宋体" w:hAnsi="宋体" w:cs="宋体"/>
          <w:color w:val="auto"/>
          <w:sz w:val="24"/>
          <w:szCs w:val="24"/>
          <w:highlight w:val="none"/>
          <w:lang w:val="en-US" w:eastAsia="zh-CN"/>
        </w:rPr>
        <w:t>采购内容</w:t>
      </w:r>
      <w:r>
        <w:rPr>
          <w:rFonts w:hint="eastAsia" w:ascii="宋体" w:hAnsi="宋体" w:eastAsia="宋体" w:cs="宋体"/>
          <w:color w:val="auto"/>
          <w:sz w:val="24"/>
          <w:szCs w:val="24"/>
          <w:highlight w:val="none"/>
        </w:rPr>
        <w:t>为</w:t>
      </w:r>
      <w:r>
        <w:rPr>
          <w:rFonts w:hint="eastAsia" w:ascii="宋体" w:hAnsi="宋体" w:cs="宋体"/>
          <w:color w:val="auto"/>
          <w:sz w:val="24"/>
          <w:szCs w:val="24"/>
          <w:highlight w:val="none"/>
          <w:lang w:val="en-US" w:eastAsia="zh-CN"/>
        </w:rPr>
        <w:t>特困</w:t>
      </w:r>
      <w:r>
        <w:rPr>
          <w:rFonts w:hint="eastAsia" w:ascii="宋体" w:hAnsi="宋体" w:cs="宋体"/>
          <w:color w:val="auto"/>
          <w:sz w:val="24"/>
          <w:szCs w:val="24"/>
          <w:highlight w:val="none"/>
          <w:lang w:eastAsia="zh-CN"/>
        </w:rPr>
        <w:t>集中供养人员餐厅食材采购</w:t>
      </w:r>
      <w:r>
        <w:rPr>
          <w:rFonts w:hint="eastAsia" w:ascii="宋体" w:hAnsi="宋体" w:eastAsia="宋体" w:cs="宋体"/>
          <w:color w:val="auto"/>
          <w:sz w:val="24"/>
          <w:szCs w:val="24"/>
          <w:highlight w:val="none"/>
        </w:rPr>
        <w:t>原材料大米、面粉、食用油、干面条、杂粮、猪肉、牛羊肉、鸡肉等肉类、干货、副食、蔬菜、调料等供应服务。</w:t>
      </w:r>
    </w:p>
    <w:p w14:paraId="0C83E6B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5、标段划分：本项目共划分</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个标段。</w:t>
      </w:r>
    </w:p>
    <w:p w14:paraId="6FD31743">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6、资金来源：财政资金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已落实</w:t>
      </w:r>
    </w:p>
    <w:p w14:paraId="36959A2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7、预算金额：</w:t>
      </w:r>
      <w:r>
        <w:rPr>
          <w:rFonts w:hint="eastAsia" w:ascii="宋体" w:hAnsi="宋体" w:cs="宋体"/>
          <w:color w:val="auto"/>
          <w:sz w:val="24"/>
          <w:szCs w:val="24"/>
          <w:highlight w:val="none"/>
          <w:lang w:val="en-US" w:eastAsia="zh-CN"/>
        </w:rPr>
        <w:t>277.00万元（本预算为暂定金额，以实际采购数量为准，按照实际供货数量据实结算）</w:t>
      </w:r>
    </w:p>
    <w:p w14:paraId="202D733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配送地点</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卢氏县五里川镇养老院、朱阳关镇养老院、瓦窑沟乡养老院、杜关镇养老院、石龙头重度残疾供养中心、兴贤里特困供养中心</w:t>
      </w:r>
      <w:r>
        <w:rPr>
          <w:rFonts w:hint="eastAsia" w:ascii="宋体" w:hAnsi="宋体" w:eastAsia="宋体" w:cs="宋体"/>
          <w:color w:val="auto"/>
          <w:sz w:val="24"/>
          <w:szCs w:val="24"/>
          <w:highlight w:val="none"/>
        </w:rPr>
        <w:t>。</w:t>
      </w:r>
    </w:p>
    <w:p w14:paraId="4EACCFF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.质量要求：产品质量合格，符合国家及行业相关食品卫生安全要求，且符合采购人要求。</w:t>
      </w:r>
    </w:p>
    <w:p w14:paraId="5CC5E7D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10.服务周期：</w:t>
      </w:r>
      <w:r>
        <w:rPr>
          <w:rFonts w:hint="eastAsia" w:ascii="宋体" w:hAnsi="宋体" w:cs="宋体"/>
          <w:color w:val="auto"/>
          <w:sz w:val="24"/>
          <w:szCs w:val="24"/>
          <w:highlight w:val="none"/>
          <w:lang w:val="en-US" w:eastAsia="zh-CN"/>
        </w:rPr>
        <w:t>合同签订后1年</w:t>
      </w:r>
    </w:p>
    <w:p w14:paraId="6FA7A57C">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二、食材要求</w:t>
      </w:r>
    </w:p>
    <w:p w14:paraId="62C79CC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原材料必须满足以下要求：</w:t>
      </w:r>
    </w:p>
    <w:p w14:paraId="123CAAC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（1）大米类</w:t>
      </w:r>
    </w:p>
    <w:p w14:paraId="3DD0B02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1.包装标准：产品应采用袋装包装形式，包装严密，图案完整；包装材料应符合食品包装材料卫生标准。</w:t>
      </w:r>
    </w:p>
    <w:p w14:paraId="41FE985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2.标签标识：标明货物名称、净含量、生产者名称和地址、生产日期、保质期、货物标准号、质量等级、生产许可证号、货物批号等内容。</w:t>
      </w:r>
    </w:p>
    <w:p w14:paraId="6E0A2C4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3.运输：运输工具应清洁、无异味，运输时不得与有毒、有害、有腐蚀性货物混装， 运输中应注意轻装、轻卸、防雨、防晒。</w:t>
      </w:r>
    </w:p>
    <w:p w14:paraId="23DA0A4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4.贮存：产品应存放于卫生、通风阴凉、干燥、清洁、无异味的库中。</w:t>
      </w:r>
    </w:p>
    <w:p w14:paraId="3BAF25E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5.大米必须是厂家密封原包装货物且有检验合格证。</w:t>
      </w:r>
    </w:p>
    <w:p w14:paraId="15E8512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6.产品质量不得低于国家质量技术等级最新标准。</w:t>
      </w:r>
    </w:p>
    <w:p w14:paraId="0FAC4D5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（2）面粉类</w:t>
      </w:r>
    </w:p>
    <w:p w14:paraId="6C8F24C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1.包装标准：产品应采用袋装包装形式，包装严密，图案完整；包装材料应符合食品包装材料卫生标准。</w:t>
      </w:r>
    </w:p>
    <w:p w14:paraId="25355D6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2.不得加入添加剂或添加粉，保证面粉质量。</w:t>
      </w:r>
    </w:p>
    <w:p w14:paraId="555FD96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3.标签标识：标明产品名称、净含量、生产者名称和地址、生产日期、保质期、产标准号、质量等级、生产许可证号、产品批号等内容。</w:t>
      </w:r>
    </w:p>
    <w:p w14:paraId="1A9BFC5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4.运输：运输工具应清洁、无异味，运输中应注意轻装、轻卸、防雨、防晒。</w:t>
      </w:r>
    </w:p>
    <w:p w14:paraId="2D66A3C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5.贮存：产品应存放于卫生、通风阴凉、干燥、清洁、无异味的库中。</w:t>
      </w:r>
    </w:p>
    <w:p w14:paraId="00D50E8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6.面粉必须是厂家密封原包装产品且有检验合格证。</w:t>
      </w:r>
    </w:p>
    <w:p w14:paraId="2BF23A5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7.面粉应为普通小麦精粉或上白粉，质量等级不低于国家规定技术等级最新标准，不添加国家规定以外任何添加剂成分。</w:t>
      </w:r>
    </w:p>
    <w:p w14:paraId="4AA1256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（3）食用油类</w:t>
      </w:r>
    </w:p>
    <w:p w14:paraId="31F8AD1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1.执行标准：色拉油: GB1535-2003 一级大豆色拉油，花生油: GB1534-2017，大豆油: GB1535-2003，葵花籽油:GB10464-2017 等；液体具有油脂正常色泽，澄清透明，无焦臭、酸败及其他异味，口感好；无任何掺杂气味；</w:t>
      </w:r>
    </w:p>
    <w:p w14:paraId="74F19992">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2.所提供的物品不得为转基因物品或转基因制成品，经查实所提供物品中具有转基因物品或转基因制成品立即终止合同，并由配送方将承担全部责任。</w:t>
      </w:r>
    </w:p>
    <w:p w14:paraId="1B104A8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3.油类质量标准:符合国家质量等级最新标准。</w:t>
      </w:r>
    </w:p>
    <w:p w14:paraId="0B25EDE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4.质保期要求：并应符合剩余质保期在其总质保期的 2/3 内。</w:t>
      </w:r>
    </w:p>
    <w:p w14:paraId="20E84DC7">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5.包装要求：≥5L/桶的塑料软包装，包装应符合《食用植物油销售包装》（GB/T 17374）要求，包装材料应清洁、卫生，不与油发生化学作用而产生变化，符合国家食品卫生标准和管理规定。</w:t>
      </w:r>
    </w:p>
    <w:p w14:paraId="4C7854E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6.标签标识：标明产品名称、净含量、生产者名称和地址、生产日期、保质期、产品标准号、食品添加剂、质量等级、生产许可证号、产品批号等内容。</w:t>
      </w:r>
    </w:p>
    <w:p w14:paraId="221C37E7">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7.必须是厂家密封原包装货物且有检验合格证。</w:t>
      </w:r>
    </w:p>
    <w:p w14:paraId="5F8A352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8.运输：运输时应外加纸箱、木箱等包装物，运输工具应清洁、无异味，运输时不得与有毒、有害、有腐蚀性货物混装，运输中应注意轻装、轻卸、防雨、防晒。</w:t>
      </w:r>
    </w:p>
    <w:p w14:paraId="70024CA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9.贮存：产品应存放于卫生、通风阴凉、干燥、清洁、无异味的库中。</w:t>
      </w:r>
    </w:p>
    <w:p w14:paraId="4009EA22">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（4）肉类</w:t>
      </w:r>
    </w:p>
    <w:p w14:paraId="5A6E298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1.所提供的食品必须符合国家有关标准，保证新鲜、无淤血、无异味、无霉烂变质。供货时需提供当批次有效的动物检疫合格证，原件备查，严禁提供冷冻产品。</w:t>
      </w:r>
    </w:p>
    <w:p w14:paraId="52FBA9D2">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2.卫生标准：参考国家执行的相关标准。</w:t>
      </w:r>
    </w:p>
    <w:p w14:paraId="1B1B64E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3.包装标准：包装严密，包装材料应符合食品包装材料卫生标准。</w:t>
      </w:r>
    </w:p>
    <w:p w14:paraId="13C392E3">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4.运输：运输工具应符合卫生要求，运输时不得与有毒、有害、有腐蚀性货物混装， 运输中防挤压，应注意轻装、轻卸、防雨、防晒。夏季时要求中标人能够保证冷藏运输。</w:t>
      </w:r>
    </w:p>
    <w:p w14:paraId="1EB3A83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5.贮存：产品应存放于卫生、通风阴凉、干燥、清洁、无异味的库中。</w:t>
      </w:r>
    </w:p>
    <w:p w14:paraId="30D3E397">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6.每批货随附检疫部门出具的检疫证，原件备查。</w:t>
      </w:r>
    </w:p>
    <w:p w14:paraId="6E13A9B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（5）禽类</w:t>
      </w:r>
    </w:p>
    <w:p w14:paraId="09B2AF7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1.所提供的物品必须符合国家有关标准，保证无异味、无霉烂变质，严禁提供冷冻产品。</w:t>
      </w:r>
    </w:p>
    <w:p w14:paraId="50ED19E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2.对货物的品质要求，必须符合国家，食品部门的有关标准和规格要求。</w:t>
      </w:r>
    </w:p>
    <w:p w14:paraId="045F629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3.每批鲜肉、骨应保持较好的外观和质量等级，符合国家食品部门的有关标准，保证无异味、无腐烂变质。</w:t>
      </w:r>
    </w:p>
    <w:p w14:paraId="2EC145D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4.包装标准：包装材料应符合食品包装材料卫生标准。</w:t>
      </w:r>
    </w:p>
    <w:p w14:paraId="0AB21AC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5.运输：运输工具应符合卫生要求，运输时不得与有毒、有害、有腐蚀性货物混装， 运输中防挤压，应注意轻装、轻卸、防雨、防晒。</w:t>
      </w:r>
    </w:p>
    <w:p w14:paraId="14666A7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6.贮存：产品应存放于卫生、通风阴凉、干燥、清洁、无异味的库中。</w:t>
      </w:r>
    </w:p>
    <w:p w14:paraId="2E1ED653">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7.每批货随附检疫部门出具的检疫证，原件备查。</w:t>
      </w:r>
    </w:p>
    <w:p w14:paraId="3748C21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（6）蛋类</w:t>
      </w:r>
    </w:p>
    <w:p w14:paraId="79E8F49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 所提供的物品必须符合国家有关标准，保证无异味、无霉烂变质。</w:t>
      </w:r>
    </w:p>
    <w:p w14:paraId="4281455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2.对货物的品质要求，必须符合国家，食品部门的有关标准和规格要求。</w:t>
      </w:r>
    </w:p>
    <w:p w14:paraId="1B214DA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蛋类应蛋壳清洁完整，色泽鲜明，无破损、裂纹，无霉斑，灯光透视时，整个蛋呈桔黄色至橙红色，蛋黄不见或略见阴影，没有霉味、酸味，臭味等不良气味，打开后蛋黄凸起、完整、有韧性，蛋白澄清、透明、稀稠分明，无异味。鸡蛋要求在本地养鸡场配送确保新鲜。</w:t>
      </w:r>
    </w:p>
    <w:p w14:paraId="1D844FD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4.皮蛋应外表泥状包料完整、无霉斑，包料除掉后蛋壳完整无损，灯光透照蛋内容物凝固不动，打开观察，整个蛋凝固、不粘壳、清洁而有弹性，呈半透明的棕黄色，闻起来有芳香，无辛辣气。</w:t>
      </w:r>
    </w:p>
    <w:p w14:paraId="51EDE12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咸蛋应蛋壳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 富于油脂，品尝则有咸蛋固有的香味。</w:t>
      </w:r>
    </w:p>
    <w:p w14:paraId="518098A3">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6.包装标准：包装材料应符合食品包装材料卫生标准。</w:t>
      </w:r>
    </w:p>
    <w:p w14:paraId="27AD655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7.运输：运输工具应符合卫生要求，运输时不得与有毒、有害、有腐蚀性货物混装， 运输中防挤压，应注意轻装、轻卸、防雨、防晒。</w:t>
      </w:r>
    </w:p>
    <w:p w14:paraId="1175A8E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8.贮存：产品应存放于卫生、通风阴凉、干燥、清洁、无异味的库中。</w:t>
      </w:r>
    </w:p>
    <w:p w14:paraId="60C65DE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（7）果蔬类</w:t>
      </w:r>
    </w:p>
    <w:p w14:paraId="1233D52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1.符合国家食品服务要求。所提供的物品必须符合国家有关标准，保证无异味、无霉烂变质。</w:t>
      </w:r>
    </w:p>
    <w:p w14:paraId="61F9808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符合国家食品卫生标准。瓜、果、蔬菜必须是优质货品，保证所供应的蔬菜符合卫生标准，卫生指标应符合我国无公害蔬菜的卫生指标规定，同时承担因所供蔬菜问题引起的一切事故后果。各种蔬菜都应具有本品种固有的气味、形态、颜色、光泽及蔬菜的成熟度和鲜嫩程度，没有腐烂变质及其他异常味道，不能提供萎盖、枯塌、损伤、病变、虫害等异常蔬菜。</w:t>
      </w:r>
    </w:p>
    <w:p w14:paraId="56A276D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叶菜类应肉质鲜嫩、形态好、色泽正常、茎基部削平，无黄叶、病叶、泥土、明显机械伤和病虫害，无烧心焦边、腐烂等现象，无抽苔，无畸形、异味，结球叶菜芭结球适度，花椰菜类应新鲜洁白，不带叶获、无畸形花。</w:t>
      </w:r>
    </w:p>
    <w:p w14:paraId="21CEEFA1">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4.茄果类等应果实整洁，成熟度适中，番茄花蒂不明显，无裂果及空洞现象，茄果不能有裂蒂及果皮变硬现象，无腐烂、畸形、异味，无明显机械伤。</w:t>
      </w:r>
    </w:p>
    <w:p w14:paraId="0827E12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5.瓜果类等形状、色泽一致，瓜条均匀，无疤点，无断裂，无腐烂、畸形、异味、明显机械伤。</w:t>
      </w:r>
    </w:p>
    <w:p w14:paraId="58FFB9B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6.根菜类等品种皮细光滑，大小均匀，肉质脆嫩、新鲜，无断裂，无腐烂、裂痕、糠心、异味、不带泥土、茎叶和须根。</w:t>
      </w:r>
    </w:p>
    <w:p w14:paraId="61904F3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7.薯芋类应色泽一致、不带泥土、茎叶和须根，不干瘪、无腐烂、畸形、异味、明显机械伤、病虫害斑，马铃薯无发芽，皮不变绿。</w:t>
      </w:r>
    </w:p>
    <w:p w14:paraId="6E364F4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8.葱蒜类应不带老叶、枯叶，不带泥土，无腐烂、异味。</w:t>
      </w:r>
    </w:p>
    <w:p w14:paraId="382F7C3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9.豆类应形态完整，成熟度适中，无腐烂、畸形、异味，豆英类新鲜、嫩、均匀，豆粒饱满，无发芽，不带泥。</w:t>
      </w:r>
    </w:p>
    <w:p w14:paraId="42C520A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10.食用菌类应新鲜，无杂质，无腐烂、畸形、异味。</w:t>
      </w:r>
    </w:p>
    <w:p w14:paraId="7B92467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11.包装标准：包装材料应符合食品包装材料卫生标准。</w:t>
      </w:r>
    </w:p>
    <w:p w14:paraId="20D901E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12.运输：运输工具应符合卫生要求，运输时不得与有毒、有害、有腐蚀性货物混装， 运输中防挤压，应注意轻装、轻卸、防雨、防晒。</w:t>
      </w:r>
    </w:p>
    <w:p w14:paraId="13474FCD">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（8）调料副食品类</w:t>
      </w:r>
    </w:p>
    <w:p w14:paraId="00A3174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1.所提供的物品必须符合国家有关标准，且在质保期内，保证无异味、无霉烂变质。</w:t>
      </w:r>
    </w:p>
    <w:p w14:paraId="1B104A1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2.所提供的物品指标要符合国家强制性标准要求，食品类产品，配送方必须清晰地列出产品品牌，型号、包装类型、包装方式、包装净重量等相关参数，且外包装上必须贴有SC 标志。</w:t>
      </w:r>
    </w:p>
    <w:p w14:paraId="4F61A77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3.对货物的品质要求，必须符合国家，食品部门的有关标准和规格要求。</w:t>
      </w:r>
    </w:p>
    <w:p w14:paraId="76FCE13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4.货物必须符合卫生要求，不得有腐烂、变质、霉变、生虫、污秽不结、混有异物或者其他感官性状异常，并可能对人体健康有害的物质。</w:t>
      </w:r>
    </w:p>
    <w:p w14:paraId="3E6DECA1">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5.货物应有正规生产厂家合格证书、产品检验合格证书。外包装完整， 同时外包装要印有注册商标、生产厂家名称、厂址、生产日期、产品合格证、保质期限、产品成分、厂家电话号码等。</w:t>
      </w:r>
    </w:p>
    <w:p w14:paraId="6CEB568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6.散装类货物应提供生产厂家营业执照、卫生许可证、国家机关发出的产品检验合格证书。</w:t>
      </w:r>
    </w:p>
    <w:p w14:paraId="745CB62D">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7.配送方所提供的物品质量必须要符合行业标准要求，不得有掺假、变质、过期等现象出现，严禁伪劣、假冒、无证不合格物品进入仓库。</w:t>
      </w:r>
    </w:p>
    <w:p w14:paraId="647BDC3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8.所提供的物品不得为转基因物品或转基因制成品，经查实所提供物品中具有转基因物品或转基因制成品立即终止合同，并由配送方将承担全部责任。</w:t>
      </w:r>
    </w:p>
    <w:p w14:paraId="7B6AED4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9.对照需求方要求检查所送物资品牌、规格是否符合要求，对有包装的食品，检查包装是否完整，有无破损，查看食品包装标签应符合《食品安全国家标准预包装食品标签通则》 (CB7718) 要求，包括食品名称、配料表、净含量、规格、生产者(或) 经销者的名称、地址和联系方式、生产日期和保质期、贮存条件、食品生产许可证编号、产品标准代号等内容。</w:t>
      </w:r>
    </w:p>
    <w:p w14:paraId="0DE7D0E3">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10.通过感官鉴别包装内产品及无包装产品，依靠视觉、嗅觉、味觉、触觉等鉴定食品的外观形态、色泽、气味、滋味和硬度(稠度)是否符合服务要求。有保质期限的商品剩余保存期不得少于原有保质期的三分之二。</w:t>
      </w:r>
    </w:p>
    <w:p w14:paraId="3FF6631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（9）奶制品类</w:t>
      </w:r>
    </w:p>
    <w:p w14:paraId="0A903FCD">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包含但不限于：纯奶、酸奶、米粉、蛋白粉、奶粉等，所提供产品均须符合国家标准及甲方要求。</w:t>
      </w:r>
    </w:p>
    <w:p w14:paraId="09D1C158">
      <w:pPr>
        <w:ind w:firstLine="480" w:firstLineChars="200"/>
        <w:jc w:val="left"/>
        <w:rPr>
          <w:rFonts w:hint="eastAsia" w:ascii="宋体" w:hAnsi="宋体" w:eastAsia="宋体" w:cs="宋体"/>
          <w:snapToGrid w:val="0"/>
          <w:color w:val="auto"/>
          <w:kern w:val="21"/>
          <w:sz w:val="24"/>
          <w:szCs w:val="24"/>
          <w:highlight w:val="none"/>
          <w:lang w:val="en-US" w:eastAsia="zh-CN"/>
        </w:rPr>
      </w:pPr>
      <w:r>
        <w:rPr>
          <w:rFonts w:hint="default" w:ascii="宋体" w:hAnsi="宋体" w:eastAsia="宋体" w:cs="宋体"/>
          <w:snapToGrid w:val="0"/>
          <w:color w:val="auto"/>
          <w:kern w:val="21"/>
          <w:sz w:val="24"/>
          <w:szCs w:val="24"/>
          <w:highlight w:val="none"/>
          <w:lang w:val="en-US"/>
        </w:rPr>
        <w:t>1.纯奶感官要求:色泽呈乳白色或微黄色，滋味气味具有乳固有的香味，无异味，组织状态星均匀一致液体，无凝块、无沉淀、无正常视力可见异物</w:t>
      </w:r>
      <w:r>
        <w:rPr>
          <w:rFonts w:hint="eastAsia" w:ascii="宋体" w:hAnsi="宋体" w:cs="宋体"/>
          <w:snapToGrid w:val="0"/>
          <w:color w:val="auto"/>
          <w:kern w:val="21"/>
          <w:sz w:val="24"/>
          <w:szCs w:val="24"/>
          <w:highlight w:val="none"/>
          <w:lang w:val="en-US" w:eastAsia="zh-CN"/>
        </w:rPr>
        <w:t>。</w:t>
      </w:r>
    </w:p>
    <w:p w14:paraId="36FD780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酸奶感官要求:色泽均匀一致，呈乳白色或微黄色，风味发酵乳具有与添加成分相符的色泽，滋味气味具有发酵乳特有的滋味、气味，风味发酵乳具有与添加成分相符的滋味和气味，组织状态细腻、均匀，允许有少量乳清析出，风味发酵乳具有添加成分特有的组织状态。</w:t>
      </w:r>
    </w:p>
    <w:p w14:paraId="6D25E37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3.所有货物应有正规生产厂家合格证书、国家机关发出的产品检验合格证书。包装箱完整，同时包装箱要印有注册商标、生产厂家名称、厂址、生产日期、产品合格证、保质期限、产品成分、厂家电话号码等。</w:t>
      </w:r>
    </w:p>
    <w:p w14:paraId="1D99DCE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4.中标方所提供的货物质量必须要符合行业标准要求，不得有掺假、变质、变味、过期等现象出现，严禁伪劣、假目、无证不合格货物进入仓库。</w:t>
      </w:r>
    </w:p>
    <w:p w14:paraId="2A6AC75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（10） 速冻食品类</w:t>
      </w:r>
    </w:p>
    <w:p w14:paraId="6A9DC90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1.所提供的物品必须符合国家有关标准，且在质保期内，保证无异味、无霉烂变质。</w:t>
      </w:r>
    </w:p>
    <w:p w14:paraId="031426B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2.所提供的物品指标要符合国家强制性标准要求，食品类产品，配送方必须清晰地列出产品品牌，型号、包装类型、包装方式、包装净重量等相关参数。</w:t>
      </w:r>
    </w:p>
    <w:p w14:paraId="53F649ED">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3.对货物的品质要求，必须符合国家，食品部门的有关标准和规格要求。</w:t>
      </w:r>
    </w:p>
    <w:p w14:paraId="64EC270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4.货物必须符合卫生要求，不得有腐烂、变质、霉变、生虫、污秽不结、混有异物或者其他感官性状异常，并可能对人体健康有害的物质。</w:t>
      </w:r>
    </w:p>
    <w:p w14:paraId="3A273DF2">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5.货物应有正规生产厂家合格证书、产品检验合格证书。外包装完整， 同时外包装要印有注册商标、生产厂家名称、厂址、生产日期、产品合格证、保质期限、产品成分、厂家电话号码等。</w:t>
      </w:r>
    </w:p>
    <w:p w14:paraId="6DAEA86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（11） 杂粮类</w:t>
      </w:r>
    </w:p>
    <w:p w14:paraId="4B200A8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新鲜、成熟度适中，无腐烂、畸形、异味。干净、无异味。外形完整、美观、无破损。不得为转基因物品或转基因制成品。</w:t>
      </w:r>
    </w:p>
    <w:p w14:paraId="43B6F2DB">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w:t>
      </w:r>
      <w:r>
        <w:rPr>
          <w:rFonts w:hint="default" w:ascii="宋体" w:hAnsi="宋体" w:eastAsia="宋体" w:cs="宋体"/>
          <w:b/>
          <w:bCs/>
          <w:color w:val="auto"/>
          <w:sz w:val="24"/>
          <w:szCs w:val="24"/>
          <w:highlight w:val="none"/>
          <w:lang w:val="en-US" w:eastAsia="zh-CN"/>
        </w:rPr>
        <w:t>、其他内容：</w:t>
      </w:r>
    </w:p>
    <w:p w14:paraId="75ED3A6F">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1</w:t>
      </w:r>
      <w:r>
        <w:rPr>
          <w:rFonts w:hint="default" w:ascii="宋体" w:hAnsi="宋体" w:eastAsia="宋体" w:cs="宋体"/>
          <w:snapToGrid w:val="0"/>
          <w:color w:val="auto"/>
          <w:kern w:val="21"/>
          <w:sz w:val="24"/>
          <w:szCs w:val="24"/>
          <w:highlight w:val="none"/>
          <w:lang w:val="en-US"/>
        </w:rPr>
        <w:t>.合同期内，中标企业因食品质量或其他原因造成违约行为或一般安全事故以上的，应勒令整改或终止合约，并处罚金。</w:t>
      </w:r>
    </w:p>
    <w:p w14:paraId="2EB79AB7">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2</w:t>
      </w:r>
      <w:r>
        <w:rPr>
          <w:rFonts w:hint="default" w:ascii="宋体" w:hAnsi="宋体" w:eastAsia="宋体" w:cs="宋体"/>
          <w:snapToGrid w:val="0"/>
          <w:color w:val="auto"/>
          <w:kern w:val="21"/>
          <w:sz w:val="24"/>
          <w:szCs w:val="24"/>
          <w:highlight w:val="none"/>
          <w:lang w:val="en-US"/>
        </w:rPr>
        <w:t>.供应商必须保证所提供商品质量安全无害，必须遵守《中华人民共和国消费者权益保护法》、《中华人民共和国计量法》等相关法律、法规的要求。</w:t>
      </w:r>
    </w:p>
    <w:p w14:paraId="19023CD3">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3</w:t>
      </w:r>
      <w:r>
        <w:rPr>
          <w:rFonts w:hint="default" w:ascii="宋体" w:hAnsi="宋体" w:eastAsia="宋体" w:cs="宋体"/>
          <w:snapToGrid w:val="0"/>
          <w:color w:val="auto"/>
          <w:kern w:val="21"/>
          <w:sz w:val="24"/>
          <w:szCs w:val="24"/>
          <w:highlight w:val="none"/>
          <w:lang w:val="en-US"/>
        </w:rPr>
        <w:t>.供货方式：供应商应根据接收方的实际需求种类及数量供货，质量应符合本项目招标要求的质量标准，且根据实际情况，保证</w:t>
      </w:r>
      <w:r>
        <w:rPr>
          <w:rFonts w:hint="eastAsia" w:ascii="宋体" w:hAnsi="宋体" w:cs="宋体"/>
          <w:snapToGrid w:val="0"/>
          <w:color w:val="auto"/>
          <w:kern w:val="21"/>
          <w:sz w:val="24"/>
          <w:szCs w:val="24"/>
          <w:highlight w:val="none"/>
          <w:lang w:val="en-US" w:eastAsia="zh-CN"/>
        </w:rPr>
        <w:t>及时供应</w:t>
      </w:r>
      <w:r>
        <w:rPr>
          <w:rFonts w:hint="default" w:ascii="宋体" w:hAnsi="宋体" w:eastAsia="宋体" w:cs="宋体"/>
          <w:snapToGrid w:val="0"/>
          <w:color w:val="auto"/>
          <w:kern w:val="21"/>
          <w:sz w:val="24"/>
          <w:szCs w:val="24"/>
          <w:highlight w:val="none"/>
          <w:lang w:val="en-US"/>
        </w:rPr>
        <w:t>；中标供应商应使用专用配送车辆进行配送；必须保证供货的食品安全、供货食品的及时、供货食品运输安全，运输过程中应有防尘、防雨雪设施。如果在项目运行过程中，投标人出现项目转让、委托配送的情况，采购人可以立即中止项目服务合同。</w:t>
      </w:r>
    </w:p>
    <w:p w14:paraId="1FE27331">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4</w:t>
      </w:r>
      <w:r>
        <w:rPr>
          <w:rFonts w:hint="default" w:ascii="宋体" w:hAnsi="宋体" w:eastAsia="宋体" w:cs="宋体"/>
          <w:snapToGrid w:val="0"/>
          <w:color w:val="auto"/>
          <w:kern w:val="21"/>
          <w:sz w:val="24"/>
          <w:szCs w:val="24"/>
          <w:highlight w:val="none"/>
          <w:lang w:val="en-US"/>
        </w:rPr>
        <w:t>.若有新标准或要求的，应符合国家最新标准要求；</w:t>
      </w:r>
    </w:p>
    <w:p w14:paraId="1A7229F1">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5</w:t>
      </w:r>
      <w:r>
        <w:rPr>
          <w:rFonts w:hint="default" w:ascii="宋体" w:hAnsi="宋体" w:eastAsia="宋体" w:cs="宋体"/>
          <w:snapToGrid w:val="0"/>
          <w:color w:val="auto"/>
          <w:kern w:val="21"/>
          <w:sz w:val="24"/>
          <w:szCs w:val="24"/>
          <w:highlight w:val="none"/>
          <w:lang w:val="en-US"/>
        </w:rPr>
        <w:t>.未尽事宜按照国家、省、市、县相关规定执行。</w:t>
      </w:r>
    </w:p>
    <w:p w14:paraId="7E97C4EA">
      <w:pPr>
        <w:rPr>
          <w:rFonts w:hint="eastAsia" w:ascii="宋体" w:hAnsi="宋体" w:eastAsia="宋体" w:cs="宋体"/>
          <w:color w:val="auto"/>
        </w:rPr>
      </w:pPr>
    </w:p>
    <w:p w14:paraId="1B372C9A">
      <w:pPr>
        <w:pStyle w:val="12"/>
        <w:rPr>
          <w:rFonts w:hint="eastAsia" w:ascii="宋体" w:hAnsi="宋体" w:eastAsia="宋体" w:cs="宋体"/>
          <w:color w:val="auto"/>
        </w:rPr>
      </w:pPr>
    </w:p>
    <w:p w14:paraId="545A1E89">
      <w:pPr>
        <w:pStyle w:val="12"/>
        <w:rPr>
          <w:rFonts w:hint="eastAsia" w:ascii="宋体" w:hAnsi="宋体" w:eastAsia="宋体" w:cs="宋体"/>
          <w:color w:val="auto"/>
        </w:rPr>
      </w:pPr>
    </w:p>
    <w:p w14:paraId="45DA4759">
      <w:pPr>
        <w:pStyle w:val="12"/>
        <w:rPr>
          <w:rFonts w:hint="eastAsia" w:ascii="宋体" w:hAnsi="宋体" w:eastAsia="宋体" w:cs="宋体"/>
          <w:color w:val="auto"/>
        </w:rPr>
      </w:pPr>
    </w:p>
    <w:p w14:paraId="042CE8EA">
      <w:pPr>
        <w:pStyle w:val="12"/>
        <w:rPr>
          <w:rFonts w:hint="eastAsia" w:ascii="宋体" w:hAnsi="宋体" w:eastAsia="宋体" w:cs="宋体"/>
          <w:color w:val="auto"/>
        </w:rPr>
      </w:pPr>
    </w:p>
    <w:p w14:paraId="438F722E">
      <w:pPr>
        <w:pStyle w:val="12"/>
        <w:rPr>
          <w:rFonts w:hint="eastAsia" w:ascii="宋体" w:hAnsi="宋体" w:eastAsia="宋体" w:cs="宋体"/>
          <w:color w:val="auto"/>
        </w:rPr>
      </w:pPr>
    </w:p>
    <w:p w14:paraId="0CDA6039">
      <w:pPr>
        <w:pStyle w:val="12"/>
        <w:rPr>
          <w:rFonts w:hint="eastAsia" w:ascii="宋体" w:hAnsi="宋体" w:eastAsia="宋体" w:cs="宋体"/>
          <w:color w:val="auto"/>
        </w:rPr>
      </w:pPr>
    </w:p>
    <w:p w14:paraId="6D53C4DE">
      <w:pPr>
        <w:pStyle w:val="12"/>
        <w:rPr>
          <w:rFonts w:hint="eastAsia" w:ascii="宋体" w:hAnsi="宋体" w:eastAsia="宋体" w:cs="宋体"/>
          <w:color w:val="auto"/>
        </w:rPr>
      </w:pPr>
    </w:p>
    <w:p w14:paraId="65977AAD">
      <w:pPr>
        <w:pStyle w:val="12"/>
        <w:rPr>
          <w:rFonts w:hint="eastAsia" w:ascii="宋体" w:hAnsi="宋体" w:eastAsia="宋体" w:cs="宋体"/>
          <w:color w:val="auto"/>
        </w:rPr>
      </w:pPr>
    </w:p>
    <w:p w14:paraId="66B035EB">
      <w:pPr>
        <w:pStyle w:val="12"/>
        <w:rPr>
          <w:rFonts w:hint="eastAsia" w:ascii="宋体" w:hAnsi="宋体" w:eastAsia="宋体" w:cs="宋体"/>
          <w:color w:val="auto"/>
        </w:rPr>
      </w:pPr>
    </w:p>
    <w:p w14:paraId="2641445C">
      <w:pPr>
        <w:jc w:val="center"/>
        <w:rPr>
          <w:rFonts w:hint="eastAsia" w:ascii="宋体" w:hAnsi="宋体" w:eastAsia="宋体" w:cs="宋体"/>
          <w:b/>
          <w:bCs/>
          <w:color w:val="auto"/>
          <w:spacing w:val="0"/>
          <w:kern w:val="0"/>
          <w:sz w:val="28"/>
          <w:szCs w:val="32"/>
          <w:lang w:val="zh-CN"/>
        </w:rPr>
      </w:pPr>
    </w:p>
    <w:p w14:paraId="4F32D7C9">
      <w:pPr>
        <w:jc w:val="both"/>
        <w:rPr>
          <w:rFonts w:hint="eastAsia" w:ascii="宋体" w:hAnsi="宋体" w:eastAsia="宋体" w:cs="宋体"/>
          <w:b/>
          <w:bCs/>
          <w:color w:val="auto"/>
          <w:spacing w:val="0"/>
          <w:kern w:val="0"/>
          <w:sz w:val="28"/>
          <w:szCs w:val="32"/>
          <w:lang w:val="zh-CN"/>
        </w:rPr>
      </w:pPr>
    </w:p>
    <w:p w14:paraId="1C431713">
      <w:pPr>
        <w:jc w:val="both"/>
        <w:rPr>
          <w:rFonts w:hint="eastAsia" w:ascii="宋体" w:hAnsi="宋体" w:eastAsia="宋体" w:cs="宋体"/>
          <w:b/>
          <w:bCs/>
          <w:color w:val="auto"/>
          <w:spacing w:val="0"/>
          <w:kern w:val="0"/>
          <w:sz w:val="28"/>
          <w:szCs w:val="32"/>
          <w:lang w:val="zh-CN"/>
        </w:rPr>
      </w:pPr>
    </w:p>
    <w:p w14:paraId="68EA0085">
      <w:pPr>
        <w:jc w:val="center"/>
        <w:rPr>
          <w:rFonts w:hint="eastAsia" w:ascii="宋体" w:hAnsi="宋体" w:eastAsia="宋体" w:cs="宋体"/>
          <w:b/>
          <w:bCs/>
          <w:snapToGrid w:val="0"/>
          <w:color w:val="auto"/>
          <w:spacing w:val="0"/>
          <w:kern w:val="21"/>
          <w:sz w:val="36"/>
          <w:szCs w:val="40"/>
          <w:lang w:val="zh-CN"/>
        </w:rPr>
      </w:pPr>
      <w:r>
        <w:rPr>
          <w:rFonts w:hint="eastAsia" w:ascii="宋体" w:hAnsi="宋体" w:eastAsia="宋体" w:cs="宋体"/>
          <w:b/>
          <w:bCs/>
          <w:snapToGrid w:val="0"/>
          <w:color w:val="auto"/>
          <w:spacing w:val="0"/>
          <w:kern w:val="21"/>
          <w:sz w:val="36"/>
          <w:szCs w:val="40"/>
          <w:lang w:val="zh-CN"/>
        </w:rPr>
        <w:t>第四章 评标办法</w:t>
      </w:r>
    </w:p>
    <w:p w14:paraId="4EC065AD">
      <w:pPr>
        <w:jc w:val="center"/>
        <w:rPr>
          <w:rFonts w:hint="eastAsia" w:ascii="宋体" w:hAnsi="宋体" w:eastAsia="宋体" w:cs="宋体"/>
          <w:b/>
          <w:bCs/>
          <w:color w:val="auto"/>
          <w:spacing w:val="0"/>
          <w:kern w:val="0"/>
          <w:sz w:val="28"/>
          <w:szCs w:val="32"/>
          <w:lang w:val="en-US" w:eastAsia="zh-CN"/>
        </w:rPr>
      </w:pPr>
      <w:r>
        <w:rPr>
          <w:rFonts w:hint="eastAsia" w:ascii="宋体" w:hAnsi="宋体" w:eastAsia="宋体" w:cs="宋体"/>
          <w:b/>
          <w:bCs/>
          <w:color w:val="auto"/>
          <w:spacing w:val="0"/>
          <w:kern w:val="0"/>
          <w:sz w:val="28"/>
          <w:szCs w:val="32"/>
          <w:lang w:val="en-US" w:eastAsia="zh-CN"/>
        </w:rPr>
        <w:t>评标办法前附表</w:t>
      </w:r>
    </w:p>
    <w:bookmarkEnd w:id="18"/>
    <w:tbl>
      <w:tblPr>
        <w:tblStyle w:val="17"/>
        <w:tblW w:w="10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276"/>
        <w:gridCol w:w="1914"/>
        <w:gridCol w:w="6207"/>
      </w:tblGrid>
      <w:tr w14:paraId="287C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11" w:type="dxa"/>
            <w:gridSpan w:val="2"/>
            <w:noWrap w:val="0"/>
            <w:tcMar>
              <w:left w:w="57" w:type="dxa"/>
              <w:right w:w="57" w:type="dxa"/>
            </w:tcMar>
            <w:vAlign w:val="center"/>
          </w:tcPr>
          <w:p w14:paraId="30F31AA6">
            <w:pPr>
              <w:spacing w:before="206"/>
              <w:ind w:left="147" w:right="139"/>
              <w:rPr>
                <w:rFonts w:hint="eastAsia" w:ascii="宋体" w:hAnsi="宋体" w:eastAsia="宋体" w:cs="宋体"/>
                <w:b/>
                <w:bCs/>
                <w:color w:val="auto"/>
                <w:spacing w:val="0"/>
                <w:szCs w:val="21"/>
              </w:rPr>
            </w:pPr>
            <w:r>
              <w:rPr>
                <w:rFonts w:hint="eastAsia" w:ascii="宋体" w:hAnsi="宋体" w:eastAsia="宋体" w:cs="宋体"/>
                <w:b/>
                <w:bCs/>
                <w:color w:val="auto"/>
                <w:spacing w:val="0"/>
                <w:szCs w:val="21"/>
              </w:rPr>
              <w:t>条款号</w:t>
            </w:r>
          </w:p>
        </w:tc>
        <w:tc>
          <w:tcPr>
            <w:tcW w:w="1914" w:type="dxa"/>
            <w:noWrap w:val="0"/>
            <w:tcMar>
              <w:left w:w="57" w:type="dxa"/>
              <w:right w:w="57" w:type="dxa"/>
            </w:tcMar>
            <w:vAlign w:val="center"/>
          </w:tcPr>
          <w:p w14:paraId="01FC1EB1">
            <w:pPr>
              <w:spacing w:before="206"/>
              <w:ind w:left="147" w:right="139"/>
              <w:rPr>
                <w:rFonts w:hint="eastAsia" w:ascii="宋体" w:hAnsi="宋体" w:eastAsia="宋体" w:cs="宋体"/>
                <w:b/>
                <w:bCs/>
                <w:color w:val="auto"/>
                <w:spacing w:val="0"/>
                <w:szCs w:val="21"/>
              </w:rPr>
            </w:pPr>
            <w:r>
              <w:rPr>
                <w:rFonts w:hint="eastAsia" w:ascii="宋体" w:hAnsi="宋体" w:eastAsia="宋体" w:cs="宋体"/>
                <w:b/>
                <w:bCs/>
                <w:color w:val="auto"/>
                <w:spacing w:val="0"/>
                <w:szCs w:val="21"/>
              </w:rPr>
              <w:t>评审因素</w:t>
            </w:r>
          </w:p>
        </w:tc>
        <w:tc>
          <w:tcPr>
            <w:tcW w:w="6207" w:type="dxa"/>
            <w:noWrap w:val="0"/>
            <w:tcMar>
              <w:left w:w="57" w:type="dxa"/>
              <w:right w:w="57" w:type="dxa"/>
            </w:tcMar>
            <w:vAlign w:val="center"/>
          </w:tcPr>
          <w:p w14:paraId="1580768D">
            <w:pPr>
              <w:spacing w:before="206"/>
              <w:ind w:left="147" w:right="139"/>
              <w:rPr>
                <w:rFonts w:hint="eastAsia" w:ascii="宋体" w:hAnsi="宋体" w:eastAsia="宋体" w:cs="宋体"/>
                <w:b/>
                <w:bCs/>
                <w:color w:val="auto"/>
                <w:spacing w:val="0"/>
                <w:szCs w:val="21"/>
              </w:rPr>
            </w:pPr>
            <w:r>
              <w:rPr>
                <w:rFonts w:hint="eastAsia" w:ascii="宋体" w:hAnsi="宋体" w:eastAsia="宋体" w:cs="宋体"/>
                <w:b/>
                <w:bCs/>
                <w:color w:val="auto"/>
                <w:spacing w:val="0"/>
                <w:szCs w:val="21"/>
              </w:rPr>
              <w:t>评审标准</w:t>
            </w:r>
          </w:p>
        </w:tc>
      </w:tr>
      <w:tr w14:paraId="01CF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restart"/>
            <w:noWrap w:val="0"/>
            <w:tcMar>
              <w:left w:w="57" w:type="dxa"/>
              <w:right w:w="57" w:type="dxa"/>
            </w:tcMar>
            <w:vAlign w:val="center"/>
          </w:tcPr>
          <w:p w14:paraId="16D47A2C">
            <w:pPr>
              <w:jc w:val="center"/>
              <w:rPr>
                <w:rFonts w:hint="eastAsia" w:ascii="宋体" w:hAnsi="宋体" w:eastAsia="宋体" w:cs="宋体"/>
                <w:color w:val="auto"/>
                <w:spacing w:val="0"/>
                <w:kern w:val="0"/>
                <w:szCs w:val="21"/>
                <w:lang w:eastAsia="zh-CN"/>
              </w:rPr>
            </w:pPr>
            <w:r>
              <w:rPr>
                <w:rFonts w:hint="eastAsia" w:ascii="宋体" w:hAnsi="宋体" w:cs="宋体"/>
                <w:color w:val="auto"/>
                <w:spacing w:val="0"/>
                <w:kern w:val="0"/>
                <w:szCs w:val="21"/>
                <w:lang w:val="en-US" w:eastAsia="zh-CN"/>
              </w:rPr>
              <w:t>1</w:t>
            </w:r>
            <w:r>
              <w:rPr>
                <w:rFonts w:hint="eastAsia" w:ascii="宋体" w:hAnsi="宋体" w:eastAsia="宋体" w:cs="宋体"/>
                <w:color w:val="auto"/>
                <w:spacing w:val="0"/>
                <w:kern w:val="0"/>
                <w:szCs w:val="21"/>
                <w:lang w:val="en-US" w:eastAsia="zh-CN"/>
              </w:rPr>
              <w:t>.1.1</w:t>
            </w:r>
          </w:p>
        </w:tc>
        <w:tc>
          <w:tcPr>
            <w:tcW w:w="1276" w:type="dxa"/>
            <w:vMerge w:val="restart"/>
            <w:noWrap w:val="0"/>
            <w:tcMar>
              <w:left w:w="57" w:type="dxa"/>
              <w:right w:w="57" w:type="dxa"/>
            </w:tcMar>
            <w:vAlign w:val="center"/>
          </w:tcPr>
          <w:p w14:paraId="35566F68">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val="en-US" w:eastAsia="zh-CN"/>
              </w:rPr>
              <w:t>符合性</w:t>
            </w:r>
            <w:r>
              <w:rPr>
                <w:rFonts w:hint="eastAsia" w:ascii="宋体" w:hAnsi="宋体" w:eastAsia="宋体" w:cs="宋体"/>
                <w:color w:val="auto"/>
                <w:spacing w:val="0"/>
                <w:szCs w:val="21"/>
              </w:rPr>
              <w:t>评审标准</w:t>
            </w:r>
          </w:p>
        </w:tc>
        <w:tc>
          <w:tcPr>
            <w:tcW w:w="1914" w:type="dxa"/>
            <w:noWrap w:val="0"/>
            <w:tcMar>
              <w:left w:w="57" w:type="dxa"/>
              <w:right w:w="57" w:type="dxa"/>
            </w:tcMar>
            <w:vAlign w:val="center"/>
          </w:tcPr>
          <w:p w14:paraId="362292B2">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eastAsia="zh-CN"/>
              </w:rPr>
              <w:t>投标人</w:t>
            </w:r>
            <w:r>
              <w:rPr>
                <w:rFonts w:hint="eastAsia" w:ascii="宋体" w:hAnsi="宋体" w:eastAsia="宋体" w:cs="宋体"/>
                <w:color w:val="auto"/>
                <w:spacing w:val="0"/>
                <w:szCs w:val="21"/>
              </w:rPr>
              <w:t>名称</w:t>
            </w:r>
          </w:p>
        </w:tc>
        <w:tc>
          <w:tcPr>
            <w:tcW w:w="6207" w:type="dxa"/>
            <w:noWrap w:val="0"/>
            <w:tcMar>
              <w:left w:w="57" w:type="dxa"/>
              <w:right w:w="57" w:type="dxa"/>
            </w:tcMar>
            <w:vAlign w:val="center"/>
          </w:tcPr>
          <w:p w14:paraId="66DF1557">
            <w:pPr>
              <w:jc w:val="left"/>
              <w:rPr>
                <w:rFonts w:hint="eastAsia" w:ascii="宋体" w:hAnsi="宋体" w:eastAsia="宋体" w:cs="宋体"/>
                <w:color w:val="auto"/>
                <w:spacing w:val="0"/>
                <w:szCs w:val="21"/>
              </w:rPr>
            </w:pPr>
            <w:r>
              <w:rPr>
                <w:rFonts w:hint="eastAsia" w:ascii="宋体" w:hAnsi="宋体" w:eastAsia="宋体" w:cs="宋体"/>
                <w:color w:val="auto"/>
                <w:spacing w:val="0"/>
                <w:szCs w:val="21"/>
              </w:rPr>
              <w:t>与营业执照（或事业单位法人证书）一致</w:t>
            </w:r>
          </w:p>
        </w:tc>
      </w:tr>
      <w:tr w14:paraId="4C89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5F541165">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281C3BC6">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013BEC46">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签字盖章</w:t>
            </w:r>
          </w:p>
        </w:tc>
        <w:tc>
          <w:tcPr>
            <w:tcW w:w="6207" w:type="dxa"/>
            <w:noWrap w:val="0"/>
            <w:tcMar>
              <w:left w:w="57" w:type="dxa"/>
              <w:right w:w="57" w:type="dxa"/>
            </w:tcMar>
            <w:vAlign w:val="center"/>
          </w:tcPr>
          <w:p w14:paraId="42C8916C">
            <w:pPr>
              <w:jc w:val="left"/>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投标文件按招标文件要求签署、盖章</w:t>
            </w:r>
          </w:p>
        </w:tc>
      </w:tr>
      <w:tr w14:paraId="6A67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75CB8A9C">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107D7BD6">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53CCECA6">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投标文件格式</w:t>
            </w:r>
          </w:p>
        </w:tc>
        <w:tc>
          <w:tcPr>
            <w:tcW w:w="6207" w:type="dxa"/>
            <w:noWrap w:val="0"/>
            <w:tcMar>
              <w:left w:w="57" w:type="dxa"/>
              <w:right w:w="57" w:type="dxa"/>
            </w:tcMar>
            <w:vAlign w:val="center"/>
          </w:tcPr>
          <w:p w14:paraId="145795A8">
            <w:pPr>
              <w:jc w:val="left"/>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符合第六章“投标文件格式”的要求</w:t>
            </w:r>
          </w:p>
        </w:tc>
      </w:tr>
      <w:tr w14:paraId="2645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1E76E300">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523C0FF6">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2EA65F52">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报价唯一</w:t>
            </w:r>
          </w:p>
        </w:tc>
        <w:tc>
          <w:tcPr>
            <w:tcW w:w="6207" w:type="dxa"/>
            <w:noWrap w:val="0"/>
            <w:tcMar>
              <w:left w:w="57" w:type="dxa"/>
              <w:right w:w="57" w:type="dxa"/>
            </w:tcMar>
            <w:vAlign w:val="center"/>
          </w:tcPr>
          <w:p w14:paraId="5AE5BBDF">
            <w:pPr>
              <w:jc w:val="left"/>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只能有一个有效报价。</w:t>
            </w:r>
          </w:p>
        </w:tc>
      </w:tr>
      <w:tr w14:paraId="55B8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restart"/>
            <w:noWrap w:val="0"/>
            <w:tcMar>
              <w:left w:w="57" w:type="dxa"/>
              <w:right w:w="57" w:type="dxa"/>
            </w:tcMar>
            <w:vAlign w:val="center"/>
          </w:tcPr>
          <w:p w14:paraId="751F4F31">
            <w:pPr>
              <w:jc w:val="center"/>
              <w:rPr>
                <w:rFonts w:hint="eastAsia" w:ascii="宋体" w:hAnsi="宋体" w:eastAsia="宋体" w:cs="宋体"/>
                <w:color w:val="auto"/>
                <w:spacing w:val="0"/>
                <w:szCs w:val="21"/>
                <w:lang w:eastAsia="zh-CN"/>
              </w:rPr>
            </w:pPr>
            <w:r>
              <w:rPr>
                <w:rFonts w:hint="eastAsia" w:ascii="宋体" w:hAnsi="宋体" w:cs="宋体"/>
                <w:color w:val="auto"/>
                <w:spacing w:val="0"/>
                <w:szCs w:val="21"/>
                <w:lang w:val="en-US" w:eastAsia="zh-CN"/>
              </w:rPr>
              <w:t>1</w:t>
            </w:r>
            <w:r>
              <w:rPr>
                <w:rFonts w:hint="eastAsia" w:ascii="宋体" w:hAnsi="宋体" w:eastAsia="宋体" w:cs="宋体"/>
                <w:color w:val="auto"/>
                <w:spacing w:val="0"/>
                <w:szCs w:val="21"/>
                <w:lang w:val="en-US" w:eastAsia="zh-CN"/>
              </w:rPr>
              <w:t>.1.2</w:t>
            </w:r>
          </w:p>
        </w:tc>
        <w:tc>
          <w:tcPr>
            <w:tcW w:w="1276" w:type="dxa"/>
            <w:vMerge w:val="restart"/>
            <w:noWrap w:val="0"/>
            <w:tcMar>
              <w:left w:w="57" w:type="dxa"/>
              <w:right w:w="57" w:type="dxa"/>
            </w:tcMar>
            <w:vAlign w:val="center"/>
          </w:tcPr>
          <w:p w14:paraId="46661BAB">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资格评审标准</w:t>
            </w:r>
          </w:p>
        </w:tc>
        <w:tc>
          <w:tcPr>
            <w:tcW w:w="1914" w:type="dxa"/>
            <w:noWrap w:val="0"/>
            <w:tcMar>
              <w:left w:w="57" w:type="dxa"/>
              <w:right w:w="57" w:type="dxa"/>
            </w:tcMar>
            <w:vAlign w:val="center"/>
          </w:tcPr>
          <w:p w14:paraId="53977BFF">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《中华人民共和国政府采购法》第二十二条</w:t>
            </w:r>
          </w:p>
        </w:tc>
        <w:tc>
          <w:tcPr>
            <w:tcW w:w="6207" w:type="dxa"/>
            <w:noWrap w:val="0"/>
            <w:vAlign w:val="center"/>
          </w:tcPr>
          <w:p w14:paraId="78E68E63">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供应商参加本次政府采购活动中必须符合《中华人民共和国政府采购法》第二十二条对合格供应商的要求</w:t>
            </w:r>
          </w:p>
        </w:tc>
      </w:tr>
      <w:tr w14:paraId="22CE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68DC860B">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0D43522C">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5FAC7278">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中小企业声明函</w:t>
            </w:r>
          </w:p>
        </w:tc>
        <w:tc>
          <w:tcPr>
            <w:tcW w:w="6207" w:type="dxa"/>
            <w:noWrap w:val="0"/>
            <w:vAlign w:val="center"/>
          </w:tcPr>
          <w:p w14:paraId="4094CB65">
            <w:pPr>
              <w:spacing w:line="360" w:lineRule="auto"/>
              <w:jc w:val="left"/>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根据《政府采购促进中小企业发展管理办法》（财库〔2020〕46号）规定，本项目专门面向中小企业采购；同时供应商须提供《中小企业声明函》。</w:t>
            </w:r>
          </w:p>
        </w:tc>
      </w:tr>
      <w:tr w14:paraId="4C74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603A0208">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49D24833">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03040F9">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营业执照</w:t>
            </w:r>
          </w:p>
        </w:tc>
        <w:tc>
          <w:tcPr>
            <w:tcW w:w="6207" w:type="dxa"/>
            <w:noWrap w:val="0"/>
            <w:vAlign w:val="center"/>
          </w:tcPr>
          <w:p w14:paraId="151D83DE">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供应商须具有独立承担民事责任的能力，须提供有效的营业执照或其他证明材料</w:t>
            </w:r>
          </w:p>
        </w:tc>
      </w:tr>
      <w:tr w14:paraId="4CD7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390786F9">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7261CD71">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4DAF7D0">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供应商经营许可资格</w:t>
            </w:r>
          </w:p>
        </w:tc>
        <w:tc>
          <w:tcPr>
            <w:tcW w:w="6207" w:type="dxa"/>
            <w:noWrap w:val="0"/>
            <w:vAlign w:val="center"/>
          </w:tcPr>
          <w:p w14:paraId="399ECF50">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若投标人为生产商需具有食品生产许可证；若投标人为经销商需具有食品经营许可证；投标人有固定的门面和仓储条件。</w:t>
            </w:r>
          </w:p>
        </w:tc>
      </w:tr>
      <w:tr w14:paraId="25FE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62AF8D46">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2E42897D">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7E869ADC">
            <w:pPr>
              <w:spacing w:line="36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项目负责人</w:t>
            </w:r>
          </w:p>
        </w:tc>
        <w:tc>
          <w:tcPr>
            <w:tcW w:w="6207" w:type="dxa"/>
            <w:noWrap w:val="0"/>
            <w:vAlign w:val="center"/>
          </w:tcPr>
          <w:p w14:paraId="3E289F66">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拟派的项目负责人需在防疫部门办理健康证，为本单位员工且已参加社会保险，须提供投标截止日前由社保机构出具的养老保险缴费证明；</w:t>
            </w:r>
          </w:p>
        </w:tc>
      </w:tr>
      <w:tr w14:paraId="2BE3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0C9E1C6A">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166ADD57">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6D89B0A9">
            <w:pPr>
              <w:spacing w:line="36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良好的财务状况</w:t>
            </w:r>
          </w:p>
        </w:tc>
        <w:tc>
          <w:tcPr>
            <w:tcW w:w="6207" w:type="dxa"/>
            <w:noWrap w:val="0"/>
            <w:vAlign w:val="center"/>
          </w:tcPr>
          <w:p w14:paraId="6BEE62DE">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具有良好的财务状况，（提供2025年度第三方审计机构出具的财务报告或自行承诺）</w:t>
            </w:r>
            <w:r>
              <w:rPr>
                <w:rFonts w:hint="eastAsia" w:ascii="宋体" w:hAnsi="宋体" w:cs="宋体"/>
                <w:color w:val="auto"/>
                <w:kern w:val="2"/>
                <w:sz w:val="21"/>
                <w:szCs w:val="21"/>
                <w:highlight w:val="none"/>
                <w:lang w:val="en-US" w:eastAsia="zh-CN" w:bidi="ar-SA"/>
              </w:rPr>
              <w:t>；</w:t>
            </w:r>
          </w:p>
        </w:tc>
      </w:tr>
      <w:tr w14:paraId="0D84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33204961">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65AEB22D">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04D72A53">
            <w:pPr>
              <w:spacing w:line="36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依法缴纳税收和依法缴纳社会保障资金</w:t>
            </w:r>
          </w:p>
        </w:tc>
        <w:tc>
          <w:tcPr>
            <w:tcW w:w="6207" w:type="dxa"/>
            <w:noWrap w:val="0"/>
            <w:vAlign w:val="center"/>
          </w:tcPr>
          <w:p w14:paraId="6AC9E9FD">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供应商具有依法缴纳税收和社会保障资金的良好记录，（提供承诺书或近三个月企业税收证明材料）；</w:t>
            </w:r>
          </w:p>
        </w:tc>
      </w:tr>
      <w:tr w14:paraId="21E5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2B72FB7C">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7CD2C812">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5FFBB7B">
            <w:pPr>
              <w:spacing w:line="36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履行合同所必须的设备和专业技术服务能力</w:t>
            </w:r>
          </w:p>
        </w:tc>
        <w:tc>
          <w:tcPr>
            <w:tcW w:w="6207" w:type="dxa"/>
            <w:noWrap w:val="0"/>
            <w:vAlign w:val="center"/>
          </w:tcPr>
          <w:p w14:paraId="7FA9954C">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供应商具有履行合同所必须的设备和专业技术服务能力；(提供承诺书）；</w:t>
            </w:r>
          </w:p>
        </w:tc>
      </w:tr>
      <w:tr w14:paraId="2C66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35" w:type="dxa"/>
            <w:vMerge w:val="continue"/>
            <w:noWrap w:val="0"/>
            <w:tcMar>
              <w:left w:w="57" w:type="dxa"/>
              <w:right w:w="57" w:type="dxa"/>
            </w:tcMar>
            <w:vAlign w:val="center"/>
          </w:tcPr>
          <w:p w14:paraId="33F7AEB6">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404111E8">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0CA5166D">
            <w:pPr>
              <w:pStyle w:val="5"/>
              <w:spacing w:line="26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信用承诺</w:t>
            </w:r>
          </w:p>
        </w:tc>
        <w:tc>
          <w:tcPr>
            <w:tcW w:w="6207" w:type="dxa"/>
            <w:noWrap w:val="0"/>
            <w:vAlign w:val="center"/>
          </w:tcPr>
          <w:p w14:paraId="12E8987C">
            <w:pPr>
              <w:keepNext w:val="0"/>
              <w:keepLines w:val="0"/>
              <w:pageBreakBefore w:val="0"/>
              <w:kinsoku/>
              <w:wordWrap w:val="0"/>
              <w:overflowPunct/>
              <w:topLinePunct w:val="0"/>
              <w:bidi w:val="0"/>
              <w:spacing w:line="360" w:lineRule="auto"/>
              <w:rPr>
                <w:rFonts w:hint="eastAsia" w:ascii="宋体" w:hAnsi="宋体" w:eastAsia="宋体" w:cs="宋体"/>
                <w:bCs/>
                <w:color w:val="auto"/>
                <w:sz w:val="21"/>
                <w:szCs w:val="21"/>
                <w:highlight w:val="none"/>
                <w:lang w:val="en-US" w:eastAsia="zh-CN" w:bidi="zh-CN"/>
              </w:rPr>
            </w:pPr>
            <w:r>
              <w:rPr>
                <w:rFonts w:hint="eastAsia" w:ascii="宋体" w:hAnsi="宋体" w:eastAsia="宋体" w:cs="宋体"/>
                <w:bCs/>
                <w:color w:val="auto"/>
                <w:sz w:val="21"/>
                <w:szCs w:val="21"/>
                <w:highlight w:val="none"/>
                <w:lang w:val="en-US" w:eastAsia="zh-CN" w:bidi="zh-CN"/>
              </w:rPr>
              <w:t>1.参加政府采购活动前3年内在经营活动中没有骗取中标、重大违法记录、严重违约等问题。</w:t>
            </w:r>
          </w:p>
          <w:p w14:paraId="72032F39">
            <w:pPr>
              <w:keepNext w:val="0"/>
              <w:keepLines w:val="0"/>
              <w:pageBreakBefore w:val="0"/>
              <w:kinsoku/>
              <w:wordWrap w:val="0"/>
              <w:overflowPunct/>
              <w:topLinePunct w:val="0"/>
              <w:bidi w:val="0"/>
              <w:spacing w:line="360" w:lineRule="auto"/>
              <w:rPr>
                <w:rFonts w:hint="eastAsia" w:ascii="宋体" w:hAnsi="宋体" w:eastAsia="宋体" w:cs="宋体"/>
                <w:bCs/>
                <w:color w:val="auto"/>
                <w:sz w:val="21"/>
                <w:szCs w:val="21"/>
                <w:highlight w:val="none"/>
                <w:lang w:val="en-US" w:eastAsia="zh-CN" w:bidi="zh-CN"/>
              </w:rPr>
            </w:pPr>
            <w:r>
              <w:rPr>
                <w:rFonts w:hint="eastAsia" w:ascii="宋体" w:hAnsi="宋体" w:eastAsia="宋体" w:cs="宋体"/>
                <w:bCs/>
                <w:color w:val="auto"/>
                <w:sz w:val="21"/>
                <w:szCs w:val="21"/>
                <w:highlight w:val="none"/>
                <w:lang w:val="en-US" w:eastAsia="zh-CN" w:bidi="zh-CN"/>
              </w:rPr>
              <w:t>2.参加政府采购活动前3年内无行贿犯罪记录，供应商出具的无行贿犯罪记录在中国裁判文书网自行查询或自行承诺（查询对象：企业、法定代表人、项目负责人）；</w:t>
            </w:r>
          </w:p>
          <w:p w14:paraId="1F0D4EBE">
            <w:pPr>
              <w:keepNext w:val="0"/>
              <w:keepLines w:val="0"/>
              <w:pageBreakBefore w:val="0"/>
              <w:kinsoku/>
              <w:wordWrap w:val="0"/>
              <w:overflowPunct/>
              <w:topLinePunct w:val="0"/>
              <w:bidi w:val="0"/>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bidi="zh-CN"/>
              </w:rPr>
              <w:t>3.提供企业注册地工商管理部门出具的无商业贿赂和不正当竞争行为的查询证明（若当地工商管理部门不办理此项业务，供应商须自行出具本企业无商业贿赂和不正当竞争行为承诺书）；</w:t>
            </w:r>
          </w:p>
        </w:tc>
      </w:tr>
      <w:tr w14:paraId="0D8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148D4AE5">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26A30DEE">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2C75A1A9">
            <w:pPr>
              <w:pStyle w:val="5"/>
              <w:spacing w:line="26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控股关系证明</w:t>
            </w:r>
          </w:p>
        </w:tc>
        <w:tc>
          <w:tcPr>
            <w:tcW w:w="6207" w:type="dxa"/>
            <w:noWrap w:val="0"/>
            <w:vAlign w:val="center"/>
          </w:tcPr>
          <w:p w14:paraId="403E9FDD">
            <w:pPr>
              <w:keepNext w:val="0"/>
              <w:keepLines w:val="0"/>
              <w:pageBreakBefore w:val="0"/>
              <w:kinsoku/>
              <w:wordWrap w:val="0"/>
              <w:overflowPunct/>
              <w:topLinePunct w:val="0"/>
              <w:bidi w:val="0"/>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bidi="zh-CN"/>
              </w:rPr>
              <w:t>单位负责人为同一人或者存在直接控股、管理关系的不同供应商，不得参加同一合同项下的采购活动；（提供“国家企业信用信息公示系统”网页查询信息截图,查询信息应包含公司基本信息、股东信息及股权变更信息等相关信息；査询时间必须是招标公告发布以后开标时间以前，查询结果清晰可见)</w:t>
            </w:r>
          </w:p>
        </w:tc>
      </w:tr>
      <w:tr w14:paraId="3355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5B3F003A">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3C64C550">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D6B2CAD">
            <w:pPr>
              <w:pStyle w:val="5"/>
              <w:spacing w:line="26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信用查询</w:t>
            </w:r>
          </w:p>
        </w:tc>
        <w:tc>
          <w:tcPr>
            <w:tcW w:w="6207" w:type="dxa"/>
            <w:noWrap w:val="0"/>
            <w:vAlign w:val="center"/>
          </w:tcPr>
          <w:p w14:paraId="62DED12B">
            <w:pPr>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根</w:t>
            </w:r>
            <w:r>
              <w:rPr>
                <w:rFonts w:hint="eastAsia" w:ascii="宋体" w:hAnsi="宋体" w:eastAsia="宋体" w:cs="宋体"/>
                <w:bCs/>
                <w:color w:val="auto"/>
                <w:sz w:val="21"/>
                <w:szCs w:val="21"/>
                <w:highlight w:val="none"/>
                <w:lang w:val="en-US" w:eastAsia="zh-CN" w:bidi="zh-CN"/>
              </w:rPr>
              <w:t>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招标公告发布以后开标时间以前并提供网站查询信息截图或打印页，查询结果清晰可见</w:t>
            </w:r>
            <w:r>
              <w:rPr>
                <w:rFonts w:hint="eastAsia" w:ascii="宋体" w:hAnsi="宋体" w:eastAsia="宋体" w:cs="宋体"/>
                <w:color w:val="auto"/>
                <w:kern w:val="0"/>
                <w:sz w:val="21"/>
                <w:szCs w:val="21"/>
                <w:highlight w:val="none"/>
                <w:lang w:val="en-US" w:eastAsia="zh-CN"/>
              </w:rPr>
              <w:t>)</w:t>
            </w:r>
          </w:p>
        </w:tc>
      </w:tr>
      <w:tr w14:paraId="449A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35" w:type="dxa"/>
            <w:vMerge w:val="continue"/>
            <w:noWrap w:val="0"/>
            <w:tcMar>
              <w:left w:w="57" w:type="dxa"/>
              <w:right w:w="57" w:type="dxa"/>
            </w:tcMar>
            <w:vAlign w:val="center"/>
          </w:tcPr>
          <w:p w14:paraId="65CB8F68">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6C2C4467">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D1E3079">
            <w:pPr>
              <w:keepNext w:val="0"/>
              <w:keepLines w:val="0"/>
              <w:pageBreakBefore w:val="0"/>
              <w:kinsoku/>
              <w:wordWrap w:val="0"/>
              <w:overflowPunct/>
              <w:topLinePunct w:val="0"/>
              <w:bidi w:val="0"/>
              <w:spacing w:line="240" w:lineRule="atLeast"/>
              <w:jc w:val="center"/>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lang w:eastAsia="zh-CN"/>
              </w:rPr>
              <w:t>其他内容</w:t>
            </w:r>
          </w:p>
        </w:tc>
        <w:tc>
          <w:tcPr>
            <w:tcW w:w="6207" w:type="dxa"/>
            <w:noWrap w:val="0"/>
            <w:vAlign w:val="center"/>
          </w:tcPr>
          <w:p w14:paraId="6AEDEEBD">
            <w:pPr>
              <w:keepNext w:val="0"/>
              <w:keepLines w:val="0"/>
              <w:pageBreakBefore w:val="0"/>
              <w:tabs>
                <w:tab w:val="left" w:pos="360"/>
              </w:tabs>
              <w:kinsoku/>
              <w:wordWrap w:val="0"/>
              <w:overflowPunct/>
              <w:topLinePunct w:val="0"/>
              <w:bidi w:val="0"/>
              <w:spacing w:line="320" w:lineRule="exact"/>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招标文件规定的其他资格要求资料</w:t>
            </w:r>
          </w:p>
        </w:tc>
      </w:tr>
      <w:tr w14:paraId="5E74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restart"/>
            <w:noWrap w:val="0"/>
            <w:tcMar>
              <w:left w:w="57" w:type="dxa"/>
              <w:right w:w="57" w:type="dxa"/>
            </w:tcMar>
            <w:vAlign w:val="center"/>
          </w:tcPr>
          <w:p w14:paraId="6E2B5235">
            <w:pPr>
              <w:jc w:val="center"/>
              <w:rPr>
                <w:rFonts w:hint="eastAsia" w:ascii="宋体" w:hAnsi="宋体" w:eastAsia="宋体" w:cs="宋体"/>
                <w:color w:val="auto"/>
                <w:spacing w:val="0"/>
                <w:szCs w:val="21"/>
                <w:lang w:eastAsia="zh-CN"/>
              </w:rPr>
            </w:pPr>
            <w:r>
              <w:rPr>
                <w:rFonts w:hint="eastAsia" w:ascii="宋体" w:hAnsi="宋体" w:cs="宋体"/>
                <w:color w:val="auto"/>
                <w:spacing w:val="0"/>
                <w:szCs w:val="21"/>
                <w:lang w:val="en-US" w:eastAsia="zh-CN"/>
              </w:rPr>
              <w:t>1</w:t>
            </w:r>
            <w:r>
              <w:rPr>
                <w:rFonts w:hint="eastAsia" w:ascii="宋体" w:hAnsi="宋体" w:eastAsia="宋体" w:cs="宋体"/>
                <w:color w:val="auto"/>
                <w:spacing w:val="0"/>
                <w:szCs w:val="21"/>
                <w:lang w:val="en-US" w:eastAsia="zh-CN"/>
              </w:rPr>
              <w:t>.1.3</w:t>
            </w:r>
          </w:p>
        </w:tc>
        <w:tc>
          <w:tcPr>
            <w:tcW w:w="1276" w:type="dxa"/>
            <w:vMerge w:val="restart"/>
            <w:noWrap w:val="0"/>
            <w:tcMar>
              <w:left w:w="57" w:type="dxa"/>
              <w:right w:w="57" w:type="dxa"/>
            </w:tcMar>
            <w:vAlign w:val="center"/>
          </w:tcPr>
          <w:p w14:paraId="1B855031">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响应性评审标准</w:t>
            </w:r>
          </w:p>
        </w:tc>
        <w:tc>
          <w:tcPr>
            <w:tcW w:w="1914" w:type="dxa"/>
            <w:noWrap w:val="0"/>
            <w:tcMar>
              <w:left w:w="57" w:type="dxa"/>
              <w:right w:w="57" w:type="dxa"/>
            </w:tcMar>
            <w:vAlign w:val="center"/>
          </w:tcPr>
          <w:p w14:paraId="76DCEF02">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val="en-US" w:eastAsia="zh-CN"/>
              </w:rPr>
              <w:t>采购</w:t>
            </w:r>
            <w:r>
              <w:rPr>
                <w:rFonts w:hint="eastAsia" w:ascii="宋体" w:hAnsi="宋体" w:eastAsia="宋体" w:cs="宋体"/>
                <w:color w:val="auto"/>
                <w:spacing w:val="0"/>
                <w:szCs w:val="21"/>
              </w:rPr>
              <w:t>范围</w:t>
            </w:r>
          </w:p>
        </w:tc>
        <w:tc>
          <w:tcPr>
            <w:tcW w:w="6207" w:type="dxa"/>
            <w:noWrap w:val="0"/>
            <w:vAlign w:val="center"/>
          </w:tcPr>
          <w:p w14:paraId="145B5D6B">
            <w:pPr>
              <w:rPr>
                <w:rFonts w:hint="eastAsia" w:ascii="宋体" w:hAnsi="宋体" w:eastAsia="宋体" w:cs="宋体"/>
                <w:color w:val="auto"/>
                <w:spacing w:val="0"/>
                <w:szCs w:val="21"/>
              </w:rPr>
            </w:pPr>
            <w:r>
              <w:rPr>
                <w:rFonts w:hint="eastAsia" w:ascii="宋体" w:hAnsi="宋体" w:eastAsia="宋体" w:cs="宋体"/>
                <w:color w:val="auto"/>
                <w:spacing w:val="0"/>
                <w:szCs w:val="21"/>
              </w:rPr>
              <w:t>符合第三章“服务内容及</w:t>
            </w:r>
            <w:r>
              <w:rPr>
                <w:rFonts w:hint="eastAsia" w:ascii="宋体" w:hAnsi="宋体" w:eastAsia="宋体" w:cs="宋体"/>
                <w:color w:val="auto"/>
                <w:spacing w:val="0"/>
                <w:szCs w:val="21"/>
                <w:lang w:val="en-US" w:eastAsia="zh-CN"/>
              </w:rPr>
              <w:t>要求</w:t>
            </w:r>
            <w:r>
              <w:rPr>
                <w:rFonts w:hint="eastAsia" w:ascii="宋体" w:hAnsi="宋体" w:eastAsia="宋体" w:cs="宋体"/>
                <w:color w:val="auto"/>
                <w:spacing w:val="0"/>
                <w:szCs w:val="21"/>
              </w:rPr>
              <w:t>”</w:t>
            </w:r>
          </w:p>
        </w:tc>
      </w:tr>
      <w:tr w14:paraId="1388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67991C98">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7BFD19AE">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29E70A79">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服务周期</w:t>
            </w:r>
          </w:p>
        </w:tc>
        <w:tc>
          <w:tcPr>
            <w:tcW w:w="6207" w:type="dxa"/>
            <w:noWrap w:val="0"/>
            <w:vAlign w:val="center"/>
          </w:tcPr>
          <w:p w14:paraId="00E464F9">
            <w:pPr>
              <w:rPr>
                <w:rFonts w:hint="eastAsia" w:ascii="宋体" w:hAnsi="宋体" w:eastAsia="宋体" w:cs="宋体"/>
                <w:color w:val="auto"/>
                <w:spacing w:val="0"/>
                <w:szCs w:val="21"/>
              </w:rPr>
            </w:pPr>
            <w:r>
              <w:rPr>
                <w:rFonts w:hint="eastAsia" w:ascii="宋体" w:hAnsi="宋体" w:eastAsia="宋体" w:cs="宋体"/>
                <w:color w:val="auto"/>
                <w:spacing w:val="0"/>
                <w:szCs w:val="21"/>
              </w:rPr>
              <w:t>符合第三章“服务内容及</w:t>
            </w:r>
            <w:r>
              <w:rPr>
                <w:rFonts w:hint="eastAsia" w:ascii="宋体" w:hAnsi="宋体" w:eastAsia="宋体" w:cs="宋体"/>
                <w:color w:val="auto"/>
                <w:spacing w:val="0"/>
                <w:szCs w:val="21"/>
                <w:lang w:val="en-US" w:eastAsia="zh-CN"/>
              </w:rPr>
              <w:t>要求</w:t>
            </w:r>
            <w:r>
              <w:rPr>
                <w:rFonts w:hint="eastAsia" w:ascii="宋体" w:hAnsi="宋体" w:eastAsia="宋体" w:cs="宋体"/>
                <w:color w:val="auto"/>
                <w:spacing w:val="0"/>
                <w:szCs w:val="21"/>
              </w:rPr>
              <w:t>”</w:t>
            </w:r>
          </w:p>
        </w:tc>
      </w:tr>
      <w:tr w14:paraId="3251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43FCD9AD">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1E6D8E01">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3C9FEC8">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质量要求</w:t>
            </w:r>
          </w:p>
        </w:tc>
        <w:tc>
          <w:tcPr>
            <w:tcW w:w="6207" w:type="dxa"/>
            <w:noWrap w:val="0"/>
            <w:vAlign w:val="center"/>
          </w:tcPr>
          <w:p w14:paraId="1B800682">
            <w:pPr>
              <w:rPr>
                <w:rFonts w:hint="eastAsia" w:ascii="宋体" w:hAnsi="宋体" w:eastAsia="宋体" w:cs="宋体"/>
                <w:color w:val="auto"/>
                <w:spacing w:val="0"/>
                <w:szCs w:val="21"/>
              </w:rPr>
            </w:pPr>
            <w:r>
              <w:rPr>
                <w:rFonts w:hint="eastAsia" w:ascii="宋体" w:hAnsi="宋体" w:eastAsia="宋体" w:cs="宋体"/>
                <w:color w:val="auto"/>
                <w:spacing w:val="0"/>
                <w:szCs w:val="21"/>
              </w:rPr>
              <w:t>符合第三章“服务内容及要求”</w:t>
            </w:r>
          </w:p>
        </w:tc>
      </w:tr>
      <w:tr w14:paraId="5ED8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35" w:type="dxa"/>
            <w:vMerge w:val="continue"/>
            <w:noWrap w:val="0"/>
            <w:tcMar>
              <w:left w:w="57" w:type="dxa"/>
              <w:right w:w="57" w:type="dxa"/>
            </w:tcMar>
            <w:vAlign w:val="center"/>
          </w:tcPr>
          <w:p w14:paraId="4B4BA542">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1A60DE04">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6D1938C0">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val="en-US" w:eastAsia="zh-CN"/>
              </w:rPr>
              <w:t>投标</w:t>
            </w:r>
            <w:r>
              <w:rPr>
                <w:rFonts w:hint="eastAsia" w:ascii="宋体" w:hAnsi="宋体" w:eastAsia="宋体" w:cs="宋体"/>
                <w:color w:val="auto"/>
                <w:spacing w:val="0"/>
                <w:szCs w:val="21"/>
              </w:rPr>
              <w:t>有效期</w:t>
            </w:r>
          </w:p>
        </w:tc>
        <w:tc>
          <w:tcPr>
            <w:tcW w:w="6207" w:type="dxa"/>
            <w:noWrap w:val="0"/>
            <w:vAlign w:val="center"/>
          </w:tcPr>
          <w:p w14:paraId="7ACAAB5D">
            <w:pPr>
              <w:rPr>
                <w:rFonts w:hint="eastAsia" w:ascii="宋体" w:hAnsi="宋体" w:eastAsia="宋体" w:cs="宋体"/>
                <w:color w:val="auto"/>
                <w:spacing w:val="0"/>
                <w:szCs w:val="21"/>
              </w:rPr>
            </w:pPr>
            <w:r>
              <w:rPr>
                <w:rFonts w:hint="eastAsia" w:ascii="宋体" w:hAnsi="宋体" w:eastAsia="宋体" w:cs="宋体"/>
                <w:color w:val="auto"/>
                <w:spacing w:val="0"/>
                <w:szCs w:val="21"/>
              </w:rPr>
              <w:t>符合第二章“</w:t>
            </w:r>
            <w:r>
              <w:rPr>
                <w:rFonts w:hint="eastAsia" w:ascii="宋体" w:hAnsi="宋体" w:eastAsia="宋体" w:cs="宋体"/>
                <w:color w:val="auto"/>
                <w:spacing w:val="0"/>
                <w:szCs w:val="21"/>
                <w:lang w:eastAsia="zh-CN"/>
              </w:rPr>
              <w:t>投标人</w:t>
            </w:r>
            <w:r>
              <w:rPr>
                <w:rFonts w:hint="eastAsia" w:ascii="宋体" w:hAnsi="宋体" w:eastAsia="宋体" w:cs="宋体"/>
                <w:color w:val="auto"/>
                <w:spacing w:val="0"/>
                <w:szCs w:val="21"/>
              </w:rPr>
              <w:t>须知”规定</w:t>
            </w:r>
          </w:p>
        </w:tc>
      </w:tr>
      <w:tr w14:paraId="1338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35" w:type="dxa"/>
            <w:vMerge w:val="continue"/>
            <w:noWrap w:val="0"/>
            <w:tcMar>
              <w:left w:w="57" w:type="dxa"/>
              <w:right w:w="57" w:type="dxa"/>
            </w:tcMar>
            <w:vAlign w:val="center"/>
          </w:tcPr>
          <w:p w14:paraId="4CD4E153">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6BD29F8E">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11A1AB25">
            <w:pPr>
              <w:jc w:val="center"/>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投标报价</w:t>
            </w:r>
          </w:p>
        </w:tc>
        <w:tc>
          <w:tcPr>
            <w:tcW w:w="6207" w:type="dxa"/>
            <w:noWrap w:val="0"/>
            <w:vAlign w:val="center"/>
          </w:tcPr>
          <w:p w14:paraId="3F4F64A5">
            <w:pPr>
              <w:rPr>
                <w:rFonts w:hint="default" w:ascii="宋体" w:hAnsi="宋体" w:eastAsia="宋体" w:cs="宋体"/>
                <w:color w:val="auto"/>
                <w:spacing w:val="0"/>
                <w:szCs w:val="21"/>
                <w:lang w:val="en-US" w:eastAsia="zh-CN"/>
              </w:rPr>
            </w:pPr>
            <w:r>
              <w:rPr>
                <w:rFonts w:hint="eastAsia" w:ascii="宋体" w:hAnsi="宋体" w:eastAsia="宋体" w:cs="宋体"/>
                <w:color w:val="auto"/>
                <w:spacing w:val="0"/>
                <w:szCs w:val="21"/>
              </w:rPr>
              <w:t>只能有一个有效报价，且</w:t>
            </w:r>
            <w:r>
              <w:rPr>
                <w:rFonts w:hint="eastAsia" w:ascii="宋体" w:hAnsi="宋体" w:eastAsia="宋体" w:cs="宋体"/>
                <w:color w:val="auto"/>
                <w:spacing w:val="0"/>
                <w:szCs w:val="21"/>
                <w:lang w:val="en-US" w:eastAsia="zh-CN"/>
              </w:rPr>
              <w:t>符合本项目投标报价要求。</w:t>
            </w:r>
          </w:p>
        </w:tc>
      </w:tr>
      <w:tr w14:paraId="3E67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35" w:type="dxa"/>
            <w:vMerge w:val="continue"/>
            <w:noWrap w:val="0"/>
            <w:tcMar>
              <w:left w:w="57" w:type="dxa"/>
              <w:right w:w="57" w:type="dxa"/>
            </w:tcMar>
            <w:vAlign w:val="center"/>
          </w:tcPr>
          <w:p w14:paraId="770EA67C">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3C49DA01">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76FD87C2">
            <w:pPr>
              <w:jc w:val="center"/>
              <w:rPr>
                <w:rFonts w:hint="eastAsia" w:ascii="宋体" w:hAnsi="宋体" w:eastAsia="宋体" w:cs="宋体"/>
                <w:color w:val="auto"/>
                <w:spacing w:val="0"/>
                <w:szCs w:val="21"/>
                <w:lang w:eastAsia="zh-CN"/>
              </w:rPr>
            </w:pPr>
            <w:r>
              <w:rPr>
                <w:rFonts w:hint="eastAsia" w:ascii="宋体" w:hAnsi="宋体" w:eastAsia="宋体" w:cs="宋体"/>
                <w:color w:val="auto"/>
                <w:spacing w:val="0"/>
                <w:szCs w:val="21"/>
                <w:lang w:val="zh-TW"/>
              </w:rPr>
              <w:t>其他要求</w:t>
            </w:r>
          </w:p>
        </w:tc>
        <w:tc>
          <w:tcPr>
            <w:tcW w:w="6207" w:type="dxa"/>
            <w:noWrap w:val="0"/>
            <w:vAlign w:val="center"/>
          </w:tcPr>
          <w:p w14:paraId="3BF52A9F">
            <w:pPr>
              <w:rPr>
                <w:rFonts w:hint="eastAsia" w:ascii="宋体" w:hAnsi="宋体" w:eastAsia="宋体" w:cs="宋体"/>
                <w:color w:val="auto"/>
                <w:spacing w:val="0"/>
                <w:szCs w:val="21"/>
              </w:rPr>
            </w:pPr>
            <w:r>
              <w:rPr>
                <w:rFonts w:hint="eastAsia" w:ascii="宋体" w:hAnsi="宋体" w:eastAsia="宋体" w:cs="宋体"/>
                <w:color w:val="auto"/>
                <w:spacing w:val="0"/>
                <w:szCs w:val="21"/>
                <w:lang w:val="zh-TW"/>
              </w:rPr>
              <w:t>符合</w:t>
            </w:r>
            <w:r>
              <w:rPr>
                <w:rFonts w:hint="eastAsia" w:ascii="宋体" w:hAnsi="宋体" w:eastAsia="宋体" w:cs="宋体"/>
                <w:color w:val="auto"/>
                <w:spacing w:val="0"/>
                <w:szCs w:val="21"/>
                <w:lang w:val="en-US" w:eastAsia="zh-CN"/>
              </w:rPr>
              <w:t>招标</w:t>
            </w:r>
            <w:r>
              <w:rPr>
                <w:rFonts w:hint="eastAsia" w:ascii="宋体" w:hAnsi="宋体" w:eastAsia="宋体" w:cs="宋体"/>
                <w:color w:val="auto"/>
                <w:spacing w:val="0"/>
                <w:szCs w:val="21"/>
                <w:lang w:val="zh-TW"/>
              </w:rPr>
              <w:t>文件规定</w:t>
            </w:r>
          </w:p>
        </w:tc>
      </w:tr>
    </w:tbl>
    <w:p w14:paraId="65282931">
      <w:pPr>
        <w:jc w:val="center"/>
        <w:rPr>
          <w:rFonts w:hint="eastAsia" w:ascii="宋体" w:hAnsi="宋体" w:eastAsia="宋体" w:cs="宋体"/>
          <w:snapToGrid w:val="0"/>
          <w:color w:val="auto"/>
          <w:spacing w:val="0"/>
          <w:kern w:val="21"/>
          <w:sz w:val="24"/>
          <w:szCs w:val="24"/>
          <w:lang w:val="en-US" w:eastAsia="zh-CN"/>
        </w:rPr>
      </w:pPr>
    </w:p>
    <w:tbl>
      <w:tblPr>
        <w:tblStyle w:val="17"/>
        <w:tblW w:w="9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1235"/>
        <w:gridCol w:w="1852"/>
        <w:gridCol w:w="6007"/>
      </w:tblGrid>
      <w:tr w14:paraId="3CAA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139" w:type="dxa"/>
            <w:gridSpan w:val="2"/>
            <w:noWrap w:val="0"/>
            <w:tcMar>
              <w:left w:w="57" w:type="dxa"/>
              <w:right w:w="57" w:type="dxa"/>
            </w:tcMar>
            <w:vAlign w:val="center"/>
          </w:tcPr>
          <w:p w14:paraId="1A8F2AEE">
            <w:pPr>
              <w:tabs>
                <w:tab w:val="right" w:pos="2948"/>
              </w:tabs>
              <w:jc w:val="center"/>
              <w:rPr>
                <w:rFonts w:hint="eastAsia" w:ascii="宋体" w:hAnsi="宋体" w:eastAsia="宋体" w:cs="宋体"/>
                <w:b/>
                <w:bCs/>
                <w:color w:val="auto"/>
                <w:spacing w:val="0"/>
                <w:kern w:val="0"/>
                <w:szCs w:val="21"/>
              </w:rPr>
            </w:pPr>
            <w:r>
              <w:rPr>
                <w:rFonts w:hint="eastAsia" w:ascii="宋体" w:hAnsi="宋体" w:eastAsia="宋体" w:cs="宋体"/>
                <w:b/>
                <w:bCs/>
                <w:color w:val="auto"/>
                <w:spacing w:val="0"/>
                <w:kern w:val="0"/>
                <w:szCs w:val="21"/>
              </w:rPr>
              <w:t>条款号</w:t>
            </w:r>
          </w:p>
        </w:tc>
        <w:tc>
          <w:tcPr>
            <w:tcW w:w="1852" w:type="dxa"/>
            <w:noWrap w:val="0"/>
            <w:tcMar>
              <w:left w:w="57" w:type="dxa"/>
              <w:right w:w="57" w:type="dxa"/>
            </w:tcMar>
            <w:vAlign w:val="center"/>
          </w:tcPr>
          <w:p w14:paraId="315AB1A1">
            <w:pPr>
              <w:jc w:val="center"/>
              <w:rPr>
                <w:rFonts w:hint="eastAsia" w:ascii="宋体" w:hAnsi="宋体" w:eastAsia="宋体" w:cs="宋体"/>
                <w:b/>
                <w:bCs/>
                <w:color w:val="auto"/>
                <w:spacing w:val="0"/>
                <w:kern w:val="0"/>
                <w:szCs w:val="21"/>
              </w:rPr>
            </w:pPr>
            <w:r>
              <w:rPr>
                <w:rFonts w:hint="eastAsia" w:ascii="宋体" w:hAnsi="宋体" w:eastAsia="宋体" w:cs="宋体"/>
                <w:b/>
                <w:bCs/>
                <w:color w:val="auto"/>
                <w:spacing w:val="0"/>
                <w:kern w:val="0"/>
                <w:szCs w:val="21"/>
              </w:rPr>
              <w:t>条款内容</w:t>
            </w:r>
          </w:p>
        </w:tc>
        <w:tc>
          <w:tcPr>
            <w:tcW w:w="6007" w:type="dxa"/>
            <w:noWrap w:val="0"/>
            <w:tcMar>
              <w:left w:w="57" w:type="dxa"/>
              <w:right w:w="57" w:type="dxa"/>
            </w:tcMar>
            <w:vAlign w:val="center"/>
          </w:tcPr>
          <w:p w14:paraId="23C80A09">
            <w:pPr>
              <w:rPr>
                <w:rFonts w:hint="eastAsia" w:ascii="宋体" w:hAnsi="宋体" w:eastAsia="宋体" w:cs="宋体"/>
                <w:b/>
                <w:bCs/>
                <w:color w:val="auto"/>
                <w:spacing w:val="0"/>
                <w:kern w:val="0"/>
                <w:szCs w:val="21"/>
              </w:rPr>
            </w:pPr>
            <w:r>
              <w:rPr>
                <w:rFonts w:hint="eastAsia" w:ascii="宋体" w:hAnsi="宋体" w:eastAsia="宋体" w:cs="宋体"/>
                <w:b/>
                <w:bCs/>
                <w:color w:val="auto"/>
                <w:spacing w:val="0"/>
                <w:kern w:val="0"/>
                <w:szCs w:val="21"/>
              </w:rPr>
              <w:t>编列内容</w:t>
            </w:r>
          </w:p>
        </w:tc>
      </w:tr>
      <w:tr w14:paraId="6024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2139" w:type="dxa"/>
            <w:gridSpan w:val="2"/>
            <w:noWrap w:val="0"/>
            <w:tcMar>
              <w:left w:w="57" w:type="dxa"/>
              <w:right w:w="57" w:type="dxa"/>
            </w:tcMar>
            <w:vAlign w:val="center"/>
          </w:tcPr>
          <w:p w14:paraId="01E93E7E">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2.2.1</w:t>
            </w:r>
          </w:p>
        </w:tc>
        <w:tc>
          <w:tcPr>
            <w:tcW w:w="1852" w:type="dxa"/>
            <w:noWrap w:val="0"/>
            <w:tcMar>
              <w:left w:w="57" w:type="dxa"/>
              <w:right w:w="57" w:type="dxa"/>
            </w:tcMar>
            <w:vAlign w:val="center"/>
          </w:tcPr>
          <w:p w14:paraId="705C44C9">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分值构成</w:t>
            </w:r>
          </w:p>
          <w:p w14:paraId="091C9864">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（总分100分）</w:t>
            </w:r>
          </w:p>
        </w:tc>
        <w:tc>
          <w:tcPr>
            <w:tcW w:w="6007" w:type="dxa"/>
            <w:noWrap w:val="0"/>
            <w:tcMar>
              <w:left w:w="57" w:type="dxa"/>
              <w:right w:w="57" w:type="dxa"/>
            </w:tcMar>
            <w:vAlign w:val="center"/>
          </w:tcPr>
          <w:p w14:paraId="6DD22F76">
            <w:pPr>
              <w:rPr>
                <w:rFonts w:hint="eastAsia" w:ascii="宋体" w:hAnsi="宋体" w:eastAsia="宋体" w:cs="宋体"/>
                <w:color w:val="auto"/>
                <w:spacing w:val="0"/>
                <w:szCs w:val="21"/>
              </w:rPr>
            </w:pPr>
            <w:r>
              <w:rPr>
                <w:rFonts w:hint="eastAsia" w:ascii="宋体" w:hAnsi="宋体" w:eastAsia="宋体" w:cs="宋体"/>
                <w:color w:val="auto"/>
                <w:spacing w:val="0"/>
                <w:szCs w:val="21"/>
              </w:rPr>
              <w:t>技术部分：</w:t>
            </w:r>
            <w:r>
              <w:rPr>
                <w:rFonts w:hint="eastAsia" w:ascii="宋体" w:hAnsi="宋体" w:cs="宋体"/>
                <w:color w:val="auto"/>
                <w:spacing w:val="0"/>
                <w:szCs w:val="21"/>
                <w:lang w:val="en-US" w:eastAsia="zh-CN"/>
              </w:rPr>
              <w:t>60</w:t>
            </w:r>
            <w:r>
              <w:rPr>
                <w:rFonts w:hint="eastAsia" w:ascii="宋体" w:hAnsi="宋体" w:eastAsia="宋体" w:cs="宋体"/>
                <w:color w:val="auto"/>
                <w:spacing w:val="0"/>
                <w:szCs w:val="21"/>
              </w:rPr>
              <w:t>分</w:t>
            </w:r>
          </w:p>
          <w:p w14:paraId="746B2508">
            <w:pPr>
              <w:rPr>
                <w:rFonts w:hint="eastAsia" w:ascii="宋体" w:hAnsi="宋体" w:eastAsia="宋体" w:cs="宋体"/>
                <w:color w:val="auto"/>
                <w:spacing w:val="0"/>
                <w:szCs w:val="21"/>
              </w:rPr>
            </w:pPr>
            <w:r>
              <w:rPr>
                <w:rFonts w:hint="eastAsia" w:ascii="宋体" w:hAnsi="宋体" w:eastAsia="宋体" w:cs="宋体"/>
                <w:color w:val="auto"/>
                <w:spacing w:val="0"/>
                <w:szCs w:val="21"/>
              </w:rPr>
              <w:t>商务</w:t>
            </w:r>
            <w:r>
              <w:rPr>
                <w:rFonts w:hint="eastAsia" w:ascii="宋体" w:hAnsi="宋体" w:eastAsia="宋体" w:cs="宋体"/>
                <w:color w:val="auto"/>
                <w:spacing w:val="0"/>
                <w:szCs w:val="21"/>
                <w:lang w:val="en-US" w:eastAsia="zh-CN"/>
              </w:rPr>
              <w:t>部分</w:t>
            </w:r>
            <w:r>
              <w:rPr>
                <w:rFonts w:hint="eastAsia" w:ascii="宋体" w:hAnsi="宋体" w:eastAsia="宋体" w:cs="宋体"/>
                <w:color w:val="auto"/>
                <w:spacing w:val="0"/>
                <w:szCs w:val="21"/>
              </w:rPr>
              <w:t>部分：</w:t>
            </w:r>
            <w:r>
              <w:rPr>
                <w:rFonts w:hint="eastAsia" w:ascii="宋体" w:hAnsi="宋体" w:cs="宋体"/>
                <w:color w:val="auto"/>
                <w:spacing w:val="0"/>
                <w:szCs w:val="21"/>
                <w:lang w:val="en-US" w:eastAsia="zh-CN"/>
              </w:rPr>
              <w:t>40</w:t>
            </w:r>
            <w:r>
              <w:rPr>
                <w:rFonts w:hint="eastAsia" w:ascii="宋体" w:hAnsi="宋体" w:eastAsia="宋体" w:cs="宋体"/>
                <w:color w:val="auto"/>
                <w:spacing w:val="0"/>
                <w:szCs w:val="21"/>
              </w:rPr>
              <w:t>分</w:t>
            </w:r>
          </w:p>
        </w:tc>
      </w:tr>
      <w:tr w14:paraId="4087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139" w:type="dxa"/>
            <w:gridSpan w:val="2"/>
            <w:noWrap w:val="0"/>
            <w:tcMar>
              <w:left w:w="57" w:type="dxa"/>
              <w:right w:w="57" w:type="dxa"/>
            </w:tcMar>
            <w:vAlign w:val="center"/>
          </w:tcPr>
          <w:p w14:paraId="008E8DC2">
            <w:pPr>
              <w:tabs>
                <w:tab w:val="right" w:pos="2948"/>
              </w:tabs>
              <w:jc w:val="center"/>
              <w:rPr>
                <w:rFonts w:hint="eastAsia" w:ascii="宋体" w:hAnsi="宋体" w:eastAsia="宋体" w:cs="宋体"/>
                <w:color w:val="auto"/>
                <w:spacing w:val="0"/>
                <w:kern w:val="0"/>
                <w:szCs w:val="21"/>
              </w:rPr>
            </w:pPr>
            <w:r>
              <w:rPr>
                <w:rFonts w:hint="eastAsia" w:ascii="宋体" w:hAnsi="宋体" w:eastAsia="宋体" w:cs="宋体"/>
                <w:b/>
                <w:bCs/>
                <w:color w:val="auto"/>
                <w:spacing w:val="0"/>
                <w:kern w:val="0"/>
                <w:szCs w:val="21"/>
              </w:rPr>
              <w:t>条款号</w:t>
            </w:r>
          </w:p>
        </w:tc>
        <w:tc>
          <w:tcPr>
            <w:tcW w:w="1852" w:type="dxa"/>
            <w:noWrap w:val="0"/>
            <w:tcMar>
              <w:left w:w="57" w:type="dxa"/>
              <w:right w:w="57" w:type="dxa"/>
            </w:tcMar>
            <w:vAlign w:val="center"/>
          </w:tcPr>
          <w:p w14:paraId="28B56708">
            <w:pPr>
              <w:jc w:val="center"/>
              <w:rPr>
                <w:rFonts w:hint="eastAsia" w:ascii="宋体" w:hAnsi="宋体" w:eastAsia="宋体" w:cs="宋体"/>
                <w:color w:val="auto"/>
                <w:spacing w:val="0"/>
                <w:kern w:val="0"/>
                <w:szCs w:val="21"/>
              </w:rPr>
            </w:pPr>
            <w:r>
              <w:rPr>
                <w:rFonts w:hint="eastAsia" w:ascii="宋体" w:hAnsi="宋体" w:eastAsia="宋体" w:cs="宋体"/>
                <w:b/>
                <w:color w:val="auto"/>
                <w:spacing w:val="0"/>
                <w:kern w:val="0"/>
                <w:szCs w:val="21"/>
              </w:rPr>
              <w:t>评分因素</w:t>
            </w:r>
          </w:p>
        </w:tc>
        <w:tc>
          <w:tcPr>
            <w:tcW w:w="6007" w:type="dxa"/>
            <w:noWrap w:val="0"/>
            <w:tcMar>
              <w:left w:w="57" w:type="dxa"/>
              <w:right w:w="57" w:type="dxa"/>
            </w:tcMar>
            <w:vAlign w:val="center"/>
          </w:tcPr>
          <w:p w14:paraId="63722FAA">
            <w:pPr>
              <w:rPr>
                <w:rFonts w:hint="eastAsia" w:ascii="宋体" w:hAnsi="宋体" w:eastAsia="宋体" w:cs="宋体"/>
                <w:color w:val="auto"/>
                <w:spacing w:val="0"/>
                <w:kern w:val="0"/>
                <w:szCs w:val="21"/>
              </w:rPr>
            </w:pPr>
            <w:r>
              <w:rPr>
                <w:rFonts w:hint="eastAsia" w:ascii="宋体" w:hAnsi="宋体" w:eastAsia="宋体" w:cs="宋体"/>
                <w:b/>
                <w:bCs/>
                <w:color w:val="auto"/>
                <w:spacing w:val="0"/>
                <w:kern w:val="0"/>
                <w:szCs w:val="21"/>
              </w:rPr>
              <w:t>评分标准</w:t>
            </w:r>
          </w:p>
        </w:tc>
      </w:tr>
      <w:tr w14:paraId="7766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3" w:hRule="atLeast"/>
          <w:jc w:val="center"/>
        </w:trPr>
        <w:tc>
          <w:tcPr>
            <w:tcW w:w="904" w:type="dxa"/>
            <w:vMerge w:val="restart"/>
            <w:noWrap w:val="0"/>
            <w:tcMar>
              <w:left w:w="57" w:type="dxa"/>
              <w:right w:w="57" w:type="dxa"/>
            </w:tcMar>
            <w:vAlign w:val="center"/>
          </w:tcPr>
          <w:p w14:paraId="0E4EF050">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2.2.</w:t>
            </w:r>
            <w:r>
              <w:rPr>
                <w:rFonts w:hint="eastAsia" w:ascii="宋体" w:hAnsi="宋体" w:cs="宋体"/>
                <w:color w:val="auto"/>
                <w:spacing w:val="0"/>
                <w:kern w:val="0"/>
                <w:szCs w:val="21"/>
                <w:lang w:val="en-US" w:eastAsia="zh-CN"/>
              </w:rPr>
              <w:t>2</w:t>
            </w:r>
          </w:p>
        </w:tc>
        <w:tc>
          <w:tcPr>
            <w:tcW w:w="1235" w:type="dxa"/>
            <w:vMerge w:val="restart"/>
            <w:noWrap w:val="0"/>
            <w:tcMar>
              <w:left w:w="57" w:type="dxa"/>
              <w:right w:w="57" w:type="dxa"/>
            </w:tcMar>
            <w:vAlign w:val="center"/>
          </w:tcPr>
          <w:p w14:paraId="178C8F4A">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技术标评分（</w:t>
            </w:r>
            <w:r>
              <w:rPr>
                <w:rFonts w:hint="eastAsia" w:ascii="宋体" w:hAnsi="宋体" w:cs="宋体"/>
                <w:color w:val="auto"/>
                <w:spacing w:val="0"/>
                <w:szCs w:val="21"/>
                <w:lang w:val="en-US" w:eastAsia="zh-CN"/>
              </w:rPr>
              <w:t>60</w:t>
            </w:r>
            <w:r>
              <w:rPr>
                <w:rFonts w:hint="eastAsia" w:ascii="宋体" w:hAnsi="宋体" w:eastAsia="宋体" w:cs="宋体"/>
                <w:color w:val="auto"/>
                <w:spacing w:val="0"/>
                <w:szCs w:val="21"/>
              </w:rPr>
              <w:t>分）</w:t>
            </w:r>
          </w:p>
        </w:tc>
        <w:tc>
          <w:tcPr>
            <w:tcW w:w="1852" w:type="dxa"/>
            <w:noWrap w:val="0"/>
            <w:tcMar>
              <w:left w:w="57" w:type="dxa"/>
              <w:right w:w="57" w:type="dxa"/>
            </w:tcMar>
            <w:vAlign w:val="center"/>
          </w:tcPr>
          <w:p w14:paraId="254AAB37">
            <w:pPr>
              <w:jc w:val="center"/>
              <w:rPr>
                <w:rFonts w:hint="eastAsia" w:ascii="宋体" w:hAnsi="宋体" w:cs="宋体"/>
                <w:color w:val="auto"/>
                <w:spacing w:val="0"/>
                <w:szCs w:val="21"/>
                <w:lang w:val="en-US" w:eastAsia="zh-CN"/>
              </w:rPr>
            </w:pPr>
            <w:r>
              <w:rPr>
                <w:rFonts w:hint="eastAsia" w:ascii="宋体" w:hAnsi="宋体" w:cs="宋体"/>
                <w:color w:val="auto"/>
                <w:spacing w:val="0"/>
                <w:szCs w:val="21"/>
                <w:lang w:val="en-US" w:eastAsia="zh-CN"/>
              </w:rPr>
              <w:t>供货方案</w:t>
            </w:r>
          </w:p>
          <w:p w14:paraId="6A74376C">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w:t>
            </w:r>
            <w:r>
              <w:rPr>
                <w:rFonts w:hint="eastAsia" w:ascii="宋体" w:hAnsi="宋体" w:cs="宋体"/>
                <w:color w:val="auto"/>
                <w:spacing w:val="0"/>
                <w:szCs w:val="21"/>
                <w:lang w:val="en-US" w:eastAsia="zh-CN"/>
              </w:rPr>
              <w:t>0-</w:t>
            </w:r>
            <w:r>
              <w:rPr>
                <w:rFonts w:hint="eastAsia" w:ascii="宋体" w:hAnsi="宋体" w:eastAsia="宋体" w:cs="宋体"/>
                <w:color w:val="auto"/>
                <w:spacing w:val="0"/>
                <w:szCs w:val="21"/>
              </w:rPr>
              <w:t>15分）</w:t>
            </w:r>
          </w:p>
          <w:p w14:paraId="31E6C779">
            <w:pPr>
              <w:jc w:val="center"/>
              <w:rPr>
                <w:rFonts w:hint="eastAsia" w:ascii="宋体" w:hAnsi="宋体" w:eastAsia="宋体" w:cs="宋体"/>
                <w:color w:val="auto"/>
                <w:spacing w:val="0"/>
                <w:szCs w:val="21"/>
                <w:lang w:val="en-US" w:eastAsia="zh-CN"/>
              </w:rPr>
            </w:pPr>
          </w:p>
        </w:tc>
        <w:tc>
          <w:tcPr>
            <w:tcW w:w="6007" w:type="dxa"/>
            <w:noWrap w:val="0"/>
            <w:tcMar>
              <w:left w:w="57" w:type="dxa"/>
              <w:right w:w="57" w:type="dxa"/>
            </w:tcMar>
            <w:vAlign w:val="center"/>
          </w:tcPr>
          <w:p w14:paraId="61345FF5">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评标委员会对投标人整体供货方案进行评审，包含食材来源渠道、货源组织管理制度、仓储备货保障、按时供货管控等全部内容：</w:t>
            </w:r>
          </w:p>
          <w:p w14:paraId="49788182">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①方案内容全面详实，货源渠道清晰可溯源、仓储备货机制完善、运输及验收流程细化，高度贴合特困供养机构实际运营需求，完全满足采购要求，得</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 xml:space="preserve">分； </w:t>
            </w:r>
          </w:p>
          <w:p w14:paraId="330343AA">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②方案体系完整，货源、仓储、运输、验收核心内容齐全，可满足采购需求，仅少量细节需优化完善，得</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 xml:space="preserve">分； </w:t>
            </w:r>
          </w:p>
          <w:p w14:paraId="2D489FB6">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③方案内容基本齐全，覆盖全部评审维度，但部分管理制度、货源保障、验收流程表述简略，存在优化空间，得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分；</w:t>
            </w:r>
          </w:p>
          <w:p w14:paraId="43EA002E">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④方案内容简单笼统，渠道、备货、验收关键内容描述模糊，存在明显缺陷，需大幅整改方可满足需求，得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 xml:space="preserve"> 分； </w:t>
            </w:r>
          </w:p>
          <w:p w14:paraId="1B3B7C21">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⑤未提供专项供货方案的，本项不得分。</w:t>
            </w:r>
          </w:p>
        </w:tc>
      </w:tr>
      <w:tr w14:paraId="1000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2" w:hRule="atLeast"/>
          <w:jc w:val="center"/>
        </w:trPr>
        <w:tc>
          <w:tcPr>
            <w:tcW w:w="904" w:type="dxa"/>
            <w:vMerge w:val="continue"/>
            <w:noWrap w:val="0"/>
            <w:tcMar>
              <w:left w:w="57" w:type="dxa"/>
              <w:right w:w="57" w:type="dxa"/>
            </w:tcMar>
            <w:vAlign w:val="center"/>
          </w:tcPr>
          <w:p w14:paraId="520D3C0D">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3F06909C">
            <w:pPr>
              <w:jc w:val="center"/>
              <w:rPr>
                <w:rFonts w:hint="eastAsia" w:ascii="宋体" w:hAnsi="宋体" w:eastAsia="宋体" w:cs="宋体"/>
                <w:color w:val="auto"/>
                <w:spacing w:val="0"/>
                <w:kern w:val="0"/>
                <w:szCs w:val="21"/>
              </w:rPr>
            </w:pPr>
          </w:p>
        </w:tc>
        <w:tc>
          <w:tcPr>
            <w:tcW w:w="1852" w:type="dxa"/>
            <w:noWrap w:val="0"/>
            <w:tcMar>
              <w:left w:w="57" w:type="dxa"/>
              <w:right w:w="57" w:type="dxa"/>
            </w:tcMar>
            <w:vAlign w:val="center"/>
          </w:tcPr>
          <w:p w14:paraId="5DA7BABC">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全流程食品安全管理制度</w:t>
            </w:r>
          </w:p>
          <w:p w14:paraId="1EF2991C">
            <w:pPr>
              <w:jc w:val="center"/>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rPr>
              <w:t>（</w:t>
            </w:r>
            <w:r>
              <w:rPr>
                <w:rFonts w:hint="eastAsia" w:ascii="宋体" w:hAnsi="宋体" w:cs="宋体"/>
                <w:color w:val="auto"/>
                <w:spacing w:val="0"/>
                <w:szCs w:val="21"/>
                <w:lang w:val="en-US" w:eastAsia="zh-CN"/>
              </w:rPr>
              <w:t>0-</w:t>
            </w:r>
            <w:r>
              <w:rPr>
                <w:rFonts w:hint="eastAsia" w:ascii="宋体" w:hAnsi="宋体" w:eastAsia="宋体" w:cs="宋体"/>
                <w:color w:val="auto"/>
                <w:spacing w:val="0"/>
                <w:szCs w:val="21"/>
              </w:rPr>
              <w:t>15分）</w:t>
            </w:r>
          </w:p>
        </w:tc>
        <w:tc>
          <w:tcPr>
            <w:tcW w:w="6007" w:type="dxa"/>
            <w:noWrap w:val="0"/>
            <w:tcMar>
              <w:left w:w="57" w:type="dxa"/>
              <w:right w:w="57" w:type="dxa"/>
            </w:tcMar>
            <w:vAlign w:val="center"/>
          </w:tcPr>
          <w:p w14:paraId="2EB5FCB4">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针对食材源头遴选、采购审核、入库验收、分拣加工、分区储存、恒温保鲜、日常消杀、留样管理、出库核验、问题食材处置、全程追溯闭环管理制度进行评审： </w:t>
            </w:r>
          </w:p>
          <w:p w14:paraId="47DB15A6">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①制度闭环完整，全流程细化到位、岗位责任清晰，完全匹配特困供养食堂管理规范，落地性强，得 15 分； </w:t>
            </w:r>
          </w:p>
          <w:p w14:paraId="5C8662CF">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②制度框架完善，核心管控流程齐全，仅有少量细节需补充优化，得 11 分； </w:t>
            </w:r>
          </w:p>
          <w:p w14:paraId="1430A1D5">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③制度体系基本齐全，关键流程无缺失，部分岗位职责、管控标准简略，得 7 分； </w:t>
            </w:r>
          </w:p>
          <w:p w14:paraId="64500807">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④制度内容单薄，多处流程缺失、权责划分模糊，仅覆盖基础环节，得 3 分； </w:t>
            </w:r>
          </w:p>
          <w:p w14:paraId="35D2BCA5">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⑤无专项食品安全管理制度，本项不得分。</w:t>
            </w:r>
          </w:p>
        </w:tc>
      </w:tr>
      <w:tr w14:paraId="66B7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0" w:hRule="atLeast"/>
          <w:jc w:val="center"/>
        </w:trPr>
        <w:tc>
          <w:tcPr>
            <w:tcW w:w="904" w:type="dxa"/>
            <w:vMerge w:val="continue"/>
            <w:noWrap w:val="0"/>
            <w:tcMar>
              <w:left w:w="57" w:type="dxa"/>
              <w:right w:w="57" w:type="dxa"/>
            </w:tcMar>
            <w:vAlign w:val="center"/>
          </w:tcPr>
          <w:p w14:paraId="48639171">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25C910D9">
            <w:pPr>
              <w:jc w:val="center"/>
              <w:rPr>
                <w:rFonts w:hint="eastAsia" w:ascii="宋体" w:hAnsi="宋体" w:eastAsia="宋体" w:cs="宋体"/>
                <w:color w:val="auto"/>
                <w:spacing w:val="0"/>
                <w:kern w:val="0"/>
                <w:szCs w:val="21"/>
              </w:rPr>
            </w:pPr>
          </w:p>
        </w:tc>
        <w:tc>
          <w:tcPr>
            <w:tcW w:w="1852" w:type="dxa"/>
            <w:noWrap w:val="0"/>
            <w:tcMar>
              <w:left w:w="57" w:type="dxa"/>
              <w:right w:w="57" w:type="dxa"/>
            </w:tcMar>
            <w:vAlign w:val="center"/>
          </w:tcPr>
          <w:p w14:paraId="1818D6A4">
            <w:pPr>
              <w:autoSpaceDE w:val="0"/>
              <w:autoSpaceDN w:val="0"/>
              <w:spacing w:line="360" w:lineRule="auto"/>
              <w:jc w:val="center"/>
              <w:rPr>
                <w:rFonts w:hint="eastAsia" w:ascii="宋体" w:hAnsi="宋体" w:eastAsia="宋体" w:cs="宋体"/>
                <w:color w:val="auto"/>
                <w:kern w:val="2"/>
                <w:sz w:val="21"/>
                <w:szCs w:val="21"/>
                <w:highlight w:val="none"/>
                <w:lang w:val="zh-TW" w:eastAsia="zh-CN" w:bidi="ar-SA"/>
              </w:rPr>
            </w:pPr>
            <w:r>
              <w:rPr>
                <w:rFonts w:hint="eastAsia" w:ascii="宋体" w:hAnsi="宋体" w:eastAsia="宋体" w:cs="宋体"/>
                <w:color w:val="auto"/>
                <w:kern w:val="2"/>
                <w:sz w:val="21"/>
                <w:szCs w:val="21"/>
                <w:highlight w:val="none"/>
                <w:lang w:val="zh-TW" w:eastAsia="zh-CN" w:bidi="ar-SA"/>
              </w:rPr>
              <w:t>专属配送时效与交接方案</w:t>
            </w:r>
          </w:p>
          <w:p w14:paraId="5206E6CB">
            <w:pPr>
              <w:autoSpaceDE w:val="0"/>
              <w:autoSpaceDN w:val="0"/>
              <w:spacing w:line="360" w:lineRule="auto"/>
              <w:jc w:val="center"/>
              <w:rPr>
                <w:rFonts w:hint="eastAsia" w:ascii="宋体" w:hAnsi="宋体" w:eastAsia="宋体" w:cs="宋体"/>
                <w:color w:val="auto"/>
                <w:kern w:val="2"/>
                <w:sz w:val="21"/>
                <w:szCs w:val="21"/>
                <w:highlight w:val="none"/>
                <w:lang w:val="zh-TW" w:eastAsia="zh-CN" w:bidi="ar-SA"/>
              </w:rPr>
            </w:pPr>
            <w:r>
              <w:rPr>
                <w:rFonts w:hint="eastAsia" w:ascii="宋体" w:hAnsi="宋体" w:eastAsia="宋体" w:cs="宋体"/>
                <w:color w:val="auto"/>
                <w:kern w:val="2"/>
                <w:sz w:val="21"/>
                <w:szCs w:val="21"/>
                <w:highlight w:val="none"/>
                <w:lang w:val="zh-TW" w:eastAsia="zh-CN" w:bidi="ar-SA"/>
              </w:rPr>
              <w:t>（</w:t>
            </w:r>
            <w:r>
              <w:rPr>
                <w:rFonts w:hint="eastAsia" w:ascii="宋体" w:hAnsi="宋体" w:cs="宋体"/>
                <w:color w:val="auto"/>
                <w:kern w:val="2"/>
                <w:sz w:val="21"/>
                <w:szCs w:val="21"/>
                <w:highlight w:val="none"/>
                <w:lang w:val="en-US" w:eastAsia="zh-CN" w:bidi="ar-SA"/>
              </w:rPr>
              <w:t>0-10</w:t>
            </w:r>
            <w:r>
              <w:rPr>
                <w:rFonts w:hint="eastAsia" w:ascii="宋体" w:hAnsi="宋体" w:eastAsia="宋体" w:cs="宋体"/>
                <w:color w:val="auto"/>
                <w:kern w:val="2"/>
                <w:sz w:val="21"/>
                <w:szCs w:val="21"/>
                <w:highlight w:val="none"/>
                <w:lang w:val="zh-TW" w:eastAsia="zh-CN" w:bidi="ar-SA"/>
              </w:rPr>
              <w:t>分）</w:t>
            </w:r>
          </w:p>
        </w:tc>
        <w:tc>
          <w:tcPr>
            <w:tcW w:w="6007" w:type="dxa"/>
            <w:noWrap w:val="0"/>
            <w:tcMar>
              <w:left w:w="57" w:type="dxa"/>
              <w:right w:w="57" w:type="dxa"/>
            </w:tcMar>
            <w:vAlign w:val="center"/>
          </w:tcPr>
          <w:p w14:paraId="78A8FF0E">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 xml:space="preserve">针对特困供养机构固定开餐时间、食堂备货节奏定制配送方案，围绕配送时段、到货验收流程、运输保鲜管控、现场交接签字机制、准点送达承诺、分批保鲜配送、错峰交付等内容评审： </w:t>
            </w:r>
          </w:p>
          <w:p w14:paraId="44C29860">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 xml:space="preserve">①方案针对性极强，全流程内容详实细化，各项保障措施完整落地，完全匹配食堂运营需求，得 </w:t>
            </w:r>
            <w:r>
              <w:rPr>
                <w:rFonts w:hint="eastAsia" w:ascii="宋体" w:hAnsi="宋体" w:cs="宋体"/>
                <w:color w:val="auto"/>
                <w:kern w:val="2"/>
                <w:sz w:val="21"/>
                <w:szCs w:val="21"/>
                <w:highlight w:val="none"/>
                <w:lang w:val="en-US" w:eastAsia="zh-CN" w:bidi="ar-SA"/>
              </w:rPr>
              <w:t>10</w:t>
            </w:r>
            <w:r>
              <w:rPr>
                <w:rFonts w:hint="default" w:ascii="宋体" w:hAnsi="宋体" w:eastAsia="宋体" w:cs="宋体"/>
                <w:color w:val="auto"/>
                <w:kern w:val="2"/>
                <w:sz w:val="21"/>
                <w:szCs w:val="21"/>
                <w:highlight w:val="none"/>
                <w:lang w:val="en-US" w:eastAsia="zh-CN" w:bidi="ar-SA"/>
              </w:rPr>
              <w:t xml:space="preserve">分； </w:t>
            </w:r>
          </w:p>
          <w:p w14:paraId="57D40BDF">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 xml:space="preserve">②配送方案框架完整，配送时效、交接、保鲜等核心保障措施清晰，仅少量细节需优化，得 </w:t>
            </w:r>
            <w:r>
              <w:rPr>
                <w:rFonts w:hint="eastAsia" w:ascii="宋体" w:hAnsi="宋体" w:cs="宋体"/>
                <w:color w:val="auto"/>
                <w:kern w:val="2"/>
                <w:sz w:val="21"/>
                <w:szCs w:val="21"/>
                <w:highlight w:val="none"/>
                <w:lang w:val="en-US" w:eastAsia="zh-CN" w:bidi="ar-SA"/>
              </w:rPr>
              <w:t>6</w:t>
            </w:r>
            <w:r>
              <w:rPr>
                <w:rFonts w:hint="default" w:ascii="宋体" w:hAnsi="宋体" w:eastAsia="宋体" w:cs="宋体"/>
                <w:color w:val="auto"/>
                <w:kern w:val="2"/>
                <w:sz w:val="21"/>
                <w:szCs w:val="21"/>
                <w:highlight w:val="none"/>
                <w:lang w:val="en-US" w:eastAsia="zh-CN" w:bidi="ar-SA"/>
              </w:rPr>
              <w:t xml:space="preserve"> 分； </w:t>
            </w:r>
          </w:p>
          <w:p w14:paraId="5FD327EC">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③配送方案内容基本齐全，具备基础时效与交接说明，但管控细则简略，存在完善空间，得</w:t>
            </w:r>
            <w:r>
              <w:rPr>
                <w:rFonts w:hint="eastAsia" w:ascii="宋体" w:hAnsi="宋体" w:cs="宋体"/>
                <w:color w:val="auto"/>
                <w:kern w:val="2"/>
                <w:sz w:val="21"/>
                <w:szCs w:val="21"/>
                <w:highlight w:val="none"/>
                <w:lang w:val="en-US" w:eastAsia="zh-CN" w:bidi="ar-SA"/>
              </w:rPr>
              <w:t>3</w:t>
            </w:r>
            <w:r>
              <w:rPr>
                <w:rFonts w:hint="default" w:ascii="宋体" w:hAnsi="宋体" w:eastAsia="宋体" w:cs="宋体"/>
                <w:color w:val="auto"/>
                <w:kern w:val="2"/>
                <w:sz w:val="21"/>
                <w:szCs w:val="21"/>
                <w:highlight w:val="none"/>
                <w:lang w:val="en-US" w:eastAsia="zh-CN" w:bidi="ar-SA"/>
              </w:rPr>
              <w:t>分；</w:t>
            </w:r>
          </w:p>
          <w:p w14:paraId="4CBAD39F">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 xml:space="preserve"> ④配送方案内容单薄，未明确配送时效、交接、保鲜管控关键机制，缺陷较多，得 1 分； </w:t>
            </w:r>
          </w:p>
          <w:p w14:paraId="5A51371F">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⑤未提供专项配送方案的，本项不得分。</w:t>
            </w:r>
          </w:p>
        </w:tc>
      </w:tr>
      <w:tr w14:paraId="044F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7" w:hRule="atLeast"/>
          <w:jc w:val="center"/>
        </w:trPr>
        <w:tc>
          <w:tcPr>
            <w:tcW w:w="904" w:type="dxa"/>
            <w:vMerge w:val="continue"/>
            <w:noWrap w:val="0"/>
            <w:tcMar>
              <w:left w:w="57" w:type="dxa"/>
              <w:right w:w="57" w:type="dxa"/>
            </w:tcMar>
            <w:vAlign w:val="center"/>
          </w:tcPr>
          <w:p w14:paraId="5F001211">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32C83DC8">
            <w:pPr>
              <w:jc w:val="center"/>
              <w:rPr>
                <w:rFonts w:hint="eastAsia" w:ascii="宋体" w:hAnsi="宋体" w:eastAsia="宋体" w:cs="宋体"/>
                <w:color w:val="auto"/>
                <w:spacing w:val="0"/>
                <w:kern w:val="0"/>
                <w:szCs w:val="21"/>
              </w:rPr>
            </w:pPr>
          </w:p>
        </w:tc>
        <w:tc>
          <w:tcPr>
            <w:tcW w:w="1852" w:type="dxa"/>
            <w:noWrap w:val="0"/>
            <w:tcMar>
              <w:left w:w="57" w:type="dxa"/>
              <w:right w:w="57" w:type="dxa"/>
            </w:tcMar>
            <w:vAlign w:val="center"/>
          </w:tcPr>
          <w:p w14:paraId="0B8E274E">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从业人员管理与岗前培训方案</w:t>
            </w:r>
          </w:p>
          <w:p w14:paraId="6C7D383C">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0-10</w:t>
            </w:r>
            <w:r>
              <w:rPr>
                <w:rFonts w:hint="eastAsia" w:ascii="宋体" w:hAnsi="宋体" w:eastAsia="宋体" w:cs="宋体"/>
                <w:color w:val="auto"/>
                <w:kern w:val="2"/>
                <w:sz w:val="21"/>
                <w:szCs w:val="21"/>
                <w:highlight w:val="none"/>
                <w:lang w:val="en-US" w:eastAsia="zh-CN" w:bidi="ar-SA"/>
              </w:rPr>
              <w:t>分）</w:t>
            </w:r>
          </w:p>
        </w:tc>
        <w:tc>
          <w:tcPr>
            <w:tcW w:w="6007" w:type="dxa"/>
            <w:noWrap w:val="0"/>
            <w:tcMar>
              <w:left w:w="57" w:type="dxa"/>
              <w:right w:w="57" w:type="dxa"/>
            </w:tcMar>
            <w:vAlign w:val="center"/>
          </w:tcPr>
          <w:p w14:paraId="1CF2817F">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针对配送、品控、随车人员健康证、年度体检、岗前食安培训评审： </w:t>
            </w:r>
          </w:p>
          <w:p w14:paraId="207F25D7">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①人员管理制度详实，持证管理、体检周期、专项岗前培训体系完善，贴合供养机构要求，得</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p w14:paraId="3CC7A1AB">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②人员管理体系完整，培训及健康管理齐全，少量细节优化，得 </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 xml:space="preserve">分； </w:t>
            </w:r>
          </w:p>
          <w:p w14:paraId="61D9C500">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③制度基本齐全，培训计划、健康管理表述简略，得</w:t>
            </w: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 xml:space="preserve">分； </w:t>
            </w:r>
          </w:p>
          <w:p w14:paraId="7CEC9930">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④人员管理要求简单，持证、体检、培训关键条款缺失，得 </w:t>
            </w: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分； ⑤未提供人员管理培训方案的，本项不得分。</w:t>
            </w:r>
          </w:p>
        </w:tc>
      </w:tr>
      <w:tr w14:paraId="029C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7" w:hRule="atLeast"/>
          <w:jc w:val="center"/>
        </w:trPr>
        <w:tc>
          <w:tcPr>
            <w:tcW w:w="904" w:type="dxa"/>
            <w:vMerge w:val="continue"/>
            <w:noWrap w:val="0"/>
            <w:tcMar>
              <w:left w:w="57" w:type="dxa"/>
              <w:right w:w="57" w:type="dxa"/>
            </w:tcMar>
            <w:vAlign w:val="center"/>
          </w:tcPr>
          <w:p w14:paraId="6AB024BB">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64F070BF">
            <w:pPr>
              <w:jc w:val="center"/>
              <w:rPr>
                <w:rFonts w:hint="eastAsia" w:ascii="宋体" w:hAnsi="宋体" w:eastAsia="宋体" w:cs="宋体"/>
                <w:color w:val="auto"/>
                <w:spacing w:val="0"/>
                <w:kern w:val="0"/>
                <w:szCs w:val="21"/>
              </w:rPr>
            </w:pPr>
          </w:p>
        </w:tc>
        <w:tc>
          <w:tcPr>
            <w:tcW w:w="1852" w:type="dxa"/>
            <w:noWrap w:val="0"/>
            <w:tcMar>
              <w:left w:w="57" w:type="dxa"/>
              <w:right w:w="57" w:type="dxa"/>
            </w:tcMar>
            <w:vAlign w:val="center"/>
          </w:tcPr>
          <w:p w14:paraId="03AB5D95">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应急预案</w:t>
            </w:r>
          </w:p>
          <w:p w14:paraId="4C4C9E49">
            <w:pPr>
              <w:spacing w:line="360" w:lineRule="auto"/>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zh-TW" w:eastAsia="zh-CN" w:bidi="ar-SA"/>
              </w:rPr>
              <w:t>（</w:t>
            </w:r>
            <w:r>
              <w:rPr>
                <w:rFonts w:hint="eastAsia" w:ascii="宋体" w:hAnsi="宋体" w:cs="宋体"/>
                <w:color w:val="auto"/>
                <w:kern w:val="2"/>
                <w:sz w:val="21"/>
                <w:szCs w:val="21"/>
                <w:highlight w:val="none"/>
                <w:lang w:val="en-US" w:eastAsia="zh-CN" w:bidi="ar-SA"/>
              </w:rPr>
              <w:t>0-10</w:t>
            </w:r>
            <w:r>
              <w:rPr>
                <w:rFonts w:hint="eastAsia" w:ascii="宋体" w:hAnsi="宋体" w:cs="宋体"/>
                <w:color w:val="auto"/>
                <w:kern w:val="2"/>
                <w:sz w:val="21"/>
                <w:szCs w:val="21"/>
                <w:highlight w:val="none"/>
                <w:lang w:val="zh-TW" w:eastAsia="zh-CN" w:bidi="ar-SA"/>
              </w:rPr>
              <w:t>分）</w:t>
            </w:r>
          </w:p>
        </w:tc>
        <w:tc>
          <w:tcPr>
            <w:tcW w:w="6007" w:type="dxa"/>
            <w:noWrap w:val="0"/>
            <w:tcMar>
              <w:left w:w="57" w:type="dxa"/>
              <w:right w:w="57" w:type="dxa"/>
            </w:tcMar>
            <w:vAlign w:val="center"/>
          </w:tcPr>
          <w:p w14:paraId="7262EFB7">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评标委员会针对雨雪极端天气、节假日、食材紧缺、运输设备故障、突发公共卫生事件、突发断供等场景应急处置方案进行评审，重点核查应急备货库存、备用配送车队、备选食材货源、紧急补送处置机制等内容：</w:t>
            </w:r>
          </w:p>
          <w:p w14:paraId="5F83A622">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 xml:space="preserve"> ①方案覆盖全部突发场景，内容全面详实，预案科学完善、落地操作性强，得10分；</w:t>
            </w:r>
          </w:p>
          <w:p w14:paraId="75D64ACA">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 xml:space="preserve"> ②包含全部要求保障内容，预案框架完整、逻辑合理，具备基本实操性，得6 分；</w:t>
            </w:r>
          </w:p>
          <w:p w14:paraId="0AA31E9A">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 xml:space="preserve"> ③具备应急保供方案，核心场景、保障措施存在缺失，针对性一般，得 3分；</w:t>
            </w:r>
          </w:p>
          <w:p w14:paraId="469BD698">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 xml:space="preserve"> ④仅有简易文字说明，场景覆盖不全、应急保障措施单薄，存在明显缺陷，得 1 分； </w:t>
            </w:r>
          </w:p>
          <w:p w14:paraId="5FC20505">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⑤未提供应急保供专项方案的，本项不得分。</w:t>
            </w:r>
          </w:p>
        </w:tc>
      </w:tr>
      <w:tr w14:paraId="2D7E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904" w:type="dxa"/>
            <w:vMerge w:val="restart"/>
            <w:noWrap w:val="0"/>
            <w:tcMar>
              <w:left w:w="57" w:type="dxa"/>
              <w:right w:w="57" w:type="dxa"/>
            </w:tcMar>
            <w:vAlign w:val="center"/>
          </w:tcPr>
          <w:p w14:paraId="48E79758">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2.2.</w:t>
            </w:r>
            <w:r>
              <w:rPr>
                <w:rFonts w:hint="eastAsia" w:ascii="宋体" w:hAnsi="宋体" w:cs="宋体"/>
                <w:color w:val="auto"/>
                <w:spacing w:val="0"/>
                <w:kern w:val="0"/>
                <w:szCs w:val="21"/>
                <w:lang w:val="en-US" w:eastAsia="zh-CN"/>
              </w:rPr>
              <w:t>3</w:t>
            </w:r>
          </w:p>
        </w:tc>
        <w:tc>
          <w:tcPr>
            <w:tcW w:w="1235" w:type="dxa"/>
            <w:vMerge w:val="restart"/>
            <w:noWrap w:val="0"/>
            <w:tcMar>
              <w:left w:w="57" w:type="dxa"/>
              <w:right w:w="57" w:type="dxa"/>
            </w:tcMar>
            <w:vAlign w:val="center"/>
          </w:tcPr>
          <w:p w14:paraId="065807B9">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val="en-US" w:eastAsia="zh-CN"/>
              </w:rPr>
              <w:t>商务部分</w:t>
            </w:r>
            <w:r>
              <w:rPr>
                <w:rFonts w:hint="eastAsia" w:ascii="宋体" w:hAnsi="宋体" w:eastAsia="宋体" w:cs="宋体"/>
                <w:color w:val="auto"/>
                <w:spacing w:val="0"/>
                <w:szCs w:val="21"/>
              </w:rPr>
              <w:t>评分（</w:t>
            </w:r>
            <w:r>
              <w:rPr>
                <w:rFonts w:hint="eastAsia" w:ascii="宋体" w:hAnsi="宋体" w:cs="宋体"/>
                <w:color w:val="auto"/>
                <w:spacing w:val="0"/>
                <w:szCs w:val="21"/>
                <w:lang w:val="en-US" w:eastAsia="zh-CN"/>
              </w:rPr>
              <w:t>40</w:t>
            </w:r>
            <w:r>
              <w:rPr>
                <w:rFonts w:hint="eastAsia" w:ascii="宋体" w:hAnsi="宋体" w:eastAsia="宋体" w:cs="宋体"/>
                <w:color w:val="auto"/>
                <w:spacing w:val="0"/>
                <w:szCs w:val="21"/>
              </w:rPr>
              <w:t>分）</w:t>
            </w:r>
          </w:p>
        </w:tc>
        <w:tc>
          <w:tcPr>
            <w:tcW w:w="1852" w:type="dxa"/>
            <w:noWrap w:val="0"/>
            <w:tcMar>
              <w:left w:w="57" w:type="dxa"/>
              <w:right w:w="57" w:type="dxa"/>
            </w:tcMar>
            <w:vAlign w:val="center"/>
          </w:tcPr>
          <w:p w14:paraId="1A1E6CB8">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业绩</w:t>
            </w:r>
          </w:p>
          <w:p w14:paraId="16158177">
            <w:pPr>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0-12</w:t>
            </w:r>
            <w:r>
              <w:rPr>
                <w:rFonts w:hint="eastAsia" w:ascii="宋体" w:hAnsi="宋体" w:eastAsia="宋体" w:cs="宋体"/>
                <w:color w:val="auto"/>
                <w:kern w:val="0"/>
                <w:sz w:val="21"/>
                <w:szCs w:val="21"/>
                <w:highlight w:val="none"/>
              </w:rPr>
              <w:t>分）</w:t>
            </w:r>
          </w:p>
        </w:tc>
        <w:tc>
          <w:tcPr>
            <w:tcW w:w="6007" w:type="dxa"/>
            <w:noWrap w:val="0"/>
            <w:tcMar>
              <w:left w:w="57" w:type="dxa"/>
              <w:right w:w="57" w:type="dxa"/>
            </w:tcMar>
            <w:vAlign w:val="center"/>
          </w:tcPr>
          <w:p w14:paraId="1FADCD13">
            <w:pPr>
              <w:wordWrap w:val="0"/>
              <w:topLinePunct/>
              <w:adjustRightInd w:val="0"/>
              <w:spacing w:line="360" w:lineRule="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投标人202</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年1月1日</w:t>
            </w:r>
            <w:r>
              <w:rPr>
                <w:rFonts w:hint="eastAsia" w:ascii="宋体" w:hAnsi="宋体" w:cs="宋体"/>
                <w:color w:val="auto"/>
                <w:kern w:val="0"/>
                <w:sz w:val="21"/>
                <w:szCs w:val="21"/>
                <w:highlight w:val="none"/>
                <w:lang w:val="en-US" w:eastAsia="zh-CN"/>
              </w:rPr>
              <w:t>以来具有类似项目</w:t>
            </w:r>
            <w:r>
              <w:rPr>
                <w:rFonts w:hint="eastAsia" w:ascii="宋体" w:hAnsi="宋体" w:eastAsia="宋体" w:cs="宋体"/>
                <w:color w:val="auto"/>
                <w:kern w:val="0"/>
                <w:sz w:val="21"/>
                <w:szCs w:val="21"/>
                <w:highlight w:val="none"/>
              </w:rPr>
              <w:t>业绩</w:t>
            </w:r>
            <w:r>
              <w:rPr>
                <w:rFonts w:hint="eastAsia" w:ascii="宋体" w:hAnsi="宋体" w:cs="宋体"/>
                <w:color w:val="auto"/>
                <w:kern w:val="0"/>
                <w:sz w:val="21"/>
                <w:szCs w:val="21"/>
                <w:highlight w:val="none"/>
                <w:lang w:val="en-US" w:eastAsia="zh-CN"/>
              </w:rPr>
              <w:t>的</w:t>
            </w:r>
            <w:r>
              <w:rPr>
                <w:rFonts w:hint="eastAsia" w:ascii="宋体" w:hAnsi="宋体" w:eastAsia="宋体" w:cs="宋体"/>
                <w:color w:val="auto"/>
                <w:kern w:val="0"/>
                <w:sz w:val="21"/>
                <w:szCs w:val="21"/>
                <w:highlight w:val="none"/>
              </w:rPr>
              <w:t>，每个得</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分，最高得</w:t>
            </w:r>
            <w:r>
              <w:rPr>
                <w:rFonts w:hint="eastAsia" w:ascii="宋体" w:hAnsi="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val="en-US" w:eastAsia="zh-CN"/>
              </w:rPr>
              <w:t>投标文件中需提</w:t>
            </w:r>
            <w:r>
              <w:rPr>
                <w:rFonts w:hint="eastAsia" w:ascii="宋体" w:hAnsi="宋体" w:eastAsia="宋体" w:cs="宋体"/>
                <w:color w:val="auto"/>
                <w:kern w:val="0"/>
                <w:sz w:val="21"/>
                <w:szCs w:val="21"/>
                <w:highlight w:val="none"/>
              </w:rPr>
              <w:t>供货合同</w:t>
            </w:r>
            <w:r>
              <w:rPr>
                <w:rFonts w:hint="eastAsia" w:ascii="宋体" w:hAnsi="宋体" w:eastAsia="宋体" w:cs="宋体"/>
                <w:color w:val="auto"/>
                <w:kern w:val="0"/>
                <w:sz w:val="21"/>
                <w:szCs w:val="21"/>
                <w:highlight w:val="none"/>
                <w:lang w:val="en-US" w:eastAsia="zh-CN"/>
              </w:rPr>
              <w:t>的扫描件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以供货合同签订日期为准，不提供不得分</w:t>
            </w:r>
            <w:r>
              <w:rPr>
                <w:rFonts w:hint="eastAsia" w:ascii="宋体" w:hAnsi="宋体" w:eastAsia="宋体" w:cs="宋体"/>
                <w:color w:val="auto"/>
                <w:kern w:val="0"/>
                <w:sz w:val="21"/>
                <w:szCs w:val="21"/>
                <w:highlight w:val="none"/>
              </w:rPr>
              <w:t>）</w:t>
            </w:r>
          </w:p>
        </w:tc>
      </w:tr>
      <w:tr w14:paraId="5921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904" w:type="dxa"/>
            <w:vMerge w:val="continue"/>
            <w:noWrap w:val="0"/>
            <w:tcMar>
              <w:left w:w="57" w:type="dxa"/>
              <w:right w:w="57" w:type="dxa"/>
            </w:tcMar>
            <w:vAlign w:val="center"/>
          </w:tcPr>
          <w:p w14:paraId="5F695E2C">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6F64BB91">
            <w:pPr>
              <w:jc w:val="center"/>
              <w:rPr>
                <w:rFonts w:hint="eastAsia" w:ascii="宋体" w:hAnsi="宋体" w:eastAsia="宋体" w:cs="宋体"/>
                <w:color w:val="auto"/>
                <w:spacing w:val="0"/>
                <w:szCs w:val="21"/>
              </w:rPr>
            </w:pPr>
          </w:p>
        </w:tc>
        <w:tc>
          <w:tcPr>
            <w:tcW w:w="1852" w:type="dxa"/>
            <w:noWrap w:val="0"/>
            <w:tcMar>
              <w:left w:w="57" w:type="dxa"/>
              <w:right w:w="57" w:type="dxa"/>
            </w:tcMar>
            <w:vAlign w:val="center"/>
          </w:tcPr>
          <w:p w14:paraId="0D6AAD6B">
            <w:pPr>
              <w:autoSpaceDE w:val="0"/>
              <w:autoSpaceDN w:val="0"/>
              <w:spacing w:line="360" w:lineRule="auto"/>
              <w:ind w:left="109" w:leftChars="28" w:right="97" w:rightChars="0" w:hanging="50" w:hangingChars="24"/>
              <w:jc w:val="center"/>
              <w:rPr>
                <w:rFonts w:hint="eastAsia" w:ascii="宋体" w:hAnsi="宋体" w:cs="宋体"/>
                <w:color w:val="auto"/>
                <w:spacing w:val="1"/>
                <w:kern w:val="0"/>
                <w:sz w:val="21"/>
                <w:szCs w:val="21"/>
                <w:highlight w:val="none"/>
                <w:lang w:val="en-US" w:eastAsia="zh-CN"/>
              </w:rPr>
            </w:pPr>
            <w:r>
              <w:rPr>
                <w:rFonts w:hint="eastAsia" w:ascii="宋体" w:hAnsi="宋体" w:cs="宋体"/>
                <w:color w:val="auto"/>
                <w:spacing w:val="1"/>
                <w:kern w:val="0"/>
                <w:sz w:val="21"/>
                <w:szCs w:val="21"/>
                <w:highlight w:val="none"/>
                <w:lang w:val="en-US" w:eastAsia="zh-CN"/>
              </w:rPr>
              <w:t>人员配备</w:t>
            </w:r>
          </w:p>
          <w:p w14:paraId="0A50931A">
            <w:pPr>
              <w:autoSpaceDE w:val="0"/>
              <w:autoSpaceDN w:val="0"/>
              <w:spacing w:line="360" w:lineRule="auto"/>
              <w:ind w:left="109" w:leftChars="28" w:right="97" w:rightChars="0" w:hanging="50" w:hangingChars="24"/>
              <w:jc w:val="center"/>
              <w:rPr>
                <w:rFonts w:hint="eastAsia" w:ascii="宋体" w:hAnsi="宋体" w:cs="宋体"/>
                <w:color w:val="auto"/>
                <w:spacing w:val="1"/>
                <w:kern w:val="0"/>
                <w:sz w:val="21"/>
                <w:szCs w:val="21"/>
                <w:highlight w:val="none"/>
                <w:lang w:val="en-US" w:eastAsia="zh-CN"/>
              </w:rPr>
            </w:pPr>
            <w:r>
              <w:rPr>
                <w:rFonts w:hint="eastAsia" w:ascii="宋体" w:hAnsi="宋体" w:cs="宋体"/>
                <w:color w:val="auto"/>
                <w:spacing w:val="1"/>
                <w:kern w:val="0"/>
                <w:sz w:val="21"/>
                <w:szCs w:val="21"/>
                <w:highlight w:val="none"/>
                <w:lang w:val="en-US" w:eastAsia="zh-CN"/>
              </w:rPr>
              <w:t>（0-8分）</w:t>
            </w:r>
          </w:p>
        </w:tc>
        <w:tc>
          <w:tcPr>
            <w:tcW w:w="6007" w:type="dxa"/>
            <w:noWrap w:val="0"/>
            <w:tcMar>
              <w:left w:w="57" w:type="dxa"/>
              <w:right w:w="57" w:type="dxa"/>
            </w:tcMar>
            <w:vAlign w:val="center"/>
          </w:tcPr>
          <w:p w14:paraId="122B63B2">
            <w:pPr>
              <w:autoSpaceDE w:val="0"/>
              <w:autoSpaceDN w:val="0"/>
              <w:spacing w:line="360" w:lineRule="auto"/>
              <w:rPr>
                <w:rFonts w:hint="eastAsia"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供应商为本项目配备专职配送服务人员，每有1人得1分，最多得8分。（投标文件中须附人员健康证及劳动合同原件扫描件，否则不得分）</w:t>
            </w:r>
          </w:p>
        </w:tc>
      </w:tr>
      <w:tr w14:paraId="70A6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jc w:val="center"/>
        </w:trPr>
        <w:tc>
          <w:tcPr>
            <w:tcW w:w="904" w:type="dxa"/>
            <w:vMerge w:val="continue"/>
            <w:noWrap w:val="0"/>
            <w:tcMar>
              <w:left w:w="57" w:type="dxa"/>
              <w:right w:w="57" w:type="dxa"/>
            </w:tcMar>
            <w:vAlign w:val="center"/>
          </w:tcPr>
          <w:p w14:paraId="315EC5A0">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6194D11A">
            <w:pPr>
              <w:jc w:val="center"/>
              <w:rPr>
                <w:rFonts w:hint="eastAsia" w:ascii="宋体" w:hAnsi="宋体" w:eastAsia="宋体" w:cs="宋体"/>
                <w:color w:val="auto"/>
                <w:spacing w:val="0"/>
                <w:szCs w:val="21"/>
              </w:rPr>
            </w:pPr>
          </w:p>
        </w:tc>
        <w:tc>
          <w:tcPr>
            <w:tcW w:w="1852" w:type="dxa"/>
            <w:noWrap w:val="0"/>
            <w:tcMar>
              <w:left w:w="57" w:type="dxa"/>
              <w:right w:w="57" w:type="dxa"/>
            </w:tcMar>
            <w:vAlign w:val="center"/>
          </w:tcPr>
          <w:p w14:paraId="543A8E60">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配送能力</w:t>
            </w:r>
          </w:p>
          <w:p w14:paraId="2B9CACF8">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0-</w:t>
            </w:r>
            <w:r>
              <w:rPr>
                <w:rFonts w:hint="eastAsia" w:ascii="宋体" w:hAnsi="宋体" w:eastAsia="宋体" w:cs="宋体"/>
                <w:color w:val="auto"/>
                <w:kern w:val="0"/>
                <w:sz w:val="21"/>
                <w:szCs w:val="21"/>
                <w:highlight w:val="none"/>
                <w:lang w:val="en-US" w:eastAsia="zh-CN" w:bidi="ar-SA"/>
              </w:rPr>
              <w:t>10分）</w:t>
            </w:r>
          </w:p>
        </w:tc>
        <w:tc>
          <w:tcPr>
            <w:tcW w:w="6007" w:type="dxa"/>
            <w:noWrap w:val="0"/>
            <w:tcMar>
              <w:left w:w="57" w:type="dxa"/>
              <w:right w:w="57" w:type="dxa"/>
            </w:tcMar>
            <w:vAlign w:val="center"/>
          </w:tcPr>
          <w:p w14:paraId="2B7C8B2B">
            <w:pPr>
              <w:autoSpaceDE w:val="0"/>
              <w:autoSpaceDN w:val="0"/>
              <w:adjustRightInd w:val="0"/>
              <w:spacing w:line="360" w:lineRule="auto"/>
              <w:textAlignment w:val="baseline"/>
              <w:rPr>
                <w:rFonts w:hint="eastAsia"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供应商具有自有或租赁的的配送车辆，每有一辆得2分，最多得10分；（如供应商是自有车辆，响应文件中需提供车辆行驶证扫描件、车辆外观照片；若供应商是租赁车辆，需提供车辆行驶证扫描件及租赁协议扫描件、车辆外观照片。没有车辆或证明资料不全的不得分）。</w:t>
            </w:r>
          </w:p>
        </w:tc>
      </w:tr>
      <w:tr w14:paraId="2A90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8" w:hRule="atLeast"/>
          <w:jc w:val="center"/>
        </w:trPr>
        <w:tc>
          <w:tcPr>
            <w:tcW w:w="904" w:type="dxa"/>
            <w:vMerge w:val="continue"/>
            <w:noWrap w:val="0"/>
            <w:tcMar>
              <w:left w:w="57" w:type="dxa"/>
              <w:right w:w="57" w:type="dxa"/>
            </w:tcMar>
            <w:vAlign w:val="center"/>
          </w:tcPr>
          <w:p w14:paraId="0B71C30B">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1195C9E3">
            <w:pPr>
              <w:jc w:val="center"/>
              <w:rPr>
                <w:rFonts w:hint="eastAsia" w:ascii="宋体" w:hAnsi="宋体" w:eastAsia="宋体" w:cs="宋体"/>
                <w:color w:val="auto"/>
                <w:spacing w:val="0"/>
                <w:szCs w:val="21"/>
              </w:rPr>
            </w:pPr>
          </w:p>
        </w:tc>
        <w:tc>
          <w:tcPr>
            <w:tcW w:w="1852" w:type="dxa"/>
            <w:shd w:val="clear" w:color="auto" w:fill="auto"/>
            <w:noWrap w:val="0"/>
            <w:tcMar>
              <w:left w:w="57" w:type="dxa"/>
              <w:right w:w="57" w:type="dxa"/>
            </w:tcMar>
            <w:vAlign w:val="center"/>
          </w:tcPr>
          <w:p w14:paraId="66CAB1A3">
            <w:pPr>
              <w:autoSpaceDE w:val="0"/>
              <w:autoSpaceDN w:val="0"/>
              <w:spacing w:line="360" w:lineRule="auto"/>
              <w:ind w:left="109" w:leftChars="28" w:right="97" w:rightChars="0" w:hanging="50" w:hangingChars="24"/>
              <w:jc w:val="center"/>
              <w:rPr>
                <w:rFonts w:hint="eastAsia" w:ascii="宋体" w:hAnsi="宋体" w:cs="宋体"/>
                <w:color w:val="auto"/>
                <w:spacing w:val="1"/>
                <w:kern w:val="0"/>
                <w:sz w:val="21"/>
                <w:szCs w:val="21"/>
                <w:highlight w:val="none"/>
                <w:lang w:val="en-US" w:eastAsia="zh-CN"/>
              </w:rPr>
            </w:pPr>
            <w:r>
              <w:rPr>
                <w:rFonts w:hint="eastAsia" w:ascii="宋体" w:hAnsi="宋体" w:cs="宋体"/>
                <w:color w:val="auto"/>
                <w:spacing w:val="1"/>
                <w:kern w:val="0"/>
                <w:sz w:val="21"/>
                <w:szCs w:val="21"/>
                <w:highlight w:val="none"/>
                <w:lang w:val="en-US" w:eastAsia="zh-CN"/>
              </w:rPr>
              <w:t>售后服务与动态优化机制</w:t>
            </w:r>
          </w:p>
          <w:p w14:paraId="5AA01EC6">
            <w:pPr>
              <w:autoSpaceDE w:val="0"/>
              <w:autoSpaceDN w:val="0"/>
              <w:spacing w:line="360" w:lineRule="auto"/>
              <w:ind w:left="109" w:leftChars="28" w:right="97" w:rightChars="0" w:hanging="50" w:hangingChars="24"/>
              <w:jc w:val="center"/>
              <w:rPr>
                <w:rFonts w:hint="eastAsia" w:ascii="宋体" w:hAnsi="宋体" w:eastAsia="宋体" w:cs="宋体"/>
                <w:color w:val="auto"/>
                <w:spacing w:val="1"/>
                <w:kern w:val="0"/>
                <w:sz w:val="21"/>
                <w:szCs w:val="21"/>
                <w:highlight w:val="none"/>
                <w:lang w:val="en-US" w:eastAsia="zh-CN" w:bidi="ar-SA"/>
              </w:rPr>
            </w:pPr>
            <w:r>
              <w:rPr>
                <w:rFonts w:hint="eastAsia" w:ascii="宋体" w:hAnsi="宋体" w:cs="宋体"/>
                <w:color w:val="auto"/>
                <w:spacing w:val="1"/>
                <w:kern w:val="0"/>
                <w:sz w:val="21"/>
                <w:szCs w:val="21"/>
                <w:highlight w:val="none"/>
                <w:lang w:val="en-US" w:eastAsia="zh-CN"/>
              </w:rPr>
              <w:t>（0-5分）</w:t>
            </w:r>
          </w:p>
        </w:tc>
        <w:tc>
          <w:tcPr>
            <w:tcW w:w="6007" w:type="dxa"/>
            <w:shd w:val="clear" w:color="auto" w:fill="auto"/>
            <w:noWrap w:val="0"/>
            <w:tcMar>
              <w:left w:w="57" w:type="dxa"/>
              <w:right w:w="57" w:type="dxa"/>
            </w:tcMar>
            <w:vAlign w:val="center"/>
          </w:tcPr>
          <w:p w14:paraId="40CC215F">
            <w:pPr>
              <w:spacing w:before="120" w:after="120" w:line="288" w:lineRule="auto"/>
              <w:ind w:left="0" w:leftChars="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设立专属项目对接人，建立食材不合格无条件退换、当日缺料即时补送、日常对接、月度回访、意见收集、问题整改、服务优化闭环机制，可根据供养人员饮食反馈动态调整食材品类、规格与供应频次，售后响应迅速、处置规范、服务精细化的，得</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val="en-US" w:eastAsia="zh-CN"/>
              </w:rPr>
              <w:t>分；售后机制基本健全、可满足基础服务的，得</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分；售后机制缺失、无专人对接的，得1分</w:t>
            </w:r>
            <w:r>
              <w:rPr>
                <w:rFonts w:hint="eastAsia" w:ascii="宋体" w:hAnsi="宋体" w:cs="宋体"/>
                <w:color w:val="auto"/>
                <w:kern w:val="0"/>
                <w:sz w:val="21"/>
                <w:szCs w:val="21"/>
                <w:highlight w:val="none"/>
                <w:lang w:val="en-US" w:eastAsia="zh-CN"/>
              </w:rPr>
              <w:t>；</w:t>
            </w:r>
            <w:r>
              <w:rPr>
                <w:rFonts w:hint="eastAsia" w:ascii="宋体" w:hAnsi="宋体" w:cs="宋体"/>
                <w:color w:val="auto"/>
                <w:kern w:val="2"/>
                <w:sz w:val="21"/>
                <w:szCs w:val="21"/>
                <w:highlight w:val="none"/>
                <w:lang w:val="en-US" w:eastAsia="zh-CN" w:bidi="ar-SA"/>
              </w:rPr>
              <w:t>未提供的，本项不得分。</w:t>
            </w:r>
          </w:p>
        </w:tc>
      </w:tr>
      <w:tr w14:paraId="0F5E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9" w:hRule="atLeast"/>
          <w:jc w:val="center"/>
        </w:trPr>
        <w:tc>
          <w:tcPr>
            <w:tcW w:w="904" w:type="dxa"/>
            <w:vMerge w:val="continue"/>
            <w:noWrap w:val="0"/>
            <w:tcMar>
              <w:left w:w="57" w:type="dxa"/>
              <w:right w:w="57" w:type="dxa"/>
            </w:tcMar>
            <w:vAlign w:val="center"/>
          </w:tcPr>
          <w:p w14:paraId="473AA440">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3A39F55E">
            <w:pPr>
              <w:jc w:val="center"/>
              <w:rPr>
                <w:rFonts w:hint="eastAsia" w:ascii="宋体" w:hAnsi="宋体" w:eastAsia="宋体" w:cs="宋体"/>
                <w:color w:val="auto"/>
                <w:spacing w:val="0"/>
                <w:szCs w:val="21"/>
              </w:rPr>
            </w:pPr>
          </w:p>
        </w:tc>
        <w:tc>
          <w:tcPr>
            <w:tcW w:w="1852" w:type="dxa"/>
            <w:noWrap w:val="0"/>
            <w:tcMar>
              <w:left w:w="57" w:type="dxa"/>
              <w:right w:w="57" w:type="dxa"/>
            </w:tcMar>
            <w:vAlign w:val="center"/>
          </w:tcPr>
          <w:p w14:paraId="4023A12B">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服务承诺</w:t>
            </w:r>
          </w:p>
          <w:p w14:paraId="1005EBDD">
            <w:pPr>
              <w:autoSpaceDE w:val="0"/>
              <w:autoSpaceDN w:val="0"/>
              <w:spacing w:line="360" w:lineRule="auto"/>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0-5</w:t>
            </w:r>
            <w:r>
              <w:rPr>
                <w:rFonts w:hint="eastAsia" w:ascii="宋体" w:hAnsi="宋体" w:eastAsia="宋体" w:cs="宋体"/>
                <w:color w:val="auto"/>
                <w:kern w:val="0"/>
                <w:sz w:val="21"/>
                <w:szCs w:val="21"/>
                <w:highlight w:val="none"/>
                <w:lang w:val="en-US" w:eastAsia="zh-CN" w:bidi="ar-SA"/>
              </w:rPr>
              <w:t>分）</w:t>
            </w:r>
          </w:p>
        </w:tc>
        <w:tc>
          <w:tcPr>
            <w:tcW w:w="6007" w:type="dxa"/>
            <w:noWrap w:val="0"/>
            <w:tcMar>
              <w:left w:w="57" w:type="dxa"/>
              <w:right w:w="57" w:type="dxa"/>
            </w:tcMar>
            <w:vAlign w:val="center"/>
          </w:tcPr>
          <w:p w14:paraId="4D449D76">
            <w:pPr>
              <w:autoSpaceDE w:val="0"/>
              <w:autoSpaceDN w:val="0"/>
              <w:adjustRightInd w:val="0"/>
              <w:spacing w:line="360" w:lineRule="auto"/>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1、承诺因产品问题而发生的食物中毒等群体事故，由供应商承担经济赔偿责任及其他法律责任，内容详细具体、合理、切合实际得</w:t>
            </w: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分，内容比较具体、合理的得</w:t>
            </w: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分，内容一般的得</w:t>
            </w:r>
            <w:r>
              <w:rPr>
                <w:rFonts w:hint="eastAsia" w:ascii="宋体" w:hAnsi="宋体" w:cs="宋体"/>
                <w:color w:val="auto"/>
                <w:kern w:val="0"/>
                <w:sz w:val="21"/>
                <w:szCs w:val="21"/>
                <w:highlight w:val="none"/>
                <w:lang w:val="en-US" w:eastAsia="zh-CN" w:bidi="ar-SA"/>
              </w:rPr>
              <w:t>0.5</w:t>
            </w:r>
            <w:r>
              <w:rPr>
                <w:rFonts w:hint="eastAsia" w:ascii="宋体" w:hAnsi="宋体" w:eastAsia="宋体" w:cs="宋体"/>
                <w:color w:val="auto"/>
                <w:kern w:val="0"/>
                <w:sz w:val="21"/>
                <w:szCs w:val="21"/>
                <w:highlight w:val="none"/>
                <w:lang w:val="en-US" w:eastAsia="zh-CN" w:bidi="ar-SA"/>
              </w:rPr>
              <w:t>分，缺项不得分；</w:t>
            </w:r>
          </w:p>
          <w:p w14:paraId="310E099A">
            <w:pPr>
              <w:autoSpaceDE w:val="0"/>
              <w:autoSpaceDN w:val="0"/>
              <w:adjustRightInd w:val="0"/>
              <w:spacing w:line="360" w:lineRule="auto"/>
              <w:textAlignment w:val="baseline"/>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2、承诺对出现的问题食品进行及时的召回和更换、供应商提供“企业产品若发生质量事故按《中华人民共和国食品安全法》相关规定执行赔偿承诺”，内容详细具体、合理得</w:t>
            </w: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分，一般的得</w:t>
            </w: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分，缺项不得分。</w:t>
            </w:r>
          </w:p>
          <w:p w14:paraId="356FFA7C">
            <w:pPr>
              <w:autoSpaceDE w:val="0"/>
              <w:autoSpaceDN w:val="0"/>
              <w:adjustRightInd w:val="0"/>
              <w:spacing w:line="360" w:lineRule="auto"/>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3、供应商承诺供货质量保证措施，坚决不提供对于临近保质期及已经过期产品，得</w:t>
            </w: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分，未提供不得分。</w:t>
            </w:r>
          </w:p>
        </w:tc>
      </w:tr>
    </w:tbl>
    <w:p w14:paraId="6F24F399">
      <w:pPr>
        <w:jc w:val="both"/>
        <w:rPr>
          <w:rFonts w:hint="eastAsia" w:ascii="宋体" w:hAnsi="宋体" w:eastAsia="宋体" w:cs="宋体"/>
          <w:b/>
          <w:bCs/>
          <w:snapToGrid w:val="0"/>
          <w:color w:val="auto"/>
          <w:spacing w:val="0"/>
          <w:kern w:val="21"/>
          <w:sz w:val="24"/>
          <w:szCs w:val="24"/>
          <w:lang w:val="en-US" w:eastAsia="zh-CN"/>
        </w:rPr>
      </w:pPr>
    </w:p>
    <w:p w14:paraId="04F29D57">
      <w:pPr>
        <w:jc w:val="both"/>
        <w:rPr>
          <w:rFonts w:hint="eastAsia" w:ascii="宋体" w:hAnsi="宋体" w:eastAsia="宋体" w:cs="宋体"/>
          <w:b/>
          <w:bCs/>
          <w:snapToGrid w:val="0"/>
          <w:color w:val="auto"/>
          <w:spacing w:val="0"/>
          <w:kern w:val="21"/>
          <w:sz w:val="24"/>
          <w:szCs w:val="24"/>
          <w:lang w:val="en-US" w:eastAsia="zh-CN"/>
        </w:rPr>
      </w:pPr>
    </w:p>
    <w:p w14:paraId="17C77273">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w:t>
      </w:r>
      <w:bookmarkEnd w:id="19"/>
      <w:r>
        <w:rPr>
          <w:rFonts w:hint="eastAsia" w:ascii="宋体" w:hAnsi="宋体" w:eastAsia="宋体" w:cs="宋体"/>
          <w:snapToGrid w:val="0"/>
          <w:color w:val="auto"/>
          <w:spacing w:val="0"/>
          <w:kern w:val="21"/>
          <w:sz w:val="24"/>
          <w:szCs w:val="24"/>
          <w:highlight w:val="none"/>
        </w:rPr>
        <w:t>评标方法</w:t>
      </w:r>
    </w:p>
    <w:p w14:paraId="3720EF79">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本次评标采用综合评分法。</w:t>
      </w:r>
      <w:r>
        <w:rPr>
          <w:rFonts w:hint="eastAsia" w:ascii="宋体" w:hAnsi="宋体" w:eastAsia="宋体" w:cs="宋体"/>
          <w:snapToGrid w:val="0"/>
          <w:color w:val="auto"/>
          <w:spacing w:val="0"/>
          <w:kern w:val="21"/>
          <w:sz w:val="24"/>
          <w:szCs w:val="24"/>
          <w:highlight w:val="none"/>
          <w:lang w:val="en-US" w:eastAsia="zh-CN"/>
        </w:rPr>
        <w:t>评标委员会</w:t>
      </w:r>
      <w:r>
        <w:rPr>
          <w:rFonts w:hint="eastAsia" w:ascii="宋体" w:hAnsi="宋体" w:eastAsia="宋体" w:cs="宋体"/>
          <w:snapToGrid w:val="0"/>
          <w:color w:val="auto"/>
          <w:spacing w:val="0"/>
          <w:kern w:val="21"/>
          <w:sz w:val="24"/>
          <w:szCs w:val="24"/>
          <w:highlight w:val="none"/>
        </w:rPr>
        <w:t>对满足</w:t>
      </w:r>
      <w:r>
        <w:rPr>
          <w:rFonts w:hint="eastAsia" w:ascii="宋体" w:hAnsi="宋体" w:eastAsia="宋体" w:cs="宋体"/>
          <w:snapToGrid w:val="0"/>
          <w:color w:val="auto"/>
          <w:spacing w:val="0"/>
          <w:kern w:val="21"/>
          <w:sz w:val="24"/>
          <w:szCs w:val="24"/>
          <w:highlight w:val="none"/>
          <w:lang w:val="en-US" w:eastAsia="zh-CN"/>
        </w:rPr>
        <w:t>招标</w:t>
      </w:r>
      <w:r>
        <w:rPr>
          <w:rFonts w:hint="eastAsia" w:ascii="宋体" w:hAnsi="宋体" w:eastAsia="宋体" w:cs="宋体"/>
          <w:snapToGrid w:val="0"/>
          <w:color w:val="auto"/>
          <w:spacing w:val="0"/>
          <w:kern w:val="21"/>
          <w:sz w:val="24"/>
          <w:szCs w:val="24"/>
          <w:highlight w:val="none"/>
        </w:rPr>
        <w:t>文件实质性要求的</w:t>
      </w:r>
      <w:r>
        <w:rPr>
          <w:rFonts w:hint="eastAsia" w:ascii="宋体" w:hAnsi="宋体" w:eastAsia="宋体" w:cs="宋体"/>
          <w:snapToGrid w:val="0"/>
          <w:color w:val="auto"/>
          <w:spacing w:val="0"/>
          <w:kern w:val="21"/>
          <w:sz w:val="24"/>
          <w:szCs w:val="24"/>
          <w:highlight w:val="none"/>
          <w:lang w:val="en-US" w:eastAsia="zh-CN"/>
        </w:rPr>
        <w:t>投标</w:t>
      </w:r>
      <w:r>
        <w:rPr>
          <w:rFonts w:hint="eastAsia" w:ascii="宋体" w:hAnsi="宋体" w:eastAsia="宋体" w:cs="宋体"/>
          <w:snapToGrid w:val="0"/>
          <w:color w:val="auto"/>
          <w:spacing w:val="0"/>
          <w:kern w:val="21"/>
          <w:sz w:val="24"/>
          <w:szCs w:val="24"/>
          <w:highlight w:val="none"/>
        </w:rPr>
        <w:t>文件，按照本章规定的评分标准进行打分，并按得分由高到低顺序推荐3名</w:t>
      </w:r>
      <w:r>
        <w:rPr>
          <w:rFonts w:hint="eastAsia" w:ascii="宋体" w:hAnsi="宋体" w:eastAsia="宋体" w:cs="宋体"/>
          <w:snapToGrid w:val="0"/>
          <w:color w:val="auto"/>
          <w:spacing w:val="0"/>
          <w:kern w:val="21"/>
          <w:sz w:val="24"/>
          <w:szCs w:val="24"/>
          <w:highlight w:val="none"/>
          <w:lang w:val="en-US" w:eastAsia="zh-CN"/>
        </w:rPr>
        <w:t>中标</w:t>
      </w:r>
      <w:r>
        <w:rPr>
          <w:rFonts w:hint="eastAsia" w:ascii="宋体" w:hAnsi="宋体" w:eastAsia="宋体" w:cs="宋体"/>
          <w:snapToGrid w:val="0"/>
          <w:color w:val="auto"/>
          <w:spacing w:val="0"/>
          <w:kern w:val="21"/>
          <w:sz w:val="24"/>
          <w:szCs w:val="24"/>
          <w:highlight w:val="none"/>
        </w:rPr>
        <w:t>候选人。</w:t>
      </w:r>
    </w:p>
    <w:p w14:paraId="6569891B">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 投标文件的评审、比较和否决</w:t>
      </w:r>
    </w:p>
    <w:p w14:paraId="30A1B34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1.1评标委员会将按照招标文件的规定，仅对在实质上响应招标文件要求的投标文件进行评估和比较。</w:t>
      </w:r>
    </w:p>
    <w:p w14:paraId="5DE6A41B">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1.2根据相关法律法规及有关招标投标文件规定，结合本项目具体情况，制定本次招标评标办法。并按照“公平、公正、科学、择优”的原则进行评标。采用百分制综合评估法进行评比。</w:t>
      </w:r>
    </w:p>
    <w:p w14:paraId="325EC4B9">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1.3在评审过程中，评标委员会可以要求</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就投标文件中含义不明确的内容进行陈述；凡遇到招标文件中无界定或界定不清、前后不一致使评委会成员意见有分歧且又难于协商一致的问题，均由评委会予以表决，获半数以上同意的即为通过，未获半数同意的即为否决。</w:t>
      </w:r>
    </w:p>
    <w:p w14:paraId="3A8DB64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1.4评标时，投标报价是评标的重要依据，但不是唯一依据，</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不承诺将合同授予报价最低或最高的</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w:t>
      </w:r>
    </w:p>
    <w:p w14:paraId="08E93CE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1.5评标委员会依据招标文件中规定的评标标准和方法，对投标文件进行评审和比较，向</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提出书面评标报告，并推荐合格的中标候选人。</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根据评标委员会提出的书面评标报告和推荐的中标候选人按序确定中标</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w:t>
      </w:r>
    </w:p>
    <w:p w14:paraId="44F9715F">
      <w:pPr>
        <w:ind w:firstLine="480" w:firstLineChars="200"/>
        <w:jc w:val="left"/>
        <w:rPr>
          <w:rFonts w:hint="eastAsia" w:ascii="宋体" w:hAnsi="宋体" w:eastAsia="宋体" w:cs="宋体"/>
          <w:snapToGrid w:val="0"/>
          <w:color w:val="auto"/>
          <w:spacing w:val="0"/>
          <w:kern w:val="21"/>
          <w:sz w:val="24"/>
          <w:szCs w:val="24"/>
          <w:highlight w:val="none"/>
        </w:rPr>
      </w:pPr>
      <w:bookmarkStart w:id="20" w:name="_Toc152045601"/>
      <w:bookmarkEnd w:id="20"/>
      <w:bookmarkStart w:id="21" w:name="_Toc152042378"/>
      <w:bookmarkEnd w:id="21"/>
      <w:bookmarkStart w:id="22" w:name="_Toc144974568"/>
      <w:bookmarkEnd w:id="22"/>
      <w:bookmarkStart w:id="23" w:name="_Toc179632619"/>
      <w:bookmarkEnd w:id="23"/>
      <w:bookmarkStart w:id="24" w:name="_Toc358707207"/>
      <w:bookmarkEnd w:id="24"/>
      <w:bookmarkStart w:id="25" w:name="_Toc7518075"/>
      <w:bookmarkEnd w:id="25"/>
      <w:bookmarkStart w:id="26" w:name="_Toc4725"/>
      <w:bookmarkEnd w:id="26"/>
      <w:bookmarkStart w:id="27" w:name="_Toc247085759"/>
      <w:bookmarkEnd w:id="27"/>
      <w:bookmarkStart w:id="28" w:name="_Toc246996244"/>
      <w:bookmarkEnd w:id="28"/>
      <w:bookmarkStart w:id="29" w:name="_Toc246996987"/>
      <w:r>
        <w:rPr>
          <w:rFonts w:hint="eastAsia" w:ascii="宋体" w:hAnsi="宋体" w:eastAsia="宋体" w:cs="宋体"/>
          <w:snapToGrid w:val="0"/>
          <w:color w:val="auto"/>
          <w:spacing w:val="0"/>
          <w:kern w:val="21"/>
          <w:sz w:val="24"/>
          <w:szCs w:val="24"/>
          <w:highlight w:val="none"/>
        </w:rPr>
        <w:t>2.</w:t>
      </w:r>
      <w:bookmarkEnd w:id="29"/>
      <w:r>
        <w:rPr>
          <w:rFonts w:hint="eastAsia" w:ascii="宋体" w:hAnsi="宋体" w:eastAsia="宋体" w:cs="宋体"/>
          <w:snapToGrid w:val="0"/>
          <w:color w:val="auto"/>
          <w:spacing w:val="0"/>
          <w:kern w:val="21"/>
          <w:sz w:val="24"/>
          <w:szCs w:val="24"/>
          <w:highlight w:val="none"/>
        </w:rPr>
        <w:t>评审标准</w:t>
      </w:r>
    </w:p>
    <w:p w14:paraId="5CA83F22">
      <w:pPr>
        <w:ind w:firstLine="480" w:firstLineChars="200"/>
        <w:jc w:val="left"/>
        <w:rPr>
          <w:rFonts w:hint="eastAsia" w:ascii="宋体" w:hAnsi="宋体" w:eastAsia="宋体" w:cs="宋体"/>
          <w:snapToGrid w:val="0"/>
          <w:color w:val="auto"/>
          <w:spacing w:val="0"/>
          <w:kern w:val="21"/>
          <w:sz w:val="24"/>
          <w:szCs w:val="24"/>
          <w:highlight w:val="none"/>
        </w:rPr>
      </w:pPr>
      <w:bookmarkStart w:id="30" w:name="_Toc246996245"/>
      <w:bookmarkEnd w:id="30"/>
      <w:bookmarkStart w:id="31" w:name="_Toc246996988"/>
      <w:bookmarkEnd w:id="31"/>
      <w:bookmarkStart w:id="32" w:name="_Toc179632620"/>
      <w:bookmarkEnd w:id="32"/>
      <w:bookmarkStart w:id="33" w:name="_Toc144974569"/>
      <w:bookmarkEnd w:id="33"/>
      <w:bookmarkStart w:id="34" w:name="_Toc152045602"/>
      <w:bookmarkEnd w:id="34"/>
      <w:bookmarkStart w:id="35" w:name="_Toc247085760"/>
      <w:bookmarkEnd w:id="35"/>
      <w:bookmarkStart w:id="36" w:name="_Toc152042379"/>
      <w:bookmarkEnd w:id="36"/>
      <w:bookmarkStart w:id="37" w:name="_Toc358707208"/>
      <w:r>
        <w:rPr>
          <w:rFonts w:hint="eastAsia" w:ascii="宋体" w:hAnsi="宋体" w:eastAsia="宋体" w:cs="宋体"/>
          <w:snapToGrid w:val="0"/>
          <w:color w:val="auto"/>
          <w:spacing w:val="0"/>
          <w:kern w:val="21"/>
          <w:sz w:val="24"/>
          <w:szCs w:val="24"/>
          <w:highlight w:val="none"/>
        </w:rPr>
        <w:t xml:space="preserve">2.1 </w:t>
      </w:r>
      <w:bookmarkEnd w:id="37"/>
      <w:r>
        <w:rPr>
          <w:rFonts w:hint="eastAsia" w:ascii="宋体" w:hAnsi="宋体" w:eastAsia="宋体" w:cs="宋体"/>
          <w:snapToGrid w:val="0"/>
          <w:color w:val="auto"/>
          <w:spacing w:val="0"/>
          <w:kern w:val="21"/>
          <w:sz w:val="24"/>
          <w:szCs w:val="24"/>
          <w:highlight w:val="none"/>
        </w:rPr>
        <w:t>初步评审标准</w:t>
      </w:r>
    </w:p>
    <w:p w14:paraId="26F3A57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2.1.1</w:t>
      </w:r>
      <w:r>
        <w:rPr>
          <w:rFonts w:hint="eastAsia" w:ascii="宋体" w:hAnsi="宋体" w:eastAsia="宋体" w:cs="宋体"/>
          <w:snapToGrid w:val="0"/>
          <w:color w:val="auto"/>
          <w:spacing w:val="0"/>
          <w:kern w:val="21"/>
          <w:sz w:val="24"/>
          <w:szCs w:val="24"/>
          <w:highlight w:val="none"/>
          <w:lang w:val="en-US" w:eastAsia="zh-CN"/>
        </w:rPr>
        <w:t>符合性</w:t>
      </w:r>
      <w:r>
        <w:rPr>
          <w:rFonts w:hint="eastAsia" w:ascii="宋体" w:hAnsi="宋体" w:eastAsia="宋体" w:cs="宋体"/>
          <w:snapToGrid w:val="0"/>
          <w:color w:val="auto"/>
          <w:spacing w:val="0"/>
          <w:kern w:val="21"/>
          <w:sz w:val="24"/>
          <w:szCs w:val="24"/>
          <w:highlight w:val="none"/>
        </w:rPr>
        <w:t>评审标准：见评标办法前附表。</w:t>
      </w:r>
    </w:p>
    <w:p w14:paraId="346E8D27">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2.1.2 资格评审标准：见评标办法前附表。</w:t>
      </w:r>
    </w:p>
    <w:p w14:paraId="3FA7975F">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2.1.3 响应评审标准：见评标办法前附表。</w:t>
      </w:r>
    </w:p>
    <w:p w14:paraId="5201F187">
      <w:pPr>
        <w:ind w:firstLine="480" w:firstLineChars="200"/>
        <w:jc w:val="left"/>
        <w:rPr>
          <w:rFonts w:hint="eastAsia" w:ascii="宋体" w:hAnsi="宋体" w:eastAsia="宋体" w:cs="宋体"/>
          <w:snapToGrid w:val="0"/>
          <w:color w:val="auto"/>
          <w:spacing w:val="0"/>
          <w:kern w:val="21"/>
          <w:sz w:val="24"/>
          <w:szCs w:val="24"/>
          <w:highlight w:val="none"/>
        </w:rPr>
      </w:pPr>
      <w:bookmarkStart w:id="38" w:name="_Toc152042380"/>
      <w:bookmarkEnd w:id="38"/>
      <w:bookmarkStart w:id="39" w:name="_Toc246996989"/>
      <w:bookmarkEnd w:id="39"/>
      <w:bookmarkStart w:id="40" w:name="_Toc358707209"/>
      <w:bookmarkEnd w:id="40"/>
      <w:bookmarkStart w:id="41" w:name="_Toc179632621"/>
      <w:bookmarkEnd w:id="41"/>
      <w:bookmarkStart w:id="42" w:name="_Toc246996246"/>
      <w:bookmarkEnd w:id="42"/>
      <w:bookmarkStart w:id="43" w:name="_Toc247085761"/>
      <w:bookmarkEnd w:id="43"/>
      <w:bookmarkStart w:id="44" w:name="_Toc152045603"/>
      <w:bookmarkEnd w:id="44"/>
      <w:bookmarkStart w:id="45" w:name="_Toc144974570"/>
      <w:r>
        <w:rPr>
          <w:rFonts w:hint="eastAsia" w:ascii="宋体" w:hAnsi="宋体" w:eastAsia="宋体" w:cs="宋体"/>
          <w:snapToGrid w:val="0"/>
          <w:color w:val="auto"/>
          <w:spacing w:val="0"/>
          <w:kern w:val="21"/>
          <w:sz w:val="24"/>
          <w:szCs w:val="24"/>
          <w:highlight w:val="none"/>
        </w:rPr>
        <w:t xml:space="preserve">2.2 </w:t>
      </w:r>
      <w:bookmarkEnd w:id="45"/>
      <w:r>
        <w:rPr>
          <w:rFonts w:hint="eastAsia" w:ascii="宋体" w:hAnsi="宋体" w:eastAsia="宋体" w:cs="宋体"/>
          <w:snapToGrid w:val="0"/>
          <w:color w:val="auto"/>
          <w:spacing w:val="0"/>
          <w:kern w:val="21"/>
          <w:sz w:val="24"/>
          <w:szCs w:val="24"/>
          <w:highlight w:val="none"/>
        </w:rPr>
        <w:t>评分标准</w:t>
      </w:r>
    </w:p>
    <w:p w14:paraId="634A22B8">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2.2.1技术标评分标准：见评标办法前附表；</w:t>
      </w:r>
    </w:p>
    <w:p w14:paraId="56A61BC5">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2.2.2</w:t>
      </w:r>
      <w:r>
        <w:rPr>
          <w:rFonts w:hint="eastAsia" w:ascii="宋体" w:hAnsi="宋体" w:eastAsia="宋体" w:cs="宋体"/>
          <w:snapToGrid w:val="0"/>
          <w:color w:val="auto"/>
          <w:spacing w:val="0"/>
          <w:kern w:val="21"/>
          <w:sz w:val="24"/>
          <w:szCs w:val="24"/>
          <w:highlight w:val="none"/>
          <w:lang w:val="en-US" w:eastAsia="zh-CN"/>
        </w:rPr>
        <w:t>商务部分</w:t>
      </w:r>
      <w:r>
        <w:rPr>
          <w:rFonts w:hint="eastAsia" w:ascii="宋体" w:hAnsi="宋体" w:eastAsia="宋体" w:cs="宋体"/>
          <w:snapToGrid w:val="0"/>
          <w:color w:val="auto"/>
          <w:spacing w:val="0"/>
          <w:kern w:val="21"/>
          <w:sz w:val="24"/>
          <w:szCs w:val="24"/>
          <w:highlight w:val="none"/>
        </w:rPr>
        <w:t>评分标准：见评标办法前附表。</w:t>
      </w:r>
    </w:p>
    <w:p w14:paraId="0B8D13C1">
      <w:pPr>
        <w:ind w:firstLine="480" w:firstLineChars="200"/>
        <w:jc w:val="left"/>
        <w:rPr>
          <w:rFonts w:hint="eastAsia" w:ascii="宋体" w:hAnsi="宋体" w:eastAsia="宋体" w:cs="宋体"/>
          <w:snapToGrid w:val="0"/>
          <w:color w:val="auto"/>
          <w:spacing w:val="0"/>
          <w:kern w:val="21"/>
          <w:sz w:val="24"/>
          <w:szCs w:val="24"/>
          <w:highlight w:val="none"/>
        </w:rPr>
      </w:pPr>
      <w:bookmarkStart w:id="46" w:name="_Toc247085762"/>
      <w:bookmarkEnd w:id="46"/>
      <w:bookmarkStart w:id="47" w:name="_Toc7518076"/>
      <w:bookmarkEnd w:id="47"/>
      <w:bookmarkStart w:id="48" w:name="_Toc179632622"/>
      <w:bookmarkEnd w:id="48"/>
      <w:bookmarkStart w:id="49" w:name="_Toc246996247"/>
      <w:bookmarkEnd w:id="49"/>
      <w:bookmarkStart w:id="50" w:name="_Toc4463"/>
      <w:bookmarkEnd w:id="50"/>
      <w:bookmarkStart w:id="51" w:name="_Toc144974571"/>
      <w:bookmarkEnd w:id="51"/>
      <w:bookmarkStart w:id="52" w:name="_Toc152045604"/>
      <w:bookmarkEnd w:id="52"/>
      <w:bookmarkStart w:id="53" w:name="_Toc358707210"/>
      <w:bookmarkEnd w:id="53"/>
      <w:bookmarkStart w:id="54" w:name="_Toc246996990"/>
      <w:bookmarkEnd w:id="54"/>
      <w:bookmarkStart w:id="55" w:name="_Toc152042381"/>
      <w:r>
        <w:rPr>
          <w:rFonts w:hint="eastAsia" w:ascii="宋体" w:hAnsi="宋体" w:eastAsia="宋体" w:cs="宋体"/>
          <w:snapToGrid w:val="0"/>
          <w:color w:val="auto"/>
          <w:spacing w:val="0"/>
          <w:kern w:val="21"/>
          <w:sz w:val="24"/>
          <w:szCs w:val="24"/>
          <w:highlight w:val="none"/>
        </w:rPr>
        <w:t>3.</w:t>
      </w:r>
      <w:bookmarkEnd w:id="55"/>
      <w:r>
        <w:rPr>
          <w:rFonts w:hint="eastAsia" w:ascii="宋体" w:hAnsi="宋体" w:eastAsia="宋体" w:cs="宋体"/>
          <w:snapToGrid w:val="0"/>
          <w:color w:val="auto"/>
          <w:spacing w:val="0"/>
          <w:kern w:val="21"/>
          <w:sz w:val="24"/>
          <w:szCs w:val="24"/>
          <w:highlight w:val="none"/>
        </w:rPr>
        <w:t>评标程序</w:t>
      </w:r>
    </w:p>
    <w:p w14:paraId="37E57A4F">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3.1.1 评标委员会依据本章评标办法前附表第</w:t>
      </w:r>
      <w:r>
        <w:rPr>
          <w:rFonts w:hint="eastAsia" w:ascii="宋体" w:hAnsi="宋体" w:cs="宋体"/>
          <w:snapToGrid w:val="0"/>
          <w:color w:val="auto"/>
          <w:spacing w:val="0"/>
          <w:kern w:val="21"/>
          <w:sz w:val="24"/>
          <w:szCs w:val="24"/>
          <w:highlight w:val="none"/>
          <w:lang w:val="en-US" w:eastAsia="zh-CN"/>
        </w:rPr>
        <w:t>1</w:t>
      </w:r>
      <w:r>
        <w:rPr>
          <w:rFonts w:hint="eastAsia" w:ascii="宋体" w:hAnsi="宋体" w:eastAsia="宋体" w:cs="宋体"/>
          <w:snapToGrid w:val="0"/>
          <w:color w:val="auto"/>
          <w:spacing w:val="0"/>
          <w:kern w:val="21"/>
          <w:sz w:val="24"/>
          <w:szCs w:val="24"/>
          <w:highlight w:val="none"/>
        </w:rPr>
        <w:t>.1.1项、第</w:t>
      </w:r>
      <w:r>
        <w:rPr>
          <w:rFonts w:hint="eastAsia" w:ascii="宋体" w:hAnsi="宋体" w:cs="宋体"/>
          <w:snapToGrid w:val="0"/>
          <w:color w:val="auto"/>
          <w:spacing w:val="0"/>
          <w:kern w:val="21"/>
          <w:sz w:val="24"/>
          <w:szCs w:val="24"/>
          <w:highlight w:val="none"/>
          <w:lang w:val="en-US" w:eastAsia="zh-CN"/>
        </w:rPr>
        <w:t>1</w:t>
      </w:r>
      <w:r>
        <w:rPr>
          <w:rFonts w:hint="eastAsia" w:ascii="宋体" w:hAnsi="宋体" w:eastAsia="宋体" w:cs="宋体"/>
          <w:snapToGrid w:val="0"/>
          <w:color w:val="auto"/>
          <w:spacing w:val="0"/>
          <w:kern w:val="21"/>
          <w:sz w:val="24"/>
          <w:szCs w:val="24"/>
          <w:highlight w:val="none"/>
        </w:rPr>
        <w:t>.1.2项、第</w:t>
      </w:r>
      <w:r>
        <w:rPr>
          <w:rFonts w:hint="eastAsia" w:ascii="宋体" w:hAnsi="宋体" w:cs="宋体"/>
          <w:snapToGrid w:val="0"/>
          <w:color w:val="auto"/>
          <w:spacing w:val="0"/>
          <w:kern w:val="21"/>
          <w:sz w:val="24"/>
          <w:szCs w:val="24"/>
          <w:highlight w:val="none"/>
          <w:lang w:val="en-US" w:eastAsia="zh-CN"/>
        </w:rPr>
        <w:t>1</w:t>
      </w:r>
      <w:r>
        <w:rPr>
          <w:rFonts w:hint="eastAsia" w:ascii="宋体" w:hAnsi="宋体" w:eastAsia="宋体" w:cs="宋体"/>
          <w:snapToGrid w:val="0"/>
          <w:color w:val="auto"/>
          <w:spacing w:val="0"/>
          <w:kern w:val="21"/>
          <w:sz w:val="24"/>
          <w:szCs w:val="24"/>
          <w:highlight w:val="none"/>
        </w:rPr>
        <w:t>.1.3项规定的评审标准对投标文件进行初步评审。有一项不符合评审标准的，其投标将被否决。</w:t>
      </w:r>
    </w:p>
    <w:p w14:paraId="608D67AB">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3.2</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有以下情形之一的，其投标作无效标处理：</w:t>
      </w:r>
    </w:p>
    <w:p w14:paraId="7A572DF5">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（1）串通投标或弄虚作假或有其他违法行为的；</w:t>
      </w:r>
    </w:p>
    <w:p w14:paraId="21F6CE28">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（2）不按</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要求澄清、说明或补正的。</w:t>
      </w:r>
    </w:p>
    <w:p w14:paraId="16C4840A">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3.3投标报价有算术错误的，</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按以下原则对投标报价进行修正，修正的价格经</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书面确认后具有约束力。</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不接受修正价格的，其投标被否决。</w:t>
      </w:r>
    </w:p>
    <w:p w14:paraId="3E300C2B">
      <w:pPr>
        <w:ind w:firstLine="480" w:firstLineChars="200"/>
        <w:jc w:val="left"/>
        <w:rPr>
          <w:rFonts w:hint="eastAsia" w:ascii="宋体" w:hAnsi="宋体" w:eastAsia="宋体" w:cs="宋体"/>
          <w:snapToGrid w:val="0"/>
          <w:color w:val="auto"/>
          <w:spacing w:val="0"/>
          <w:kern w:val="21"/>
          <w:sz w:val="24"/>
          <w:szCs w:val="24"/>
          <w:highlight w:val="none"/>
        </w:rPr>
      </w:pPr>
      <w:bookmarkStart w:id="56" w:name="_Toc152042383"/>
      <w:bookmarkEnd w:id="56"/>
      <w:r>
        <w:rPr>
          <w:rFonts w:hint="eastAsia" w:ascii="宋体" w:hAnsi="宋体" w:eastAsia="宋体" w:cs="宋体"/>
          <w:snapToGrid w:val="0"/>
          <w:color w:val="auto"/>
          <w:spacing w:val="0"/>
          <w:kern w:val="21"/>
          <w:sz w:val="24"/>
          <w:szCs w:val="24"/>
          <w:highlight w:val="none"/>
          <w:lang w:val="en-US" w:eastAsia="zh-CN"/>
        </w:rPr>
        <w:t>投标</w:t>
      </w:r>
      <w:r>
        <w:rPr>
          <w:rFonts w:hint="eastAsia" w:ascii="宋体" w:hAnsi="宋体" w:eastAsia="宋体" w:cs="宋体"/>
          <w:snapToGrid w:val="0"/>
          <w:color w:val="auto"/>
          <w:spacing w:val="0"/>
          <w:kern w:val="21"/>
          <w:sz w:val="24"/>
          <w:szCs w:val="24"/>
          <w:highlight w:val="none"/>
          <w:lang w:eastAsia="zh-CN"/>
        </w:rPr>
        <w:t>文件</w:t>
      </w:r>
      <w:r>
        <w:rPr>
          <w:rFonts w:hint="eastAsia" w:ascii="宋体" w:hAnsi="宋体" w:eastAsia="宋体" w:cs="宋体"/>
          <w:snapToGrid w:val="0"/>
          <w:color w:val="auto"/>
          <w:spacing w:val="0"/>
          <w:kern w:val="21"/>
          <w:sz w:val="24"/>
          <w:szCs w:val="24"/>
          <w:highlight w:val="none"/>
        </w:rPr>
        <w:t>中的大写金额与小写金额不一致的，以大写金额为准；</w:t>
      </w:r>
    </w:p>
    <w:p w14:paraId="2D76F3A5">
      <w:pPr>
        <w:ind w:firstLine="480" w:firstLineChars="200"/>
        <w:jc w:val="left"/>
        <w:rPr>
          <w:rFonts w:hint="eastAsia" w:ascii="宋体" w:hAnsi="宋体" w:eastAsia="宋体" w:cs="宋体"/>
          <w:snapToGrid w:val="0"/>
          <w:color w:val="auto"/>
          <w:spacing w:val="0"/>
          <w:kern w:val="21"/>
          <w:sz w:val="24"/>
          <w:szCs w:val="24"/>
          <w:highlight w:val="none"/>
        </w:rPr>
      </w:pPr>
      <w:bookmarkStart w:id="57" w:name="_Toc358707212"/>
      <w:bookmarkEnd w:id="57"/>
      <w:bookmarkStart w:id="58" w:name="_Toc179632624"/>
      <w:bookmarkEnd w:id="58"/>
      <w:bookmarkStart w:id="59" w:name="_Toc247085764"/>
      <w:bookmarkEnd w:id="59"/>
      <w:bookmarkStart w:id="60" w:name="_Toc144974573"/>
      <w:bookmarkEnd w:id="60"/>
      <w:bookmarkStart w:id="61" w:name="_Toc152045606"/>
      <w:bookmarkEnd w:id="61"/>
      <w:bookmarkStart w:id="62" w:name="_Toc246996992"/>
      <w:bookmarkEnd w:id="62"/>
      <w:bookmarkStart w:id="63" w:name="_Toc246996249"/>
      <w:bookmarkEnd w:id="63"/>
      <w:bookmarkStart w:id="64" w:name="_Toc152042384"/>
      <w:r>
        <w:rPr>
          <w:rFonts w:hint="eastAsia" w:ascii="宋体" w:hAnsi="宋体" w:eastAsia="宋体" w:cs="宋体"/>
          <w:snapToGrid w:val="0"/>
          <w:color w:val="auto"/>
          <w:spacing w:val="0"/>
          <w:kern w:val="21"/>
          <w:sz w:val="24"/>
          <w:szCs w:val="24"/>
          <w:highlight w:val="none"/>
        </w:rPr>
        <w:t>3.4</w:t>
      </w:r>
      <w:bookmarkEnd w:id="64"/>
      <w:r>
        <w:rPr>
          <w:rFonts w:hint="eastAsia" w:ascii="宋体" w:hAnsi="宋体" w:eastAsia="宋体" w:cs="宋体"/>
          <w:snapToGrid w:val="0"/>
          <w:color w:val="auto"/>
          <w:spacing w:val="0"/>
          <w:kern w:val="21"/>
          <w:sz w:val="24"/>
          <w:szCs w:val="24"/>
          <w:highlight w:val="none"/>
        </w:rPr>
        <w:t>详细评审</w:t>
      </w:r>
    </w:p>
    <w:p w14:paraId="5869E57A">
      <w:pPr>
        <w:ind w:firstLine="480" w:firstLineChars="200"/>
        <w:jc w:val="left"/>
        <w:rPr>
          <w:rFonts w:hint="eastAsia" w:ascii="宋体" w:hAnsi="宋体" w:eastAsia="宋体" w:cs="宋体"/>
          <w:snapToGrid w:val="0"/>
          <w:color w:val="auto"/>
          <w:spacing w:val="0"/>
          <w:kern w:val="21"/>
          <w:sz w:val="24"/>
          <w:szCs w:val="24"/>
          <w:highlight w:val="none"/>
        </w:rPr>
      </w:pPr>
      <w:bookmarkStart w:id="65" w:name="_Toc246996993"/>
      <w:bookmarkEnd w:id="65"/>
      <w:bookmarkStart w:id="66" w:name="_Toc246996250"/>
      <w:bookmarkEnd w:id="66"/>
      <w:bookmarkStart w:id="67" w:name="_Toc247085765"/>
      <w:bookmarkEnd w:id="67"/>
      <w:bookmarkStart w:id="68" w:name="_Toc152045607"/>
      <w:bookmarkEnd w:id="68"/>
      <w:bookmarkStart w:id="69" w:name="_Toc179632625"/>
      <w:bookmarkEnd w:id="69"/>
      <w:bookmarkStart w:id="70" w:name="_Toc358707213"/>
      <w:bookmarkEnd w:id="70"/>
      <w:bookmarkStart w:id="71" w:name="_Toc144974575"/>
      <w:bookmarkEnd w:id="71"/>
      <w:bookmarkStart w:id="72" w:name="_Toc152042385"/>
      <w:r>
        <w:rPr>
          <w:rFonts w:hint="eastAsia" w:ascii="宋体" w:hAnsi="宋体" w:eastAsia="宋体" w:cs="宋体"/>
          <w:snapToGrid w:val="0"/>
          <w:color w:val="auto"/>
          <w:spacing w:val="0"/>
          <w:kern w:val="21"/>
          <w:sz w:val="24"/>
          <w:szCs w:val="24"/>
          <w:highlight w:val="none"/>
        </w:rPr>
        <w:t xml:space="preserve">3.4.1 </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按本章第2.2款规定的量化因素和分值进行打分，并计算出综合评估得分。</w:t>
      </w:r>
      <w:bookmarkEnd w:id="72"/>
    </w:p>
    <w:p w14:paraId="2DAB2326">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（1）按本章第2.2.</w:t>
      </w:r>
      <w:r>
        <w:rPr>
          <w:rFonts w:hint="eastAsia" w:ascii="宋体" w:hAnsi="宋体" w:cs="宋体"/>
          <w:snapToGrid w:val="0"/>
          <w:color w:val="auto"/>
          <w:spacing w:val="0"/>
          <w:kern w:val="21"/>
          <w:sz w:val="24"/>
          <w:szCs w:val="24"/>
          <w:highlight w:val="none"/>
          <w:lang w:val="en-US" w:eastAsia="zh-CN"/>
        </w:rPr>
        <w:t>2</w:t>
      </w:r>
      <w:r>
        <w:rPr>
          <w:rFonts w:hint="eastAsia" w:ascii="宋体" w:hAnsi="宋体" w:eastAsia="宋体" w:cs="宋体"/>
          <w:snapToGrid w:val="0"/>
          <w:color w:val="auto"/>
          <w:spacing w:val="0"/>
          <w:kern w:val="21"/>
          <w:sz w:val="24"/>
          <w:szCs w:val="24"/>
          <w:highlight w:val="none"/>
        </w:rPr>
        <w:t>规定的评审因素和分值对技术部分计算出得分；</w:t>
      </w:r>
    </w:p>
    <w:p w14:paraId="7374139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（2）按本章第2.2.</w:t>
      </w:r>
      <w:r>
        <w:rPr>
          <w:rFonts w:hint="eastAsia" w:ascii="宋体" w:hAnsi="宋体" w:cs="宋体"/>
          <w:snapToGrid w:val="0"/>
          <w:color w:val="auto"/>
          <w:spacing w:val="0"/>
          <w:kern w:val="21"/>
          <w:sz w:val="24"/>
          <w:szCs w:val="24"/>
          <w:highlight w:val="none"/>
          <w:lang w:val="en-US" w:eastAsia="zh-CN"/>
        </w:rPr>
        <w:t>3</w:t>
      </w:r>
      <w:r>
        <w:rPr>
          <w:rFonts w:hint="eastAsia" w:ascii="宋体" w:hAnsi="宋体" w:eastAsia="宋体" w:cs="宋体"/>
          <w:snapToGrid w:val="0"/>
          <w:color w:val="auto"/>
          <w:spacing w:val="0"/>
          <w:kern w:val="21"/>
          <w:sz w:val="24"/>
          <w:szCs w:val="24"/>
          <w:highlight w:val="none"/>
        </w:rPr>
        <w:t>目规定的评审因素和分值对商务部分计算出得分；</w:t>
      </w:r>
    </w:p>
    <w:p w14:paraId="2A101D98">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 xml:space="preserve">3.4.2 </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得分=技术部分+商务部分。</w:t>
      </w:r>
    </w:p>
    <w:p w14:paraId="0A0DD8C9">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3.4.3 在</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完成对技术部分和商务部分的汇总后取平均值，作为该</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的最终得分。</w:t>
      </w:r>
    </w:p>
    <w:p w14:paraId="6254472A">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3.4.4</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发现</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的报价明显低于其他投标报价，使得其投标报价可能低于其个别成本的，应当要求该</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做出书面说明并提供相应的证明材料。</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不能合理说明或者不能提供相应证明材料的，</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应当认定该</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以低于成本报价竞标，否决其投标。</w:t>
      </w:r>
    </w:p>
    <w:p w14:paraId="5E860E26">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 xml:space="preserve">3.5 </w:t>
      </w:r>
      <w:r>
        <w:rPr>
          <w:rFonts w:hint="eastAsia" w:ascii="宋体" w:hAnsi="宋体" w:eastAsia="宋体" w:cs="宋体"/>
          <w:snapToGrid w:val="0"/>
          <w:color w:val="auto"/>
          <w:spacing w:val="0"/>
          <w:kern w:val="21"/>
          <w:sz w:val="24"/>
          <w:szCs w:val="24"/>
          <w:highlight w:val="none"/>
          <w:lang w:eastAsia="zh-CN"/>
        </w:rPr>
        <w:t>投标文件</w:t>
      </w:r>
      <w:r>
        <w:rPr>
          <w:rFonts w:hint="eastAsia" w:ascii="宋体" w:hAnsi="宋体" w:eastAsia="宋体" w:cs="宋体"/>
          <w:snapToGrid w:val="0"/>
          <w:color w:val="auto"/>
          <w:spacing w:val="0"/>
          <w:kern w:val="21"/>
          <w:sz w:val="24"/>
          <w:szCs w:val="24"/>
          <w:highlight w:val="none"/>
        </w:rPr>
        <w:t>的澄清和补正</w:t>
      </w:r>
    </w:p>
    <w:p w14:paraId="3F52D443">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3.5.1在评标过程中，</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可以书面形式要求</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对所提交</w:t>
      </w:r>
      <w:r>
        <w:rPr>
          <w:rFonts w:hint="eastAsia" w:ascii="宋体" w:hAnsi="宋体" w:eastAsia="宋体" w:cs="宋体"/>
          <w:snapToGrid w:val="0"/>
          <w:color w:val="auto"/>
          <w:spacing w:val="0"/>
          <w:kern w:val="21"/>
          <w:sz w:val="24"/>
          <w:szCs w:val="24"/>
          <w:highlight w:val="none"/>
          <w:lang w:eastAsia="zh-CN"/>
        </w:rPr>
        <w:t>投标文件</w:t>
      </w:r>
      <w:r>
        <w:rPr>
          <w:rFonts w:hint="eastAsia" w:ascii="宋体" w:hAnsi="宋体" w:eastAsia="宋体" w:cs="宋体"/>
          <w:snapToGrid w:val="0"/>
          <w:color w:val="auto"/>
          <w:spacing w:val="0"/>
          <w:kern w:val="21"/>
          <w:sz w:val="24"/>
          <w:szCs w:val="24"/>
          <w:highlight w:val="none"/>
        </w:rPr>
        <w:t>中不明确的内容进行书面澄清或说明，或者对细微偏差进行补正。</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不接受</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主动提出的澄清、说明或补正。</w:t>
      </w:r>
    </w:p>
    <w:p w14:paraId="68D51864">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3.5.2 澄清、说明和补正不得改变</w:t>
      </w:r>
      <w:r>
        <w:rPr>
          <w:rFonts w:hint="eastAsia" w:ascii="宋体" w:hAnsi="宋体" w:eastAsia="宋体" w:cs="宋体"/>
          <w:snapToGrid w:val="0"/>
          <w:color w:val="auto"/>
          <w:spacing w:val="0"/>
          <w:kern w:val="21"/>
          <w:sz w:val="24"/>
          <w:szCs w:val="24"/>
          <w:highlight w:val="none"/>
          <w:lang w:eastAsia="zh-CN"/>
        </w:rPr>
        <w:t>投标文件</w:t>
      </w:r>
      <w:r>
        <w:rPr>
          <w:rFonts w:hint="eastAsia" w:ascii="宋体" w:hAnsi="宋体" w:eastAsia="宋体" w:cs="宋体"/>
          <w:snapToGrid w:val="0"/>
          <w:color w:val="auto"/>
          <w:spacing w:val="0"/>
          <w:kern w:val="21"/>
          <w:sz w:val="24"/>
          <w:szCs w:val="24"/>
          <w:highlight w:val="none"/>
        </w:rPr>
        <w:t>的实质性内容。</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的书面澄清、说明和补正属于</w:t>
      </w:r>
      <w:r>
        <w:rPr>
          <w:rFonts w:hint="eastAsia" w:ascii="宋体" w:hAnsi="宋体" w:eastAsia="宋体" w:cs="宋体"/>
          <w:snapToGrid w:val="0"/>
          <w:color w:val="auto"/>
          <w:spacing w:val="0"/>
          <w:kern w:val="21"/>
          <w:sz w:val="24"/>
          <w:szCs w:val="24"/>
          <w:highlight w:val="none"/>
          <w:lang w:eastAsia="zh-CN"/>
        </w:rPr>
        <w:t>投标文件</w:t>
      </w:r>
      <w:r>
        <w:rPr>
          <w:rFonts w:hint="eastAsia" w:ascii="宋体" w:hAnsi="宋体" w:eastAsia="宋体" w:cs="宋体"/>
          <w:snapToGrid w:val="0"/>
          <w:color w:val="auto"/>
          <w:spacing w:val="0"/>
          <w:kern w:val="21"/>
          <w:sz w:val="24"/>
          <w:szCs w:val="24"/>
          <w:highlight w:val="none"/>
        </w:rPr>
        <w:t>的组成部分。</w:t>
      </w:r>
    </w:p>
    <w:p w14:paraId="2E12D2FB">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 xml:space="preserve">3.5.3 </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对</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提交的澄清、说明或补正有疑问的，可以要求</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进一步澄清、说明或补正，直至满足</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的要求。</w:t>
      </w:r>
    </w:p>
    <w:p w14:paraId="2B7C71B8">
      <w:pPr>
        <w:ind w:firstLine="480" w:firstLineChars="200"/>
        <w:jc w:val="left"/>
        <w:rPr>
          <w:rFonts w:hint="eastAsia" w:ascii="宋体" w:hAnsi="宋体" w:eastAsia="宋体" w:cs="宋体"/>
          <w:snapToGrid w:val="0"/>
          <w:color w:val="auto"/>
          <w:spacing w:val="0"/>
          <w:kern w:val="21"/>
          <w:sz w:val="24"/>
          <w:szCs w:val="24"/>
          <w:highlight w:val="none"/>
        </w:rPr>
      </w:pPr>
      <w:bookmarkStart w:id="73" w:name="_Toc144974576"/>
      <w:bookmarkEnd w:id="73"/>
      <w:bookmarkStart w:id="74" w:name="_Toc7518077"/>
      <w:bookmarkEnd w:id="74"/>
      <w:bookmarkStart w:id="75" w:name="_Toc358707214"/>
      <w:bookmarkEnd w:id="75"/>
      <w:bookmarkStart w:id="76" w:name="_Toc179632626"/>
      <w:bookmarkEnd w:id="76"/>
      <w:bookmarkStart w:id="77" w:name="_Toc246996251"/>
      <w:bookmarkEnd w:id="77"/>
      <w:bookmarkStart w:id="78" w:name="_Toc152042386"/>
      <w:bookmarkEnd w:id="78"/>
      <w:bookmarkStart w:id="79" w:name="_Toc246996994"/>
      <w:bookmarkEnd w:id="79"/>
      <w:bookmarkStart w:id="80" w:name="_Toc152045608"/>
      <w:bookmarkEnd w:id="80"/>
      <w:bookmarkStart w:id="81" w:name="_Toc247085766"/>
      <w:r>
        <w:rPr>
          <w:rFonts w:hint="eastAsia" w:ascii="宋体" w:hAnsi="宋体" w:eastAsia="宋体" w:cs="宋体"/>
          <w:snapToGrid w:val="0"/>
          <w:color w:val="auto"/>
          <w:spacing w:val="0"/>
          <w:kern w:val="21"/>
          <w:sz w:val="24"/>
          <w:szCs w:val="24"/>
          <w:highlight w:val="none"/>
        </w:rPr>
        <w:t xml:space="preserve">3.6 </w:t>
      </w:r>
      <w:bookmarkEnd w:id="81"/>
      <w:r>
        <w:rPr>
          <w:rFonts w:hint="eastAsia" w:ascii="宋体" w:hAnsi="宋体" w:eastAsia="宋体" w:cs="宋体"/>
          <w:snapToGrid w:val="0"/>
          <w:color w:val="auto"/>
          <w:spacing w:val="0"/>
          <w:kern w:val="21"/>
          <w:sz w:val="24"/>
          <w:szCs w:val="24"/>
          <w:highlight w:val="none"/>
        </w:rPr>
        <w:t>评标结果</w:t>
      </w:r>
    </w:p>
    <w:p w14:paraId="6574E700">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3.6.1除第二章“</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须知”前附表授权直接确定成交人外，</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按照得分由高到低的顺序推荐成交候选人。</w:t>
      </w:r>
    </w:p>
    <w:p w14:paraId="641CC5A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 xml:space="preserve">3.6.2 </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完成评标后，应当向</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提交书面评标报告。</w:t>
      </w:r>
    </w:p>
    <w:p w14:paraId="6CC886F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.特殊情况的处置程序</w:t>
      </w:r>
    </w:p>
    <w:p w14:paraId="3CECD425">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.1 关于评标活动暂停</w:t>
      </w:r>
    </w:p>
    <w:p w14:paraId="455944C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.1.1评标委员会应当执行连续评标的原则，按评标办法中规定的程序、内容、方法、标准完成全部评标工作。只有发生不可抗力导致评标工作无法继续时，评标活动方可暂停。</w:t>
      </w:r>
    </w:p>
    <w:p w14:paraId="6DBF3DB6">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.1.2发生评标暂停情况时，评标委员会应当封存全部投标文件和评标记录，待不可抗力的影响结束且具备继续评标的条件时，由原评标委员会继续评标。</w:t>
      </w:r>
    </w:p>
    <w:p w14:paraId="74F0500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.2 关于评标中途更换评委</w:t>
      </w:r>
    </w:p>
    <w:p w14:paraId="11DA7509">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.2.1 除非发生下列情况之一，评标委员会成员不得在评标中途更换：</w:t>
      </w:r>
    </w:p>
    <w:p w14:paraId="4977EC8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 因不可抗拒的客观原因，不能到场或需在评标中途退出评标活动。</w:t>
      </w:r>
    </w:p>
    <w:p w14:paraId="06978617">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 根据法律法规规定，某个或某几个评标委员会成员需要回避。</w:t>
      </w:r>
    </w:p>
    <w:p w14:paraId="18C92BF8">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.2.2退出评标的评标委员会成员，其已完成的评标行为无效。由</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根据本招标文件规定的评标委员会成员生产方式另行确定替代者进行评标。</w:t>
      </w:r>
    </w:p>
    <w:p w14:paraId="370CB5A5">
      <w:pPr>
        <w:jc w:val="center"/>
        <w:rPr>
          <w:rFonts w:hint="eastAsia" w:ascii="宋体" w:hAnsi="宋体" w:eastAsia="宋体" w:cs="宋体"/>
          <w:snapToGrid w:val="0"/>
          <w:color w:val="auto"/>
          <w:spacing w:val="0"/>
          <w:kern w:val="21"/>
        </w:rPr>
      </w:pPr>
      <w:bookmarkStart w:id="82" w:name="_Toc485222557"/>
      <w:r>
        <w:rPr>
          <w:rFonts w:hint="eastAsia" w:ascii="宋体" w:hAnsi="宋体" w:eastAsia="宋体" w:cs="宋体"/>
          <w:snapToGrid w:val="0"/>
          <w:color w:val="auto"/>
          <w:spacing w:val="0"/>
          <w:kern w:val="21"/>
        </w:rPr>
        <w:br w:type="page"/>
      </w:r>
      <w:r>
        <w:rPr>
          <w:rFonts w:hint="eastAsia" w:ascii="宋体" w:hAnsi="宋体" w:eastAsia="宋体" w:cs="宋体"/>
          <w:b/>
          <w:bCs/>
          <w:snapToGrid w:val="0"/>
          <w:color w:val="auto"/>
          <w:spacing w:val="0"/>
          <w:kern w:val="21"/>
          <w:sz w:val="36"/>
          <w:szCs w:val="40"/>
        </w:rPr>
        <w:t>第</w:t>
      </w:r>
      <w:r>
        <w:rPr>
          <w:rFonts w:hint="eastAsia" w:ascii="宋体" w:hAnsi="宋体" w:eastAsia="宋体" w:cs="宋体"/>
          <w:b/>
          <w:bCs/>
          <w:snapToGrid w:val="0"/>
          <w:color w:val="auto"/>
          <w:spacing w:val="0"/>
          <w:kern w:val="21"/>
          <w:sz w:val="36"/>
          <w:szCs w:val="40"/>
          <w:lang w:val="en-US" w:eastAsia="zh-CN"/>
        </w:rPr>
        <w:t>五章</w:t>
      </w:r>
      <w:r>
        <w:rPr>
          <w:rFonts w:hint="eastAsia" w:ascii="宋体" w:hAnsi="宋体" w:eastAsia="宋体" w:cs="宋体"/>
          <w:b/>
          <w:bCs/>
          <w:snapToGrid w:val="0"/>
          <w:color w:val="auto"/>
          <w:spacing w:val="0"/>
          <w:kern w:val="21"/>
          <w:sz w:val="36"/>
          <w:szCs w:val="40"/>
        </w:rPr>
        <w:t xml:space="preserve">  合同条款及格式</w:t>
      </w:r>
      <w:bookmarkEnd w:id="82"/>
    </w:p>
    <w:p w14:paraId="5FEAFDBD">
      <w:pPr>
        <w:adjustRightInd w:val="0"/>
        <w:snapToGrid w:val="0"/>
        <w:spacing w:line="420" w:lineRule="exact"/>
        <w:ind w:firstLine="562" w:firstLineChars="200"/>
        <w:jc w:val="center"/>
        <w:rPr>
          <w:rFonts w:hint="eastAsia" w:ascii="宋体" w:hAnsi="宋体" w:eastAsia="宋体" w:cs="宋体"/>
          <w:b/>
          <w:snapToGrid w:val="0"/>
          <w:color w:val="auto"/>
          <w:spacing w:val="0"/>
          <w:kern w:val="21"/>
          <w:sz w:val="28"/>
          <w:szCs w:val="28"/>
        </w:rPr>
      </w:pPr>
      <w:bookmarkStart w:id="83" w:name="_Toc351203484"/>
    </w:p>
    <w:p w14:paraId="7C348634">
      <w:pPr>
        <w:widowControl/>
        <w:snapToGrid w:val="0"/>
        <w:spacing w:line="480" w:lineRule="exact"/>
        <w:ind w:firstLine="482" w:firstLineChars="200"/>
        <w:jc w:val="center"/>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w:t>
      </w:r>
      <w:r>
        <w:rPr>
          <w:rFonts w:hint="eastAsia" w:ascii="宋体" w:hAnsi="宋体" w:eastAsia="宋体" w:cs="宋体"/>
          <w:b/>
          <w:bCs/>
          <w:color w:val="auto"/>
          <w:sz w:val="24"/>
          <w:highlight w:val="none"/>
        </w:rPr>
        <w:t>合同格式仅供参考，采购人可根据采购项目的实际情况增减条款和内容）</w:t>
      </w:r>
    </w:p>
    <w:p w14:paraId="500BC818">
      <w:pPr>
        <w:spacing w:line="360" w:lineRule="auto"/>
        <w:ind w:firstLine="480" w:firstLineChars="200"/>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（本合同仅供参考）</w:t>
      </w:r>
    </w:p>
    <w:p w14:paraId="694F281A">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合同编号：</w:t>
      </w:r>
    </w:p>
    <w:p w14:paraId="6A4DCD1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签订地点：</w:t>
      </w:r>
    </w:p>
    <w:p w14:paraId="75CF7042">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签订时间：</w:t>
      </w:r>
    </w:p>
    <w:p w14:paraId="22F6B40E">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采购人（甲方）：</w:t>
      </w:r>
    </w:p>
    <w:p w14:paraId="43AE89C3">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供应商（乙方）：</w:t>
      </w:r>
    </w:p>
    <w:p w14:paraId="1480A2DD">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根据《中华人民共和国政府采购法》、《中华人民共和国</w:t>
      </w:r>
      <w:r>
        <w:rPr>
          <w:rFonts w:hint="eastAsia" w:ascii="宋体" w:hAnsi="宋体" w:eastAsia="宋体" w:cs="宋体"/>
          <w:bCs/>
          <w:color w:val="auto"/>
          <w:sz w:val="24"/>
          <w:szCs w:val="24"/>
          <w:lang w:val="en-US" w:eastAsia="zh-CN"/>
        </w:rPr>
        <w:t>民法典</w:t>
      </w:r>
      <w:r>
        <w:rPr>
          <w:rFonts w:hint="eastAsia" w:ascii="宋体" w:hAnsi="宋体" w:eastAsia="宋体" w:cs="宋体"/>
          <w:bCs/>
          <w:color w:val="auto"/>
          <w:sz w:val="24"/>
          <w:szCs w:val="24"/>
        </w:rPr>
        <w:t>》及</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（项目名称）（项目编号： ）的《招标文件》、乙方的《投标文件》及《中标通知书》，甲、乙双方同意签订本合同。本项目的招标文件、投标文件、《中标通知书》等均为本合同不可分割的部分。</w:t>
      </w:r>
    </w:p>
    <w:p w14:paraId="36AE4B52">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一、服务内容：</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78388F6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二、服务周期：</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22510814">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三、</w:t>
      </w:r>
      <w:r>
        <w:rPr>
          <w:rFonts w:hint="eastAsia" w:ascii="宋体" w:hAnsi="宋体" w:cs="宋体"/>
          <w:bCs/>
          <w:color w:val="auto"/>
          <w:sz w:val="24"/>
          <w:szCs w:val="24"/>
          <w:lang w:eastAsia="zh-CN"/>
        </w:rPr>
        <w:t>配送地点</w:t>
      </w:r>
      <w:r>
        <w:rPr>
          <w:rFonts w:hint="eastAsia" w:ascii="宋体" w:hAnsi="宋体" w:eastAsia="宋体" w:cs="宋体"/>
          <w:bCs/>
          <w:color w:val="auto"/>
          <w:sz w:val="24"/>
          <w:szCs w:val="24"/>
        </w:rPr>
        <w:t>：</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30CEA7B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四、产品质保：</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60DE716F">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五、产品单价：</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32450BE7">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六、产品数量：</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51FF808D">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七、质量要求</w:t>
      </w:r>
    </w:p>
    <w:p w14:paraId="6C64DF2F">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1、乙方须按提供全新的货物。</w:t>
      </w:r>
    </w:p>
    <w:p w14:paraId="68460774">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2、货物必须符合或优于国家（行业）标准，以及本项目招标文件的质量要求和技术指标与出厂标准。</w:t>
      </w:r>
    </w:p>
    <w:p w14:paraId="5743D9C5">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3、乙方须在本合同签订之日起</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日内送交开始供货，并提供成品样品给甲方确认，在甲方出具样品确认书并封存成品样品后，乙方才能按样供货，并以此样品作为验收样品；每台货物上均应有产品质量检验合格标志。</w:t>
      </w:r>
    </w:p>
    <w:p w14:paraId="1F394D5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4、货物制造质量出现问题，乙方应负责三包（保修、包换、包退），费用由乙方负担，甲方有权到乙方生产场地检查货物质量和生产进度。</w:t>
      </w:r>
    </w:p>
    <w:p w14:paraId="040C700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、调换：接到采购方的订单同时后，个别品种因缺货而不能按时送达，乙方应及时通知采购方并协商解决，以确保采购方所需物资能按时按量送到。</w:t>
      </w:r>
    </w:p>
    <w:p w14:paraId="773AA225">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、严禁提供假冒、变质、过期和转基因的产品。</w:t>
      </w:r>
    </w:p>
    <w:p w14:paraId="63B7432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、货物接收方在验收的过程中，如发现乙方提供的商品存在数量、质量问题时，可直接要求乙方更换同量同类的优质商品，并以书面方式报局单位备案，由局单位视情况对乙方处以</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元人民币罚款，如三次（含）以上发生同类事件，经</w:t>
      </w:r>
      <w:r>
        <w:rPr>
          <w:rFonts w:hint="eastAsia" w:ascii="宋体" w:hAnsi="宋体" w:cs="宋体"/>
          <w:bCs/>
          <w:color w:val="auto"/>
          <w:sz w:val="24"/>
          <w:szCs w:val="24"/>
          <w:lang w:eastAsia="zh-CN"/>
        </w:rPr>
        <w:t>卢氏县养老服务中心</w:t>
      </w:r>
      <w:r>
        <w:rPr>
          <w:rFonts w:hint="eastAsia" w:ascii="宋体" w:hAnsi="宋体" w:eastAsia="宋体" w:cs="宋体"/>
          <w:bCs/>
          <w:color w:val="auto"/>
          <w:sz w:val="24"/>
          <w:szCs w:val="24"/>
        </w:rPr>
        <w:t>调查属实的，可取消乙方供货资格。</w:t>
      </w:r>
    </w:p>
    <w:p w14:paraId="5C3C3CAF">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8</w:t>
      </w:r>
      <w:r>
        <w:rPr>
          <w:rFonts w:hint="eastAsia" w:ascii="宋体" w:hAnsi="宋体" w:eastAsia="宋体" w:cs="宋体"/>
          <w:bCs/>
          <w:color w:val="auto"/>
          <w:sz w:val="24"/>
          <w:szCs w:val="24"/>
        </w:rPr>
        <w:t>、甲方应为乙方提供的货物准备良好的储存场地。</w:t>
      </w:r>
    </w:p>
    <w:p w14:paraId="68A6B76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八、运储条件</w:t>
      </w:r>
    </w:p>
    <w:p w14:paraId="2000CCFE">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投标供应商须设有固定合法的配送地点或经营场所，具备单独符合条件的运输车辆</w:t>
      </w:r>
      <w:r>
        <w:rPr>
          <w:rFonts w:hint="eastAsia" w:ascii="宋体" w:hAnsi="宋体" w:eastAsia="宋体"/>
          <w:color w:val="auto"/>
          <w:sz w:val="24"/>
          <w:szCs w:val="24"/>
          <w:lang w:val="en-US" w:eastAsia="zh-CN"/>
        </w:rPr>
        <w:t>设备</w:t>
      </w:r>
      <w:r>
        <w:rPr>
          <w:rFonts w:hint="eastAsia" w:ascii="宋体" w:hAnsi="宋体" w:eastAsia="宋体"/>
          <w:color w:val="auto"/>
          <w:sz w:val="24"/>
          <w:szCs w:val="24"/>
        </w:rPr>
        <w:t>并具有专业人员配送（须提供从业人员健康证，含临时配送、紧急配送）、良好信誉和售后服务能力，如果在项目运行过程中，投标人出现项目转让、委托配送的情况，业主可以立即中止项目服务合同</w:t>
      </w:r>
      <w:r>
        <w:rPr>
          <w:rFonts w:hint="eastAsia" w:ascii="宋体" w:hAnsi="宋体" w:eastAsia="宋体"/>
          <w:color w:val="auto"/>
          <w:sz w:val="24"/>
          <w:szCs w:val="24"/>
          <w:lang w:eastAsia="zh-CN"/>
        </w:rPr>
        <w:t>。</w:t>
      </w:r>
    </w:p>
    <w:p w14:paraId="23D88083">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bCs/>
          <w:color w:val="auto"/>
          <w:sz w:val="24"/>
          <w:szCs w:val="24"/>
        </w:rPr>
        <w:t>九、供货方式</w:t>
      </w:r>
    </w:p>
    <w:p w14:paraId="529E052F">
      <w:pPr>
        <w:spacing w:line="360" w:lineRule="auto"/>
        <w:ind w:firstLine="480" w:firstLineChars="200"/>
        <w:rPr>
          <w:rFonts w:hint="default" w:ascii="宋体" w:hAnsi="宋体" w:eastAsia="宋体" w:cs="宋体"/>
          <w:bCs/>
          <w:color w:val="auto"/>
          <w:sz w:val="24"/>
          <w:szCs w:val="24"/>
          <w:u w:val="single"/>
          <w:lang w:val="en-US" w:eastAsia="zh-CN"/>
        </w:rPr>
      </w:pP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u w:val="none"/>
          <w:lang w:val="en-US" w:eastAsia="zh-CN"/>
        </w:rPr>
        <w:t>。</w:t>
      </w:r>
    </w:p>
    <w:p w14:paraId="7473C7D9">
      <w:pPr>
        <w:spacing w:line="360" w:lineRule="auto"/>
        <w:ind w:firstLine="480" w:firstLineChars="200"/>
        <w:rPr>
          <w:rFonts w:ascii="宋体" w:hAnsi="宋体" w:eastAsia="宋体" w:cs="宋体"/>
          <w:bCs/>
          <w:color w:val="auto"/>
          <w:sz w:val="24"/>
          <w:szCs w:val="24"/>
        </w:rPr>
      </w:pPr>
    </w:p>
    <w:p w14:paraId="6ED358A4">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十、验收及付款</w:t>
      </w:r>
    </w:p>
    <w:p w14:paraId="214B656E">
      <w:pPr>
        <w:spacing w:line="360" w:lineRule="auto"/>
        <w:ind w:firstLine="480" w:firstLineChars="200"/>
        <w:rPr>
          <w:rFonts w:hint="default" w:ascii="宋体" w:hAnsi="宋体" w:eastAsia="宋体" w:cs="宋体"/>
          <w:bCs/>
          <w:color w:val="auto"/>
          <w:sz w:val="24"/>
          <w:szCs w:val="24"/>
          <w:u w:val="single"/>
          <w:lang w:val="en-US" w:eastAsia="zh-CN"/>
        </w:rPr>
      </w:pP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u w:val="none"/>
          <w:lang w:val="en-US" w:eastAsia="zh-CN"/>
        </w:rPr>
        <w:t>。</w:t>
      </w:r>
    </w:p>
    <w:p w14:paraId="6C6ECD44">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十一、违约责任</w:t>
      </w:r>
    </w:p>
    <w:p w14:paraId="641971F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1、甲方的违约责任</w:t>
      </w:r>
    </w:p>
    <w:p w14:paraId="461F208D">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（1）甲方无正当理由拒收货物的，甲方应偿付合同总价百分之</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的违约金；</w:t>
      </w:r>
    </w:p>
    <w:p w14:paraId="5E88C6F5">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（2）甲方逾期支付货款的，除应及时付足货款外，应向乙方偿付欠款总额万分之</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/天的违约金逾期付款超过</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天的，乙方有权终止合同；</w:t>
      </w:r>
    </w:p>
    <w:p w14:paraId="4D37EFE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2、乙方违约责任</w:t>
      </w:r>
    </w:p>
    <w:p w14:paraId="0F34DE17">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（1）乙方交付的货物质量不符合合同规定的，乙方应向甲方支付合同总价的百分之 的违约金，并须在合同规定的交货时间内更换合格的货物给甲方，否则，视作乙方不能交付货物而违约。</w:t>
      </w:r>
    </w:p>
    <w:p w14:paraId="7BB9E3B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（2）合同期内，中标企业因食品质量或其他原因造成违约行为或一般安全事故以上的，应勒令整改或终止合约，并处罚金。</w:t>
      </w:r>
    </w:p>
    <w:p w14:paraId="24018FC6">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（3）乙方货物经甲方送交具有法定资格条件的质量技术监督机构检测后，如检测结果认定货物质量不符合本合同规定标准的，如逾期不能更换合格的货物，甲方有权终止本合同，乙方应另付合同总价的百分之</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的赔偿金给甲方。</w:t>
      </w:r>
    </w:p>
    <w:p w14:paraId="1D024589">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（4）乙方保证本合同货物的质量安全无害，并符合《中华人民共和国消费者权益保护法》、《中华人民共和国计量法》等相关法律、法规的要求。</w:t>
      </w:r>
    </w:p>
    <w:p w14:paraId="65217B47">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（5）乙方偿付的违约金不足弥补甲方损失的，还应按甲方损失尚未弥补的部分支付赔偿金给甲方。</w:t>
      </w:r>
    </w:p>
    <w:p w14:paraId="13E2BE40">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（6）安全责任：由于乙方货物质量造成的安全质量事故，乙方应全权负责；</w:t>
      </w:r>
    </w:p>
    <w:p w14:paraId="5E5A4CD2">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（7）运输安全：乙方应确保配送运输过程中的安全。</w:t>
      </w:r>
    </w:p>
    <w:p w14:paraId="57303A0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十二、争议解决办法</w:t>
      </w:r>
    </w:p>
    <w:p w14:paraId="4D648206">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1、因货物的质量问题发生争议，由质量技术监督部门或其指定的技术质检部门进行质量鉴定。货物符合标准，鉴定费由甲方承担；货物不符合质量标准的，鉴定费由乙方承担。</w:t>
      </w:r>
    </w:p>
    <w:p w14:paraId="2BF1F44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2、合同履行期间，若双方发生争议，可协商或由有关部门调解解决，协商或调解不成的，由当事人依法维护其合法权益。</w:t>
      </w:r>
    </w:p>
    <w:p w14:paraId="0C1EEB2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十三、其他</w:t>
      </w:r>
    </w:p>
    <w:p w14:paraId="0704BD5A">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1、如有未尽事宜，由双方依法订立补充合同。</w:t>
      </w:r>
    </w:p>
    <w:p w14:paraId="67F1D3E3">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2、本合同一式六份，自双方签章之日起生效。甲方三份，乙方</w:t>
      </w:r>
      <w:r>
        <w:rPr>
          <w:rFonts w:hint="eastAsia" w:ascii="宋体" w:hAnsi="宋体" w:eastAsia="宋体" w:cs="宋体"/>
          <w:bCs/>
          <w:color w:val="auto"/>
          <w:sz w:val="24"/>
          <w:szCs w:val="24"/>
          <w:lang w:eastAsia="zh-CN"/>
        </w:rPr>
        <w:t>三</w:t>
      </w:r>
      <w:r>
        <w:rPr>
          <w:rFonts w:hint="eastAsia" w:ascii="宋体" w:hAnsi="宋体" w:eastAsia="宋体" w:cs="宋体"/>
          <w:bCs/>
          <w:color w:val="auto"/>
          <w:sz w:val="24"/>
          <w:szCs w:val="24"/>
        </w:rPr>
        <w:t>份。</w:t>
      </w:r>
    </w:p>
    <w:p w14:paraId="168AA51D">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甲方：（盖章）</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 xml:space="preserve"> </w:t>
      </w:r>
      <w:r>
        <w:rPr>
          <w:rFonts w:hint="eastAsia" w:ascii="宋体" w:hAnsi="宋体" w:eastAsia="宋体" w:cs="宋体"/>
          <w:bCs/>
          <w:color w:val="auto"/>
          <w:sz w:val="24"/>
          <w:szCs w:val="24"/>
          <w:lang w:eastAsia="zh-CN"/>
        </w:rPr>
        <w:t>乙</w:t>
      </w:r>
      <w:r>
        <w:rPr>
          <w:rFonts w:hint="eastAsia" w:ascii="宋体" w:hAnsi="宋体" w:eastAsia="宋体" w:cs="宋体"/>
          <w:bCs/>
          <w:color w:val="auto"/>
          <w:sz w:val="24"/>
          <w:szCs w:val="24"/>
        </w:rPr>
        <w:t>方：（盖章）</w:t>
      </w:r>
      <w:r>
        <w:rPr>
          <w:rFonts w:hint="eastAsia" w:ascii="宋体" w:hAnsi="宋体" w:eastAsia="宋体" w:cs="宋体"/>
          <w:bCs/>
          <w:color w:val="auto"/>
          <w:sz w:val="24"/>
          <w:szCs w:val="24"/>
          <w:lang w:val="en-US" w:eastAsia="zh-CN"/>
        </w:rPr>
        <w:t xml:space="preserve">  </w:t>
      </w:r>
    </w:p>
    <w:p w14:paraId="32F30E4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地址：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地址：</w:t>
      </w:r>
    </w:p>
    <w:p w14:paraId="3D78A1A1">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法定代表人：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法定代表人：</w:t>
      </w:r>
    </w:p>
    <w:p w14:paraId="60D2B42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委托代理人：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委托代理人：</w:t>
      </w:r>
    </w:p>
    <w:p w14:paraId="4889D2A2">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电话：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电话：</w:t>
      </w:r>
    </w:p>
    <w:p w14:paraId="7F820334">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开户银行：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开户银行：</w:t>
      </w:r>
    </w:p>
    <w:p w14:paraId="4B59E58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帐号：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账户：</w:t>
      </w:r>
    </w:p>
    <w:p w14:paraId="3D088109">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签约时间： 年 月 日</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 xml:space="preserve"> 年 月 日</w:t>
      </w:r>
    </w:p>
    <w:p w14:paraId="562EE17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注</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以上合同格式仅供</w:t>
      </w:r>
      <w:r>
        <w:rPr>
          <w:rFonts w:hint="eastAsia" w:ascii="宋体" w:hAnsi="宋体" w:eastAsia="宋体" w:cs="宋体"/>
          <w:bCs/>
          <w:color w:val="auto"/>
          <w:sz w:val="24"/>
          <w:szCs w:val="24"/>
          <w:lang w:eastAsia="zh-CN"/>
        </w:rPr>
        <w:t>采购人</w:t>
      </w:r>
      <w:r>
        <w:rPr>
          <w:rFonts w:hint="eastAsia" w:ascii="宋体" w:hAnsi="宋体" w:eastAsia="宋体" w:cs="宋体"/>
          <w:bCs/>
          <w:color w:val="auto"/>
          <w:sz w:val="24"/>
          <w:szCs w:val="24"/>
        </w:rPr>
        <w:t>和中标单位参考，</w:t>
      </w:r>
      <w:r>
        <w:rPr>
          <w:rFonts w:hint="eastAsia" w:ascii="宋体" w:hAnsi="宋体" w:eastAsia="宋体" w:cs="宋体"/>
          <w:bCs/>
          <w:color w:val="auto"/>
          <w:sz w:val="24"/>
          <w:szCs w:val="24"/>
          <w:lang w:eastAsia="zh-CN"/>
        </w:rPr>
        <w:t>采购人</w:t>
      </w:r>
      <w:r>
        <w:rPr>
          <w:rFonts w:hint="eastAsia" w:ascii="宋体" w:hAnsi="宋体" w:eastAsia="宋体" w:cs="宋体"/>
          <w:bCs/>
          <w:color w:val="auto"/>
          <w:sz w:val="24"/>
          <w:szCs w:val="24"/>
        </w:rPr>
        <w:t xml:space="preserve">和中标单位应根据实际情况自行增加、减少和修改合同的相应条款和约束内容。  </w:t>
      </w:r>
    </w:p>
    <w:p w14:paraId="0F57AB9C">
      <w:pPr>
        <w:spacing w:line="360" w:lineRule="auto"/>
        <w:ind w:firstLine="480" w:firstLineChars="200"/>
        <w:rPr>
          <w:rFonts w:hint="eastAsia" w:ascii="宋体" w:hAnsi="宋体" w:eastAsia="宋体" w:cs="宋体"/>
          <w:bCs/>
          <w:color w:val="auto"/>
          <w:sz w:val="24"/>
          <w:szCs w:val="24"/>
        </w:rPr>
        <w:sectPr>
          <w:footerReference r:id="rId10" w:type="default"/>
          <w:pgSz w:w="11906" w:h="16838"/>
          <w:pgMar w:top="1440" w:right="1440" w:bottom="1440" w:left="1440" w:header="851" w:footer="992" w:gutter="0"/>
          <w:pgNumType w:fmt="decimal" w:start="1"/>
          <w:cols w:space="720" w:num="1"/>
          <w:docGrid w:type="lines" w:linePitch="312" w:charSpace="0"/>
        </w:sectPr>
      </w:pPr>
    </w:p>
    <w:bookmarkEnd w:id="83"/>
    <w:p w14:paraId="4F855D66">
      <w:pPr>
        <w:jc w:val="center"/>
        <w:rPr>
          <w:rFonts w:hint="eastAsia" w:ascii="宋体" w:hAnsi="宋体" w:eastAsia="宋体" w:cs="宋体"/>
          <w:snapToGrid w:val="0"/>
          <w:color w:val="auto"/>
          <w:spacing w:val="0"/>
          <w:kern w:val="21"/>
        </w:rPr>
      </w:pPr>
      <w:bookmarkStart w:id="84" w:name="_Toc485222560"/>
      <w:bookmarkStart w:id="85" w:name="_Toc468276940"/>
      <w:r>
        <w:rPr>
          <w:rFonts w:hint="eastAsia" w:ascii="宋体" w:hAnsi="宋体" w:eastAsia="宋体" w:cs="宋体"/>
          <w:b/>
          <w:snapToGrid w:val="0"/>
          <w:color w:val="auto"/>
          <w:spacing w:val="0"/>
          <w:kern w:val="21"/>
          <w:sz w:val="36"/>
        </w:rPr>
        <w:t>第六</w:t>
      </w:r>
      <w:r>
        <w:rPr>
          <w:rFonts w:hint="eastAsia" w:ascii="宋体" w:hAnsi="宋体" w:eastAsia="宋体" w:cs="宋体"/>
          <w:b/>
          <w:snapToGrid w:val="0"/>
          <w:color w:val="auto"/>
          <w:spacing w:val="0"/>
          <w:kern w:val="21"/>
          <w:sz w:val="36"/>
          <w:lang w:val="en-US" w:eastAsia="zh-CN"/>
        </w:rPr>
        <w:t>章</w:t>
      </w:r>
      <w:r>
        <w:rPr>
          <w:rFonts w:hint="eastAsia" w:ascii="宋体" w:hAnsi="宋体" w:eastAsia="宋体" w:cs="宋体"/>
          <w:b/>
          <w:snapToGrid w:val="0"/>
          <w:color w:val="auto"/>
          <w:spacing w:val="0"/>
          <w:kern w:val="21"/>
          <w:sz w:val="36"/>
        </w:rPr>
        <w:t xml:space="preserve">  </w:t>
      </w:r>
      <w:bookmarkEnd w:id="84"/>
      <w:bookmarkEnd w:id="85"/>
      <w:bookmarkStart w:id="86" w:name="_Toc468276941"/>
      <w:bookmarkStart w:id="87" w:name="_Toc485222561"/>
      <w:r>
        <w:rPr>
          <w:rFonts w:hint="eastAsia" w:ascii="宋体" w:hAnsi="宋体" w:eastAsia="宋体" w:cs="宋体"/>
          <w:b/>
          <w:bCs/>
          <w:snapToGrid w:val="0"/>
          <w:color w:val="auto"/>
          <w:spacing w:val="0"/>
          <w:kern w:val="21"/>
          <w:sz w:val="36"/>
          <w:szCs w:val="40"/>
        </w:rPr>
        <w:t xml:space="preserve">  </w:t>
      </w:r>
      <w:r>
        <w:rPr>
          <w:rFonts w:hint="eastAsia" w:ascii="宋体" w:hAnsi="宋体" w:eastAsia="宋体" w:cs="宋体"/>
          <w:b/>
          <w:bCs/>
          <w:snapToGrid w:val="0"/>
          <w:color w:val="auto"/>
          <w:spacing w:val="0"/>
          <w:kern w:val="21"/>
          <w:sz w:val="36"/>
          <w:szCs w:val="40"/>
          <w:lang w:val="en-US" w:eastAsia="zh-CN"/>
        </w:rPr>
        <w:t>投标</w:t>
      </w:r>
      <w:r>
        <w:rPr>
          <w:rFonts w:hint="eastAsia" w:ascii="宋体" w:hAnsi="宋体" w:eastAsia="宋体" w:cs="宋体"/>
          <w:b/>
          <w:bCs/>
          <w:snapToGrid w:val="0"/>
          <w:color w:val="auto"/>
          <w:spacing w:val="0"/>
          <w:kern w:val="21"/>
          <w:sz w:val="36"/>
          <w:szCs w:val="40"/>
        </w:rPr>
        <w:t>文件格式</w:t>
      </w:r>
      <w:bookmarkEnd w:id="86"/>
      <w:bookmarkEnd w:id="87"/>
    </w:p>
    <w:p w14:paraId="5C48D91A">
      <w:pPr>
        <w:rPr>
          <w:rFonts w:hint="eastAsia" w:ascii="宋体" w:hAnsi="宋体" w:eastAsia="宋体" w:cs="宋体"/>
          <w:snapToGrid w:val="0"/>
          <w:color w:val="auto"/>
          <w:spacing w:val="0"/>
          <w:kern w:val="21"/>
        </w:rPr>
      </w:pPr>
    </w:p>
    <w:p w14:paraId="6197C51E">
      <w:pPr>
        <w:widowControl/>
        <w:spacing w:line="240" w:lineRule="auto"/>
        <w:jc w:val="center"/>
        <w:rPr>
          <w:rFonts w:hint="eastAsia" w:ascii="宋体" w:hAnsi="宋体" w:eastAsia="宋体" w:cs="宋体"/>
          <w:snapToGrid w:val="0"/>
          <w:color w:val="auto"/>
          <w:spacing w:val="0"/>
          <w:kern w:val="21"/>
          <w:sz w:val="24"/>
          <w:szCs w:val="20"/>
        </w:rPr>
      </w:pPr>
    </w:p>
    <w:p w14:paraId="010B1CA1">
      <w:pPr>
        <w:widowControl/>
        <w:spacing w:line="240" w:lineRule="auto"/>
        <w:jc w:val="center"/>
        <w:rPr>
          <w:rFonts w:hint="eastAsia" w:ascii="宋体" w:hAnsi="宋体" w:eastAsia="宋体" w:cs="宋体"/>
          <w:snapToGrid w:val="0"/>
          <w:color w:val="auto"/>
          <w:spacing w:val="0"/>
          <w:kern w:val="21"/>
          <w:sz w:val="24"/>
          <w:szCs w:val="20"/>
        </w:rPr>
      </w:pPr>
    </w:p>
    <w:p w14:paraId="7219DCFE">
      <w:pPr>
        <w:jc w:val="center"/>
        <w:rPr>
          <w:rFonts w:hint="eastAsia" w:ascii="宋体" w:hAnsi="宋体" w:eastAsia="宋体" w:cs="宋体"/>
          <w:b/>
          <w:snapToGrid w:val="0"/>
          <w:color w:val="auto"/>
          <w:spacing w:val="0"/>
          <w:kern w:val="21"/>
          <w:sz w:val="36"/>
        </w:rPr>
      </w:pPr>
    </w:p>
    <w:p w14:paraId="7CB87ACD">
      <w:pPr>
        <w:jc w:val="center"/>
        <w:rPr>
          <w:rFonts w:hint="eastAsia" w:ascii="宋体" w:hAnsi="宋体" w:eastAsia="宋体" w:cs="宋体"/>
          <w:b/>
          <w:snapToGrid w:val="0"/>
          <w:color w:val="auto"/>
          <w:spacing w:val="0"/>
          <w:kern w:val="21"/>
          <w:sz w:val="36"/>
          <w:lang w:eastAsia="zh-CN"/>
        </w:rPr>
      </w:pPr>
      <w:r>
        <w:rPr>
          <w:rFonts w:hint="eastAsia" w:ascii="宋体" w:hAnsi="宋体" w:eastAsia="宋体" w:cs="宋体"/>
          <w:b/>
          <w:snapToGrid w:val="0"/>
          <w:color w:val="auto"/>
          <w:spacing w:val="0"/>
          <w:kern w:val="21"/>
          <w:sz w:val="36"/>
          <w:u w:val="single"/>
        </w:rPr>
        <w:t>（项目名称）</w:t>
      </w:r>
    </w:p>
    <w:p w14:paraId="1978C63F">
      <w:pPr>
        <w:jc w:val="center"/>
        <w:rPr>
          <w:rFonts w:hint="eastAsia" w:ascii="宋体" w:hAnsi="宋体" w:eastAsia="宋体" w:cs="宋体"/>
          <w:b/>
          <w:snapToGrid w:val="0"/>
          <w:color w:val="auto"/>
          <w:spacing w:val="0"/>
          <w:kern w:val="21"/>
          <w:sz w:val="36"/>
        </w:rPr>
      </w:pPr>
    </w:p>
    <w:p w14:paraId="6EC27B6D">
      <w:pPr>
        <w:jc w:val="center"/>
        <w:rPr>
          <w:rFonts w:hint="eastAsia" w:ascii="宋体" w:hAnsi="宋体" w:eastAsia="宋体" w:cs="宋体"/>
          <w:b/>
          <w:snapToGrid w:val="0"/>
          <w:color w:val="auto"/>
          <w:spacing w:val="0"/>
          <w:kern w:val="21"/>
          <w:sz w:val="36"/>
        </w:rPr>
      </w:pPr>
      <w:r>
        <w:rPr>
          <w:rFonts w:hint="eastAsia" w:ascii="宋体" w:hAnsi="宋体" w:eastAsia="宋体" w:cs="宋体"/>
          <w:b/>
          <w:snapToGrid w:val="0"/>
          <w:color w:val="auto"/>
          <w:spacing w:val="0"/>
          <w:kern w:val="21"/>
          <w:sz w:val="36"/>
        </w:rPr>
        <w:t>项目编号：</w:t>
      </w:r>
    </w:p>
    <w:p w14:paraId="6B7E266C">
      <w:pPr>
        <w:jc w:val="center"/>
        <w:rPr>
          <w:rFonts w:hint="eastAsia" w:ascii="宋体" w:hAnsi="宋体" w:eastAsia="宋体" w:cs="宋体"/>
          <w:b/>
          <w:snapToGrid w:val="0"/>
          <w:color w:val="auto"/>
          <w:spacing w:val="0"/>
          <w:kern w:val="21"/>
          <w:sz w:val="36"/>
        </w:rPr>
      </w:pPr>
    </w:p>
    <w:p w14:paraId="18CCBE29">
      <w:pPr>
        <w:spacing w:line="293" w:lineRule="auto"/>
        <w:rPr>
          <w:rFonts w:hint="eastAsia" w:ascii="宋体" w:hAnsi="宋体" w:eastAsia="宋体" w:cs="宋体"/>
          <w:color w:val="auto"/>
          <w:spacing w:val="0"/>
        </w:rPr>
      </w:pPr>
    </w:p>
    <w:p w14:paraId="61EC6699">
      <w:pPr>
        <w:pStyle w:val="3"/>
        <w:rPr>
          <w:rFonts w:hint="eastAsia" w:ascii="宋体" w:hAnsi="宋体" w:eastAsia="宋体" w:cs="宋体"/>
          <w:color w:val="auto"/>
        </w:rPr>
      </w:pPr>
    </w:p>
    <w:p w14:paraId="3B871481">
      <w:pPr>
        <w:pStyle w:val="3"/>
        <w:spacing w:before="231" w:line="223" w:lineRule="auto"/>
        <w:jc w:val="center"/>
        <w:outlineLvl w:val="0"/>
        <w:rPr>
          <w:rFonts w:hint="eastAsia" w:ascii="宋体" w:hAnsi="宋体" w:eastAsia="宋体" w:cs="宋体"/>
          <w:color w:val="auto"/>
          <w:spacing w:val="0"/>
          <w:sz w:val="71"/>
          <w:szCs w:val="71"/>
        </w:rPr>
      </w:pPr>
      <w:r>
        <w:rPr>
          <w:rFonts w:hint="eastAsia" w:ascii="宋体" w:hAnsi="宋体" w:eastAsia="宋体" w:cs="宋体"/>
          <w:color w:val="auto"/>
          <w:spacing w:val="0"/>
          <w:sz w:val="71"/>
          <w:szCs w:val="71"/>
          <w:lang w:val="en-US" w:eastAsia="zh-CN"/>
        </w:rPr>
        <w:t>投 标</w:t>
      </w:r>
      <w:r>
        <w:rPr>
          <w:rFonts w:hint="eastAsia" w:ascii="宋体" w:hAnsi="宋体" w:eastAsia="宋体" w:cs="宋体"/>
          <w:color w:val="auto"/>
          <w:spacing w:val="0"/>
          <w:sz w:val="71"/>
          <w:szCs w:val="71"/>
        </w:rPr>
        <w:t xml:space="preserve"> 文 件</w:t>
      </w:r>
    </w:p>
    <w:p w14:paraId="34B70017">
      <w:pPr>
        <w:spacing w:line="247" w:lineRule="auto"/>
        <w:rPr>
          <w:rFonts w:hint="eastAsia" w:ascii="宋体" w:hAnsi="宋体" w:eastAsia="宋体" w:cs="宋体"/>
          <w:color w:val="auto"/>
          <w:spacing w:val="0"/>
        </w:rPr>
      </w:pPr>
    </w:p>
    <w:p w14:paraId="3CF6EDAA">
      <w:pPr>
        <w:spacing w:line="247" w:lineRule="auto"/>
        <w:rPr>
          <w:rFonts w:hint="eastAsia" w:ascii="宋体" w:hAnsi="宋体" w:eastAsia="宋体" w:cs="宋体"/>
          <w:color w:val="auto"/>
          <w:spacing w:val="0"/>
        </w:rPr>
      </w:pPr>
    </w:p>
    <w:p w14:paraId="20E144D1">
      <w:pPr>
        <w:spacing w:line="247" w:lineRule="auto"/>
        <w:rPr>
          <w:rFonts w:hint="eastAsia" w:ascii="宋体" w:hAnsi="宋体" w:eastAsia="宋体" w:cs="宋体"/>
          <w:color w:val="auto"/>
          <w:spacing w:val="0"/>
        </w:rPr>
      </w:pPr>
    </w:p>
    <w:p w14:paraId="6978DE1D">
      <w:pPr>
        <w:spacing w:line="247" w:lineRule="auto"/>
        <w:rPr>
          <w:rFonts w:hint="eastAsia" w:ascii="宋体" w:hAnsi="宋体" w:eastAsia="宋体" w:cs="宋体"/>
          <w:color w:val="auto"/>
          <w:spacing w:val="0"/>
        </w:rPr>
      </w:pPr>
    </w:p>
    <w:p w14:paraId="6A69CE78">
      <w:pPr>
        <w:spacing w:line="247" w:lineRule="auto"/>
        <w:rPr>
          <w:rFonts w:hint="eastAsia" w:ascii="宋体" w:hAnsi="宋体" w:eastAsia="宋体" w:cs="宋体"/>
          <w:color w:val="auto"/>
          <w:spacing w:val="0"/>
        </w:rPr>
      </w:pPr>
    </w:p>
    <w:p w14:paraId="16AB9AFC">
      <w:pPr>
        <w:spacing w:line="247" w:lineRule="auto"/>
        <w:rPr>
          <w:rFonts w:hint="eastAsia" w:ascii="宋体" w:hAnsi="宋体" w:eastAsia="宋体" w:cs="宋体"/>
          <w:color w:val="auto"/>
          <w:spacing w:val="0"/>
        </w:rPr>
      </w:pPr>
    </w:p>
    <w:p w14:paraId="38451378">
      <w:pPr>
        <w:spacing w:line="247" w:lineRule="auto"/>
        <w:rPr>
          <w:rFonts w:hint="eastAsia" w:ascii="宋体" w:hAnsi="宋体" w:eastAsia="宋体" w:cs="宋体"/>
          <w:color w:val="auto"/>
          <w:spacing w:val="0"/>
        </w:rPr>
      </w:pPr>
    </w:p>
    <w:p w14:paraId="6CA19C0A">
      <w:pPr>
        <w:spacing w:line="247" w:lineRule="auto"/>
        <w:rPr>
          <w:rFonts w:hint="eastAsia" w:ascii="宋体" w:hAnsi="宋体" w:eastAsia="宋体" w:cs="宋体"/>
          <w:color w:val="auto"/>
          <w:spacing w:val="0"/>
        </w:rPr>
      </w:pPr>
    </w:p>
    <w:p w14:paraId="6173114B">
      <w:pPr>
        <w:spacing w:line="248" w:lineRule="auto"/>
        <w:rPr>
          <w:rFonts w:hint="eastAsia" w:ascii="宋体" w:hAnsi="宋体" w:eastAsia="宋体" w:cs="宋体"/>
          <w:color w:val="auto"/>
          <w:spacing w:val="0"/>
        </w:rPr>
      </w:pPr>
    </w:p>
    <w:p w14:paraId="4B1883E2">
      <w:pPr>
        <w:spacing w:line="248" w:lineRule="auto"/>
        <w:rPr>
          <w:rFonts w:hint="eastAsia" w:ascii="宋体" w:hAnsi="宋体" w:eastAsia="宋体" w:cs="宋体"/>
          <w:color w:val="auto"/>
          <w:spacing w:val="0"/>
        </w:rPr>
      </w:pPr>
    </w:p>
    <w:p w14:paraId="44F40022">
      <w:pPr>
        <w:spacing w:line="248" w:lineRule="auto"/>
        <w:rPr>
          <w:rFonts w:hint="eastAsia" w:ascii="宋体" w:hAnsi="宋体" w:eastAsia="宋体" w:cs="宋体"/>
          <w:color w:val="auto"/>
          <w:spacing w:val="0"/>
        </w:rPr>
      </w:pPr>
    </w:p>
    <w:p w14:paraId="3DAD5E9E">
      <w:pPr>
        <w:spacing w:line="248" w:lineRule="auto"/>
        <w:rPr>
          <w:rFonts w:hint="eastAsia" w:ascii="宋体" w:hAnsi="宋体" w:eastAsia="宋体" w:cs="宋体"/>
          <w:color w:val="auto"/>
          <w:spacing w:val="0"/>
        </w:rPr>
      </w:pPr>
    </w:p>
    <w:p w14:paraId="3FD278FB">
      <w:pPr>
        <w:pStyle w:val="3"/>
        <w:spacing w:before="92" w:line="220" w:lineRule="auto"/>
        <w:ind w:firstLine="1960" w:firstLineChars="700"/>
        <w:rPr>
          <w:rFonts w:hint="eastAsia" w:ascii="宋体" w:hAnsi="宋体" w:eastAsia="宋体" w:cs="宋体"/>
          <w:color w:val="auto"/>
          <w:spacing w:val="0"/>
          <w:sz w:val="28"/>
          <w:szCs w:val="28"/>
        </w:rPr>
      </w:pPr>
      <w:r>
        <w:rPr>
          <w:rFonts w:hint="eastAsia" w:hAnsi="宋体" w:cs="宋体"/>
          <w:color w:val="auto"/>
          <w:spacing w:val="0"/>
          <w:sz w:val="28"/>
          <w:szCs w:val="28"/>
          <w:lang w:eastAsia="zh-CN"/>
        </w:rPr>
        <w:t>投标人</w:t>
      </w:r>
      <w:r>
        <w:rPr>
          <w:rFonts w:hint="eastAsia" w:ascii="宋体" w:hAnsi="宋体" w:eastAsia="宋体" w:cs="宋体"/>
          <w:color w:val="auto"/>
          <w:spacing w:val="0"/>
          <w:sz w:val="28"/>
          <w:szCs w:val="28"/>
        </w:rPr>
        <w:t>：</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rPr>
        <w:t>（签章）</w:t>
      </w:r>
    </w:p>
    <w:p w14:paraId="56F3639E">
      <w:pPr>
        <w:spacing w:line="254" w:lineRule="auto"/>
        <w:rPr>
          <w:rFonts w:hint="eastAsia" w:ascii="宋体" w:hAnsi="宋体" w:eastAsia="宋体" w:cs="宋体"/>
          <w:color w:val="auto"/>
          <w:spacing w:val="0"/>
        </w:rPr>
      </w:pPr>
    </w:p>
    <w:p w14:paraId="1B933254">
      <w:pPr>
        <w:spacing w:line="254" w:lineRule="auto"/>
        <w:rPr>
          <w:rFonts w:hint="eastAsia" w:ascii="宋体" w:hAnsi="宋体" w:eastAsia="宋体" w:cs="宋体"/>
          <w:color w:val="auto"/>
          <w:spacing w:val="0"/>
        </w:rPr>
      </w:pPr>
    </w:p>
    <w:p w14:paraId="5898442D">
      <w:pPr>
        <w:pStyle w:val="3"/>
        <w:spacing w:before="91" w:line="220" w:lineRule="auto"/>
        <w:ind w:firstLine="1960" w:firstLineChars="700"/>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法定代表人：</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rPr>
        <w:t>（电子签章）</w:t>
      </w:r>
    </w:p>
    <w:p w14:paraId="70292E4B">
      <w:pPr>
        <w:spacing w:line="253" w:lineRule="auto"/>
        <w:rPr>
          <w:rFonts w:hint="eastAsia" w:ascii="宋体" w:hAnsi="宋体" w:eastAsia="宋体" w:cs="宋体"/>
          <w:color w:val="auto"/>
          <w:spacing w:val="0"/>
        </w:rPr>
      </w:pPr>
    </w:p>
    <w:p w14:paraId="33FCDA87">
      <w:pPr>
        <w:spacing w:line="254" w:lineRule="auto"/>
        <w:rPr>
          <w:rFonts w:hint="eastAsia" w:ascii="宋体" w:hAnsi="宋体" w:eastAsia="宋体" w:cs="宋体"/>
          <w:color w:val="auto"/>
          <w:spacing w:val="0"/>
        </w:rPr>
      </w:pPr>
    </w:p>
    <w:p w14:paraId="00D5BDDC">
      <w:pPr>
        <w:pStyle w:val="3"/>
        <w:spacing w:before="92" w:line="221" w:lineRule="auto"/>
        <w:ind w:firstLine="1960" w:firstLineChars="700"/>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日  期：</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rPr>
        <w:t xml:space="preserve"> 年</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u w:val="single"/>
          <w:lang w:val="en-US" w:eastAsia="zh-CN"/>
        </w:rPr>
        <w:t xml:space="preserve"> </w:t>
      </w:r>
      <w:r>
        <w:rPr>
          <w:rFonts w:hint="eastAsia" w:ascii="宋体" w:hAnsi="宋体" w:eastAsia="宋体" w:cs="宋体"/>
          <w:color w:val="auto"/>
          <w:spacing w:val="0"/>
          <w:sz w:val="28"/>
          <w:szCs w:val="28"/>
        </w:rPr>
        <w:t>月</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rPr>
        <w:t>日</w:t>
      </w:r>
    </w:p>
    <w:p w14:paraId="05DBA85B">
      <w:pPr>
        <w:spacing w:line="221" w:lineRule="auto"/>
        <w:rPr>
          <w:rFonts w:hint="eastAsia" w:ascii="宋体" w:hAnsi="宋体" w:eastAsia="宋体" w:cs="宋体"/>
          <w:color w:val="auto"/>
          <w:spacing w:val="0"/>
          <w:sz w:val="28"/>
          <w:szCs w:val="28"/>
        </w:rPr>
        <w:sectPr>
          <w:footerReference r:id="rId11" w:type="default"/>
          <w:pgSz w:w="11905" w:h="16838"/>
          <w:pgMar w:top="1440" w:right="1440" w:bottom="1440" w:left="1440" w:header="0" w:footer="986" w:gutter="0"/>
          <w:pgNumType w:fmt="decimal"/>
          <w:cols w:space="720" w:num="1"/>
          <w:rtlGutter w:val="0"/>
          <w:docGrid w:linePitch="0" w:charSpace="0"/>
        </w:sectPr>
      </w:pPr>
    </w:p>
    <w:p w14:paraId="614E17B0">
      <w:pPr>
        <w:pStyle w:val="3"/>
        <w:spacing w:before="138" w:line="228" w:lineRule="auto"/>
        <w:ind w:left="3569"/>
        <w:rPr>
          <w:rFonts w:hint="eastAsia" w:ascii="宋体" w:hAnsi="宋体" w:eastAsia="宋体" w:cs="宋体"/>
          <w:color w:val="auto"/>
          <w:spacing w:val="0"/>
          <w:sz w:val="35"/>
          <w:szCs w:val="35"/>
        </w:rPr>
      </w:pPr>
      <w:r>
        <w:rPr>
          <w:rFonts w:hint="eastAsia" w:ascii="宋体" w:hAnsi="宋体" w:eastAsia="宋体" w:cs="宋体"/>
          <w:color w:val="auto"/>
          <w:spacing w:val="0"/>
          <w:sz w:val="35"/>
          <w:szCs w:val="35"/>
        </w:rPr>
        <w:t>目    录</w:t>
      </w:r>
    </w:p>
    <w:p w14:paraId="044CB103">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rPr>
        <w:t>一、投标函及投标函附表</w:t>
      </w:r>
    </w:p>
    <w:p w14:paraId="2485F77D">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rPr>
        <w:t>二、法定代表人身份证明书</w:t>
      </w:r>
    </w:p>
    <w:p w14:paraId="7FCE97F3">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rPr>
        <w:t>三、授权委托书</w:t>
      </w:r>
    </w:p>
    <w:p w14:paraId="23ECA48A">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lang w:val="en-US" w:eastAsia="zh-CN"/>
        </w:rPr>
        <w:t>四、技术标</w:t>
      </w:r>
    </w:p>
    <w:p w14:paraId="4CCAFAE9">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lang w:val="en-US" w:eastAsia="zh-CN"/>
        </w:rPr>
        <w:t>五、商务标</w:t>
      </w:r>
    </w:p>
    <w:p w14:paraId="37F631CC">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lang w:val="en-US" w:eastAsia="zh-CN"/>
        </w:rPr>
        <w:t>六、资格审查资料</w:t>
      </w:r>
    </w:p>
    <w:p w14:paraId="0F7575EF">
      <w:pPr>
        <w:pStyle w:val="3"/>
        <w:spacing w:before="234" w:line="220" w:lineRule="auto"/>
        <w:ind w:left="29"/>
        <w:jc w:val="left"/>
        <w:outlineLvl w:val="0"/>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lang w:val="en-US" w:eastAsia="zh-CN"/>
        </w:rPr>
        <w:t>七、近年完成的类似项目情况表</w:t>
      </w:r>
    </w:p>
    <w:p w14:paraId="489E1746">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lang w:val="en-US" w:eastAsia="zh-CN"/>
        </w:rPr>
        <w:t>八、投标人应附的其它资料</w:t>
      </w:r>
    </w:p>
    <w:p w14:paraId="5BA1C570">
      <w:pPr>
        <w:pStyle w:val="3"/>
        <w:spacing w:before="234" w:line="220" w:lineRule="auto"/>
        <w:ind w:left="29"/>
        <w:jc w:val="left"/>
        <w:outlineLvl w:val="0"/>
        <w:rPr>
          <w:rFonts w:hint="eastAsia" w:ascii="宋体" w:hAnsi="宋体" w:eastAsia="宋体" w:cs="宋体"/>
          <w:color w:val="auto"/>
          <w:spacing w:val="0"/>
          <w:sz w:val="28"/>
          <w:szCs w:val="28"/>
        </w:rPr>
        <w:sectPr>
          <w:footerReference r:id="rId12" w:type="default"/>
          <w:pgSz w:w="11905" w:h="16838"/>
          <w:pgMar w:top="1440" w:right="1440" w:bottom="1440" w:left="1440" w:header="0" w:footer="986" w:gutter="0"/>
          <w:pgNumType w:fmt="decimal"/>
          <w:cols w:space="720" w:num="1"/>
          <w:rtlGutter w:val="0"/>
          <w:docGrid w:linePitch="0" w:charSpace="0"/>
        </w:sectPr>
      </w:pPr>
    </w:p>
    <w:p w14:paraId="4363B87F">
      <w:pPr>
        <w:pStyle w:val="3"/>
        <w:spacing w:before="181" w:line="220" w:lineRule="auto"/>
        <w:jc w:val="center"/>
        <w:rPr>
          <w:rFonts w:hint="eastAsia" w:ascii="宋体" w:hAnsi="宋体" w:eastAsia="宋体" w:cs="宋体"/>
          <w:b/>
          <w:bCs/>
          <w:color w:val="auto"/>
          <w:spacing w:val="0"/>
          <w:sz w:val="32"/>
          <w:szCs w:val="32"/>
        </w:rPr>
      </w:pPr>
      <w:r>
        <w:rPr>
          <w:rFonts w:hint="eastAsia" w:ascii="宋体" w:hAnsi="宋体" w:eastAsia="宋体" w:cs="宋体"/>
          <w:b/>
          <w:bCs/>
          <w:color w:val="auto"/>
          <w:spacing w:val="0"/>
          <w:sz w:val="32"/>
          <w:szCs w:val="32"/>
        </w:rPr>
        <w:t>一、投标函及投标函附表</w:t>
      </w:r>
    </w:p>
    <w:p w14:paraId="78979162">
      <w:pPr>
        <w:pStyle w:val="3"/>
        <w:spacing w:before="159" w:line="221" w:lineRule="auto"/>
        <w:jc w:val="center"/>
        <w:outlineLvl w:val="1"/>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（一）投标函</w:t>
      </w:r>
    </w:p>
    <w:p w14:paraId="11B0AEBA">
      <w:pPr>
        <w:pStyle w:val="3"/>
        <w:keepNext w:val="0"/>
        <w:keepLines w:val="0"/>
        <w:pageBreakBefore w:val="0"/>
        <w:kinsoku/>
        <w:wordWrap/>
        <w:overflowPunct/>
        <w:topLinePunct w:val="0"/>
        <w:autoSpaceDE/>
        <w:autoSpaceDN/>
        <w:bidi w:val="0"/>
        <w:adjustRightInd/>
        <w:snapToGrid/>
        <w:spacing w:before="151" w:line="360" w:lineRule="auto"/>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致：（</w:t>
      </w:r>
      <w:r>
        <w:rPr>
          <w:rFonts w:hint="eastAsia" w:hAnsi="宋体" w:cs="宋体"/>
          <w:color w:val="auto"/>
          <w:spacing w:val="0"/>
          <w:sz w:val="24"/>
          <w:szCs w:val="24"/>
          <w:u w:val="single"/>
          <w:lang w:eastAsia="zh-CN"/>
        </w:rPr>
        <w:t>招标单位</w:t>
      </w:r>
      <w:r>
        <w:rPr>
          <w:rFonts w:hint="eastAsia" w:ascii="宋体" w:hAnsi="宋体" w:eastAsia="宋体" w:cs="宋体"/>
          <w:color w:val="auto"/>
          <w:spacing w:val="0"/>
          <w:sz w:val="24"/>
          <w:szCs w:val="24"/>
          <w:u w:val="single"/>
        </w:rPr>
        <w:t>名称</w:t>
      </w:r>
      <w:r>
        <w:rPr>
          <w:rFonts w:hint="eastAsia" w:ascii="宋体" w:hAnsi="宋体" w:eastAsia="宋体" w:cs="宋体"/>
          <w:color w:val="auto"/>
          <w:spacing w:val="0"/>
          <w:sz w:val="24"/>
          <w:szCs w:val="24"/>
        </w:rPr>
        <w:t>）：</w:t>
      </w:r>
    </w:p>
    <w:p w14:paraId="5034448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根据已收到贵方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（项目名称）（项目编号）的招标文件，遵照《中华人民共和国</w:t>
      </w:r>
      <w:r>
        <w:rPr>
          <w:rFonts w:hint="eastAsia" w:ascii="宋体" w:hAnsi="宋体" w:eastAsia="宋体" w:cs="宋体"/>
          <w:color w:val="auto"/>
          <w:sz w:val="24"/>
          <w:szCs w:val="24"/>
          <w:lang w:val="en-US" w:eastAsia="zh-CN"/>
        </w:rPr>
        <w:t>招标投标法</w:t>
      </w:r>
      <w:r>
        <w:rPr>
          <w:rFonts w:hint="eastAsia" w:ascii="宋体" w:hAnsi="宋体" w:eastAsia="宋体" w:cs="宋体"/>
          <w:color w:val="auto"/>
          <w:sz w:val="24"/>
          <w:szCs w:val="24"/>
        </w:rPr>
        <w:t>》等有关规定，我单位经考察现场和研究上述招标文件及其它有关文件后，我方愿以</w:t>
      </w:r>
      <w:r>
        <w:rPr>
          <w:rFonts w:hint="eastAsia" w:ascii="宋体" w:hAnsi="宋体" w:eastAsia="宋体" w:cs="宋体"/>
          <w:color w:val="auto"/>
          <w:sz w:val="24"/>
          <w:szCs w:val="24"/>
          <w:lang w:val="en-US" w:eastAsia="zh-CN"/>
        </w:rPr>
        <w:t>招标文件规定的</w:t>
      </w:r>
      <w:r>
        <w:rPr>
          <w:rFonts w:hint="eastAsia" w:ascii="宋体" w:hAnsi="宋体" w:eastAsia="宋体" w:cs="宋体"/>
          <w:color w:val="auto"/>
          <w:sz w:val="24"/>
          <w:szCs w:val="24"/>
        </w:rPr>
        <w:t>（大写）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）的投标报价，承包上述项目。</w:t>
      </w:r>
    </w:p>
    <w:p w14:paraId="2183F15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 我方已详细审阅全部招标文件，包括修改文件（如果有的话），及有关附件，我方完全知道必须放弃提出含糊不清或误解的权力。</w:t>
      </w:r>
    </w:p>
    <w:p w14:paraId="377A8A2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 一旦我方中标，我们将按照招标文件中规定的各项要求和我们的投标文件中的表述和承诺，按期、按质、按量完成中标义务。</w:t>
      </w:r>
    </w:p>
    <w:p w14:paraId="6BCEE03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 我方愿在中标后向</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交纳招标代理费以及相关费用。</w:t>
      </w:r>
    </w:p>
    <w:p w14:paraId="6C39A81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 我方同意所递交的投标文件在规定的投标有效期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日历天内有效，在此期间我方投标有可能中标，我方将受此约束。</w:t>
      </w:r>
    </w:p>
    <w:p w14:paraId="0988A8F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5、除非另外达成协议并生效，贵方的中标通知书和本投标文件将构成约束我们双方的合同。</w:t>
      </w:r>
    </w:p>
    <w:p w14:paraId="187074D6">
      <w:pPr>
        <w:pStyle w:val="3"/>
        <w:spacing w:before="70" w:line="360" w:lineRule="auto"/>
        <w:ind w:left="1463"/>
        <w:rPr>
          <w:rFonts w:hint="eastAsia" w:ascii="宋体" w:hAnsi="宋体" w:eastAsia="宋体" w:cs="宋体"/>
          <w:color w:val="auto"/>
          <w:spacing w:val="0"/>
          <w:szCs w:val="24"/>
        </w:rPr>
      </w:pPr>
    </w:p>
    <w:p w14:paraId="032A5749">
      <w:pPr>
        <w:pStyle w:val="3"/>
        <w:spacing w:before="70" w:line="360" w:lineRule="auto"/>
        <w:ind w:left="1463"/>
        <w:rPr>
          <w:rFonts w:hint="eastAsia" w:ascii="宋体" w:hAnsi="宋体" w:eastAsia="宋体" w:cs="宋体"/>
          <w:color w:val="auto"/>
          <w:spacing w:val="0"/>
          <w:szCs w:val="24"/>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（单位签章）</w:t>
      </w:r>
    </w:p>
    <w:p w14:paraId="69DEC703">
      <w:pPr>
        <w:spacing w:line="360" w:lineRule="auto"/>
        <w:rPr>
          <w:rFonts w:hint="eastAsia" w:ascii="宋体" w:hAnsi="宋体" w:eastAsia="宋体" w:cs="宋体"/>
          <w:color w:val="auto"/>
          <w:spacing w:val="0"/>
        </w:rPr>
      </w:pPr>
    </w:p>
    <w:p w14:paraId="7E980047">
      <w:pPr>
        <w:pStyle w:val="3"/>
        <w:spacing w:before="78" w:line="360" w:lineRule="auto"/>
        <w:ind w:left="1464"/>
        <w:rPr>
          <w:rFonts w:hint="eastAsia" w:ascii="宋体" w:hAnsi="宋体" w:eastAsia="宋体" w:cs="宋体"/>
          <w:color w:val="auto"/>
          <w:spacing w:val="0"/>
          <w:szCs w:val="24"/>
        </w:rPr>
      </w:pPr>
      <w:r>
        <w:rPr>
          <w:rFonts w:hint="eastAsia" w:ascii="宋体" w:hAnsi="宋体" w:eastAsia="宋体" w:cs="宋体"/>
          <w:color w:val="auto"/>
          <w:spacing w:val="0"/>
          <w:szCs w:val="24"/>
        </w:rPr>
        <w:t>法定代表人：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（电子签章）</w:t>
      </w:r>
    </w:p>
    <w:p w14:paraId="666DA599">
      <w:pPr>
        <w:spacing w:line="360" w:lineRule="auto"/>
        <w:rPr>
          <w:rFonts w:hint="eastAsia" w:ascii="宋体" w:hAnsi="宋体" w:eastAsia="宋体" w:cs="宋体"/>
          <w:color w:val="auto"/>
          <w:spacing w:val="0"/>
        </w:rPr>
      </w:pPr>
    </w:p>
    <w:p w14:paraId="6641438D">
      <w:pPr>
        <w:pStyle w:val="3"/>
        <w:tabs>
          <w:tab w:val="left" w:pos="3746"/>
        </w:tabs>
        <w:spacing w:before="79" w:line="360" w:lineRule="auto"/>
        <w:ind w:left="3146"/>
        <w:outlineLvl w:val="1"/>
        <w:rPr>
          <w:rFonts w:hint="eastAsia" w:ascii="宋体" w:hAnsi="宋体" w:eastAsia="宋体" w:cs="宋体"/>
          <w:color w:val="auto"/>
          <w:spacing w:val="0"/>
          <w:szCs w:val="24"/>
        </w:rPr>
      </w:pPr>
      <w:r>
        <w:rPr>
          <w:rFonts w:hint="eastAsia" w:ascii="宋体" w:hAnsi="宋体" w:eastAsia="宋体" w:cs="宋体"/>
          <w:color w:val="auto"/>
          <w:spacing w:val="0"/>
          <w:szCs w:val="24"/>
          <w:u w:val="single"/>
        </w:rPr>
        <w:tab/>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4CA755BA">
      <w:pPr>
        <w:spacing w:line="360" w:lineRule="auto"/>
        <w:rPr>
          <w:rFonts w:hint="eastAsia" w:ascii="宋体" w:hAnsi="宋体" w:eastAsia="宋体" w:cs="宋体"/>
          <w:color w:val="auto"/>
          <w:spacing w:val="0"/>
          <w:sz w:val="24"/>
          <w:szCs w:val="24"/>
        </w:rPr>
        <w:sectPr>
          <w:footerReference r:id="rId13" w:type="default"/>
          <w:pgSz w:w="11905" w:h="16838"/>
          <w:pgMar w:top="1440" w:right="1440" w:bottom="1440" w:left="1440" w:header="0" w:footer="986" w:gutter="0"/>
          <w:pgNumType w:fmt="decimal"/>
          <w:cols w:space="720" w:num="1"/>
          <w:rtlGutter w:val="0"/>
          <w:docGrid w:linePitch="0" w:charSpace="0"/>
        </w:sectPr>
      </w:pPr>
    </w:p>
    <w:p w14:paraId="71C371B6">
      <w:pPr>
        <w:pStyle w:val="3"/>
        <w:spacing w:before="159" w:line="221" w:lineRule="auto"/>
        <w:jc w:val="center"/>
        <w:outlineLvl w:val="1"/>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（二）投标函附录</w:t>
      </w:r>
    </w:p>
    <w:p w14:paraId="33B1901E">
      <w:pPr>
        <w:spacing w:before="53"/>
        <w:rPr>
          <w:rFonts w:hint="eastAsia" w:ascii="宋体" w:hAnsi="宋体" w:eastAsia="宋体" w:cs="宋体"/>
          <w:color w:val="auto"/>
          <w:spacing w:val="0"/>
        </w:rPr>
      </w:pPr>
    </w:p>
    <w:tbl>
      <w:tblPr>
        <w:tblStyle w:val="17"/>
        <w:tblW w:w="893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93"/>
        <w:gridCol w:w="6137"/>
      </w:tblGrid>
      <w:tr w14:paraId="0B700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2793" w:type="dxa"/>
            <w:noWrap w:val="0"/>
            <w:vAlign w:val="center"/>
          </w:tcPr>
          <w:p w14:paraId="283C3C81">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项目名称</w:t>
            </w:r>
          </w:p>
        </w:tc>
        <w:tc>
          <w:tcPr>
            <w:tcW w:w="6137" w:type="dxa"/>
            <w:noWrap w:val="0"/>
            <w:vAlign w:val="center"/>
          </w:tcPr>
          <w:p w14:paraId="6D1E8D72">
            <w:pPr>
              <w:spacing w:line="360" w:lineRule="auto"/>
              <w:jc w:val="center"/>
              <w:rPr>
                <w:rFonts w:hint="eastAsia" w:ascii="宋体" w:hAnsi="宋体" w:eastAsia="宋体" w:cs="宋体"/>
                <w:color w:val="auto"/>
                <w:spacing w:val="0"/>
              </w:rPr>
            </w:pPr>
          </w:p>
        </w:tc>
      </w:tr>
      <w:tr w14:paraId="5B590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2793" w:type="dxa"/>
            <w:noWrap w:val="0"/>
            <w:vAlign w:val="center"/>
          </w:tcPr>
          <w:p w14:paraId="6F5CAAA2">
            <w:pPr>
              <w:pStyle w:val="22"/>
              <w:spacing w:before="78" w:line="360" w:lineRule="auto"/>
              <w:jc w:val="center"/>
              <w:rPr>
                <w:rFonts w:hint="eastAsia" w:ascii="宋体" w:hAnsi="宋体" w:eastAsia="宋体" w:cs="宋体"/>
                <w:color w:val="auto"/>
                <w:spacing w:val="0"/>
                <w:sz w:val="24"/>
                <w:szCs w:val="24"/>
              </w:rPr>
            </w:pPr>
            <w:r>
              <w:rPr>
                <w:rFonts w:hint="eastAsia" w:cs="宋体"/>
                <w:color w:val="auto"/>
                <w:spacing w:val="0"/>
                <w:sz w:val="24"/>
                <w:szCs w:val="24"/>
                <w:lang w:eastAsia="zh-CN"/>
              </w:rPr>
              <w:t>投标人</w:t>
            </w:r>
            <w:r>
              <w:rPr>
                <w:rFonts w:hint="eastAsia" w:ascii="宋体" w:hAnsi="宋体" w:eastAsia="宋体" w:cs="宋体"/>
                <w:color w:val="auto"/>
                <w:spacing w:val="0"/>
                <w:sz w:val="24"/>
                <w:szCs w:val="24"/>
              </w:rPr>
              <w:t>名称</w:t>
            </w:r>
          </w:p>
        </w:tc>
        <w:tc>
          <w:tcPr>
            <w:tcW w:w="6137" w:type="dxa"/>
            <w:noWrap w:val="0"/>
            <w:vAlign w:val="center"/>
          </w:tcPr>
          <w:p w14:paraId="42C39A42">
            <w:pPr>
              <w:spacing w:line="360" w:lineRule="auto"/>
              <w:jc w:val="center"/>
              <w:rPr>
                <w:rFonts w:hint="eastAsia" w:ascii="宋体" w:hAnsi="宋体" w:eastAsia="宋体" w:cs="宋体"/>
                <w:color w:val="auto"/>
                <w:spacing w:val="0"/>
              </w:rPr>
            </w:pPr>
          </w:p>
        </w:tc>
      </w:tr>
      <w:tr w14:paraId="12DFA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5" w:hRule="atLeast"/>
        </w:trPr>
        <w:tc>
          <w:tcPr>
            <w:tcW w:w="2793" w:type="dxa"/>
            <w:noWrap w:val="0"/>
            <w:vAlign w:val="center"/>
          </w:tcPr>
          <w:p w14:paraId="41685F97">
            <w:pPr>
              <w:spacing w:line="360" w:lineRule="auto"/>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lang w:val="en-US" w:eastAsia="zh-CN"/>
              </w:rPr>
              <w:t>投标</w:t>
            </w:r>
            <w:r>
              <w:rPr>
                <w:rFonts w:hint="eastAsia" w:ascii="宋体" w:hAnsi="宋体" w:eastAsia="宋体" w:cs="宋体"/>
                <w:color w:val="auto"/>
                <w:spacing w:val="0"/>
                <w:sz w:val="24"/>
                <w:szCs w:val="24"/>
              </w:rPr>
              <w:t>报价</w:t>
            </w:r>
          </w:p>
          <w:p w14:paraId="1FAB49A6">
            <w:pPr>
              <w:spacing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（供应商投标报价均按照招标控制价进行报价）</w:t>
            </w:r>
          </w:p>
        </w:tc>
        <w:tc>
          <w:tcPr>
            <w:tcW w:w="6137" w:type="dxa"/>
            <w:tcBorders>
              <w:right w:val="single" w:color="000000" w:sz="6" w:space="0"/>
            </w:tcBorders>
            <w:noWrap w:val="0"/>
            <w:vAlign w:val="center"/>
          </w:tcPr>
          <w:p w14:paraId="3ED53DD7">
            <w:pPr>
              <w:pStyle w:val="22"/>
              <w:spacing w:before="79" w:line="360" w:lineRule="auto"/>
              <w:ind w:left="15"/>
              <w:jc w:val="left"/>
              <w:rPr>
                <w:rFonts w:hint="eastAsia" w:ascii="宋体" w:hAnsi="宋体" w:eastAsia="宋体" w:cs="宋体"/>
                <w:color w:val="auto"/>
                <w:spacing w:val="0"/>
              </w:rPr>
            </w:pPr>
            <w:r>
              <w:rPr>
                <w:rFonts w:hint="eastAsia" w:ascii="宋体" w:hAnsi="宋体" w:eastAsia="宋体" w:cs="宋体"/>
                <w:color w:val="auto"/>
                <w:spacing w:val="0"/>
              </w:rPr>
              <w:t>大写：</w:t>
            </w:r>
          </w:p>
          <w:p w14:paraId="150DE3AC">
            <w:pPr>
              <w:pStyle w:val="22"/>
              <w:spacing w:before="79" w:line="360" w:lineRule="auto"/>
              <w:ind w:left="15"/>
              <w:jc w:val="left"/>
              <w:rPr>
                <w:rFonts w:hint="eastAsia" w:ascii="宋体" w:hAnsi="宋体" w:eastAsia="宋体" w:cs="宋体"/>
                <w:color w:val="auto"/>
                <w:spacing w:val="0"/>
              </w:rPr>
            </w:pPr>
            <w:r>
              <w:rPr>
                <w:rFonts w:hint="eastAsia" w:ascii="宋体" w:hAnsi="宋体" w:eastAsia="宋体" w:cs="宋体"/>
                <w:color w:val="auto"/>
                <w:spacing w:val="0"/>
              </w:rPr>
              <w:t>小写：</w:t>
            </w:r>
          </w:p>
        </w:tc>
      </w:tr>
      <w:tr w14:paraId="6D27E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2793" w:type="dxa"/>
            <w:noWrap w:val="0"/>
            <w:vAlign w:val="center"/>
          </w:tcPr>
          <w:p w14:paraId="087BC4DF">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质量要求</w:t>
            </w:r>
          </w:p>
        </w:tc>
        <w:tc>
          <w:tcPr>
            <w:tcW w:w="6137" w:type="dxa"/>
            <w:noWrap w:val="0"/>
            <w:vAlign w:val="center"/>
          </w:tcPr>
          <w:p w14:paraId="3007921A">
            <w:pPr>
              <w:spacing w:line="360" w:lineRule="auto"/>
              <w:jc w:val="both"/>
              <w:rPr>
                <w:rFonts w:hint="eastAsia" w:ascii="宋体" w:hAnsi="宋体" w:eastAsia="宋体" w:cs="宋体"/>
                <w:color w:val="auto"/>
                <w:spacing w:val="0"/>
              </w:rPr>
            </w:pPr>
          </w:p>
        </w:tc>
      </w:tr>
      <w:tr w14:paraId="25C94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2793" w:type="dxa"/>
            <w:noWrap w:val="0"/>
            <w:vAlign w:val="center"/>
          </w:tcPr>
          <w:p w14:paraId="2746E8C7">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服务周期</w:t>
            </w:r>
          </w:p>
        </w:tc>
        <w:tc>
          <w:tcPr>
            <w:tcW w:w="6137" w:type="dxa"/>
            <w:noWrap w:val="0"/>
            <w:vAlign w:val="center"/>
          </w:tcPr>
          <w:p w14:paraId="52D42A73">
            <w:pPr>
              <w:spacing w:line="360" w:lineRule="auto"/>
              <w:jc w:val="center"/>
              <w:rPr>
                <w:rFonts w:hint="eastAsia" w:ascii="宋体" w:hAnsi="宋体" w:eastAsia="宋体" w:cs="宋体"/>
                <w:color w:val="auto"/>
                <w:spacing w:val="0"/>
              </w:rPr>
            </w:pPr>
          </w:p>
        </w:tc>
      </w:tr>
      <w:tr w14:paraId="53D5C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2793" w:type="dxa"/>
            <w:noWrap w:val="0"/>
            <w:vAlign w:val="center"/>
          </w:tcPr>
          <w:p w14:paraId="15FFAD6C">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投标</w:t>
            </w:r>
            <w:r>
              <w:rPr>
                <w:rFonts w:hint="eastAsia" w:ascii="宋体" w:hAnsi="宋体" w:eastAsia="宋体" w:cs="宋体"/>
                <w:color w:val="auto"/>
                <w:spacing w:val="0"/>
                <w:sz w:val="24"/>
                <w:szCs w:val="24"/>
                <w:lang w:eastAsia="zh-CN"/>
              </w:rPr>
              <w:t>有效期</w:t>
            </w:r>
          </w:p>
        </w:tc>
        <w:tc>
          <w:tcPr>
            <w:tcW w:w="6137" w:type="dxa"/>
            <w:noWrap w:val="0"/>
            <w:vAlign w:val="center"/>
          </w:tcPr>
          <w:p w14:paraId="00D3674D">
            <w:pPr>
              <w:spacing w:line="360" w:lineRule="auto"/>
              <w:jc w:val="center"/>
              <w:rPr>
                <w:rFonts w:hint="eastAsia" w:ascii="宋体" w:hAnsi="宋体" w:eastAsia="宋体" w:cs="宋体"/>
                <w:color w:val="auto"/>
                <w:spacing w:val="0"/>
              </w:rPr>
            </w:pPr>
          </w:p>
        </w:tc>
      </w:tr>
      <w:tr w14:paraId="6D021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2793" w:type="dxa"/>
            <w:noWrap w:val="0"/>
            <w:vAlign w:val="center"/>
          </w:tcPr>
          <w:p w14:paraId="3F6DBB67">
            <w:pPr>
              <w:pStyle w:val="22"/>
              <w:spacing w:before="78" w:line="360" w:lineRule="auto"/>
              <w:jc w:val="center"/>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项目负责人</w:t>
            </w:r>
          </w:p>
        </w:tc>
        <w:tc>
          <w:tcPr>
            <w:tcW w:w="6137" w:type="dxa"/>
            <w:noWrap w:val="0"/>
            <w:vAlign w:val="center"/>
          </w:tcPr>
          <w:p w14:paraId="67698A6E">
            <w:pPr>
              <w:spacing w:line="360" w:lineRule="auto"/>
              <w:jc w:val="center"/>
              <w:rPr>
                <w:rFonts w:hint="eastAsia" w:ascii="宋体" w:hAnsi="宋体" w:eastAsia="宋体" w:cs="宋体"/>
                <w:color w:val="auto"/>
                <w:spacing w:val="0"/>
              </w:rPr>
            </w:pPr>
          </w:p>
        </w:tc>
      </w:tr>
      <w:tr w14:paraId="20119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2793" w:type="dxa"/>
            <w:noWrap w:val="0"/>
            <w:vAlign w:val="center"/>
          </w:tcPr>
          <w:p w14:paraId="2688BC05">
            <w:pPr>
              <w:pStyle w:val="22"/>
              <w:spacing w:before="78" w:line="360" w:lineRule="auto"/>
              <w:jc w:val="center"/>
              <w:rPr>
                <w:rFonts w:hint="default"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项目负责人联系电话</w:t>
            </w:r>
          </w:p>
        </w:tc>
        <w:tc>
          <w:tcPr>
            <w:tcW w:w="6137" w:type="dxa"/>
            <w:noWrap w:val="0"/>
            <w:vAlign w:val="center"/>
          </w:tcPr>
          <w:p w14:paraId="5FD94CFC">
            <w:pPr>
              <w:spacing w:line="360" w:lineRule="auto"/>
              <w:jc w:val="center"/>
              <w:rPr>
                <w:rFonts w:hint="eastAsia" w:ascii="宋体" w:hAnsi="宋体" w:eastAsia="宋体" w:cs="宋体"/>
                <w:color w:val="auto"/>
                <w:spacing w:val="0"/>
              </w:rPr>
            </w:pPr>
          </w:p>
        </w:tc>
      </w:tr>
      <w:tr w14:paraId="355A0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2793" w:type="dxa"/>
            <w:noWrap w:val="0"/>
            <w:vAlign w:val="center"/>
          </w:tcPr>
          <w:p w14:paraId="6BA3F1E0">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备注</w:t>
            </w:r>
          </w:p>
        </w:tc>
        <w:tc>
          <w:tcPr>
            <w:tcW w:w="6137" w:type="dxa"/>
            <w:noWrap w:val="0"/>
            <w:vAlign w:val="center"/>
          </w:tcPr>
          <w:p w14:paraId="6E2B25C4">
            <w:pPr>
              <w:spacing w:line="360" w:lineRule="auto"/>
              <w:jc w:val="center"/>
              <w:rPr>
                <w:rFonts w:hint="eastAsia" w:ascii="宋体" w:hAnsi="宋体" w:eastAsia="宋体" w:cs="宋体"/>
                <w:color w:val="auto"/>
                <w:spacing w:val="0"/>
              </w:rPr>
            </w:pPr>
          </w:p>
        </w:tc>
      </w:tr>
    </w:tbl>
    <w:p w14:paraId="66A72EAB">
      <w:pPr>
        <w:pStyle w:val="3"/>
        <w:spacing w:before="172" w:line="229" w:lineRule="auto"/>
        <w:ind w:left="22"/>
        <w:rPr>
          <w:rFonts w:hint="eastAsia" w:ascii="宋体" w:hAnsi="宋体" w:eastAsia="宋体" w:cs="宋体"/>
          <w:color w:val="auto"/>
          <w:spacing w:val="0"/>
          <w:sz w:val="20"/>
        </w:rPr>
      </w:pPr>
      <w:r>
        <w:rPr>
          <w:rFonts w:hint="eastAsia" w:ascii="宋体" w:hAnsi="宋体" w:eastAsia="宋体" w:cs="宋体"/>
          <w:color w:val="auto"/>
          <w:spacing w:val="0"/>
          <w:sz w:val="20"/>
        </w:rPr>
        <w:t>注：该表中所有空白项均为必填项。</w:t>
      </w:r>
    </w:p>
    <w:p w14:paraId="507E7069">
      <w:pPr>
        <w:spacing w:line="278" w:lineRule="auto"/>
        <w:rPr>
          <w:rFonts w:hint="eastAsia" w:ascii="宋体" w:hAnsi="宋体" w:eastAsia="宋体" w:cs="宋体"/>
          <w:color w:val="auto"/>
          <w:spacing w:val="0"/>
        </w:rPr>
      </w:pPr>
    </w:p>
    <w:p w14:paraId="0400BA51">
      <w:pPr>
        <w:spacing w:line="278" w:lineRule="auto"/>
        <w:rPr>
          <w:rFonts w:hint="eastAsia" w:ascii="宋体" w:hAnsi="宋体" w:eastAsia="宋体" w:cs="宋体"/>
          <w:color w:val="auto"/>
          <w:spacing w:val="0"/>
        </w:rPr>
      </w:pPr>
    </w:p>
    <w:p w14:paraId="6716DE0A">
      <w:pPr>
        <w:pStyle w:val="3"/>
        <w:spacing w:before="78" w:line="360" w:lineRule="auto"/>
        <w:ind w:left="1463"/>
        <w:rPr>
          <w:rFonts w:hint="eastAsia" w:ascii="宋体" w:hAnsi="宋体" w:eastAsia="宋体" w:cs="宋体"/>
          <w:color w:val="auto"/>
          <w:spacing w:val="0"/>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（单位签章）</w:t>
      </w:r>
    </w:p>
    <w:p w14:paraId="0668EBB7">
      <w:pPr>
        <w:pStyle w:val="3"/>
        <w:spacing w:before="78" w:line="360" w:lineRule="auto"/>
        <w:ind w:left="1464"/>
        <w:rPr>
          <w:rFonts w:hint="eastAsia" w:ascii="宋体" w:hAnsi="宋体" w:eastAsia="宋体" w:cs="宋体"/>
          <w:color w:val="auto"/>
          <w:spacing w:val="0"/>
          <w:szCs w:val="24"/>
        </w:rPr>
      </w:pPr>
      <w:r>
        <w:rPr>
          <w:rFonts w:hint="eastAsia" w:ascii="宋体" w:hAnsi="宋体" w:eastAsia="宋体" w:cs="宋体"/>
          <w:color w:val="auto"/>
          <w:spacing w:val="0"/>
          <w:szCs w:val="24"/>
        </w:rPr>
        <w:t>法定代表人：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（电子签章）</w:t>
      </w:r>
    </w:p>
    <w:p w14:paraId="43057516">
      <w:pPr>
        <w:pStyle w:val="3"/>
        <w:tabs>
          <w:tab w:val="left" w:pos="3506"/>
        </w:tabs>
        <w:spacing w:before="26" w:line="360" w:lineRule="auto"/>
        <w:ind w:left="2426"/>
        <w:rPr>
          <w:rFonts w:hint="eastAsia" w:ascii="宋体" w:hAnsi="宋体" w:eastAsia="宋体" w:cs="宋体"/>
          <w:color w:val="auto"/>
          <w:spacing w:val="0"/>
          <w:szCs w:val="24"/>
        </w:rPr>
      </w:pPr>
      <w:r>
        <w:rPr>
          <w:rFonts w:hint="eastAsia" w:ascii="宋体" w:hAnsi="宋体" w:eastAsia="宋体" w:cs="宋体"/>
          <w:color w:val="auto"/>
          <w:spacing w:val="0"/>
          <w:szCs w:val="24"/>
          <w:u w:val="single"/>
        </w:rPr>
        <w:tab/>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10B14F8D">
      <w:pPr>
        <w:spacing w:line="360" w:lineRule="auto"/>
        <w:rPr>
          <w:rFonts w:hint="eastAsia" w:ascii="宋体" w:hAnsi="宋体" w:eastAsia="宋体" w:cs="宋体"/>
          <w:color w:val="auto"/>
          <w:spacing w:val="0"/>
          <w:sz w:val="24"/>
          <w:szCs w:val="24"/>
        </w:rPr>
      </w:pPr>
    </w:p>
    <w:p w14:paraId="5921452A">
      <w:pPr>
        <w:spacing w:line="360" w:lineRule="auto"/>
        <w:jc w:val="center"/>
        <w:outlineLvl w:val="1"/>
        <w:rPr>
          <w:rFonts w:hint="eastAsia" w:ascii="宋体" w:hAnsi="宋体" w:eastAsia="宋体" w:cs="宋体"/>
          <w:b/>
          <w:bCs/>
          <w:color w:val="auto"/>
          <w:sz w:val="22"/>
          <w:szCs w:val="22"/>
          <w:lang w:eastAsia="zh-CN"/>
        </w:rPr>
      </w:pPr>
    </w:p>
    <w:p w14:paraId="0FC26C19">
      <w:pPr>
        <w:pStyle w:val="3"/>
        <w:spacing w:before="181" w:line="220" w:lineRule="auto"/>
        <w:jc w:val="center"/>
        <w:outlineLvl w:val="0"/>
        <w:rPr>
          <w:rFonts w:hint="eastAsia" w:ascii="宋体" w:hAnsi="宋体" w:eastAsia="宋体" w:cs="宋体"/>
          <w:b/>
          <w:bCs/>
          <w:color w:val="auto"/>
          <w:spacing w:val="0"/>
          <w:sz w:val="32"/>
          <w:szCs w:val="32"/>
        </w:rPr>
      </w:pPr>
    </w:p>
    <w:p w14:paraId="5500FA19">
      <w:pPr>
        <w:pStyle w:val="3"/>
        <w:spacing w:before="181" w:line="220" w:lineRule="auto"/>
        <w:jc w:val="center"/>
        <w:outlineLvl w:val="0"/>
        <w:rPr>
          <w:rFonts w:hint="eastAsia" w:ascii="宋体" w:hAnsi="宋体" w:eastAsia="宋体" w:cs="宋体"/>
          <w:b/>
          <w:bCs/>
          <w:color w:val="auto"/>
          <w:spacing w:val="0"/>
          <w:sz w:val="32"/>
          <w:szCs w:val="32"/>
        </w:rPr>
      </w:pPr>
      <w:r>
        <w:rPr>
          <w:rFonts w:hint="eastAsia" w:ascii="宋体" w:hAnsi="宋体" w:eastAsia="宋体" w:cs="宋体"/>
          <w:b/>
          <w:bCs/>
          <w:color w:val="auto"/>
          <w:spacing w:val="0"/>
          <w:sz w:val="32"/>
          <w:szCs w:val="32"/>
        </w:rPr>
        <w:t>二、法定代表人身份证明书</w:t>
      </w:r>
    </w:p>
    <w:p w14:paraId="07E55676">
      <w:pPr>
        <w:spacing w:line="250" w:lineRule="auto"/>
        <w:rPr>
          <w:rFonts w:hint="eastAsia" w:ascii="宋体" w:hAnsi="宋体" w:eastAsia="宋体" w:cs="宋体"/>
          <w:color w:val="auto"/>
          <w:spacing w:val="0"/>
        </w:rPr>
      </w:pPr>
    </w:p>
    <w:p w14:paraId="624F07FF">
      <w:pPr>
        <w:spacing w:line="250" w:lineRule="auto"/>
        <w:rPr>
          <w:rFonts w:hint="eastAsia" w:ascii="宋体" w:hAnsi="宋体" w:eastAsia="宋体" w:cs="宋体"/>
          <w:color w:val="auto"/>
          <w:spacing w:val="0"/>
        </w:rPr>
      </w:pPr>
    </w:p>
    <w:p w14:paraId="6D902BEA">
      <w:pPr>
        <w:spacing w:line="251" w:lineRule="auto"/>
        <w:rPr>
          <w:rFonts w:hint="eastAsia" w:ascii="宋体" w:hAnsi="宋体" w:eastAsia="宋体" w:cs="宋体"/>
          <w:color w:val="auto"/>
          <w:spacing w:val="0"/>
        </w:rPr>
      </w:pPr>
    </w:p>
    <w:p w14:paraId="125BFDF3">
      <w:pPr>
        <w:spacing w:line="251" w:lineRule="auto"/>
        <w:rPr>
          <w:rFonts w:hint="eastAsia" w:ascii="宋体" w:hAnsi="宋体" w:eastAsia="宋体" w:cs="宋体"/>
          <w:color w:val="auto"/>
          <w:spacing w:val="0"/>
        </w:rPr>
      </w:pPr>
    </w:p>
    <w:p w14:paraId="3BF5677E">
      <w:pPr>
        <w:pStyle w:val="3"/>
        <w:spacing w:before="78" w:line="219" w:lineRule="auto"/>
        <w:ind w:left="23"/>
        <w:rPr>
          <w:rFonts w:hint="eastAsia" w:ascii="宋体" w:hAnsi="宋体" w:eastAsia="宋体" w:cs="宋体"/>
          <w:color w:val="auto"/>
          <w:spacing w:val="0"/>
          <w:szCs w:val="24"/>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名称：</w:t>
      </w:r>
      <w:r>
        <w:rPr>
          <w:rFonts w:hint="eastAsia" w:ascii="宋体" w:hAnsi="宋体" w:eastAsia="宋体" w:cs="宋体"/>
          <w:color w:val="auto"/>
          <w:spacing w:val="0"/>
          <w:szCs w:val="24"/>
          <w:u w:val="single"/>
        </w:rPr>
        <w:t xml:space="preserve">            </w:t>
      </w:r>
    </w:p>
    <w:p w14:paraId="460808BA">
      <w:pPr>
        <w:pStyle w:val="3"/>
        <w:spacing w:before="182" w:line="221" w:lineRule="auto"/>
        <w:ind w:left="25"/>
        <w:rPr>
          <w:rFonts w:hint="eastAsia" w:ascii="宋体" w:hAnsi="宋体" w:eastAsia="宋体" w:cs="宋体"/>
          <w:color w:val="auto"/>
          <w:spacing w:val="0"/>
          <w:szCs w:val="24"/>
        </w:rPr>
      </w:pPr>
      <w:r>
        <w:rPr>
          <w:rFonts w:hint="eastAsia" w:ascii="宋体" w:hAnsi="宋体" w:eastAsia="宋体" w:cs="宋体"/>
          <w:color w:val="auto"/>
          <w:spacing w:val="0"/>
          <w:szCs w:val="24"/>
        </w:rPr>
        <w:t>单位性质：</w:t>
      </w:r>
      <w:r>
        <w:rPr>
          <w:rFonts w:hint="eastAsia" w:ascii="宋体" w:hAnsi="宋体" w:eastAsia="宋体" w:cs="宋体"/>
          <w:color w:val="auto"/>
          <w:spacing w:val="0"/>
          <w:szCs w:val="24"/>
          <w:u w:val="single"/>
        </w:rPr>
        <w:t xml:space="preserve">            </w:t>
      </w:r>
    </w:p>
    <w:p w14:paraId="7416506F">
      <w:pPr>
        <w:pStyle w:val="3"/>
        <w:spacing w:before="179" w:line="229" w:lineRule="auto"/>
        <w:ind w:left="23"/>
        <w:rPr>
          <w:rFonts w:hint="eastAsia" w:ascii="宋体" w:hAnsi="宋体" w:eastAsia="宋体" w:cs="宋体"/>
          <w:color w:val="auto"/>
          <w:spacing w:val="0"/>
          <w:szCs w:val="24"/>
        </w:rPr>
      </w:pPr>
      <w:r>
        <w:rPr>
          <w:rFonts w:hint="eastAsia" w:ascii="宋体" w:hAnsi="宋体" w:eastAsia="宋体" w:cs="宋体"/>
          <w:color w:val="auto"/>
          <w:spacing w:val="0"/>
          <w:szCs w:val="24"/>
        </w:rPr>
        <w:t xml:space="preserve">地址： </w:t>
      </w:r>
      <w:r>
        <w:rPr>
          <w:rFonts w:hint="eastAsia" w:ascii="宋体" w:hAnsi="宋体" w:eastAsia="宋体" w:cs="宋体"/>
          <w:color w:val="auto"/>
          <w:spacing w:val="0"/>
          <w:szCs w:val="24"/>
          <w:u w:val="single"/>
        </w:rPr>
        <w:t xml:space="preserve">            </w:t>
      </w:r>
    </w:p>
    <w:p w14:paraId="3EDE3843">
      <w:pPr>
        <w:pStyle w:val="3"/>
        <w:spacing w:before="169" w:line="358" w:lineRule="auto"/>
        <w:ind w:left="25"/>
        <w:rPr>
          <w:rFonts w:hint="eastAsia" w:ascii="宋体" w:hAnsi="宋体" w:eastAsia="宋体" w:cs="宋体"/>
          <w:color w:val="auto"/>
          <w:spacing w:val="0"/>
          <w:szCs w:val="24"/>
        </w:rPr>
      </w:pPr>
      <w:r>
        <w:rPr>
          <w:rFonts w:hint="eastAsia" w:ascii="宋体" w:hAnsi="宋体" w:eastAsia="宋体" w:cs="宋体"/>
          <w:color w:val="auto"/>
          <w:spacing w:val="0"/>
          <w:szCs w:val="24"/>
        </w:rPr>
        <w:t>成立时间：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27E3E336">
      <w:pPr>
        <w:pStyle w:val="3"/>
        <w:spacing w:before="1" w:line="220" w:lineRule="auto"/>
        <w:ind w:left="25"/>
        <w:rPr>
          <w:rFonts w:hint="eastAsia" w:ascii="宋体" w:hAnsi="宋体" w:eastAsia="宋体" w:cs="宋体"/>
          <w:color w:val="auto"/>
          <w:spacing w:val="0"/>
          <w:szCs w:val="24"/>
        </w:rPr>
      </w:pPr>
      <w:r>
        <w:rPr>
          <w:rFonts w:hint="eastAsia" w:ascii="宋体" w:hAnsi="宋体" w:eastAsia="宋体" w:cs="宋体"/>
          <w:color w:val="auto"/>
          <w:spacing w:val="0"/>
          <w:szCs w:val="24"/>
        </w:rPr>
        <w:t>经营期限</w:t>
      </w:r>
      <w:r>
        <w:rPr>
          <w:rFonts w:hint="eastAsia" w:ascii="宋体" w:hAnsi="宋体" w:eastAsia="宋体" w:cs="宋体"/>
          <w:color w:val="auto"/>
          <w:spacing w:val="0"/>
          <w:szCs w:val="24"/>
          <w:u w:val="single"/>
        </w:rPr>
        <w:t xml:space="preserve">：                                </w:t>
      </w:r>
    </w:p>
    <w:p w14:paraId="1C58DE08">
      <w:pPr>
        <w:pStyle w:val="3"/>
        <w:spacing w:before="181"/>
        <w:ind w:left="23"/>
        <w:rPr>
          <w:rFonts w:hint="eastAsia" w:ascii="宋体" w:hAnsi="宋体" w:eastAsia="宋体" w:cs="宋体"/>
          <w:color w:val="auto"/>
          <w:spacing w:val="0"/>
          <w:szCs w:val="24"/>
        </w:rPr>
      </w:pPr>
      <w:r>
        <w:rPr>
          <w:rFonts w:hint="eastAsia" w:ascii="宋体" w:hAnsi="宋体" w:eastAsia="宋体" w:cs="宋体"/>
          <w:color w:val="auto"/>
          <w:spacing w:val="0"/>
          <w:szCs w:val="24"/>
        </w:rPr>
        <w:t>姓名：</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性别：</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年龄：</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职务：</w:t>
      </w:r>
      <w:r>
        <w:rPr>
          <w:rFonts w:hint="eastAsia" w:ascii="宋体" w:hAnsi="宋体" w:eastAsia="宋体" w:cs="宋体"/>
          <w:color w:val="auto"/>
          <w:spacing w:val="0"/>
          <w:szCs w:val="24"/>
          <w:u w:val="single"/>
        </w:rPr>
        <w:t xml:space="preserve">          </w:t>
      </w:r>
    </w:p>
    <w:p w14:paraId="20DB2FA8">
      <w:pPr>
        <w:pStyle w:val="3"/>
        <w:spacing w:line="219" w:lineRule="auto"/>
        <w:ind w:left="28"/>
        <w:rPr>
          <w:rFonts w:hint="eastAsia" w:ascii="宋体" w:hAnsi="宋体" w:eastAsia="宋体" w:cs="宋体"/>
          <w:color w:val="auto"/>
          <w:spacing w:val="0"/>
          <w:szCs w:val="24"/>
        </w:rPr>
      </w:pPr>
      <w:r>
        <w:rPr>
          <w:rFonts w:hint="eastAsia" w:ascii="宋体" w:hAnsi="宋体" w:eastAsia="宋体" w:cs="宋体"/>
          <w:color w:val="auto"/>
          <w:spacing w:val="0"/>
          <w:szCs w:val="24"/>
        </w:rPr>
        <w:t>系</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w:t>
      </w:r>
      <w:r>
        <w:rPr>
          <w:rFonts w:hint="eastAsia" w:hAnsi="宋体" w:cs="宋体"/>
          <w:color w:val="auto"/>
          <w:spacing w:val="0"/>
          <w:szCs w:val="24"/>
          <w:lang w:eastAsia="zh-CN"/>
        </w:rPr>
        <w:t>投标人</w:t>
      </w:r>
      <w:r>
        <w:rPr>
          <w:rFonts w:hint="eastAsia" w:ascii="宋体" w:hAnsi="宋体" w:eastAsia="宋体" w:cs="宋体"/>
          <w:color w:val="auto"/>
          <w:spacing w:val="0"/>
          <w:szCs w:val="24"/>
        </w:rPr>
        <w:t>名称）的法定代表人。</w:t>
      </w:r>
    </w:p>
    <w:p w14:paraId="6C8AF891">
      <w:pPr>
        <w:pStyle w:val="3"/>
        <w:spacing w:before="181" w:line="220" w:lineRule="auto"/>
        <w:ind w:left="23"/>
        <w:rPr>
          <w:rFonts w:hint="eastAsia" w:ascii="宋体" w:hAnsi="宋体" w:eastAsia="宋体" w:cs="宋体"/>
          <w:color w:val="auto"/>
          <w:spacing w:val="0"/>
          <w:szCs w:val="24"/>
        </w:rPr>
      </w:pPr>
      <w:r>
        <w:rPr>
          <w:rFonts w:hint="eastAsia" w:ascii="宋体" w:hAnsi="宋体" w:eastAsia="宋体" w:cs="宋体"/>
          <w:color w:val="auto"/>
          <w:spacing w:val="0"/>
          <w:szCs w:val="24"/>
        </w:rPr>
        <w:t>特此证明。</w:t>
      </w:r>
    </w:p>
    <w:p w14:paraId="6833BEFF">
      <w:pPr>
        <w:spacing w:line="322" w:lineRule="auto"/>
        <w:rPr>
          <w:rFonts w:hint="eastAsia" w:ascii="宋体" w:hAnsi="宋体" w:eastAsia="宋体" w:cs="宋体"/>
          <w:color w:val="auto"/>
          <w:spacing w:val="0"/>
        </w:rPr>
      </w:pPr>
    </w:p>
    <w:p w14:paraId="691BAA2D">
      <w:pPr>
        <w:spacing w:line="323" w:lineRule="auto"/>
        <w:rPr>
          <w:rFonts w:hint="eastAsia" w:ascii="宋体" w:hAnsi="宋体" w:eastAsia="宋体" w:cs="宋体"/>
          <w:color w:val="auto"/>
          <w:spacing w:val="0"/>
        </w:rPr>
      </w:pPr>
    </w:p>
    <w:p w14:paraId="6AB2F911">
      <w:pPr>
        <w:pStyle w:val="3"/>
        <w:spacing w:before="78" w:line="219" w:lineRule="auto"/>
        <w:ind w:left="1954"/>
        <w:outlineLvl w:val="0"/>
        <w:rPr>
          <w:rFonts w:hint="eastAsia" w:ascii="宋体" w:hAnsi="宋体" w:eastAsia="宋体" w:cs="宋体"/>
          <w:color w:val="auto"/>
          <w:spacing w:val="0"/>
          <w:szCs w:val="24"/>
        </w:rPr>
      </w:pPr>
      <w:r>
        <w:rPr>
          <w:rFonts w:hint="eastAsia" w:ascii="宋体" w:hAnsi="宋体" w:eastAsia="宋体" w:cs="宋体"/>
          <w:color w:val="auto"/>
          <w:spacing w:val="0"/>
          <w:szCs w:val="24"/>
        </w:rPr>
        <w:t>（后附法定代表人身份证正反面扫描件）</w:t>
      </w:r>
    </w:p>
    <w:p w14:paraId="4E84E9F0">
      <w:pPr>
        <w:spacing w:line="245" w:lineRule="auto"/>
        <w:rPr>
          <w:rFonts w:hint="eastAsia" w:ascii="宋体" w:hAnsi="宋体" w:eastAsia="宋体" w:cs="宋体"/>
          <w:color w:val="auto"/>
          <w:spacing w:val="0"/>
        </w:rPr>
      </w:pPr>
    </w:p>
    <w:p w14:paraId="28B0E4E7">
      <w:pPr>
        <w:spacing w:line="246" w:lineRule="auto"/>
        <w:rPr>
          <w:rFonts w:hint="eastAsia" w:ascii="宋体" w:hAnsi="宋体" w:eastAsia="宋体" w:cs="宋体"/>
          <w:color w:val="auto"/>
          <w:spacing w:val="0"/>
        </w:rPr>
      </w:pPr>
    </w:p>
    <w:p w14:paraId="03D45C4D">
      <w:pPr>
        <w:pStyle w:val="3"/>
        <w:spacing w:before="78" w:line="219" w:lineRule="auto"/>
        <w:ind w:left="503"/>
        <w:rPr>
          <w:rFonts w:hint="eastAsia" w:ascii="宋体" w:hAnsi="宋体" w:eastAsia="宋体" w:cs="宋体"/>
          <w:color w:val="auto"/>
          <w:spacing w:val="0"/>
          <w:szCs w:val="24"/>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（单位签章）</w:t>
      </w:r>
    </w:p>
    <w:p w14:paraId="6CB148B7">
      <w:pPr>
        <w:spacing w:line="414" w:lineRule="auto"/>
        <w:rPr>
          <w:rFonts w:hint="eastAsia" w:ascii="宋体" w:hAnsi="宋体" w:eastAsia="宋体" w:cs="宋体"/>
          <w:color w:val="auto"/>
          <w:spacing w:val="0"/>
        </w:rPr>
      </w:pPr>
    </w:p>
    <w:p w14:paraId="352B4467">
      <w:pPr>
        <w:pStyle w:val="3"/>
        <w:spacing w:before="79" w:line="220" w:lineRule="auto"/>
        <w:ind w:left="544"/>
        <w:rPr>
          <w:rFonts w:hint="eastAsia" w:ascii="宋体" w:hAnsi="宋体" w:eastAsia="宋体" w:cs="宋体"/>
          <w:color w:val="auto"/>
          <w:spacing w:val="0"/>
          <w:szCs w:val="24"/>
        </w:rPr>
      </w:pPr>
      <w:r>
        <w:rPr>
          <w:rFonts w:hint="eastAsia" w:ascii="宋体" w:hAnsi="宋体" w:eastAsia="宋体" w:cs="宋体"/>
          <w:color w:val="auto"/>
          <w:spacing w:val="0"/>
          <w:szCs w:val="24"/>
        </w:rPr>
        <w:t>日期：</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1624E01C">
      <w:pPr>
        <w:spacing w:line="220" w:lineRule="auto"/>
        <w:rPr>
          <w:rFonts w:hint="eastAsia" w:ascii="宋体" w:hAnsi="宋体" w:eastAsia="宋体" w:cs="宋体"/>
          <w:color w:val="auto"/>
          <w:spacing w:val="0"/>
          <w:sz w:val="24"/>
          <w:szCs w:val="24"/>
        </w:rPr>
        <w:sectPr>
          <w:footerReference r:id="rId14" w:type="default"/>
          <w:pgSz w:w="11905" w:h="16838"/>
          <w:pgMar w:top="1440" w:right="1440" w:bottom="1440" w:left="1440" w:header="0" w:footer="986" w:gutter="0"/>
          <w:pgNumType w:fmt="decimal"/>
          <w:cols w:space="720" w:num="1"/>
          <w:rtlGutter w:val="0"/>
          <w:docGrid w:linePitch="0" w:charSpace="0"/>
        </w:sectPr>
      </w:pPr>
    </w:p>
    <w:p w14:paraId="1FF713B7">
      <w:pPr>
        <w:pStyle w:val="3"/>
        <w:spacing w:before="181" w:line="220" w:lineRule="auto"/>
        <w:jc w:val="center"/>
        <w:rPr>
          <w:rFonts w:hint="eastAsia" w:ascii="宋体" w:hAnsi="宋体" w:eastAsia="宋体" w:cs="宋体"/>
          <w:b/>
          <w:bCs/>
          <w:color w:val="auto"/>
          <w:spacing w:val="0"/>
          <w:sz w:val="32"/>
          <w:szCs w:val="32"/>
        </w:rPr>
      </w:pPr>
      <w:r>
        <w:rPr>
          <w:rFonts w:hint="eastAsia" w:ascii="宋体" w:hAnsi="宋体" w:eastAsia="宋体" w:cs="宋体"/>
          <w:b/>
          <w:bCs/>
          <w:color w:val="auto"/>
          <w:spacing w:val="0"/>
          <w:sz w:val="32"/>
          <w:szCs w:val="32"/>
        </w:rPr>
        <w:t>三、授权委托书</w:t>
      </w:r>
    </w:p>
    <w:p w14:paraId="1961598B">
      <w:pPr>
        <w:spacing w:line="269" w:lineRule="auto"/>
        <w:rPr>
          <w:rFonts w:hint="eastAsia" w:ascii="宋体" w:hAnsi="宋体" w:eastAsia="宋体" w:cs="宋体"/>
          <w:color w:val="auto"/>
          <w:spacing w:val="0"/>
        </w:rPr>
      </w:pPr>
    </w:p>
    <w:p w14:paraId="3F2E8416">
      <w:pPr>
        <w:spacing w:line="269" w:lineRule="auto"/>
        <w:rPr>
          <w:rFonts w:hint="eastAsia" w:ascii="宋体" w:hAnsi="宋体" w:eastAsia="宋体" w:cs="宋体"/>
          <w:color w:val="auto"/>
          <w:spacing w:val="0"/>
        </w:rPr>
      </w:pPr>
    </w:p>
    <w:p w14:paraId="4195DFBE">
      <w:pPr>
        <w:pStyle w:val="3"/>
        <w:spacing w:before="78" w:line="359" w:lineRule="auto"/>
        <w:ind w:left="23" w:right="13" w:firstLine="480"/>
        <w:jc w:val="both"/>
        <w:rPr>
          <w:rFonts w:hint="eastAsia" w:ascii="宋体" w:hAnsi="宋体" w:eastAsia="宋体" w:cs="宋体"/>
          <w:color w:val="auto"/>
          <w:spacing w:val="0"/>
          <w:szCs w:val="24"/>
        </w:rPr>
      </w:pPr>
      <w:r>
        <w:rPr>
          <w:rFonts w:hint="eastAsia" w:ascii="宋体" w:hAnsi="宋体" w:eastAsia="宋体" w:cs="宋体"/>
          <w:color w:val="auto"/>
          <w:spacing w:val="0"/>
          <w:szCs w:val="24"/>
        </w:rPr>
        <w:t>本人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（姓名）系</w:t>
      </w:r>
      <w:r>
        <w:rPr>
          <w:rFonts w:hint="eastAsia" w:ascii="宋体" w:hAnsi="宋体" w:eastAsia="宋体" w:cs="宋体"/>
          <w:color w:val="auto"/>
          <w:spacing w:val="0"/>
          <w:szCs w:val="24"/>
          <w:u w:val="single"/>
        </w:rPr>
        <w:t xml:space="preserve">       </w:t>
      </w:r>
      <w:r>
        <w:rPr>
          <w:rFonts w:hint="eastAsia" w:hAnsi="宋体" w:cs="宋体"/>
          <w:color w:val="auto"/>
          <w:spacing w:val="0"/>
          <w:szCs w:val="24"/>
          <w:u w:val="single"/>
          <w:lang w:val="en-US" w:eastAsia="zh-CN"/>
        </w:rPr>
        <w:t xml:space="preserve">             </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w:t>
      </w:r>
      <w:r>
        <w:rPr>
          <w:rFonts w:hint="eastAsia" w:hAnsi="宋体" w:cs="宋体"/>
          <w:color w:val="auto"/>
          <w:spacing w:val="0"/>
          <w:szCs w:val="24"/>
          <w:lang w:eastAsia="zh-CN"/>
        </w:rPr>
        <w:t>投标人</w:t>
      </w:r>
      <w:r>
        <w:rPr>
          <w:rFonts w:hint="eastAsia" w:ascii="宋体" w:hAnsi="宋体" w:eastAsia="宋体" w:cs="宋体"/>
          <w:color w:val="auto"/>
          <w:spacing w:val="0"/>
          <w:szCs w:val="24"/>
        </w:rPr>
        <w:t>名称）的法定代表人，现委托</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（姓名）为我方代理人。代理人根据授权，以我方名义签署、澄清、说明、补正、递交、撤回、修改</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（项目名称）</w:t>
      </w:r>
      <w:r>
        <w:rPr>
          <w:rFonts w:hint="eastAsia" w:hAnsi="宋体" w:cs="宋体"/>
          <w:color w:val="auto"/>
          <w:spacing w:val="0"/>
          <w:szCs w:val="24"/>
          <w:lang w:val="en-US" w:eastAsia="zh-CN"/>
        </w:rPr>
        <w:t>投标</w:t>
      </w:r>
      <w:r>
        <w:rPr>
          <w:rFonts w:hint="eastAsia" w:ascii="宋体" w:hAnsi="宋体" w:eastAsia="宋体" w:cs="宋体"/>
          <w:color w:val="auto"/>
          <w:spacing w:val="0"/>
          <w:szCs w:val="24"/>
        </w:rPr>
        <w:t>文件、签订合同和处理有关事宜，其法律后果由我方承担。</w:t>
      </w:r>
    </w:p>
    <w:p w14:paraId="50EB067D">
      <w:pPr>
        <w:spacing w:line="283" w:lineRule="auto"/>
        <w:rPr>
          <w:rFonts w:hint="eastAsia" w:ascii="宋体" w:hAnsi="宋体" w:eastAsia="宋体" w:cs="宋体"/>
          <w:color w:val="auto"/>
          <w:spacing w:val="0"/>
        </w:rPr>
      </w:pPr>
    </w:p>
    <w:p w14:paraId="0CD57858">
      <w:pPr>
        <w:spacing w:line="283" w:lineRule="auto"/>
        <w:rPr>
          <w:rFonts w:hint="eastAsia" w:ascii="宋体" w:hAnsi="宋体" w:eastAsia="宋体" w:cs="宋体"/>
          <w:color w:val="auto"/>
          <w:spacing w:val="0"/>
        </w:rPr>
      </w:pPr>
    </w:p>
    <w:p w14:paraId="4806F3E4">
      <w:pPr>
        <w:pStyle w:val="3"/>
        <w:spacing w:before="78"/>
        <w:ind w:left="502"/>
        <w:rPr>
          <w:rFonts w:hint="eastAsia" w:ascii="宋体" w:hAnsi="宋体" w:eastAsia="宋体" w:cs="宋体"/>
          <w:color w:val="auto"/>
          <w:spacing w:val="0"/>
          <w:szCs w:val="24"/>
        </w:rPr>
      </w:pPr>
      <w:r>
        <w:rPr>
          <w:rFonts w:hint="eastAsia" w:ascii="宋体" w:hAnsi="宋体" w:eastAsia="宋体" w:cs="宋体"/>
          <w:color w:val="auto"/>
          <w:spacing w:val="0"/>
          <w:szCs w:val="24"/>
        </w:rPr>
        <w:t>委托期限</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w:t>
      </w:r>
    </w:p>
    <w:p w14:paraId="381820E6">
      <w:pPr>
        <w:pStyle w:val="3"/>
        <w:spacing w:line="220" w:lineRule="auto"/>
        <w:ind w:left="502"/>
        <w:rPr>
          <w:rFonts w:hint="eastAsia" w:ascii="宋体" w:hAnsi="宋体" w:eastAsia="宋体" w:cs="宋体"/>
          <w:color w:val="auto"/>
          <w:spacing w:val="0"/>
          <w:szCs w:val="24"/>
        </w:rPr>
      </w:pPr>
      <w:r>
        <w:rPr>
          <w:rFonts w:hint="eastAsia" w:ascii="宋体" w:hAnsi="宋体" w:eastAsia="宋体" w:cs="宋体"/>
          <w:color w:val="auto"/>
          <w:spacing w:val="0"/>
          <w:szCs w:val="24"/>
        </w:rPr>
        <w:t>代理人无转委托权。</w:t>
      </w:r>
    </w:p>
    <w:p w14:paraId="1A148393">
      <w:pPr>
        <w:spacing w:line="283" w:lineRule="auto"/>
        <w:rPr>
          <w:rFonts w:hint="eastAsia" w:ascii="宋体" w:hAnsi="宋体" w:eastAsia="宋体" w:cs="宋体"/>
          <w:color w:val="auto"/>
          <w:spacing w:val="0"/>
        </w:rPr>
      </w:pPr>
    </w:p>
    <w:p w14:paraId="374DECBF">
      <w:pPr>
        <w:spacing w:line="283" w:lineRule="auto"/>
        <w:rPr>
          <w:rFonts w:hint="eastAsia" w:ascii="宋体" w:hAnsi="宋体" w:eastAsia="宋体" w:cs="宋体"/>
          <w:color w:val="auto"/>
          <w:spacing w:val="0"/>
        </w:rPr>
      </w:pPr>
    </w:p>
    <w:p w14:paraId="5FBBAB9D">
      <w:pPr>
        <w:pStyle w:val="3"/>
        <w:spacing w:before="78" w:line="219" w:lineRule="auto"/>
        <w:ind w:left="2019"/>
        <w:rPr>
          <w:rFonts w:hint="eastAsia" w:ascii="宋体" w:hAnsi="宋体" w:eastAsia="宋体" w:cs="宋体"/>
          <w:color w:val="auto"/>
          <w:spacing w:val="0"/>
          <w:szCs w:val="24"/>
        </w:rPr>
      </w:pPr>
      <w:r>
        <w:rPr>
          <w:rFonts w:hint="eastAsia" w:ascii="宋体" w:hAnsi="宋体" w:eastAsia="宋体" w:cs="宋体"/>
          <w:color w:val="auto"/>
          <w:spacing w:val="0"/>
          <w:szCs w:val="24"/>
        </w:rPr>
        <w:t>（后附委托代理人身份证正反面扫描件）</w:t>
      </w:r>
    </w:p>
    <w:p w14:paraId="6999CD9F">
      <w:pPr>
        <w:spacing w:line="245" w:lineRule="auto"/>
        <w:rPr>
          <w:rFonts w:hint="eastAsia" w:ascii="宋体" w:hAnsi="宋体" w:eastAsia="宋体" w:cs="宋体"/>
          <w:color w:val="auto"/>
          <w:spacing w:val="0"/>
        </w:rPr>
      </w:pPr>
    </w:p>
    <w:p w14:paraId="657C2459">
      <w:pPr>
        <w:spacing w:line="245" w:lineRule="auto"/>
        <w:rPr>
          <w:rFonts w:hint="eastAsia" w:ascii="宋体" w:hAnsi="宋体" w:eastAsia="宋体" w:cs="宋体"/>
          <w:color w:val="auto"/>
          <w:spacing w:val="0"/>
        </w:rPr>
      </w:pPr>
    </w:p>
    <w:p w14:paraId="016A5191">
      <w:pPr>
        <w:spacing w:line="245" w:lineRule="auto"/>
        <w:rPr>
          <w:rFonts w:hint="eastAsia" w:ascii="宋体" w:hAnsi="宋体" w:eastAsia="宋体" w:cs="宋体"/>
          <w:color w:val="auto"/>
          <w:spacing w:val="0"/>
        </w:rPr>
      </w:pPr>
    </w:p>
    <w:p w14:paraId="7DA32EA3">
      <w:pPr>
        <w:spacing w:line="245" w:lineRule="auto"/>
        <w:rPr>
          <w:rFonts w:hint="eastAsia" w:ascii="宋体" w:hAnsi="宋体" w:eastAsia="宋体" w:cs="宋体"/>
          <w:color w:val="auto"/>
          <w:spacing w:val="0"/>
        </w:rPr>
      </w:pPr>
    </w:p>
    <w:p w14:paraId="3F6F45DE">
      <w:pPr>
        <w:spacing w:line="245" w:lineRule="auto"/>
        <w:rPr>
          <w:rFonts w:hint="eastAsia" w:ascii="宋体" w:hAnsi="宋体" w:eastAsia="宋体" w:cs="宋体"/>
          <w:color w:val="auto"/>
          <w:spacing w:val="0"/>
        </w:rPr>
      </w:pPr>
    </w:p>
    <w:p w14:paraId="0C9F2857">
      <w:pPr>
        <w:spacing w:line="245" w:lineRule="auto"/>
        <w:rPr>
          <w:rFonts w:hint="eastAsia" w:ascii="宋体" w:hAnsi="宋体" w:eastAsia="宋体" w:cs="宋体"/>
          <w:color w:val="auto"/>
          <w:spacing w:val="0"/>
        </w:rPr>
      </w:pPr>
    </w:p>
    <w:p w14:paraId="1ADF2745">
      <w:pPr>
        <w:spacing w:line="246" w:lineRule="auto"/>
        <w:rPr>
          <w:rFonts w:hint="eastAsia" w:ascii="宋体" w:hAnsi="宋体" w:eastAsia="宋体" w:cs="宋体"/>
          <w:color w:val="auto"/>
          <w:spacing w:val="0"/>
        </w:rPr>
      </w:pPr>
    </w:p>
    <w:p w14:paraId="0B9EB58D">
      <w:pPr>
        <w:spacing w:line="246" w:lineRule="auto"/>
        <w:rPr>
          <w:rFonts w:hint="eastAsia" w:ascii="宋体" w:hAnsi="宋体" w:eastAsia="宋体" w:cs="宋体"/>
          <w:color w:val="auto"/>
          <w:spacing w:val="0"/>
        </w:rPr>
      </w:pPr>
    </w:p>
    <w:p w14:paraId="0113108C">
      <w:pPr>
        <w:pStyle w:val="3"/>
        <w:spacing w:before="78" w:line="219" w:lineRule="auto"/>
        <w:ind w:left="503"/>
        <w:rPr>
          <w:rFonts w:hint="eastAsia" w:ascii="宋体" w:hAnsi="宋体" w:eastAsia="宋体" w:cs="宋体"/>
          <w:color w:val="auto"/>
          <w:spacing w:val="0"/>
          <w:szCs w:val="24"/>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（单位签章）</w:t>
      </w:r>
    </w:p>
    <w:p w14:paraId="23D53B4E">
      <w:pPr>
        <w:pStyle w:val="3"/>
        <w:spacing w:before="180"/>
        <w:ind w:left="504"/>
        <w:rPr>
          <w:rFonts w:hint="eastAsia" w:ascii="宋体" w:hAnsi="宋体" w:eastAsia="宋体" w:cs="宋体"/>
          <w:color w:val="auto"/>
          <w:spacing w:val="0"/>
          <w:szCs w:val="24"/>
        </w:rPr>
      </w:pPr>
      <w:r>
        <w:rPr>
          <w:rFonts w:hint="eastAsia" w:ascii="宋体" w:hAnsi="宋体" w:eastAsia="宋体" w:cs="宋体"/>
          <w:color w:val="auto"/>
          <w:spacing w:val="0"/>
          <w:szCs w:val="24"/>
        </w:rPr>
        <w:t>法定代表人：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（电子签章）</w:t>
      </w:r>
    </w:p>
    <w:p w14:paraId="34E9B6A9">
      <w:pPr>
        <w:pStyle w:val="3"/>
        <w:spacing w:line="220" w:lineRule="auto"/>
        <w:ind w:left="509"/>
        <w:rPr>
          <w:rFonts w:hint="eastAsia" w:ascii="宋体" w:hAnsi="宋体" w:eastAsia="宋体" w:cs="宋体"/>
          <w:color w:val="auto"/>
          <w:spacing w:val="0"/>
          <w:szCs w:val="24"/>
        </w:rPr>
      </w:pPr>
      <w:r>
        <w:rPr>
          <w:rFonts w:hint="eastAsia" w:ascii="宋体" w:hAnsi="宋体" w:eastAsia="宋体" w:cs="宋体"/>
          <w:color w:val="auto"/>
          <w:spacing w:val="0"/>
          <w:szCs w:val="24"/>
        </w:rPr>
        <w:t>身份证号码：</w:t>
      </w:r>
      <w:r>
        <w:rPr>
          <w:rFonts w:hint="eastAsia" w:ascii="宋体" w:hAnsi="宋体" w:eastAsia="宋体" w:cs="宋体"/>
          <w:color w:val="auto"/>
          <w:spacing w:val="0"/>
          <w:szCs w:val="24"/>
          <w:u w:val="single"/>
        </w:rPr>
        <w:t xml:space="preserve">            </w:t>
      </w:r>
    </w:p>
    <w:p w14:paraId="33229573">
      <w:pPr>
        <w:pStyle w:val="3"/>
        <w:spacing w:before="180"/>
        <w:ind w:left="502"/>
        <w:rPr>
          <w:rFonts w:hint="eastAsia" w:ascii="宋体" w:hAnsi="宋体" w:eastAsia="宋体" w:cs="宋体"/>
          <w:color w:val="auto"/>
          <w:spacing w:val="0"/>
          <w:szCs w:val="24"/>
        </w:rPr>
      </w:pPr>
      <w:r>
        <w:rPr>
          <w:rFonts w:hint="eastAsia" w:ascii="宋体" w:hAnsi="宋体" w:eastAsia="宋体" w:cs="宋体"/>
          <w:color w:val="auto"/>
          <w:spacing w:val="0"/>
          <w:szCs w:val="24"/>
        </w:rPr>
        <w:t>委托代理人：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（签字</w:t>
      </w:r>
      <w:r>
        <w:rPr>
          <w:rFonts w:hint="eastAsia" w:hAnsi="宋体" w:cs="宋体"/>
          <w:color w:val="auto"/>
          <w:spacing w:val="0"/>
          <w:szCs w:val="24"/>
          <w:lang w:val="en-US" w:eastAsia="zh-CN"/>
        </w:rPr>
        <w:t>或</w:t>
      </w:r>
      <w:r>
        <w:rPr>
          <w:rFonts w:hint="eastAsia" w:ascii="宋体" w:hAnsi="宋体" w:eastAsia="宋体" w:cs="宋体"/>
          <w:color w:val="auto"/>
          <w:spacing w:val="0"/>
          <w:szCs w:val="24"/>
        </w:rPr>
        <w:t>签法人章）</w:t>
      </w:r>
    </w:p>
    <w:p w14:paraId="7E345AA3">
      <w:pPr>
        <w:pStyle w:val="3"/>
        <w:spacing w:line="220" w:lineRule="auto"/>
        <w:ind w:left="509"/>
        <w:rPr>
          <w:rFonts w:hint="eastAsia" w:ascii="宋体" w:hAnsi="宋体" w:eastAsia="宋体" w:cs="宋体"/>
          <w:color w:val="auto"/>
          <w:spacing w:val="0"/>
          <w:szCs w:val="24"/>
        </w:rPr>
      </w:pPr>
      <w:r>
        <w:rPr>
          <w:rFonts w:hint="eastAsia" w:ascii="宋体" w:hAnsi="宋体" w:eastAsia="宋体" w:cs="宋体"/>
          <w:color w:val="auto"/>
          <w:spacing w:val="0"/>
          <w:szCs w:val="24"/>
        </w:rPr>
        <w:t>身份证号码：</w:t>
      </w:r>
      <w:r>
        <w:rPr>
          <w:rFonts w:hint="eastAsia" w:ascii="宋体" w:hAnsi="宋体" w:eastAsia="宋体" w:cs="宋体"/>
          <w:color w:val="auto"/>
          <w:spacing w:val="0"/>
          <w:szCs w:val="24"/>
          <w:u w:val="single"/>
        </w:rPr>
        <w:t xml:space="preserve">            </w:t>
      </w:r>
    </w:p>
    <w:p w14:paraId="1FF3D884">
      <w:pPr>
        <w:pStyle w:val="3"/>
        <w:spacing w:before="179" w:line="220" w:lineRule="auto"/>
        <w:ind w:left="544"/>
        <w:outlineLvl w:val="0"/>
        <w:rPr>
          <w:rFonts w:hint="eastAsia" w:ascii="宋体" w:hAnsi="宋体" w:eastAsia="宋体" w:cs="宋体"/>
          <w:color w:val="auto"/>
          <w:spacing w:val="0"/>
          <w:szCs w:val="24"/>
        </w:rPr>
      </w:pPr>
      <w:r>
        <w:rPr>
          <w:rFonts w:hint="eastAsia" w:ascii="宋体" w:hAnsi="宋体" w:eastAsia="宋体" w:cs="宋体"/>
          <w:color w:val="auto"/>
          <w:spacing w:val="0"/>
          <w:szCs w:val="24"/>
        </w:rPr>
        <w:t>日期：</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33BF1055">
      <w:pPr>
        <w:spacing w:line="220" w:lineRule="auto"/>
        <w:rPr>
          <w:rFonts w:hint="eastAsia" w:ascii="宋体" w:hAnsi="宋体" w:eastAsia="宋体" w:cs="宋体"/>
          <w:color w:val="auto"/>
          <w:spacing w:val="0"/>
          <w:sz w:val="24"/>
          <w:szCs w:val="24"/>
        </w:rPr>
        <w:sectPr>
          <w:footerReference r:id="rId15" w:type="default"/>
          <w:pgSz w:w="11905" w:h="16838"/>
          <w:pgMar w:top="1440" w:right="1440" w:bottom="1440" w:left="1440" w:header="0" w:footer="986" w:gutter="0"/>
          <w:pgNumType w:fmt="decimal"/>
          <w:cols w:space="720" w:num="1"/>
          <w:rtlGutter w:val="0"/>
          <w:docGrid w:linePitch="0" w:charSpace="0"/>
        </w:sectPr>
      </w:pPr>
    </w:p>
    <w:p w14:paraId="0CBF1D7C">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四、技术</w:t>
      </w:r>
      <w:r>
        <w:rPr>
          <w:rFonts w:hint="eastAsia" w:hAnsi="宋体" w:cs="宋体"/>
          <w:b/>
          <w:bCs/>
          <w:color w:val="auto"/>
          <w:spacing w:val="0"/>
          <w:sz w:val="32"/>
          <w:szCs w:val="32"/>
          <w:lang w:val="en-US" w:eastAsia="zh-CN"/>
        </w:rPr>
        <w:t>标</w:t>
      </w:r>
    </w:p>
    <w:p w14:paraId="4AE2BD97">
      <w:pPr>
        <w:pStyle w:val="4"/>
        <w:numPr>
          <w:ilvl w:val="0"/>
          <w:numId w:val="0"/>
        </w:numPr>
        <w:ind w:leftChars="10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（此项内容格式自拟，内容应包括但不限制于评分办法提到的内容。）</w:t>
      </w:r>
    </w:p>
    <w:p w14:paraId="0F4BB03C">
      <w:pPr>
        <w:spacing w:line="221" w:lineRule="auto"/>
        <w:rPr>
          <w:rFonts w:hint="eastAsia" w:ascii="宋体" w:hAnsi="宋体" w:eastAsia="宋体" w:cs="宋体"/>
          <w:color w:val="auto"/>
          <w:spacing w:val="0"/>
          <w:sz w:val="28"/>
          <w:szCs w:val="28"/>
        </w:rPr>
        <w:sectPr>
          <w:footerReference r:id="rId16" w:type="default"/>
          <w:pgSz w:w="11905" w:h="16838"/>
          <w:pgMar w:top="1440" w:right="1440" w:bottom="1440" w:left="1440" w:header="0" w:footer="986" w:gutter="0"/>
          <w:pgNumType w:fmt="decimal"/>
          <w:cols w:space="720" w:num="1"/>
          <w:rtlGutter w:val="0"/>
          <w:docGrid w:linePitch="0" w:charSpace="0"/>
        </w:sectPr>
      </w:pPr>
    </w:p>
    <w:p w14:paraId="37DB4EEA">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五、商务标</w:t>
      </w:r>
    </w:p>
    <w:p w14:paraId="19BF0DFB">
      <w:pPr>
        <w:spacing w:line="221" w:lineRule="auto"/>
        <w:rPr>
          <w:rFonts w:hint="eastAsia" w:ascii="宋体" w:hAnsi="宋体" w:eastAsia="宋体" w:cs="宋体"/>
          <w:color w:val="auto"/>
          <w:spacing w:val="0"/>
          <w:sz w:val="28"/>
          <w:szCs w:val="28"/>
        </w:rPr>
      </w:pPr>
    </w:p>
    <w:p w14:paraId="49F431AB">
      <w:pPr>
        <w:pStyle w:val="4"/>
        <w:numPr>
          <w:ilvl w:val="0"/>
          <w:numId w:val="0"/>
        </w:numPr>
        <w:ind w:leftChars="10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（此项内容格式自拟，内容应包括但不限制于评分办法提到的内容。）</w:t>
      </w:r>
    </w:p>
    <w:p w14:paraId="11B0EF3A">
      <w:pPr>
        <w:spacing w:line="221" w:lineRule="auto"/>
        <w:rPr>
          <w:rFonts w:hint="eastAsia" w:ascii="宋体" w:hAnsi="宋体" w:eastAsia="宋体" w:cs="宋体"/>
          <w:color w:val="auto"/>
          <w:spacing w:val="0"/>
          <w:sz w:val="28"/>
          <w:szCs w:val="28"/>
        </w:rPr>
        <w:sectPr>
          <w:footerReference r:id="rId17" w:type="default"/>
          <w:pgSz w:w="11905" w:h="16838"/>
          <w:pgMar w:top="1440" w:right="1440" w:bottom="1440" w:left="1440" w:header="0" w:footer="986" w:gutter="0"/>
          <w:pgNumType w:fmt="decimal"/>
          <w:cols w:space="720" w:num="1"/>
          <w:rtlGutter w:val="0"/>
          <w:docGrid w:linePitch="0" w:charSpace="0"/>
        </w:sectPr>
      </w:pPr>
    </w:p>
    <w:p w14:paraId="14EC200C">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六、资格审查资料</w:t>
      </w:r>
    </w:p>
    <w:p w14:paraId="61DD518C">
      <w:pPr>
        <w:pStyle w:val="3"/>
        <w:spacing w:before="289" w:line="220" w:lineRule="auto"/>
        <w:ind w:left="3177"/>
        <w:outlineLvl w:val="1"/>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（一）</w:t>
      </w:r>
      <w:r>
        <w:rPr>
          <w:rFonts w:hint="eastAsia" w:hAnsi="宋体" w:cs="宋体"/>
          <w:color w:val="auto"/>
          <w:spacing w:val="0"/>
          <w:sz w:val="28"/>
          <w:szCs w:val="28"/>
          <w:lang w:eastAsia="zh-CN"/>
        </w:rPr>
        <w:t>投标人</w:t>
      </w:r>
      <w:r>
        <w:rPr>
          <w:rFonts w:hint="eastAsia" w:ascii="宋体" w:hAnsi="宋体" w:eastAsia="宋体" w:cs="宋体"/>
          <w:color w:val="auto"/>
          <w:spacing w:val="0"/>
          <w:sz w:val="28"/>
          <w:szCs w:val="28"/>
        </w:rPr>
        <w:t>基本情况表</w:t>
      </w:r>
    </w:p>
    <w:p w14:paraId="27B56C28">
      <w:pPr>
        <w:spacing w:line="117" w:lineRule="exact"/>
        <w:rPr>
          <w:rFonts w:hint="eastAsia" w:ascii="宋体" w:hAnsi="宋体" w:eastAsia="宋体" w:cs="宋体"/>
          <w:color w:val="auto"/>
          <w:spacing w:val="0"/>
        </w:rPr>
      </w:pPr>
    </w:p>
    <w:tbl>
      <w:tblPr>
        <w:tblStyle w:val="17"/>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973"/>
        <w:gridCol w:w="1551"/>
        <w:gridCol w:w="1119"/>
        <w:gridCol w:w="1132"/>
        <w:gridCol w:w="235"/>
        <w:gridCol w:w="1679"/>
      </w:tblGrid>
      <w:tr w14:paraId="7E5D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12DBEB9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供应商名称</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2BFA1EA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07B1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2234EB1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注册地址</w:t>
            </w:r>
          </w:p>
        </w:tc>
        <w:tc>
          <w:tcPr>
            <w:tcW w:w="3643" w:type="dxa"/>
            <w:gridSpan w:val="3"/>
            <w:tcBorders>
              <w:top w:val="single" w:color="auto" w:sz="4" w:space="0"/>
              <w:left w:val="single" w:color="auto" w:sz="4" w:space="0"/>
              <w:bottom w:val="single" w:color="auto" w:sz="4" w:space="0"/>
              <w:right w:val="single" w:color="auto" w:sz="4" w:space="0"/>
            </w:tcBorders>
            <w:noWrap w:val="0"/>
            <w:vAlign w:val="center"/>
          </w:tcPr>
          <w:p w14:paraId="22388EB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79C5F03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邮政编码</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118F42C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5F31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31" w:type="dxa"/>
            <w:vMerge w:val="restart"/>
            <w:tcBorders>
              <w:top w:val="single" w:color="auto" w:sz="4" w:space="0"/>
              <w:left w:val="single" w:color="auto" w:sz="4" w:space="0"/>
              <w:bottom w:val="single" w:color="auto" w:sz="4" w:space="0"/>
              <w:right w:val="single" w:color="auto" w:sz="4" w:space="0"/>
            </w:tcBorders>
            <w:noWrap w:val="0"/>
            <w:vAlign w:val="center"/>
          </w:tcPr>
          <w:p w14:paraId="53B88F8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1BE140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联系人</w:t>
            </w:r>
          </w:p>
        </w:tc>
        <w:tc>
          <w:tcPr>
            <w:tcW w:w="2670" w:type="dxa"/>
            <w:gridSpan w:val="2"/>
            <w:tcBorders>
              <w:top w:val="single" w:color="auto" w:sz="4" w:space="0"/>
              <w:left w:val="single" w:color="auto" w:sz="4" w:space="0"/>
              <w:bottom w:val="single" w:color="auto" w:sz="4" w:space="0"/>
              <w:right w:val="single" w:color="auto" w:sz="4" w:space="0"/>
            </w:tcBorders>
            <w:noWrap w:val="0"/>
            <w:vAlign w:val="center"/>
          </w:tcPr>
          <w:p w14:paraId="2D2901C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65DA215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电话</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296024C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0D4F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731" w:type="dxa"/>
            <w:vMerge w:val="continue"/>
            <w:tcBorders>
              <w:top w:val="single" w:color="auto" w:sz="4" w:space="0"/>
              <w:left w:val="single" w:color="auto" w:sz="4" w:space="0"/>
              <w:bottom w:val="single" w:color="auto" w:sz="4" w:space="0"/>
              <w:right w:val="single" w:color="auto" w:sz="4" w:space="0"/>
            </w:tcBorders>
            <w:noWrap w:val="0"/>
            <w:vAlign w:val="center"/>
          </w:tcPr>
          <w:p w14:paraId="1BE97750">
            <w:pPr>
              <w:keepNext w:val="0"/>
              <w:keepLines w:val="0"/>
              <w:suppressLineNumbers w:val="0"/>
              <w:spacing w:before="0" w:beforeAutospacing="0" w:after="0" w:afterAutospacing="0"/>
              <w:ind w:left="0" w:right="0"/>
              <w:rPr>
                <w:rFonts w:hint="default" w:ascii="Times New Roman" w:hAnsi="Times New Roman" w:cs="Times New Roman"/>
                <w:color w:val="auto"/>
                <w:sz w:val="24"/>
                <w:szCs w:val="24"/>
                <w:highlight w:val="none"/>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2123E40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传真</w:t>
            </w:r>
          </w:p>
        </w:tc>
        <w:tc>
          <w:tcPr>
            <w:tcW w:w="2670" w:type="dxa"/>
            <w:gridSpan w:val="2"/>
            <w:tcBorders>
              <w:top w:val="single" w:color="auto" w:sz="4" w:space="0"/>
              <w:left w:val="single" w:color="auto" w:sz="4" w:space="0"/>
              <w:bottom w:val="single" w:color="auto" w:sz="4" w:space="0"/>
              <w:right w:val="single" w:color="auto" w:sz="4" w:space="0"/>
            </w:tcBorders>
            <w:noWrap w:val="0"/>
            <w:vAlign w:val="center"/>
          </w:tcPr>
          <w:p w14:paraId="2C48C6A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30102C4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网址</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20836C4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4DAD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3F6474F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组织结构</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26E70353">
            <w:pPr>
              <w:keepNext w:val="0"/>
              <w:keepLines w:val="0"/>
              <w:widowControl w:val="0"/>
              <w:suppressLineNumbers w:val="0"/>
              <w:tabs>
                <w:tab w:val="left" w:pos="4776"/>
              </w:tabs>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0239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16F088D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法定代表人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C014A9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姓名</w:t>
            </w:r>
          </w:p>
        </w:tc>
        <w:tc>
          <w:tcPr>
            <w:tcW w:w="2670" w:type="dxa"/>
            <w:gridSpan w:val="2"/>
            <w:tcBorders>
              <w:top w:val="single" w:color="auto" w:sz="4" w:space="0"/>
              <w:left w:val="single" w:color="auto" w:sz="4" w:space="0"/>
              <w:bottom w:val="single" w:color="auto" w:sz="4" w:space="0"/>
              <w:right w:val="single" w:color="auto" w:sz="4" w:space="0"/>
            </w:tcBorders>
            <w:noWrap w:val="0"/>
            <w:vAlign w:val="center"/>
          </w:tcPr>
          <w:p w14:paraId="3EC1F74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5DAACB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电话</w:t>
            </w:r>
          </w:p>
        </w:tc>
        <w:tc>
          <w:tcPr>
            <w:tcW w:w="1914" w:type="dxa"/>
            <w:gridSpan w:val="2"/>
            <w:tcBorders>
              <w:top w:val="single" w:color="auto" w:sz="4" w:space="0"/>
              <w:left w:val="single" w:color="auto" w:sz="4" w:space="0"/>
              <w:bottom w:val="single" w:color="auto" w:sz="4" w:space="0"/>
              <w:right w:val="single" w:color="auto" w:sz="4" w:space="0"/>
            </w:tcBorders>
            <w:noWrap w:val="0"/>
            <w:vAlign w:val="center"/>
          </w:tcPr>
          <w:p w14:paraId="26A7D1E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148C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179ABA8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成立时间</w:t>
            </w:r>
          </w:p>
        </w:tc>
        <w:tc>
          <w:tcPr>
            <w:tcW w:w="2524" w:type="dxa"/>
            <w:gridSpan w:val="2"/>
            <w:tcBorders>
              <w:top w:val="single" w:color="auto" w:sz="4" w:space="0"/>
              <w:left w:val="single" w:color="auto" w:sz="4" w:space="0"/>
              <w:bottom w:val="single" w:color="auto" w:sz="4" w:space="0"/>
              <w:right w:val="single" w:color="auto" w:sz="4" w:space="0"/>
            </w:tcBorders>
            <w:noWrap w:val="0"/>
            <w:vAlign w:val="center"/>
          </w:tcPr>
          <w:p w14:paraId="5DF8A64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4165" w:type="dxa"/>
            <w:gridSpan w:val="4"/>
            <w:tcBorders>
              <w:top w:val="single" w:color="auto" w:sz="4" w:space="0"/>
              <w:left w:val="single" w:color="auto" w:sz="4" w:space="0"/>
              <w:bottom w:val="single" w:color="auto" w:sz="4" w:space="0"/>
              <w:right w:val="single" w:color="auto" w:sz="4" w:space="0"/>
            </w:tcBorders>
            <w:noWrap w:val="0"/>
            <w:vAlign w:val="center"/>
          </w:tcPr>
          <w:p w14:paraId="7C8C82C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员工总人数：</w:t>
            </w:r>
          </w:p>
        </w:tc>
      </w:tr>
      <w:tr w14:paraId="59B1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557CCD8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营业执照号</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657270E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676A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3855018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注册资金</w:t>
            </w:r>
          </w:p>
        </w:tc>
        <w:tc>
          <w:tcPr>
            <w:tcW w:w="2524" w:type="dxa"/>
            <w:gridSpan w:val="2"/>
            <w:tcBorders>
              <w:top w:val="single" w:color="auto" w:sz="4" w:space="0"/>
              <w:left w:val="single" w:color="auto" w:sz="4" w:space="0"/>
              <w:bottom w:val="single" w:color="auto" w:sz="4" w:space="0"/>
              <w:right w:val="single" w:color="auto" w:sz="4" w:space="0"/>
            </w:tcBorders>
            <w:noWrap w:val="0"/>
            <w:vAlign w:val="center"/>
          </w:tcPr>
          <w:p w14:paraId="53FAADF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2251" w:type="dxa"/>
            <w:gridSpan w:val="2"/>
            <w:tcBorders>
              <w:top w:val="single" w:color="auto" w:sz="4" w:space="0"/>
              <w:left w:val="single" w:color="auto" w:sz="4" w:space="0"/>
              <w:bottom w:val="single" w:color="auto" w:sz="4" w:space="0"/>
              <w:right w:val="single" w:color="auto" w:sz="4" w:space="0"/>
            </w:tcBorders>
            <w:noWrap w:val="0"/>
            <w:vAlign w:val="center"/>
          </w:tcPr>
          <w:p w14:paraId="7FEC50F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开户银行</w:t>
            </w:r>
          </w:p>
        </w:tc>
        <w:tc>
          <w:tcPr>
            <w:tcW w:w="1914" w:type="dxa"/>
            <w:gridSpan w:val="2"/>
            <w:tcBorders>
              <w:top w:val="single" w:color="auto" w:sz="4" w:space="0"/>
              <w:left w:val="single" w:color="auto" w:sz="4" w:space="0"/>
              <w:bottom w:val="single" w:color="auto" w:sz="4" w:space="0"/>
              <w:right w:val="single" w:color="auto" w:sz="4" w:space="0"/>
            </w:tcBorders>
            <w:noWrap w:val="0"/>
            <w:vAlign w:val="center"/>
          </w:tcPr>
          <w:p w14:paraId="0C0A7D4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63E8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505B530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账号</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45E1E2C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710A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7269F7E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经营范围备注</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1E7781A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bl>
    <w:p w14:paraId="596569BC">
      <w:pPr>
        <w:rPr>
          <w:rFonts w:hint="eastAsia" w:ascii="宋体" w:hAnsi="宋体" w:eastAsia="宋体" w:cs="宋体"/>
          <w:color w:val="auto"/>
          <w:spacing w:val="0"/>
        </w:rPr>
      </w:pPr>
    </w:p>
    <w:p w14:paraId="10FD86FF">
      <w:pPr>
        <w:rPr>
          <w:rFonts w:ascii="宋体" w:hAnsi="宋体" w:cs="仿宋"/>
          <w:b/>
          <w:color w:val="auto"/>
          <w:sz w:val="24"/>
          <w:szCs w:val="24"/>
          <w:highlight w:val="none"/>
        </w:rPr>
      </w:pPr>
      <w:r>
        <w:rPr>
          <w:rFonts w:hint="eastAsia" w:ascii="宋体" w:hAnsi="宋体" w:cs="仿宋"/>
          <w:b/>
          <w:color w:val="auto"/>
          <w:sz w:val="24"/>
          <w:szCs w:val="24"/>
          <w:highlight w:val="none"/>
        </w:rPr>
        <w:t>注：此表后应附营业执照</w:t>
      </w:r>
      <w:r>
        <w:rPr>
          <w:rFonts w:hint="eastAsia" w:ascii="宋体" w:hAnsi="宋体" w:eastAsia="宋体" w:cs="仿宋"/>
          <w:b/>
          <w:color w:val="auto"/>
          <w:sz w:val="24"/>
          <w:szCs w:val="24"/>
          <w:highlight w:val="none"/>
          <w:lang w:eastAsia="zh-CN"/>
        </w:rPr>
        <w:t>、食品生产许可或食品经营许可证</w:t>
      </w:r>
      <w:r>
        <w:rPr>
          <w:rFonts w:hint="eastAsia" w:ascii="宋体" w:hAnsi="宋体" w:cs="仿宋"/>
          <w:b/>
          <w:color w:val="auto"/>
          <w:sz w:val="24"/>
          <w:szCs w:val="24"/>
          <w:highlight w:val="none"/>
        </w:rPr>
        <w:t>等企业证件。</w:t>
      </w:r>
    </w:p>
    <w:p w14:paraId="71C661CD">
      <w:pPr>
        <w:rPr>
          <w:rFonts w:hint="eastAsia" w:ascii="宋体" w:hAnsi="宋体" w:eastAsia="宋体" w:cs="宋体"/>
          <w:color w:val="auto"/>
          <w:spacing w:val="0"/>
          <w:szCs w:val="21"/>
        </w:rPr>
        <w:sectPr>
          <w:footerReference r:id="rId18" w:type="default"/>
          <w:pgSz w:w="11905" w:h="16838"/>
          <w:pgMar w:top="1440" w:right="1440" w:bottom="1440" w:left="1440" w:header="0" w:footer="986" w:gutter="0"/>
          <w:pgNumType w:fmt="decimal"/>
          <w:cols w:space="720" w:num="1"/>
          <w:rtlGutter w:val="0"/>
          <w:docGrid w:linePitch="0" w:charSpace="0"/>
        </w:sectPr>
      </w:pPr>
    </w:p>
    <w:p w14:paraId="3F270582">
      <w:pPr>
        <w:pStyle w:val="3"/>
        <w:spacing w:before="180" w:line="221" w:lineRule="auto"/>
        <w:ind w:left="3201"/>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（二）资格审查资料</w:t>
      </w:r>
    </w:p>
    <w:p w14:paraId="0CF89968">
      <w:pPr>
        <w:spacing w:line="221" w:lineRule="auto"/>
        <w:rPr>
          <w:rFonts w:hint="eastAsia" w:ascii="宋体" w:hAnsi="宋体" w:eastAsia="宋体" w:cs="宋体"/>
          <w:color w:val="auto"/>
          <w:spacing w:val="0"/>
          <w:sz w:val="28"/>
          <w:szCs w:val="28"/>
        </w:rPr>
        <w:sectPr>
          <w:footerReference r:id="rId19" w:type="default"/>
          <w:pgSz w:w="11905" w:h="16838"/>
          <w:pgMar w:top="1440" w:right="1440" w:bottom="1440" w:left="1440" w:header="0" w:footer="986" w:gutter="0"/>
          <w:pgNumType w:fmt="decimal"/>
          <w:cols w:space="720" w:num="1"/>
          <w:rtlGutter w:val="0"/>
          <w:docGrid w:linePitch="0" w:charSpace="0"/>
        </w:sectPr>
      </w:pPr>
    </w:p>
    <w:p w14:paraId="2FC44E43">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七、近年完成的类似项目情况表</w:t>
      </w:r>
    </w:p>
    <w:p w14:paraId="60E5FF07">
      <w:pPr>
        <w:spacing w:line="116" w:lineRule="exact"/>
        <w:rPr>
          <w:rFonts w:hint="eastAsia" w:ascii="宋体" w:hAnsi="宋体" w:eastAsia="宋体" w:cs="宋体"/>
          <w:color w:val="auto"/>
          <w:spacing w:val="0"/>
        </w:rPr>
      </w:pPr>
    </w:p>
    <w:tbl>
      <w:tblPr>
        <w:tblStyle w:val="17"/>
        <w:tblW w:w="89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3"/>
        <w:gridCol w:w="6630"/>
      </w:tblGrid>
      <w:tr w14:paraId="2189D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343" w:type="dxa"/>
            <w:noWrap w:val="0"/>
            <w:vAlign w:val="top"/>
          </w:tcPr>
          <w:p w14:paraId="767D2CC0">
            <w:pPr>
              <w:pStyle w:val="22"/>
              <w:spacing w:before="223" w:line="221" w:lineRule="auto"/>
              <w:ind w:left="701"/>
              <w:rPr>
                <w:rFonts w:hint="eastAsia" w:ascii="宋体" w:hAnsi="宋体" w:eastAsia="宋体" w:cs="宋体"/>
                <w:color w:val="auto"/>
                <w:spacing w:val="0"/>
              </w:rPr>
            </w:pPr>
            <w:r>
              <w:rPr>
                <w:rFonts w:hint="eastAsia" w:ascii="宋体" w:hAnsi="宋体" w:eastAsia="宋体" w:cs="宋体"/>
                <w:color w:val="auto"/>
                <w:spacing w:val="0"/>
              </w:rPr>
              <w:t>项目名称</w:t>
            </w:r>
          </w:p>
        </w:tc>
        <w:tc>
          <w:tcPr>
            <w:tcW w:w="6630" w:type="dxa"/>
            <w:noWrap w:val="0"/>
            <w:vAlign w:val="top"/>
          </w:tcPr>
          <w:p w14:paraId="41E8723B">
            <w:pPr>
              <w:rPr>
                <w:rFonts w:hint="eastAsia" w:ascii="宋体" w:hAnsi="宋体" w:eastAsia="宋体" w:cs="宋体"/>
                <w:color w:val="auto"/>
                <w:spacing w:val="0"/>
              </w:rPr>
            </w:pPr>
          </w:p>
        </w:tc>
      </w:tr>
      <w:tr w14:paraId="20A3E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343" w:type="dxa"/>
            <w:noWrap w:val="0"/>
            <w:vAlign w:val="top"/>
          </w:tcPr>
          <w:p w14:paraId="667F805B">
            <w:pPr>
              <w:pStyle w:val="22"/>
              <w:spacing w:before="206" w:line="221" w:lineRule="auto"/>
              <w:ind w:left="581"/>
              <w:rPr>
                <w:rFonts w:hint="eastAsia" w:ascii="宋体" w:hAnsi="宋体" w:eastAsia="宋体" w:cs="宋体"/>
                <w:color w:val="auto"/>
                <w:spacing w:val="0"/>
              </w:rPr>
            </w:pPr>
            <w:r>
              <w:rPr>
                <w:rFonts w:hint="eastAsia" w:ascii="宋体" w:hAnsi="宋体" w:eastAsia="宋体" w:cs="宋体"/>
                <w:color w:val="auto"/>
                <w:spacing w:val="0"/>
              </w:rPr>
              <w:t>项目所在地</w:t>
            </w:r>
          </w:p>
        </w:tc>
        <w:tc>
          <w:tcPr>
            <w:tcW w:w="6630" w:type="dxa"/>
            <w:noWrap w:val="0"/>
            <w:vAlign w:val="top"/>
          </w:tcPr>
          <w:p w14:paraId="55A68220">
            <w:pPr>
              <w:rPr>
                <w:rFonts w:hint="eastAsia" w:ascii="宋体" w:hAnsi="宋体" w:eastAsia="宋体" w:cs="宋体"/>
                <w:color w:val="auto"/>
                <w:spacing w:val="0"/>
              </w:rPr>
            </w:pPr>
          </w:p>
        </w:tc>
      </w:tr>
      <w:tr w14:paraId="55F2A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2343" w:type="dxa"/>
            <w:noWrap w:val="0"/>
            <w:vAlign w:val="top"/>
          </w:tcPr>
          <w:p w14:paraId="3D6AD74D">
            <w:pPr>
              <w:pStyle w:val="22"/>
              <w:spacing w:before="219" w:line="221" w:lineRule="auto"/>
              <w:ind w:left="581"/>
              <w:rPr>
                <w:rFonts w:hint="eastAsia" w:ascii="宋体" w:hAnsi="宋体" w:eastAsia="宋体" w:cs="宋体"/>
                <w:color w:val="auto"/>
                <w:spacing w:val="0"/>
              </w:rPr>
            </w:pPr>
            <w:r>
              <w:rPr>
                <w:rFonts w:hint="eastAsia" w:ascii="宋体" w:hAnsi="宋体" w:eastAsia="宋体" w:cs="宋体"/>
                <w:color w:val="auto"/>
                <w:spacing w:val="0"/>
              </w:rPr>
              <w:t>发包人名称</w:t>
            </w:r>
          </w:p>
        </w:tc>
        <w:tc>
          <w:tcPr>
            <w:tcW w:w="6630" w:type="dxa"/>
            <w:noWrap w:val="0"/>
            <w:vAlign w:val="top"/>
          </w:tcPr>
          <w:p w14:paraId="52EC80A4">
            <w:pPr>
              <w:rPr>
                <w:rFonts w:hint="eastAsia" w:ascii="宋体" w:hAnsi="宋体" w:eastAsia="宋体" w:cs="宋体"/>
                <w:color w:val="auto"/>
                <w:spacing w:val="0"/>
              </w:rPr>
            </w:pPr>
          </w:p>
        </w:tc>
      </w:tr>
      <w:tr w14:paraId="365A5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343" w:type="dxa"/>
            <w:noWrap w:val="0"/>
            <w:vAlign w:val="top"/>
          </w:tcPr>
          <w:p w14:paraId="39E33197">
            <w:pPr>
              <w:pStyle w:val="22"/>
              <w:spacing w:before="207" w:line="221" w:lineRule="auto"/>
              <w:ind w:left="581"/>
              <w:rPr>
                <w:rFonts w:hint="eastAsia" w:ascii="宋体" w:hAnsi="宋体" w:eastAsia="宋体" w:cs="宋体"/>
                <w:color w:val="auto"/>
                <w:spacing w:val="0"/>
              </w:rPr>
            </w:pPr>
            <w:r>
              <w:rPr>
                <w:rFonts w:hint="eastAsia" w:ascii="宋体" w:hAnsi="宋体" w:eastAsia="宋体" w:cs="宋体"/>
                <w:color w:val="auto"/>
                <w:spacing w:val="0"/>
              </w:rPr>
              <w:t>发包人地址</w:t>
            </w:r>
          </w:p>
        </w:tc>
        <w:tc>
          <w:tcPr>
            <w:tcW w:w="6630" w:type="dxa"/>
            <w:noWrap w:val="0"/>
            <w:vAlign w:val="top"/>
          </w:tcPr>
          <w:p w14:paraId="4E06EA2D">
            <w:pPr>
              <w:rPr>
                <w:rFonts w:hint="eastAsia" w:ascii="宋体" w:hAnsi="宋体" w:eastAsia="宋体" w:cs="宋体"/>
                <w:color w:val="auto"/>
                <w:spacing w:val="0"/>
              </w:rPr>
            </w:pPr>
          </w:p>
        </w:tc>
      </w:tr>
      <w:tr w14:paraId="7E780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2343" w:type="dxa"/>
            <w:noWrap w:val="0"/>
            <w:vAlign w:val="top"/>
          </w:tcPr>
          <w:p w14:paraId="4BB152A7">
            <w:pPr>
              <w:pStyle w:val="22"/>
              <w:spacing w:before="222" w:line="221" w:lineRule="auto"/>
              <w:ind w:left="581"/>
              <w:rPr>
                <w:rFonts w:hint="eastAsia" w:ascii="宋体" w:hAnsi="宋体" w:eastAsia="宋体" w:cs="宋体"/>
                <w:color w:val="auto"/>
                <w:spacing w:val="0"/>
              </w:rPr>
            </w:pPr>
            <w:r>
              <w:rPr>
                <w:rFonts w:hint="eastAsia" w:ascii="宋体" w:hAnsi="宋体" w:eastAsia="宋体" w:cs="宋体"/>
                <w:color w:val="auto"/>
                <w:spacing w:val="0"/>
              </w:rPr>
              <w:t>发包人电话</w:t>
            </w:r>
          </w:p>
        </w:tc>
        <w:tc>
          <w:tcPr>
            <w:tcW w:w="6630" w:type="dxa"/>
            <w:noWrap w:val="0"/>
            <w:vAlign w:val="top"/>
          </w:tcPr>
          <w:p w14:paraId="0D0EB9D1">
            <w:pPr>
              <w:rPr>
                <w:rFonts w:hint="eastAsia" w:ascii="宋体" w:hAnsi="宋体" w:eastAsia="宋体" w:cs="宋体"/>
                <w:color w:val="auto"/>
                <w:spacing w:val="0"/>
              </w:rPr>
            </w:pPr>
          </w:p>
        </w:tc>
      </w:tr>
      <w:tr w14:paraId="644F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343" w:type="dxa"/>
            <w:noWrap w:val="0"/>
            <w:vAlign w:val="top"/>
          </w:tcPr>
          <w:p w14:paraId="4803A843">
            <w:pPr>
              <w:pStyle w:val="22"/>
              <w:spacing w:before="210" w:line="219" w:lineRule="auto"/>
              <w:ind w:left="698"/>
              <w:rPr>
                <w:rFonts w:hint="eastAsia" w:ascii="宋体" w:hAnsi="宋体" w:eastAsia="宋体" w:cs="宋体"/>
                <w:color w:val="auto"/>
                <w:spacing w:val="0"/>
              </w:rPr>
            </w:pPr>
            <w:r>
              <w:rPr>
                <w:rFonts w:hint="eastAsia" w:ascii="宋体" w:hAnsi="宋体" w:eastAsia="宋体" w:cs="宋体"/>
                <w:color w:val="auto"/>
                <w:spacing w:val="0"/>
              </w:rPr>
              <w:t>合同价格</w:t>
            </w:r>
          </w:p>
        </w:tc>
        <w:tc>
          <w:tcPr>
            <w:tcW w:w="6630" w:type="dxa"/>
            <w:noWrap w:val="0"/>
            <w:vAlign w:val="top"/>
          </w:tcPr>
          <w:p w14:paraId="3747E2F5">
            <w:pPr>
              <w:rPr>
                <w:rFonts w:hint="eastAsia" w:ascii="宋体" w:hAnsi="宋体" w:eastAsia="宋体" w:cs="宋体"/>
                <w:color w:val="auto"/>
                <w:spacing w:val="0"/>
              </w:rPr>
            </w:pPr>
          </w:p>
        </w:tc>
      </w:tr>
      <w:tr w14:paraId="05C0C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343" w:type="dxa"/>
            <w:noWrap w:val="0"/>
            <w:vAlign w:val="top"/>
          </w:tcPr>
          <w:p w14:paraId="44B8B9A2">
            <w:pPr>
              <w:pStyle w:val="22"/>
              <w:spacing w:before="210" w:line="221" w:lineRule="auto"/>
              <w:ind w:left="698"/>
              <w:rPr>
                <w:rFonts w:hint="eastAsia" w:ascii="宋体" w:hAnsi="宋体" w:eastAsia="宋体" w:cs="宋体"/>
                <w:color w:val="auto"/>
                <w:spacing w:val="0"/>
              </w:rPr>
            </w:pPr>
            <w:r>
              <w:rPr>
                <w:rFonts w:hint="eastAsia" w:ascii="宋体" w:hAnsi="宋体" w:eastAsia="宋体" w:cs="宋体"/>
                <w:color w:val="auto"/>
                <w:spacing w:val="0"/>
              </w:rPr>
              <w:t>质量要求</w:t>
            </w:r>
          </w:p>
        </w:tc>
        <w:tc>
          <w:tcPr>
            <w:tcW w:w="6630" w:type="dxa"/>
            <w:noWrap w:val="0"/>
            <w:vAlign w:val="top"/>
          </w:tcPr>
          <w:p w14:paraId="07D4E71A">
            <w:pPr>
              <w:rPr>
                <w:rFonts w:hint="eastAsia" w:ascii="宋体" w:hAnsi="宋体" w:eastAsia="宋体" w:cs="宋体"/>
                <w:color w:val="auto"/>
                <w:spacing w:val="0"/>
              </w:rPr>
            </w:pPr>
          </w:p>
        </w:tc>
      </w:tr>
      <w:tr w14:paraId="7E58E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343" w:type="dxa"/>
            <w:noWrap w:val="0"/>
            <w:vAlign w:val="top"/>
          </w:tcPr>
          <w:p w14:paraId="2A918E3C">
            <w:pPr>
              <w:pStyle w:val="22"/>
              <w:spacing w:before="224" w:line="222" w:lineRule="auto"/>
              <w:ind w:left="940"/>
              <w:rPr>
                <w:rFonts w:hint="eastAsia" w:ascii="宋体" w:hAnsi="宋体" w:eastAsia="宋体" w:cs="宋体"/>
                <w:color w:val="auto"/>
                <w:spacing w:val="0"/>
              </w:rPr>
            </w:pPr>
            <w:r>
              <w:rPr>
                <w:rFonts w:hint="eastAsia" w:ascii="宋体" w:hAnsi="宋体" w:eastAsia="宋体" w:cs="宋体"/>
                <w:color w:val="auto"/>
                <w:spacing w:val="0"/>
              </w:rPr>
              <w:t>备注</w:t>
            </w:r>
          </w:p>
        </w:tc>
        <w:tc>
          <w:tcPr>
            <w:tcW w:w="6630" w:type="dxa"/>
            <w:noWrap w:val="0"/>
            <w:vAlign w:val="top"/>
          </w:tcPr>
          <w:p w14:paraId="109114B4">
            <w:pPr>
              <w:rPr>
                <w:rFonts w:hint="eastAsia" w:ascii="宋体" w:hAnsi="宋体" w:eastAsia="宋体" w:cs="宋体"/>
                <w:color w:val="auto"/>
                <w:spacing w:val="0"/>
              </w:rPr>
            </w:pPr>
          </w:p>
        </w:tc>
      </w:tr>
    </w:tbl>
    <w:p w14:paraId="14299F12">
      <w:pPr>
        <w:spacing w:line="251" w:lineRule="auto"/>
        <w:rPr>
          <w:rFonts w:hint="eastAsia" w:ascii="宋体" w:hAnsi="宋体" w:eastAsia="宋体" w:cs="宋体"/>
          <w:color w:val="auto"/>
          <w:spacing w:val="0"/>
        </w:rPr>
      </w:pPr>
    </w:p>
    <w:p w14:paraId="10D5805D">
      <w:pPr>
        <w:spacing w:line="251" w:lineRule="auto"/>
        <w:rPr>
          <w:rFonts w:hint="eastAsia" w:ascii="宋体" w:hAnsi="宋体" w:eastAsia="宋体" w:cs="宋体"/>
          <w:color w:val="auto"/>
          <w:spacing w:val="0"/>
        </w:rPr>
      </w:pPr>
    </w:p>
    <w:p w14:paraId="1CEFD9A4">
      <w:pPr>
        <w:pStyle w:val="3"/>
        <w:spacing w:before="78" w:line="220" w:lineRule="auto"/>
        <w:ind w:left="677"/>
        <w:rPr>
          <w:rFonts w:hint="eastAsia" w:ascii="宋体" w:hAnsi="宋体" w:eastAsia="宋体" w:cs="宋体"/>
          <w:color w:val="auto"/>
          <w:spacing w:val="0"/>
          <w:sz w:val="24"/>
          <w:szCs w:val="24"/>
        </w:rPr>
        <w:sectPr>
          <w:footerReference r:id="rId20" w:type="default"/>
          <w:pgSz w:w="11905" w:h="16838"/>
          <w:pgMar w:top="1440" w:right="1440" w:bottom="1440" w:left="1440" w:header="0" w:footer="986" w:gutter="0"/>
          <w:pgNumType w:fmt="decimal"/>
          <w:cols w:space="720" w:num="1"/>
          <w:rtlGutter w:val="0"/>
          <w:docGrid w:linePitch="0" w:charSpace="0"/>
        </w:sectPr>
      </w:pPr>
      <w:r>
        <w:rPr>
          <w:rFonts w:hint="eastAsia" w:ascii="宋体" w:hAnsi="宋体" w:eastAsia="宋体" w:cs="宋体"/>
          <w:color w:val="auto"/>
          <w:spacing w:val="0"/>
          <w:szCs w:val="24"/>
        </w:rPr>
        <w:t>备注：每张表格只填写一个项目，可标明序号及业绩类型。</w:t>
      </w:r>
    </w:p>
    <w:p w14:paraId="0ED3E203">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八、投标人应附的其它资料</w:t>
      </w:r>
    </w:p>
    <w:p w14:paraId="2368ED8A">
      <w:pPr>
        <w:widowControl/>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（投标人认为需要提供的相关资料）</w:t>
      </w:r>
    </w:p>
    <w:p w14:paraId="4DCFF1C7">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br w:type="page"/>
      </w:r>
    </w:p>
    <w:p w14:paraId="44783A9D">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宋体" w:hAnsi="宋体" w:eastAsia="宋体" w:cs="宋体"/>
          <w:b/>
          <w:color w:val="auto"/>
          <w:sz w:val="24"/>
          <w:szCs w:val="21"/>
          <w:lang w:val="en-US" w:eastAsia="zh-CN"/>
        </w:rPr>
      </w:pPr>
      <w:r>
        <w:rPr>
          <w:rFonts w:hint="eastAsia" w:ascii="宋体" w:hAnsi="宋体" w:eastAsia="宋体" w:cs="宋体"/>
          <w:b/>
          <w:color w:val="auto"/>
          <w:sz w:val="24"/>
          <w:szCs w:val="21"/>
          <w:lang w:val="en-US" w:eastAsia="zh-CN"/>
        </w:rPr>
        <w:t>附件1</w:t>
      </w:r>
    </w:p>
    <w:p w14:paraId="53D5DCF8">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1"/>
        </w:rPr>
        <w:t>中小企业声明函</w:t>
      </w:r>
      <w:bookmarkStart w:id="88" w:name="_Toc5242_WPSOffice_Level2"/>
      <w:bookmarkStart w:id="89" w:name="_Toc32209_WPSOffice_Level2"/>
      <w:bookmarkStart w:id="90" w:name="_Toc9571_WPSOffice_Level2"/>
      <w:r>
        <w:rPr>
          <w:rFonts w:hint="eastAsia" w:ascii="宋体" w:hAnsi="宋体" w:eastAsia="宋体" w:cs="宋体"/>
          <w:b/>
          <w:color w:val="auto"/>
          <w:sz w:val="24"/>
          <w:szCs w:val="21"/>
        </w:rPr>
        <w:t>（服务）</w:t>
      </w:r>
    </w:p>
    <w:p w14:paraId="322F114C">
      <w:pPr>
        <w:pStyle w:val="15"/>
        <w:keepNext w:val="0"/>
        <w:keepLines w:val="0"/>
        <w:pageBreakBefore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（属于中小微企业的填写，不属于的无需填写此项内容）</w:t>
      </w:r>
      <w:bookmarkEnd w:id="88"/>
      <w:bookmarkEnd w:id="89"/>
      <w:bookmarkEnd w:id="90"/>
    </w:p>
    <w:p w14:paraId="04A04CFB">
      <w:pPr>
        <w:rPr>
          <w:rFonts w:hint="eastAsia"/>
          <w:color w:val="auto"/>
        </w:rPr>
      </w:pPr>
    </w:p>
    <w:p w14:paraId="70E3A668">
      <w:pPr>
        <w:pStyle w:val="1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本公司（联合体）郑重声明，根据《政府采购促进中小企业发展管理办法》（财库（2020）46号）的规定，本公司（联合体）参加</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（单位名称）</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采购活动，服务全部由符合政策要求的中小企业承接。相关企业（含联合体中的中小企业、签订分包意向协议的中小企业）的具体情况如下：</w:t>
      </w:r>
    </w:p>
    <w:p w14:paraId="3941BE6E">
      <w:pPr>
        <w:pStyle w:val="1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；承建（承接）企业为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w:t>
      </w:r>
    </w:p>
    <w:p w14:paraId="3A57D122">
      <w:pPr>
        <w:pStyle w:val="15"/>
        <w:ind w:firstLine="84" w:firstLineChars="35"/>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3957FC9A">
      <w:pPr>
        <w:pStyle w:val="1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14:paraId="3F23972E">
      <w:pPr>
        <w:pStyle w:val="1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本企业对上述声明内容的真实性负责。如有虚假，将依法承担相应责任。</w:t>
      </w:r>
    </w:p>
    <w:p w14:paraId="34ECE083">
      <w:pPr>
        <w:pStyle w:val="15"/>
        <w:spacing w:line="500" w:lineRule="exact"/>
        <w:ind w:firstLine="480" w:firstLineChars="200"/>
        <w:rPr>
          <w:rFonts w:hint="eastAsia" w:ascii="宋体" w:hAnsi="宋体" w:eastAsia="宋体" w:cs="宋体"/>
          <w:color w:val="auto"/>
          <w:sz w:val="24"/>
          <w:szCs w:val="24"/>
        </w:rPr>
      </w:pPr>
    </w:p>
    <w:p w14:paraId="01C1D11D">
      <w:pPr>
        <w:pStyle w:val="15"/>
        <w:spacing w:line="500" w:lineRule="exact"/>
        <w:ind w:firstLine="480" w:firstLineChars="200"/>
        <w:jc w:val="right"/>
        <w:rPr>
          <w:rFonts w:hint="eastAsia" w:ascii="宋体" w:hAnsi="宋体" w:eastAsia="宋体" w:cs="宋体"/>
          <w:color w:val="auto"/>
          <w:sz w:val="24"/>
          <w:szCs w:val="24"/>
          <w:lang w:eastAsia="zh-CN"/>
        </w:rPr>
      </w:pPr>
    </w:p>
    <w:p w14:paraId="247AFAA3">
      <w:pPr>
        <w:pStyle w:val="15"/>
        <w:spacing w:line="500" w:lineRule="exact"/>
        <w:ind w:firstLine="480" w:firstLineChars="200"/>
        <w:jc w:val="righ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w:t>
      </w:r>
      <w:r>
        <w:rPr>
          <w:rFonts w:hint="eastAsia" w:ascii="宋体" w:hAnsi="宋体"/>
          <w:color w:val="auto"/>
          <w:kern w:val="2"/>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盖</w:t>
      </w:r>
      <w:r>
        <w:rPr>
          <w:rFonts w:hint="eastAsia" w:ascii="宋体" w:hAnsi="宋体" w:eastAsia="宋体" w:cs="宋体"/>
          <w:color w:val="auto"/>
          <w:sz w:val="24"/>
          <w:szCs w:val="24"/>
        </w:rPr>
        <w:t>章）</w:t>
      </w:r>
    </w:p>
    <w:p w14:paraId="62B29344">
      <w:pPr>
        <w:pStyle w:val="15"/>
        <w:spacing w:line="500" w:lineRule="exact"/>
        <w:ind w:firstLine="480"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日</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  月  日</w:t>
      </w:r>
    </w:p>
    <w:p w14:paraId="79B2B359">
      <w:pPr>
        <w:pStyle w:val="15"/>
        <w:spacing w:line="500" w:lineRule="exact"/>
        <w:ind w:left="0" w:leftChars="0" w:firstLine="0" w:firstLineChars="0"/>
        <w:rPr>
          <w:rFonts w:hint="eastAsia"/>
          <w:color w:val="auto"/>
        </w:rPr>
      </w:pPr>
      <w:r>
        <w:rPr>
          <w:rFonts w:hint="eastAsia" w:ascii="宋体" w:hAnsi="宋体" w:eastAsia="宋体" w:cs="宋体"/>
          <w:color w:val="auto"/>
          <w:sz w:val="24"/>
          <w:szCs w:val="24"/>
        </w:rPr>
        <w:t>注：从业人员、营业收入、资产总额填报上一年度数据，无上一年度数据的新成立企业可不填报。</w:t>
      </w:r>
    </w:p>
    <w:p w14:paraId="6690F918">
      <w:pPr>
        <w:pStyle w:val="3"/>
        <w:rPr>
          <w:rFonts w:hint="eastAsia"/>
          <w:color w:val="auto"/>
        </w:rPr>
      </w:pPr>
    </w:p>
    <w:p w14:paraId="22BBDDF0">
      <w:pPr>
        <w:pStyle w:val="4"/>
        <w:rPr>
          <w:rFonts w:hint="eastAsia"/>
          <w:color w:val="auto"/>
        </w:rPr>
      </w:pPr>
    </w:p>
    <w:p w14:paraId="1A09F754">
      <w:pPr>
        <w:pStyle w:val="4"/>
        <w:rPr>
          <w:rFonts w:hint="eastAsia"/>
          <w:color w:val="auto"/>
        </w:rPr>
      </w:pPr>
    </w:p>
    <w:p w14:paraId="16CBC84D">
      <w:pPr>
        <w:keepNext w:val="0"/>
        <w:keepLines w:val="0"/>
        <w:pageBreakBefore w:val="0"/>
        <w:kinsoku/>
        <w:wordWrap/>
        <w:overflowPunct/>
        <w:topLinePunct w:val="0"/>
        <w:autoSpaceDE/>
        <w:autoSpaceDN/>
        <w:bidi w:val="0"/>
        <w:adjustRightInd/>
        <w:snapToGrid/>
        <w:spacing w:line="600" w:lineRule="exact"/>
        <w:jc w:val="left"/>
        <w:textAlignment w:val="auto"/>
        <w:rPr>
          <w:rFonts w:hint="eastAsia" w:ascii="宋体" w:hAnsi="宋体" w:eastAsia="宋体" w:cs="宋体"/>
          <w:b/>
          <w:color w:val="auto"/>
          <w:sz w:val="24"/>
          <w:szCs w:val="21"/>
          <w:lang w:val="en-US" w:eastAsia="zh-CN"/>
        </w:rPr>
      </w:pPr>
    </w:p>
    <w:p w14:paraId="3336E17C">
      <w:pPr>
        <w:keepNext w:val="0"/>
        <w:keepLines w:val="0"/>
        <w:pageBreakBefore w:val="0"/>
        <w:kinsoku/>
        <w:wordWrap/>
        <w:overflowPunct/>
        <w:topLinePunct w:val="0"/>
        <w:autoSpaceDE/>
        <w:autoSpaceDN/>
        <w:bidi w:val="0"/>
        <w:adjustRightInd/>
        <w:snapToGrid/>
        <w:spacing w:line="600" w:lineRule="exact"/>
        <w:jc w:val="left"/>
        <w:textAlignment w:val="auto"/>
        <w:rPr>
          <w:rFonts w:hint="eastAsia" w:ascii="宋体" w:hAnsi="宋体" w:eastAsia="宋体" w:cs="宋体"/>
          <w:b w:val="0"/>
          <w:bCs w:val="0"/>
          <w:color w:val="auto"/>
          <w:sz w:val="28"/>
          <w:szCs w:val="20"/>
          <w:highlight w:val="none"/>
          <w:lang w:val="en-US" w:eastAsia="zh-CN" w:bidi="zh-CN"/>
        </w:rPr>
      </w:pPr>
      <w:r>
        <w:rPr>
          <w:rFonts w:hint="eastAsia" w:ascii="宋体" w:hAnsi="宋体" w:eastAsia="宋体" w:cs="宋体"/>
          <w:b/>
          <w:color w:val="auto"/>
          <w:sz w:val="24"/>
          <w:szCs w:val="21"/>
          <w:lang w:val="en-US" w:eastAsia="zh-CN"/>
        </w:rPr>
        <w:t>附件2</w:t>
      </w:r>
    </w:p>
    <w:p w14:paraId="43FE7F4D">
      <w:pPr>
        <w:pStyle w:val="10"/>
        <w:spacing w:line="500" w:lineRule="exact"/>
        <w:ind w:firstLine="3082" w:firstLineChars="1100"/>
        <w:jc w:val="both"/>
        <w:rPr>
          <w:rFonts w:hint="eastAsia" w:ascii="宋体" w:hAnsi="Calibri" w:eastAsia="Calibri" w:cs="宋体"/>
          <w:b/>
          <w:bCs/>
          <w:color w:val="auto"/>
          <w:kern w:val="0"/>
          <w:sz w:val="28"/>
          <w:szCs w:val="28"/>
          <w:highlight w:val="none"/>
          <w:lang w:val="en-US" w:eastAsia="en-US" w:bidi="ar-SA"/>
        </w:rPr>
      </w:pPr>
      <w:r>
        <w:rPr>
          <w:rFonts w:hint="eastAsia" w:ascii="宋体" w:hAnsi="Calibri" w:eastAsia="Calibri" w:cs="宋体"/>
          <w:b/>
          <w:bCs/>
          <w:color w:val="auto"/>
          <w:kern w:val="0"/>
          <w:sz w:val="28"/>
          <w:szCs w:val="28"/>
          <w:highlight w:val="none"/>
          <w:lang w:val="en-US" w:eastAsia="en-US" w:bidi="ar-SA"/>
        </w:rPr>
        <w:t>残疾人福利性单位声明函</w:t>
      </w:r>
    </w:p>
    <w:p w14:paraId="2AF477D2">
      <w:pPr>
        <w:pStyle w:val="10"/>
        <w:spacing w:line="500" w:lineRule="exact"/>
        <w:jc w:val="center"/>
        <w:rPr>
          <w:rFonts w:hint="eastAsia" w:cs="宋体"/>
          <w:color w:val="auto"/>
          <w:sz w:val="24"/>
          <w:szCs w:val="22"/>
          <w:highlight w:val="none"/>
          <w:lang w:val="en-US"/>
        </w:rPr>
      </w:pPr>
      <w:bookmarkStart w:id="91" w:name="_Toc13796_WPSOffice_Level2"/>
      <w:bookmarkStart w:id="92" w:name="_Toc21113_WPSOffice_Level2"/>
      <w:bookmarkStart w:id="93" w:name="_Toc18688"/>
      <w:bookmarkStart w:id="94" w:name="_Toc31670_WPSOffice_Level2"/>
      <w:bookmarkStart w:id="95" w:name="_Toc30155"/>
      <w:r>
        <w:rPr>
          <w:rFonts w:hint="eastAsia" w:cs="宋体"/>
          <w:color w:val="auto"/>
          <w:kern w:val="2"/>
          <w:sz w:val="24"/>
          <w:szCs w:val="24"/>
          <w:highlight w:val="none"/>
          <w:lang w:val="en-US" w:bidi="ar-SA"/>
        </w:rPr>
        <w:t>（属于残疾人福利性单位的填写，不属于的无需填写此项内容）</w:t>
      </w:r>
      <w:bookmarkEnd w:id="91"/>
      <w:bookmarkEnd w:id="92"/>
      <w:bookmarkEnd w:id="93"/>
      <w:bookmarkEnd w:id="94"/>
      <w:bookmarkEnd w:id="95"/>
    </w:p>
    <w:p w14:paraId="46C05BCD">
      <w:pPr>
        <w:spacing w:line="500" w:lineRule="exact"/>
        <w:ind w:firstLine="480" w:firstLineChars="200"/>
        <w:jc w:val="both"/>
        <w:rPr>
          <w:rFonts w:hint="eastAsia"/>
          <w:color w:val="auto"/>
          <w:kern w:val="2"/>
          <w:sz w:val="24"/>
          <w:highlight w:val="none"/>
          <w:lang w:val="en-US" w:bidi="ar"/>
        </w:rPr>
      </w:pPr>
    </w:p>
    <w:p w14:paraId="02E47B13">
      <w:pPr>
        <w:spacing w:line="500" w:lineRule="exact"/>
        <w:ind w:firstLine="480" w:firstLineChars="200"/>
        <w:jc w:val="both"/>
        <w:rPr>
          <w:rFonts w:hint="eastAsia"/>
          <w:color w:val="auto"/>
          <w:sz w:val="24"/>
          <w:highlight w:val="none"/>
          <w:lang w:val="en-US"/>
        </w:rPr>
      </w:pPr>
      <w:r>
        <w:rPr>
          <w:rFonts w:hint="eastAsia"/>
          <w:color w:val="auto"/>
          <w:kern w:val="2"/>
          <w:sz w:val="24"/>
          <w:highlight w:val="none"/>
          <w:lang w:val="en-US" w:bidi="ar"/>
        </w:rPr>
        <w:t>本单位郑重声明，根据《财政部 民政部 中国残疾人联合会关于促进残疾人就业政府采购政策的通知》（财库〔2017〕141 号）的规定，本单位为符合条件的残疾人福利性单位，且本单位参加</w:t>
      </w:r>
      <w:r>
        <w:rPr>
          <w:rFonts w:hint="eastAsia"/>
          <w:color w:val="auto"/>
          <w:kern w:val="2"/>
          <w:sz w:val="24"/>
          <w:highlight w:val="none"/>
          <w:u w:val="single"/>
          <w:lang w:val="en-US" w:bidi="ar"/>
        </w:rPr>
        <w:t xml:space="preserve">          </w:t>
      </w:r>
      <w:r>
        <w:rPr>
          <w:rFonts w:hint="eastAsia"/>
          <w:color w:val="auto"/>
          <w:kern w:val="2"/>
          <w:sz w:val="24"/>
          <w:highlight w:val="none"/>
          <w:lang w:val="en-US" w:bidi="ar"/>
        </w:rPr>
        <w:t>单位的</w:t>
      </w:r>
      <w:r>
        <w:rPr>
          <w:rFonts w:hint="eastAsia"/>
          <w:color w:val="auto"/>
          <w:kern w:val="2"/>
          <w:sz w:val="24"/>
          <w:highlight w:val="none"/>
          <w:u w:val="single"/>
          <w:lang w:val="en-US" w:bidi="ar"/>
        </w:rPr>
        <w:t xml:space="preserve">         </w:t>
      </w:r>
      <w:r>
        <w:rPr>
          <w:rFonts w:hint="eastAsia"/>
          <w:color w:val="auto"/>
          <w:kern w:val="2"/>
          <w:sz w:val="24"/>
          <w:highlight w:val="none"/>
          <w:lang w:val="en-US" w:bidi="ar"/>
        </w:rPr>
        <w:t>项目采购活动，提供本单位制造的货物（由本单位承担工程/提供服务），或者提供其他残疾人福利性单位制造的货物（不包括使用非残疾人福利性单位注册商标的货物）。</w:t>
      </w:r>
    </w:p>
    <w:p w14:paraId="55E860F4">
      <w:pPr>
        <w:spacing w:line="500" w:lineRule="exact"/>
        <w:ind w:firstLine="480" w:firstLineChars="200"/>
        <w:jc w:val="both"/>
        <w:rPr>
          <w:rFonts w:hint="eastAsia"/>
          <w:color w:val="auto"/>
          <w:sz w:val="24"/>
          <w:highlight w:val="none"/>
          <w:lang w:val="en-US"/>
        </w:rPr>
      </w:pPr>
      <w:r>
        <w:rPr>
          <w:rFonts w:hint="eastAsia"/>
          <w:color w:val="auto"/>
          <w:kern w:val="2"/>
          <w:sz w:val="24"/>
          <w:highlight w:val="none"/>
          <w:lang w:val="en-US" w:bidi="ar"/>
        </w:rPr>
        <w:t>本单位对上述声明的真实性负责。如有虚假，将依法承担相应责任。</w:t>
      </w:r>
    </w:p>
    <w:p w14:paraId="3C28B304">
      <w:pPr>
        <w:pStyle w:val="10"/>
        <w:rPr>
          <w:rFonts w:hint="eastAsia" w:cs="宋体"/>
          <w:color w:val="auto"/>
          <w:kern w:val="2"/>
          <w:sz w:val="24"/>
          <w:szCs w:val="24"/>
          <w:highlight w:val="none"/>
          <w:lang w:val="en-US" w:bidi="ar-SA"/>
        </w:rPr>
      </w:pPr>
    </w:p>
    <w:p w14:paraId="1DA9CED4">
      <w:pPr>
        <w:pStyle w:val="15"/>
        <w:spacing w:line="500" w:lineRule="exact"/>
        <w:ind w:firstLine="400" w:firstLineChars="200"/>
        <w:jc w:val="right"/>
        <w:rPr>
          <w:rFonts w:hint="eastAsia"/>
          <w:color w:val="auto"/>
          <w:kern w:val="2"/>
          <w:szCs w:val="24"/>
          <w:highlight w:val="none"/>
          <w:lang w:val="en-US" w:bidi="ar-SA"/>
        </w:rPr>
      </w:pPr>
      <w:r>
        <w:rPr>
          <w:rFonts w:hint="eastAsia"/>
          <w:color w:val="auto"/>
          <w:kern w:val="2"/>
          <w:szCs w:val="24"/>
          <w:highlight w:val="none"/>
          <w:lang w:val="en-US" w:bidi="ar-SA"/>
        </w:rPr>
        <w:t xml:space="preserve">    </w:t>
      </w:r>
    </w:p>
    <w:p w14:paraId="3D49D193">
      <w:pPr>
        <w:pStyle w:val="15"/>
        <w:spacing w:line="500" w:lineRule="exact"/>
        <w:ind w:firstLine="400" w:firstLineChars="200"/>
        <w:jc w:val="right"/>
        <w:rPr>
          <w:rFonts w:hint="eastAsia"/>
          <w:color w:val="auto"/>
          <w:kern w:val="2"/>
          <w:szCs w:val="24"/>
          <w:highlight w:val="none"/>
          <w:lang w:val="en-US" w:bidi="ar-SA"/>
        </w:rPr>
      </w:pPr>
    </w:p>
    <w:p w14:paraId="1CEB5A0A">
      <w:pPr>
        <w:pStyle w:val="15"/>
        <w:spacing w:line="500" w:lineRule="exact"/>
        <w:ind w:firstLine="480" w:firstLineChars="200"/>
        <w:jc w:val="right"/>
        <w:rPr>
          <w:rFonts w:hint="eastAsia"/>
          <w:color w:val="auto"/>
          <w:sz w:val="24"/>
          <w:szCs w:val="32"/>
          <w:highlight w:val="none"/>
        </w:rPr>
      </w:pPr>
      <w:r>
        <w:rPr>
          <w:rFonts w:hint="eastAsia"/>
          <w:color w:val="auto"/>
          <w:kern w:val="2"/>
          <w:sz w:val="24"/>
          <w:szCs w:val="32"/>
          <w:highlight w:val="none"/>
          <w:lang w:val="en-US" w:bidi="ar-SA"/>
        </w:rPr>
        <w:t xml:space="preserve"> 投标</w:t>
      </w:r>
      <w:r>
        <w:rPr>
          <w:rFonts w:hint="eastAsia"/>
          <w:color w:val="auto"/>
          <w:sz w:val="24"/>
          <w:szCs w:val="32"/>
          <w:highlight w:val="none"/>
        </w:rPr>
        <w:t>供应商：</w:t>
      </w:r>
      <w:r>
        <w:rPr>
          <w:rFonts w:hint="eastAsia"/>
          <w:color w:val="auto"/>
          <w:kern w:val="2"/>
          <w:sz w:val="24"/>
          <w:szCs w:val="32"/>
          <w:highlight w:val="none"/>
          <w:u w:val="single"/>
          <w:lang w:val="en-US"/>
        </w:rPr>
        <w:t xml:space="preserve">       </w:t>
      </w:r>
      <w:r>
        <w:rPr>
          <w:rFonts w:hint="eastAsia"/>
          <w:color w:val="auto"/>
          <w:sz w:val="24"/>
          <w:szCs w:val="32"/>
          <w:highlight w:val="none"/>
        </w:rPr>
        <w:t>（公章电子签章）</w:t>
      </w:r>
    </w:p>
    <w:p w14:paraId="44F508A5">
      <w:pPr>
        <w:pStyle w:val="15"/>
        <w:spacing w:line="500" w:lineRule="exact"/>
        <w:ind w:firstLine="480" w:firstLineChars="200"/>
        <w:jc w:val="center"/>
        <w:rPr>
          <w:rFonts w:hint="eastAsia"/>
          <w:color w:val="auto"/>
          <w:sz w:val="24"/>
          <w:szCs w:val="32"/>
          <w:highlight w:val="none"/>
        </w:rPr>
      </w:pPr>
      <w:r>
        <w:rPr>
          <w:rFonts w:hint="eastAsia"/>
          <w:color w:val="auto"/>
          <w:sz w:val="24"/>
          <w:szCs w:val="32"/>
          <w:highlight w:val="none"/>
          <w:lang w:val="en-US"/>
        </w:rPr>
        <w:t xml:space="preserve">                                   </w:t>
      </w:r>
      <w:r>
        <w:rPr>
          <w:rFonts w:hint="eastAsia"/>
          <w:color w:val="auto"/>
          <w:sz w:val="24"/>
          <w:szCs w:val="32"/>
          <w:highlight w:val="none"/>
        </w:rPr>
        <w:t>日</w:t>
      </w:r>
      <w:r>
        <w:rPr>
          <w:rFonts w:hint="eastAsia"/>
          <w:color w:val="auto"/>
          <w:sz w:val="24"/>
          <w:szCs w:val="32"/>
          <w:highlight w:val="none"/>
          <w:lang w:val="en-US"/>
        </w:rPr>
        <w:t xml:space="preserve">      </w:t>
      </w:r>
      <w:r>
        <w:rPr>
          <w:rFonts w:hint="eastAsia"/>
          <w:color w:val="auto"/>
          <w:sz w:val="24"/>
          <w:szCs w:val="32"/>
          <w:highlight w:val="none"/>
        </w:rPr>
        <w:t>期：</w:t>
      </w:r>
      <w:r>
        <w:rPr>
          <w:rFonts w:hint="eastAsia"/>
          <w:color w:val="auto"/>
          <w:sz w:val="24"/>
          <w:szCs w:val="32"/>
          <w:highlight w:val="none"/>
          <w:lang w:val="en-US"/>
        </w:rPr>
        <w:t xml:space="preserve">     </w:t>
      </w:r>
      <w:r>
        <w:rPr>
          <w:rFonts w:hint="eastAsia"/>
          <w:color w:val="auto"/>
          <w:sz w:val="24"/>
          <w:szCs w:val="32"/>
          <w:highlight w:val="none"/>
        </w:rPr>
        <w:t>年  月  日</w:t>
      </w:r>
    </w:p>
    <w:p w14:paraId="544C9830">
      <w:pPr>
        <w:widowControl/>
        <w:jc w:val="center"/>
        <w:rPr>
          <w:rFonts w:hint="default" w:ascii="宋体" w:hAnsi="宋体" w:eastAsia="宋体" w:cs="宋体"/>
          <w:b/>
          <w:bCs/>
          <w:color w:val="auto"/>
          <w:sz w:val="21"/>
          <w:szCs w:val="21"/>
          <w:highlight w:val="none"/>
          <w:lang w:val="en-US" w:eastAsia="zh-CN"/>
        </w:rPr>
      </w:pPr>
    </w:p>
    <w:p w14:paraId="5DA6D70D">
      <w:pPr>
        <w:pStyle w:val="10"/>
        <w:numPr>
          <w:ilvl w:val="0"/>
          <w:numId w:val="0"/>
        </w:numPr>
        <w:rPr>
          <w:rFonts w:hint="default" w:eastAsia="宋体"/>
          <w:color w:val="auto"/>
          <w:lang w:val="en-US" w:eastAsia="zh-CN"/>
        </w:rPr>
      </w:pPr>
    </w:p>
    <w:p w14:paraId="382B1B63">
      <w:pPr>
        <w:rPr>
          <w:color w:val="auto"/>
        </w:rPr>
      </w:pPr>
    </w:p>
    <w:sectPr>
      <w:footerReference r:id="rId21" w:type="default"/>
      <w:pgSz w:w="11905" w:h="16838"/>
      <w:pgMar w:top="1440" w:right="1440" w:bottom="1440" w:left="1440" w:header="0" w:footer="986" w:gutter="0"/>
      <w:pgNumType w:fmt="decimal"/>
      <w:cols w:space="72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FD9E5">
    <w:pPr>
      <w:pStyle w:val="8"/>
      <w:tabs>
        <w:tab w:val="center" w:pos="4320"/>
        <w:tab w:val="clear" w:pos="4153"/>
      </w:tabs>
      <w:ind w:firstLine="360"/>
      <w:jc w:val="both"/>
    </w:pPr>
    <w:r>
      <w:rPr>
        <w:rFonts w:hint="eastAsia"/>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FAC13">
    <w:pPr>
      <w:spacing w:line="176" w:lineRule="auto"/>
      <w:ind w:left="4084"/>
      <w:rPr>
        <w:rFonts w:eastAsia="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CBBB3C">
                          <w:pPr>
                            <w:pStyle w:val="8"/>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CCBBB3C">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39564">
    <w:pPr>
      <w:spacing w:line="176" w:lineRule="auto"/>
      <w:ind w:left="4084"/>
      <w:rPr>
        <w:rFonts w:eastAsia="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89F41">
                          <w:pPr>
                            <w:pStyle w:val="8"/>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4989F41">
                    <w:pPr>
                      <w:pStyle w:val="8"/>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31BA1">
    <w:pPr>
      <w:spacing w:line="176" w:lineRule="auto"/>
      <w:ind w:left="4080"/>
      <w:rPr>
        <w:rFonts w:eastAsia="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D5207">
                          <w:pPr>
                            <w:pStyle w:val="8"/>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DDD5207">
                    <w:pPr>
                      <w:pStyle w:val="8"/>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794F5">
    <w:pPr>
      <w:spacing w:line="176" w:lineRule="auto"/>
      <w:ind w:left="4617"/>
      <w:rPr>
        <w:rFonts w:eastAsia="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670BB">
                          <w:pPr>
                            <w:pStyle w:val="8"/>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04670BB">
                    <w:pPr>
                      <w:pStyle w:val="8"/>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90427">
    <w:pPr>
      <w:spacing w:line="176" w:lineRule="auto"/>
      <w:ind w:left="4080"/>
      <w:rPr>
        <w:rFonts w:eastAsia="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19347">
                          <w:pPr>
                            <w:pStyle w:val="8"/>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4919347">
                    <w:pPr>
                      <w:pStyle w:val="8"/>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65CC3">
    <w:pPr>
      <w:spacing w:line="176" w:lineRule="auto"/>
      <w:ind w:left="4250"/>
      <w:rPr>
        <w:rFonts w:eastAsia="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10812">
                          <w:pPr>
                            <w:pStyle w:val="8"/>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AD10812">
                    <w:pPr>
                      <w:pStyle w:val="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4182F">
    <w:pPr>
      <w:pStyle w:val="8"/>
      <w:jc w:val="center"/>
      <w:rPr>
        <w:rFonts w:ascii="宋体" w:hAnsi="宋体"/>
        <w:sz w:val="19"/>
        <w:szCs w:val="19"/>
      </w:rPr>
    </w:pPr>
    <w:r>
      <w:rPr>
        <w:sz w:val="19"/>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59329">
                          <w:pPr>
                            <w:pStyle w:val="8"/>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C859329">
                    <w:pPr>
                      <w:pStyle w:val="8"/>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FD7D2">
    <w:pPr>
      <w:pStyle w:val="8"/>
      <w:framePr w:wrap="around" w:vAnchor="text" w:hAnchor="margin" w:xAlign="center" w:y="1"/>
      <w:rPr>
        <w:rStyle w:val="21"/>
      </w:rPr>
    </w:pPr>
    <w:r>
      <w:fldChar w:fldCharType="begin"/>
    </w:r>
    <w:r>
      <w:rPr>
        <w:rStyle w:val="21"/>
      </w:rPr>
      <w:instrText xml:space="preserve">PAGE  </w:instrText>
    </w:r>
    <w:r>
      <w:fldChar w:fldCharType="separate"/>
    </w:r>
    <w:r>
      <w:fldChar w:fldCharType="end"/>
    </w:r>
  </w:p>
  <w:p w14:paraId="0097E996">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241E">
    <w:pPr>
      <w:pStyle w:val="8"/>
      <w:jc w:val="center"/>
      <w:rPr>
        <w:rFonts w:hint="eastAsia"/>
      </w:rPr>
    </w:pPr>
    <w:r>
      <w:rPr>
        <w:rFonts w:hint="eastAsia"/>
      </w:rPr>
      <w:t>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79959">
    <w:pPr>
      <w:pStyle w:val="8"/>
      <w:tabs>
        <w:tab w:val="center" w:pos="4320"/>
        <w:tab w:val="clear" w:pos="4153"/>
      </w:tabs>
      <w:ind w:firstLine="360"/>
      <w:jc w:val="both"/>
    </w:pP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9F0F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F245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81F2455">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E1D62">
    <w:pPr>
      <w:spacing w:line="176" w:lineRule="auto"/>
      <w:ind w:left="4084"/>
      <w:rPr>
        <w:rFonts w:eastAsia="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8477A">
                          <w:pPr>
                            <w:pStyle w:val="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E18477A">
                    <w:pPr>
                      <w:pStyle w:val="8"/>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C8255">
    <w:pPr>
      <w:spacing w:line="176" w:lineRule="auto"/>
      <w:ind w:left="4084"/>
      <w:rPr>
        <w:rFonts w:eastAsia="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AC947">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53AC947">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7F506">
    <w:pPr>
      <w:spacing w:line="176" w:lineRule="auto"/>
      <w:ind w:left="4084"/>
      <w:rPr>
        <w:rFonts w:eastAsia="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9A1D0">
                          <w:pPr>
                            <w:pStyle w:val="8"/>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E09A1D0">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2239B">
    <w:pPr>
      <w:spacing w:line="176" w:lineRule="auto"/>
      <w:ind w:left="4084"/>
      <w:rPr>
        <w:rFonts w:eastAsia="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D8831">
                          <w:pPr>
                            <w:pStyle w:val="8"/>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B2D8831">
                    <w:pPr>
                      <w:pStyle w:val="8"/>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5DFA7">
    <w:pPr>
      <w:spacing w:before="120" w:beforeLines="50" w:after="120" w:afterLines="50"/>
      <w:ind w:firstLine="420" w:firstLineChars="200"/>
      <w:rPr>
        <w:rFonts w:hint="eastAsia" w:asci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201EF"/>
    <w:multiLevelType w:val="singleLevel"/>
    <w:tmpl w:val="E14201EF"/>
    <w:lvl w:ilvl="0" w:tentative="0">
      <w:start w:val="1"/>
      <w:numFmt w:val="decimal"/>
      <w:suff w:val="nothing"/>
      <w:lvlText w:val="%1、"/>
      <w:lvlJc w:val="left"/>
    </w:lvl>
  </w:abstractNum>
  <w:abstractNum w:abstractNumId="1">
    <w:nsid w:val="0FACA99A"/>
    <w:multiLevelType w:val="singleLevel"/>
    <w:tmpl w:val="0FACA99A"/>
    <w:lvl w:ilvl="0" w:tentative="0">
      <w:start w:val="1"/>
      <w:numFmt w:val="chineseCounting"/>
      <w:suff w:val="nothing"/>
      <w:lvlText w:val="%1、"/>
      <w:lvlJc w:val="left"/>
      <w:rPr>
        <w:rFonts w:hint="eastAsia"/>
      </w:rPr>
    </w:lvl>
  </w:abstractNum>
  <w:abstractNum w:abstractNumId="2">
    <w:nsid w:val="2EEC4B40"/>
    <w:multiLevelType w:val="singleLevel"/>
    <w:tmpl w:val="2EEC4B40"/>
    <w:lvl w:ilvl="0" w:tentative="0">
      <w:start w:val="1"/>
      <w:numFmt w:val="decimal"/>
      <w:suff w:val="nothing"/>
      <w:lvlText w:val="%1、"/>
      <w:lvlJc w:val="left"/>
    </w:lvl>
  </w:abstractNum>
  <w:abstractNum w:abstractNumId="3">
    <w:nsid w:val="4F3FF634"/>
    <w:multiLevelType w:val="singleLevel"/>
    <w:tmpl w:val="4F3FF634"/>
    <w:lvl w:ilvl="0" w:tentative="0">
      <w:start w:val="2"/>
      <w:numFmt w:val="decimal"/>
      <w:lvlText w:val="%1."/>
      <w:lvlJc w:val="left"/>
      <w:pPr>
        <w:tabs>
          <w:tab w:val="left" w:pos="312"/>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UBzQup86g4Aidx661iUbQdAf3A=" w:salt="rcwfVoEcqiZrzPkBHVwGvA=="/>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BC6476"/>
    <w:rsid w:val="01470E0B"/>
    <w:rsid w:val="03352D1A"/>
    <w:rsid w:val="047742CE"/>
    <w:rsid w:val="05465FAD"/>
    <w:rsid w:val="055B0860"/>
    <w:rsid w:val="058F7CA1"/>
    <w:rsid w:val="05F11B6D"/>
    <w:rsid w:val="07211951"/>
    <w:rsid w:val="088A1415"/>
    <w:rsid w:val="08EE1303"/>
    <w:rsid w:val="09F31A48"/>
    <w:rsid w:val="0DC87621"/>
    <w:rsid w:val="0E88245D"/>
    <w:rsid w:val="1100659C"/>
    <w:rsid w:val="120A23E2"/>
    <w:rsid w:val="122B3102"/>
    <w:rsid w:val="12E87ABB"/>
    <w:rsid w:val="14157276"/>
    <w:rsid w:val="148166BA"/>
    <w:rsid w:val="14F52AEE"/>
    <w:rsid w:val="159A0E7A"/>
    <w:rsid w:val="15C97968"/>
    <w:rsid w:val="16F753EC"/>
    <w:rsid w:val="18631D3C"/>
    <w:rsid w:val="19C447A6"/>
    <w:rsid w:val="1C22234B"/>
    <w:rsid w:val="1DD77B25"/>
    <w:rsid w:val="1FB922B6"/>
    <w:rsid w:val="201A3A01"/>
    <w:rsid w:val="22AC176E"/>
    <w:rsid w:val="23217AF4"/>
    <w:rsid w:val="23BC6476"/>
    <w:rsid w:val="24636CE7"/>
    <w:rsid w:val="26A94BC6"/>
    <w:rsid w:val="27BC5F2F"/>
    <w:rsid w:val="29F539C6"/>
    <w:rsid w:val="2A1C2FFB"/>
    <w:rsid w:val="2A205862"/>
    <w:rsid w:val="2C6E283F"/>
    <w:rsid w:val="2DDF099C"/>
    <w:rsid w:val="2DEA4F24"/>
    <w:rsid w:val="2E5B431F"/>
    <w:rsid w:val="30185F3E"/>
    <w:rsid w:val="30221DFE"/>
    <w:rsid w:val="31097D0B"/>
    <w:rsid w:val="3155119F"/>
    <w:rsid w:val="324E7D5F"/>
    <w:rsid w:val="39411F3B"/>
    <w:rsid w:val="3AB02FA5"/>
    <w:rsid w:val="3B4A01CA"/>
    <w:rsid w:val="3B564B5A"/>
    <w:rsid w:val="3B92236F"/>
    <w:rsid w:val="3D9E46E1"/>
    <w:rsid w:val="3E027A45"/>
    <w:rsid w:val="3E6F5651"/>
    <w:rsid w:val="3ED7211E"/>
    <w:rsid w:val="3FD947CD"/>
    <w:rsid w:val="41A41AB6"/>
    <w:rsid w:val="439E42E3"/>
    <w:rsid w:val="4488049C"/>
    <w:rsid w:val="449373DE"/>
    <w:rsid w:val="47322354"/>
    <w:rsid w:val="47CB540F"/>
    <w:rsid w:val="486A0C38"/>
    <w:rsid w:val="49981337"/>
    <w:rsid w:val="4A1E2A29"/>
    <w:rsid w:val="4A872512"/>
    <w:rsid w:val="4E550E6D"/>
    <w:rsid w:val="4EDD5CDE"/>
    <w:rsid w:val="51B83109"/>
    <w:rsid w:val="54FF433E"/>
    <w:rsid w:val="552B56A1"/>
    <w:rsid w:val="562F4854"/>
    <w:rsid w:val="56FD4815"/>
    <w:rsid w:val="57572CCF"/>
    <w:rsid w:val="58601BB3"/>
    <w:rsid w:val="5A9118FE"/>
    <w:rsid w:val="5E632914"/>
    <w:rsid w:val="5EAF519E"/>
    <w:rsid w:val="5EBC3E14"/>
    <w:rsid w:val="619A6198"/>
    <w:rsid w:val="62183C9E"/>
    <w:rsid w:val="62522A10"/>
    <w:rsid w:val="64004658"/>
    <w:rsid w:val="67F1641A"/>
    <w:rsid w:val="690436E5"/>
    <w:rsid w:val="6B0753E4"/>
    <w:rsid w:val="6BAB49B3"/>
    <w:rsid w:val="6D983849"/>
    <w:rsid w:val="6E93434E"/>
    <w:rsid w:val="70E11BD6"/>
    <w:rsid w:val="71EC5A32"/>
    <w:rsid w:val="723E08BB"/>
    <w:rsid w:val="76E25292"/>
    <w:rsid w:val="76FD6408"/>
    <w:rsid w:val="78104AA8"/>
    <w:rsid w:val="78C807D6"/>
    <w:rsid w:val="79247B13"/>
    <w:rsid w:val="7B2A48FF"/>
    <w:rsid w:val="7B491472"/>
    <w:rsid w:val="7B537BA0"/>
    <w:rsid w:val="7B8D6816"/>
    <w:rsid w:val="7CF5706A"/>
    <w:rsid w:val="7DE2720E"/>
    <w:rsid w:val="7F0D28E1"/>
    <w:rsid w:val="7F9C09BE"/>
    <w:rsid w:val="7FA91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widowControl/>
      <w:jc w:val="left"/>
    </w:pPr>
    <w:rPr>
      <w:rFonts w:ascii="宋体" w:hAnsi="Times New Roman" w:eastAsia="宋体" w:cs="Times New Roman"/>
      <w:kern w:val="0"/>
      <w:sz w:val="24"/>
      <w:szCs w:val="20"/>
    </w:rPr>
  </w:style>
  <w:style w:type="paragraph" w:customStyle="1" w:styleId="4">
    <w:name w:val="Default"/>
    <w:basedOn w:val="5"/>
    <w:qFormat/>
    <w:uiPriority w:val="0"/>
    <w:pPr>
      <w:widowControl w:val="0"/>
      <w:tabs>
        <w:tab w:val="right" w:leader="dot" w:pos="9345"/>
      </w:tabs>
      <w:autoSpaceDE w:val="0"/>
      <w:autoSpaceDN w:val="0"/>
      <w:adjustRightInd w:val="0"/>
    </w:pPr>
    <w:rPr>
      <w:rFonts w:ascii="宋体" w:eastAsia="微软雅黑"/>
      <w:color w:val="000000"/>
      <w:sz w:val="24"/>
      <w:szCs w:val="24"/>
      <w:lang w:val="en-US" w:eastAsia="zh-CN" w:bidi="ar-SA"/>
    </w:rPr>
  </w:style>
  <w:style w:type="paragraph" w:styleId="5">
    <w:name w:val="Plain Text"/>
    <w:basedOn w:val="1"/>
    <w:next w:val="3"/>
    <w:qFormat/>
    <w:uiPriority w:val="99"/>
    <w:pPr>
      <w:spacing w:line="240" w:lineRule="auto"/>
    </w:pPr>
    <w:rPr>
      <w:rFonts w:ascii="宋体" w:hAnsi="Courier New" w:eastAsia="宋体" w:cs="Times New Roman"/>
      <w:szCs w:val="20"/>
    </w:rPr>
  </w:style>
  <w:style w:type="paragraph" w:styleId="6">
    <w:name w:val="Body Text Indent"/>
    <w:basedOn w:val="1"/>
    <w:next w:val="7"/>
    <w:qFormat/>
    <w:uiPriority w:val="99"/>
    <w:pPr>
      <w:widowControl/>
      <w:spacing w:after="120" w:line="240" w:lineRule="auto"/>
      <w:ind w:left="420" w:leftChars="200"/>
      <w:jc w:val="left"/>
    </w:pPr>
    <w:rPr>
      <w:rFonts w:ascii="Times New Roman" w:hAnsi="Times New Roman" w:eastAsia="宋体" w:cs="Times New Roman"/>
      <w:kern w:val="0"/>
      <w:sz w:val="20"/>
      <w:szCs w:val="20"/>
    </w:rPr>
  </w:style>
  <w:style w:type="paragraph" w:styleId="7">
    <w:name w:val="envelope return"/>
    <w:basedOn w:val="1"/>
    <w:qFormat/>
    <w:uiPriority w:val="0"/>
    <w:pPr>
      <w:snapToGrid w:val="0"/>
    </w:pPr>
    <w:rPr>
      <w:rFonts w:ascii="Arial" w:hAnsi="Arial"/>
    </w:rPr>
  </w:style>
  <w:style w:type="paragraph" w:styleId="8">
    <w:name w:val="footer"/>
    <w:basedOn w:val="1"/>
    <w:qFormat/>
    <w:uiPriority w:val="99"/>
    <w:pPr>
      <w:widowControl/>
      <w:tabs>
        <w:tab w:val="center" w:pos="4153"/>
        <w:tab w:val="right" w:pos="8306"/>
      </w:tabs>
      <w:snapToGrid w:val="0"/>
      <w:spacing w:line="240" w:lineRule="auto"/>
      <w:jc w:val="left"/>
    </w:pPr>
    <w:rPr>
      <w:rFonts w:ascii="Times New Roman" w:hAnsi="Times New Roman" w:eastAsia="宋体" w:cs="Times New Roman"/>
      <w:kern w:val="0"/>
      <w:sz w:val="18"/>
      <w:szCs w:val="20"/>
    </w:rPr>
  </w:style>
  <w:style w:type="paragraph" w:styleId="9">
    <w:name w:val="toc 2"/>
    <w:basedOn w:val="1"/>
    <w:next w:val="1"/>
    <w:qFormat/>
    <w:uiPriority w:val="39"/>
    <w:pPr>
      <w:tabs>
        <w:tab w:val="right" w:leader="dot" w:pos="9345"/>
      </w:tabs>
      <w:spacing w:line="440" w:lineRule="exact"/>
      <w:ind w:left="198" w:firstLine="768" w:firstLineChars="320"/>
      <w:jc w:val="left"/>
    </w:pPr>
    <w:rPr>
      <w:rFonts w:ascii="Times New Roman" w:hAnsi="Times New Roman" w:eastAsia="宋体" w:cs="Times New Roman"/>
      <w:smallCaps/>
      <w:kern w:val="0"/>
      <w:sz w:val="20"/>
      <w:szCs w:val="20"/>
    </w:rPr>
  </w:style>
  <w:style w:type="paragraph" w:styleId="10">
    <w:name w:val="Body Text 2"/>
    <w:basedOn w:val="1"/>
    <w:next w:val="3"/>
    <w:qFormat/>
    <w:uiPriority w:val="99"/>
    <w:pPr>
      <w:spacing w:after="120" w:line="480" w:lineRule="auto"/>
    </w:pPr>
    <w:rPr>
      <w:rFonts w:ascii="Times New Roman" w:hAnsi="Times New Roman" w:eastAsia="宋体" w:cs="Times New Roman"/>
      <w:szCs w:val="24"/>
    </w:rPr>
  </w:style>
  <w:style w:type="paragraph" w:styleId="11">
    <w:name w:val="Message Header"/>
    <w:basedOn w:val="1"/>
    <w:next w:val="12"/>
    <w:unhideWhenUsed/>
    <w:qFormat/>
    <w:uiPriority w:val="99"/>
    <w:pPr>
      <w:widowControl/>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line="240" w:lineRule="auto"/>
      <w:ind w:left="1080" w:leftChars="500" w:hanging="1080" w:hangingChars="500"/>
      <w:jc w:val="left"/>
    </w:pPr>
    <w:rPr>
      <w:rFonts w:ascii="Cambria" w:hAnsi="Cambria" w:eastAsia="宋体" w:cs="Times New Roman"/>
      <w:kern w:val="0"/>
      <w:sz w:val="24"/>
      <w:szCs w:val="20"/>
    </w:rPr>
  </w:style>
  <w:style w:type="paragraph" w:customStyle="1" w:styleId="12">
    <w:name w:val="我的正文"/>
    <w:basedOn w:val="6"/>
    <w:qFormat/>
    <w:uiPriority w:val="0"/>
    <w:pPr>
      <w:ind w:firstLine="480" w:firstLineChars="200"/>
    </w:pPr>
    <w:rPr>
      <w:szCs w:val="20"/>
    </w:rPr>
  </w:style>
  <w:style w:type="paragraph" w:styleId="13">
    <w:name w:val="Normal (Web)"/>
    <w:basedOn w:val="1"/>
    <w:qFormat/>
    <w:uiPriority w:val="0"/>
    <w:rPr>
      <w:sz w:val="24"/>
      <w:lang w:eastAsia="zh-CN"/>
    </w:rPr>
  </w:style>
  <w:style w:type="paragraph" w:styleId="14">
    <w:name w:val="Title"/>
    <w:basedOn w:val="9"/>
    <w:next w:val="1"/>
    <w:qFormat/>
    <w:uiPriority w:val="0"/>
    <w:pPr>
      <w:widowControl/>
      <w:spacing w:before="240" w:after="60" w:line="240" w:lineRule="auto"/>
      <w:jc w:val="center"/>
      <w:outlineLvl w:val="0"/>
    </w:pPr>
    <w:rPr>
      <w:rFonts w:ascii="Cambria" w:hAnsi="Cambria" w:eastAsia="宋体" w:cs="Times New Roman"/>
      <w:b/>
      <w:bCs/>
      <w:kern w:val="0"/>
      <w:sz w:val="32"/>
      <w:szCs w:val="32"/>
    </w:rPr>
  </w:style>
  <w:style w:type="paragraph" w:styleId="15">
    <w:name w:val="Body Text First Indent"/>
    <w:basedOn w:val="3"/>
    <w:next w:val="1"/>
    <w:unhideWhenUsed/>
    <w:qFormat/>
    <w:uiPriority w:val="0"/>
    <w:pPr>
      <w:widowControl/>
      <w:spacing w:after="120" w:line="240" w:lineRule="auto"/>
      <w:ind w:firstLine="420" w:firstLineChars="100"/>
      <w:jc w:val="left"/>
    </w:pPr>
    <w:rPr>
      <w:rFonts w:ascii="Times New Roman" w:hAnsi="Times New Roman" w:eastAsia="宋体" w:cs="Times New Roman"/>
      <w:kern w:val="0"/>
      <w:sz w:val="20"/>
      <w:szCs w:val="20"/>
    </w:rPr>
  </w:style>
  <w:style w:type="paragraph" w:styleId="16">
    <w:name w:val="Body Text First Indent 2"/>
    <w:basedOn w:val="6"/>
    <w:next w:val="1"/>
    <w:qFormat/>
    <w:uiPriority w:val="0"/>
    <w:pPr>
      <w:widowControl/>
      <w:spacing w:before="100" w:beforeAutospacing="1" w:after="120"/>
      <w:ind w:left="420" w:firstLine="420"/>
      <w:jc w:val="left"/>
    </w:pPr>
    <w:rPr>
      <w:rFonts w:ascii="Times New Roman" w:hAnsi="Times New Roman" w:eastAsia="Arial Unicode MS" w:cs="Times New Roman"/>
      <w:color w:val="000000"/>
      <w:kern w:val="0"/>
      <w:sz w:val="20"/>
      <w:szCs w:val="20"/>
    </w:rPr>
  </w:style>
  <w:style w:type="table" w:styleId="18">
    <w:name w:val="Table Grid"/>
    <w:basedOn w:val="17"/>
    <w:qFormat/>
    <w:uiPriority w:val="99"/>
    <w:pPr>
      <w:widowControl w:val="0"/>
      <w:spacing w:line="240" w:lineRule="auto"/>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vanish/>
      <w:color w:val="FFFFFF"/>
      <w:bdr w:val="single" w:color="76C0E3" w:sz="6" w:space="0"/>
      <w:shd w:val="clear" w:color="auto" w:fill="76C0E3"/>
      <w:vertAlign w:val="baseline"/>
    </w:rPr>
  </w:style>
  <w:style w:type="character" w:styleId="21">
    <w:name w:val="page number"/>
    <w:qFormat/>
    <w:uiPriority w:val="99"/>
    <w:rPr>
      <w:rFonts w:cs="Times New Roman"/>
    </w:rPr>
  </w:style>
  <w:style w:type="paragraph" w:customStyle="1" w:styleId="22">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30441</Words>
  <Characters>33105</Characters>
  <Lines>0</Lines>
  <Paragraphs>0</Paragraphs>
  <TotalTime>15</TotalTime>
  <ScaleCrop>false</ScaleCrop>
  <LinksUpToDate>false</LinksUpToDate>
  <CharactersWithSpaces>33806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2026-06-13T07:57:00Z</dcterms:created>
  <dc:creator>Administrator</dc:creator>
  <cp:lastModifiedBy>Administrator</cp:lastModifiedBy>
  <cp:lastPrinted>2026-07-30T03:51:00Z</cp:lastPrinted>
  <dcterms:modified xsi:type="dcterms:W3CDTF">2026-07-30T09:43:59Z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5FEE63D12CE14A85934DEAC732BF79F6_13</vt:lpwstr>
  </property>
  <property fmtid="{D5CDD505-2E9C-101B-9397-08002B2CF9AE}" pid="4" name="KSOTemplateDocerSaveRecord">
    <vt:lpwstr>eyJoZGlkIjoiZTU4ZWMyZjliNWJhNjcyMTIzM2Y0NjA2MjMxYzYzM2IiLCJ1c2VySWQiOiIxNzUyMzQ1MzE2In0=</vt:lpwstr>
  </property>
</Properties>
</file>