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49C3B0">
      <w:pPr>
        <w:pStyle w:val="5"/>
        <w:spacing w:line="480" w:lineRule="auto"/>
        <w:ind w:firstLine="0"/>
        <w:jc w:val="center"/>
        <w:rPr>
          <w:rFonts w:hint="eastAsia" w:ascii="仿宋" w:hAnsi="仿宋" w:eastAsia="仿宋" w:cs="仿宋"/>
          <w:color w:val="auto"/>
          <w:sz w:val="48"/>
          <w:szCs w:val="48"/>
          <w:highlight w:val="none"/>
          <w:lang w:eastAsia="zh-CN"/>
        </w:rPr>
      </w:pPr>
      <w:r>
        <w:rPr>
          <w:rFonts w:hint="eastAsia" w:ascii="仿宋" w:hAnsi="仿宋" w:eastAsia="仿宋" w:cs="仿宋"/>
          <w:b/>
          <w:color w:val="auto"/>
          <w:sz w:val="48"/>
          <w:szCs w:val="48"/>
          <w:highlight w:val="none"/>
          <w:lang w:eastAsia="zh-CN"/>
        </w:rPr>
        <w:t>灵宝市应急管理局灵宝市非煤矿山安全生产会诊服务项目</w:t>
      </w:r>
    </w:p>
    <w:p w14:paraId="4B1D95DD">
      <w:pPr>
        <w:rPr>
          <w:rFonts w:hint="eastAsia" w:ascii="仿宋" w:hAnsi="仿宋" w:eastAsia="仿宋" w:cs="仿宋"/>
          <w:color w:val="auto"/>
          <w:highlight w:val="none"/>
        </w:rPr>
      </w:pPr>
    </w:p>
    <w:p w14:paraId="11D86369">
      <w:pPr>
        <w:spacing w:line="360" w:lineRule="auto"/>
        <w:jc w:val="center"/>
        <w:rPr>
          <w:rFonts w:hint="eastAsia" w:ascii="仿宋" w:hAnsi="仿宋" w:eastAsia="仿宋" w:cs="仿宋"/>
          <w:b/>
          <w:color w:val="auto"/>
          <w:sz w:val="76"/>
          <w:szCs w:val="76"/>
          <w:highlight w:val="none"/>
        </w:rPr>
      </w:pPr>
      <w:r>
        <w:rPr>
          <w:rFonts w:hint="eastAsia" w:ascii="仿宋" w:hAnsi="仿宋" w:eastAsia="仿宋" w:cs="仿宋"/>
          <w:b/>
          <w:color w:val="auto"/>
          <w:sz w:val="76"/>
          <w:szCs w:val="76"/>
          <w:highlight w:val="none"/>
        </w:rPr>
        <w:t>竞争性磋商文件</w:t>
      </w:r>
    </w:p>
    <w:p w14:paraId="540B06ED">
      <w:pPr>
        <w:pStyle w:val="3"/>
        <w:spacing w:line="400" w:lineRule="exact"/>
        <w:rPr>
          <w:rFonts w:hint="eastAsia" w:ascii="仿宋" w:hAnsi="仿宋" w:eastAsia="仿宋" w:cs="仿宋"/>
          <w:b/>
          <w:color w:val="auto"/>
          <w:highlight w:val="none"/>
        </w:rPr>
      </w:pPr>
    </w:p>
    <w:p w14:paraId="2E0C8D19">
      <w:pPr>
        <w:jc w:val="cente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项目编号：</w:t>
      </w:r>
    </w:p>
    <w:p w14:paraId="1358C149">
      <w:pPr>
        <w:jc w:val="center"/>
        <w:rPr>
          <w:rFonts w:hint="eastAsia" w:ascii="仿宋" w:hAnsi="仿宋" w:eastAsia="仿宋" w:cs="仿宋"/>
          <w:color w:val="auto"/>
          <w:highlight w:val="none"/>
          <w:lang w:val="en-US" w:eastAsia="zh-CN"/>
        </w:rPr>
      </w:pPr>
      <w:r>
        <w:rPr>
          <w:rFonts w:hint="eastAsia" w:ascii="仿宋" w:hAnsi="仿宋" w:eastAsia="仿宋" w:cs="仿宋"/>
          <w:b/>
          <w:color w:val="auto"/>
          <w:sz w:val="28"/>
          <w:szCs w:val="30"/>
          <w:highlight w:val="none"/>
          <w:lang w:eastAsia="zh-CN"/>
        </w:rPr>
        <w:t>LBGZ[2026]164-ZC127、灵宝竞磋采购-2026-93</w:t>
      </w:r>
    </w:p>
    <w:p w14:paraId="083096EF">
      <w:pPr>
        <w:pStyle w:val="10"/>
        <w:ind w:firstLine="2552"/>
        <w:rPr>
          <w:rFonts w:hint="eastAsia" w:ascii="仿宋" w:hAnsi="仿宋" w:eastAsia="仿宋" w:cs="仿宋"/>
          <w:color w:val="auto"/>
          <w:highlight w:val="none"/>
        </w:rPr>
      </w:pPr>
    </w:p>
    <w:p w14:paraId="7463DB7B">
      <w:pPr>
        <w:pStyle w:val="10"/>
        <w:ind w:firstLine="2552"/>
        <w:rPr>
          <w:rFonts w:hint="eastAsia" w:ascii="仿宋" w:hAnsi="仿宋" w:eastAsia="仿宋" w:cs="仿宋"/>
          <w:color w:val="auto"/>
          <w:highlight w:val="none"/>
        </w:rPr>
      </w:pPr>
    </w:p>
    <w:p w14:paraId="5D56913E">
      <w:pPr>
        <w:pStyle w:val="10"/>
        <w:ind w:firstLine="2552"/>
        <w:rPr>
          <w:rFonts w:hint="eastAsia" w:ascii="仿宋" w:hAnsi="仿宋" w:eastAsia="仿宋" w:cs="仿宋"/>
          <w:color w:val="auto"/>
          <w:highlight w:val="none"/>
        </w:rPr>
      </w:pPr>
      <w:r>
        <w:rPr>
          <w:rFonts w:hint="eastAsia" w:ascii="宋体" w:hAnsi="宋体" w:eastAsia="宋体" w:cs="宋体"/>
          <w:b/>
          <w:color w:val="auto"/>
          <w:sz w:val="40"/>
          <w:szCs w:val="48"/>
          <w:highlight w:val="none"/>
          <w:lang w:eastAsia="zh-CN"/>
        </w:rPr>
        <w:drawing>
          <wp:inline distT="0" distB="0" distL="114300" distR="114300">
            <wp:extent cx="2949575" cy="2800350"/>
            <wp:effectExtent l="0" t="0" r="3175" b="0"/>
            <wp:docPr id="1" name="图片 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1"/>
                    <pic:cNvPicPr>
                      <a:picLocks noChangeAspect="1"/>
                    </pic:cNvPicPr>
                  </pic:nvPicPr>
                  <pic:blipFill>
                    <a:blip r:embed="rId6"/>
                    <a:stretch>
                      <a:fillRect/>
                    </a:stretch>
                  </pic:blipFill>
                  <pic:spPr>
                    <a:xfrm>
                      <a:off x="0" y="0"/>
                      <a:ext cx="2949575" cy="2800350"/>
                    </a:xfrm>
                    <a:prstGeom prst="rect">
                      <a:avLst/>
                    </a:prstGeom>
                    <a:noFill/>
                    <a:ln>
                      <a:noFill/>
                    </a:ln>
                  </pic:spPr>
                </pic:pic>
              </a:graphicData>
            </a:graphic>
          </wp:inline>
        </w:drawing>
      </w:r>
    </w:p>
    <w:p w14:paraId="3DB2C356">
      <w:pPr>
        <w:pStyle w:val="10"/>
        <w:ind w:firstLine="2552"/>
        <w:rPr>
          <w:rFonts w:hint="eastAsia" w:ascii="仿宋" w:hAnsi="仿宋" w:eastAsia="仿宋" w:cs="仿宋"/>
          <w:color w:val="auto"/>
          <w:highlight w:val="none"/>
        </w:rPr>
      </w:pP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04"/>
        <w:gridCol w:w="6496"/>
      </w:tblGrid>
      <w:tr w14:paraId="138EE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04" w:type="dxa"/>
            <w:tcBorders>
              <w:top w:val="nil"/>
              <w:left w:val="nil"/>
              <w:bottom w:val="nil"/>
              <w:right w:val="nil"/>
            </w:tcBorders>
          </w:tcPr>
          <w:p w14:paraId="60A86DD8">
            <w:pPr>
              <w:widowControl/>
              <w:spacing w:line="360" w:lineRule="auto"/>
              <w:jc w:val="distribute"/>
              <w:rPr>
                <w:rFonts w:hint="eastAsia" w:ascii="仿宋" w:hAnsi="仿宋" w:eastAsia="仿宋" w:cs="仿宋"/>
                <w:b/>
                <w:bCs w:val="0"/>
                <w:color w:val="auto"/>
                <w:sz w:val="32"/>
                <w:szCs w:val="32"/>
                <w:highlight w:val="none"/>
                <w:vertAlign w:val="baseline"/>
                <w:lang w:eastAsia="zh-CN"/>
              </w:rPr>
            </w:pPr>
            <w:r>
              <w:rPr>
                <w:rFonts w:hint="eastAsia" w:ascii="仿宋" w:hAnsi="仿宋" w:eastAsia="仿宋" w:cs="仿宋"/>
                <w:b/>
                <w:bCs w:val="0"/>
                <w:color w:val="auto"/>
                <w:kern w:val="0"/>
                <w:sz w:val="32"/>
                <w:szCs w:val="32"/>
                <w:highlight w:val="none"/>
              </w:rPr>
              <w:t>采购人</w:t>
            </w:r>
            <w:r>
              <w:rPr>
                <w:rFonts w:hint="eastAsia" w:ascii="仿宋" w:hAnsi="仿宋" w:eastAsia="仿宋" w:cs="仿宋"/>
                <w:b/>
                <w:bCs w:val="0"/>
                <w:color w:val="auto"/>
                <w:kern w:val="0"/>
                <w:sz w:val="32"/>
                <w:szCs w:val="32"/>
                <w:highlight w:val="none"/>
                <w:lang w:eastAsia="zh-CN"/>
              </w:rPr>
              <w:t>：</w:t>
            </w:r>
          </w:p>
        </w:tc>
        <w:tc>
          <w:tcPr>
            <w:tcW w:w="6496" w:type="dxa"/>
            <w:tcBorders>
              <w:top w:val="nil"/>
              <w:left w:val="nil"/>
              <w:bottom w:val="nil"/>
              <w:right w:val="nil"/>
            </w:tcBorders>
          </w:tcPr>
          <w:p w14:paraId="4BB15654">
            <w:pPr>
              <w:spacing w:line="360" w:lineRule="auto"/>
              <w:jc w:val="distribute"/>
              <w:rPr>
                <w:rFonts w:hint="eastAsia" w:ascii="仿宋" w:hAnsi="仿宋" w:eastAsia="仿宋" w:cs="仿宋"/>
                <w:b/>
                <w:bCs w:val="0"/>
                <w:color w:val="auto"/>
                <w:sz w:val="32"/>
                <w:szCs w:val="32"/>
                <w:highlight w:val="none"/>
                <w:vertAlign w:val="baseline"/>
              </w:rPr>
            </w:pPr>
            <w:r>
              <w:rPr>
                <w:rFonts w:hint="eastAsia" w:ascii="仿宋" w:hAnsi="仿宋" w:eastAsia="仿宋" w:cs="仿宋"/>
                <w:b/>
                <w:bCs w:val="0"/>
                <w:color w:val="auto"/>
                <w:sz w:val="32"/>
                <w:szCs w:val="32"/>
                <w:highlight w:val="none"/>
                <w:lang w:eastAsia="zh-CN"/>
              </w:rPr>
              <w:t>灵宝市应急管理局</w:t>
            </w:r>
          </w:p>
        </w:tc>
      </w:tr>
      <w:tr w14:paraId="6BBB6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04" w:type="dxa"/>
            <w:tcBorders>
              <w:top w:val="nil"/>
              <w:left w:val="nil"/>
              <w:bottom w:val="nil"/>
              <w:right w:val="nil"/>
            </w:tcBorders>
          </w:tcPr>
          <w:p w14:paraId="26E41AC5">
            <w:pPr>
              <w:widowControl/>
              <w:spacing w:line="360" w:lineRule="auto"/>
              <w:jc w:val="distribute"/>
              <w:rPr>
                <w:rFonts w:hint="eastAsia" w:ascii="仿宋" w:hAnsi="仿宋" w:eastAsia="仿宋" w:cs="仿宋"/>
                <w:b/>
                <w:bCs w:val="0"/>
                <w:color w:val="auto"/>
                <w:sz w:val="32"/>
                <w:szCs w:val="32"/>
                <w:highlight w:val="none"/>
                <w:vertAlign w:val="baseline"/>
              </w:rPr>
            </w:pPr>
            <w:r>
              <w:rPr>
                <w:rFonts w:hint="eastAsia" w:ascii="仿宋" w:hAnsi="仿宋" w:eastAsia="仿宋" w:cs="仿宋"/>
                <w:b/>
                <w:bCs w:val="0"/>
                <w:color w:val="auto"/>
                <w:kern w:val="0"/>
                <w:sz w:val="32"/>
                <w:szCs w:val="32"/>
                <w:highlight w:val="none"/>
              </w:rPr>
              <w:t>采购代理机构</w:t>
            </w:r>
            <w:r>
              <w:rPr>
                <w:rFonts w:hint="eastAsia" w:ascii="仿宋" w:hAnsi="仿宋" w:eastAsia="仿宋" w:cs="仿宋"/>
                <w:b/>
                <w:bCs w:val="0"/>
                <w:color w:val="auto"/>
                <w:kern w:val="0"/>
                <w:sz w:val="32"/>
                <w:szCs w:val="32"/>
                <w:highlight w:val="none"/>
                <w:lang w:eastAsia="zh-CN"/>
              </w:rPr>
              <w:t>：</w:t>
            </w:r>
          </w:p>
        </w:tc>
        <w:tc>
          <w:tcPr>
            <w:tcW w:w="6496" w:type="dxa"/>
            <w:tcBorders>
              <w:top w:val="nil"/>
              <w:left w:val="nil"/>
              <w:bottom w:val="nil"/>
              <w:right w:val="nil"/>
            </w:tcBorders>
          </w:tcPr>
          <w:p w14:paraId="5ED7EFAE">
            <w:pPr>
              <w:spacing w:line="360" w:lineRule="auto"/>
              <w:jc w:val="distribute"/>
              <w:rPr>
                <w:rFonts w:hint="eastAsia" w:ascii="仿宋" w:hAnsi="仿宋" w:eastAsia="仿宋" w:cs="仿宋"/>
                <w:b/>
                <w:bCs w:val="0"/>
                <w:color w:val="auto"/>
                <w:sz w:val="32"/>
                <w:szCs w:val="32"/>
                <w:highlight w:val="none"/>
                <w:vertAlign w:val="baseline"/>
              </w:rPr>
            </w:pPr>
            <w:r>
              <w:rPr>
                <w:rFonts w:hint="eastAsia" w:ascii="仿宋" w:hAnsi="仿宋" w:eastAsia="仿宋" w:cs="仿宋"/>
                <w:b/>
                <w:bCs w:val="0"/>
                <w:color w:val="auto"/>
                <w:kern w:val="0"/>
                <w:sz w:val="32"/>
                <w:szCs w:val="32"/>
                <w:highlight w:val="none"/>
                <w:lang w:eastAsia="zh-CN"/>
              </w:rPr>
              <w:t>河南坤源工程咨询管理有限公司</w:t>
            </w:r>
          </w:p>
        </w:tc>
      </w:tr>
      <w:tr w14:paraId="14874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04" w:type="dxa"/>
            <w:tcBorders>
              <w:top w:val="nil"/>
              <w:left w:val="nil"/>
              <w:bottom w:val="nil"/>
              <w:right w:val="nil"/>
            </w:tcBorders>
          </w:tcPr>
          <w:p w14:paraId="1AA2F636">
            <w:pPr>
              <w:widowControl/>
              <w:spacing w:line="360" w:lineRule="auto"/>
              <w:jc w:val="distribute"/>
              <w:rPr>
                <w:rFonts w:hint="eastAsia" w:ascii="仿宋" w:hAnsi="仿宋" w:eastAsia="仿宋" w:cs="仿宋"/>
                <w:b/>
                <w:bCs w:val="0"/>
                <w:color w:val="auto"/>
                <w:sz w:val="32"/>
                <w:szCs w:val="32"/>
                <w:highlight w:val="none"/>
                <w:vertAlign w:val="baseline"/>
                <w:lang w:val="en-US" w:eastAsia="zh-CN"/>
              </w:rPr>
            </w:pPr>
            <w:r>
              <w:rPr>
                <w:rFonts w:hint="eastAsia" w:ascii="仿宋" w:hAnsi="仿宋" w:eastAsia="仿宋" w:cs="仿宋"/>
                <w:b/>
                <w:bCs w:val="0"/>
                <w:color w:val="auto"/>
                <w:sz w:val="32"/>
                <w:szCs w:val="32"/>
                <w:highlight w:val="none"/>
                <w:vertAlign w:val="baseline"/>
                <w:lang w:val="en-US" w:eastAsia="zh-CN"/>
              </w:rPr>
              <w:t>编制</w:t>
            </w:r>
            <w:r>
              <w:rPr>
                <w:rFonts w:hint="eastAsia" w:ascii="仿宋" w:hAnsi="仿宋" w:eastAsia="仿宋" w:cs="仿宋"/>
                <w:b/>
                <w:bCs w:val="0"/>
                <w:color w:val="auto"/>
                <w:kern w:val="0"/>
                <w:sz w:val="32"/>
                <w:szCs w:val="32"/>
                <w:highlight w:val="none"/>
              </w:rPr>
              <w:t>日期</w:t>
            </w:r>
            <w:r>
              <w:rPr>
                <w:rFonts w:hint="eastAsia" w:ascii="仿宋" w:hAnsi="仿宋" w:eastAsia="仿宋" w:cs="仿宋"/>
                <w:b/>
                <w:bCs w:val="0"/>
                <w:color w:val="auto"/>
                <w:kern w:val="0"/>
                <w:sz w:val="32"/>
                <w:szCs w:val="32"/>
                <w:highlight w:val="none"/>
                <w:lang w:eastAsia="zh-CN"/>
              </w:rPr>
              <w:t>：</w:t>
            </w:r>
          </w:p>
        </w:tc>
        <w:tc>
          <w:tcPr>
            <w:tcW w:w="6496" w:type="dxa"/>
            <w:tcBorders>
              <w:top w:val="nil"/>
              <w:left w:val="nil"/>
              <w:bottom w:val="nil"/>
              <w:right w:val="nil"/>
            </w:tcBorders>
          </w:tcPr>
          <w:p w14:paraId="65E8C0BD">
            <w:pPr>
              <w:widowControl/>
              <w:spacing w:line="360" w:lineRule="auto"/>
              <w:jc w:val="distribute"/>
              <w:rPr>
                <w:rFonts w:hint="eastAsia" w:ascii="仿宋" w:hAnsi="仿宋" w:eastAsia="仿宋" w:cs="仿宋"/>
                <w:b/>
                <w:bCs w:val="0"/>
                <w:color w:val="auto"/>
                <w:sz w:val="32"/>
                <w:szCs w:val="32"/>
                <w:highlight w:val="none"/>
                <w:vertAlign w:val="baseline"/>
              </w:rPr>
            </w:pPr>
            <w:r>
              <w:rPr>
                <w:rFonts w:hint="eastAsia" w:ascii="仿宋" w:hAnsi="仿宋" w:eastAsia="仿宋" w:cs="仿宋"/>
                <w:b/>
                <w:bCs w:val="0"/>
                <w:color w:val="auto"/>
                <w:kern w:val="0"/>
                <w:sz w:val="32"/>
                <w:szCs w:val="32"/>
                <w:highlight w:val="none"/>
              </w:rPr>
              <w:t>二</w:t>
            </w:r>
            <w:r>
              <w:rPr>
                <w:rFonts w:hint="eastAsia" w:ascii="宋体" w:hAnsi="宋体" w:cs="宋体"/>
                <w:b/>
                <w:bCs w:val="0"/>
                <w:color w:val="auto"/>
                <w:sz w:val="32"/>
                <w:szCs w:val="32"/>
                <w:highlight w:val="none"/>
                <w:lang w:eastAsia="zh-CN"/>
              </w:rPr>
              <w:t>〇</w:t>
            </w:r>
            <w:r>
              <w:rPr>
                <w:rFonts w:hint="eastAsia" w:ascii="仿宋" w:hAnsi="仿宋" w:eastAsia="仿宋" w:cs="仿宋"/>
                <w:b/>
                <w:bCs w:val="0"/>
                <w:color w:val="auto"/>
                <w:kern w:val="0"/>
                <w:sz w:val="32"/>
                <w:szCs w:val="32"/>
                <w:highlight w:val="none"/>
              </w:rPr>
              <w:t>二</w:t>
            </w:r>
            <w:r>
              <w:rPr>
                <w:rFonts w:hint="eastAsia" w:ascii="仿宋" w:hAnsi="仿宋" w:eastAsia="仿宋" w:cs="仿宋"/>
                <w:b/>
                <w:bCs w:val="0"/>
                <w:color w:val="auto"/>
                <w:kern w:val="0"/>
                <w:sz w:val="32"/>
                <w:szCs w:val="32"/>
                <w:highlight w:val="none"/>
                <w:lang w:val="en-US" w:eastAsia="zh-CN"/>
              </w:rPr>
              <w:t>六</w:t>
            </w:r>
            <w:r>
              <w:rPr>
                <w:rFonts w:hint="eastAsia" w:ascii="仿宋" w:hAnsi="仿宋" w:eastAsia="仿宋" w:cs="仿宋"/>
                <w:b/>
                <w:bCs w:val="0"/>
                <w:color w:val="auto"/>
                <w:kern w:val="0"/>
                <w:sz w:val="32"/>
                <w:szCs w:val="32"/>
                <w:highlight w:val="none"/>
              </w:rPr>
              <w:t>年</w:t>
            </w:r>
            <w:r>
              <w:rPr>
                <w:rFonts w:hint="eastAsia" w:ascii="仿宋" w:hAnsi="仿宋" w:eastAsia="仿宋" w:cs="仿宋"/>
                <w:b/>
                <w:bCs w:val="0"/>
                <w:color w:val="auto"/>
                <w:kern w:val="0"/>
                <w:sz w:val="32"/>
                <w:szCs w:val="32"/>
                <w:highlight w:val="none"/>
                <w:lang w:val="en-US" w:eastAsia="zh-CN"/>
              </w:rPr>
              <w:t>八</w:t>
            </w:r>
            <w:r>
              <w:rPr>
                <w:rFonts w:hint="eastAsia" w:ascii="仿宋" w:hAnsi="仿宋" w:eastAsia="仿宋" w:cs="仿宋"/>
                <w:b/>
                <w:bCs w:val="0"/>
                <w:color w:val="auto"/>
                <w:kern w:val="0"/>
                <w:sz w:val="32"/>
                <w:szCs w:val="32"/>
                <w:highlight w:val="none"/>
              </w:rPr>
              <w:t>月</w:t>
            </w:r>
          </w:p>
        </w:tc>
      </w:tr>
    </w:tbl>
    <w:p w14:paraId="29AA7C6F">
      <w:pPr>
        <w:widowControl/>
        <w:spacing w:line="360" w:lineRule="auto"/>
        <w:rPr>
          <w:rFonts w:hint="eastAsia" w:ascii="仿宋" w:hAnsi="仿宋" w:eastAsia="仿宋" w:cs="仿宋"/>
          <w:color w:val="auto"/>
          <w:highlight w:val="none"/>
        </w:rPr>
      </w:pPr>
    </w:p>
    <w:p w14:paraId="3B63B674">
      <w:pPr>
        <w:spacing w:line="360" w:lineRule="auto"/>
        <w:jc w:val="center"/>
        <w:rPr>
          <w:rFonts w:hint="eastAsia" w:ascii="仿宋" w:hAnsi="仿宋" w:eastAsia="仿宋" w:cs="仿宋"/>
          <w:bCs/>
          <w:color w:val="auto"/>
          <w:kern w:val="0"/>
          <w:sz w:val="44"/>
          <w:szCs w:val="44"/>
          <w:highlight w:val="none"/>
          <w:shd w:val="clear" w:color="auto" w:fill="FFFFFF"/>
        </w:rPr>
        <w:sectPr>
          <w:headerReference r:id="rId3" w:type="default"/>
          <w:pgSz w:w="11906" w:h="16838"/>
          <w:pgMar w:top="1361" w:right="1361" w:bottom="1361" w:left="1361" w:header="720" w:footer="720" w:gutter="0"/>
          <w:cols w:space="720" w:num="1"/>
          <w:docGrid w:type="lines" w:linePitch="312" w:charSpace="0"/>
        </w:sectPr>
      </w:pPr>
    </w:p>
    <w:p w14:paraId="6D547C20">
      <w:pPr>
        <w:spacing w:line="360" w:lineRule="auto"/>
        <w:jc w:val="center"/>
        <w:rPr>
          <w:rFonts w:hint="eastAsia" w:ascii="仿宋" w:hAnsi="仿宋" w:eastAsia="仿宋" w:cs="仿宋"/>
          <w:b/>
          <w:color w:val="auto"/>
          <w:kern w:val="0"/>
          <w:sz w:val="44"/>
          <w:szCs w:val="44"/>
          <w:highlight w:val="none"/>
          <w:shd w:val="clear" w:color="auto" w:fill="FFFFFF"/>
        </w:rPr>
      </w:pPr>
      <w:r>
        <w:rPr>
          <w:rFonts w:hint="eastAsia" w:ascii="仿宋" w:hAnsi="仿宋" w:eastAsia="仿宋" w:cs="仿宋"/>
          <w:b/>
          <w:color w:val="auto"/>
          <w:kern w:val="0"/>
          <w:sz w:val="44"/>
          <w:szCs w:val="44"/>
          <w:highlight w:val="none"/>
          <w:shd w:val="clear" w:color="auto" w:fill="FFFFFF"/>
        </w:rPr>
        <w:t>目  录</w:t>
      </w:r>
    </w:p>
    <w:p w14:paraId="76B1C03F">
      <w:pPr>
        <w:spacing w:line="360" w:lineRule="auto"/>
        <w:jc w:val="center"/>
        <w:rPr>
          <w:rFonts w:hint="eastAsia" w:ascii="仿宋" w:hAnsi="仿宋" w:eastAsia="仿宋" w:cs="仿宋"/>
          <w:b/>
          <w:color w:val="auto"/>
          <w:kern w:val="0"/>
          <w:sz w:val="44"/>
          <w:szCs w:val="44"/>
          <w:highlight w:val="none"/>
          <w:shd w:val="clear" w:color="auto" w:fill="FFFFFF"/>
        </w:rPr>
      </w:pPr>
    </w:p>
    <w:p w14:paraId="27CE03A6">
      <w:pPr>
        <w:pStyle w:val="13"/>
        <w:tabs>
          <w:tab w:val="right" w:leader="dot" w:pos="9184"/>
        </w:tabs>
        <w:spacing w:line="720" w:lineRule="auto"/>
        <w:rPr>
          <w:rFonts w:hint="eastAsia" w:ascii="仿宋" w:hAnsi="仿宋" w:eastAsia="仿宋" w:cs="仿宋"/>
          <w:color w:val="auto"/>
          <w:sz w:val="28"/>
          <w:szCs w:val="28"/>
          <w:highlight w:val="none"/>
        </w:rPr>
      </w:pPr>
      <w:r>
        <w:rPr>
          <w:rFonts w:hint="eastAsia" w:ascii="仿宋" w:hAnsi="仿宋" w:eastAsia="仿宋" w:cs="仿宋"/>
          <w:bCs/>
          <w:color w:val="auto"/>
          <w:kern w:val="0"/>
          <w:sz w:val="28"/>
          <w:szCs w:val="28"/>
          <w:highlight w:val="none"/>
          <w:shd w:val="clear" w:color="auto" w:fill="FFFFFF"/>
        </w:rPr>
        <w:fldChar w:fldCharType="begin"/>
      </w:r>
      <w:r>
        <w:rPr>
          <w:rFonts w:hint="eastAsia" w:ascii="仿宋" w:hAnsi="仿宋" w:eastAsia="仿宋" w:cs="仿宋"/>
          <w:bCs/>
          <w:color w:val="auto"/>
          <w:kern w:val="0"/>
          <w:sz w:val="28"/>
          <w:szCs w:val="28"/>
          <w:highlight w:val="none"/>
          <w:shd w:val="clear" w:color="auto" w:fill="FFFFFF"/>
        </w:rPr>
        <w:instrText xml:space="preserve">TOC \o "1-1" \h \u </w:instrText>
      </w:r>
      <w:r>
        <w:rPr>
          <w:rFonts w:hint="eastAsia" w:ascii="仿宋" w:hAnsi="仿宋" w:eastAsia="仿宋" w:cs="仿宋"/>
          <w:bCs/>
          <w:color w:val="auto"/>
          <w:kern w:val="0"/>
          <w:sz w:val="28"/>
          <w:szCs w:val="28"/>
          <w:highlight w:val="none"/>
          <w:shd w:val="clear" w:color="auto" w:fill="FFFFFF"/>
        </w:rPr>
        <w:fldChar w:fldCharType="separate"/>
      </w:r>
      <w:r>
        <w:rPr>
          <w:rFonts w:hint="eastAsia" w:ascii="仿宋" w:hAnsi="仿宋" w:eastAsia="仿宋" w:cs="仿宋"/>
          <w:bCs/>
          <w:color w:val="auto"/>
          <w:kern w:val="0"/>
          <w:sz w:val="28"/>
          <w:szCs w:val="28"/>
          <w:highlight w:val="none"/>
          <w:shd w:val="clear" w:color="auto" w:fill="FFFFFF"/>
        </w:rPr>
        <w:fldChar w:fldCharType="begin"/>
      </w:r>
      <w:r>
        <w:rPr>
          <w:rFonts w:hint="eastAsia" w:ascii="仿宋" w:hAnsi="仿宋" w:eastAsia="仿宋" w:cs="仿宋"/>
          <w:bCs/>
          <w:color w:val="auto"/>
          <w:kern w:val="0"/>
          <w:sz w:val="28"/>
          <w:szCs w:val="28"/>
          <w:highlight w:val="none"/>
          <w:shd w:val="clear" w:color="auto" w:fill="FFFFFF"/>
        </w:rPr>
        <w:instrText xml:space="preserve"> HYPERLINK \l _Toc28392 </w:instrText>
      </w:r>
      <w:r>
        <w:rPr>
          <w:rFonts w:hint="eastAsia" w:ascii="仿宋" w:hAnsi="仿宋" w:eastAsia="仿宋" w:cs="仿宋"/>
          <w:bCs/>
          <w:color w:val="auto"/>
          <w:kern w:val="0"/>
          <w:sz w:val="28"/>
          <w:szCs w:val="28"/>
          <w:highlight w:val="none"/>
          <w:shd w:val="clear" w:color="auto" w:fill="FFFFFF"/>
        </w:rPr>
        <w:fldChar w:fldCharType="separate"/>
      </w:r>
      <w:r>
        <w:rPr>
          <w:rFonts w:hint="eastAsia" w:ascii="仿宋" w:hAnsi="仿宋" w:eastAsia="仿宋" w:cs="仿宋"/>
          <w:color w:val="auto"/>
          <w:sz w:val="28"/>
          <w:szCs w:val="28"/>
          <w:highlight w:val="none"/>
        </w:rPr>
        <w:t>第一章 竞争性磋商公告</w:t>
      </w:r>
      <w:r>
        <w:rPr>
          <w:rFonts w:hint="eastAsia" w:ascii="仿宋" w:hAnsi="仿宋" w:eastAsia="仿宋" w:cs="仿宋"/>
          <w:color w:val="auto"/>
          <w:sz w:val="28"/>
          <w:szCs w:val="28"/>
          <w:highlight w:val="none"/>
        </w:rPr>
        <w:tab/>
      </w:r>
      <w:r>
        <w:rPr>
          <w:rFonts w:hint="eastAsia" w:ascii="仿宋" w:hAnsi="仿宋" w:eastAsia="仿宋" w:cs="仿宋"/>
          <w:color w:val="auto"/>
          <w:sz w:val="28"/>
          <w:szCs w:val="28"/>
          <w:highlight w:val="none"/>
        </w:rPr>
        <w:fldChar w:fldCharType="begin"/>
      </w:r>
      <w:r>
        <w:rPr>
          <w:rFonts w:hint="eastAsia" w:ascii="仿宋" w:hAnsi="仿宋" w:eastAsia="仿宋" w:cs="仿宋"/>
          <w:color w:val="auto"/>
          <w:sz w:val="28"/>
          <w:szCs w:val="28"/>
          <w:highlight w:val="none"/>
        </w:rPr>
        <w:instrText xml:space="preserve"> PAGEREF _Toc28392 \h </w:instrText>
      </w:r>
      <w:r>
        <w:rPr>
          <w:rFonts w:hint="eastAsia" w:ascii="仿宋" w:hAnsi="仿宋" w:eastAsia="仿宋" w:cs="仿宋"/>
          <w:color w:val="auto"/>
          <w:sz w:val="28"/>
          <w:szCs w:val="28"/>
          <w:highlight w:val="none"/>
        </w:rPr>
        <w:fldChar w:fldCharType="separate"/>
      </w:r>
      <w:r>
        <w:rPr>
          <w:rFonts w:hint="eastAsia" w:ascii="仿宋" w:hAnsi="仿宋" w:eastAsia="仿宋" w:cs="仿宋"/>
          <w:color w:val="auto"/>
          <w:sz w:val="28"/>
          <w:szCs w:val="28"/>
          <w:highlight w:val="none"/>
        </w:rPr>
        <w:t>3</w:t>
      </w:r>
      <w:r>
        <w:rPr>
          <w:rFonts w:hint="eastAsia" w:ascii="仿宋" w:hAnsi="仿宋" w:eastAsia="仿宋" w:cs="仿宋"/>
          <w:color w:val="auto"/>
          <w:sz w:val="28"/>
          <w:szCs w:val="28"/>
          <w:highlight w:val="none"/>
        </w:rPr>
        <w:fldChar w:fldCharType="end"/>
      </w:r>
      <w:r>
        <w:rPr>
          <w:rFonts w:hint="eastAsia" w:ascii="仿宋" w:hAnsi="仿宋" w:eastAsia="仿宋" w:cs="仿宋"/>
          <w:bCs/>
          <w:color w:val="auto"/>
          <w:kern w:val="0"/>
          <w:sz w:val="28"/>
          <w:szCs w:val="28"/>
          <w:highlight w:val="none"/>
          <w:shd w:val="clear" w:color="auto" w:fill="FFFFFF"/>
        </w:rPr>
        <w:fldChar w:fldCharType="end"/>
      </w:r>
    </w:p>
    <w:p w14:paraId="5526A59E">
      <w:pPr>
        <w:pStyle w:val="13"/>
        <w:tabs>
          <w:tab w:val="right" w:leader="dot" w:pos="9184"/>
        </w:tabs>
        <w:spacing w:line="720" w:lineRule="auto"/>
        <w:rPr>
          <w:rFonts w:hint="eastAsia" w:ascii="仿宋" w:hAnsi="仿宋" w:eastAsia="仿宋" w:cs="仿宋"/>
          <w:color w:val="auto"/>
          <w:sz w:val="28"/>
          <w:szCs w:val="28"/>
          <w:highlight w:val="none"/>
        </w:rPr>
      </w:pPr>
      <w:r>
        <w:rPr>
          <w:rFonts w:hint="eastAsia" w:ascii="仿宋" w:hAnsi="仿宋" w:eastAsia="仿宋" w:cs="仿宋"/>
          <w:bCs/>
          <w:color w:val="auto"/>
          <w:kern w:val="0"/>
          <w:sz w:val="28"/>
          <w:szCs w:val="28"/>
          <w:highlight w:val="none"/>
          <w:shd w:val="clear" w:color="auto" w:fill="FFFFFF"/>
        </w:rPr>
        <w:fldChar w:fldCharType="begin"/>
      </w:r>
      <w:r>
        <w:rPr>
          <w:rFonts w:hint="eastAsia" w:ascii="仿宋" w:hAnsi="仿宋" w:eastAsia="仿宋" w:cs="仿宋"/>
          <w:bCs/>
          <w:color w:val="auto"/>
          <w:kern w:val="0"/>
          <w:sz w:val="28"/>
          <w:szCs w:val="28"/>
          <w:highlight w:val="none"/>
          <w:shd w:val="clear" w:color="auto" w:fill="FFFFFF"/>
        </w:rPr>
        <w:instrText xml:space="preserve"> HYPERLINK \l _Toc9836 </w:instrText>
      </w:r>
      <w:r>
        <w:rPr>
          <w:rFonts w:hint="eastAsia" w:ascii="仿宋" w:hAnsi="仿宋" w:eastAsia="仿宋" w:cs="仿宋"/>
          <w:bCs/>
          <w:color w:val="auto"/>
          <w:kern w:val="0"/>
          <w:sz w:val="28"/>
          <w:szCs w:val="28"/>
          <w:highlight w:val="none"/>
          <w:shd w:val="clear" w:color="auto" w:fill="FFFFFF"/>
        </w:rPr>
        <w:fldChar w:fldCharType="separate"/>
      </w:r>
      <w:r>
        <w:rPr>
          <w:rFonts w:hint="eastAsia" w:ascii="仿宋" w:hAnsi="仿宋" w:eastAsia="仿宋" w:cs="仿宋"/>
          <w:color w:val="auto"/>
          <w:sz w:val="28"/>
          <w:szCs w:val="28"/>
          <w:highlight w:val="none"/>
        </w:rPr>
        <w:t>第二章 磋商响应供应商须知及前附表</w:t>
      </w:r>
      <w:r>
        <w:rPr>
          <w:rFonts w:hint="eastAsia" w:ascii="仿宋" w:hAnsi="仿宋" w:eastAsia="仿宋" w:cs="仿宋"/>
          <w:color w:val="auto"/>
          <w:sz w:val="28"/>
          <w:szCs w:val="28"/>
          <w:highlight w:val="none"/>
        </w:rPr>
        <w:tab/>
      </w:r>
      <w:r>
        <w:rPr>
          <w:rFonts w:hint="eastAsia" w:ascii="仿宋" w:hAnsi="仿宋" w:eastAsia="仿宋" w:cs="仿宋"/>
          <w:color w:val="auto"/>
          <w:sz w:val="28"/>
          <w:szCs w:val="28"/>
          <w:highlight w:val="none"/>
        </w:rPr>
        <w:t>5</w:t>
      </w:r>
      <w:r>
        <w:rPr>
          <w:rFonts w:hint="eastAsia" w:ascii="仿宋" w:hAnsi="仿宋" w:eastAsia="仿宋" w:cs="仿宋"/>
          <w:bCs/>
          <w:color w:val="auto"/>
          <w:kern w:val="0"/>
          <w:sz w:val="28"/>
          <w:szCs w:val="28"/>
          <w:highlight w:val="none"/>
          <w:shd w:val="clear" w:color="auto" w:fill="FFFFFF"/>
        </w:rPr>
        <w:fldChar w:fldCharType="end"/>
      </w:r>
    </w:p>
    <w:p w14:paraId="30E19EC8">
      <w:pPr>
        <w:pStyle w:val="13"/>
        <w:tabs>
          <w:tab w:val="right" w:leader="dot" w:pos="9184"/>
        </w:tabs>
        <w:spacing w:line="720" w:lineRule="auto"/>
        <w:rPr>
          <w:rFonts w:hint="eastAsia" w:ascii="仿宋" w:hAnsi="仿宋" w:eastAsia="仿宋" w:cs="仿宋"/>
          <w:color w:val="auto"/>
          <w:sz w:val="28"/>
          <w:szCs w:val="28"/>
          <w:highlight w:val="none"/>
        </w:rPr>
      </w:pPr>
      <w:r>
        <w:rPr>
          <w:rFonts w:hint="eastAsia" w:ascii="仿宋" w:hAnsi="仿宋" w:eastAsia="仿宋" w:cs="仿宋"/>
          <w:bCs/>
          <w:color w:val="auto"/>
          <w:kern w:val="0"/>
          <w:sz w:val="28"/>
          <w:szCs w:val="28"/>
          <w:highlight w:val="none"/>
          <w:shd w:val="clear" w:color="auto" w:fill="FFFFFF"/>
        </w:rPr>
        <w:fldChar w:fldCharType="begin"/>
      </w:r>
      <w:r>
        <w:rPr>
          <w:rFonts w:hint="eastAsia" w:ascii="仿宋" w:hAnsi="仿宋" w:eastAsia="仿宋" w:cs="仿宋"/>
          <w:bCs/>
          <w:color w:val="auto"/>
          <w:kern w:val="0"/>
          <w:sz w:val="28"/>
          <w:szCs w:val="28"/>
          <w:highlight w:val="none"/>
          <w:shd w:val="clear" w:color="auto" w:fill="FFFFFF"/>
        </w:rPr>
        <w:instrText xml:space="preserve"> HYPERLINK \l _Toc6778 </w:instrText>
      </w:r>
      <w:r>
        <w:rPr>
          <w:rFonts w:hint="eastAsia" w:ascii="仿宋" w:hAnsi="仿宋" w:eastAsia="仿宋" w:cs="仿宋"/>
          <w:bCs/>
          <w:color w:val="auto"/>
          <w:kern w:val="0"/>
          <w:sz w:val="28"/>
          <w:szCs w:val="28"/>
          <w:highlight w:val="none"/>
          <w:shd w:val="clear" w:color="auto" w:fill="FFFFFF"/>
        </w:rPr>
        <w:fldChar w:fldCharType="separate"/>
      </w:r>
      <w:r>
        <w:rPr>
          <w:rFonts w:hint="eastAsia" w:ascii="仿宋" w:hAnsi="仿宋" w:eastAsia="仿宋" w:cs="仿宋"/>
          <w:color w:val="auto"/>
          <w:sz w:val="28"/>
          <w:szCs w:val="28"/>
          <w:highlight w:val="none"/>
        </w:rPr>
        <w:t xml:space="preserve">第三章 </w:t>
      </w:r>
      <w:r>
        <w:rPr>
          <w:rFonts w:hint="eastAsia" w:ascii="仿宋" w:hAnsi="仿宋" w:eastAsia="仿宋" w:cs="仿宋"/>
          <w:color w:val="auto"/>
          <w:sz w:val="28"/>
          <w:szCs w:val="28"/>
          <w:highlight w:val="none"/>
          <w:lang w:eastAsia="zh-CN"/>
        </w:rPr>
        <w:t>采购需求</w:t>
      </w:r>
      <w:r>
        <w:rPr>
          <w:rFonts w:hint="eastAsia" w:ascii="仿宋" w:hAnsi="仿宋" w:eastAsia="仿宋" w:cs="仿宋"/>
          <w:color w:val="auto"/>
          <w:sz w:val="28"/>
          <w:szCs w:val="28"/>
          <w:highlight w:val="none"/>
        </w:rPr>
        <w:tab/>
      </w:r>
      <w:r>
        <w:rPr>
          <w:rFonts w:hint="eastAsia" w:ascii="仿宋" w:hAnsi="仿宋" w:eastAsia="仿宋" w:cs="仿宋"/>
          <w:color w:val="auto"/>
          <w:sz w:val="28"/>
          <w:szCs w:val="28"/>
          <w:highlight w:val="none"/>
        </w:rPr>
        <w:t>2</w:t>
      </w:r>
      <w:r>
        <w:rPr>
          <w:rFonts w:hint="eastAsia" w:ascii="仿宋" w:hAnsi="仿宋" w:eastAsia="仿宋" w:cs="仿宋"/>
          <w:bCs/>
          <w:color w:val="auto"/>
          <w:kern w:val="0"/>
          <w:sz w:val="28"/>
          <w:szCs w:val="28"/>
          <w:highlight w:val="none"/>
          <w:shd w:val="clear" w:color="auto" w:fill="FFFFFF"/>
        </w:rPr>
        <w:fldChar w:fldCharType="end"/>
      </w:r>
      <w:r>
        <w:rPr>
          <w:rFonts w:hint="eastAsia" w:ascii="仿宋" w:hAnsi="仿宋" w:eastAsia="仿宋" w:cs="仿宋"/>
          <w:bCs/>
          <w:color w:val="auto"/>
          <w:kern w:val="0"/>
          <w:sz w:val="28"/>
          <w:szCs w:val="28"/>
          <w:highlight w:val="none"/>
          <w:shd w:val="clear" w:color="auto" w:fill="FFFFFF"/>
        </w:rPr>
        <w:t>6</w:t>
      </w:r>
    </w:p>
    <w:p w14:paraId="0DC690FC">
      <w:pPr>
        <w:pStyle w:val="13"/>
        <w:tabs>
          <w:tab w:val="right" w:leader="dot" w:pos="9184"/>
        </w:tabs>
        <w:spacing w:line="720" w:lineRule="auto"/>
        <w:rPr>
          <w:rFonts w:hint="eastAsia" w:ascii="仿宋" w:hAnsi="仿宋" w:eastAsia="仿宋" w:cs="仿宋"/>
          <w:color w:val="auto"/>
          <w:sz w:val="28"/>
          <w:szCs w:val="28"/>
          <w:highlight w:val="none"/>
          <w:lang w:eastAsia="zh-CN"/>
        </w:rPr>
      </w:pPr>
      <w:r>
        <w:rPr>
          <w:rFonts w:hint="eastAsia" w:ascii="仿宋" w:hAnsi="仿宋" w:eastAsia="仿宋" w:cs="仿宋"/>
          <w:bCs/>
          <w:color w:val="auto"/>
          <w:kern w:val="0"/>
          <w:sz w:val="28"/>
          <w:szCs w:val="28"/>
          <w:highlight w:val="none"/>
          <w:shd w:val="clear" w:color="auto" w:fill="FFFFFF"/>
        </w:rPr>
        <w:fldChar w:fldCharType="begin"/>
      </w:r>
      <w:r>
        <w:rPr>
          <w:rFonts w:hint="eastAsia" w:ascii="仿宋" w:hAnsi="仿宋" w:eastAsia="仿宋" w:cs="仿宋"/>
          <w:bCs/>
          <w:color w:val="auto"/>
          <w:kern w:val="0"/>
          <w:sz w:val="28"/>
          <w:szCs w:val="28"/>
          <w:highlight w:val="none"/>
          <w:shd w:val="clear" w:color="auto" w:fill="FFFFFF"/>
        </w:rPr>
        <w:instrText xml:space="preserve"> HYPERLINK \l _Toc25481 </w:instrText>
      </w:r>
      <w:r>
        <w:rPr>
          <w:rFonts w:hint="eastAsia" w:ascii="仿宋" w:hAnsi="仿宋" w:eastAsia="仿宋" w:cs="仿宋"/>
          <w:bCs/>
          <w:color w:val="auto"/>
          <w:kern w:val="0"/>
          <w:sz w:val="28"/>
          <w:szCs w:val="28"/>
          <w:highlight w:val="none"/>
          <w:shd w:val="clear" w:color="auto" w:fill="FFFFFF"/>
        </w:rPr>
        <w:fldChar w:fldCharType="separate"/>
      </w:r>
      <w:r>
        <w:rPr>
          <w:rFonts w:hint="eastAsia" w:ascii="仿宋" w:hAnsi="仿宋" w:eastAsia="仿宋" w:cs="仿宋"/>
          <w:color w:val="auto"/>
          <w:sz w:val="28"/>
          <w:szCs w:val="28"/>
          <w:highlight w:val="none"/>
        </w:rPr>
        <w:t>第四章 评审办法</w:t>
      </w:r>
      <w:r>
        <w:rPr>
          <w:rFonts w:hint="eastAsia" w:ascii="仿宋" w:hAnsi="仿宋" w:eastAsia="仿宋" w:cs="仿宋"/>
          <w:color w:val="auto"/>
          <w:sz w:val="28"/>
          <w:szCs w:val="28"/>
          <w:highlight w:val="none"/>
        </w:rPr>
        <w:tab/>
      </w:r>
      <w:r>
        <w:rPr>
          <w:rFonts w:hint="eastAsia" w:ascii="仿宋" w:hAnsi="仿宋" w:eastAsia="仿宋" w:cs="仿宋"/>
          <w:bCs/>
          <w:color w:val="auto"/>
          <w:kern w:val="0"/>
          <w:sz w:val="28"/>
          <w:szCs w:val="28"/>
          <w:highlight w:val="none"/>
          <w:shd w:val="clear" w:color="auto" w:fill="FFFFFF"/>
        </w:rPr>
        <w:fldChar w:fldCharType="end"/>
      </w:r>
      <w:r>
        <w:rPr>
          <w:rFonts w:hint="eastAsia" w:ascii="仿宋" w:hAnsi="仿宋" w:eastAsia="仿宋" w:cs="仿宋"/>
          <w:color w:val="auto"/>
          <w:sz w:val="28"/>
          <w:szCs w:val="28"/>
          <w:highlight w:val="none"/>
          <w:lang w:val="en-US" w:eastAsia="zh-CN"/>
        </w:rPr>
        <w:t>2</w:t>
      </w:r>
      <w:r>
        <w:rPr>
          <w:rFonts w:hint="eastAsia" w:ascii="仿宋" w:hAnsi="仿宋" w:eastAsia="仿宋" w:cs="仿宋"/>
          <w:bCs/>
          <w:color w:val="auto"/>
          <w:kern w:val="0"/>
          <w:sz w:val="28"/>
          <w:szCs w:val="28"/>
          <w:highlight w:val="none"/>
          <w:shd w:val="clear" w:color="auto" w:fill="FFFFFF"/>
          <w:lang w:val="en-US" w:eastAsia="zh-CN"/>
        </w:rPr>
        <w:t>9</w:t>
      </w:r>
    </w:p>
    <w:p w14:paraId="6A9B106B">
      <w:pPr>
        <w:pStyle w:val="13"/>
        <w:tabs>
          <w:tab w:val="right" w:leader="dot" w:pos="9184"/>
        </w:tabs>
        <w:spacing w:line="720" w:lineRule="auto"/>
        <w:rPr>
          <w:rFonts w:hint="eastAsia" w:ascii="仿宋" w:hAnsi="仿宋" w:eastAsia="仿宋" w:cs="仿宋"/>
          <w:color w:val="auto"/>
          <w:sz w:val="28"/>
          <w:szCs w:val="28"/>
          <w:highlight w:val="none"/>
          <w:lang w:eastAsia="zh-CN"/>
        </w:rPr>
      </w:pPr>
      <w:r>
        <w:rPr>
          <w:rFonts w:hint="eastAsia" w:ascii="仿宋" w:hAnsi="仿宋" w:eastAsia="仿宋" w:cs="仿宋"/>
          <w:bCs/>
          <w:color w:val="auto"/>
          <w:kern w:val="0"/>
          <w:sz w:val="28"/>
          <w:szCs w:val="28"/>
          <w:highlight w:val="none"/>
          <w:shd w:val="clear" w:color="auto" w:fill="FFFFFF"/>
        </w:rPr>
        <w:fldChar w:fldCharType="begin"/>
      </w:r>
      <w:r>
        <w:rPr>
          <w:rFonts w:hint="eastAsia" w:ascii="仿宋" w:hAnsi="仿宋" w:eastAsia="仿宋" w:cs="仿宋"/>
          <w:bCs/>
          <w:color w:val="auto"/>
          <w:kern w:val="0"/>
          <w:sz w:val="28"/>
          <w:szCs w:val="28"/>
          <w:highlight w:val="none"/>
          <w:shd w:val="clear" w:color="auto" w:fill="FFFFFF"/>
        </w:rPr>
        <w:instrText xml:space="preserve"> HYPERLINK \l _Toc24968 </w:instrText>
      </w:r>
      <w:r>
        <w:rPr>
          <w:rFonts w:hint="eastAsia" w:ascii="仿宋" w:hAnsi="仿宋" w:eastAsia="仿宋" w:cs="仿宋"/>
          <w:bCs/>
          <w:color w:val="auto"/>
          <w:kern w:val="0"/>
          <w:sz w:val="28"/>
          <w:szCs w:val="28"/>
          <w:highlight w:val="none"/>
          <w:shd w:val="clear" w:color="auto" w:fill="FFFFFF"/>
        </w:rPr>
        <w:fldChar w:fldCharType="separate"/>
      </w:r>
      <w:r>
        <w:rPr>
          <w:rFonts w:hint="eastAsia" w:ascii="仿宋" w:hAnsi="仿宋" w:eastAsia="仿宋" w:cs="仿宋"/>
          <w:color w:val="auto"/>
          <w:sz w:val="28"/>
          <w:szCs w:val="28"/>
          <w:highlight w:val="none"/>
        </w:rPr>
        <w:t>第五章 合同主要条款及格式</w:t>
      </w:r>
      <w:r>
        <w:rPr>
          <w:rFonts w:hint="eastAsia" w:ascii="仿宋" w:hAnsi="仿宋" w:eastAsia="仿宋" w:cs="仿宋"/>
          <w:color w:val="auto"/>
          <w:sz w:val="28"/>
          <w:szCs w:val="28"/>
          <w:highlight w:val="none"/>
        </w:rPr>
        <w:tab/>
      </w:r>
      <w:r>
        <w:rPr>
          <w:rFonts w:hint="eastAsia" w:ascii="仿宋" w:hAnsi="仿宋" w:eastAsia="仿宋" w:cs="仿宋"/>
          <w:color w:val="auto"/>
          <w:sz w:val="28"/>
          <w:szCs w:val="28"/>
          <w:highlight w:val="none"/>
        </w:rPr>
        <w:t>3</w:t>
      </w:r>
      <w:r>
        <w:rPr>
          <w:rFonts w:hint="eastAsia" w:ascii="仿宋" w:hAnsi="仿宋" w:eastAsia="仿宋" w:cs="仿宋"/>
          <w:bCs/>
          <w:color w:val="auto"/>
          <w:kern w:val="0"/>
          <w:sz w:val="28"/>
          <w:szCs w:val="28"/>
          <w:highlight w:val="none"/>
          <w:shd w:val="clear" w:color="auto" w:fill="FFFFFF"/>
        </w:rPr>
        <w:fldChar w:fldCharType="end"/>
      </w:r>
      <w:r>
        <w:rPr>
          <w:rFonts w:hint="eastAsia" w:ascii="仿宋" w:hAnsi="仿宋" w:eastAsia="仿宋" w:cs="仿宋"/>
          <w:bCs/>
          <w:color w:val="auto"/>
          <w:kern w:val="0"/>
          <w:sz w:val="28"/>
          <w:szCs w:val="28"/>
          <w:highlight w:val="none"/>
          <w:shd w:val="clear" w:color="auto" w:fill="FFFFFF"/>
          <w:lang w:val="en-US" w:eastAsia="zh-CN"/>
        </w:rPr>
        <w:t>3</w:t>
      </w:r>
    </w:p>
    <w:p w14:paraId="4F34924F">
      <w:pPr>
        <w:pStyle w:val="13"/>
        <w:tabs>
          <w:tab w:val="right" w:leader="dot" w:pos="9184"/>
        </w:tabs>
        <w:spacing w:line="720" w:lineRule="auto"/>
        <w:rPr>
          <w:rFonts w:hint="eastAsia" w:ascii="仿宋" w:hAnsi="仿宋" w:eastAsia="仿宋" w:cs="仿宋"/>
          <w:color w:val="auto"/>
          <w:sz w:val="28"/>
          <w:szCs w:val="28"/>
          <w:highlight w:val="none"/>
          <w:lang w:eastAsia="zh-CN"/>
        </w:rPr>
      </w:pPr>
      <w:r>
        <w:rPr>
          <w:rFonts w:hint="eastAsia" w:ascii="仿宋" w:hAnsi="仿宋" w:eastAsia="仿宋" w:cs="仿宋"/>
          <w:bCs/>
          <w:color w:val="auto"/>
          <w:kern w:val="0"/>
          <w:sz w:val="28"/>
          <w:szCs w:val="28"/>
          <w:highlight w:val="none"/>
          <w:shd w:val="clear" w:color="auto" w:fill="FFFFFF"/>
        </w:rPr>
        <w:fldChar w:fldCharType="begin"/>
      </w:r>
      <w:r>
        <w:rPr>
          <w:rFonts w:hint="eastAsia" w:ascii="仿宋" w:hAnsi="仿宋" w:eastAsia="仿宋" w:cs="仿宋"/>
          <w:bCs/>
          <w:color w:val="auto"/>
          <w:kern w:val="0"/>
          <w:sz w:val="28"/>
          <w:szCs w:val="28"/>
          <w:highlight w:val="none"/>
          <w:shd w:val="clear" w:color="auto" w:fill="FFFFFF"/>
        </w:rPr>
        <w:instrText xml:space="preserve"> HYPERLINK \l _Toc2534 </w:instrText>
      </w:r>
      <w:r>
        <w:rPr>
          <w:rFonts w:hint="eastAsia" w:ascii="仿宋" w:hAnsi="仿宋" w:eastAsia="仿宋" w:cs="仿宋"/>
          <w:bCs/>
          <w:color w:val="auto"/>
          <w:kern w:val="0"/>
          <w:sz w:val="28"/>
          <w:szCs w:val="28"/>
          <w:highlight w:val="none"/>
          <w:shd w:val="clear" w:color="auto" w:fill="FFFFFF"/>
        </w:rPr>
        <w:fldChar w:fldCharType="separate"/>
      </w:r>
      <w:r>
        <w:rPr>
          <w:rFonts w:hint="eastAsia" w:ascii="仿宋" w:hAnsi="仿宋" w:eastAsia="仿宋" w:cs="仿宋"/>
          <w:color w:val="auto"/>
          <w:sz w:val="28"/>
          <w:szCs w:val="28"/>
          <w:highlight w:val="none"/>
        </w:rPr>
        <w:t>第六章 电子化响应文件内容及格式</w:t>
      </w:r>
      <w:r>
        <w:rPr>
          <w:rFonts w:hint="eastAsia" w:ascii="仿宋" w:hAnsi="仿宋" w:eastAsia="仿宋" w:cs="仿宋"/>
          <w:color w:val="auto"/>
          <w:sz w:val="28"/>
          <w:szCs w:val="28"/>
          <w:highlight w:val="none"/>
        </w:rPr>
        <w:tab/>
      </w:r>
      <w:r>
        <w:rPr>
          <w:rFonts w:hint="eastAsia" w:ascii="仿宋" w:hAnsi="仿宋" w:eastAsia="仿宋" w:cs="仿宋"/>
          <w:color w:val="auto"/>
          <w:sz w:val="28"/>
          <w:szCs w:val="28"/>
          <w:highlight w:val="none"/>
        </w:rPr>
        <w:t>3</w:t>
      </w:r>
      <w:r>
        <w:rPr>
          <w:rFonts w:hint="eastAsia" w:ascii="仿宋" w:hAnsi="仿宋" w:eastAsia="仿宋" w:cs="仿宋"/>
          <w:bCs/>
          <w:color w:val="auto"/>
          <w:kern w:val="0"/>
          <w:sz w:val="28"/>
          <w:szCs w:val="28"/>
          <w:highlight w:val="none"/>
          <w:shd w:val="clear" w:color="auto" w:fill="FFFFFF"/>
        </w:rPr>
        <w:fldChar w:fldCharType="end"/>
      </w:r>
      <w:r>
        <w:rPr>
          <w:rFonts w:hint="eastAsia" w:ascii="仿宋" w:hAnsi="仿宋" w:eastAsia="仿宋" w:cs="仿宋"/>
          <w:bCs/>
          <w:color w:val="auto"/>
          <w:kern w:val="0"/>
          <w:sz w:val="28"/>
          <w:szCs w:val="28"/>
          <w:highlight w:val="none"/>
          <w:shd w:val="clear" w:color="auto" w:fill="FFFFFF"/>
          <w:lang w:val="en-US" w:eastAsia="zh-CN"/>
        </w:rPr>
        <w:t>5</w:t>
      </w:r>
    </w:p>
    <w:p w14:paraId="629D1A98">
      <w:pPr>
        <w:pStyle w:val="13"/>
        <w:tabs>
          <w:tab w:val="right" w:leader="dot" w:pos="9184"/>
        </w:tabs>
        <w:spacing w:line="600" w:lineRule="auto"/>
        <w:rPr>
          <w:rFonts w:hint="eastAsia" w:ascii="仿宋" w:hAnsi="仿宋" w:eastAsia="仿宋" w:cs="仿宋"/>
          <w:color w:val="auto"/>
          <w:sz w:val="28"/>
          <w:szCs w:val="28"/>
          <w:highlight w:val="none"/>
        </w:rPr>
      </w:pPr>
    </w:p>
    <w:p w14:paraId="7E2D8B9F">
      <w:pPr>
        <w:widowControl/>
        <w:spacing w:before="100" w:beforeAutospacing="1" w:after="100" w:afterAutospacing="1" w:line="600" w:lineRule="auto"/>
        <w:rPr>
          <w:rFonts w:hint="eastAsia" w:ascii="仿宋" w:hAnsi="仿宋" w:eastAsia="仿宋" w:cs="仿宋"/>
          <w:bCs/>
          <w:color w:val="auto"/>
          <w:kern w:val="0"/>
          <w:sz w:val="32"/>
          <w:szCs w:val="32"/>
          <w:highlight w:val="none"/>
          <w:shd w:val="clear" w:color="auto" w:fill="FFFFFF"/>
        </w:rPr>
      </w:pPr>
      <w:r>
        <w:rPr>
          <w:rFonts w:hint="eastAsia" w:ascii="仿宋" w:hAnsi="仿宋" w:eastAsia="仿宋" w:cs="仿宋"/>
          <w:bCs/>
          <w:color w:val="auto"/>
          <w:kern w:val="0"/>
          <w:sz w:val="28"/>
          <w:szCs w:val="28"/>
          <w:highlight w:val="none"/>
          <w:shd w:val="clear" w:color="auto" w:fill="FFFFFF"/>
        </w:rPr>
        <w:fldChar w:fldCharType="end"/>
      </w:r>
    </w:p>
    <w:p w14:paraId="262FABAD">
      <w:pPr>
        <w:pStyle w:val="2"/>
        <w:jc w:val="center"/>
        <w:rPr>
          <w:rFonts w:hint="eastAsia" w:ascii="仿宋" w:hAnsi="仿宋" w:eastAsia="仿宋" w:cs="仿宋"/>
          <w:color w:val="auto"/>
          <w:highlight w:val="none"/>
        </w:rPr>
      </w:pPr>
      <w:bookmarkStart w:id="0" w:name="_Toc28392"/>
      <w:r>
        <w:rPr>
          <w:rFonts w:hint="eastAsia" w:ascii="仿宋" w:hAnsi="仿宋" w:eastAsia="仿宋" w:cs="仿宋"/>
          <w:color w:val="auto"/>
          <w:highlight w:val="none"/>
        </w:rPr>
        <w:br w:type="page"/>
      </w:r>
      <w:r>
        <w:rPr>
          <w:rFonts w:hint="eastAsia" w:ascii="仿宋" w:hAnsi="仿宋" w:eastAsia="仿宋" w:cs="仿宋"/>
          <w:color w:val="auto"/>
          <w:highlight w:val="none"/>
        </w:rPr>
        <w:t>第一章 竞争性磋商公告</w:t>
      </w:r>
      <w:bookmarkEnd w:id="0"/>
    </w:p>
    <w:p w14:paraId="4C2F6266">
      <w:pPr>
        <w:spacing w:line="440" w:lineRule="exact"/>
        <w:ind w:firstLine="484" w:firstLineChars="202"/>
        <w:rPr>
          <w:rFonts w:hint="eastAsia" w:ascii="宋体" w:hAnsi="宋体" w:eastAsia="宋体" w:cs="宋体"/>
          <w:color w:val="auto"/>
          <w:sz w:val="24"/>
          <w:szCs w:val="28"/>
          <w:highlight w:val="none"/>
        </w:rPr>
      </w:pPr>
      <w:r>
        <w:rPr>
          <w:rFonts w:hint="eastAsia" w:ascii="宋体" w:hAnsi="宋体" w:cs="宋体"/>
          <w:color w:val="auto"/>
          <w:sz w:val="24"/>
          <w:szCs w:val="28"/>
          <w:highlight w:val="none"/>
          <w:lang w:eastAsia="zh-CN"/>
        </w:rPr>
        <w:t>灵宝市应急管理局灵宝市非煤矿山安全生产会诊服务项目</w:t>
      </w:r>
      <w:r>
        <w:rPr>
          <w:rFonts w:hint="eastAsia" w:ascii="宋体" w:hAnsi="宋体" w:eastAsia="宋体" w:cs="宋体"/>
          <w:color w:val="auto"/>
          <w:sz w:val="24"/>
          <w:szCs w:val="28"/>
          <w:highlight w:val="none"/>
        </w:rPr>
        <w:t>的潜在供应商应在三门峡市公共资源交易中心网获取竞争性磋商文件，并于</w:t>
      </w:r>
      <w:r>
        <w:rPr>
          <w:rFonts w:hint="eastAsia" w:ascii="宋体" w:hAnsi="宋体" w:cs="宋体"/>
          <w:color w:val="auto"/>
          <w:sz w:val="24"/>
          <w:szCs w:val="28"/>
          <w:highlight w:val="none"/>
          <w:lang w:eastAsia="zh-CN"/>
        </w:rPr>
        <w:t>2026年08月25日08时30分</w:t>
      </w:r>
      <w:r>
        <w:rPr>
          <w:rFonts w:hint="eastAsia" w:ascii="宋体" w:hAnsi="宋体" w:eastAsia="宋体" w:cs="宋体"/>
          <w:color w:val="auto"/>
          <w:sz w:val="24"/>
          <w:szCs w:val="28"/>
          <w:highlight w:val="none"/>
        </w:rPr>
        <w:t>（北京时间）前递交响应文件。</w:t>
      </w:r>
    </w:p>
    <w:p w14:paraId="08A66FA5">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一、项目基本情况</w:t>
      </w:r>
    </w:p>
    <w:p w14:paraId="30E8B0A0">
      <w:pPr>
        <w:spacing w:line="440" w:lineRule="exact"/>
        <w:ind w:firstLine="484" w:firstLineChars="202"/>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sz w:val="24"/>
          <w:szCs w:val="28"/>
          <w:highlight w:val="none"/>
        </w:rPr>
        <w:t>1.项目编号:LBGZ[2026]164-ZC127、灵宝竞磋采购-2026-93</w:t>
      </w:r>
    </w:p>
    <w:p w14:paraId="36F12AD4">
      <w:pPr>
        <w:spacing w:line="440" w:lineRule="exact"/>
        <w:ind w:firstLine="484" w:firstLineChars="202"/>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2.项目名称：</w:t>
      </w:r>
      <w:r>
        <w:rPr>
          <w:rFonts w:hint="eastAsia" w:ascii="宋体" w:hAnsi="宋体" w:cs="宋体"/>
          <w:color w:val="auto"/>
          <w:sz w:val="24"/>
          <w:szCs w:val="24"/>
          <w:highlight w:val="none"/>
          <w:lang w:eastAsia="zh-CN"/>
        </w:rPr>
        <w:t>灵宝市应急管理局灵宝市非煤矿山安全生产会诊服务项目</w:t>
      </w:r>
    </w:p>
    <w:p w14:paraId="7F732E1C">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3.采购方式：竞争性磋商</w:t>
      </w:r>
    </w:p>
    <w:p w14:paraId="2B8E9A6D">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en-US" w:eastAsia="zh-CN"/>
        </w:rPr>
        <w:t>总</w:t>
      </w:r>
      <w:r>
        <w:rPr>
          <w:rFonts w:hint="eastAsia" w:ascii="宋体" w:hAnsi="宋体" w:eastAsia="宋体" w:cs="宋体"/>
          <w:color w:val="auto"/>
          <w:sz w:val="24"/>
          <w:szCs w:val="24"/>
          <w:highlight w:val="none"/>
        </w:rPr>
        <w:t>预算金额：</w:t>
      </w:r>
      <w:r>
        <w:rPr>
          <w:rFonts w:hint="eastAsia" w:ascii="宋体" w:hAnsi="宋体" w:cs="宋体"/>
          <w:color w:val="auto"/>
          <w:sz w:val="24"/>
          <w:szCs w:val="24"/>
          <w:highlight w:val="none"/>
          <w:lang w:val="en-US" w:eastAsia="zh-CN"/>
        </w:rPr>
        <w:t>197万元</w:t>
      </w:r>
    </w:p>
    <w:p w14:paraId="4778725C">
      <w:pPr>
        <w:spacing w:line="440" w:lineRule="exact"/>
        <w:ind w:firstLine="424" w:firstLineChars="17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5.采购需求（包括但不限于标的的名称、数量、简要技术需求或服务要求等）</w:t>
      </w:r>
    </w:p>
    <w:p w14:paraId="4C281BA5">
      <w:pPr>
        <w:spacing w:line="440" w:lineRule="exact"/>
        <w:ind w:firstLine="424" w:firstLineChars="17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5.1采购范围：</w:t>
      </w:r>
      <w:r>
        <w:rPr>
          <w:rFonts w:hint="eastAsia" w:ascii="宋体" w:hAnsi="宋体" w:eastAsia="宋体" w:cs="宋体"/>
          <w:color w:val="auto"/>
          <w:sz w:val="24"/>
          <w:szCs w:val="28"/>
          <w:highlight w:val="none"/>
        </w:rPr>
        <w:t>本项目为</w:t>
      </w:r>
      <w:r>
        <w:rPr>
          <w:rFonts w:hint="eastAsia" w:ascii="宋体" w:hAnsi="宋体" w:cs="宋体"/>
          <w:color w:val="auto"/>
          <w:sz w:val="24"/>
          <w:szCs w:val="28"/>
          <w:highlight w:val="none"/>
          <w:lang w:eastAsia="zh-CN"/>
        </w:rPr>
        <w:t>灵宝市应急管理局灵宝市非煤矿山安全生产会诊服务项目</w:t>
      </w:r>
      <w:r>
        <w:rPr>
          <w:rFonts w:hint="eastAsia" w:ascii="宋体" w:hAnsi="宋体" w:eastAsia="宋体" w:cs="宋体"/>
          <w:color w:val="auto"/>
          <w:sz w:val="24"/>
          <w:szCs w:val="28"/>
          <w:highlight w:val="none"/>
        </w:rPr>
        <w:t>，具体要求详见竞争性磋商文件</w:t>
      </w:r>
      <w:r>
        <w:rPr>
          <w:rFonts w:hint="eastAsia" w:ascii="宋体" w:hAnsi="宋体" w:eastAsia="宋体" w:cs="宋体"/>
          <w:color w:val="auto"/>
          <w:sz w:val="24"/>
          <w:szCs w:val="24"/>
          <w:highlight w:val="none"/>
        </w:rPr>
        <w:t>。</w:t>
      </w:r>
    </w:p>
    <w:p w14:paraId="6F23DF2B">
      <w:pPr>
        <w:spacing w:line="440" w:lineRule="exact"/>
        <w:ind w:firstLine="484" w:firstLineChars="202"/>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5.2资金来源：</w:t>
      </w:r>
      <w:r>
        <w:rPr>
          <w:rFonts w:hint="eastAsia" w:ascii="宋体" w:hAnsi="宋体" w:cs="宋体"/>
          <w:color w:val="auto"/>
          <w:sz w:val="24"/>
          <w:szCs w:val="28"/>
          <w:highlight w:val="none"/>
          <w:lang w:eastAsia="zh-CN"/>
        </w:rPr>
        <w:t>财政资金</w:t>
      </w:r>
      <w:r>
        <w:rPr>
          <w:rFonts w:hint="eastAsia" w:ascii="宋体" w:hAnsi="宋体" w:eastAsia="宋体" w:cs="宋体"/>
          <w:color w:val="auto"/>
          <w:sz w:val="24"/>
          <w:szCs w:val="28"/>
          <w:highlight w:val="none"/>
        </w:rPr>
        <w:t>，已落实。</w:t>
      </w:r>
    </w:p>
    <w:p w14:paraId="53886CBD">
      <w:pPr>
        <w:spacing w:line="440" w:lineRule="exact"/>
        <w:ind w:firstLine="484" w:firstLineChars="202"/>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5.3服务期限：</w:t>
      </w:r>
      <w:r>
        <w:rPr>
          <w:rFonts w:hint="eastAsia" w:ascii="宋体" w:hAnsi="宋体" w:cs="宋体"/>
          <w:color w:val="auto"/>
          <w:sz w:val="24"/>
          <w:szCs w:val="28"/>
          <w:highlight w:val="none"/>
          <w:lang w:val="en-US" w:eastAsia="zh-CN"/>
        </w:rPr>
        <w:t>120</w:t>
      </w:r>
      <w:r>
        <w:rPr>
          <w:rFonts w:hint="eastAsia" w:ascii="宋体" w:hAnsi="宋体" w:eastAsia="宋体" w:cs="宋体"/>
          <w:color w:val="auto"/>
          <w:sz w:val="24"/>
          <w:szCs w:val="28"/>
          <w:highlight w:val="none"/>
          <w:lang w:eastAsia="zh-CN"/>
        </w:rPr>
        <w:t>日历天</w:t>
      </w:r>
      <w:r>
        <w:rPr>
          <w:rFonts w:hint="eastAsia" w:ascii="宋体" w:hAnsi="宋体" w:eastAsia="宋体" w:cs="宋体"/>
          <w:color w:val="auto"/>
          <w:sz w:val="24"/>
          <w:szCs w:val="28"/>
          <w:highlight w:val="none"/>
        </w:rPr>
        <w:t>。</w:t>
      </w:r>
    </w:p>
    <w:p w14:paraId="504606E6">
      <w:pPr>
        <w:spacing w:line="440" w:lineRule="exact"/>
        <w:ind w:firstLine="484" w:firstLineChars="202"/>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5.4质量要求：符合国家及行业相关法规、标准和规范，满足采购人需求。</w:t>
      </w:r>
    </w:p>
    <w:p w14:paraId="01DDF7AA">
      <w:pPr>
        <w:spacing w:line="440" w:lineRule="exact"/>
        <w:ind w:firstLine="484" w:firstLineChars="202"/>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5.5服务地点：采购人指定地点。</w:t>
      </w:r>
    </w:p>
    <w:p w14:paraId="5BE34EDC">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6.标段划分：</w:t>
      </w:r>
      <w:r>
        <w:rPr>
          <w:rFonts w:hint="eastAsia" w:ascii="宋体" w:hAnsi="宋体" w:cs="宋体"/>
          <w:color w:val="auto"/>
          <w:sz w:val="24"/>
          <w:szCs w:val="24"/>
          <w:highlight w:val="none"/>
          <w:lang w:eastAsia="zh-CN"/>
        </w:rPr>
        <w:t>本项目不划分标段</w:t>
      </w:r>
      <w:r>
        <w:rPr>
          <w:rFonts w:hint="eastAsia" w:ascii="宋体" w:hAnsi="宋体" w:eastAsia="宋体" w:cs="宋体"/>
          <w:color w:val="auto"/>
          <w:sz w:val="24"/>
          <w:szCs w:val="24"/>
          <w:highlight w:val="none"/>
        </w:rPr>
        <w:t>。</w:t>
      </w:r>
    </w:p>
    <w:p w14:paraId="63C355D1">
      <w:pPr>
        <w:spacing w:line="440" w:lineRule="exact"/>
        <w:ind w:firstLine="484" w:firstLineChars="202"/>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7.本项目是否接受联合体投标：否</w:t>
      </w:r>
      <w:r>
        <w:rPr>
          <w:rFonts w:hint="eastAsia" w:ascii="宋体" w:hAnsi="宋体" w:cs="宋体"/>
          <w:color w:val="auto"/>
          <w:sz w:val="24"/>
          <w:szCs w:val="24"/>
          <w:highlight w:val="none"/>
          <w:lang w:eastAsia="zh-CN"/>
        </w:rPr>
        <w:t>；</w:t>
      </w:r>
    </w:p>
    <w:p w14:paraId="0FB20D8C">
      <w:pPr>
        <w:spacing w:line="440" w:lineRule="exact"/>
        <w:ind w:firstLine="484" w:firstLineChars="202"/>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8.是否接受进口产品：否</w:t>
      </w:r>
      <w:r>
        <w:rPr>
          <w:rFonts w:hint="eastAsia" w:ascii="宋体" w:hAnsi="宋体" w:cs="宋体"/>
          <w:color w:val="auto"/>
          <w:sz w:val="24"/>
          <w:szCs w:val="24"/>
          <w:highlight w:val="none"/>
          <w:lang w:eastAsia="zh-CN"/>
        </w:rPr>
        <w:t>；</w:t>
      </w:r>
    </w:p>
    <w:p w14:paraId="2E14D3FD">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二、申请人资格要求</w:t>
      </w:r>
    </w:p>
    <w:p w14:paraId="597F1F83">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1.满足《中华人民共和国政府采购法》第二十二条规定；</w:t>
      </w:r>
    </w:p>
    <w:p w14:paraId="17062C8E">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2.落实政府采购政策满足的资格要求：无</w:t>
      </w:r>
    </w:p>
    <w:p w14:paraId="589C058D">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3.本项目的特定资格要求</w:t>
      </w:r>
    </w:p>
    <w:p w14:paraId="224EFD1F">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w:t>
      </w:r>
      <w:r>
        <w:rPr>
          <w:rFonts w:hint="eastAsia" w:ascii="宋体" w:hAnsi="宋体" w:eastAsia="宋体" w:cs="宋体"/>
          <w:color w:val="auto"/>
          <w:sz w:val="24"/>
          <w:szCs w:val="24"/>
          <w:highlight w:val="none"/>
          <w:lang w:eastAsia="zh-CN"/>
        </w:rPr>
        <w:t>、供应商必须是在中国境内注册的独立法人、其他组织，具有独立承担民事责任的能力；</w:t>
      </w:r>
    </w:p>
    <w:p w14:paraId="0941CB84">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lang w:val="en-US" w:eastAsia="zh-CN"/>
        </w:rPr>
        <w:t>3.2、</w:t>
      </w:r>
      <w:r>
        <w:rPr>
          <w:rFonts w:hint="eastAsia" w:ascii="宋体" w:hAnsi="宋体" w:eastAsia="宋体" w:cs="宋体"/>
          <w:i w:val="0"/>
          <w:iCs w:val="0"/>
          <w:caps w:val="0"/>
          <w:color w:val="auto"/>
          <w:spacing w:val="0"/>
          <w:sz w:val="24"/>
          <w:szCs w:val="24"/>
          <w:highlight w:val="none"/>
        </w:rPr>
        <w:t>具有履行本项目采购内容所必须的设备和专业技术服务能力；(提供证明材料或承诺书)</w:t>
      </w:r>
    </w:p>
    <w:p w14:paraId="2B94AE2E">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须提供本单位无商业贿赂和不正当竞争行为承诺书</w:t>
      </w:r>
      <w:r>
        <w:rPr>
          <w:rFonts w:hint="eastAsia" w:ascii="宋体" w:hAnsi="宋体" w:eastAsia="宋体" w:cs="宋体"/>
          <w:color w:val="auto"/>
          <w:sz w:val="24"/>
          <w:szCs w:val="24"/>
          <w:highlight w:val="none"/>
        </w:rPr>
        <w:t>；</w:t>
      </w:r>
    </w:p>
    <w:p w14:paraId="3A549837">
      <w:pPr>
        <w:spacing w:line="440" w:lineRule="exact"/>
        <w:ind w:firstLine="484" w:firstLineChars="202"/>
        <w:rPr>
          <w:rFonts w:hint="eastAsia" w:ascii="宋体" w:hAnsi="宋体" w:eastAsia="宋体" w:cs="宋体"/>
          <w:i w:val="0"/>
          <w:iCs w:val="0"/>
          <w:caps w:val="0"/>
          <w:color w:val="auto"/>
          <w:spacing w:val="0"/>
          <w:sz w:val="24"/>
          <w:szCs w:val="24"/>
          <w:highlight w:val="none"/>
          <w:lang w:val="en-US" w:eastAsia="zh-CN"/>
        </w:rPr>
      </w:pPr>
      <w:r>
        <w:rPr>
          <w:rFonts w:hint="eastAsia" w:ascii="宋体" w:hAnsi="宋体" w:eastAsia="宋体" w:cs="宋体"/>
          <w:i w:val="0"/>
          <w:iCs w:val="0"/>
          <w:caps w:val="0"/>
          <w:color w:val="auto"/>
          <w:spacing w:val="0"/>
          <w:sz w:val="24"/>
          <w:szCs w:val="24"/>
          <w:highlight w:val="none"/>
          <w:lang w:val="en-US" w:eastAsia="zh-CN"/>
        </w:rPr>
        <w:t>3.4</w:t>
      </w:r>
      <w:r>
        <w:rPr>
          <w:rFonts w:hint="eastAsia" w:ascii="宋体" w:hAnsi="宋体" w:cs="宋体"/>
          <w:i w:val="0"/>
          <w:iCs w:val="0"/>
          <w:caps w:val="0"/>
          <w:color w:val="auto"/>
          <w:spacing w:val="0"/>
          <w:sz w:val="24"/>
          <w:szCs w:val="24"/>
          <w:highlight w:val="none"/>
          <w:lang w:val="en-US" w:eastAsia="zh-CN"/>
        </w:rPr>
        <w:t>、供应商须具备行政主管部门颁发的工程设计综合资质甲级或工程设计冶金行业甲级或工程设计冶金行业矿山工程专业甲级或安全评价机构资质；拟派项目负责人具有相关专业高级以上职称，提供劳动合同，提供近期社保缴纳证明。</w:t>
      </w:r>
    </w:p>
    <w:p w14:paraId="2FDBB1E5">
      <w:pPr>
        <w:spacing w:line="440" w:lineRule="exact"/>
        <w:ind w:firstLine="484" w:firstLineChars="202"/>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3.5、参加政府采购活动近三年内，在经营活动中没有重大违法记录（自行作出承诺，格式自拟）；</w:t>
      </w:r>
    </w:p>
    <w:p w14:paraId="2CD6DF43">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3.6、</w:t>
      </w:r>
      <w:r>
        <w:rPr>
          <w:rFonts w:hint="eastAsia" w:ascii="宋体" w:hAnsi="宋体" w:eastAsia="宋体" w:cs="宋体"/>
          <w:color w:val="auto"/>
          <w:sz w:val="24"/>
          <w:szCs w:val="24"/>
          <w:highlight w:val="none"/>
        </w:rPr>
        <w:t>根据《关于在政府采购活动中查询及使用信用记录有关问题的通知》(财库[2016]125号)和豫财购【2016】15号的规定，对列入失信被执行人、重大税收违法失信主体、政府采购严重违法失信行为记录名单的供应商，拒绝参与本项目采购活动；须提供中国执行信息公开网（http://zxgk.court.gov.cn/）关于“失信被执行人”查询截图；信用中国(www.creditchina.gov.cn）关于“重大税收违法失信主体”查询截图；中国政府采购网（www.ccgp.gov.cn）关于“政府采购严重违法失信行为记录名单”查询截图。查询日期自公告发布之日起，查询截止时间为磋商截止时间止。</w:t>
      </w:r>
    </w:p>
    <w:p w14:paraId="3855F8D9">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rPr>
        <w:t>3.</w:t>
      </w:r>
      <w:r>
        <w:rPr>
          <w:rFonts w:hint="eastAsia" w:ascii="宋体" w:hAnsi="宋体" w:eastAsia="宋体" w:cs="宋体"/>
          <w:i w:val="0"/>
          <w:iCs w:val="0"/>
          <w:caps w:val="0"/>
          <w:color w:val="auto"/>
          <w:spacing w:val="0"/>
          <w:sz w:val="24"/>
          <w:szCs w:val="24"/>
          <w:highlight w:val="none"/>
          <w:lang w:eastAsia="zh-CN"/>
        </w:rPr>
        <w:t>7</w:t>
      </w:r>
      <w:r>
        <w:rPr>
          <w:rFonts w:hint="eastAsia" w:ascii="宋体" w:hAnsi="宋体" w:eastAsia="宋体" w:cs="宋体"/>
          <w:i w:val="0"/>
          <w:iCs w:val="0"/>
          <w:caps w:val="0"/>
          <w:color w:val="auto"/>
          <w:spacing w:val="0"/>
          <w:sz w:val="24"/>
          <w:szCs w:val="24"/>
          <w:highlight w:val="none"/>
        </w:rPr>
        <w:t>、单位负责人为同一人或者存在直接控股、管理关系的不同供应商，不得参加同一合同项下的采购活动；（提供“国家企业信用信息公示系统”中查询打印的相关信息并加盖公章；查询信息需包含公司基本信息、股东信息及股权变更信息等相关信息，查询起始日期为本项目公告发布之后，查询截止时间为开标时间同一时间）；</w:t>
      </w:r>
    </w:p>
    <w:p w14:paraId="72F1A474">
      <w:pPr>
        <w:keepNext w:val="0"/>
        <w:keepLines w:val="0"/>
        <w:widowControl/>
        <w:suppressLineNumbers w:val="0"/>
        <w:pBdr>
          <w:top w:val="none" w:color="auto" w:sz="0" w:space="0"/>
          <w:left w:val="none" w:color="auto" w:sz="0" w:space="0"/>
          <w:right w:val="none" w:color="auto" w:sz="0" w:space="0"/>
        </w:pBdr>
        <w:wordWrap w:val="0"/>
        <w:spacing w:before="0" w:beforeAutospacing="0" w:after="0" w:afterAutospacing="0" w:line="440" w:lineRule="exact"/>
        <w:ind w:left="0" w:right="0" w:firstLine="484" w:firstLineChars="202"/>
        <w:jc w:val="both"/>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rPr>
        <w:t>3.</w:t>
      </w:r>
      <w:r>
        <w:rPr>
          <w:rFonts w:hint="eastAsia" w:ascii="宋体" w:hAnsi="宋体" w:eastAsia="宋体" w:cs="宋体"/>
          <w:i w:val="0"/>
          <w:iCs w:val="0"/>
          <w:caps w:val="0"/>
          <w:color w:val="auto"/>
          <w:spacing w:val="0"/>
          <w:sz w:val="24"/>
          <w:szCs w:val="24"/>
          <w:highlight w:val="none"/>
          <w:lang w:val="en-US" w:eastAsia="zh-CN"/>
        </w:rPr>
        <w:t>8</w:t>
      </w:r>
      <w:r>
        <w:rPr>
          <w:rFonts w:hint="eastAsia" w:ascii="宋体" w:hAnsi="宋体" w:eastAsia="宋体" w:cs="宋体"/>
          <w:i w:val="0"/>
          <w:iCs w:val="0"/>
          <w:caps w:val="0"/>
          <w:color w:val="auto"/>
          <w:spacing w:val="0"/>
          <w:sz w:val="24"/>
          <w:szCs w:val="24"/>
          <w:highlight w:val="none"/>
        </w:rPr>
        <w:t>、本次磋商不接受联合体投标；</w:t>
      </w:r>
    </w:p>
    <w:p w14:paraId="69DACD9A">
      <w:pPr>
        <w:keepNext w:val="0"/>
        <w:keepLines w:val="0"/>
        <w:widowControl/>
        <w:suppressLineNumbers w:val="0"/>
        <w:pBdr>
          <w:top w:val="none" w:color="auto" w:sz="0" w:space="0"/>
          <w:left w:val="none" w:color="auto" w:sz="0" w:space="0"/>
          <w:right w:val="none" w:color="auto" w:sz="0" w:space="0"/>
        </w:pBdr>
        <w:wordWrap w:val="0"/>
        <w:spacing w:before="0" w:beforeAutospacing="0" w:after="0" w:afterAutospacing="0" w:line="440" w:lineRule="exact"/>
        <w:ind w:left="0" w:right="0" w:firstLine="484" w:firstLineChars="202"/>
        <w:jc w:val="both"/>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rPr>
        <w:t>3.</w:t>
      </w:r>
      <w:r>
        <w:rPr>
          <w:rFonts w:hint="eastAsia" w:ascii="宋体" w:hAnsi="宋体" w:eastAsia="宋体" w:cs="宋体"/>
          <w:i w:val="0"/>
          <w:iCs w:val="0"/>
          <w:caps w:val="0"/>
          <w:color w:val="auto"/>
          <w:spacing w:val="0"/>
          <w:sz w:val="24"/>
          <w:szCs w:val="24"/>
          <w:highlight w:val="none"/>
          <w:lang w:val="en-US" w:eastAsia="zh-CN"/>
        </w:rPr>
        <w:t>9</w:t>
      </w:r>
      <w:r>
        <w:rPr>
          <w:rFonts w:hint="eastAsia" w:ascii="宋体" w:hAnsi="宋体" w:eastAsia="宋体" w:cs="宋体"/>
          <w:i w:val="0"/>
          <w:iCs w:val="0"/>
          <w:caps w:val="0"/>
          <w:color w:val="auto"/>
          <w:spacing w:val="0"/>
          <w:sz w:val="24"/>
          <w:szCs w:val="24"/>
          <w:highlight w:val="none"/>
        </w:rPr>
        <w:t>、本次磋商实行资格后审。</w:t>
      </w:r>
    </w:p>
    <w:p w14:paraId="140414BD">
      <w:pPr>
        <w:spacing w:line="440" w:lineRule="exact"/>
        <w:ind w:firstLine="484" w:firstLineChars="202"/>
        <w:rPr>
          <w:rFonts w:hint="eastAsia" w:ascii="宋体" w:hAnsi="宋体" w:eastAsia="宋体" w:cs="宋体"/>
          <w:color w:val="auto"/>
          <w:highlight w:val="none"/>
        </w:rPr>
      </w:pPr>
      <w:r>
        <w:rPr>
          <w:rFonts w:hint="eastAsia" w:ascii="宋体" w:hAnsi="宋体" w:eastAsia="宋体" w:cs="宋体"/>
          <w:i w:val="0"/>
          <w:iCs w:val="0"/>
          <w:caps w:val="0"/>
          <w:color w:val="auto"/>
          <w:spacing w:val="0"/>
          <w:sz w:val="24"/>
          <w:szCs w:val="24"/>
          <w:highlight w:val="none"/>
        </w:rPr>
        <w:t>注：被列入失信被执行人、重大税收违法失信主体的企业做无效标处理。招标人或招标代理机构有权对投标人信用记录进行甄别和复查。</w:t>
      </w:r>
    </w:p>
    <w:p w14:paraId="730C28B2">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三、获取采购文件</w:t>
      </w:r>
    </w:p>
    <w:p w14:paraId="55052EEF">
      <w:pPr>
        <w:spacing w:line="440" w:lineRule="exact"/>
        <w:ind w:firstLine="484" w:firstLineChars="202"/>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1.时间：202</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0</w:t>
      </w: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rPr>
        <w:t>月</w:t>
      </w:r>
      <w:r>
        <w:rPr>
          <w:rFonts w:hint="eastAsia" w:ascii="宋体" w:hAnsi="宋体" w:cs="宋体"/>
          <w:color w:val="auto"/>
          <w:sz w:val="24"/>
          <w:szCs w:val="24"/>
          <w:highlight w:val="none"/>
          <w:lang w:val="en-US" w:eastAsia="zh-CN"/>
        </w:rPr>
        <w:t>15</w:t>
      </w:r>
      <w:r>
        <w:rPr>
          <w:rFonts w:hint="eastAsia" w:ascii="宋体" w:hAnsi="宋体" w:eastAsia="宋体" w:cs="宋体"/>
          <w:color w:val="auto"/>
          <w:sz w:val="24"/>
          <w:szCs w:val="24"/>
          <w:highlight w:val="none"/>
        </w:rPr>
        <w:t>日至</w:t>
      </w:r>
      <w:r>
        <w:rPr>
          <w:rFonts w:hint="eastAsia" w:ascii="宋体" w:hAnsi="宋体" w:cs="宋体"/>
          <w:color w:val="auto"/>
          <w:sz w:val="24"/>
          <w:szCs w:val="24"/>
          <w:highlight w:val="none"/>
          <w:lang w:eastAsia="zh-CN"/>
        </w:rPr>
        <w:t>2026年08月25日08时30分</w:t>
      </w:r>
    </w:p>
    <w:p w14:paraId="7DC3C230">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2.地点：三门峡市公共资源交易中心网（网址：</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"http://gzjy.smx.gov.cn）"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http://gzjy.smx.gov.cn）</w:t>
      </w:r>
      <w:r>
        <w:rPr>
          <w:rFonts w:hint="eastAsia" w:ascii="宋体" w:hAnsi="宋体" w:eastAsia="宋体" w:cs="宋体"/>
          <w:color w:val="auto"/>
          <w:sz w:val="24"/>
          <w:szCs w:val="24"/>
          <w:highlight w:val="none"/>
        </w:rPr>
        <w:fldChar w:fldCharType="end"/>
      </w:r>
    </w:p>
    <w:p w14:paraId="35C738A2">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方式：供应商凭CA数字证书通过三门峡市公共资源交易中心网（网址：http://gzjy.smx.gov.cn/），点击交易平台选择“交易主体登录”，登陆系统后，点击采购业务-业务管理-竞争性磋商文件领取菜单-点击领取按钮-领取.smxzf格式的电子竞争性磋商文件。</w:t>
      </w:r>
    </w:p>
    <w:p w14:paraId="68F04BE8">
      <w:pPr>
        <w:spacing w:line="440" w:lineRule="exact"/>
        <w:ind w:firstLine="566" w:firstLineChars="236"/>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办理CA证书链接：http://gzjy.smx.gov.cn/bzzx/008001/20231102/4defc9b5-408e-47f2-9e9f-1f376a06ee1f.html</w:t>
      </w:r>
    </w:p>
    <w:p w14:paraId="613A3C6A">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4.售价：0元</w:t>
      </w:r>
    </w:p>
    <w:p w14:paraId="4752A30C">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四、响应文件提交</w:t>
      </w:r>
    </w:p>
    <w:p w14:paraId="3F69ECA9">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1.时间：</w:t>
      </w:r>
      <w:r>
        <w:rPr>
          <w:rFonts w:hint="eastAsia" w:ascii="宋体" w:hAnsi="宋体" w:cs="宋体"/>
          <w:color w:val="auto"/>
          <w:sz w:val="24"/>
          <w:szCs w:val="24"/>
          <w:highlight w:val="none"/>
          <w:lang w:eastAsia="zh-CN"/>
        </w:rPr>
        <w:t>2026年08月25日08时30分</w:t>
      </w:r>
      <w:r>
        <w:rPr>
          <w:rFonts w:hint="eastAsia" w:ascii="宋体" w:hAnsi="宋体" w:eastAsia="宋体" w:cs="宋体"/>
          <w:color w:val="auto"/>
          <w:sz w:val="24"/>
          <w:szCs w:val="24"/>
          <w:highlight w:val="none"/>
        </w:rPr>
        <w:t>（北京时间）</w:t>
      </w:r>
    </w:p>
    <w:p w14:paraId="0A446127">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2.地点：加密电子竞争性磋商响应文件须在磋商截止时间前通过三门峡市公共资源交易中心电子交易平台加密上传。</w:t>
      </w:r>
    </w:p>
    <w:p w14:paraId="31777458">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五、响应文件开启</w:t>
      </w:r>
    </w:p>
    <w:p w14:paraId="2C94BD77">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1.时间：</w:t>
      </w:r>
      <w:r>
        <w:rPr>
          <w:rFonts w:hint="eastAsia" w:ascii="宋体" w:hAnsi="宋体" w:cs="宋体"/>
          <w:color w:val="auto"/>
          <w:sz w:val="24"/>
          <w:szCs w:val="24"/>
          <w:highlight w:val="none"/>
          <w:lang w:eastAsia="zh-CN"/>
        </w:rPr>
        <w:t>2026年08月25日08时30分</w:t>
      </w:r>
      <w:r>
        <w:rPr>
          <w:rFonts w:hint="eastAsia" w:ascii="宋体" w:hAnsi="宋体" w:eastAsia="宋体" w:cs="宋体"/>
          <w:color w:val="auto"/>
          <w:sz w:val="24"/>
          <w:szCs w:val="24"/>
          <w:highlight w:val="none"/>
        </w:rPr>
        <w:t>（北京时间）</w:t>
      </w:r>
    </w:p>
    <w:p w14:paraId="7FB46167">
      <w:pPr>
        <w:spacing w:line="440" w:lineRule="exact"/>
        <w:ind w:firstLine="484" w:firstLineChars="202"/>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2.地点：</w:t>
      </w:r>
      <w:r>
        <w:rPr>
          <w:rFonts w:hint="eastAsia" w:ascii="宋体" w:hAnsi="宋体" w:eastAsia="宋体" w:cs="宋体"/>
          <w:color w:val="auto"/>
          <w:sz w:val="24"/>
          <w:szCs w:val="24"/>
          <w:highlight w:val="none"/>
          <w:lang w:eastAsia="zh-CN"/>
        </w:rPr>
        <w:t>灵宝市公共资源交易中心</w:t>
      </w:r>
      <w:r>
        <w:rPr>
          <w:rFonts w:hint="eastAsia" w:ascii="宋体" w:hAnsi="宋体" w:cs="宋体"/>
          <w:color w:val="auto"/>
          <w:sz w:val="24"/>
          <w:szCs w:val="24"/>
          <w:highlight w:val="none"/>
          <w:lang w:eastAsia="zh-CN"/>
        </w:rPr>
        <w:t>开标二室评标一室</w:t>
      </w:r>
      <w:r>
        <w:rPr>
          <w:rFonts w:hint="eastAsia" w:ascii="宋体" w:hAnsi="宋体" w:eastAsia="宋体" w:cs="宋体"/>
          <w:color w:val="auto"/>
          <w:sz w:val="24"/>
          <w:szCs w:val="24"/>
          <w:highlight w:val="none"/>
          <w:lang w:eastAsia="zh-CN"/>
        </w:rPr>
        <w:t>（灵宝市金城大道农村信用联社12楼）。</w:t>
      </w:r>
    </w:p>
    <w:p w14:paraId="7050097D">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六、发布公告的媒介</w:t>
      </w:r>
    </w:p>
    <w:p w14:paraId="7A8D4124">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本次公告在《</w:t>
      </w:r>
      <w:r>
        <w:rPr>
          <w:rFonts w:hint="eastAsia" w:ascii="宋体" w:hAnsi="宋体" w:cs="宋体"/>
          <w:color w:val="auto"/>
          <w:sz w:val="24"/>
          <w:szCs w:val="24"/>
          <w:highlight w:val="none"/>
          <w:lang w:eastAsia="zh-CN"/>
        </w:rPr>
        <w:t>河南政府采购网</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中国</w:t>
      </w:r>
      <w:r>
        <w:rPr>
          <w:rFonts w:hint="eastAsia" w:ascii="宋体" w:hAnsi="宋体" w:eastAsia="宋体" w:cs="宋体"/>
          <w:color w:val="auto"/>
          <w:sz w:val="24"/>
          <w:szCs w:val="24"/>
          <w:highlight w:val="none"/>
        </w:rPr>
        <w:t>采购与招标网》《三门峡市公共资源交易中心网》上发布。</w:t>
      </w:r>
    </w:p>
    <w:p w14:paraId="476D4E84">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七、其他补充事宜</w:t>
      </w:r>
    </w:p>
    <w:p w14:paraId="10E2D7F6">
      <w:pPr>
        <w:spacing w:line="440" w:lineRule="exact"/>
        <w:ind w:firstLine="484" w:firstLineChars="202"/>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项目为不见面开标项目，开标当日，供应商无需到开标现场参加开标会议，供应商应当在投标截止时间前，登陆不见面开标大厅选择登陆三门峡市公共资源电子招投标系统进行登陆（网址为http://120.194.249.36:10094/BidOpening/bidopeninghallaction/hall/login）,在线准时参加开标活动并进行磋商响应文件解密等。每位供应商的解密时间为开标时间起30分钟内完成。因供应商原因未能解密、解密失败或解密超时的将被拒绝。</w:t>
      </w:r>
    </w:p>
    <w:p w14:paraId="1829F0CB">
      <w:pPr>
        <w:spacing w:line="440" w:lineRule="exact"/>
        <w:ind w:firstLine="484" w:firstLineChars="202"/>
        <w:jc w:val="left"/>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b/>
          <w:color w:val="auto"/>
          <w:sz w:val="24"/>
          <w:szCs w:val="24"/>
          <w:highlight w:val="none"/>
        </w:rPr>
        <w:t>本项目实行资格后审，审查内容以磋商响应文件为准，其上传资料真实性由供应商自行承担。</w:t>
      </w:r>
    </w:p>
    <w:p w14:paraId="0D4D9009">
      <w:pPr>
        <w:spacing w:line="440" w:lineRule="exact"/>
        <w:ind w:firstLine="484" w:firstLineChars="202"/>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3.评审打分部分按照100分制原则进行，涉及到资格审查、企业业绩等计分部分时，以供应商自行上传到磋商响应文件中的各类相应内容为准。</w:t>
      </w:r>
    </w:p>
    <w:p w14:paraId="0844E526">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4.在竞争性磋商文件中要求供应商按照磋商响应文件格式进行磋商响应文件编制，在磋商响应文件编制时，应明确将供应商企业基本情况、业绩情况编入磋商响应文件中，便于进行资格审查及评标打分。 </w:t>
      </w:r>
    </w:p>
    <w:p w14:paraId="3AF58769">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5.本项目为电子化、无纸化交易项目，开标时不再接受任何纸质资料，为保证您能投标成功，请需仔细阅读竞争性磋商文件和三门峡市公共资源交易中心官网业务办理指南。</w:t>
      </w:r>
    </w:p>
    <w:p w14:paraId="2D6B16F6">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6.根据《河南省财政厅关于优化政府采购营商环境有关问题的通知》（豫财购【2019】4号）第6条的规定，磋商保证金不再收取。</w:t>
      </w:r>
    </w:p>
    <w:p w14:paraId="3879590F">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7.我单位（采购人）严格按三财购【2021】9号文要求的时限发布成交结果公告，发出成交通知书，签订采购合同，上传采购合同。</w:t>
      </w:r>
    </w:p>
    <w:p w14:paraId="1AFA88B2">
      <w:pPr>
        <w:spacing w:line="440" w:lineRule="exact"/>
        <w:ind w:firstLine="484" w:firstLine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八、凡对本次招标提出询问，请按照以下方式联系</w:t>
      </w:r>
    </w:p>
    <w:p w14:paraId="019E579F">
      <w:pPr>
        <w:spacing w:line="440" w:lineRule="exact"/>
        <w:ind w:firstLine="566" w:firstLineChars="236"/>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1.采购人：</w:t>
      </w:r>
      <w:r>
        <w:rPr>
          <w:rFonts w:hint="eastAsia" w:ascii="宋体" w:hAnsi="宋体" w:cs="宋体"/>
          <w:color w:val="auto"/>
          <w:sz w:val="24"/>
          <w:szCs w:val="24"/>
          <w:highlight w:val="none"/>
          <w:lang w:eastAsia="zh-CN"/>
        </w:rPr>
        <w:t>灵宝市应急管理局</w:t>
      </w:r>
    </w:p>
    <w:p w14:paraId="76D89C5F">
      <w:pPr>
        <w:spacing w:line="440" w:lineRule="exact"/>
        <w:ind w:firstLine="566" w:firstLineChars="236"/>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地址：</w:t>
      </w:r>
      <w:r>
        <w:rPr>
          <w:rFonts w:hint="eastAsia" w:ascii="宋体" w:hAnsi="宋体" w:cs="宋体"/>
          <w:color w:val="auto"/>
          <w:sz w:val="24"/>
          <w:szCs w:val="24"/>
          <w:highlight w:val="none"/>
          <w:lang w:eastAsia="zh-CN"/>
        </w:rPr>
        <w:t>灵宝市新华路西段和黄河路交叉口</w:t>
      </w:r>
    </w:p>
    <w:p w14:paraId="7C2E2525">
      <w:pPr>
        <w:spacing w:line="440" w:lineRule="exact"/>
        <w:ind w:firstLine="566" w:firstLineChars="236"/>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联系人：</w:t>
      </w:r>
      <w:r>
        <w:rPr>
          <w:rFonts w:hint="eastAsia" w:ascii="宋体" w:hAnsi="宋体" w:cs="宋体"/>
          <w:color w:val="auto"/>
          <w:sz w:val="24"/>
          <w:szCs w:val="24"/>
          <w:highlight w:val="none"/>
          <w:lang w:val="en-US" w:eastAsia="zh-CN"/>
        </w:rPr>
        <w:t>郭女士</w:t>
      </w:r>
    </w:p>
    <w:p w14:paraId="49666D88">
      <w:pPr>
        <w:spacing w:line="440" w:lineRule="exact"/>
        <w:ind w:firstLine="566" w:firstLineChars="236"/>
        <w:jc w:val="left"/>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联系方式：</w:t>
      </w:r>
      <w:r>
        <w:rPr>
          <w:rFonts w:hint="eastAsia" w:ascii="宋体" w:hAnsi="宋体" w:cs="宋体"/>
          <w:color w:val="auto"/>
          <w:sz w:val="24"/>
          <w:szCs w:val="24"/>
          <w:highlight w:val="none"/>
          <w:lang w:val="en-US" w:eastAsia="zh-CN"/>
        </w:rPr>
        <w:t>0398-8851996</w:t>
      </w:r>
    </w:p>
    <w:p w14:paraId="60F9857E">
      <w:pPr>
        <w:spacing w:line="440" w:lineRule="exact"/>
        <w:ind w:firstLine="566" w:firstLineChars="236"/>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2.采购代理机构：</w:t>
      </w:r>
      <w:r>
        <w:rPr>
          <w:rFonts w:hint="eastAsia" w:ascii="宋体" w:hAnsi="宋体" w:cs="宋体"/>
          <w:color w:val="auto"/>
          <w:sz w:val="24"/>
          <w:szCs w:val="24"/>
          <w:highlight w:val="none"/>
          <w:lang w:eastAsia="zh-CN"/>
        </w:rPr>
        <w:t>河南坤源工程咨询管理有限公司</w:t>
      </w:r>
    </w:p>
    <w:p w14:paraId="38A354AC">
      <w:pPr>
        <w:spacing w:line="440" w:lineRule="exact"/>
        <w:ind w:firstLine="566" w:firstLineChars="236"/>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地址：</w:t>
      </w:r>
      <w:r>
        <w:rPr>
          <w:rFonts w:hint="eastAsia" w:ascii="宋体" w:hAnsi="宋体" w:cs="宋体"/>
          <w:color w:val="auto"/>
          <w:sz w:val="24"/>
          <w:szCs w:val="24"/>
          <w:highlight w:val="none"/>
          <w:lang w:eastAsia="zh-CN"/>
        </w:rPr>
        <w:t>三门峡市甘山路顺昌大厦A座1801室</w:t>
      </w:r>
    </w:p>
    <w:p w14:paraId="43AAD623">
      <w:pPr>
        <w:spacing w:line="440" w:lineRule="exact"/>
        <w:ind w:firstLine="566" w:firstLineChars="236"/>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联系人：</w:t>
      </w:r>
      <w:r>
        <w:rPr>
          <w:rFonts w:hint="eastAsia" w:ascii="宋体" w:hAnsi="宋体" w:cs="宋体"/>
          <w:color w:val="auto"/>
          <w:sz w:val="24"/>
          <w:szCs w:val="24"/>
          <w:highlight w:val="none"/>
          <w:lang w:eastAsia="zh-CN"/>
        </w:rPr>
        <w:t>李先生</w:t>
      </w:r>
    </w:p>
    <w:p w14:paraId="6799EF25">
      <w:pPr>
        <w:spacing w:line="440" w:lineRule="exact"/>
        <w:ind w:firstLine="566" w:firstLineChars="236"/>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联系方式：</w:t>
      </w:r>
      <w:r>
        <w:rPr>
          <w:rFonts w:hint="eastAsia" w:ascii="宋体" w:hAnsi="宋体" w:cs="宋体"/>
          <w:color w:val="auto"/>
          <w:sz w:val="24"/>
          <w:szCs w:val="24"/>
          <w:highlight w:val="none"/>
          <w:lang w:eastAsia="zh-CN"/>
        </w:rPr>
        <w:t>17329111007</w:t>
      </w:r>
    </w:p>
    <w:p w14:paraId="6E3117DF">
      <w:pPr>
        <w:spacing w:line="440" w:lineRule="exact"/>
        <w:ind w:firstLine="540" w:firstLineChars="225"/>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监督单位：</w:t>
      </w:r>
    </w:p>
    <w:p w14:paraId="7F45AD9D">
      <w:pPr>
        <w:spacing w:line="440" w:lineRule="exact"/>
        <w:ind w:firstLine="540" w:firstLineChars="22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监督单位：灵宝市财政局政府采购监督管理科</w:t>
      </w:r>
    </w:p>
    <w:p w14:paraId="05F85B67">
      <w:pPr>
        <w:spacing w:line="440" w:lineRule="exact"/>
        <w:ind w:firstLine="540" w:firstLineChars="22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联系电话：0398-8852670</w:t>
      </w:r>
    </w:p>
    <w:p w14:paraId="449FEDD7">
      <w:pPr>
        <w:spacing w:line="440" w:lineRule="exact"/>
        <w:ind w:firstLine="540" w:firstLineChars="22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监督单位：中 共灵宝市应急管理局委员会</w:t>
      </w:r>
    </w:p>
    <w:p w14:paraId="4788843B">
      <w:pPr>
        <w:spacing w:line="440" w:lineRule="exact"/>
        <w:ind w:firstLine="540" w:firstLineChars="22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电话：0398-8864633</w:t>
      </w:r>
    </w:p>
    <w:p w14:paraId="40AF5B80">
      <w:pPr>
        <w:pStyle w:val="2"/>
        <w:jc w:val="center"/>
        <w:rPr>
          <w:rFonts w:hint="eastAsia" w:ascii="仿宋" w:hAnsi="仿宋" w:eastAsia="仿宋" w:cs="仿宋"/>
          <w:color w:val="auto"/>
          <w:highlight w:val="none"/>
        </w:rPr>
      </w:pPr>
      <w:bookmarkStart w:id="1" w:name="_Toc9836"/>
      <w:r>
        <w:rPr>
          <w:rFonts w:hint="eastAsia" w:ascii="仿宋" w:hAnsi="仿宋" w:eastAsia="仿宋" w:cs="仿宋"/>
          <w:color w:val="auto"/>
          <w:highlight w:val="none"/>
        </w:rPr>
        <w:br w:type="page"/>
      </w:r>
      <w:r>
        <w:rPr>
          <w:rFonts w:hint="eastAsia" w:ascii="仿宋" w:hAnsi="仿宋" w:eastAsia="仿宋" w:cs="仿宋"/>
          <w:color w:val="auto"/>
          <w:highlight w:val="none"/>
        </w:rPr>
        <w:t>第二章 磋商响应供应商须知及前附表</w:t>
      </w:r>
      <w:bookmarkEnd w:id="1"/>
    </w:p>
    <w:p w14:paraId="41668738">
      <w:pPr>
        <w:autoSpaceDE w:val="0"/>
        <w:autoSpaceDN w:val="0"/>
        <w:adjustRightInd w:val="0"/>
        <w:spacing w:line="480" w:lineRule="auto"/>
        <w:jc w:val="left"/>
        <w:rPr>
          <w:rFonts w:hint="eastAsia" w:ascii="仿宋" w:hAnsi="仿宋" w:eastAsia="仿宋" w:cs="仿宋"/>
          <w:color w:val="auto"/>
          <w:highlight w:val="none"/>
        </w:rPr>
      </w:pPr>
      <w:r>
        <w:rPr>
          <w:rFonts w:hint="eastAsia" w:ascii="仿宋" w:hAnsi="仿宋" w:eastAsia="仿宋" w:cs="仿宋"/>
          <w:b/>
          <w:bCs/>
          <w:color w:val="auto"/>
          <w:kern w:val="0"/>
          <w:sz w:val="24"/>
          <w:szCs w:val="24"/>
          <w:highlight w:val="none"/>
        </w:rPr>
        <w:t>磋商响应供应商须知前附表</w:t>
      </w:r>
    </w:p>
    <w:tbl>
      <w:tblPr>
        <w:tblStyle w:val="17"/>
        <w:tblW w:w="9518" w:type="dxa"/>
        <w:jc w:val="center"/>
        <w:tblLayout w:type="fixed"/>
        <w:tblCellMar>
          <w:top w:w="0" w:type="dxa"/>
          <w:left w:w="108" w:type="dxa"/>
          <w:bottom w:w="0" w:type="dxa"/>
          <w:right w:w="108" w:type="dxa"/>
        </w:tblCellMar>
      </w:tblPr>
      <w:tblGrid>
        <w:gridCol w:w="1093"/>
        <w:gridCol w:w="1689"/>
        <w:gridCol w:w="6736"/>
      </w:tblGrid>
      <w:tr w14:paraId="002693CB">
        <w:tblPrEx>
          <w:tblCellMar>
            <w:top w:w="0" w:type="dxa"/>
            <w:left w:w="108" w:type="dxa"/>
            <w:bottom w:w="0" w:type="dxa"/>
            <w:right w:w="108" w:type="dxa"/>
          </w:tblCellMar>
        </w:tblPrEx>
        <w:trPr>
          <w:trHeight w:val="91" w:hRule="atLeast"/>
          <w:jc w:val="center"/>
        </w:trPr>
        <w:tc>
          <w:tcPr>
            <w:tcW w:w="1093" w:type="dxa"/>
            <w:tcBorders>
              <w:top w:val="single" w:color="auto" w:sz="4" w:space="0"/>
              <w:left w:val="single" w:color="auto" w:sz="4" w:space="0"/>
              <w:bottom w:val="single" w:color="auto" w:sz="4" w:space="0"/>
              <w:right w:val="single" w:color="auto" w:sz="4" w:space="0"/>
            </w:tcBorders>
            <w:noWrap w:val="0"/>
            <w:vAlign w:val="center"/>
          </w:tcPr>
          <w:p w14:paraId="3DC1B6FF">
            <w:pPr>
              <w:spacing w:line="460" w:lineRule="exact"/>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条款号</w:t>
            </w:r>
          </w:p>
        </w:tc>
        <w:tc>
          <w:tcPr>
            <w:tcW w:w="1689" w:type="dxa"/>
            <w:tcBorders>
              <w:top w:val="single" w:color="auto" w:sz="4" w:space="0"/>
              <w:left w:val="single" w:color="auto" w:sz="4" w:space="0"/>
              <w:bottom w:val="single" w:color="auto" w:sz="4" w:space="0"/>
              <w:right w:val="single" w:color="auto" w:sz="4" w:space="0"/>
            </w:tcBorders>
            <w:noWrap w:val="0"/>
            <w:vAlign w:val="center"/>
          </w:tcPr>
          <w:p w14:paraId="4D99247A">
            <w:pPr>
              <w:spacing w:line="460" w:lineRule="exact"/>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条款名称</w:t>
            </w:r>
          </w:p>
        </w:tc>
        <w:tc>
          <w:tcPr>
            <w:tcW w:w="6736" w:type="dxa"/>
            <w:tcBorders>
              <w:top w:val="single" w:color="auto" w:sz="4" w:space="0"/>
              <w:left w:val="single" w:color="auto" w:sz="4" w:space="0"/>
              <w:bottom w:val="single" w:color="auto" w:sz="4" w:space="0"/>
              <w:right w:val="single" w:color="auto" w:sz="4" w:space="0"/>
            </w:tcBorders>
            <w:noWrap w:val="0"/>
            <w:vAlign w:val="center"/>
          </w:tcPr>
          <w:p w14:paraId="49648FAC">
            <w:pPr>
              <w:spacing w:line="460" w:lineRule="exact"/>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编列内容</w:t>
            </w:r>
          </w:p>
        </w:tc>
      </w:tr>
      <w:tr w14:paraId="72C2C484">
        <w:tblPrEx>
          <w:tblCellMar>
            <w:top w:w="0" w:type="dxa"/>
            <w:left w:w="108" w:type="dxa"/>
            <w:bottom w:w="0" w:type="dxa"/>
            <w:right w:w="108" w:type="dxa"/>
          </w:tblCellMar>
        </w:tblPrEx>
        <w:trPr>
          <w:trHeight w:val="359" w:hRule="atLeast"/>
          <w:jc w:val="center"/>
        </w:trPr>
        <w:tc>
          <w:tcPr>
            <w:tcW w:w="1093" w:type="dxa"/>
            <w:tcBorders>
              <w:top w:val="single" w:color="auto" w:sz="4" w:space="0"/>
              <w:left w:val="single" w:color="auto" w:sz="4" w:space="0"/>
              <w:bottom w:val="single" w:color="auto" w:sz="4" w:space="0"/>
              <w:right w:val="single" w:color="auto" w:sz="4" w:space="0"/>
            </w:tcBorders>
            <w:noWrap w:val="0"/>
            <w:vAlign w:val="center"/>
          </w:tcPr>
          <w:p w14:paraId="637C2DE9">
            <w:pPr>
              <w:keepLines/>
              <w:numPr>
                <w:ilvl w:val="0"/>
                <w:numId w:val="1"/>
              </w:numPr>
              <w:spacing w:line="360" w:lineRule="auto"/>
              <w:ind w:left="425" w:leftChars="0" w:hanging="425" w:firstLineChars="0"/>
              <w:jc w:val="center"/>
              <w:rPr>
                <w:rFonts w:hint="eastAsia" w:ascii="宋体" w:hAnsi="宋体" w:eastAsia="宋体" w:cs="宋体"/>
                <w:bCs/>
                <w:color w:val="auto"/>
                <w:kern w:val="0"/>
                <w:sz w:val="24"/>
                <w:szCs w:val="24"/>
                <w:highlight w:val="none"/>
              </w:rPr>
            </w:pPr>
          </w:p>
        </w:tc>
        <w:tc>
          <w:tcPr>
            <w:tcW w:w="1689" w:type="dxa"/>
            <w:tcBorders>
              <w:top w:val="single" w:color="auto" w:sz="4" w:space="0"/>
              <w:left w:val="single" w:color="auto" w:sz="4" w:space="0"/>
              <w:bottom w:val="single" w:color="auto" w:sz="4" w:space="0"/>
              <w:right w:val="single" w:color="auto" w:sz="4" w:space="0"/>
            </w:tcBorders>
            <w:noWrap w:val="0"/>
            <w:vAlign w:val="center"/>
          </w:tcPr>
          <w:p w14:paraId="1F49E6CC">
            <w:pPr>
              <w:keepLines/>
              <w:spacing w:line="360"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适用法律法规</w:t>
            </w:r>
          </w:p>
        </w:tc>
        <w:tc>
          <w:tcPr>
            <w:tcW w:w="6736" w:type="dxa"/>
            <w:tcBorders>
              <w:top w:val="single" w:color="auto" w:sz="4" w:space="0"/>
              <w:left w:val="single" w:color="auto" w:sz="4" w:space="0"/>
              <w:bottom w:val="single" w:color="auto" w:sz="4" w:space="0"/>
              <w:right w:val="single" w:color="auto" w:sz="4" w:space="0"/>
            </w:tcBorders>
            <w:noWrap w:val="0"/>
            <w:vAlign w:val="center"/>
          </w:tcPr>
          <w:p w14:paraId="269DBF5E">
            <w:pPr>
              <w:widowControl/>
              <w:tabs>
                <w:tab w:val="left" w:pos="220"/>
              </w:tabs>
              <w:kinsoku w:val="0"/>
              <w:autoSpaceDE w:val="0"/>
              <w:autoSpaceDN w:val="0"/>
              <w:adjustRightInd w:val="0"/>
              <w:snapToGrid w:val="0"/>
              <w:spacing w:line="360" w:lineRule="auto"/>
              <w:ind w:right="105" w:firstLine="348" w:firstLineChars="150"/>
              <w:jc w:val="left"/>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spacing w:val="-4"/>
                <w:kern w:val="0"/>
                <w:sz w:val="24"/>
                <w:szCs w:val="24"/>
                <w:highlight w:val="none"/>
              </w:rPr>
              <w:t>《中华人民共和国政府采购法》《中华人民共和国</w:t>
            </w:r>
            <w:r>
              <w:rPr>
                <w:rFonts w:hint="eastAsia" w:ascii="宋体" w:hAnsi="宋体" w:eastAsia="宋体" w:cs="宋体"/>
                <w:snapToGrid w:val="0"/>
                <w:color w:val="auto"/>
                <w:spacing w:val="-3"/>
                <w:kern w:val="0"/>
                <w:sz w:val="24"/>
                <w:szCs w:val="24"/>
                <w:highlight w:val="none"/>
              </w:rPr>
              <w:t>政</w:t>
            </w:r>
            <w:r>
              <w:rPr>
                <w:rFonts w:hint="eastAsia" w:ascii="宋体" w:hAnsi="宋体" w:eastAsia="宋体" w:cs="宋体"/>
                <w:snapToGrid w:val="0"/>
                <w:color w:val="auto"/>
                <w:spacing w:val="1"/>
                <w:kern w:val="0"/>
                <w:sz w:val="24"/>
                <w:szCs w:val="24"/>
                <w:highlight w:val="none"/>
              </w:rPr>
              <w:t>府采购法实施条例》</w:t>
            </w:r>
            <w:r>
              <w:rPr>
                <w:rFonts w:hint="eastAsia" w:ascii="宋体" w:hAnsi="宋体" w:eastAsia="宋体" w:cs="宋体"/>
                <w:color w:val="auto"/>
                <w:sz w:val="24"/>
                <w:szCs w:val="24"/>
                <w:highlight w:val="none"/>
              </w:rPr>
              <w:t>《政府采购竞争性磋商采购方式管理暂行办法》</w:t>
            </w:r>
            <w:r>
              <w:rPr>
                <w:rFonts w:hint="eastAsia" w:ascii="宋体" w:hAnsi="宋体" w:eastAsia="宋体" w:cs="宋体"/>
                <w:snapToGrid w:val="0"/>
                <w:color w:val="auto"/>
                <w:spacing w:val="1"/>
                <w:kern w:val="0"/>
                <w:sz w:val="24"/>
                <w:szCs w:val="24"/>
                <w:highlight w:val="none"/>
              </w:rPr>
              <w:t>等有关法律、法规和规章的规定</w:t>
            </w:r>
            <w:r>
              <w:rPr>
                <w:rFonts w:hint="eastAsia" w:ascii="宋体" w:hAnsi="宋体" w:eastAsia="宋体" w:cs="宋体"/>
                <w:snapToGrid w:val="0"/>
                <w:color w:val="auto"/>
                <w:spacing w:val="-7"/>
                <w:kern w:val="0"/>
                <w:sz w:val="24"/>
                <w:szCs w:val="24"/>
                <w:highlight w:val="none"/>
              </w:rPr>
              <w:t>，其权利受到上述法律法规的保护。</w:t>
            </w:r>
          </w:p>
        </w:tc>
      </w:tr>
      <w:tr w14:paraId="15D31A8F">
        <w:tblPrEx>
          <w:tblCellMar>
            <w:top w:w="0" w:type="dxa"/>
            <w:left w:w="108" w:type="dxa"/>
            <w:bottom w:w="0" w:type="dxa"/>
            <w:right w:w="108" w:type="dxa"/>
          </w:tblCellMar>
        </w:tblPrEx>
        <w:trPr>
          <w:trHeight w:val="360" w:hRule="atLeast"/>
          <w:jc w:val="center"/>
        </w:trPr>
        <w:tc>
          <w:tcPr>
            <w:tcW w:w="1093" w:type="dxa"/>
            <w:tcBorders>
              <w:top w:val="single" w:color="auto" w:sz="4" w:space="0"/>
              <w:left w:val="single" w:color="auto" w:sz="4" w:space="0"/>
              <w:bottom w:val="single" w:color="auto" w:sz="4" w:space="0"/>
              <w:right w:val="single" w:color="auto" w:sz="4" w:space="0"/>
            </w:tcBorders>
            <w:noWrap w:val="0"/>
            <w:vAlign w:val="center"/>
          </w:tcPr>
          <w:p w14:paraId="4F495930">
            <w:pPr>
              <w:keepLines/>
              <w:numPr>
                <w:ilvl w:val="0"/>
                <w:numId w:val="1"/>
              </w:numPr>
              <w:spacing w:line="360" w:lineRule="auto"/>
              <w:ind w:left="425" w:leftChars="0" w:hanging="425" w:firstLineChars="0"/>
              <w:jc w:val="center"/>
              <w:rPr>
                <w:rFonts w:hint="eastAsia" w:ascii="宋体" w:hAnsi="宋体" w:eastAsia="宋体" w:cs="宋体"/>
                <w:color w:val="auto"/>
                <w:kern w:val="0"/>
                <w:sz w:val="24"/>
                <w:szCs w:val="24"/>
                <w:highlight w:val="none"/>
              </w:rPr>
            </w:pPr>
          </w:p>
        </w:tc>
        <w:tc>
          <w:tcPr>
            <w:tcW w:w="1689" w:type="dxa"/>
            <w:tcBorders>
              <w:top w:val="single" w:color="auto" w:sz="4" w:space="0"/>
              <w:left w:val="single" w:color="auto" w:sz="4" w:space="0"/>
              <w:bottom w:val="single" w:color="auto" w:sz="4" w:space="0"/>
              <w:right w:val="single" w:color="auto" w:sz="4" w:space="0"/>
            </w:tcBorders>
            <w:noWrap w:val="0"/>
            <w:vAlign w:val="center"/>
          </w:tcPr>
          <w:p w14:paraId="627AB40A">
            <w:pPr>
              <w:keepLines/>
              <w:spacing w:line="360"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采购人</w:t>
            </w:r>
          </w:p>
        </w:tc>
        <w:tc>
          <w:tcPr>
            <w:tcW w:w="6736" w:type="dxa"/>
            <w:tcBorders>
              <w:top w:val="single" w:color="auto" w:sz="4" w:space="0"/>
              <w:left w:val="single" w:color="auto" w:sz="4" w:space="0"/>
              <w:bottom w:val="single" w:color="auto" w:sz="4" w:space="0"/>
              <w:right w:val="single" w:color="auto" w:sz="4" w:space="0"/>
            </w:tcBorders>
            <w:noWrap w:val="0"/>
            <w:vAlign w:val="center"/>
          </w:tcPr>
          <w:p w14:paraId="4129BB99">
            <w:pPr>
              <w:spacing w:line="360" w:lineRule="auto"/>
              <w:ind w:firstLine="240" w:firstLineChars="1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名称：</w:t>
            </w:r>
            <w:r>
              <w:rPr>
                <w:rFonts w:hint="eastAsia" w:ascii="宋体" w:hAnsi="宋体" w:cs="宋体"/>
                <w:color w:val="auto"/>
                <w:sz w:val="24"/>
                <w:szCs w:val="24"/>
                <w:highlight w:val="none"/>
                <w:lang w:eastAsia="zh-CN"/>
              </w:rPr>
              <w:t>灵宝市应急管理局</w:t>
            </w:r>
          </w:p>
          <w:p w14:paraId="25F1C91F">
            <w:pPr>
              <w:spacing w:line="360" w:lineRule="auto"/>
              <w:ind w:firstLine="240" w:firstLineChars="1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地址:</w:t>
            </w:r>
            <w:r>
              <w:rPr>
                <w:rFonts w:hint="eastAsia" w:ascii="宋体" w:hAnsi="宋体" w:cs="宋体"/>
                <w:color w:val="auto"/>
                <w:sz w:val="24"/>
                <w:szCs w:val="24"/>
                <w:highlight w:val="none"/>
                <w:lang w:eastAsia="zh-CN"/>
              </w:rPr>
              <w:t>灵宝市新华路西段和黄河路交叉口</w:t>
            </w:r>
          </w:p>
          <w:p w14:paraId="19750530">
            <w:pPr>
              <w:spacing w:line="360" w:lineRule="auto"/>
              <w:ind w:firstLine="240" w:firstLineChars="1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联系人：</w:t>
            </w:r>
            <w:r>
              <w:rPr>
                <w:rFonts w:hint="eastAsia" w:ascii="宋体" w:hAnsi="宋体" w:cs="宋体"/>
                <w:color w:val="auto"/>
                <w:sz w:val="24"/>
                <w:szCs w:val="24"/>
                <w:highlight w:val="none"/>
                <w:lang w:eastAsia="zh-CN"/>
              </w:rPr>
              <w:t>郭女士</w:t>
            </w:r>
          </w:p>
          <w:p w14:paraId="764F5C59">
            <w:pPr>
              <w:spacing w:line="360" w:lineRule="auto"/>
              <w:ind w:firstLine="240" w:firstLineChars="1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联系方式：</w:t>
            </w:r>
            <w:r>
              <w:rPr>
                <w:rFonts w:hint="eastAsia" w:ascii="宋体" w:hAnsi="宋体" w:cs="宋体"/>
                <w:color w:val="auto"/>
                <w:sz w:val="24"/>
                <w:szCs w:val="24"/>
                <w:highlight w:val="none"/>
                <w:lang w:eastAsia="zh-CN"/>
              </w:rPr>
              <w:t>0398-8851996</w:t>
            </w:r>
          </w:p>
        </w:tc>
      </w:tr>
      <w:tr w14:paraId="5A182938">
        <w:tblPrEx>
          <w:tblCellMar>
            <w:top w:w="0" w:type="dxa"/>
            <w:left w:w="108" w:type="dxa"/>
            <w:bottom w:w="0" w:type="dxa"/>
            <w:right w:w="108" w:type="dxa"/>
          </w:tblCellMar>
        </w:tblPrEx>
        <w:trPr>
          <w:trHeight w:val="360" w:hRule="atLeast"/>
          <w:jc w:val="center"/>
        </w:trPr>
        <w:tc>
          <w:tcPr>
            <w:tcW w:w="1093" w:type="dxa"/>
            <w:tcBorders>
              <w:top w:val="single" w:color="auto" w:sz="4" w:space="0"/>
              <w:left w:val="single" w:color="auto" w:sz="4" w:space="0"/>
              <w:bottom w:val="single" w:color="auto" w:sz="4" w:space="0"/>
              <w:right w:val="single" w:color="auto" w:sz="4" w:space="0"/>
            </w:tcBorders>
            <w:noWrap w:val="0"/>
            <w:vAlign w:val="center"/>
          </w:tcPr>
          <w:p w14:paraId="14B06BA9">
            <w:pPr>
              <w:keepLines/>
              <w:numPr>
                <w:ilvl w:val="0"/>
                <w:numId w:val="1"/>
              </w:numPr>
              <w:spacing w:line="360" w:lineRule="auto"/>
              <w:ind w:left="425" w:leftChars="0" w:hanging="425" w:firstLineChars="0"/>
              <w:jc w:val="center"/>
              <w:rPr>
                <w:rFonts w:hint="eastAsia" w:ascii="宋体" w:hAnsi="宋体" w:eastAsia="宋体" w:cs="宋体"/>
                <w:color w:val="auto"/>
                <w:kern w:val="0"/>
                <w:sz w:val="24"/>
                <w:szCs w:val="24"/>
                <w:highlight w:val="none"/>
              </w:rPr>
            </w:pPr>
          </w:p>
        </w:tc>
        <w:tc>
          <w:tcPr>
            <w:tcW w:w="1689" w:type="dxa"/>
            <w:tcBorders>
              <w:top w:val="single" w:color="auto" w:sz="4" w:space="0"/>
              <w:left w:val="single" w:color="auto" w:sz="4" w:space="0"/>
              <w:bottom w:val="single" w:color="auto" w:sz="4" w:space="0"/>
              <w:right w:val="single" w:color="auto" w:sz="4" w:space="0"/>
            </w:tcBorders>
            <w:noWrap w:val="0"/>
            <w:vAlign w:val="center"/>
          </w:tcPr>
          <w:p w14:paraId="7DCA8854">
            <w:pPr>
              <w:keepLines/>
              <w:spacing w:line="360"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采购代理机构</w:t>
            </w:r>
          </w:p>
        </w:tc>
        <w:tc>
          <w:tcPr>
            <w:tcW w:w="6736" w:type="dxa"/>
            <w:tcBorders>
              <w:top w:val="single" w:color="auto" w:sz="4" w:space="0"/>
              <w:left w:val="single" w:color="auto" w:sz="4" w:space="0"/>
              <w:bottom w:val="single" w:color="auto" w:sz="4" w:space="0"/>
              <w:right w:val="single" w:color="auto" w:sz="4" w:space="0"/>
            </w:tcBorders>
            <w:noWrap w:val="0"/>
            <w:vAlign w:val="center"/>
          </w:tcPr>
          <w:p w14:paraId="02CF93F9">
            <w:pPr>
              <w:spacing w:line="360" w:lineRule="auto"/>
              <w:ind w:firstLine="240" w:firstLineChars="1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名称：</w:t>
            </w:r>
            <w:r>
              <w:rPr>
                <w:rFonts w:hint="eastAsia" w:ascii="宋体" w:hAnsi="宋体" w:cs="宋体"/>
                <w:color w:val="auto"/>
                <w:sz w:val="24"/>
                <w:szCs w:val="24"/>
                <w:highlight w:val="none"/>
                <w:lang w:eastAsia="zh-CN"/>
              </w:rPr>
              <w:t>河南坤源工程咨询管理有限公司</w:t>
            </w:r>
          </w:p>
          <w:p w14:paraId="7CFE1BEC">
            <w:pPr>
              <w:spacing w:line="360" w:lineRule="auto"/>
              <w:ind w:firstLine="240" w:firstLineChars="1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地址：</w:t>
            </w:r>
            <w:r>
              <w:rPr>
                <w:rFonts w:hint="eastAsia" w:ascii="宋体" w:hAnsi="宋体" w:cs="宋体"/>
                <w:color w:val="auto"/>
                <w:sz w:val="24"/>
                <w:szCs w:val="24"/>
                <w:highlight w:val="none"/>
                <w:lang w:eastAsia="zh-CN"/>
              </w:rPr>
              <w:t>三门峡市甘山路顺昌大厦A座1801室</w:t>
            </w:r>
          </w:p>
          <w:p w14:paraId="73B6FCA1">
            <w:pPr>
              <w:spacing w:line="360" w:lineRule="auto"/>
              <w:ind w:firstLine="240" w:firstLineChars="1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联系人：</w:t>
            </w:r>
            <w:r>
              <w:rPr>
                <w:rFonts w:hint="eastAsia" w:ascii="宋体" w:hAnsi="宋体" w:cs="宋体"/>
                <w:color w:val="auto"/>
                <w:sz w:val="24"/>
                <w:szCs w:val="24"/>
                <w:highlight w:val="none"/>
                <w:lang w:eastAsia="zh-CN"/>
              </w:rPr>
              <w:t>李先生</w:t>
            </w:r>
          </w:p>
          <w:p w14:paraId="373EAB07">
            <w:pPr>
              <w:spacing w:line="360" w:lineRule="auto"/>
              <w:ind w:firstLine="240" w:firstLineChars="100"/>
              <w:rPr>
                <w:rFonts w:hint="eastAsia" w:ascii="宋体" w:hAnsi="宋体" w:cs="宋体"/>
                <w:color w:val="auto"/>
                <w:sz w:val="24"/>
                <w:szCs w:val="24"/>
                <w:highlight w:val="none"/>
                <w:lang w:eastAsia="zh-CN"/>
              </w:rPr>
            </w:pPr>
            <w:r>
              <w:rPr>
                <w:rFonts w:hint="eastAsia" w:ascii="宋体" w:hAnsi="宋体" w:eastAsia="宋体" w:cs="宋体"/>
                <w:color w:val="auto"/>
                <w:sz w:val="24"/>
                <w:szCs w:val="24"/>
                <w:highlight w:val="none"/>
              </w:rPr>
              <w:t>联系方式：</w:t>
            </w:r>
            <w:r>
              <w:rPr>
                <w:rFonts w:hint="eastAsia" w:ascii="宋体" w:hAnsi="宋体" w:cs="宋体"/>
                <w:color w:val="auto"/>
                <w:sz w:val="24"/>
                <w:szCs w:val="24"/>
                <w:highlight w:val="none"/>
                <w:lang w:eastAsia="zh-CN"/>
              </w:rPr>
              <w:t>17329111007</w:t>
            </w:r>
          </w:p>
          <w:p w14:paraId="7995B3C4">
            <w:pPr>
              <w:spacing w:line="360" w:lineRule="auto"/>
              <w:ind w:firstLine="240" w:firstLineChars="100"/>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邮箱：hnkysmx@163.com</w:t>
            </w:r>
          </w:p>
        </w:tc>
      </w:tr>
      <w:tr w14:paraId="6E68C538">
        <w:tblPrEx>
          <w:tblCellMar>
            <w:top w:w="0" w:type="dxa"/>
            <w:left w:w="108" w:type="dxa"/>
            <w:bottom w:w="0" w:type="dxa"/>
            <w:right w:w="108" w:type="dxa"/>
          </w:tblCellMar>
        </w:tblPrEx>
        <w:trPr>
          <w:trHeight w:val="178" w:hRule="atLeast"/>
          <w:jc w:val="center"/>
        </w:trPr>
        <w:tc>
          <w:tcPr>
            <w:tcW w:w="1093" w:type="dxa"/>
            <w:tcBorders>
              <w:top w:val="single" w:color="auto" w:sz="4" w:space="0"/>
              <w:left w:val="single" w:color="auto" w:sz="4" w:space="0"/>
              <w:bottom w:val="single" w:color="auto" w:sz="4" w:space="0"/>
              <w:right w:val="single" w:color="auto" w:sz="4" w:space="0"/>
            </w:tcBorders>
            <w:noWrap w:val="0"/>
            <w:vAlign w:val="center"/>
          </w:tcPr>
          <w:p w14:paraId="5D477E4F">
            <w:pPr>
              <w:keepLines/>
              <w:numPr>
                <w:ilvl w:val="0"/>
                <w:numId w:val="1"/>
              </w:numPr>
              <w:spacing w:line="360" w:lineRule="auto"/>
              <w:ind w:left="425" w:leftChars="0" w:hanging="425" w:firstLineChars="0"/>
              <w:jc w:val="center"/>
              <w:rPr>
                <w:rFonts w:hint="eastAsia" w:ascii="宋体" w:hAnsi="宋体" w:eastAsia="宋体" w:cs="宋体"/>
                <w:color w:val="auto"/>
                <w:kern w:val="0"/>
                <w:sz w:val="24"/>
                <w:szCs w:val="24"/>
                <w:highlight w:val="none"/>
              </w:rPr>
            </w:pPr>
          </w:p>
        </w:tc>
        <w:tc>
          <w:tcPr>
            <w:tcW w:w="1689" w:type="dxa"/>
            <w:tcBorders>
              <w:top w:val="single" w:color="auto" w:sz="4" w:space="0"/>
              <w:left w:val="single" w:color="auto" w:sz="4" w:space="0"/>
              <w:bottom w:val="single" w:color="auto" w:sz="4" w:space="0"/>
              <w:right w:val="single" w:color="auto" w:sz="4" w:space="0"/>
            </w:tcBorders>
            <w:noWrap w:val="0"/>
            <w:vAlign w:val="center"/>
          </w:tcPr>
          <w:p w14:paraId="05C3A224">
            <w:pPr>
              <w:keepLines/>
              <w:spacing w:line="360"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项目名称</w:t>
            </w:r>
          </w:p>
        </w:tc>
        <w:tc>
          <w:tcPr>
            <w:tcW w:w="6736" w:type="dxa"/>
            <w:tcBorders>
              <w:top w:val="single" w:color="auto" w:sz="4" w:space="0"/>
              <w:left w:val="single" w:color="auto" w:sz="4" w:space="0"/>
              <w:bottom w:val="single" w:color="auto" w:sz="4" w:space="0"/>
              <w:right w:val="single" w:color="auto" w:sz="4" w:space="0"/>
            </w:tcBorders>
            <w:noWrap w:val="0"/>
            <w:vAlign w:val="center"/>
          </w:tcPr>
          <w:p w14:paraId="50A9A571">
            <w:pPr>
              <w:spacing w:line="460" w:lineRule="exact"/>
              <w:ind w:firstLine="240" w:firstLineChars="100"/>
              <w:rPr>
                <w:rFonts w:hint="eastAsia" w:ascii="宋体" w:hAnsi="宋体" w:eastAsia="宋体" w:cs="宋体"/>
                <w:color w:val="auto"/>
                <w:sz w:val="24"/>
                <w:szCs w:val="24"/>
                <w:highlight w:val="none"/>
                <w:lang w:eastAsia="zh-CN"/>
              </w:rPr>
            </w:pPr>
            <w:r>
              <w:rPr>
                <w:rFonts w:hint="eastAsia" w:ascii="宋体" w:hAnsi="宋体" w:cs="宋体"/>
                <w:color w:val="auto"/>
                <w:kern w:val="0"/>
                <w:sz w:val="24"/>
                <w:szCs w:val="24"/>
                <w:highlight w:val="none"/>
                <w:lang w:eastAsia="zh-CN"/>
              </w:rPr>
              <w:t>灵宝市应急管理局灵宝市非煤矿山安全生产会诊服务项目</w:t>
            </w:r>
          </w:p>
        </w:tc>
      </w:tr>
      <w:tr w14:paraId="2A3F09A5">
        <w:tblPrEx>
          <w:tblCellMar>
            <w:top w:w="0" w:type="dxa"/>
            <w:left w:w="108" w:type="dxa"/>
            <w:bottom w:w="0" w:type="dxa"/>
            <w:right w:w="108" w:type="dxa"/>
          </w:tblCellMar>
        </w:tblPrEx>
        <w:trPr>
          <w:trHeight w:val="181" w:hRule="atLeast"/>
          <w:jc w:val="center"/>
        </w:trPr>
        <w:tc>
          <w:tcPr>
            <w:tcW w:w="1093" w:type="dxa"/>
            <w:tcBorders>
              <w:top w:val="single" w:color="auto" w:sz="4" w:space="0"/>
              <w:left w:val="single" w:color="auto" w:sz="4" w:space="0"/>
              <w:bottom w:val="single" w:color="auto" w:sz="4" w:space="0"/>
              <w:right w:val="single" w:color="auto" w:sz="4" w:space="0"/>
            </w:tcBorders>
            <w:noWrap w:val="0"/>
            <w:vAlign w:val="center"/>
          </w:tcPr>
          <w:p w14:paraId="7F65FA36">
            <w:pPr>
              <w:keepLines/>
              <w:numPr>
                <w:ilvl w:val="0"/>
                <w:numId w:val="1"/>
              </w:numPr>
              <w:spacing w:line="360" w:lineRule="auto"/>
              <w:ind w:left="425" w:leftChars="0" w:hanging="425" w:firstLineChars="0"/>
              <w:jc w:val="center"/>
              <w:rPr>
                <w:rFonts w:hint="eastAsia" w:ascii="宋体" w:hAnsi="宋体" w:eastAsia="宋体" w:cs="宋体"/>
                <w:color w:val="auto"/>
                <w:kern w:val="0"/>
                <w:sz w:val="24"/>
                <w:szCs w:val="24"/>
                <w:highlight w:val="none"/>
              </w:rPr>
            </w:pPr>
          </w:p>
        </w:tc>
        <w:tc>
          <w:tcPr>
            <w:tcW w:w="1689" w:type="dxa"/>
            <w:tcBorders>
              <w:top w:val="single" w:color="auto" w:sz="4" w:space="0"/>
              <w:left w:val="single" w:color="auto" w:sz="4" w:space="0"/>
              <w:bottom w:val="single" w:color="auto" w:sz="4" w:space="0"/>
              <w:right w:val="single" w:color="auto" w:sz="4" w:space="0"/>
            </w:tcBorders>
            <w:noWrap w:val="0"/>
            <w:vAlign w:val="center"/>
          </w:tcPr>
          <w:p w14:paraId="46C2F356">
            <w:pPr>
              <w:keepLines/>
              <w:spacing w:line="360"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资金来源及</w:t>
            </w:r>
          </w:p>
          <w:p w14:paraId="3AC53770">
            <w:pPr>
              <w:keepLines/>
              <w:spacing w:line="360"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比例</w:t>
            </w:r>
          </w:p>
        </w:tc>
        <w:tc>
          <w:tcPr>
            <w:tcW w:w="6736" w:type="dxa"/>
            <w:tcBorders>
              <w:top w:val="single" w:color="auto" w:sz="4" w:space="0"/>
              <w:left w:val="single" w:color="auto" w:sz="4" w:space="0"/>
              <w:bottom w:val="single" w:color="auto" w:sz="4" w:space="0"/>
              <w:right w:val="single" w:color="auto" w:sz="4" w:space="0"/>
            </w:tcBorders>
            <w:noWrap w:val="0"/>
            <w:vAlign w:val="center"/>
          </w:tcPr>
          <w:p w14:paraId="4170CAD9">
            <w:pPr>
              <w:spacing w:line="360" w:lineRule="auto"/>
              <w:ind w:firstLine="240" w:firstLineChars="1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财政资金</w:t>
            </w:r>
            <w:r>
              <w:rPr>
                <w:rFonts w:hint="eastAsia" w:ascii="宋体" w:hAnsi="宋体" w:eastAsia="宋体" w:cs="宋体"/>
                <w:color w:val="auto"/>
                <w:sz w:val="24"/>
                <w:szCs w:val="24"/>
                <w:highlight w:val="none"/>
              </w:rPr>
              <w:t>，100%</w:t>
            </w:r>
          </w:p>
        </w:tc>
      </w:tr>
      <w:tr w14:paraId="11382939">
        <w:tblPrEx>
          <w:tblCellMar>
            <w:top w:w="0" w:type="dxa"/>
            <w:left w:w="108" w:type="dxa"/>
            <w:bottom w:w="0" w:type="dxa"/>
            <w:right w:w="108" w:type="dxa"/>
          </w:tblCellMar>
        </w:tblPrEx>
        <w:trPr>
          <w:trHeight w:val="108" w:hRule="atLeast"/>
          <w:jc w:val="center"/>
        </w:trPr>
        <w:tc>
          <w:tcPr>
            <w:tcW w:w="1093" w:type="dxa"/>
            <w:tcBorders>
              <w:top w:val="single" w:color="auto" w:sz="4" w:space="0"/>
              <w:left w:val="single" w:color="auto" w:sz="4" w:space="0"/>
              <w:bottom w:val="single" w:color="auto" w:sz="4" w:space="0"/>
              <w:right w:val="single" w:color="auto" w:sz="4" w:space="0"/>
            </w:tcBorders>
            <w:noWrap w:val="0"/>
            <w:vAlign w:val="center"/>
          </w:tcPr>
          <w:p w14:paraId="08643857">
            <w:pPr>
              <w:keepLines/>
              <w:numPr>
                <w:ilvl w:val="0"/>
                <w:numId w:val="1"/>
              </w:numPr>
              <w:spacing w:line="360" w:lineRule="auto"/>
              <w:ind w:left="425" w:leftChars="0" w:hanging="425" w:firstLineChars="0"/>
              <w:jc w:val="center"/>
              <w:rPr>
                <w:rFonts w:hint="eastAsia" w:ascii="宋体" w:hAnsi="宋体" w:eastAsia="宋体" w:cs="宋体"/>
                <w:color w:val="auto"/>
                <w:kern w:val="0"/>
                <w:sz w:val="24"/>
                <w:szCs w:val="24"/>
                <w:highlight w:val="none"/>
              </w:rPr>
            </w:pPr>
          </w:p>
        </w:tc>
        <w:tc>
          <w:tcPr>
            <w:tcW w:w="1689" w:type="dxa"/>
            <w:tcBorders>
              <w:top w:val="single" w:color="auto" w:sz="4" w:space="0"/>
              <w:left w:val="single" w:color="auto" w:sz="4" w:space="0"/>
              <w:bottom w:val="single" w:color="auto" w:sz="4" w:space="0"/>
              <w:right w:val="single" w:color="auto" w:sz="4" w:space="0"/>
            </w:tcBorders>
            <w:noWrap w:val="0"/>
            <w:vAlign w:val="center"/>
          </w:tcPr>
          <w:p w14:paraId="77DFB3A9">
            <w:pPr>
              <w:keepLines/>
              <w:spacing w:line="360"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资金落实情况</w:t>
            </w:r>
          </w:p>
        </w:tc>
        <w:tc>
          <w:tcPr>
            <w:tcW w:w="6736" w:type="dxa"/>
            <w:tcBorders>
              <w:top w:val="single" w:color="auto" w:sz="4" w:space="0"/>
              <w:left w:val="single" w:color="auto" w:sz="4" w:space="0"/>
              <w:bottom w:val="single" w:color="auto" w:sz="4" w:space="0"/>
              <w:right w:val="single" w:color="auto" w:sz="4" w:space="0"/>
            </w:tcBorders>
            <w:noWrap w:val="0"/>
            <w:vAlign w:val="center"/>
          </w:tcPr>
          <w:p w14:paraId="44864272">
            <w:pPr>
              <w:spacing w:line="360" w:lineRule="auto"/>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已落实</w:t>
            </w:r>
          </w:p>
        </w:tc>
      </w:tr>
      <w:tr w14:paraId="13C96C5B">
        <w:tblPrEx>
          <w:tblCellMar>
            <w:top w:w="0" w:type="dxa"/>
            <w:left w:w="108" w:type="dxa"/>
            <w:bottom w:w="0" w:type="dxa"/>
            <w:right w:w="108" w:type="dxa"/>
          </w:tblCellMar>
        </w:tblPrEx>
        <w:trPr>
          <w:trHeight w:val="108" w:hRule="atLeast"/>
          <w:jc w:val="center"/>
        </w:trPr>
        <w:tc>
          <w:tcPr>
            <w:tcW w:w="1093" w:type="dxa"/>
            <w:tcBorders>
              <w:top w:val="single" w:color="auto" w:sz="4" w:space="0"/>
              <w:left w:val="single" w:color="auto" w:sz="4" w:space="0"/>
              <w:bottom w:val="single" w:color="auto" w:sz="4" w:space="0"/>
              <w:right w:val="single" w:color="auto" w:sz="4" w:space="0"/>
            </w:tcBorders>
            <w:noWrap w:val="0"/>
            <w:vAlign w:val="center"/>
          </w:tcPr>
          <w:p w14:paraId="33E4857C">
            <w:pPr>
              <w:keepLines/>
              <w:numPr>
                <w:ilvl w:val="0"/>
                <w:numId w:val="1"/>
              </w:numPr>
              <w:spacing w:line="360" w:lineRule="auto"/>
              <w:ind w:left="425" w:leftChars="0" w:hanging="425" w:firstLineChars="0"/>
              <w:jc w:val="center"/>
              <w:rPr>
                <w:rFonts w:hint="eastAsia" w:ascii="宋体" w:hAnsi="宋体" w:eastAsia="宋体" w:cs="宋体"/>
                <w:color w:val="auto"/>
                <w:kern w:val="0"/>
                <w:sz w:val="24"/>
                <w:szCs w:val="24"/>
                <w:highlight w:val="none"/>
              </w:rPr>
            </w:pPr>
          </w:p>
        </w:tc>
        <w:tc>
          <w:tcPr>
            <w:tcW w:w="1689" w:type="dxa"/>
            <w:tcBorders>
              <w:top w:val="single" w:color="auto" w:sz="4" w:space="0"/>
              <w:left w:val="single" w:color="auto" w:sz="4" w:space="0"/>
              <w:bottom w:val="single" w:color="auto" w:sz="4" w:space="0"/>
              <w:right w:val="single" w:color="auto" w:sz="4" w:space="0"/>
            </w:tcBorders>
            <w:noWrap w:val="0"/>
            <w:vAlign w:val="center"/>
          </w:tcPr>
          <w:p w14:paraId="101CAC0A">
            <w:pPr>
              <w:keepLines/>
              <w:spacing w:line="360"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预算金额</w:t>
            </w:r>
          </w:p>
        </w:tc>
        <w:tc>
          <w:tcPr>
            <w:tcW w:w="6736" w:type="dxa"/>
            <w:tcBorders>
              <w:top w:val="single" w:color="auto" w:sz="4" w:space="0"/>
              <w:left w:val="single" w:color="auto" w:sz="4" w:space="0"/>
              <w:bottom w:val="single" w:color="auto" w:sz="4" w:space="0"/>
              <w:right w:val="single" w:color="auto" w:sz="4" w:space="0"/>
            </w:tcBorders>
            <w:noWrap w:val="0"/>
            <w:vAlign w:val="center"/>
          </w:tcPr>
          <w:p w14:paraId="7432255E">
            <w:pPr>
              <w:spacing w:line="460" w:lineRule="exact"/>
              <w:ind w:firstLine="240" w:firstLineChars="1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197万元</w:t>
            </w:r>
          </w:p>
        </w:tc>
      </w:tr>
      <w:tr w14:paraId="3623039D">
        <w:tblPrEx>
          <w:tblCellMar>
            <w:top w:w="0" w:type="dxa"/>
            <w:left w:w="108" w:type="dxa"/>
            <w:bottom w:w="0" w:type="dxa"/>
            <w:right w:w="108" w:type="dxa"/>
          </w:tblCellMar>
        </w:tblPrEx>
        <w:trPr>
          <w:trHeight w:val="90" w:hRule="atLeast"/>
          <w:jc w:val="center"/>
        </w:trPr>
        <w:tc>
          <w:tcPr>
            <w:tcW w:w="1093" w:type="dxa"/>
            <w:tcBorders>
              <w:top w:val="single" w:color="auto" w:sz="4" w:space="0"/>
              <w:left w:val="single" w:color="auto" w:sz="4" w:space="0"/>
              <w:bottom w:val="single" w:color="auto" w:sz="4" w:space="0"/>
              <w:right w:val="single" w:color="auto" w:sz="4" w:space="0"/>
            </w:tcBorders>
            <w:noWrap w:val="0"/>
            <w:vAlign w:val="center"/>
          </w:tcPr>
          <w:p w14:paraId="49E93E88">
            <w:pPr>
              <w:keepLines/>
              <w:numPr>
                <w:ilvl w:val="0"/>
                <w:numId w:val="1"/>
              </w:numPr>
              <w:spacing w:line="360" w:lineRule="auto"/>
              <w:ind w:left="425" w:leftChars="0" w:hanging="425" w:firstLineChars="0"/>
              <w:jc w:val="center"/>
              <w:rPr>
                <w:rFonts w:hint="eastAsia" w:ascii="宋体" w:hAnsi="宋体" w:eastAsia="宋体" w:cs="宋体"/>
                <w:color w:val="auto"/>
                <w:kern w:val="0"/>
                <w:sz w:val="24"/>
                <w:szCs w:val="24"/>
                <w:highlight w:val="none"/>
              </w:rPr>
            </w:pPr>
          </w:p>
        </w:tc>
        <w:tc>
          <w:tcPr>
            <w:tcW w:w="1689" w:type="dxa"/>
            <w:tcBorders>
              <w:top w:val="single" w:color="auto" w:sz="4" w:space="0"/>
              <w:left w:val="single" w:color="auto" w:sz="4" w:space="0"/>
              <w:bottom w:val="single" w:color="auto" w:sz="4" w:space="0"/>
              <w:right w:val="single" w:color="auto" w:sz="4" w:space="0"/>
            </w:tcBorders>
            <w:noWrap w:val="0"/>
            <w:vAlign w:val="center"/>
          </w:tcPr>
          <w:p w14:paraId="0DBB7D4C">
            <w:pPr>
              <w:keepLines/>
              <w:spacing w:line="360"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采购范围</w:t>
            </w:r>
          </w:p>
        </w:tc>
        <w:tc>
          <w:tcPr>
            <w:tcW w:w="6736" w:type="dxa"/>
            <w:tcBorders>
              <w:top w:val="single" w:color="auto" w:sz="4" w:space="0"/>
              <w:left w:val="single" w:color="auto" w:sz="4" w:space="0"/>
              <w:bottom w:val="single" w:color="auto" w:sz="4" w:space="0"/>
              <w:right w:val="single" w:color="auto" w:sz="4" w:space="0"/>
            </w:tcBorders>
            <w:noWrap w:val="0"/>
            <w:vAlign w:val="center"/>
          </w:tcPr>
          <w:p w14:paraId="447F8678">
            <w:pPr>
              <w:spacing w:line="360" w:lineRule="auto"/>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本项目为</w:t>
            </w:r>
            <w:r>
              <w:rPr>
                <w:rFonts w:hint="eastAsia" w:ascii="宋体" w:hAnsi="宋体" w:cs="宋体"/>
                <w:color w:val="auto"/>
                <w:sz w:val="24"/>
                <w:szCs w:val="24"/>
                <w:highlight w:val="none"/>
                <w:lang w:eastAsia="zh-CN"/>
              </w:rPr>
              <w:t>灵宝市应急管理局灵宝市非煤矿山安全生产会诊服务项目</w:t>
            </w:r>
            <w:r>
              <w:rPr>
                <w:rFonts w:hint="eastAsia" w:ascii="宋体" w:hAnsi="宋体" w:eastAsia="宋体" w:cs="宋体"/>
                <w:color w:val="auto"/>
                <w:sz w:val="24"/>
                <w:szCs w:val="24"/>
                <w:highlight w:val="none"/>
              </w:rPr>
              <w:t>，具体要求详见竞争性磋商文件第三章。</w:t>
            </w:r>
          </w:p>
        </w:tc>
      </w:tr>
      <w:tr w14:paraId="33322575">
        <w:tblPrEx>
          <w:tblCellMar>
            <w:top w:w="0" w:type="dxa"/>
            <w:left w:w="108" w:type="dxa"/>
            <w:bottom w:w="0" w:type="dxa"/>
            <w:right w:w="108" w:type="dxa"/>
          </w:tblCellMar>
        </w:tblPrEx>
        <w:trPr>
          <w:trHeight w:val="108" w:hRule="atLeast"/>
          <w:jc w:val="center"/>
        </w:trPr>
        <w:tc>
          <w:tcPr>
            <w:tcW w:w="1093" w:type="dxa"/>
            <w:tcBorders>
              <w:top w:val="single" w:color="auto" w:sz="4" w:space="0"/>
              <w:left w:val="single" w:color="auto" w:sz="4" w:space="0"/>
              <w:bottom w:val="single" w:color="auto" w:sz="4" w:space="0"/>
              <w:right w:val="single" w:color="auto" w:sz="4" w:space="0"/>
            </w:tcBorders>
            <w:noWrap w:val="0"/>
            <w:vAlign w:val="center"/>
          </w:tcPr>
          <w:p w14:paraId="5AFBA761">
            <w:pPr>
              <w:keepLines/>
              <w:numPr>
                <w:ilvl w:val="0"/>
                <w:numId w:val="1"/>
              </w:numPr>
              <w:spacing w:line="360" w:lineRule="auto"/>
              <w:ind w:left="425" w:leftChars="0" w:hanging="425" w:firstLineChars="0"/>
              <w:jc w:val="center"/>
              <w:rPr>
                <w:rFonts w:hint="eastAsia" w:ascii="宋体" w:hAnsi="宋体" w:eastAsia="宋体" w:cs="宋体"/>
                <w:color w:val="auto"/>
                <w:kern w:val="0"/>
                <w:sz w:val="24"/>
                <w:szCs w:val="24"/>
                <w:highlight w:val="none"/>
              </w:rPr>
            </w:pPr>
          </w:p>
        </w:tc>
        <w:tc>
          <w:tcPr>
            <w:tcW w:w="1689" w:type="dxa"/>
            <w:tcBorders>
              <w:top w:val="single" w:color="auto" w:sz="4" w:space="0"/>
              <w:left w:val="single" w:color="auto" w:sz="4" w:space="0"/>
              <w:bottom w:val="single" w:color="auto" w:sz="4" w:space="0"/>
              <w:right w:val="single" w:color="auto" w:sz="4" w:space="0"/>
            </w:tcBorders>
            <w:noWrap w:val="0"/>
            <w:vAlign w:val="center"/>
          </w:tcPr>
          <w:p w14:paraId="6A847E3D">
            <w:pPr>
              <w:keepLines/>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服务地点</w:t>
            </w:r>
          </w:p>
        </w:tc>
        <w:tc>
          <w:tcPr>
            <w:tcW w:w="6736" w:type="dxa"/>
            <w:tcBorders>
              <w:top w:val="single" w:color="auto" w:sz="4" w:space="0"/>
              <w:left w:val="single" w:color="auto" w:sz="4" w:space="0"/>
              <w:bottom w:val="single" w:color="auto" w:sz="4" w:space="0"/>
              <w:right w:val="single" w:color="auto" w:sz="4" w:space="0"/>
            </w:tcBorders>
            <w:noWrap w:val="0"/>
            <w:vAlign w:val="center"/>
          </w:tcPr>
          <w:p w14:paraId="790F0A27">
            <w:pPr>
              <w:spacing w:line="360" w:lineRule="auto"/>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采购人指定地点</w:t>
            </w:r>
          </w:p>
        </w:tc>
      </w:tr>
      <w:tr w14:paraId="43D37A6C">
        <w:tblPrEx>
          <w:tblCellMar>
            <w:top w:w="0" w:type="dxa"/>
            <w:left w:w="108" w:type="dxa"/>
            <w:bottom w:w="0" w:type="dxa"/>
            <w:right w:w="108" w:type="dxa"/>
          </w:tblCellMar>
        </w:tblPrEx>
        <w:trPr>
          <w:trHeight w:val="110" w:hRule="atLeast"/>
          <w:jc w:val="center"/>
        </w:trPr>
        <w:tc>
          <w:tcPr>
            <w:tcW w:w="1093" w:type="dxa"/>
            <w:tcBorders>
              <w:top w:val="single" w:color="auto" w:sz="4" w:space="0"/>
              <w:left w:val="single" w:color="auto" w:sz="4" w:space="0"/>
              <w:bottom w:val="single" w:color="auto" w:sz="4" w:space="0"/>
              <w:right w:val="single" w:color="auto" w:sz="4" w:space="0"/>
            </w:tcBorders>
            <w:noWrap w:val="0"/>
            <w:vAlign w:val="center"/>
          </w:tcPr>
          <w:p w14:paraId="7BD15725">
            <w:pPr>
              <w:keepLines/>
              <w:numPr>
                <w:ilvl w:val="0"/>
                <w:numId w:val="1"/>
              </w:numPr>
              <w:spacing w:line="360" w:lineRule="auto"/>
              <w:ind w:left="425" w:leftChars="0" w:hanging="425" w:firstLineChars="0"/>
              <w:jc w:val="center"/>
              <w:rPr>
                <w:rFonts w:hint="eastAsia" w:ascii="宋体" w:hAnsi="宋体" w:eastAsia="宋体" w:cs="宋体"/>
                <w:color w:val="auto"/>
                <w:kern w:val="0"/>
                <w:sz w:val="24"/>
                <w:szCs w:val="24"/>
                <w:highlight w:val="none"/>
              </w:rPr>
            </w:pPr>
          </w:p>
        </w:tc>
        <w:tc>
          <w:tcPr>
            <w:tcW w:w="1689" w:type="dxa"/>
            <w:tcBorders>
              <w:top w:val="single" w:color="auto" w:sz="4" w:space="0"/>
              <w:left w:val="single" w:color="auto" w:sz="4" w:space="0"/>
              <w:bottom w:val="single" w:color="auto" w:sz="4" w:space="0"/>
              <w:right w:val="single" w:color="auto" w:sz="4" w:space="0"/>
            </w:tcBorders>
            <w:noWrap w:val="0"/>
            <w:vAlign w:val="center"/>
          </w:tcPr>
          <w:p w14:paraId="117E846F">
            <w:pPr>
              <w:keepLines/>
              <w:spacing w:line="360"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服务期限</w:t>
            </w:r>
          </w:p>
        </w:tc>
        <w:tc>
          <w:tcPr>
            <w:tcW w:w="6736" w:type="dxa"/>
            <w:tcBorders>
              <w:top w:val="single" w:color="auto" w:sz="4" w:space="0"/>
              <w:left w:val="single" w:color="auto" w:sz="4" w:space="0"/>
              <w:bottom w:val="single" w:color="auto" w:sz="4" w:space="0"/>
              <w:right w:val="single" w:color="auto" w:sz="4" w:space="0"/>
            </w:tcBorders>
            <w:noWrap w:val="0"/>
            <w:vAlign w:val="center"/>
          </w:tcPr>
          <w:p w14:paraId="7AB8E120">
            <w:pPr>
              <w:spacing w:line="360" w:lineRule="auto"/>
              <w:ind w:firstLine="240" w:firstLineChars="10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120</w:t>
            </w:r>
            <w:r>
              <w:rPr>
                <w:rFonts w:hint="eastAsia" w:ascii="宋体" w:hAnsi="宋体" w:eastAsia="宋体" w:cs="宋体"/>
                <w:color w:val="auto"/>
                <w:sz w:val="24"/>
                <w:szCs w:val="24"/>
                <w:highlight w:val="none"/>
                <w:lang w:eastAsia="zh-CN"/>
              </w:rPr>
              <w:t>日历天</w:t>
            </w:r>
          </w:p>
        </w:tc>
      </w:tr>
      <w:tr w14:paraId="2D42CE32">
        <w:tblPrEx>
          <w:tblCellMar>
            <w:top w:w="0" w:type="dxa"/>
            <w:left w:w="108" w:type="dxa"/>
            <w:bottom w:w="0" w:type="dxa"/>
            <w:right w:w="108" w:type="dxa"/>
          </w:tblCellMar>
        </w:tblPrEx>
        <w:trPr>
          <w:trHeight w:val="153" w:hRule="atLeast"/>
          <w:jc w:val="center"/>
        </w:trPr>
        <w:tc>
          <w:tcPr>
            <w:tcW w:w="1093" w:type="dxa"/>
            <w:tcBorders>
              <w:top w:val="single" w:color="auto" w:sz="4" w:space="0"/>
              <w:left w:val="single" w:color="auto" w:sz="4" w:space="0"/>
              <w:bottom w:val="single" w:color="auto" w:sz="4" w:space="0"/>
              <w:right w:val="single" w:color="auto" w:sz="4" w:space="0"/>
            </w:tcBorders>
            <w:noWrap w:val="0"/>
            <w:vAlign w:val="center"/>
          </w:tcPr>
          <w:p w14:paraId="718C9C85">
            <w:pPr>
              <w:keepLines/>
              <w:numPr>
                <w:ilvl w:val="0"/>
                <w:numId w:val="1"/>
              </w:numPr>
              <w:spacing w:line="360" w:lineRule="auto"/>
              <w:ind w:left="425" w:leftChars="0" w:hanging="425" w:firstLineChars="0"/>
              <w:jc w:val="center"/>
              <w:rPr>
                <w:rFonts w:hint="eastAsia" w:ascii="宋体" w:hAnsi="宋体" w:eastAsia="宋体" w:cs="宋体"/>
                <w:color w:val="auto"/>
                <w:kern w:val="0"/>
                <w:sz w:val="24"/>
                <w:szCs w:val="24"/>
                <w:highlight w:val="none"/>
              </w:rPr>
            </w:pPr>
          </w:p>
        </w:tc>
        <w:tc>
          <w:tcPr>
            <w:tcW w:w="1689" w:type="dxa"/>
            <w:tcBorders>
              <w:top w:val="single" w:color="auto" w:sz="4" w:space="0"/>
              <w:left w:val="single" w:color="auto" w:sz="4" w:space="0"/>
              <w:bottom w:val="single" w:color="auto" w:sz="4" w:space="0"/>
              <w:right w:val="single" w:color="auto" w:sz="4" w:space="0"/>
            </w:tcBorders>
            <w:noWrap w:val="0"/>
            <w:vAlign w:val="center"/>
          </w:tcPr>
          <w:p w14:paraId="0561B26E">
            <w:pPr>
              <w:keepLines/>
              <w:spacing w:line="460" w:lineRule="exact"/>
              <w:jc w:val="center"/>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质量要求</w:t>
            </w:r>
          </w:p>
        </w:tc>
        <w:tc>
          <w:tcPr>
            <w:tcW w:w="6736" w:type="dxa"/>
            <w:tcBorders>
              <w:top w:val="single" w:color="auto" w:sz="4" w:space="0"/>
              <w:left w:val="single" w:color="auto" w:sz="4" w:space="0"/>
              <w:bottom w:val="single" w:color="auto" w:sz="4" w:space="0"/>
              <w:right w:val="single" w:color="auto" w:sz="4" w:space="0"/>
            </w:tcBorders>
            <w:noWrap w:val="0"/>
            <w:vAlign w:val="center"/>
          </w:tcPr>
          <w:p w14:paraId="591FE7AB">
            <w:pPr>
              <w:spacing w:line="460" w:lineRule="exact"/>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符合国家及行业相关法规、标准和规范，满足采购人需求</w:t>
            </w:r>
          </w:p>
        </w:tc>
      </w:tr>
      <w:tr w14:paraId="04427008">
        <w:tblPrEx>
          <w:tblCellMar>
            <w:top w:w="0" w:type="dxa"/>
            <w:left w:w="108" w:type="dxa"/>
            <w:bottom w:w="0" w:type="dxa"/>
            <w:right w:w="108" w:type="dxa"/>
          </w:tblCellMar>
        </w:tblPrEx>
        <w:trPr>
          <w:trHeight w:val="1227" w:hRule="atLeast"/>
          <w:jc w:val="center"/>
        </w:trPr>
        <w:tc>
          <w:tcPr>
            <w:tcW w:w="1093" w:type="dxa"/>
            <w:tcBorders>
              <w:top w:val="single" w:color="auto" w:sz="4" w:space="0"/>
              <w:left w:val="single" w:color="auto" w:sz="4" w:space="0"/>
              <w:bottom w:val="single" w:color="auto" w:sz="4" w:space="0"/>
              <w:right w:val="single" w:color="auto" w:sz="4" w:space="0"/>
            </w:tcBorders>
            <w:noWrap w:val="0"/>
            <w:vAlign w:val="center"/>
          </w:tcPr>
          <w:p w14:paraId="707ED47E">
            <w:pPr>
              <w:numPr>
                <w:ilvl w:val="0"/>
                <w:numId w:val="1"/>
              </w:numPr>
              <w:spacing w:line="460" w:lineRule="exact"/>
              <w:ind w:left="425" w:leftChars="0" w:hanging="425" w:firstLineChars="0"/>
              <w:jc w:val="center"/>
              <w:rPr>
                <w:rFonts w:hint="eastAsia" w:ascii="宋体" w:hAnsi="宋体" w:eastAsia="宋体" w:cs="宋体"/>
                <w:color w:val="auto"/>
                <w:sz w:val="24"/>
                <w:szCs w:val="24"/>
                <w:highlight w:val="none"/>
              </w:rPr>
            </w:pPr>
          </w:p>
        </w:tc>
        <w:tc>
          <w:tcPr>
            <w:tcW w:w="1689" w:type="dxa"/>
            <w:tcBorders>
              <w:top w:val="single" w:color="auto" w:sz="4" w:space="0"/>
              <w:left w:val="single" w:color="auto" w:sz="4" w:space="0"/>
              <w:bottom w:val="single" w:color="auto" w:sz="4" w:space="0"/>
              <w:right w:val="single" w:color="auto" w:sz="4" w:space="0"/>
            </w:tcBorders>
            <w:noWrap w:val="0"/>
            <w:vAlign w:val="center"/>
          </w:tcPr>
          <w:p w14:paraId="44D6674F">
            <w:pPr>
              <w:spacing w:line="4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磋商响应供应商资格要求</w:t>
            </w:r>
          </w:p>
        </w:tc>
        <w:tc>
          <w:tcPr>
            <w:tcW w:w="6736" w:type="dxa"/>
            <w:tcBorders>
              <w:top w:val="single" w:color="auto" w:sz="4" w:space="0"/>
              <w:left w:val="single" w:color="auto" w:sz="4" w:space="0"/>
              <w:bottom w:val="single" w:color="auto" w:sz="4" w:space="0"/>
              <w:right w:val="single" w:color="auto" w:sz="4" w:space="0"/>
            </w:tcBorders>
            <w:noWrap w:val="0"/>
            <w:vAlign w:val="center"/>
          </w:tcPr>
          <w:p w14:paraId="1F1C125D">
            <w:pPr>
              <w:ind w:firstLine="240" w:firstLineChars="1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同第一章 “二、申请人资格要求”</w:t>
            </w:r>
          </w:p>
        </w:tc>
      </w:tr>
      <w:tr w14:paraId="136B7DC4">
        <w:tblPrEx>
          <w:tblCellMar>
            <w:top w:w="0" w:type="dxa"/>
            <w:left w:w="108" w:type="dxa"/>
            <w:bottom w:w="0" w:type="dxa"/>
            <w:right w:w="108" w:type="dxa"/>
          </w:tblCellMar>
        </w:tblPrEx>
        <w:trPr>
          <w:trHeight w:val="181" w:hRule="atLeast"/>
          <w:jc w:val="center"/>
        </w:trPr>
        <w:tc>
          <w:tcPr>
            <w:tcW w:w="1093" w:type="dxa"/>
            <w:tcBorders>
              <w:top w:val="single" w:color="auto" w:sz="4" w:space="0"/>
              <w:left w:val="single" w:color="auto" w:sz="4" w:space="0"/>
              <w:bottom w:val="single" w:color="auto" w:sz="4" w:space="0"/>
              <w:right w:val="single" w:color="auto" w:sz="4" w:space="0"/>
            </w:tcBorders>
            <w:noWrap w:val="0"/>
            <w:vAlign w:val="center"/>
          </w:tcPr>
          <w:p w14:paraId="2EAF7B01">
            <w:pPr>
              <w:keepLines/>
              <w:numPr>
                <w:ilvl w:val="0"/>
                <w:numId w:val="1"/>
              </w:numPr>
              <w:spacing w:line="360" w:lineRule="auto"/>
              <w:ind w:left="425" w:leftChars="0" w:hanging="425" w:firstLineChars="0"/>
              <w:jc w:val="center"/>
              <w:rPr>
                <w:rFonts w:hint="eastAsia" w:ascii="宋体" w:hAnsi="宋体" w:eastAsia="宋体" w:cs="宋体"/>
                <w:color w:val="auto"/>
                <w:kern w:val="0"/>
                <w:sz w:val="24"/>
                <w:szCs w:val="24"/>
                <w:highlight w:val="none"/>
              </w:rPr>
            </w:pPr>
          </w:p>
        </w:tc>
        <w:tc>
          <w:tcPr>
            <w:tcW w:w="1689" w:type="dxa"/>
            <w:tcBorders>
              <w:top w:val="single" w:color="auto" w:sz="4" w:space="0"/>
              <w:left w:val="single" w:color="auto" w:sz="4" w:space="0"/>
              <w:bottom w:val="single" w:color="auto" w:sz="4" w:space="0"/>
              <w:right w:val="single" w:color="auto" w:sz="4" w:space="0"/>
            </w:tcBorders>
            <w:noWrap w:val="0"/>
            <w:vAlign w:val="center"/>
          </w:tcPr>
          <w:p w14:paraId="070FB7F2">
            <w:pPr>
              <w:keepLines/>
              <w:spacing w:line="360"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是否接受联合体投标</w:t>
            </w:r>
          </w:p>
        </w:tc>
        <w:tc>
          <w:tcPr>
            <w:tcW w:w="6736" w:type="dxa"/>
            <w:tcBorders>
              <w:top w:val="single" w:color="auto" w:sz="4" w:space="0"/>
              <w:left w:val="single" w:color="auto" w:sz="4" w:space="0"/>
              <w:bottom w:val="single" w:color="auto" w:sz="4" w:space="0"/>
              <w:right w:val="single" w:color="auto" w:sz="4" w:space="0"/>
            </w:tcBorders>
            <w:noWrap w:val="0"/>
            <w:vAlign w:val="center"/>
          </w:tcPr>
          <w:p w14:paraId="06487FF4">
            <w:pPr>
              <w:spacing w:line="360" w:lineRule="auto"/>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■不接受</w:t>
            </w:r>
          </w:p>
        </w:tc>
      </w:tr>
      <w:tr w14:paraId="49FE752A">
        <w:tblPrEx>
          <w:tblCellMar>
            <w:top w:w="0" w:type="dxa"/>
            <w:left w:w="108" w:type="dxa"/>
            <w:bottom w:w="0" w:type="dxa"/>
            <w:right w:w="108" w:type="dxa"/>
          </w:tblCellMar>
        </w:tblPrEx>
        <w:trPr>
          <w:trHeight w:val="92" w:hRule="atLeast"/>
          <w:jc w:val="center"/>
        </w:trPr>
        <w:tc>
          <w:tcPr>
            <w:tcW w:w="1093" w:type="dxa"/>
            <w:tcBorders>
              <w:top w:val="single" w:color="auto" w:sz="4" w:space="0"/>
              <w:left w:val="single" w:color="auto" w:sz="4" w:space="0"/>
              <w:bottom w:val="single" w:color="auto" w:sz="4" w:space="0"/>
              <w:right w:val="single" w:color="auto" w:sz="4" w:space="0"/>
            </w:tcBorders>
            <w:noWrap w:val="0"/>
            <w:vAlign w:val="center"/>
          </w:tcPr>
          <w:p w14:paraId="7FA0AB57">
            <w:pPr>
              <w:numPr>
                <w:ilvl w:val="0"/>
                <w:numId w:val="1"/>
              </w:numPr>
              <w:adjustRightInd w:val="0"/>
              <w:spacing w:line="360" w:lineRule="auto"/>
              <w:ind w:left="425" w:leftChars="0" w:hanging="425" w:firstLineChars="0"/>
              <w:jc w:val="center"/>
              <w:textAlignment w:val="baseline"/>
              <w:rPr>
                <w:rFonts w:hint="eastAsia" w:ascii="宋体" w:hAnsi="宋体" w:eastAsia="宋体" w:cs="宋体"/>
                <w:color w:val="auto"/>
                <w:sz w:val="24"/>
                <w:szCs w:val="24"/>
                <w:highlight w:val="none"/>
              </w:rPr>
            </w:pPr>
          </w:p>
        </w:tc>
        <w:tc>
          <w:tcPr>
            <w:tcW w:w="1689" w:type="dxa"/>
            <w:tcBorders>
              <w:top w:val="single" w:color="auto" w:sz="4" w:space="0"/>
              <w:left w:val="single" w:color="auto" w:sz="4" w:space="0"/>
              <w:bottom w:val="single" w:color="auto" w:sz="4" w:space="0"/>
              <w:right w:val="single" w:color="auto" w:sz="4" w:space="0"/>
            </w:tcBorders>
            <w:noWrap w:val="0"/>
            <w:vAlign w:val="center"/>
          </w:tcPr>
          <w:p w14:paraId="0360DDE1">
            <w:pPr>
              <w:adjustRightInd w:val="0"/>
              <w:spacing w:line="36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踏勘现场</w:t>
            </w:r>
          </w:p>
        </w:tc>
        <w:tc>
          <w:tcPr>
            <w:tcW w:w="6736" w:type="dxa"/>
            <w:tcBorders>
              <w:top w:val="single" w:color="auto" w:sz="4" w:space="0"/>
              <w:left w:val="single" w:color="auto" w:sz="4" w:space="0"/>
              <w:bottom w:val="single" w:color="auto" w:sz="4" w:space="0"/>
              <w:right w:val="single" w:color="auto" w:sz="4" w:space="0"/>
            </w:tcBorders>
            <w:noWrap w:val="0"/>
            <w:vAlign w:val="center"/>
          </w:tcPr>
          <w:p w14:paraId="1DACFFE7">
            <w:pPr>
              <w:topLinePunct/>
              <w:adjustRightInd w:val="0"/>
              <w:spacing w:line="360" w:lineRule="auto"/>
              <w:ind w:firstLine="240" w:firstLineChars="1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■不组织，供应商自行踏勘</w:t>
            </w:r>
          </w:p>
        </w:tc>
      </w:tr>
      <w:tr w14:paraId="1416DBE7">
        <w:tblPrEx>
          <w:tblCellMar>
            <w:top w:w="0" w:type="dxa"/>
            <w:left w:w="108" w:type="dxa"/>
            <w:bottom w:w="0" w:type="dxa"/>
            <w:right w:w="108" w:type="dxa"/>
          </w:tblCellMar>
        </w:tblPrEx>
        <w:trPr>
          <w:trHeight w:val="92" w:hRule="atLeast"/>
          <w:jc w:val="center"/>
        </w:trPr>
        <w:tc>
          <w:tcPr>
            <w:tcW w:w="1093" w:type="dxa"/>
            <w:tcBorders>
              <w:top w:val="single" w:color="auto" w:sz="4" w:space="0"/>
              <w:left w:val="single" w:color="auto" w:sz="4" w:space="0"/>
              <w:bottom w:val="single" w:color="auto" w:sz="4" w:space="0"/>
              <w:right w:val="single" w:color="auto" w:sz="4" w:space="0"/>
            </w:tcBorders>
            <w:noWrap w:val="0"/>
            <w:vAlign w:val="center"/>
          </w:tcPr>
          <w:p w14:paraId="1D3BC298">
            <w:pPr>
              <w:numPr>
                <w:ilvl w:val="0"/>
                <w:numId w:val="1"/>
              </w:numPr>
              <w:autoSpaceDE w:val="0"/>
              <w:autoSpaceDN w:val="0"/>
              <w:adjustRightInd w:val="0"/>
              <w:spacing w:line="360" w:lineRule="auto"/>
              <w:ind w:left="425" w:leftChars="0" w:right="-20" w:rightChars="0" w:hanging="425" w:firstLineChars="0"/>
              <w:jc w:val="center"/>
              <w:rPr>
                <w:rFonts w:hint="eastAsia" w:ascii="宋体" w:hAnsi="宋体" w:eastAsia="宋体" w:cs="宋体"/>
                <w:color w:val="auto"/>
                <w:kern w:val="0"/>
                <w:sz w:val="24"/>
                <w:szCs w:val="24"/>
                <w:highlight w:val="none"/>
              </w:rPr>
            </w:pPr>
          </w:p>
        </w:tc>
        <w:tc>
          <w:tcPr>
            <w:tcW w:w="1689" w:type="dxa"/>
            <w:tcBorders>
              <w:top w:val="single" w:color="auto" w:sz="4" w:space="0"/>
              <w:left w:val="single" w:color="auto" w:sz="4" w:space="0"/>
              <w:bottom w:val="single" w:color="auto" w:sz="4" w:space="0"/>
              <w:right w:val="single" w:color="auto" w:sz="4" w:space="0"/>
            </w:tcBorders>
            <w:noWrap w:val="0"/>
            <w:vAlign w:val="center"/>
          </w:tcPr>
          <w:p w14:paraId="197797DA">
            <w:pPr>
              <w:autoSpaceDE w:val="0"/>
              <w:autoSpaceDN w:val="0"/>
              <w:adjustRightInd w:val="0"/>
              <w:spacing w:line="360" w:lineRule="auto"/>
              <w:ind w:right="-2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磋商预备会</w:t>
            </w:r>
          </w:p>
        </w:tc>
        <w:tc>
          <w:tcPr>
            <w:tcW w:w="6736" w:type="dxa"/>
            <w:tcBorders>
              <w:top w:val="single" w:color="auto" w:sz="4" w:space="0"/>
              <w:left w:val="single" w:color="auto" w:sz="4" w:space="0"/>
              <w:bottom w:val="single" w:color="auto" w:sz="4" w:space="0"/>
              <w:right w:val="single" w:color="auto" w:sz="4" w:space="0"/>
            </w:tcBorders>
            <w:noWrap w:val="0"/>
            <w:vAlign w:val="center"/>
          </w:tcPr>
          <w:p w14:paraId="0573D8B1">
            <w:pPr>
              <w:spacing w:line="360" w:lineRule="auto"/>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■不召开</w:t>
            </w:r>
          </w:p>
        </w:tc>
      </w:tr>
      <w:tr w14:paraId="2ECF4CAC">
        <w:tblPrEx>
          <w:tblCellMar>
            <w:top w:w="0" w:type="dxa"/>
            <w:left w:w="108" w:type="dxa"/>
            <w:bottom w:w="0" w:type="dxa"/>
            <w:right w:w="108" w:type="dxa"/>
          </w:tblCellMar>
        </w:tblPrEx>
        <w:trPr>
          <w:trHeight w:val="92" w:hRule="atLeast"/>
          <w:jc w:val="center"/>
        </w:trPr>
        <w:tc>
          <w:tcPr>
            <w:tcW w:w="1093" w:type="dxa"/>
            <w:tcBorders>
              <w:top w:val="single" w:color="auto" w:sz="4" w:space="0"/>
              <w:left w:val="single" w:color="auto" w:sz="4" w:space="0"/>
              <w:bottom w:val="single" w:color="auto" w:sz="4" w:space="0"/>
              <w:right w:val="single" w:color="auto" w:sz="4" w:space="0"/>
            </w:tcBorders>
            <w:noWrap w:val="0"/>
            <w:vAlign w:val="center"/>
          </w:tcPr>
          <w:p w14:paraId="285F165C">
            <w:pPr>
              <w:numPr>
                <w:ilvl w:val="0"/>
                <w:numId w:val="1"/>
              </w:numPr>
              <w:autoSpaceDE w:val="0"/>
              <w:autoSpaceDN w:val="0"/>
              <w:adjustRightInd w:val="0"/>
              <w:spacing w:line="360" w:lineRule="auto"/>
              <w:ind w:left="425" w:leftChars="0" w:right="-20" w:rightChars="0" w:hanging="425" w:firstLineChars="0"/>
              <w:jc w:val="center"/>
              <w:rPr>
                <w:rFonts w:hint="eastAsia" w:ascii="宋体" w:hAnsi="宋体" w:eastAsia="宋体" w:cs="宋体"/>
                <w:color w:val="auto"/>
                <w:kern w:val="0"/>
                <w:sz w:val="24"/>
                <w:szCs w:val="24"/>
                <w:highlight w:val="none"/>
              </w:rPr>
            </w:pPr>
          </w:p>
        </w:tc>
        <w:tc>
          <w:tcPr>
            <w:tcW w:w="1689" w:type="dxa"/>
            <w:tcBorders>
              <w:top w:val="single" w:color="auto" w:sz="4" w:space="0"/>
              <w:left w:val="single" w:color="auto" w:sz="4" w:space="0"/>
              <w:bottom w:val="single" w:color="auto" w:sz="4" w:space="0"/>
              <w:right w:val="single" w:color="auto" w:sz="4" w:space="0"/>
            </w:tcBorders>
            <w:noWrap w:val="0"/>
            <w:vAlign w:val="center"/>
          </w:tcPr>
          <w:p w14:paraId="1BD4D3D6">
            <w:pPr>
              <w:adjustRightInd w:val="0"/>
              <w:snapToGrid w:val="0"/>
              <w:spacing w:line="360"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spacing w:val="11"/>
                <w:sz w:val="24"/>
                <w:szCs w:val="24"/>
                <w:highlight w:val="none"/>
              </w:rPr>
              <w:t>分包</w:t>
            </w:r>
          </w:p>
        </w:tc>
        <w:tc>
          <w:tcPr>
            <w:tcW w:w="6736" w:type="dxa"/>
            <w:tcBorders>
              <w:top w:val="single" w:color="auto" w:sz="4" w:space="0"/>
              <w:left w:val="single" w:color="auto" w:sz="4" w:space="0"/>
              <w:bottom w:val="single" w:color="auto" w:sz="4" w:space="0"/>
              <w:right w:val="single" w:color="auto" w:sz="4" w:space="0"/>
            </w:tcBorders>
            <w:noWrap w:val="0"/>
            <w:vAlign w:val="center"/>
          </w:tcPr>
          <w:p w14:paraId="41EF190A">
            <w:pPr>
              <w:adjustRightInd w:val="0"/>
              <w:snapToGrid w:val="0"/>
              <w:spacing w:line="360" w:lineRule="auto"/>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pacing w:val="11"/>
                <w:sz w:val="24"/>
                <w:szCs w:val="24"/>
                <w:highlight w:val="none"/>
              </w:rPr>
              <w:t>不允许（转包、分包均不允许）</w:t>
            </w:r>
          </w:p>
        </w:tc>
      </w:tr>
      <w:tr w14:paraId="42295303">
        <w:tblPrEx>
          <w:tblCellMar>
            <w:top w:w="0" w:type="dxa"/>
            <w:left w:w="108" w:type="dxa"/>
            <w:bottom w:w="0" w:type="dxa"/>
            <w:right w:w="108" w:type="dxa"/>
          </w:tblCellMar>
        </w:tblPrEx>
        <w:trPr>
          <w:trHeight w:val="92" w:hRule="atLeast"/>
          <w:jc w:val="center"/>
        </w:trPr>
        <w:tc>
          <w:tcPr>
            <w:tcW w:w="1093" w:type="dxa"/>
            <w:tcBorders>
              <w:top w:val="single" w:color="auto" w:sz="4" w:space="0"/>
              <w:left w:val="single" w:color="auto" w:sz="4" w:space="0"/>
              <w:bottom w:val="single" w:color="auto" w:sz="4" w:space="0"/>
              <w:right w:val="single" w:color="auto" w:sz="4" w:space="0"/>
            </w:tcBorders>
            <w:noWrap w:val="0"/>
            <w:vAlign w:val="center"/>
          </w:tcPr>
          <w:p w14:paraId="071C9252">
            <w:pPr>
              <w:numPr>
                <w:ilvl w:val="0"/>
                <w:numId w:val="1"/>
              </w:numPr>
              <w:autoSpaceDE w:val="0"/>
              <w:autoSpaceDN w:val="0"/>
              <w:adjustRightInd w:val="0"/>
              <w:spacing w:line="360" w:lineRule="auto"/>
              <w:ind w:left="425" w:leftChars="0" w:right="-20" w:rightChars="0" w:hanging="425" w:firstLineChars="0"/>
              <w:jc w:val="center"/>
              <w:rPr>
                <w:rFonts w:hint="eastAsia" w:ascii="宋体" w:hAnsi="宋体" w:eastAsia="宋体" w:cs="宋体"/>
                <w:color w:val="auto"/>
                <w:kern w:val="0"/>
                <w:sz w:val="24"/>
                <w:szCs w:val="24"/>
                <w:highlight w:val="none"/>
              </w:rPr>
            </w:pPr>
          </w:p>
        </w:tc>
        <w:tc>
          <w:tcPr>
            <w:tcW w:w="1689" w:type="dxa"/>
            <w:tcBorders>
              <w:top w:val="single" w:color="auto" w:sz="4" w:space="0"/>
              <w:left w:val="single" w:color="auto" w:sz="4" w:space="0"/>
              <w:bottom w:val="single" w:color="auto" w:sz="4" w:space="0"/>
              <w:right w:val="single" w:color="auto" w:sz="4" w:space="0"/>
            </w:tcBorders>
            <w:noWrap w:val="0"/>
            <w:vAlign w:val="center"/>
          </w:tcPr>
          <w:p w14:paraId="082258D0">
            <w:pPr>
              <w:adjustRightInd w:val="0"/>
              <w:snapToGrid w:val="0"/>
              <w:spacing w:line="360"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spacing w:val="11"/>
                <w:sz w:val="24"/>
                <w:szCs w:val="24"/>
                <w:highlight w:val="none"/>
              </w:rPr>
              <w:t>偏离</w:t>
            </w:r>
          </w:p>
        </w:tc>
        <w:tc>
          <w:tcPr>
            <w:tcW w:w="6736" w:type="dxa"/>
            <w:tcBorders>
              <w:top w:val="single" w:color="auto" w:sz="4" w:space="0"/>
              <w:left w:val="single" w:color="auto" w:sz="4" w:space="0"/>
              <w:bottom w:val="single" w:color="auto" w:sz="4" w:space="0"/>
              <w:right w:val="single" w:color="auto" w:sz="4" w:space="0"/>
            </w:tcBorders>
            <w:noWrap w:val="0"/>
            <w:vAlign w:val="center"/>
          </w:tcPr>
          <w:p w14:paraId="49B5958B">
            <w:pPr>
              <w:adjustRightInd w:val="0"/>
              <w:snapToGrid w:val="0"/>
              <w:spacing w:line="360" w:lineRule="auto"/>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pacing w:val="11"/>
                <w:sz w:val="24"/>
                <w:szCs w:val="24"/>
                <w:highlight w:val="none"/>
              </w:rPr>
              <w:t>不允许</w:t>
            </w:r>
          </w:p>
        </w:tc>
      </w:tr>
      <w:tr w14:paraId="663E673E">
        <w:tblPrEx>
          <w:tblCellMar>
            <w:top w:w="0" w:type="dxa"/>
            <w:left w:w="108" w:type="dxa"/>
            <w:bottom w:w="0" w:type="dxa"/>
            <w:right w:w="108" w:type="dxa"/>
          </w:tblCellMar>
        </w:tblPrEx>
        <w:trPr>
          <w:trHeight w:val="92" w:hRule="atLeast"/>
          <w:jc w:val="center"/>
        </w:trPr>
        <w:tc>
          <w:tcPr>
            <w:tcW w:w="1093" w:type="dxa"/>
            <w:tcBorders>
              <w:top w:val="single" w:color="auto" w:sz="4" w:space="0"/>
              <w:left w:val="single" w:color="auto" w:sz="4" w:space="0"/>
              <w:bottom w:val="single" w:color="auto" w:sz="4" w:space="0"/>
              <w:right w:val="single" w:color="auto" w:sz="4" w:space="0"/>
            </w:tcBorders>
            <w:noWrap w:val="0"/>
            <w:vAlign w:val="center"/>
          </w:tcPr>
          <w:p w14:paraId="248D5F4F">
            <w:pPr>
              <w:numPr>
                <w:ilvl w:val="0"/>
                <w:numId w:val="1"/>
              </w:numPr>
              <w:autoSpaceDE w:val="0"/>
              <w:autoSpaceDN w:val="0"/>
              <w:adjustRightInd w:val="0"/>
              <w:spacing w:line="360" w:lineRule="auto"/>
              <w:ind w:left="425" w:leftChars="0" w:right="-20" w:rightChars="0" w:hanging="425" w:firstLineChars="0"/>
              <w:jc w:val="center"/>
              <w:rPr>
                <w:rFonts w:hint="eastAsia" w:ascii="宋体" w:hAnsi="宋体" w:eastAsia="宋体" w:cs="宋体"/>
                <w:color w:val="auto"/>
                <w:kern w:val="0"/>
                <w:sz w:val="24"/>
                <w:szCs w:val="24"/>
                <w:highlight w:val="none"/>
              </w:rPr>
            </w:pPr>
          </w:p>
        </w:tc>
        <w:tc>
          <w:tcPr>
            <w:tcW w:w="1689" w:type="dxa"/>
            <w:tcBorders>
              <w:top w:val="single" w:color="auto" w:sz="4" w:space="0"/>
              <w:left w:val="single" w:color="auto" w:sz="4" w:space="0"/>
              <w:bottom w:val="single" w:color="auto" w:sz="4" w:space="0"/>
              <w:right w:val="single" w:color="auto" w:sz="4" w:space="0"/>
            </w:tcBorders>
            <w:noWrap w:val="0"/>
            <w:vAlign w:val="center"/>
          </w:tcPr>
          <w:p w14:paraId="0C9E1436">
            <w:pPr>
              <w:adjustRightInd w:val="0"/>
              <w:snapToGrid w:val="0"/>
              <w:spacing w:line="360"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spacing w:val="11"/>
                <w:sz w:val="24"/>
                <w:szCs w:val="24"/>
                <w:highlight w:val="none"/>
              </w:rPr>
              <w:t>构成磋商文件的其他材料</w:t>
            </w:r>
          </w:p>
        </w:tc>
        <w:tc>
          <w:tcPr>
            <w:tcW w:w="6736" w:type="dxa"/>
            <w:tcBorders>
              <w:top w:val="single" w:color="auto" w:sz="4" w:space="0"/>
              <w:left w:val="single" w:color="auto" w:sz="4" w:space="0"/>
              <w:bottom w:val="single" w:color="auto" w:sz="4" w:space="0"/>
              <w:right w:val="single" w:color="auto" w:sz="4" w:space="0"/>
            </w:tcBorders>
            <w:noWrap w:val="0"/>
            <w:vAlign w:val="center"/>
          </w:tcPr>
          <w:p w14:paraId="5C683487">
            <w:pPr>
              <w:adjustRightInd w:val="0"/>
              <w:snapToGrid w:val="0"/>
              <w:spacing w:line="360" w:lineRule="auto"/>
              <w:ind w:firstLine="262" w:firstLineChars="100"/>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采购人在磋商期间发出的竞争性磋商文件修改、磋商答疑纪要及澄清</w:t>
            </w:r>
            <w:r>
              <w:rPr>
                <w:rFonts w:hint="eastAsia" w:ascii="宋体" w:hAnsi="宋体" w:eastAsia="宋体" w:cs="宋体"/>
                <w:color w:val="auto"/>
                <w:sz w:val="24"/>
                <w:szCs w:val="24"/>
                <w:highlight w:val="none"/>
              </w:rPr>
              <w:t>等均是竞争性磋商文件的组成部分</w:t>
            </w:r>
          </w:p>
        </w:tc>
      </w:tr>
      <w:tr w14:paraId="161CB3CB">
        <w:tblPrEx>
          <w:tblCellMar>
            <w:top w:w="0" w:type="dxa"/>
            <w:left w:w="108" w:type="dxa"/>
            <w:bottom w:w="0" w:type="dxa"/>
            <w:right w:w="108" w:type="dxa"/>
          </w:tblCellMar>
        </w:tblPrEx>
        <w:trPr>
          <w:trHeight w:val="359" w:hRule="atLeast"/>
          <w:jc w:val="center"/>
        </w:trPr>
        <w:tc>
          <w:tcPr>
            <w:tcW w:w="1093" w:type="dxa"/>
            <w:tcBorders>
              <w:top w:val="single" w:color="auto" w:sz="4" w:space="0"/>
              <w:left w:val="single" w:color="auto" w:sz="4" w:space="0"/>
              <w:bottom w:val="single" w:color="auto" w:sz="4" w:space="0"/>
              <w:right w:val="single" w:color="auto" w:sz="4" w:space="0"/>
            </w:tcBorders>
            <w:noWrap w:val="0"/>
            <w:vAlign w:val="center"/>
          </w:tcPr>
          <w:p w14:paraId="640637E5">
            <w:pPr>
              <w:keepLines/>
              <w:numPr>
                <w:ilvl w:val="0"/>
                <w:numId w:val="1"/>
              </w:numPr>
              <w:spacing w:line="360" w:lineRule="auto"/>
              <w:ind w:left="425" w:leftChars="0" w:hanging="425" w:firstLineChars="0"/>
              <w:jc w:val="center"/>
              <w:rPr>
                <w:rFonts w:hint="eastAsia" w:ascii="宋体" w:hAnsi="宋体" w:eastAsia="宋体" w:cs="宋体"/>
                <w:color w:val="auto"/>
                <w:sz w:val="24"/>
                <w:szCs w:val="24"/>
                <w:highlight w:val="none"/>
              </w:rPr>
            </w:pPr>
          </w:p>
        </w:tc>
        <w:tc>
          <w:tcPr>
            <w:tcW w:w="1689" w:type="dxa"/>
            <w:tcBorders>
              <w:top w:val="single" w:color="auto" w:sz="4" w:space="0"/>
              <w:left w:val="single" w:color="auto" w:sz="4" w:space="0"/>
              <w:bottom w:val="single" w:color="auto" w:sz="4" w:space="0"/>
              <w:right w:val="single" w:color="auto" w:sz="4" w:space="0"/>
            </w:tcBorders>
            <w:noWrap w:val="0"/>
            <w:vAlign w:val="center"/>
          </w:tcPr>
          <w:p w14:paraId="65776217">
            <w:pPr>
              <w:widowControl/>
              <w:kinsoku w:val="0"/>
              <w:autoSpaceDE w:val="0"/>
              <w:autoSpaceDN w:val="0"/>
              <w:adjustRightInd w:val="0"/>
              <w:snapToGrid w:val="0"/>
              <w:spacing w:line="360" w:lineRule="auto"/>
              <w:ind w:left="143"/>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竞争性磋商文件的澄清或修改的截止时间</w:t>
            </w:r>
          </w:p>
        </w:tc>
        <w:tc>
          <w:tcPr>
            <w:tcW w:w="6736" w:type="dxa"/>
            <w:tcBorders>
              <w:top w:val="single" w:color="auto" w:sz="4" w:space="0"/>
              <w:left w:val="single" w:color="auto" w:sz="4" w:space="0"/>
              <w:bottom w:val="single" w:color="auto" w:sz="4" w:space="0"/>
              <w:right w:val="single" w:color="auto" w:sz="4" w:space="0"/>
            </w:tcBorders>
            <w:noWrap w:val="0"/>
            <w:vAlign w:val="center"/>
          </w:tcPr>
          <w:p w14:paraId="24152D17">
            <w:pPr>
              <w:spacing w:line="360" w:lineRule="auto"/>
              <w:ind w:right="104"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磋商截止5日前，通知所有获取竞争性磋商文件的潜在供应商；不足5日的，顺延提交磋商响应文件的截止时间。</w:t>
            </w:r>
          </w:p>
        </w:tc>
      </w:tr>
      <w:tr w14:paraId="1C1BBC17">
        <w:tblPrEx>
          <w:tblCellMar>
            <w:top w:w="0" w:type="dxa"/>
            <w:left w:w="108" w:type="dxa"/>
            <w:bottom w:w="0" w:type="dxa"/>
            <w:right w:w="108" w:type="dxa"/>
          </w:tblCellMar>
        </w:tblPrEx>
        <w:trPr>
          <w:trHeight w:val="334" w:hRule="atLeast"/>
          <w:jc w:val="center"/>
        </w:trPr>
        <w:tc>
          <w:tcPr>
            <w:tcW w:w="1093" w:type="dxa"/>
            <w:tcBorders>
              <w:top w:val="single" w:color="auto" w:sz="4" w:space="0"/>
              <w:left w:val="single" w:color="auto" w:sz="4" w:space="0"/>
              <w:bottom w:val="single" w:color="auto" w:sz="4" w:space="0"/>
              <w:right w:val="single" w:color="auto" w:sz="4" w:space="0"/>
            </w:tcBorders>
            <w:noWrap w:val="0"/>
            <w:vAlign w:val="center"/>
          </w:tcPr>
          <w:p w14:paraId="77173DDB">
            <w:pPr>
              <w:keepLines/>
              <w:numPr>
                <w:ilvl w:val="0"/>
                <w:numId w:val="1"/>
              </w:numPr>
              <w:spacing w:line="360" w:lineRule="auto"/>
              <w:ind w:left="425" w:leftChars="0" w:hanging="425" w:firstLineChars="0"/>
              <w:jc w:val="center"/>
              <w:rPr>
                <w:rFonts w:hint="eastAsia" w:ascii="宋体" w:hAnsi="宋体" w:eastAsia="宋体" w:cs="宋体"/>
                <w:color w:val="auto"/>
                <w:sz w:val="24"/>
                <w:szCs w:val="24"/>
                <w:highlight w:val="none"/>
              </w:rPr>
            </w:pPr>
          </w:p>
        </w:tc>
        <w:tc>
          <w:tcPr>
            <w:tcW w:w="1689" w:type="dxa"/>
            <w:tcBorders>
              <w:top w:val="single" w:color="auto" w:sz="4" w:space="0"/>
              <w:left w:val="single" w:color="auto" w:sz="4" w:space="0"/>
              <w:bottom w:val="single" w:color="auto" w:sz="4" w:space="0"/>
              <w:right w:val="single" w:color="auto" w:sz="4" w:space="0"/>
            </w:tcBorders>
            <w:noWrap w:val="0"/>
            <w:vAlign w:val="center"/>
          </w:tcPr>
          <w:p w14:paraId="09601A2C">
            <w:pPr>
              <w:widowControl/>
              <w:kinsoku w:val="0"/>
              <w:autoSpaceDE w:val="0"/>
              <w:autoSpaceDN w:val="0"/>
              <w:adjustRightInd w:val="0"/>
              <w:snapToGrid w:val="0"/>
              <w:spacing w:line="360" w:lineRule="auto"/>
              <w:ind w:left="143"/>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竞争性磋商文件的澄清或修改的方式</w:t>
            </w:r>
          </w:p>
        </w:tc>
        <w:tc>
          <w:tcPr>
            <w:tcW w:w="6736" w:type="dxa"/>
            <w:tcBorders>
              <w:top w:val="single" w:color="auto" w:sz="4" w:space="0"/>
              <w:left w:val="single" w:color="auto" w:sz="4" w:space="0"/>
              <w:bottom w:val="single" w:color="auto" w:sz="4" w:space="0"/>
              <w:right w:val="single" w:color="auto" w:sz="4" w:space="0"/>
            </w:tcBorders>
            <w:noWrap w:val="0"/>
            <w:vAlign w:val="center"/>
          </w:tcPr>
          <w:p w14:paraId="258D843A">
            <w:pPr>
              <w:widowControl/>
              <w:kinsoku w:val="0"/>
              <w:autoSpaceDE w:val="0"/>
              <w:autoSpaceDN w:val="0"/>
              <w:adjustRightInd w:val="0"/>
              <w:snapToGrid w:val="0"/>
              <w:spacing w:line="360" w:lineRule="auto"/>
              <w:ind w:right="44" w:firstLine="240" w:firstLineChars="1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竞争性磋商文件的澄清或者修改将通过交易平台系统内部“答疑文件”告知供应商，发布给所有成功下载竞争性磋商文件的供应商，并在原竞争性磋商公告发布媒体上发布澄清公告，但不指明澄清问题的来源。对于项目中已经成功下载竞争性磋商文件的供应商，系统将通过第三方短信群发方式提醒供应商进行查询。各供应商须重新下载最新的答疑文件，以此编制磋商响应文件。</w:t>
            </w:r>
          </w:p>
        </w:tc>
      </w:tr>
      <w:tr w14:paraId="28506E28">
        <w:tblPrEx>
          <w:tblCellMar>
            <w:top w:w="0" w:type="dxa"/>
            <w:left w:w="108" w:type="dxa"/>
            <w:bottom w:w="0" w:type="dxa"/>
            <w:right w:w="108" w:type="dxa"/>
          </w:tblCellMar>
        </w:tblPrEx>
        <w:trPr>
          <w:trHeight w:val="334" w:hRule="atLeast"/>
          <w:jc w:val="center"/>
        </w:trPr>
        <w:tc>
          <w:tcPr>
            <w:tcW w:w="1093" w:type="dxa"/>
            <w:tcBorders>
              <w:top w:val="single" w:color="auto" w:sz="4" w:space="0"/>
              <w:left w:val="single" w:color="auto" w:sz="4" w:space="0"/>
              <w:bottom w:val="single" w:color="auto" w:sz="4" w:space="0"/>
              <w:right w:val="single" w:color="auto" w:sz="4" w:space="0"/>
            </w:tcBorders>
            <w:noWrap w:val="0"/>
            <w:vAlign w:val="center"/>
          </w:tcPr>
          <w:p w14:paraId="53FBDDBD">
            <w:pPr>
              <w:keepLines/>
              <w:numPr>
                <w:ilvl w:val="0"/>
                <w:numId w:val="1"/>
              </w:numPr>
              <w:spacing w:line="360" w:lineRule="auto"/>
              <w:ind w:left="425" w:leftChars="0" w:hanging="425" w:firstLineChars="0"/>
              <w:jc w:val="center"/>
              <w:rPr>
                <w:rFonts w:hint="eastAsia" w:ascii="宋体" w:hAnsi="宋体" w:eastAsia="宋体" w:cs="宋体"/>
                <w:color w:val="auto"/>
                <w:sz w:val="24"/>
                <w:szCs w:val="24"/>
                <w:highlight w:val="none"/>
              </w:rPr>
            </w:pPr>
          </w:p>
        </w:tc>
        <w:tc>
          <w:tcPr>
            <w:tcW w:w="1689" w:type="dxa"/>
            <w:tcBorders>
              <w:top w:val="single" w:color="auto" w:sz="4" w:space="0"/>
              <w:left w:val="single" w:color="auto" w:sz="4" w:space="0"/>
              <w:bottom w:val="single" w:color="auto" w:sz="4" w:space="0"/>
              <w:right w:val="single" w:color="auto" w:sz="4" w:space="0"/>
            </w:tcBorders>
            <w:noWrap w:val="0"/>
            <w:vAlign w:val="center"/>
          </w:tcPr>
          <w:p w14:paraId="249C2D1D">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构成响应文件的其他材料</w:t>
            </w:r>
          </w:p>
        </w:tc>
        <w:tc>
          <w:tcPr>
            <w:tcW w:w="6736" w:type="dxa"/>
            <w:tcBorders>
              <w:top w:val="single" w:color="auto" w:sz="4" w:space="0"/>
              <w:left w:val="single" w:color="auto" w:sz="4" w:space="0"/>
              <w:bottom w:val="single" w:color="auto" w:sz="4" w:space="0"/>
              <w:right w:val="single" w:color="auto" w:sz="4" w:space="0"/>
            </w:tcBorders>
            <w:noWrap w:val="0"/>
            <w:vAlign w:val="center"/>
          </w:tcPr>
          <w:p w14:paraId="34357152">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供应商认为需要提供其他的资料</w:t>
            </w:r>
          </w:p>
        </w:tc>
      </w:tr>
      <w:tr w14:paraId="6DFF1311">
        <w:tblPrEx>
          <w:tblCellMar>
            <w:top w:w="0" w:type="dxa"/>
            <w:left w:w="108" w:type="dxa"/>
            <w:bottom w:w="0" w:type="dxa"/>
            <w:right w:w="108" w:type="dxa"/>
          </w:tblCellMar>
        </w:tblPrEx>
        <w:trPr>
          <w:trHeight w:val="271" w:hRule="atLeast"/>
          <w:jc w:val="center"/>
        </w:trPr>
        <w:tc>
          <w:tcPr>
            <w:tcW w:w="1093" w:type="dxa"/>
            <w:tcBorders>
              <w:top w:val="single" w:color="auto" w:sz="4" w:space="0"/>
              <w:left w:val="single" w:color="auto" w:sz="4" w:space="0"/>
              <w:bottom w:val="single" w:color="auto" w:sz="4" w:space="0"/>
              <w:right w:val="single" w:color="auto" w:sz="4" w:space="0"/>
            </w:tcBorders>
            <w:noWrap w:val="0"/>
            <w:vAlign w:val="center"/>
          </w:tcPr>
          <w:p w14:paraId="592A95DE">
            <w:pPr>
              <w:keepLines/>
              <w:numPr>
                <w:ilvl w:val="0"/>
                <w:numId w:val="1"/>
              </w:numPr>
              <w:spacing w:line="360" w:lineRule="auto"/>
              <w:ind w:left="425" w:leftChars="0" w:hanging="425" w:firstLineChars="0"/>
              <w:jc w:val="center"/>
              <w:rPr>
                <w:rFonts w:hint="eastAsia" w:ascii="宋体" w:hAnsi="宋体" w:eastAsia="宋体" w:cs="宋体"/>
                <w:color w:val="auto"/>
                <w:sz w:val="24"/>
                <w:szCs w:val="24"/>
                <w:highlight w:val="none"/>
              </w:rPr>
            </w:pPr>
          </w:p>
        </w:tc>
        <w:tc>
          <w:tcPr>
            <w:tcW w:w="1689" w:type="dxa"/>
            <w:tcBorders>
              <w:top w:val="single" w:color="auto" w:sz="4" w:space="0"/>
              <w:left w:val="single" w:color="auto" w:sz="4" w:space="0"/>
              <w:bottom w:val="single" w:color="auto" w:sz="4" w:space="0"/>
              <w:right w:val="single" w:color="auto" w:sz="4" w:space="0"/>
            </w:tcBorders>
            <w:noWrap w:val="0"/>
            <w:vAlign w:val="center"/>
          </w:tcPr>
          <w:p w14:paraId="047334BA">
            <w:pPr>
              <w:widowControl/>
              <w:kinsoku w:val="0"/>
              <w:autoSpaceDE w:val="0"/>
              <w:autoSpaceDN w:val="0"/>
              <w:adjustRightInd w:val="0"/>
              <w:snapToGrid w:val="0"/>
              <w:spacing w:line="360" w:lineRule="auto"/>
              <w:ind w:left="143"/>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最高投标</w:t>
            </w:r>
          </w:p>
          <w:p w14:paraId="5BF6857F">
            <w:pPr>
              <w:widowControl/>
              <w:kinsoku w:val="0"/>
              <w:autoSpaceDE w:val="0"/>
              <w:autoSpaceDN w:val="0"/>
              <w:adjustRightInd w:val="0"/>
              <w:snapToGrid w:val="0"/>
              <w:spacing w:line="360" w:lineRule="auto"/>
              <w:ind w:left="143"/>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限价</w:t>
            </w:r>
          </w:p>
        </w:tc>
        <w:tc>
          <w:tcPr>
            <w:tcW w:w="6736" w:type="dxa"/>
            <w:tcBorders>
              <w:top w:val="single" w:color="auto" w:sz="4" w:space="0"/>
              <w:left w:val="single" w:color="auto" w:sz="4" w:space="0"/>
              <w:bottom w:val="single" w:color="auto" w:sz="4" w:space="0"/>
              <w:right w:val="single" w:color="auto" w:sz="4" w:space="0"/>
            </w:tcBorders>
            <w:noWrap w:val="0"/>
            <w:vAlign w:val="center"/>
          </w:tcPr>
          <w:p w14:paraId="60DFE555">
            <w:pPr>
              <w:spacing w:line="360" w:lineRule="auto"/>
              <w:ind w:right="104"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本项目投标</w:t>
            </w:r>
            <w:r>
              <w:rPr>
                <w:rFonts w:hint="eastAsia" w:ascii="宋体" w:hAnsi="宋体" w:eastAsia="宋体" w:cs="宋体"/>
                <w:color w:val="auto"/>
                <w:kern w:val="0"/>
                <w:sz w:val="24"/>
                <w:szCs w:val="24"/>
                <w:highlight w:val="none"/>
              </w:rPr>
              <w:t>最高限价为</w:t>
            </w:r>
            <w:r>
              <w:rPr>
                <w:rFonts w:hint="eastAsia" w:ascii="宋体" w:hAnsi="宋体" w:cs="宋体"/>
                <w:color w:val="auto"/>
                <w:kern w:val="0"/>
                <w:sz w:val="24"/>
                <w:szCs w:val="24"/>
                <w:highlight w:val="none"/>
                <w:lang w:eastAsia="zh-CN"/>
              </w:rPr>
              <w:t>197万元</w:t>
            </w:r>
            <w:r>
              <w:rPr>
                <w:rFonts w:hint="eastAsia" w:ascii="宋体" w:hAnsi="宋体" w:eastAsia="宋体" w:cs="宋体"/>
                <w:color w:val="auto"/>
                <w:sz w:val="24"/>
                <w:szCs w:val="24"/>
                <w:highlight w:val="none"/>
              </w:rPr>
              <w:t>。凡供应商磋商报价超出“投标最高限价”的，该供应商的电子化磋商响应文件应作无效标处理。</w:t>
            </w:r>
          </w:p>
          <w:p w14:paraId="47147639">
            <w:pPr>
              <w:spacing w:line="360" w:lineRule="auto"/>
              <w:ind w:right="104" w:firstLine="240" w:firstLineChars="100"/>
              <w:rPr>
                <w:rFonts w:hint="eastAsia" w:ascii="宋体" w:hAnsi="宋体" w:eastAsia="宋体" w:cs="宋体"/>
                <w:color w:val="auto"/>
                <w:sz w:val="24"/>
                <w:szCs w:val="24"/>
                <w:highlight w:val="none"/>
              </w:rPr>
            </w:pPr>
            <w:r>
              <w:rPr>
                <w:rFonts w:hint="eastAsia" w:ascii="宋体" w:hAnsi="宋体" w:cs="宋体"/>
                <w:color w:val="auto"/>
                <w:kern w:val="44"/>
                <w:sz w:val="24"/>
                <w:szCs w:val="24"/>
                <w:highlight w:val="none"/>
              </w:rPr>
              <w:t>本次竞争性磋商分为两轮报价。磋商供应商响应性文件中的报价作为第一次报价，不得高于项目预算金额且不公开；第二轮报价不得高于第一轮报价，参与评标报价以最终报价为准。</w:t>
            </w:r>
          </w:p>
        </w:tc>
      </w:tr>
      <w:tr w14:paraId="08E8749A">
        <w:tblPrEx>
          <w:tblCellMar>
            <w:top w:w="0" w:type="dxa"/>
            <w:left w:w="108" w:type="dxa"/>
            <w:bottom w:w="0" w:type="dxa"/>
            <w:right w:w="108" w:type="dxa"/>
          </w:tblCellMar>
        </w:tblPrEx>
        <w:trPr>
          <w:trHeight w:val="449" w:hRule="atLeast"/>
          <w:jc w:val="center"/>
        </w:trPr>
        <w:tc>
          <w:tcPr>
            <w:tcW w:w="1093" w:type="dxa"/>
            <w:tcBorders>
              <w:top w:val="single" w:color="auto" w:sz="4" w:space="0"/>
              <w:left w:val="single" w:color="auto" w:sz="4" w:space="0"/>
              <w:bottom w:val="single" w:color="auto" w:sz="4" w:space="0"/>
              <w:right w:val="single" w:color="auto" w:sz="4" w:space="0"/>
            </w:tcBorders>
            <w:noWrap w:val="0"/>
            <w:vAlign w:val="center"/>
          </w:tcPr>
          <w:p w14:paraId="77C94352">
            <w:pPr>
              <w:keepLines/>
              <w:numPr>
                <w:ilvl w:val="0"/>
                <w:numId w:val="1"/>
              </w:numPr>
              <w:spacing w:line="360" w:lineRule="auto"/>
              <w:ind w:left="425" w:leftChars="0" w:hanging="425" w:firstLineChars="0"/>
              <w:jc w:val="center"/>
              <w:rPr>
                <w:rFonts w:hint="eastAsia" w:ascii="宋体" w:hAnsi="宋体" w:eastAsia="宋体" w:cs="宋体"/>
                <w:color w:val="auto"/>
                <w:sz w:val="24"/>
                <w:szCs w:val="24"/>
                <w:highlight w:val="none"/>
              </w:rPr>
            </w:pPr>
          </w:p>
        </w:tc>
        <w:tc>
          <w:tcPr>
            <w:tcW w:w="1689" w:type="dxa"/>
            <w:tcBorders>
              <w:top w:val="single" w:color="auto" w:sz="4" w:space="0"/>
              <w:left w:val="single" w:color="auto" w:sz="4" w:space="0"/>
              <w:bottom w:val="single" w:color="auto" w:sz="4" w:space="0"/>
              <w:right w:val="single" w:color="auto" w:sz="4" w:space="0"/>
            </w:tcBorders>
            <w:noWrap w:val="0"/>
            <w:vAlign w:val="center"/>
          </w:tcPr>
          <w:p w14:paraId="2B273947">
            <w:pPr>
              <w:widowControl/>
              <w:kinsoku w:val="0"/>
              <w:autoSpaceDE w:val="0"/>
              <w:autoSpaceDN w:val="0"/>
              <w:adjustRightInd w:val="0"/>
              <w:snapToGrid w:val="0"/>
              <w:spacing w:line="360" w:lineRule="auto"/>
              <w:ind w:left="143"/>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投标报价的其他要求</w:t>
            </w:r>
          </w:p>
        </w:tc>
        <w:tc>
          <w:tcPr>
            <w:tcW w:w="6736" w:type="dxa"/>
            <w:tcBorders>
              <w:top w:val="single" w:color="auto" w:sz="4" w:space="0"/>
              <w:left w:val="single" w:color="auto" w:sz="4" w:space="0"/>
              <w:bottom w:val="single" w:color="auto" w:sz="4" w:space="0"/>
              <w:right w:val="single" w:color="auto" w:sz="4" w:space="0"/>
            </w:tcBorders>
            <w:noWrap w:val="0"/>
            <w:vAlign w:val="center"/>
          </w:tcPr>
          <w:p w14:paraId="1F84726D">
            <w:pPr>
              <w:numPr>
                <w:ilvl w:val="0"/>
                <w:numId w:val="2"/>
              </w:numPr>
              <w:spacing w:line="360" w:lineRule="auto"/>
              <w:ind w:right="104"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磋商响应供应商的报价明显低于其他报价，使得其报价可能低于其个别成本的，有可能影响商品质量和不能诚信履约的，应当要求该报价人作出书面说明并提供相关证明材料。报价人不能合理说明或者不能提供相关证明材料的，由磋商小组认定该报价人以低于成本报价，其报价应作无效报价处理。</w:t>
            </w:r>
          </w:p>
          <w:p w14:paraId="66F714AF">
            <w:pPr>
              <w:numPr>
                <w:ilvl w:val="0"/>
                <w:numId w:val="2"/>
              </w:numPr>
              <w:spacing w:line="360" w:lineRule="auto"/>
              <w:ind w:right="104"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财政部关于印发《政府采购竞争性磋商采购方式管理暂行办法》的通知，　第二十三条　经磋商确定最终采购需求和提交最后报价的供应商后，由磋商小组采用综合评分法对提交最后报价的供应商的响应文件和最后报价进行综合评分。</w:t>
            </w:r>
          </w:p>
        </w:tc>
      </w:tr>
      <w:tr w14:paraId="2CD20364">
        <w:tblPrEx>
          <w:tblCellMar>
            <w:top w:w="0" w:type="dxa"/>
            <w:left w:w="108" w:type="dxa"/>
            <w:bottom w:w="0" w:type="dxa"/>
            <w:right w:w="108" w:type="dxa"/>
          </w:tblCellMar>
        </w:tblPrEx>
        <w:trPr>
          <w:trHeight w:val="449" w:hRule="atLeast"/>
          <w:jc w:val="center"/>
        </w:trPr>
        <w:tc>
          <w:tcPr>
            <w:tcW w:w="1093" w:type="dxa"/>
            <w:tcBorders>
              <w:top w:val="single" w:color="auto" w:sz="4" w:space="0"/>
              <w:left w:val="single" w:color="auto" w:sz="4" w:space="0"/>
              <w:bottom w:val="single" w:color="auto" w:sz="4" w:space="0"/>
              <w:right w:val="single" w:color="auto" w:sz="4" w:space="0"/>
            </w:tcBorders>
            <w:noWrap w:val="0"/>
            <w:vAlign w:val="center"/>
          </w:tcPr>
          <w:p w14:paraId="60B28E82">
            <w:pPr>
              <w:keepLines/>
              <w:numPr>
                <w:ilvl w:val="0"/>
                <w:numId w:val="1"/>
              </w:numPr>
              <w:spacing w:line="360" w:lineRule="auto"/>
              <w:ind w:left="425" w:leftChars="0" w:hanging="425" w:firstLineChars="0"/>
              <w:jc w:val="center"/>
              <w:rPr>
                <w:rFonts w:hint="eastAsia" w:ascii="宋体" w:hAnsi="宋体" w:eastAsia="宋体" w:cs="宋体"/>
                <w:color w:val="auto"/>
                <w:sz w:val="24"/>
                <w:szCs w:val="24"/>
                <w:highlight w:val="none"/>
              </w:rPr>
            </w:pPr>
          </w:p>
        </w:tc>
        <w:tc>
          <w:tcPr>
            <w:tcW w:w="1689" w:type="dxa"/>
            <w:tcBorders>
              <w:top w:val="single" w:color="auto" w:sz="4" w:space="0"/>
              <w:left w:val="single" w:color="auto" w:sz="4" w:space="0"/>
              <w:bottom w:val="single" w:color="auto" w:sz="4" w:space="0"/>
              <w:right w:val="single" w:color="auto" w:sz="4" w:space="0"/>
            </w:tcBorders>
            <w:noWrap w:val="0"/>
            <w:vAlign w:val="center"/>
          </w:tcPr>
          <w:p w14:paraId="2A21081A">
            <w:pPr>
              <w:jc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报价及费用</w:t>
            </w:r>
          </w:p>
        </w:tc>
        <w:tc>
          <w:tcPr>
            <w:tcW w:w="6736" w:type="dxa"/>
            <w:tcBorders>
              <w:top w:val="single" w:color="auto" w:sz="4" w:space="0"/>
              <w:left w:val="single" w:color="auto" w:sz="4" w:space="0"/>
              <w:bottom w:val="single" w:color="auto" w:sz="4" w:space="0"/>
              <w:right w:val="single" w:color="auto" w:sz="4" w:space="0"/>
            </w:tcBorders>
            <w:noWrap w:val="0"/>
            <w:vAlign w:val="top"/>
          </w:tcPr>
          <w:p w14:paraId="27ED8F1D">
            <w:pPr>
              <w:spacing w:line="360" w:lineRule="auto"/>
              <w:ind w:right="104"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磋商报价为完成本项目磋商文件中所提出的工作范围及要求的全部内容，并达到国家及采购人验收标准而产生的所有费用，包括但不限于人工费、管理费、设备费、评估费、交通费、住宿费、办公费、税金、验收等所需的全部费用。任何错报、漏报由供应商自行负责，采购人不提供任何水电、食宿、办公条件，所有事宜均由供应商承担，发生的费用在投标报价中综合考虑</w:t>
            </w:r>
            <w:r>
              <w:rPr>
                <w:rFonts w:hint="eastAsia" w:ascii="宋体" w:hAnsi="宋体" w:eastAsia="宋体" w:cs="宋体"/>
                <w:color w:val="auto"/>
                <w:sz w:val="24"/>
                <w:szCs w:val="24"/>
                <w:highlight w:val="none"/>
              </w:rPr>
              <w:t>。</w:t>
            </w:r>
          </w:p>
          <w:p w14:paraId="7F754C39">
            <w:pPr>
              <w:spacing w:line="360" w:lineRule="auto"/>
              <w:ind w:right="104" w:firstLine="240" w:firstLineChars="1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、参考河南省招标代理服务收费指导意见（豫招协[2023]002号）规定的收费标准100%计算，收费基数为招标控制价，代理费金额为28640.00元</w:t>
            </w:r>
            <w:r>
              <w:rPr>
                <w:rFonts w:hint="eastAsia" w:ascii="宋体" w:hAnsi="宋体" w:cs="宋体"/>
                <w:color w:val="auto"/>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rPr>
              <w:t>中标供应商在领取中标通知书时，以现金或转账的方式一次性向代理机构缴纳招标代理服务费。</w:t>
            </w:r>
          </w:p>
          <w:p w14:paraId="0474FE96">
            <w:pPr>
              <w:spacing w:line="360" w:lineRule="auto"/>
              <w:ind w:right="104"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、缴纳方式：现金或转账</w:t>
            </w:r>
          </w:p>
          <w:p w14:paraId="47B4CEE6">
            <w:pPr>
              <w:spacing w:line="360" w:lineRule="auto"/>
              <w:ind w:right="104"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名称：河南坤源工程咨询管理有限公司</w:t>
            </w:r>
          </w:p>
          <w:p w14:paraId="4AD6C75A">
            <w:pPr>
              <w:spacing w:line="360" w:lineRule="auto"/>
              <w:ind w:right="104"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纳税识别号：91411200MA9FKPKX11</w:t>
            </w:r>
          </w:p>
          <w:p w14:paraId="4B64B309">
            <w:pPr>
              <w:spacing w:line="360" w:lineRule="auto"/>
              <w:ind w:right="104"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开户银行：中原银行三门峡崤西支行</w:t>
            </w:r>
          </w:p>
          <w:p w14:paraId="25D20270">
            <w:pPr>
              <w:spacing w:line="360" w:lineRule="auto"/>
              <w:ind w:right="104"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账号：411210010160036501</w:t>
            </w:r>
          </w:p>
          <w:p w14:paraId="5660B9EE">
            <w:pPr>
              <w:spacing w:line="360" w:lineRule="auto"/>
              <w:ind w:right="104"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行号：313505000011</w:t>
            </w:r>
          </w:p>
        </w:tc>
      </w:tr>
      <w:tr w14:paraId="47E879AE">
        <w:tblPrEx>
          <w:tblCellMar>
            <w:top w:w="0" w:type="dxa"/>
            <w:left w:w="108" w:type="dxa"/>
            <w:bottom w:w="0" w:type="dxa"/>
            <w:right w:w="108" w:type="dxa"/>
          </w:tblCellMar>
        </w:tblPrEx>
        <w:trPr>
          <w:trHeight w:val="167" w:hRule="atLeast"/>
          <w:jc w:val="center"/>
        </w:trPr>
        <w:tc>
          <w:tcPr>
            <w:tcW w:w="1093" w:type="dxa"/>
            <w:tcBorders>
              <w:top w:val="single" w:color="auto" w:sz="4" w:space="0"/>
              <w:left w:val="single" w:color="auto" w:sz="4" w:space="0"/>
              <w:bottom w:val="single" w:color="auto" w:sz="4" w:space="0"/>
              <w:right w:val="single" w:color="auto" w:sz="4" w:space="0"/>
            </w:tcBorders>
            <w:noWrap w:val="0"/>
            <w:vAlign w:val="center"/>
          </w:tcPr>
          <w:p w14:paraId="6BA5F35A">
            <w:pPr>
              <w:keepLines/>
              <w:numPr>
                <w:ilvl w:val="0"/>
                <w:numId w:val="1"/>
              </w:numPr>
              <w:spacing w:line="360" w:lineRule="auto"/>
              <w:ind w:left="425" w:leftChars="0" w:hanging="425" w:firstLineChars="0"/>
              <w:jc w:val="center"/>
              <w:rPr>
                <w:rFonts w:hint="eastAsia" w:ascii="宋体" w:hAnsi="宋体" w:eastAsia="宋体" w:cs="宋体"/>
                <w:color w:val="auto"/>
                <w:sz w:val="24"/>
                <w:szCs w:val="24"/>
                <w:highlight w:val="none"/>
              </w:rPr>
            </w:pPr>
          </w:p>
        </w:tc>
        <w:tc>
          <w:tcPr>
            <w:tcW w:w="1689" w:type="dxa"/>
            <w:tcBorders>
              <w:top w:val="single" w:color="auto" w:sz="4" w:space="0"/>
              <w:left w:val="single" w:color="auto" w:sz="4" w:space="0"/>
              <w:bottom w:val="single" w:color="auto" w:sz="4" w:space="0"/>
              <w:right w:val="single" w:color="auto" w:sz="4" w:space="0"/>
            </w:tcBorders>
            <w:noWrap w:val="0"/>
            <w:vAlign w:val="center"/>
          </w:tcPr>
          <w:p w14:paraId="5DDAD3F7">
            <w:pPr>
              <w:widowControl/>
              <w:kinsoku w:val="0"/>
              <w:autoSpaceDE w:val="0"/>
              <w:autoSpaceDN w:val="0"/>
              <w:adjustRightInd w:val="0"/>
              <w:snapToGrid w:val="0"/>
              <w:spacing w:line="360" w:lineRule="auto"/>
              <w:ind w:left="143"/>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磋商有效期</w:t>
            </w:r>
          </w:p>
        </w:tc>
        <w:tc>
          <w:tcPr>
            <w:tcW w:w="6736" w:type="dxa"/>
            <w:tcBorders>
              <w:top w:val="single" w:color="auto" w:sz="4" w:space="0"/>
              <w:left w:val="single" w:color="auto" w:sz="4" w:space="0"/>
              <w:bottom w:val="single" w:color="auto" w:sz="4" w:space="0"/>
              <w:right w:val="single" w:color="auto" w:sz="4" w:space="0"/>
            </w:tcBorders>
            <w:noWrap w:val="0"/>
            <w:vAlign w:val="center"/>
          </w:tcPr>
          <w:p w14:paraId="3A32ABB5">
            <w:pPr>
              <w:spacing w:line="360" w:lineRule="auto"/>
              <w:ind w:left="111" w:right="104" w:firstLine="120" w:firstLineChars="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自磋商截止之日起</w:t>
            </w:r>
            <w:r>
              <w:rPr>
                <w:rFonts w:hint="eastAsia" w:ascii="宋体" w:hAnsi="宋体" w:cs="宋体"/>
                <w:color w:val="auto"/>
                <w:sz w:val="24"/>
                <w:szCs w:val="24"/>
                <w:highlight w:val="none"/>
                <w:lang w:val="en-US" w:eastAsia="zh-CN"/>
              </w:rPr>
              <w:t>9</w:t>
            </w:r>
            <w:r>
              <w:rPr>
                <w:rFonts w:hint="eastAsia" w:ascii="宋体" w:hAnsi="宋体" w:eastAsia="宋体" w:cs="宋体"/>
                <w:color w:val="auto"/>
                <w:sz w:val="24"/>
                <w:szCs w:val="24"/>
                <w:highlight w:val="none"/>
              </w:rPr>
              <w:t>0日历天</w:t>
            </w:r>
          </w:p>
        </w:tc>
      </w:tr>
      <w:tr w14:paraId="5CCA78FB">
        <w:tblPrEx>
          <w:tblCellMar>
            <w:top w:w="0" w:type="dxa"/>
            <w:left w:w="108" w:type="dxa"/>
            <w:bottom w:w="0" w:type="dxa"/>
            <w:right w:w="108" w:type="dxa"/>
          </w:tblCellMar>
        </w:tblPrEx>
        <w:trPr>
          <w:trHeight w:val="360" w:hRule="atLeast"/>
          <w:jc w:val="center"/>
        </w:trPr>
        <w:tc>
          <w:tcPr>
            <w:tcW w:w="1093" w:type="dxa"/>
            <w:tcBorders>
              <w:top w:val="single" w:color="auto" w:sz="4" w:space="0"/>
              <w:left w:val="single" w:color="auto" w:sz="4" w:space="0"/>
              <w:bottom w:val="single" w:color="auto" w:sz="4" w:space="0"/>
              <w:right w:val="single" w:color="auto" w:sz="4" w:space="0"/>
            </w:tcBorders>
            <w:noWrap w:val="0"/>
            <w:vAlign w:val="center"/>
          </w:tcPr>
          <w:p w14:paraId="71B031FF">
            <w:pPr>
              <w:keepLines/>
              <w:numPr>
                <w:ilvl w:val="0"/>
                <w:numId w:val="1"/>
              </w:numPr>
              <w:spacing w:line="360" w:lineRule="auto"/>
              <w:ind w:left="425" w:leftChars="0" w:hanging="425" w:firstLineChars="0"/>
              <w:jc w:val="center"/>
              <w:rPr>
                <w:rFonts w:hint="eastAsia" w:ascii="宋体" w:hAnsi="宋体" w:eastAsia="宋体" w:cs="宋体"/>
                <w:color w:val="auto"/>
                <w:sz w:val="24"/>
                <w:szCs w:val="24"/>
                <w:highlight w:val="none"/>
              </w:rPr>
            </w:pPr>
          </w:p>
        </w:tc>
        <w:tc>
          <w:tcPr>
            <w:tcW w:w="1689" w:type="dxa"/>
            <w:tcBorders>
              <w:top w:val="single" w:color="auto" w:sz="4" w:space="0"/>
              <w:left w:val="nil"/>
              <w:bottom w:val="single" w:color="auto" w:sz="4" w:space="0"/>
              <w:right w:val="single" w:color="auto" w:sz="4" w:space="0"/>
            </w:tcBorders>
            <w:noWrap w:val="0"/>
            <w:vAlign w:val="center"/>
          </w:tcPr>
          <w:p w14:paraId="06D4F531">
            <w:pPr>
              <w:widowControl/>
              <w:kinsoku w:val="0"/>
              <w:autoSpaceDE w:val="0"/>
              <w:autoSpaceDN w:val="0"/>
              <w:adjustRightInd w:val="0"/>
              <w:snapToGrid w:val="0"/>
              <w:spacing w:line="360" w:lineRule="auto"/>
              <w:ind w:left="143"/>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磋商保证金</w:t>
            </w:r>
          </w:p>
        </w:tc>
        <w:tc>
          <w:tcPr>
            <w:tcW w:w="6736" w:type="dxa"/>
            <w:tcBorders>
              <w:top w:val="single" w:color="auto" w:sz="4" w:space="0"/>
              <w:left w:val="nil"/>
              <w:bottom w:val="single" w:color="auto" w:sz="4" w:space="0"/>
              <w:right w:val="single" w:color="auto" w:sz="4" w:space="0"/>
            </w:tcBorders>
            <w:noWrap w:val="0"/>
            <w:vAlign w:val="center"/>
          </w:tcPr>
          <w:p w14:paraId="74EB1FF5">
            <w:pPr>
              <w:spacing w:line="360" w:lineRule="auto"/>
              <w:ind w:right="104"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河南省财政厅关于优化政府采购营商环境有关问题的通知》豫财购（2019）4号要求，本项目不再收取磋商保证金，需提供投标承诺函，具体格式详见第六章磋商响应文件格式，未按竞争性磋商文件规定提交投标承诺函的均视为无效投标。</w:t>
            </w:r>
          </w:p>
        </w:tc>
      </w:tr>
      <w:tr w14:paraId="2C208CA8">
        <w:tblPrEx>
          <w:tblCellMar>
            <w:top w:w="0" w:type="dxa"/>
            <w:left w:w="108" w:type="dxa"/>
            <w:bottom w:w="0" w:type="dxa"/>
            <w:right w:w="108" w:type="dxa"/>
          </w:tblCellMar>
        </w:tblPrEx>
        <w:trPr>
          <w:trHeight w:val="360" w:hRule="atLeast"/>
          <w:jc w:val="center"/>
        </w:trPr>
        <w:tc>
          <w:tcPr>
            <w:tcW w:w="1093" w:type="dxa"/>
            <w:tcBorders>
              <w:top w:val="single" w:color="auto" w:sz="4" w:space="0"/>
              <w:left w:val="single" w:color="auto" w:sz="4" w:space="0"/>
              <w:bottom w:val="single" w:color="auto" w:sz="4" w:space="0"/>
              <w:right w:val="single" w:color="auto" w:sz="4" w:space="0"/>
            </w:tcBorders>
            <w:noWrap w:val="0"/>
            <w:vAlign w:val="center"/>
          </w:tcPr>
          <w:p w14:paraId="1B881380">
            <w:pPr>
              <w:keepLines/>
              <w:numPr>
                <w:ilvl w:val="0"/>
                <w:numId w:val="1"/>
              </w:numPr>
              <w:spacing w:line="360" w:lineRule="auto"/>
              <w:ind w:left="425" w:leftChars="0" w:hanging="425" w:firstLineChars="0"/>
              <w:jc w:val="center"/>
              <w:rPr>
                <w:rFonts w:hint="eastAsia" w:ascii="宋体" w:hAnsi="宋体" w:eastAsia="宋体" w:cs="宋体"/>
                <w:color w:val="auto"/>
                <w:sz w:val="24"/>
                <w:szCs w:val="24"/>
                <w:highlight w:val="none"/>
              </w:rPr>
            </w:pPr>
          </w:p>
        </w:tc>
        <w:tc>
          <w:tcPr>
            <w:tcW w:w="1689" w:type="dxa"/>
            <w:tcBorders>
              <w:top w:val="single" w:color="auto" w:sz="4" w:space="0"/>
              <w:left w:val="nil"/>
              <w:bottom w:val="single" w:color="auto" w:sz="4" w:space="0"/>
              <w:right w:val="single" w:color="auto" w:sz="4" w:space="0"/>
            </w:tcBorders>
            <w:noWrap w:val="0"/>
            <w:vAlign w:val="center"/>
          </w:tcPr>
          <w:p w14:paraId="6FBF5C0B">
            <w:pPr>
              <w:widowControl/>
              <w:spacing w:line="360" w:lineRule="auto"/>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rPr>
              <w:t>响应文件</w:t>
            </w:r>
          </w:p>
        </w:tc>
        <w:tc>
          <w:tcPr>
            <w:tcW w:w="6736" w:type="dxa"/>
            <w:tcBorders>
              <w:top w:val="single" w:color="auto" w:sz="4" w:space="0"/>
              <w:left w:val="nil"/>
              <w:bottom w:val="single" w:color="auto" w:sz="4" w:space="0"/>
              <w:right w:val="single" w:color="auto" w:sz="4" w:space="0"/>
            </w:tcBorders>
            <w:noWrap w:val="0"/>
            <w:vAlign w:val="center"/>
          </w:tcPr>
          <w:p w14:paraId="04610E23">
            <w:pPr>
              <w:keepNext w:val="0"/>
              <w:keepLines w:val="0"/>
              <w:pageBreakBefore w:val="0"/>
              <w:widowControl w:val="0"/>
              <w:kinsoku/>
              <w:wordWrap w:val="0"/>
              <w:overflowPunct/>
              <w:topLinePunct/>
              <w:autoSpaceDE/>
              <w:autoSpaceDN/>
              <w:bidi w:val="0"/>
              <w:adjustRightInd/>
              <w:snapToGrid/>
              <w:spacing w:before="100" w:line="360" w:lineRule="auto"/>
              <w:ind w:firstLine="0" w:firstLineChars="0"/>
              <w:jc w:val="left"/>
              <w:textAlignment w:val="auto"/>
              <w:outlineLvl w:val="0"/>
              <w:rPr>
                <w:rFonts w:ascii="宋体" w:hAnsi="宋体" w:cs="宋体"/>
                <w:color w:val="auto"/>
                <w:sz w:val="24"/>
                <w:szCs w:val="24"/>
                <w:highlight w:val="none"/>
                <w:lang w:bidi="zh-CN"/>
              </w:rPr>
            </w:pPr>
            <w:r>
              <w:rPr>
                <w:rFonts w:hint="eastAsia" w:ascii="宋体" w:hAnsi="宋体" w:cs="宋体"/>
                <w:color w:val="auto"/>
                <w:sz w:val="24"/>
                <w:szCs w:val="24"/>
                <w:highlight w:val="none"/>
                <w:lang w:bidi="zh-CN"/>
              </w:rPr>
              <w:t>1、本项目采用电子招标，根据三门峡市公共资源交易中心系统编制响应文件，供应商需用CA在电子平台上传电子响应文件；</w:t>
            </w:r>
          </w:p>
          <w:p w14:paraId="56A1C6FB">
            <w:pPr>
              <w:keepNext w:val="0"/>
              <w:keepLines w:val="0"/>
              <w:pageBreakBefore w:val="0"/>
              <w:widowControl w:val="0"/>
              <w:kinsoku/>
              <w:wordWrap w:val="0"/>
              <w:overflowPunct/>
              <w:topLinePunct/>
              <w:autoSpaceDE/>
              <w:autoSpaceDN/>
              <w:bidi w:val="0"/>
              <w:adjustRightInd/>
              <w:snapToGrid/>
              <w:spacing w:line="360" w:lineRule="auto"/>
              <w:ind w:firstLine="0" w:firstLineChars="0"/>
              <w:jc w:val="left"/>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bidi="zh-CN"/>
              </w:rPr>
              <w:t>2、开标时不再递交纸质响应文件，中标单位领取成交通知书时提交叁份纸质响应文件，响应文件应按以下要求装订：胶装（不得采用活页装订），应有目录，并逐页标注连续页码，需加盖公章。</w:t>
            </w:r>
          </w:p>
        </w:tc>
      </w:tr>
      <w:tr w14:paraId="49572061">
        <w:tblPrEx>
          <w:tblCellMar>
            <w:top w:w="0" w:type="dxa"/>
            <w:left w:w="108" w:type="dxa"/>
            <w:bottom w:w="0" w:type="dxa"/>
            <w:right w:w="108" w:type="dxa"/>
          </w:tblCellMar>
        </w:tblPrEx>
        <w:trPr>
          <w:trHeight w:val="216" w:hRule="atLeast"/>
          <w:jc w:val="center"/>
        </w:trPr>
        <w:tc>
          <w:tcPr>
            <w:tcW w:w="1093" w:type="dxa"/>
            <w:tcBorders>
              <w:top w:val="single" w:color="auto" w:sz="4" w:space="0"/>
              <w:left w:val="single" w:color="auto" w:sz="4" w:space="0"/>
              <w:bottom w:val="single" w:color="auto" w:sz="4" w:space="0"/>
              <w:right w:val="single" w:color="auto" w:sz="4" w:space="0"/>
            </w:tcBorders>
            <w:noWrap w:val="0"/>
            <w:vAlign w:val="center"/>
          </w:tcPr>
          <w:p w14:paraId="7FE04838">
            <w:pPr>
              <w:keepLines/>
              <w:numPr>
                <w:ilvl w:val="0"/>
                <w:numId w:val="1"/>
              </w:numPr>
              <w:spacing w:line="360" w:lineRule="auto"/>
              <w:ind w:left="425" w:leftChars="0" w:hanging="425" w:firstLineChars="0"/>
              <w:jc w:val="center"/>
              <w:rPr>
                <w:rFonts w:hint="eastAsia" w:ascii="宋体" w:hAnsi="宋体" w:eastAsia="宋体" w:cs="宋体"/>
                <w:color w:val="auto"/>
                <w:kern w:val="0"/>
                <w:sz w:val="24"/>
                <w:szCs w:val="24"/>
                <w:highlight w:val="none"/>
              </w:rPr>
            </w:pPr>
          </w:p>
        </w:tc>
        <w:tc>
          <w:tcPr>
            <w:tcW w:w="1689" w:type="dxa"/>
            <w:tcBorders>
              <w:top w:val="single" w:color="auto" w:sz="4" w:space="0"/>
              <w:left w:val="nil"/>
              <w:bottom w:val="single" w:color="auto" w:sz="4" w:space="0"/>
              <w:right w:val="single" w:color="auto" w:sz="4" w:space="0"/>
            </w:tcBorders>
            <w:noWrap w:val="0"/>
            <w:vAlign w:val="center"/>
          </w:tcPr>
          <w:p w14:paraId="76D8E2F8">
            <w:pPr>
              <w:widowControl/>
              <w:spacing w:line="460" w:lineRule="exac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磋商响应文件的编制及签署</w:t>
            </w:r>
          </w:p>
        </w:tc>
        <w:tc>
          <w:tcPr>
            <w:tcW w:w="6736" w:type="dxa"/>
            <w:tcBorders>
              <w:top w:val="single" w:color="auto" w:sz="4" w:space="0"/>
              <w:left w:val="nil"/>
              <w:bottom w:val="single" w:color="auto" w:sz="4" w:space="0"/>
              <w:right w:val="single" w:color="auto" w:sz="4" w:space="0"/>
            </w:tcBorders>
            <w:noWrap w:val="0"/>
            <w:vAlign w:val="center"/>
          </w:tcPr>
          <w:p w14:paraId="577BCC39">
            <w:pPr>
              <w:widowControl/>
              <w:spacing w:line="460" w:lineRule="exact"/>
              <w:ind w:firstLine="240" w:firstLineChars="1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供应商所上传的磋商响应文件，应是通过中心磋商响应文件制作系统制作的（磋商响应文件制作工具下载地址：https://download.bqpoint.com/download/downloaddetail.html?SourceFrom=Ztb&amp;ZtbSoftXiaQuCode=1506&amp;ZtbSoftType=tballinclusive），经过签章和加密后生成的电子版磋商响应文件。其中包含用于磋商响应文件上传的主文件（后缀为.smxtf）和用于应急补救的磋商响应文件备份文件（后缀为.nsmxtf）。</w:t>
            </w:r>
          </w:p>
          <w:p w14:paraId="721AA10F">
            <w:pPr>
              <w:widowControl/>
              <w:spacing w:line="460" w:lineRule="exact"/>
              <w:ind w:firstLine="240" w:firstLineChars="1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eastAsia="宋体" w:cs="宋体"/>
                <w:color w:val="auto"/>
                <w:sz w:val="24"/>
                <w:szCs w:val="24"/>
                <w:highlight w:val="none"/>
              </w:rPr>
              <w:t>在竞争性磋商文件中要求供应商按照磋商响应文件格式进行磋商响应文件编制，在磋商响应文件编制时，应明确将供应商企业基本情况、业绩情况编入磋商响应文件中，便于进行资格审查及评标打分。</w:t>
            </w:r>
          </w:p>
          <w:p w14:paraId="49BA689F">
            <w:pPr>
              <w:spacing w:line="460" w:lineRule="exact"/>
              <w:ind w:firstLine="240" w:firstLineChars="1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3.磋商响应供应商在进行磋商响应文件签章时，竞争性磋商文件中要求磋商响应供应商盖章的，以签盖单位章为准；要求法定代表人或授权代理人签章的，以法定代表人或授权代理人签章为准。</w:t>
            </w:r>
          </w:p>
        </w:tc>
      </w:tr>
      <w:tr w14:paraId="6DCC3DB3">
        <w:tblPrEx>
          <w:tblCellMar>
            <w:top w:w="0" w:type="dxa"/>
            <w:left w:w="108" w:type="dxa"/>
            <w:bottom w:w="0" w:type="dxa"/>
            <w:right w:w="108" w:type="dxa"/>
          </w:tblCellMar>
        </w:tblPrEx>
        <w:trPr>
          <w:trHeight w:val="717" w:hRule="atLeast"/>
          <w:jc w:val="center"/>
        </w:trPr>
        <w:tc>
          <w:tcPr>
            <w:tcW w:w="1093" w:type="dxa"/>
            <w:tcBorders>
              <w:top w:val="single" w:color="auto" w:sz="4" w:space="0"/>
              <w:left w:val="single" w:color="auto" w:sz="4" w:space="0"/>
              <w:bottom w:val="single" w:color="auto" w:sz="4" w:space="0"/>
              <w:right w:val="single" w:color="auto" w:sz="4" w:space="0"/>
            </w:tcBorders>
            <w:noWrap w:val="0"/>
            <w:vAlign w:val="center"/>
          </w:tcPr>
          <w:p w14:paraId="7EA65DB0">
            <w:pPr>
              <w:keepLines/>
              <w:numPr>
                <w:ilvl w:val="0"/>
                <w:numId w:val="1"/>
              </w:numPr>
              <w:spacing w:line="360" w:lineRule="auto"/>
              <w:ind w:left="425" w:leftChars="0" w:hanging="425" w:firstLineChars="0"/>
              <w:jc w:val="center"/>
              <w:rPr>
                <w:rFonts w:hint="eastAsia" w:ascii="宋体" w:hAnsi="宋体" w:eastAsia="宋体" w:cs="宋体"/>
                <w:color w:val="auto"/>
                <w:kern w:val="0"/>
                <w:sz w:val="24"/>
                <w:szCs w:val="24"/>
                <w:highlight w:val="none"/>
              </w:rPr>
            </w:pPr>
          </w:p>
        </w:tc>
        <w:tc>
          <w:tcPr>
            <w:tcW w:w="1689" w:type="dxa"/>
            <w:tcBorders>
              <w:top w:val="single" w:color="auto" w:sz="4" w:space="0"/>
              <w:left w:val="nil"/>
              <w:bottom w:val="single" w:color="auto" w:sz="4" w:space="0"/>
              <w:right w:val="single" w:color="auto" w:sz="4" w:space="0"/>
            </w:tcBorders>
            <w:noWrap w:val="0"/>
            <w:vAlign w:val="center"/>
          </w:tcPr>
          <w:p w14:paraId="25D8E398">
            <w:pPr>
              <w:widowControl/>
              <w:spacing w:line="460" w:lineRule="exact"/>
              <w:jc w:val="center"/>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磋商响应文件的上传</w:t>
            </w:r>
          </w:p>
        </w:tc>
        <w:tc>
          <w:tcPr>
            <w:tcW w:w="6736" w:type="dxa"/>
            <w:tcBorders>
              <w:top w:val="single" w:color="auto" w:sz="4" w:space="0"/>
              <w:left w:val="nil"/>
              <w:bottom w:val="single" w:color="auto" w:sz="4" w:space="0"/>
              <w:right w:val="single" w:color="auto" w:sz="4" w:space="0"/>
            </w:tcBorders>
            <w:noWrap w:val="0"/>
            <w:vAlign w:val="center"/>
          </w:tcPr>
          <w:p w14:paraId="58FA618F">
            <w:pPr>
              <w:spacing w:line="360" w:lineRule="auto"/>
              <w:ind w:firstLine="240" w:firstLineChars="1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磋商响应文件应在投标截止时间前成功上传至三门峡市公共资源电子化交易系统。至投标截止时间止，仍未上传成功的磋商响应文件将不予接收。</w:t>
            </w:r>
          </w:p>
          <w:p w14:paraId="65483D3F">
            <w:pPr>
              <w:spacing w:line="360" w:lineRule="auto"/>
              <w:ind w:firstLine="240" w:firstLineChars="1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注：如按照电子化投标操作教材制作完成的磋商响应文件无法上传的，供应商应在投标截止时间前尽早的联系中心技术人员，以便有充分的时间进行处理。供应商应充分考虑到处理技术问题和上传数据等工作所需的时间问题，磋商响应文件未在投标截止时间前成功上传的，其磋商响应文件不予接收。</w:t>
            </w:r>
          </w:p>
        </w:tc>
      </w:tr>
      <w:tr w14:paraId="299D2D2A">
        <w:tblPrEx>
          <w:tblCellMar>
            <w:top w:w="0" w:type="dxa"/>
            <w:left w:w="108" w:type="dxa"/>
            <w:bottom w:w="0" w:type="dxa"/>
            <w:right w:w="108" w:type="dxa"/>
          </w:tblCellMar>
        </w:tblPrEx>
        <w:trPr>
          <w:trHeight w:val="717" w:hRule="atLeast"/>
          <w:jc w:val="center"/>
        </w:trPr>
        <w:tc>
          <w:tcPr>
            <w:tcW w:w="1093" w:type="dxa"/>
            <w:tcBorders>
              <w:top w:val="single" w:color="auto" w:sz="4" w:space="0"/>
              <w:left w:val="single" w:color="auto" w:sz="4" w:space="0"/>
              <w:bottom w:val="single" w:color="auto" w:sz="4" w:space="0"/>
              <w:right w:val="single" w:color="auto" w:sz="4" w:space="0"/>
            </w:tcBorders>
            <w:noWrap w:val="0"/>
            <w:vAlign w:val="center"/>
          </w:tcPr>
          <w:p w14:paraId="228B583E">
            <w:pPr>
              <w:keepLines/>
              <w:numPr>
                <w:ilvl w:val="0"/>
                <w:numId w:val="1"/>
              </w:numPr>
              <w:spacing w:line="360" w:lineRule="auto"/>
              <w:ind w:left="425" w:leftChars="0" w:hanging="425" w:firstLineChars="0"/>
              <w:jc w:val="center"/>
              <w:rPr>
                <w:rFonts w:hint="eastAsia" w:ascii="宋体" w:hAnsi="宋体" w:eastAsia="宋体" w:cs="宋体"/>
                <w:color w:val="auto"/>
                <w:kern w:val="0"/>
                <w:sz w:val="24"/>
                <w:szCs w:val="24"/>
                <w:highlight w:val="none"/>
              </w:rPr>
            </w:pPr>
          </w:p>
        </w:tc>
        <w:tc>
          <w:tcPr>
            <w:tcW w:w="1689" w:type="dxa"/>
            <w:tcBorders>
              <w:top w:val="single" w:color="auto" w:sz="4" w:space="0"/>
              <w:left w:val="nil"/>
              <w:bottom w:val="single" w:color="auto" w:sz="4" w:space="0"/>
              <w:right w:val="single" w:color="auto" w:sz="4" w:space="0"/>
            </w:tcBorders>
            <w:noWrap w:val="0"/>
            <w:vAlign w:val="center"/>
          </w:tcPr>
          <w:p w14:paraId="75BE76BE">
            <w:pPr>
              <w:pageBreakBefore w:val="0"/>
              <w:shd w:val="clear"/>
              <w:bidi w:val="0"/>
              <w:adjustRightInd w:val="0"/>
              <w:snapToGrid w:val="0"/>
              <w:spacing w:beforeAutospacing="0" w:afterAutospacing="0" w:line="360" w:lineRule="auto"/>
              <w:ind w:left="0" w:leftChars="0" w:right="0" w:rightChars="0"/>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highlight w:val="none"/>
                <w:lang w:val="en-US" w:eastAsia="zh-CN"/>
              </w:rPr>
              <w:t>是否允许递交备选磋商方案</w:t>
            </w:r>
          </w:p>
        </w:tc>
        <w:tc>
          <w:tcPr>
            <w:tcW w:w="6736" w:type="dxa"/>
            <w:tcBorders>
              <w:top w:val="single" w:color="auto" w:sz="4" w:space="0"/>
              <w:left w:val="nil"/>
              <w:bottom w:val="single" w:color="auto" w:sz="4" w:space="0"/>
              <w:right w:val="single" w:color="auto" w:sz="4" w:space="0"/>
            </w:tcBorders>
            <w:noWrap w:val="0"/>
            <w:vAlign w:val="center"/>
          </w:tcPr>
          <w:p w14:paraId="5705D214">
            <w:pPr>
              <w:pageBreakBefore w:val="0"/>
              <w:shd w:val="clear"/>
              <w:bidi w:val="0"/>
              <w:adjustRightInd w:val="0"/>
              <w:snapToGrid w:val="0"/>
              <w:spacing w:beforeAutospacing="0" w:afterAutospacing="0" w:line="360" w:lineRule="auto"/>
              <w:ind w:left="0" w:leftChars="0" w:right="0" w:rightChars="0"/>
              <w:jc w:val="left"/>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snapToGrid w:val="0"/>
                <w:color w:val="auto"/>
                <w:sz w:val="24"/>
                <w:szCs w:val="24"/>
                <w:highlight w:val="none"/>
                <w:lang w:val="en-US" w:eastAsia="zh-CN"/>
              </w:rPr>
              <w:t>不允许</w:t>
            </w:r>
          </w:p>
        </w:tc>
      </w:tr>
      <w:tr w14:paraId="08971523">
        <w:tblPrEx>
          <w:tblCellMar>
            <w:top w:w="0" w:type="dxa"/>
            <w:left w:w="108" w:type="dxa"/>
            <w:bottom w:w="0" w:type="dxa"/>
            <w:right w:w="108" w:type="dxa"/>
          </w:tblCellMar>
        </w:tblPrEx>
        <w:trPr>
          <w:trHeight w:val="717" w:hRule="atLeast"/>
          <w:jc w:val="center"/>
        </w:trPr>
        <w:tc>
          <w:tcPr>
            <w:tcW w:w="1093" w:type="dxa"/>
            <w:tcBorders>
              <w:top w:val="single" w:color="auto" w:sz="4" w:space="0"/>
              <w:left w:val="single" w:color="auto" w:sz="4" w:space="0"/>
              <w:bottom w:val="single" w:color="auto" w:sz="4" w:space="0"/>
              <w:right w:val="single" w:color="auto" w:sz="4" w:space="0"/>
            </w:tcBorders>
            <w:noWrap w:val="0"/>
            <w:vAlign w:val="center"/>
          </w:tcPr>
          <w:p w14:paraId="19438408">
            <w:pPr>
              <w:keepLines/>
              <w:numPr>
                <w:ilvl w:val="0"/>
                <w:numId w:val="1"/>
              </w:numPr>
              <w:spacing w:line="360" w:lineRule="auto"/>
              <w:ind w:left="425" w:leftChars="0" w:hanging="425" w:firstLineChars="0"/>
              <w:jc w:val="center"/>
              <w:rPr>
                <w:rFonts w:hint="eastAsia" w:ascii="宋体" w:hAnsi="宋体" w:eastAsia="宋体" w:cs="宋体"/>
                <w:color w:val="auto"/>
                <w:kern w:val="0"/>
                <w:sz w:val="24"/>
                <w:szCs w:val="24"/>
                <w:highlight w:val="none"/>
              </w:rPr>
            </w:pPr>
          </w:p>
        </w:tc>
        <w:tc>
          <w:tcPr>
            <w:tcW w:w="1689" w:type="dxa"/>
            <w:tcBorders>
              <w:top w:val="single" w:color="auto" w:sz="4" w:space="0"/>
              <w:left w:val="nil"/>
              <w:bottom w:val="single" w:color="auto" w:sz="4" w:space="0"/>
              <w:right w:val="single" w:color="auto" w:sz="4" w:space="0"/>
            </w:tcBorders>
            <w:noWrap w:val="0"/>
            <w:vAlign w:val="center"/>
          </w:tcPr>
          <w:p w14:paraId="25802648">
            <w:pPr>
              <w:pageBreakBefore w:val="0"/>
              <w:shd w:val="clear"/>
              <w:bidi w:val="0"/>
              <w:adjustRightInd w:val="0"/>
              <w:snapToGrid w:val="0"/>
              <w:spacing w:beforeAutospacing="0" w:afterAutospacing="0" w:line="360" w:lineRule="auto"/>
              <w:ind w:left="0" w:leftChars="0" w:right="0" w:rightChars="0"/>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highlight w:val="none"/>
                <w:lang w:val="en-US" w:eastAsia="zh-CN"/>
              </w:rPr>
              <w:t>是否退还响应文件</w:t>
            </w:r>
          </w:p>
        </w:tc>
        <w:tc>
          <w:tcPr>
            <w:tcW w:w="6736" w:type="dxa"/>
            <w:tcBorders>
              <w:top w:val="single" w:color="auto" w:sz="4" w:space="0"/>
              <w:left w:val="nil"/>
              <w:bottom w:val="single" w:color="auto" w:sz="4" w:space="0"/>
              <w:right w:val="single" w:color="auto" w:sz="4" w:space="0"/>
            </w:tcBorders>
            <w:noWrap w:val="0"/>
            <w:vAlign w:val="center"/>
          </w:tcPr>
          <w:p w14:paraId="7E9F37CD">
            <w:pPr>
              <w:pageBreakBefore w:val="0"/>
              <w:shd w:val="clear"/>
              <w:bidi w:val="0"/>
              <w:adjustRightInd w:val="0"/>
              <w:snapToGrid w:val="0"/>
              <w:spacing w:beforeAutospacing="0" w:afterAutospacing="0" w:line="360" w:lineRule="auto"/>
              <w:ind w:left="0" w:leftChars="0" w:right="0" w:rightChars="0"/>
              <w:jc w:val="left"/>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snapToGrid w:val="0"/>
                <w:color w:val="auto"/>
                <w:sz w:val="24"/>
                <w:szCs w:val="24"/>
                <w:highlight w:val="none"/>
                <w:lang w:val="en-US" w:eastAsia="zh-CN"/>
              </w:rPr>
              <w:t>否</w:t>
            </w:r>
          </w:p>
        </w:tc>
      </w:tr>
      <w:tr w14:paraId="2F5F4A35">
        <w:tblPrEx>
          <w:tblCellMar>
            <w:top w:w="0" w:type="dxa"/>
            <w:left w:w="108" w:type="dxa"/>
            <w:bottom w:w="0" w:type="dxa"/>
            <w:right w:w="108" w:type="dxa"/>
          </w:tblCellMar>
        </w:tblPrEx>
        <w:trPr>
          <w:trHeight w:val="717" w:hRule="atLeast"/>
          <w:jc w:val="center"/>
        </w:trPr>
        <w:tc>
          <w:tcPr>
            <w:tcW w:w="1093" w:type="dxa"/>
            <w:tcBorders>
              <w:top w:val="single" w:color="auto" w:sz="4" w:space="0"/>
              <w:left w:val="single" w:color="auto" w:sz="4" w:space="0"/>
              <w:bottom w:val="single" w:color="auto" w:sz="4" w:space="0"/>
              <w:right w:val="single" w:color="auto" w:sz="4" w:space="0"/>
            </w:tcBorders>
            <w:noWrap w:val="0"/>
            <w:vAlign w:val="center"/>
          </w:tcPr>
          <w:p w14:paraId="2FBED113">
            <w:pPr>
              <w:keepLines/>
              <w:numPr>
                <w:ilvl w:val="0"/>
                <w:numId w:val="1"/>
              </w:numPr>
              <w:spacing w:line="360" w:lineRule="auto"/>
              <w:ind w:left="425" w:leftChars="0" w:hanging="425" w:firstLineChars="0"/>
              <w:jc w:val="center"/>
              <w:rPr>
                <w:rFonts w:hint="eastAsia" w:ascii="宋体" w:hAnsi="宋体" w:eastAsia="宋体" w:cs="宋体"/>
                <w:color w:val="auto"/>
                <w:kern w:val="0"/>
                <w:sz w:val="24"/>
                <w:szCs w:val="24"/>
                <w:highlight w:val="none"/>
              </w:rPr>
            </w:pPr>
          </w:p>
        </w:tc>
        <w:tc>
          <w:tcPr>
            <w:tcW w:w="1689" w:type="dxa"/>
            <w:tcBorders>
              <w:top w:val="single" w:color="auto" w:sz="4" w:space="0"/>
              <w:left w:val="nil"/>
              <w:bottom w:val="single" w:color="auto" w:sz="4" w:space="0"/>
              <w:right w:val="single" w:color="auto" w:sz="4" w:space="0"/>
            </w:tcBorders>
            <w:noWrap w:val="0"/>
            <w:vAlign w:val="center"/>
          </w:tcPr>
          <w:p w14:paraId="4451AF34">
            <w:pPr>
              <w:widowControl/>
              <w:spacing w:line="360" w:lineRule="auto"/>
              <w:jc w:val="center"/>
              <w:rPr>
                <w:rFonts w:hint="eastAsia" w:ascii="宋体" w:hAnsi="宋体" w:eastAsia="宋体" w:cs="宋体"/>
                <w:snapToGrid w:val="0"/>
                <w:color w:val="auto"/>
                <w:sz w:val="24"/>
                <w:szCs w:val="24"/>
                <w:highlight w:val="none"/>
                <w:lang w:val="en-US" w:eastAsia="zh-CN"/>
              </w:rPr>
            </w:pPr>
            <w:r>
              <w:rPr>
                <w:rFonts w:hint="eastAsia" w:ascii="宋体" w:hAnsi="宋体" w:cs="宋体"/>
                <w:color w:val="auto"/>
                <w:sz w:val="24"/>
                <w:szCs w:val="24"/>
                <w:highlight w:val="none"/>
              </w:rPr>
              <w:t>近年财务状况的年份要求</w:t>
            </w:r>
          </w:p>
        </w:tc>
        <w:tc>
          <w:tcPr>
            <w:tcW w:w="6736" w:type="dxa"/>
            <w:tcBorders>
              <w:top w:val="single" w:color="auto" w:sz="4" w:space="0"/>
              <w:left w:val="nil"/>
              <w:bottom w:val="single" w:color="auto" w:sz="4" w:space="0"/>
              <w:right w:val="single" w:color="auto" w:sz="4" w:space="0"/>
            </w:tcBorders>
            <w:noWrap w:val="0"/>
            <w:vAlign w:val="center"/>
          </w:tcPr>
          <w:p w14:paraId="4C3723A7">
            <w:pPr>
              <w:keepNext w:val="0"/>
              <w:keepLines w:val="0"/>
              <w:pageBreakBefore w:val="0"/>
              <w:widowControl w:val="0"/>
              <w:kinsoku/>
              <w:wordWrap w:val="0"/>
              <w:overflowPunct/>
              <w:topLinePunct/>
              <w:autoSpaceDE/>
              <w:autoSpaceDN/>
              <w:bidi w:val="0"/>
              <w:adjustRightInd/>
              <w:snapToGrid/>
              <w:spacing w:line="360" w:lineRule="auto"/>
              <w:ind w:firstLine="0" w:firstLineChars="0"/>
              <w:jc w:val="left"/>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u w:val="single"/>
                <w:lang w:eastAsia="zh-CN"/>
              </w:rPr>
              <w:t>近</w:t>
            </w:r>
            <w:r>
              <w:rPr>
                <w:rFonts w:hint="eastAsia" w:ascii="宋体" w:hAnsi="宋体" w:cs="宋体"/>
                <w:color w:val="auto"/>
                <w:sz w:val="24"/>
                <w:szCs w:val="24"/>
                <w:highlight w:val="none"/>
                <w:u w:val="single"/>
              </w:rPr>
              <w:t>三</w:t>
            </w:r>
            <w:r>
              <w:rPr>
                <w:rFonts w:hint="eastAsia" w:ascii="宋体" w:hAnsi="宋体" w:cs="宋体"/>
                <w:color w:val="auto"/>
                <w:sz w:val="24"/>
                <w:szCs w:val="24"/>
                <w:highlight w:val="none"/>
              </w:rPr>
              <w:t>年，指202</w:t>
            </w: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rPr>
              <w:t>年度、202</w:t>
            </w: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rPr>
              <w:t>年度、202</w:t>
            </w:r>
            <w:r>
              <w:rPr>
                <w:rFonts w:hint="eastAsia" w:ascii="宋体" w:hAnsi="宋体" w:cs="宋体"/>
                <w:color w:val="auto"/>
                <w:sz w:val="24"/>
                <w:szCs w:val="24"/>
                <w:highlight w:val="none"/>
                <w:lang w:val="en-US" w:eastAsia="zh-CN"/>
              </w:rPr>
              <w:t>5</w:t>
            </w:r>
            <w:r>
              <w:rPr>
                <w:rFonts w:hint="eastAsia" w:ascii="宋体" w:hAnsi="宋体" w:cs="宋体"/>
                <w:color w:val="auto"/>
                <w:sz w:val="24"/>
                <w:szCs w:val="24"/>
                <w:highlight w:val="none"/>
              </w:rPr>
              <w:t>年度的经第三方会计师事务所或审计机构出具的审计报告（公司成立不足三年的，以公司成立年份计算）。</w:t>
            </w:r>
          </w:p>
        </w:tc>
      </w:tr>
      <w:tr w14:paraId="74B9BEC0">
        <w:tblPrEx>
          <w:tblCellMar>
            <w:top w:w="0" w:type="dxa"/>
            <w:left w:w="108" w:type="dxa"/>
            <w:bottom w:w="0" w:type="dxa"/>
            <w:right w:w="108" w:type="dxa"/>
          </w:tblCellMar>
        </w:tblPrEx>
        <w:trPr>
          <w:trHeight w:val="717" w:hRule="atLeast"/>
          <w:jc w:val="center"/>
        </w:trPr>
        <w:tc>
          <w:tcPr>
            <w:tcW w:w="1093" w:type="dxa"/>
            <w:tcBorders>
              <w:top w:val="single" w:color="auto" w:sz="4" w:space="0"/>
              <w:left w:val="single" w:color="auto" w:sz="4" w:space="0"/>
              <w:bottom w:val="single" w:color="auto" w:sz="4" w:space="0"/>
              <w:right w:val="single" w:color="auto" w:sz="4" w:space="0"/>
            </w:tcBorders>
            <w:noWrap w:val="0"/>
            <w:vAlign w:val="center"/>
          </w:tcPr>
          <w:p w14:paraId="3A1F8CCC">
            <w:pPr>
              <w:keepLines/>
              <w:numPr>
                <w:ilvl w:val="0"/>
                <w:numId w:val="1"/>
              </w:numPr>
              <w:spacing w:line="360" w:lineRule="auto"/>
              <w:ind w:left="425" w:leftChars="0" w:hanging="425" w:firstLineChars="0"/>
              <w:jc w:val="center"/>
              <w:rPr>
                <w:rFonts w:hint="eastAsia" w:ascii="宋体" w:hAnsi="宋体" w:eastAsia="宋体" w:cs="宋体"/>
                <w:color w:val="auto"/>
                <w:kern w:val="0"/>
                <w:sz w:val="24"/>
                <w:szCs w:val="24"/>
                <w:highlight w:val="none"/>
              </w:rPr>
            </w:pPr>
          </w:p>
        </w:tc>
        <w:tc>
          <w:tcPr>
            <w:tcW w:w="1689" w:type="dxa"/>
            <w:tcBorders>
              <w:top w:val="single" w:color="auto" w:sz="4" w:space="0"/>
              <w:left w:val="nil"/>
              <w:bottom w:val="single" w:color="auto" w:sz="4" w:space="0"/>
              <w:right w:val="single" w:color="auto" w:sz="4" w:space="0"/>
            </w:tcBorders>
            <w:noWrap w:val="0"/>
            <w:vAlign w:val="center"/>
          </w:tcPr>
          <w:p w14:paraId="6AC3A603">
            <w:pPr>
              <w:widowControl/>
              <w:spacing w:line="360" w:lineRule="auto"/>
              <w:jc w:val="center"/>
              <w:rPr>
                <w:rFonts w:hint="eastAsia" w:ascii="宋体" w:hAnsi="宋体" w:eastAsia="宋体" w:cs="宋体"/>
                <w:snapToGrid w:val="0"/>
                <w:color w:val="auto"/>
                <w:sz w:val="24"/>
                <w:szCs w:val="24"/>
                <w:highlight w:val="none"/>
                <w:lang w:val="en-US" w:eastAsia="zh-CN"/>
              </w:rPr>
            </w:pPr>
            <w:r>
              <w:rPr>
                <w:rFonts w:hint="eastAsia" w:ascii="宋体" w:hAnsi="宋体" w:cs="宋体"/>
                <w:color w:val="auto"/>
                <w:sz w:val="24"/>
                <w:szCs w:val="24"/>
                <w:highlight w:val="none"/>
              </w:rPr>
              <w:t>近年完成的类似项目的年份要求</w:t>
            </w:r>
          </w:p>
        </w:tc>
        <w:tc>
          <w:tcPr>
            <w:tcW w:w="6736" w:type="dxa"/>
            <w:tcBorders>
              <w:top w:val="single" w:color="auto" w:sz="4" w:space="0"/>
              <w:left w:val="nil"/>
              <w:bottom w:val="single" w:color="auto" w:sz="4" w:space="0"/>
              <w:right w:val="single" w:color="auto" w:sz="4" w:space="0"/>
            </w:tcBorders>
            <w:noWrap w:val="0"/>
            <w:vAlign w:val="center"/>
          </w:tcPr>
          <w:p w14:paraId="1B91DC74">
            <w:pPr>
              <w:keepNext w:val="0"/>
              <w:keepLines w:val="0"/>
              <w:pageBreakBefore w:val="0"/>
              <w:widowControl w:val="0"/>
              <w:kinsoku/>
              <w:wordWrap w:val="0"/>
              <w:overflowPunct/>
              <w:topLinePunct/>
              <w:autoSpaceDE/>
              <w:autoSpaceDN/>
              <w:bidi w:val="0"/>
              <w:adjustRightInd/>
              <w:snapToGrid/>
              <w:spacing w:line="360" w:lineRule="auto"/>
              <w:ind w:firstLine="0" w:firstLineChars="0"/>
              <w:jc w:val="left"/>
              <w:textAlignment w:val="auto"/>
              <w:rPr>
                <w:rFonts w:hint="eastAsia" w:ascii="宋体" w:hAnsi="宋体" w:eastAsia="宋体" w:cs="宋体"/>
                <w:color w:val="auto"/>
                <w:sz w:val="24"/>
                <w:szCs w:val="24"/>
                <w:highlight w:val="none"/>
              </w:rPr>
            </w:pPr>
            <w:r>
              <w:rPr>
                <w:rFonts w:hint="eastAsia" w:ascii="宋体" w:hAnsi="宋体" w:cs="宋体"/>
                <w:color w:val="auto"/>
                <w:kern w:val="44"/>
                <w:sz w:val="24"/>
                <w:szCs w:val="24"/>
                <w:highlight w:val="none"/>
              </w:rPr>
              <w:t>202</w:t>
            </w:r>
            <w:r>
              <w:rPr>
                <w:rFonts w:hint="eastAsia" w:ascii="宋体" w:hAnsi="宋体" w:cs="宋体"/>
                <w:color w:val="auto"/>
                <w:kern w:val="44"/>
                <w:sz w:val="24"/>
                <w:szCs w:val="24"/>
                <w:highlight w:val="none"/>
                <w:lang w:val="en-US" w:eastAsia="zh-CN"/>
              </w:rPr>
              <w:t>3</w:t>
            </w:r>
            <w:r>
              <w:rPr>
                <w:rFonts w:hint="eastAsia" w:ascii="宋体" w:hAnsi="宋体" w:cs="宋体"/>
                <w:color w:val="auto"/>
                <w:kern w:val="44"/>
                <w:sz w:val="24"/>
                <w:szCs w:val="24"/>
                <w:highlight w:val="none"/>
              </w:rPr>
              <w:t>年1月1日以来</w:t>
            </w:r>
          </w:p>
        </w:tc>
      </w:tr>
      <w:tr w14:paraId="4245287B">
        <w:tblPrEx>
          <w:tblCellMar>
            <w:top w:w="0" w:type="dxa"/>
            <w:left w:w="108" w:type="dxa"/>
            <w:bottom w:w="0" w:type="dxa"/>
            <w:right w:w="108" w:type="dxa"/>
          </w:tblCellMar>
        </w:tblPrEx>
        <w:trPr>
          <w:trHeight w:val="717" w:hRule="atLeast"/>
          <w:jc w:val="center"/>
        </w:trPr>
        <w:tc>
          <w:tcPr>
            <w:tcW w:w="1093" w:type="dxa"/>
            <w:tcBorders>
              <w:top w:val="single" w:color="auto" w:sz="4" w:space="0"/>
              <w:left w:val="single" w:color="auto" w:sz="4" w:space="0"/>
              <w:bottom w:val="single" w:color="auto" w:sz="4" w:space="0"/>
              <w:right w:val="single" w:color="auto" w:sz="4" w:space="0"/>
            </w:tcBorders>
            <w:noWrap w:val="0"/>
            <w:vAlign w:val="center"/>
          </w:tcPr>
          <w:p w14:paraId="172C7577">
            <w:pPr>
              <w:keepLines/>
              <w:numPr>
                <w:ilvl w:val="0"/>
                <w:numId w:val="1"/>
              </w:numPr>
              <w:spacing w:line="360" w:lineRule="auto"/>
              <w:ind w:left="425" w:leftChars="0" w:hanging="425" w:firstLineChars="0"/>
              <w:jc w:val="center"/>
              <w:rPr>
                <w:rFonts w:hint="eastAsia" w:ascii="宋体" w:hAnsi="宋体" w:eastAsia="宋体" w:cs="宋体"/>
                <w:color w:val="auto"/>
                <w:kern w:val="0"/>
                <w:sz w:val="24"/>
                <w:szCs w:val="24"/>
                <w:highlight w:val="none"/>
              </w:rPr>
            </w:pPr>
          </w:p>
        </w:tc>
        <w:tc>
          <w:tcPr>
            <w:tcW w:w="1689" w:type="dxa"/>
            <w:tcBorders>
              <w:top w:val="single" w:color="auto" w:sz="4" w:space="0"/>
              <w:left w:val="nil"/>
              <w:bottom w:val="single" w:color="auto" w:sz="4" w:space="0"/>
              <w:right w:val="single" w:color="auto" w:sz="4" w:space="0"/>
            </w:tcBorders>
            <w:noWrap w:val="0"/>
            <w:vAlign w:val="center"/>
          </w:tcPr>
          <w:p w14:paraId="18D4917B">
            <w:pPr>
              <w:widowControl/>
              <w:spacing w:line="360" w:lineRule="auto"/>
              <w:jc w:val="center"/>
              <w:rPr>
                <w:rFonts w:hint="eastAsia" w:ascii="宋体" w:hAnsi="宋体" w:eastAsia="宋体" w:cs="宋体"/>
                <w:snapToGrid w:val="0"/>
                <w:color w:val="auto"/>
                <w:sz w:val="24"/>
                <w:szCs w:val="24"/>
                <w:highlight w:val="none"/>
                <w:lang w:val="en-US" w:eastAsia="zh-CN"/>
              </w:rPr>
            </w:pPr>
            <w:r>
              <w:rPr>
                <w:rFonts w:hint="eastAsia" w:ascii="宋体" w:hAnsi="宋体" w:cs="宋体"/>
                <w:color w:val="auto"/>
                <w:sz w:val="24"/>
                <w:szCs w:val="24"/>
                <w:highlight w:val="none"/>
              </w:rPr>
              <w:t>近年发生的诉讼及仲裁情况的年份要求</w:t>
            </w:r>
          </w:p>
        </w:tc>
        <w:tc>
          <w:tcPr>
            <w:tcW w:w="6736" w:type="dxa"/>
            <w:tcBorders>
              <w:top w:val="single" w:color="auto" w:sz="4" w:space="0"/>
              <w:left w:val="nil"/>
              <w:bottom w:val="single" w:color="auto" w:sz="4" w:space="0"/>
              <w:right w:val="single" w:color="auto" w:sz="4" w:space="0"/>
            </w:tcBorders>
            <w:noWrap w:val="0"/>
            <w:vAlign w:val="center"/>
          </w:tcPr>
          <w:p w14:paraId="1DA4DF91">
            <w:pPr>
              <w:keepNext w:val="0"/>
              <w:keepLines w:val="0"/>
              <w:pageBreakBefore w:val="0"/>
              <w:widowControl w:val="0"/>
              <w:kinsoku/>
              <w:wordWrap w:val="0"/>
              <w:overflowPunct/>
              <w:topLinePunct/>
              <w:autoSpaceDE/>
              <w:autoSpaceDN/>
              <w:bidi w:val="0"/>
              <w:adjustRightInd/>
              <w:snapToGrid/>
              <w:spacing w:line="360" w:lineRule="auto"/>
              <w:ind w:firstLine="0" w:firstLineChars="0"/>
              <w:jc w:val="left"/>
              <w:textAlignment w:val="auto"/>
              <w:rPr>
                <w:rFonts w:hint="eastAsia" w:ascii="宋体" w:hAnsi="宋体" w:eastAsia="宋体" w:cs="宋体"/>
                <w:color w:val="auto"/>
                <w:sz w:val="24"/>
                <w:szCs w:val="24"/>
                <w:highlight w:val="none"/>
              </w:rPr>
            </w:pPr>
            <w:r>
              <w:rPr>
                <w:rFonts w:hint="eastAsia" w:ascii="宋体" w:hAnsi="宋体" w:cs="宋体"/>
                <w:color w:val="auto"/>
                <w:kern w:val="44"/>
                <w:sz w:val="24"/>
                <w:szCs w:val="24"/>
                <w:highlight w:val="none"/>
              </w:rPr>
              <w:t>202</w:t>
            </w:r>
            <w:r>
              <w:rPr>
                <w:rFonts w:hint="eastAsia" w:ascii="宋体" w:hAnsi="宋体" w:cs="宋体"/>
                <w:color w:val="auto"/>
                <w:kern w:val="44"/>
                <w:sz w:val="24"/>
                <w:szCs w:val="24"/>
                <w:highlight w:val="none"/>
                <w:lang w:val="en-US" w:eastAsia="zh-CN"/>
              </w:rPr>
              <w:t>3</w:t>
            </w:r>
            <w:r>
              <w:rPr>
                <w:rFonts w:hint="eastAsia" w:ascii="宋体" w:hAnsi="宋体" w:cs="宋体"/>
                <w:color w:val="auto"/>
                <w:kern w:val="44"/>
                <w:sz w:val="24"/>
                <w:szCs w:val="24"/>
                <w:highlight w:val="none"/>
              </w:rPr>
              <w:t>年1月1日以来</w:t>
            </w:r>
          </w:p>
        </w:tc>
      </w:tr>
      <w:tr w14:paraId="2DE6B6C4">
        <w:tblPrEx>
          <w:tblCellMar>
            <w:top w:w="0" w:type="dxa"/>
            <w:left w:w="108" w:type="dxa"/>
            <w:bottom w:w="0" w:type="dxa"/>
            <w:right w:w="108" w:type="dxa"/>
          </w:tblCellMar>
        </w:tblPrEx>
        <w:trPr>
          <w:trHeight w:val="135" w:hRule="atLeast"/>
          <w:jc w:val="center"/>
        </w:trPr>
        <w:tc>
          <w:tcPr>
            <w:tcW w:w="1093" w:type="dxa"/>
            <w:tcBorders>
              <w:top w:val="single" w:color="auto" w:sz="4" w:space="0"/>
              <w:left w:val="single" w:color="auto" w:sz="4" w:space="0"/>
              <w:bottom w:val="single" w:color="auto" w:sz="4" w:space="0"/>
              <w:right w:val="single" w:color="auto" w:sz="4" w:space="0"/>
            </w:tcBorders>
            <w:noWrap w:val="0"/>
            <w:vAlign w:val="center"/>
          </w:tcPr>
          <w:p w14:paraId="332C9A0D">
            <w:pPr>
              <w:keepLines/>
              <w:numPr>
                <w:ilvl w:val="0"/>
                <w:numId w:val="1"/>
              </w:numPr>
              <w:spacing w:line="360" w:lineRule="auto"/>
              <w:ind w:left="425" w:leftChars="0" w:hanging="425" w:firstLineChars="0"/>
              <w:jc w:val="center"/>
              <w:rPr>
                <w:rFonts w:hint="eastAsia" w:ascii="宋体" w:hAnsi="宋体" w:eastAsia="宋体" w:cs="宋体"/>
                <w:color w:val="auto"/>
                <w:kern w:val="0"/>
                <w:sz w:val="24"/>
                <w:szCs w:val="24"/>
                <w:highlight w:val="none"/>
              </w:rPr>
            </w:pPr>
          </w:p>
        </w:tc>
        <w:tc>
          <w:tcPr>
            <w:tcW w:w="1689" w:type="dxa"/>
            <w:tcBorders>
              <w:top w:val="single" w:color="auto" w:sz="4" w:space="0"/>
              <w:left w:val="nil"/>
              <w:bottom w:val="single" w:color="auto" w:sz="4" w:space="0"/>
              <w:right w:val="single" w:color="auto" w:sz="4" w:space="0"/>
            </w:tcBorders>
            <w:noWrap w:val="0"/>
            <w:vAlign w:val="center"/>
          </w:tcPr>
          <w:p w14:paraId="783A380F">
            <w:pPr>
              <w:widowControl/>
              <w:spacing w:line="360" w:lineRule="auto"/>
              <w:jc w:val="center"/>
              <w:rPr>
                <w:rFonts w:hint="eastAsia" w:ascii="宋体" w:hAnsi="宋体" w:eastAsia="宋体" w:cs="宋体"/>
                <w:color w:val="auto"/>
                <w:kern w:val="0"/>
                <w:sz w:val="24"/>
                <w:szCs w:val="24"/>
                <w:highlight w:val="none"/>
              </w:rPr>
            </w:pPr>
            <w:r>
              <w:rPr>
                <w:rFonts w:hint="eastAsia" w:ascii="宋体" w:hAnsi="宋体" w:cs="宋体"/>
                <w:color w:val="auto"/>
                <w:sz w:val="24"/>
                <w:szCs w:val="24"/>
                <w:highlight w:val="none"/>
              </w:rPr>
              <w:t>响应人代表出席开标会</w:t>
            </w:r>
          </w:p>
        </w:tc>
        <w:tc>
          <w:tcPr>
            <w:tcW w:w="6736" w:type="dxa"/>
            <w:tcBorders>
              <w:top w:val="single" w:color="auto" w:sz="4" w:space="0"/>
              <w:left w:val="nil"/>
              <w:bottom w:val="single" w:color="auto" w:sz="4" w:space="0"/>
              <w:right w:val="single" w:color="auto" w:sz="4" w:space="0"/>
            </w:tcBorders>
            <w:noWrap w:val="0"/>
            <w:vAlign w:val="center"/>
          </w:tcPr>
          <w:p w14:paraId="284ED849">
            <w:pPr>
              <w:keepNext w:val="0"/>
              <w:keepLines w:val="0"/>
              <w:pageBreakBefore w:val="0"/>
              <w:widowControl w:val="0"/>
              <w:kinsoku/>
              <w:wordWrap w:val="0"/>
              <w:overflowPunct/>
              <w:topLinePunct/>
              <w:autoSpaceDE/>
              <w:autoSpaceDN/>
              <w:bidi w:val="0"/>
              <w:adjustRightInd/>
              <w:snapToGrid/>
              <w:spacing w:line="360" w:lineRule="auto"/>
              <w:ind w:firstLine="0" w:firstLineChars="0"/>
              <w:jc w:val="left"/>
              <w:textAlignment w:val="auto"/>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rPr>
              <w:t>所有投标响应人的法定代表人或其委托代理人无需到现场参加开标会议，仔细阅读磋商文件和三门峡市公共资源交易中心官网业务办理指南</w:t>
            </w:r>
          </w:p>
        </w:tc>
      </w:tr>
      <w:tr w14:paraId="4ACC9F48">
        <w:tblPrEx>
          <w:tblCellMar>
            <w:top w:w="0" w:type="dxa"/>
            <w:left w:w="108" w:type="dxa"/>
            <w:bottom w:w="0" w:type="dxa"/>
            <w:right w:w="108" w:type="dxa"/>
          </w:tblCellMar>
        </w:tblPrEx>
        <w:trPr>
          <w:trHeight w:val="135" w:hRule="atLeast"/>
          <w:jc w:val="center"/>
        </w:trPr>
        <w:tc>
          <w:tcPr>
            <w:tcW w:w="1093" w:type="dxa"/>
            <w:tcBorders>
              <w:top w:val="single" w:color="auto" w:sz="4" w:space="0"/>
              <w:left w:val="single" w:color="auto" w:sz="4" w:space="0"/>
              <w:bottom w:val="single" w:color="auto" w:sz="4" w:space="0"/>
              <w:right w:val="single" w:color="auto" w:sz="4" w:space="0"/>
            </w:tcBorders>
            <w:noWrap w:val="0"/>
            <w:vAlign w:val="center"/>
          </w:tcPr>
          <w:p w14:paraId="74FE3E9B">
            <w:pPr>
              <w:keepLines/>
              <w:numPr>
                <w:ilvl w:val="0"/>
                <w:numId w:val="1"/>
              </w:numPr>
              <w:spacing w:line="360" w:lineRule="auto"/>
              <w:ind w:left="425" w:leftChars="0" w:hanging="425" w:firstLineChars="0"/>
              <w:jc w:val="center"/>
              <w:rPr>
                <w:rFonts w:hint="eastAsia" w:ascii="宋体" w:hAnsi="宋体" w:eastAsia="宋体" w:cs="宋体"/>
                <w:color w:val="auto"/>
                <w:kern w:val="0"/>
                <w:sz w:val="24"/>
                <w:szCs w:val="24"/>
                <w:highlight w:val="none"/>
              </w:rPr>
            </w:pPr>
          </w:p>
        </w:tc>
        <w:tc>
          <w:tcPr>
            <w:tcW w:w="1689" w:type="dxa"/>
            <w:tcBorders>
              <w:top w:val="single" w:color="auto" w:sz="4" w:space="0"/>
              <w:left w:val="nil"/>
              <w:bottom w:val="single" w:color="auto" w:sz="4" w:space="0"/>
              <w:right w:val="single" w:color="auto" w:sz="4" w:space="0"/>
            </w:tcBorders>
            <w:noWrap w:val="0"/>
            <w:vAlign w:val="center"/>
          </w:tcPr>
          <w:p w14:paraId="270F0724">
            <w:pPr>
              <w:keepLines/>
              <w:spacing w:line="360"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磋商截止时间</w:t>
            </w:r>
          </w:p>
        </w:tc>
        <w:tc>
          <w:tcPr>
            <w:tcW w:w="6736" w:type="dxa"/>
            <w:tcBorders>
              <w:top w:val="single" w:color="auto" w:sz="4" w:space="0"/>
              <w:left w:val="nil"/>
              <w:bottom w:val="single" w:color="auto" w:sz="4" w:space="0"/>
              <w:right w:val="single" w:color="auto" w:sz="4" w:space="0"/>
            </w:tcBorders>
            <w:noWrap w:val="0"/>
            <w:vAlign w:val="center"/>
          </w:tcPr>
          <w:p w14:paraId="4BAAFF80">
            <w:pPr>
              <w:spacing w:line="360" w:lineRule="auto"/>
              <w:ind w:firstLine="240" w:firstLineChars="1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2026年08月25日08时30分</w:t>
            </w:r>
            <w:r>
              <w:rPr>
                <w:rFonts w:hint="eastAsia" w:ascii="宋体" w:hAnsi="宋体" w:eastAsia="宋体" w:cs="宋体"/>
                <w:color w:val="auto"/>
                <w:sz w:val="24"/>
                <w:szCs w:val="24"/>
                <w:highlight w:val="none"/>
              </w:rPr>
              <w:t>。</w:t>
            </w:r>
          </w:p>
        </w:tc>
      </w:tr>
      <w:tr w14:paraId="12024D13">
        <w:tblPrEx>
          <w:tblCellMar>
            <w:top w:w="0" w:type="dxa"/>
            <w:left w:w="108" w:type="dxa"/>
            <w:bottom w:w="0" w:type="dxa"/>
            <w:right w:w="108" w:type="dxa"/>
          </w:tblCellMar>
        </w:tblPrEx>
        <w:trPr>
          <w:trHeight w:val="539" w:hRule="atLeast"/>
          <w:jc w:val="center"/>
        </w:trPr>
        <w:tc>
          <w:tcPr>
            <w:tcW w:w="1093" w:type="dxa"/>
            <w:tcBorders>
              <w:top w:val="single" w:color="auto" w:sz="4" w:space="0"/>
              <w:left w:val="single" w:color="auto" w:sz="4" w:space="0"/>
              <w:bottom w:val="single" w:color="auto" w:sz="4" w:space="0"/>
              <w:right w:val="single" w:color="auto" w:sz="4" w:space="0"/>
            </w:tcBorders>
            <w:noWrap w:val="0"/>
            <w:vAlign w:val="center"/>
          </w:tcPr>
          <w:p w14:paraId="42CBBAEE">
            <w:pPr>
              <w:keepLines/>
              <w:numPr>
                <w:ilvl w:val="0"/>
                <w:numId w:val="1"/>
              </w:numPr>
              <w:spacing w:line="360" w:lineRule="auto"/>
              <w:ind w:left="425" w:leftChars="0" w:hanging="425" w:firstLineChars="0"/>
              <w:jc w:val="center"/>
              <w:rPr>
                <w:rFonts w:hint="eastAsia" w:ascii="宋体" w:hAnsi="宋体" w:eastAsia="宋体" w:cs="宋体"/>
                <w:color w:val="auto"/>
                <w:kern w:val="0"/>
                <w:sz w:val="24"/>
                <w:szCs w:val="24"/>
                <w:highlight w:val="none"/>
              </w:rPr>
            </w:pPr>
          </w:p>
        </w:tc>
        <w:tc>
          <w:tcPr>
            <w:tcW w:w="1689" w:type="dxa"/>
            <w:tcBorders>
              <w:top w:val="single" w:color="auto" w:sz="4" w:space="0"/>
              <w:left w:val="nil"/>
              <w:bottom w:val="single" w:color="auto" w:sz="4" w:space="0"/>
              <w:right w:val="single" w:color="auto" w:sz="4" w:space="0"/>
            </w:tcBorders>
            <w:noWrap w:val="0"/>
            <w:vAlign w:val="center"/>
          </w:tcPr>
          <w:p w14:paraId="56965CA9">
            <w:pPr>
              <w:keepLines/>
              <w:spacing w:line="360"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磋商时间和</w:t>
            </w:r>
          </w:p>
          <w:p w14:paraId="595B0514">
            <w:pPr>
              <w:keepLines/>
              <w:spacing w:line="360"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地点</w:t>
            </w:r>
          </w:p>
        </w:tc>
        <w:tc>
          <w:tcPr>
            <w:tcW w:w="6736" w:type="dxa"/>
            <w:tcBorders>
              <w:top w:val="single" w:color="auto" w:sz="4" w:space="0"/>
              <w:left w:val="nil"/>
              <w:bottom w:val="single" w:color="auto" w:sz="4" w:space="0"/>
              <w:right w:val="single" w:color="auto" w:sz="4" w:space="0"/>
            </w:tcBorders>
            <w:noWrap w:val="0"/>
            <w:vAlign w:val="center"/>
          </w:tcPr>
          <w:p w14:paraId="2AE920E5">
            <w:pPr>
              <w:spacing w:line="360" w:lineRule="auto"/>
              <w:ind w:firstLine="240" w:firstLineChars="1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时间：同磋商截止时间。</w:t>
            </w:r>
          </w:p>
          <w:p w14:paraId="01FFAA39">
            <w:pPr>
              <w:keepLines/>
              <w:spacing w:line="360" w:lineRule="auto"/>
              <w:ind w:firstLine="240" w:firstLineChars="10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kern w:val="0"/>
                <w:sz w:val="24"/>
                <w:szCs w:val="24"/>
                <w:highlight w:val="none"/>
              </w:rPr>
              <w:t>地点：</w:t>
            </w:r>
            <w:r>
              <w:rPr>
                <w:rFonts w:hint="eastAsia" w:ascii="宋体" w:hAnsi="宋体" w:eastAsia="宋体" w:cs="宋体"/>
                <w:color w:val="auto"/>
                <w:sz w:val="24"/>
                <w:szCs w:val="24"/>
                <w:highlight w:val="none"/>
                <w:lang w:eastAsia="zh-CN"/>
              </w:rPr>
              <w:t>灵宝市公共资源交易中心</w:t>
            </w:r>
            <w:r>
              <w:rPr>
                <w:rFonts w:hint="eastAsia" w:ascii="宋体" w:hAnsi="宋体" w:cs="宋体"/>
                <w:color w:val="auto"/>
                <w:sz w:val="24"/>
                <w:szCs w:val="24"/>
                <w:highlight w:val="none"/>
                <w:lang w:eastAsia="zh-CN"/>
              </w:rPr>
              <w:t>开标二室评标一室</w:t>
            </w:r>
            <w:r>
              <w:rPr>
                <w:rFonts w:hint="eastAsia" w:ascii="宋体" w:hAnsi="宋体" w:eastAsia="宋体" w:cs="宋体"/>
                <w:color w:val="auto"/>
                <w:sz w:val="24"/>
                <w:szCs w:val="24"/>
                <w:highlight w:val="none"/>
                <w:lang w:eastAsia="zh-CN"/>
              </w:rPr>
              <w:t>（灵宝市金城大道农村信用联社12楼）。</w:t>
            </w:r>
          </w:p>
          <w:p w14:paraId="7882BC86">
            <w:pPr>
              <w:keepLines/>
              <w:spacing w:line="360" w:lineRule="auto"/>
              <w:ind w:firstLine="240" w:firstLineChars="1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本项目采用“远程不见面”开标方式，供应商无需到三门峡市公共资源交易中心现场参加开标会议，只需在投标截止时间前，登录远程开标大厅，在线准时参加开标活动并进行文件解密等。</w:t>
            </w:r>
          </w:p>
        </w:tc>
      </w:tr>
      <w:tr w14:paraId="5A44C7F9">
        <w:tblPrEx>
          <w:tblCellMar>
            <w:top w:w="0" w:type="dxa"/>
            <w:left w:w="108" w:type="dxa"/>
            <w:bottom w:w="0" w:type="dxa"/>
            <w:right w:w="108" w:type="dxa"/>
          </w:tblCellMar>
        </w:tblPrEx>
        <w:trPr>
          <w:trHeight w:val="539" w:hRule="atLeast"/>
          <w:jc w:val="center"/>
        </w:trPr>
        <w:tc>
          <w:tcPr>
            <w:tcW w:w="1093" w:type="dxa"/>
            <w:tcBorders>
              <w:top w:val="single" w:color="auto" w:sz="4" w:space="0"/>
              <w:left w:val="single" w:color="auto" w:sz="4" w:space="0"/>
              <w:bottom w:val="single" w:color="auto" w:sz="4" w:space="0"/>
              <w:right w:val="single" w:color="auto" w:sz="4" w:space="0"/>
            </w:tcBorders>
            <w:noWrap w:val="0"/>
            <w:vAlign w:val="center"/>
          </w:tcPr>
          <w:p w14:paraId="3BAEA366">
            <w:pPr>
              <w:keepLines/>
              <w:numPr>
                <w:ilvl w:val="0"/>
                <w:numId w:val="1"/>
              </w:numPr>
              <w:spacing w:line="360" w:lineRule="auto"/>
              <w:ind w:left="425" w:leftChars="0" w:hanging="425" w:firstLineChars="0"/>
              <w:jc w:val="center"/>
              <w:rPr>
                <w:rFonts w:hint="eastAsia" w:ascii="宋体" w:hAnsi="宋体" w:eastAsia="宋体" w:cs="宋体"/>
                <w:color w:val="auto"/>
                <w:kern w:val="0"/>
                <w:sz w:val="24"/>
                <w:szCs w:val="24"/>
                <w:highlight w:val="none"/>
              </w:rPr>
            </w:pPr>
          </w:p>
        </w:tc>
        <w:tc>
          <w:tcPr>
            <w:tcW w:w="1689" w:type="dxa"/>
            <w:tcBorders>
              <w:top w:val="single" w:color="auto" w:sz="4" w:space="0"/>
              <w:left w:val="nil"/>
              <w:bottom w:val="single" w:color="auto" w:sz="4" w:space="0"/>
              <w:right w:val="single" w:color="auto" w:sz="4" w:space="0"/>
            </w:tcBorders>
            <w:noWrap w:val="0"/>
            <w:vAlign w:val="center"/>
          </w:tcPr>
          <w:p w14:paraId="67CEDF26">
            <w:pPr>
              <w:pageBreakBefore w:val="0"/>
              <w:shd w:val="clear"/>
              <w:bidi w:val="0"/>
              <w:adjustRightInd w:val="0"/>
              <w:snapToGrid w:val="0"/>
              <w:spacing w:beforeAutospacing="0" w:afterAutospacing="0" w:line="360" w:lineRule="auto"/>
              <w:ind w:left="0" w:leftChars="0" w:right="0" w:rightChars="0"/>
              <w:jc w:val="center"/>
              <w:rPr>
                <w:rFonts w:hint="eastAsia" w:ascii="宋体" w:hAnsi="宋体" w:eastAsia="宋体" w:cs="宋体"/>
                <w:color w:val="auto"/>
                <w:kern w:val="0"/>
                <w:sz w:val="24"/>
                <w:szCs w:val="24"/>
                <w:highlight w:val="none"/>
              </w:rPr>
            </w:pPr>
            <w:r>
              <w:rPr>
                <w:rFonts w:hint="eastAsia" w:ascii="宋体" w:hAnsi="宋体" w:eastAsia="宋体" w:cs="宋体"/>
                <w:snapToGrid w:val="0"/>
                <w:color w:val="auto"/>
                <w:sz w:val="24"/>
                <w:szCs w:val="24"/>
                <w:highlight w:val="none"/>
                <w:lang w:val="en-US" w:eastAsia="zh-CN"/>
              </w:rPr>
              <w:t>开标程序</w:t>
            </w:r>
          </w:p>
        </w:tc>
        <w:tc>
          <w:tcPr>
            <w:tcW w:w="6736" w:type="dxa"/>
            <w:tcBorders>
              <w:top w:val="single" w:color="auto" w:sz="4" w:space="0"/>
              <w:left w:val="nil"/>
              <w:bottom w:val="single" w:color="auto" w:sz="4" w:space="0"/>
              <w:right w:val="single" w:color="auto" w:sz="4" w:space="0"/>
            </w:tcBorders>
            <w:noWrap w:val="0"/>
            <w:vAlign w:val="center"/>
          </w:tcPr>
          <w:p w14:paraId="6B7B8212">
            <w:pPr>
              <w:pageBreakBefore w:val="0"/>
              <w:shd w:val="clear"/>
              <w:bidi w:val="0"/>
              <w:adjustRightInd w:val="0"/>
              <w:snapToGrid w:val="0"/>
              <w:spacing w:beforeAutospacing="0" w:afterAutospacing="0" w:line="360" w:lineRule="auto"/>
              <w:ind w:left="0" w:leftChars="0" w:right="0" w:rightChars="0"/>
              <w:jc w:val="left"/>
              <w:rPr>
                <w:rFonts w:hint="eastAsia" w:ascii="宋体" w:hAnsi="宋体" w:eastAsia="宋体" w:cs="宋体"/>
                <w:color w:val="auto"/>
                <w:kern w:val="0"/>
                <w:sz w:val="24"/>
                <w:szCs w:val="24"/>
                <w:highlight w:val="none"/>
              </w:rPr>
            </w:pPr>
            <w:r>
              <w:rPr>
                <w:rFonts w:hint="eastAsia" w:ascii="宋体" w:hAnsi="宋体" w:eastAsia="宋体" w:cs="宋体"/>
                <w:snapToGrid w:val="0"/>
                <w:color w:val="auto"/>
                <w:sz w:val="24"/>
                <w:szCs w:val="24"/>
                <w:highlight w:val="none"/>
                <w:lang w:val="en-US" w:eastAsia="zh-CN"/>
              </w:rPr>
              <w:t>电子化响应文件采用一次加密方式。开标时，由供应商使用CA证书，在规定时间内对其电子化响应文件进行解密。每位供应商的解密时间为开标时间起30分钟内，如在规定时间内未完成解密的，其响应文件不予开标、唱标。</w:t>
            </w:r>
          </w:p>
        </w:tc>
      </w:tr>
      <w:tr w14:paraId="16C42447">
        <w:tblPrEx>
          <w:tblCellMar>
            <w:top w:w="0" w:type="dxa"/>
            <w:left w:w="108" w:type="dxa"/>
            <w:bottom w:w="0" w:type="dxa"/>
            <w:right w:w="108" w:type="dxa"/>
          </w:tblCellMar>
        </w:tblPrEx>
        <w:trPr>
          <w:trHeight w:val="216" w:hRule="atLeast"/>
          <w:jc w:val="center"/>
        </w:trPr>
        <w:tc>
          <w:tcPr>
            <w:tcW w:w="1093" w:type="dxa"/>
            <w:tcBorders>
              <w:top w:val="single" w:color="auto" w:sz="4" w:space="0"/>
              <w:left w:val="single" w:color="auto" w:sz="4" w:space="0"/>
              <w:bottom w:val="single" w:color="auto" w:sz="4" w:space="0"/>
              <w:right w:val="single" w:color="auto" w:sz="4" w:space="0"/>
            </w:tcBorders>
            <w:noWrap w:val="0"/>
            <w:vAlign w:val="center"/>
          </w:tcPr>
          <w:p w14:paraId="3F77B177">
            <w:pPr>
              <w:keepLines/>
              <w:numPr>
                <w:ilvl w:val="0"/>
                <w:numId w:val="1"/>
              </w:numPr>
              <w:spacing w:line="360" w:lineRule="auto"/>
              <w:ind w:left="425" w:leftChars="0" w:hanging="425" w:firstLineChars="0"/>
              <w:jc w:val="center"/>
              <w:rPr>
                <w:rFonts w:hint="eastAsia" w:ascii="宋体" w:hAnsi="宋体" w:eastAsia="宋体" w:cs="宋体"/>
                <w:color w:val="auto"/>
                <w:kern w:val="0"/>
                <w:sz w:val="24"/>
                <w:szCs w:val="24"/>
                <w:highlight w:val="none"/>
              </w:rPr>
            </w:pPr>
          </w:p>
        </w:tc>
        <w:tc>
          <w:tcPr>
            <w:tcW w:w="1689" w:type="dxa"/>
            <w:tcBorders>
              <w:top w:val="single" w:color="auto" w:sz="4" w:space="0"/>
              <w:left w:val="nil"/>
              <w:bottom w:val="single" w:color="auto" w:sz="4" w:space="0"/>
              <w:right w:val="single" w:color="auto" w:sz="4" w:space="0"/>
            </w:tcBorders>
            <w:noWrap w:val="0"/>
            <w:vAlign w:val="center"/>
          </w:tcPr>
          <w:p w14:paraId="0E813CC3">
            <w:pPr>
              <w:keepLines/>
              <w:spacing w:line="360"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磋商小组</w:t>
            </w:r>
            <w:r>
              <w:rPr>
                <w:rFonts w:hint="eastAsia" w:ascii="宋体" w:hAnsi="宋体" w:eastAsia="宋体" w:cs="宋体"/>
                <w:color w:val="auto"/>
                <w:kern w:val="0"/>
                <w:sz w:val="24"/>
                <w:szCs w:val="24"/>
                <w:highlight w:val="none"/>
              </w:rPr>
              <w:t>的</w:t>
            </w:r>
          </w:p>
          <w:p w14:paraId="51C021EF">
            <w:pPr>
              <w:keepLines/>
              <w:spacing w:line="360"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组建</w:t>
            </w:r>
          </w:p>
        </w:tc>
        <w:tc>
          <w:tcPr>
            <w:tcW w:w="6736" w:type="dxa"/>
            <w:tcBorders>
              <w:top w:val="single" w:color="auto" w:sz="4" w:space="0"/>
              <w:left w:val="nil"/>
              <w:bottom w:val="single" w:color="auto" w:sz="4" w:space="0"/>
              <w:right w:val="single" w:color="auto" w:sz="4" w:space="0"/>
            </w:tcBorders>
            <w:noWrap w:val="0"/>
            <w:vAlign w:val="center"/>
          </w:tcPr>
          <w:p w14:paraId="660B324D">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按照国家相关规定组建，磋商小组由采购人代表及有关技术、经济等方面的专家组成，成员为3人。其中：技术、经济等方面的专家不能少于磋商小组成员的2/3。（或磋商小组3名成员全部从专家库抽取）</w:t>
            </w:r>
          </w:p>
          <w:p w14:paraId="33528765">
            <w:pPr>
              <w:keepLines/>
              <w:spacing w:line="360" w:lineRule="auto"/>
              <w:ind w:firstLine="240" w:firstLineChars="1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磋商小组确定方式：开标后通过三门峡市公共资源交易中心网络抽取终端从相关专家库中随机抽取。</w:t>
            </w:r>
          </w:p>
          <w:p w14:paraId="6958989E">
            <w:pPr>
              <w:keepLines/>
              <w:spacing w:line="360" w:lineRule="auto"/>
              <w:ind w:firstLine="241" w:firstLineChars="100"/>
              <w:jc w:val="left"/>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备注：采购人代表无评标劳务费用。</w:t>
            </w:r>
          </w:p>
        </w:tc>
      </w:tr>
      <w:tr w14:paraId="15A6A763">
        <w:tblPrEx>
          <w:tblCellMar>
            <w:top w:w="0" w:type="dxa"/>
            <w:left w:w="108" w:type="dxa"/>
            <w:bottom w:w="0" w:type="dxa"/>
            <w:right w:w="108" w:type="dxa"/>
          </w:tblCellMar>
        </w:tblPrEx>
        <w:trPr>
          <w:trHeight w:val="216" w:hRule="atLeast"/>
          <w:jc w:val="center"/>
        </w:trPr>
        <w:tc>
          <w:tcPr>
            <w:tcW w:w="1093" w:type="dxa"/>
            <w:tcBorders>
              <w:top w:val="single" w:color="auto" w:sz="4" w:space="0"/>
              <w:left w:val="single" w:color="auto" w:sz="4" w:space="0"/>
              <w:bottom w:val="single" w:color="auto" w:sz="4" w:space="0"/>
              <w:right w:val="single" w:color="auto" w:sz="4" w:space="0"/>
            </w:tcBorders>
            <w:noWrap w:val="0"/>
            <w:vAlign w:val="center"/>
          </w:tcPr>
          <w:p w14:paraId="5BE39CE1">
            <w:pPr>
              <w:keepLines/>
              <w:numPr>
                <w:ilvl w:val="0"/>
                <w:numId w:val="1"/>
              </w:numPr>
              <w:spacing w:line="360" w:lineRule="auto"/>
              <w:ind w:left="425" w:leftChars="0" w:hanging="425" w:firstLineChars="0"/>
              <w:jc w:val="center"/>
              <w:rPr>
                <w:rFonts w:hint="eastAsia" w:ascii="宋体" w:hAnsi="宋体" w:eastAsia="宋体" w:cs="宋体"/>
                <w:color w:val="auto"/>
                <w:kern w:val="0"/>
                <w:sz w:val="24"/>
                <w:szCs w:val="24"/>
                <w:highlight w:val="none"/>
              </w:rPr>
            </w:pPr>
          </w:p>
        </w:tc>
        <w:tc>
          <w:tcPr>
            <w:tcW w:w="1689" w:type="dxa"/>
            <w:tcBorders>
              <w:top w:val="single" w:color="auto" w:sz="4" w:space="0"/>
              <w:left w:val="nil"/>
              <w:bottom w:val="single" w:color="auto" w:sz="4" w:space="0"/>
              <w:right w:val="single" w:color="auto" w:sz="4" w:space="0"/>
            </w:tcBorders>
            <w:noWrap w:val="0"/>
            <w:vAlign w:val="center"/>
          </w:tcPr>
          <w:p w14:paraId="461C1D3E">
            <w:pPr>
              <w:pageBreakBefore w:val="0"/>
              <w:widowControl/>
              <w:shd w:val="clear"/>
              <w:bidi w:val="0"/>
              <w:adjustRightInd w:val="0"/>
              <w:snapToGrid w:val="0"/>
              <w:spacing w:beforeAutospacing="0" w:afterAutospacing="0" w:line="360" w:lineRule="auto"/>
              <w:ind w:left="0" w:leftChars="0" w:right="0" w:rightChars="0"/>
              <w:jc w:val="center"/>
              <w:rPr>
                <w:rFonts w:hint="eastAsia" w:ascii="宋体" w:hAnsi="宋体" w:eastAsia="宋体" w:cs="宋体"/>
                <w:color w:val="auto"/>
                <w:kern w:val="0"/>
                <w:sz w:val="24"/>
                <w:szCs w:val="24"/>
                <w:highlight w:val="none"/>
              </w:rPr>
            </w:pPr>
            <w:r>
              <w:rPr>
                <w:rFonts w:hint="eastAsia" w:ascii="宋体" w:hAnsi="宋体" w:eastAsia="宋体" w:cs="宋体"/>
                <w:snapToGrid w:val="0"/>
                <w:color w:val="auto"/>
                <w:spacing w:val="6"/>
                <w:sz w:val="24"/>
                <w:szCs w:val="24"/>
                <w:highlight w:val="none"/>
              </w:rPr>
              <w:t>磋商标准及方法</w:t>
            </w:r>
          </w:p>
        </w:tc>
        <w:tc>
          <w:tcPr>
            <w:tcW w:w="6736" w:type="dxa"/>
            <w:tcBorders>
              <w:top w:val="single" w:color="auto" w:sz="4" w:space="0"/>
              <w:left w:val="nil"/>
              <w:bottom w:val="single" w:color="auto" w:sz="4" w:space="0"/>
              <w:right w:val="single" w:color="auto" w:sz="4" w:space="0"/>
            </w:tcBorders>
            <w:noWrap w:val="0"/>
            <w:vAlign w:val="center"/>
          </w:tcPr>
          <w:p w14:paraId="380D28BE">
            <w:pPr>
              <w:pageBreakBefore w:val="0"/>
              <w:widowControl/>
              <w:shd w:val="clear"/>
              <w:bidi w:val="0"/>
              <w:adjustRightInd w:val="0"/>
              <w:snapToGrid w:val="0"/>
              <w:spacing w:beforeAutospacing="0" w:afterAutospacing="0" w:line="360" w:lineRule="auto"/>
              <w:ind w:left="0" w:leftChars="0" w:right="0" w:rightChars="0"/>
              <w:jc w:val="left"/>
              <w:rPr>
                <w:rFonts w:hint="eastAsia" w:ascii="宋体" w:hAnsi="宋体" w:eastAsia="宋体" w:cs="宋体"/>
                <w:color w:val="auto"/>
                <w:sz w:val="24"/>
                <w:szCs w:val="24"/>
                <w:highlight w:val="none"/>
              </w:rPr>
            </w:pPr>
            <w:r>
              <w:rPr>
                <w:rFonts w:hint="eastAsia" w:ascii="宋体" w:hAnsi="宋体" w:eastAsia="宋体" w:cs="宋体"/>
                <w:snapToGrid w:val="0"/>
                <w:color w:val="auto"/>
                <w:spacing w:val="6"/>
                <w:sz w:val="24"/>
                <w:szCs w:val="24"/>
                <w:highlight w:val="none"/>
              </w:rPr>
              <w:t>由磋商小组采用综合评分法对提交最后报价的磋商供应商的磋商响应文件和最后报价进行综合评分。综合评分法，是指磋商响应文件满足竞争性磋商文件全部实质性要求且按评审因素的量化指标评审得分最高的供应商为成交候选供应商的磋商方法。</w:t>
            </w:r>
            <w:r>
              <w:rPr>
                <w:rFonts w:hint="eastAsia" w:ascii="宋体" w:hAnsi="宋体" w:eastAsia="宋体" w:cs="宋体"/>
                <w:bCs/>
                <w:color w:val="auto"/>
                <w:sz w:val="24"/>
                <w:szCs w:val="24"/>
                <w:highlight w:val="none"/>
              </w:rPr>
              <w:t>评审得分相同的，按照最后报价由低到高的顺序推荐。评审得分且最后报价相同的，按照技术指标优劣顺序推荐。</w:t>
            </w:r>
          </w:p>
        </w:tc>
      </w:tr>
      <w:tr w14:paraId="5AC1B48D">
        <w:tblPrEx>
          <w:tblCellMar>
            <w:top w:w="0" w:type="dxa"/>
            <w:left w:w="108" w:type="dxa"/>
            <w:bottom w:w="0" w:type="dxa"/>
            <w:right w:w="108" w:type="dxa"/>
          </w:tblCellMar>
        </w:tblPrEx>
        <w:trPr>
          <w:trHeight w:val="449" w:hRule="atLeast"/>
          <w:jc w:val="center"/>
        </w:trPr>
        <w:tc>
          <w:tcPr>
            <w:tcW w:w="1093" w:type="dxa"/>
            <w:tcBorders>
              <w:top w:val="single" w:color="auto" w:sz="4" w:space="0"/>
              <w:left w:val="single" w:color="auto" w:sz="4" w:space="0"/>
              <w:bottom w:val="single" w:color="auto" w:sz="4" w:space="0"/>
              <w:right w:val="single" w:color="auto" w:sz="4" w:space="0"/>
            </w:tcBorders>
            <w:noWrap w:val="0"/>
            <w:vAlign w:val="center"/>
          </w:tcPr>
          <w:p w14:paraId="7CD7B37E">
            <w:pPr>
              <w:keepLines/>
              <w:numPr>
                <w:ilvl w:val="0"/>
                <w:numId w:val="1"/>
              </w:numPr>
              <w:spacing w:line="360" w:lineRule="auto"/>
              <w:ind w:left="425" w:leftChars="0" w:hanging="425" w:firstLineChars="0"/>
              <w:jc w:val="center"/>
              <w:rPr>
                <w:rFonts w:hint="eastAsia" w:ascii="宋体" w:hAnsi="宋体" w:eastAsia="宋体" w:cs="宋体"/>
                <w:color w:val="auto"/>
                <w:kern w:val="0"/>
                <w:sz w:val="24"/>
                <w:szCs w:val="24"/>
                <w:highlight w:val="none"/>
              </w:rPr>
            </w:pPr>
          </w:p>
        </w:tc>
        <w:tc>
          <w:tcPr>
            <w:tcW w:w="1689" w:type="dxa"/>
            <w:tcBorders>
              <w:top w:val="single" w:color="auto" w:sz="4" w:space="0"/>
              <w:left w:val="nil"/>
              <w:bottom w:val="single" w:color="auto" w:sz="4" w:space="0"/>
              <w:right w:val="single" w:color="auto" w:sz="4" w:space="0"/>
            </w:tcBorders>
            <w:noWrap w:val="0"/>
            <w:vAlign w:val="center"/>
          </w:tcPr>
          <w:p w14:paraId="2502467B">
            <w:pPr>
              <w:autoSpaceDE w:val="0"/>
              <w:autoSpaceDN w:val="0"/>
              <w:adjustRightInd w:val="0"/>
              <w:spacing w:line="360" w:lineRule="auto"/>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投标无效的</w:t>
            </w:r>
          </w:p>
          <w:p w14:paraId="07850846">
            <w:pPr>
              <w:autoSpaceDE w:val="0"/>
              <w:autoSpaceDN w:val="0"/>
              <w:adjustRightInd w:val="0"/>
              <w:spacing w:line="360" w:lineRule="auto"/>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情形</w:t>
            </w:r>
          </w:p>
        </w:tc>
        <w:tc>
          <w:tcPr>
            <w:tcW w:w="6736" w:type="dxa"/>
            <w:tcBorders>
              <w:top w:val="single" w:color="auto" w:sz="4" w:space="0"/>
              <w:left w:val="nil"/>
              <w:bottom w:val="single" w:color="auto" w:sz="4" w:space="0"/>
              <w:right w:val="single" w:color="auto" w:sz="4" w:space="0"/>
            </w:tcBorders>
            <w:noWrap w:val="0"/>
            <w:vAlign w:val="center"/>
          </w:tcPr>
          <w:p w14:paraId="6F32D7A7">
            <w:pPr>
              <w:spacing w:line="360" w:lineRule="auto"/>
              <w:ind w:firstLine="168" w:firstLineChars="7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1.磋商响应供应商资格不符合竞争性磋商文件要求的；</w:t>
            </w:r>
          </w:p>
          <w:p w14:paraId="42D97433">
            <w:pPr>
              <w:spacing w:line="360" w:lineRule="auto"/>
              <w:ind w:firstLine="168" w:firstLineChars="7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2.磋商报价超过竞争性磋商文件规定的投标最高限价的；</w:t>
            </w:r>
          </w:p>
          <w:p w14:paraId="0C718C25">
            <w:pPr>
              <w:spacing w:line="360" w:lineRule="auto"/>
              <w:ind w:firstLine="168" w:firstLineChars="7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3.以他人的名义磋商、串通磋商、以行贿手段谋取成交或者以其他弄虚作假方式磋商的；</w:t>
            </w:r>
          </w:p>
          <w:p w14:paraId="0E8590F6">
            <w:pPr>
              <w:spacing w:line="360" w:lineRule="auto"/>
              <w:ind w:firstLine="168" w:firstLineChars="7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4.采取不正当手段谋取成交的。</w:t>
            </w:r>
          </w:p>
        </w:tc>
      </w:tr>
      <w:tr w14:paraId="1C4A0938">
        <w:tblPrEx>
          <w:tblCellMar>
            <w:top w:w="0" w:type="dxa"/>
            <w:left w:w="108" w:type="dxa"/>
            <w:bottom w:w="0" w:type="dxa"/>
            <w:right w:w="108" w:type="dxa"/>
          </w:tblCellMar>
        </w:tblPrEx>
        <w:trPr>
          <w:trHeight w:val="271" w:hRule="atLeast"/>
          <w:jc w:val="center"/>
        </w:trPr>
        <w:tc>
          <w:tcPr>
            <w:tcW w:w="1093" w:type="dxa"/>
            <w:tcBorders>
              <w:top w:val="single" w:color="auto" w:sz="4" w:space="0"/>
              <w:left w:val="single" w:color="auto" w:sz="4" w:space="0"/>
              <w:bottom w:val="single" w:color="auto" w:sz="4" w:space="0"/>
              <w:right w:val="single" w:color="auto" w:sz="4" w:space="0"/>
            </w:tcBorders>
            <w:noWrap w:val="0"/>
            <w:vAlign w:val="center"/>
          </w:tcPr>
          <w:p w14:paraId="12FC3B0E">
            <w:pPr>
              <w:keepLines/>
              <w:numPr>
                <w:ilvl w:val="0"/>
                <w:numId w:val="1"/>
              </w:numPr>
              <w:spacing w:line="360" w:lineRule="auto"/>
              <w:ind w:left="425" w:leftChars="0" w:hanging="425" w:firstLineChars="0"/>
              <w:jc w:val="center"/>
              <w:rPr>
                <w:rFonts w:hint="eastAsia" w:ascii="宋体" w:hAnsi="宋体" w:eastAsia="宋体" w:cs="宋体"/>
                <w:color w:val="auto"/>
                <w:kern w:val="0"/>
                <w:sz w:val="24"/>
                <w:szCs w:val="24"/>
                <w:highlight w:val="none"/>
              </w:rPr>
            </w:pPr>
          </w:p>
        </w:tc>
        <w:tc>
          <w:tcPr>
            <w:tcW w:w="1689" w:type="dxa"/>
            <w:tcBorders>
              <w:top w:val="single" w:color="auto" w:sz="4" w:space="0"/>
              <w:left w:val="nil"/>
              <w:bottom w:val="single" w:color="auto" w:sz="4" w:space="0"/>
              <w:right w:val="single" w:color="auto" w:sz="4" w:space="0"/>
            </w:tcBorders>
            <w:noWrap w:val="0"/>
            <w:vAlign w:val="center"/>
          </w:tcPr>
          <w:p w14:paraId="5BACE3AC">
            <w:pPr>
              <w:keepLines/>
              <w:spacing w:line="360"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是否授权磋商小组确定成交供应商</w:t>
            </w:r>
          </w:p>
        </w:tc>
        <w:tc>
          <w:tcPr>
            <w:tcW w:w="6736" w:type="dxa"/>
            <w:tcBorders>
              <w:top w:val="single" w:color="auto" w:sz="4" w:space="0"/>
              <w:left w:val="nil"/>
              <w:bottom w:val="single" w:color="auto" w:sz="4" w:space="0"/>
              <w:right w:val="single" w:color="auto" w:sz="4" w:space="0"/>
            </w:tcBorders>
            <w:noWrap w:val="0"/>
            <w:vAlign w:val="center"/>
          </w:tcPr>
          <w:p w14:paraId="35EB28E0">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■否，推荐成交候选人数：3名</w:t>
            </w:r>
          </w:p>
          <w:p w14:paraId="4816ECD3">
            <w:pPr>
              <w:keepLines/>
              <w:spacing w:line="360" w:lineRule="auto"/>
              <w:ind w:firstLine="120" w:firstLineChars="50"/>
              <w:jc w:val="left"/>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招标人确定磋商小组推荐的排名第一的中标候选人为成交供应商。排名第一的中标候选人放弃中标、因不可抗力不能履行合同，或者被查实存在影响中标结果的违法行为等情形，不符合中标条件的，招标人可以按照磋商小组提出的中标候选人名单排序依次确定其他中标候选人为成交供应商，也可以重新招标。</w:t>
            </w:r>
          </w:p>
        </w:tc>
      </w:tr>
      <w:tr w14:paraId="42D11EB0">
        <w:tblPrEx>
          <w:tblCellMar>
            <w:top w:w="0" w:type="dxa"/>
            <w:left w:w="108" w:type="dxa"/>
            <w:bottom w:w="0" w:type="dxa"/>
            <w:right w:w="108" w:type="dxa"/>
          </w:tblCellMar>
        </w:tblPrEx>
        <w:trPr>
          <w:trHeight w:val="271" w:hRule="atLeast"/>
          <w:jc w:val="center"/>
        </w:trPr>
        <w:tc>
          <w:tcPr>
            <w:tcW w:w="1093" w:type="dxa"/>
            <w:tcBorders>
              <w:top w:val="single" w:color="auto" w:sz="4" w:space="0"/>
              <w:left w:val="single" w:color="auto" w:sz="4" w:space="0"/>
              <w:bottom w:val="single" w:color="auto" w:sz="4" w:space="0"/>
              <w:right w:val="single" w:color="auto" w:sz="4" w:space="0"/>
            </w:tcBorders>
            <w:noWrap w:val="0"/>
            <w:vAlign w:val="center"/>
          </w:tcPr>
          <w:p w14:paraId="19FC4E09">
            <w:pPr>
              <w:keepLines/>
              <w:numPr>
                <w:ilvl w:val="0"/>
                <w:numId w:val="1"/>
              </w:numPr>
              <w:spacing w:line="360" w:lineRule="auto"/>
              <w:ind w:left="425" w:leftChars="0" w:hanging="425" w:firstLineChars="0"/>
              <w:jc w:val="center"/>
              <w:rPr>
                <w:rFonts w:hint="eastAsia" w:ascii="宋体" w:hAnsi="宋体" w:eastAsia="宋体" w:cs="宋体"/>
                <w:color w:val="auto"/>
                <w:kern w:val="0"/>
                <w:sz w:val="24"/>
                <w:szCs w:val="24"/>
                <w:highlight w:val="none"/>
              </w:rPr>
            </w:pPr>
          </w:p>
        </w:tc>
        <w:tc>
          <w:tcPr>
            <w:tcW w:w="1689" w:type="dxa"/>
            <w:tcBorders>
              <w:top w:val="single" w:color="auto" w:sz="4" w:space="0"/>
              <w:left w:val="nil"/>
              <w:bottom w:val="single" w:color="auto" w:sz="4" w:space="0"/>
              <w:right w:val="single" w:color="auto" w:sz="4" w:space="0"/>
            </w:tcBorders>
            <w:noWrap w:val="0"/>
            <w:vAlign w:val="center"/>
          </w:tcPr>
          <w:p w14:paraId="19EB9EAC">
            <w:pPr>
              <w:keepLines/>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成交公告媒介及期限</w:t>
            </w:r>
          </w:p>
        </w:tc>
        <w:tc>
          <w:tcPr>
            <w:tcW w:w="6736" w:type="dxa"/>
            <w:tcBorders>
              <w:top w:val="single" w:color="auto" w:sz="4" w:space="0"/>
              <w:left w:val="nil"/>
              <w:bottom w:val="single" w:color="auto" w:sz="4" w:space="0"/>
              <w:right w:val="single" w:color="auto" w:sz="4" w:space="0"/>
            </w:tcBorders>
            <w:noWrap w:val="0"/>
            <w:vAlign w:val="center"/>
          </w:tcPr>
          <w:p w14:paraId="27675B78">
            <w:pPr>
              <w:keepLines/>
              <w:spacing w:line="360" w:lineRule="auto"/>
              <w:ind w:firstLine="360" w:firstLineChars="15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1.发布媒介：《</w:t>
            </w:r>
            <w:r>
              <w:rPr>
                <w:rFonts w:hint="eastAsia" w:ascii="宋体" w:hAnsi="宋体" w:cs="宋体"/>
                <w:color w:val="auto"/>
                <w:sz w:val="24"/>
                <w:szCs w:val="24"/>
                <w:highlight w:val="none"/>
                <w:lang w:eastAsia="zh-CN"/>
              </w:rPr>
              <w:t>河南政府采购网</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中国</w:t>
            </w:r>
            <w:r>
              <w:rPr>
                <w:rFonts w:hint="eastAsia" w:ascii="宋体" w:hAnsi="宋体" w:eastAsia="宋体" w:cs="宋体"/>
                <w:color w:val="auto"/>
                <w:sz w:val="24"/>
                <w:szCs w:val="24"/>
                <w:highlight w:val="none"/>
              </w:rPr>
              <w:t>采购与招标网》《三门峡市公共资源交易中心网》</w:t>
            </w:r>
          </w:p>
          <w:p w14:paraId="278741DA">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2.公告期限：1个工作日</w:t>
            </w:r>
          </w:p>
        </w:tc>
      </w:tr>
      <w:tr w14:paraId="009DE82F">
        <w:tblPrEx>
          <w:tblCellMar>
            <w:top w:w="0" w:type="dxa"/>
            <w:left w:w="108" w:type="dxa"/>
            <w:bottom w:w="0" w:type="dxa"/>
            <w:right w:w="108" w:type="dxa"/>
          </w:tblCellMar>
        </w:tblPrEx>
        <w:trPr>
          <w:trHeight w:val="271" w:hRule="atLeast"/>
          <w:jc w:val="center"/>
        </w:trPr>
        <w:tc>
          <w:tcPr>
            <w:tcW w:w="1093" w:type="dxa"/>
            <w:tcBorders>
              <w:top w:val="single" w:color="auto" w:sz="4" w:space="0"/>
              <w:left w:val="single" w:color="auto" w:sz="4" w:space="0"/>
              <w:bottom w:val="single" w:color="auto" w:sz="4" w:space="0"/>
              <w:right w:val="single" w:color="auto" w:sz="4" w:space="0"/>
            </w:tcBorders>
            <w:noWrap w:val="0"/>
            <w:vAlign w:val="center"/>
          </w:tcPr>
          <w:p w14:paraId="16EFD82F">
            <w:pPr>
              <w:keepLines/>
              <w:numPr>
                <w:ilvl w:val="0"/>
                <w:numId w:val="1"/>
              </w:numPr>
              <w:spacing w:line="360" w:lineRule="auto"/>
              <w:ind w:left="425" w:leftChars="0" w:hanging="425" w:firstLineChars="0"/>
              <w:jc w:val="center"/>
              <w:rPr>
                <w:rFonts w:hint="eastAsia" w:ascii="宋体" w:hAnsi="宋体" w:eastAsia="宋体" w:cs="宋体"/>
                <w:color w:val="auto"/>
                <w:kern w:val="0"/>
                <w:sz w:val="24"/>
                <w:szCs w:val="24"/>
                <w:highlight w:val="none"/>
              </w:rPr>
            </w:pPr>
          </w:p>
        </w:tc>
        <w:tc>
          <w:tcPr>
            <w:tcW w:w="1689" w:type="dxa"/>
            <w:tcBorders>
              <w:top w:val="single" w:color="auto" w:sz="4" w:space="0"/>
              <w:left w:val="nil"/>
              <w:bottom w:val="single" w:color="auto" w:sz="4" w:space="0"/>
              <w:right w:val="single" w:color="auto" w:sz="4" w:space="0"/>
            </w:tcBorders>
            <w:noWrap w:val="0"/>
            <w:vAlign w:val="center"/>
          </w:tcPr>
          <w:p w14:paraId="352CA9F0">
            <w:pPr>
              <w:pageBreakBefore w:val="0"/>
              <w:shd w:val="clear"/>
              <w:kinsoku/>
              <w:overflowPunct/>
              <w:autoSpaceDE w:val="0"/>
              <w:autoSpaceDN w:val="0"/>
              <w:bidi w:val="0"/>
              <w:adjustRightInd w:val="0"/>
              <w:snapToGrid w:val="0"/>
              <w:spacing w:line="360" w:lineRule="auto"/>
              <w:ind w:left="0" w:leftChars="0" w:right="0" w:rightChars="0"/>
              <w:jc w:val="center"/>
              <w:textAlignment w:val="bottom"/>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签订合同时间</w:t>
            </w:r>
          </w:p>
        </w:tc>
        <w:tc>
          <w:tcPr>
            <w:tcW w:w="6736" w:type="dxa"/>
            <w:tcBorders>
              <w:top w:val="single" w:color="auto" w:sz="4" w:space="0"/>
              <w:left w:val="nil"/>
              <w:bottom w:val="single" w:color="auto" w:sz="4" w:space="0"/>
              <w:right w:val="single" w:color="auto" w:sz="4" w:space="0"/>
            </w:tcBorders>
            <w:noWrap w:val="0"/>
            <w:vAlign w:val="center"/>
          </w:tcPr>
          <w:p w14:paraId="08FAE37B">
            <w:pPr>
              <w:pageBreakBefore w:val="0"/>
              <w:shd w:val="clear"/>
              <w:kinsoku/>
              <w:overflowPunct/>
              <w:autoSpaceDE w:val="0"/>
              <w:autoSpaceDN w:val="0"/>
              <w:bidi w:val="0"/>
              <w:adjustRightInd w:val="0"/>
              <w:snapToGrid w:val="0"/>
              <w:spacing w:line="360" w:lineRule="auto"/>
              <w:ind w:left="0" w:leftChars="0" w:right="0" w:rightChars="0"/>
              <w:textAlignment w:val="bottom"/>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中标通知书发出后</w:t>
            </w:r>
            <w:r>
              <w:rPr>
                <w:rFonts w:hint="eastAsia" w:ascii="宋体" w:hAnsi="宋体" w:eastAsia="宋体" w:cs="宋体"/>
                <w:color w:val="auto"/>
                <w:sz w:val="24"/>
                <w:szCs w:val="24"/>
                <w:highlight w:val="none"/>
                <w:lang w:val="en-US" w:eastAsia="zh-CN"/>
              </w:rPr>
              <w:t>30日历天内</w:t>
            </w:r>
            <w:r>
              <w:rPr>
                <w:rFonts w:hint="eastAsia" w:ascii="宋体" w:hAnsi="宋体" w:eastAsia="宋体" w:cs="宋体"/>
                <w:color w:val="auto"/>
                <w:sz w:val="24"/>
                <w:szCs w:val="24"/>
                <w:highlight w:val="none"/>
              </w:rPr>
              <w:t>。</w:t>
            </w:r>
          </w:p>
        </w:tc>
      </w:tr>
      <w:tr w14:paraId="471379BC">
        <w:tblPrEx>
          <w:tblCellMar>
            <w:top w:w="0" w:type="dxa"/>
            <w:left w:w="108" w:type="dxa"/>
            <w:bottom w:w="0" w:type="dxa"/>
            <w:right w:w="108" w:type="dxa"/>
          </w:tblCellMar>
        </w:tblPrEx>
        <w:trPr>
          <w:trHeight w:val="271" w:hRule="atLeast"/>
          <w:jc w:val="center"/>
        </w:trPr>
        <w:tc>
          <w:tcPr>
            <w:tcW w:w="1093" w:type="dxa"/>
            <w:tcBorders>
              <w:top w:val="single" w:color="auto" w:sz="4" w:space="0"/>
              <w:left w:val="single" w:color="auto" w:sz="4" w:space="0"/>
              <w:bottom w:val="single" w:color="auto" w:sz="4" w:space="0"/>
              <w:right w:val="single" w:color="auto" w:sz="4" w:space="0"/>
            </w:tcBorders>
            <w:noWrap w:val="0"/>
            <w:vAlign w:val="center"/>
          </w:tcPr>
          <w:p w14:paraId="01DCB51A">
            <w:pPr>
              <w:keepLines/>
              <w:numPr>
                <w:ilvl w:val="0"/>
                <w:numId w:val="1"/>
              </w:numPr>
              <w:spacing w:line="360" w:lineRule="auto"/>
              <w:ind w:left="425" w:leftChars="0" w:hanging="425" w:firstLineChars="0"/>
              <w:jc w:val="center"/>
              <w:rPr>
                <w:rFonts w:hint="eastAsia" w:ascii="宋体" w:hAnsi="宋体" w:eastAsia="宋体" w:cs="宋体"/>
                <w:color w:val="auto"/>
                <w:kern w:val="0"/>
                <w:sz w:val="24"/>
                <w:szCs w:val="24"/>
                <w:highlight w:val="none"/>
              </w:rPr>
            </w:pPr>
          </w:p>
        </w:tc>
        <w:tc>
          <w:tcPr>
            <w:tcW w:w="1689" w:type="dxa"/>
            <w:tcBorders>
              <w:top w:val="single" w:color="auto" w:sz="4" w:space="0"/>
              <w:left w:val="nil"/>
              <w:bottom w:val="single" w:color="auto" w:sz="4" w:space="0"/>
              <w:right w:val="single" w:color="auto" w:sz="4" w:space="0"/>
            </w:tcBorders>
            <w:noWrap w:val="0"/>
            <w:vAlign w:val="center"/>
          </w:tcPr>
          <w:p w14:paraId="3055F791">
            <w:pPr>
              <w:pageBreakBefore w:val="0"/>
              <w:shd w:val="clear"/>
              <w:kinsoku/>
              <w:overflowPunct/>
              <w:bidi w:val="0"/>
              <w:adjustRightInd w:val="0"/>
              <w:snapToGrid w:val="0"/>
              <w:spacing w:line="360" w:lineRule="auto"/>
              <w:ind w:left="0" w:leftChars="0" w:right="0" w:rightChars="0"/>
              <w:jc w:val="center"/>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无故放弃中标资格</w:t>
            </w:r>
          </w:p>
        </w:tc>
        <w:tc>
          <w:tcPr>
            <w:tcW w:w="6736" w:type="dxa"/>
            <w:tcBorders>
              <w:top w:val="single" w:color="auto" w:sz="4" w:space="0"/>
              <w:left w:val="nil"/>
              <w:bottom w:val="single" w:color="auto" w:sz="4" w:space="0"/>
              <w:right w:val="single" w:color="auto" w:sz="4" w:space="0"/>
            </w:tcBorders>
            <w:noWrap w:val="0"/>
            <w:vAlign w:val="center"/>
          </w:tcPr>
          <w:p w14:paraId="1740FB36">
            <w:pPr>
              <w:pageBreakBefore w:val="0"/>
              <w:shd w:val="clear"/>
              <w:kinsoku/>
              <w:overflowPunct/>
              <w:bidi w:val="0"/>
              <w:adjustRightInd w:val="0"/>
              <w:snapToGrid w:val="0"/>
              <w:spacing w:line="360" w:lineRule="auto"/>
              <w:ind w:left="0" w:leftChars="0" w:right="0" w:right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成交供应商</w:t>
            </w:r>
            <w:r>
              <w:rPr>
                <w:rFonts w:hint="eastAsia" w:ascii="宋体" w:hAnsi="宋体" w:eastAsia="宋体" w:cs="宋体"/>
                <w:color w:val="auto"/>
                <w:sz w:val="24"/>
                <w:szCs w:val="24"/>
                <w:highlight w:val="none"/>
              </w:rPr>
              <w:t>接到通知后30日历天内未签订合同的（除不可抗力因素外）的，将视为无故放弃中标资格。</w:t>
            </w:r>
            <w:r>
              <w:rPr>
                <w:rFonts w:hint="eastAsia" w:ascii="宋体" w:hAnsi="宋体" w:eastAsia="宋体" w:cs="宋体"/>
                <w:color w:val="auto"/>
                <w:sz w:val="24"/>
                <w:szCs w:val="24"/>
                <w:highlight w:val="none"/>
                <w:lang w:eastAsia="zh-CN"/>
              </w:rPr>
              <w:t>采购人</w:t>
            </w:r>
            <w:r>
              <w:rPr>
                <w:rFonts w:hint="eastAsia" w:ascii="宋体" w:hAnsi="宋体" w:eastAsia="宋体" w:cs="宋体"/>
                <w:color w:val="auto"/>
                <w:sz w:val="24"/>
                <w:szCs w:val="24"/>
                <w:highlight w:val="none"/>
              </w:rPr>
              <w:t>根据相关法规对“无故放弃</w:t>
            </w:r>
            <w:r>
              <w:rPr>
                <w:rFonts w:hint="eastAsia" w:ascii="宋体" w:hAnsi="宋体" w:eastAsia="宋体" w:cs="宋体"/>
                <w:color w:val="auto"/>
                <w:sz w:val="24"/>
                <w:szCs w:val="24"/>
                <w:highlight w:val="none"/>
                <w:lang w:eastAsia="zh-CN"/>
              </w:rPr>
              <w:t>成交供应商</w:t>
            </w:r>
            <w:r>
              <w:rPr>
                <w:rFonts w:hint="eastAsia" w:ascii="宋体" w:hAnsi="宋体" w:eastAsia="宋体" w:cs="宋体"/>
                <w:color w:val="auto"/>
                <w:sz w:val="24"/>
                <w:szCs w:val="24"/>
                <w:highlight w:val="none"/>
              </w:rPr>
              <w:t>”予以处罚。</w:t>
            </w:r>
          </w:p>
        </w:tc>
      </w:tr>
      <w:tr w14:paraId="5C85BDA6">
        <w:tblPrEx>
          <w:tblCellMar>
            <w:top w:w="0" w:type="dxa"/>
            <w:left w:w="108" w:type="dxa"/>
            <w:bottom w:w="0" w:type="dxa"/>
            <w:right w:w="108" w:type="dxa"/>
          </w:tblCellMar>
        </w:tblPrEx>
        <w:trPr>
          <w:trHeight w:val="271" w:hRule="atLeast"/>
          <w:jc w:val="center"/>
        </w:trPr>
        <w:tc>
          <w:tcPr>
            <w:tcW w:w="1093" w:type="dxa"/>
            <w:tcBorders>
              <w:top w:val="single" w:color="auto" w:sz="4" w:space="0"/>
              <w:left w:val="single" w:color="auto" w:sz="4" w:space="0"/>
              <w:bottom w:val="single" w:color="auto" w:sz="4" w:space="0"/>
              <w:right w:val="single" w:color="auto" w:sz="4" w:space="0"/>
            </w:tcBorders>
            <w:noWrap w:val="0"/>
            <w:vAlign w:val="center"/>
          </w:tcPr>
          <w:p w14:paraId="5B730DC6">
            <w:pPr>
              <w:keepLines/>
              <w:numPr>
                <w:ilvl w:val="0"/>
                <w:numId w:val="1"/>
              </w:numPr>
              <w:spacing w:line="360" w:lineRule="auto"/>
              <w:ind w:left="425" w:leftChars="0" w:hanging="425" w:firstLineChars="0"/>
              <w:jc w:val="center"/>
              <w:rPr>
                <w:rFonts w:hint="eastAsia" w:ascii="宋体" w:hAnsi="宋体" w:eastAsia="宋体" w:cs="宋体"/>
                <w:color w:val="auto"/>
                <w:kern w:val="0"/>
                <w:sz w:val="24"/>
                <w:szCs w:val="24"/>
                <w:highlight w:val="none"/>
              </w:rPr>
            </w:pPr>
          </w:p>
        </w:tc>
        <w:tc>
          <w:tcPr>
            <w:tcW w:w="1689" w:type="dxa"/>
            <w:tcBorders>
              <w:top w:val="single" w:color="auto" w:sz="4" w:space="0"/>
              <w:left w:val="nil"/>
              <w:bottom w:val="single" w:color="auto" w:sz="4" w:space="0"/>
              <w:right w:val="single" w:color="auto" w:sz="4" w:space="0"/>
            </w:tcBorders>
            <w:noWrap w:val="0"/>
            <w:vAlign w:val="center"/>
          </w:tcPr>
          <w:p w14:paraId="0F6E4370">
            <w:pPr>
              <w:pageBreakBefore w:val="0"/>
              <w:shd w:val="clear"/>
              <w:kinsoku/>
              <w:overflowPunct/>
              <w:bidi w:val="0"/>
              <w:adjustRightInd w:val="0"/>
              <w:snapToGrid w:val="0"/>
              <w:spacing w:line="360" w:lineRule="auto"/>
              <w:ind w:left="0" w:leftChars="0" w:right="0" w:rightChars="0"/>
              <w:jc w:val="center"/>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重新招标的其他形式</w:t>
            </w:r>
          </w:p>
        </w:tc>
        <w:tc>
          <w:tcPr>
            <w:tcW w:w="6736" w:type="dxa"/>
            <w:tcBorders>
              <w:top w:val="single" w:color="auto" w:sz="4" w:space="0"/>
              <w:left w:val="nil"/>
              <w:bottom w:val="single" w:color="auto" w:sz="4" w:space="0"/>
              <w:right w:val="single" w:color="auto" w:sz="4" w:space="0"/>
            </w:tcBorders>
            <w:noWrap w:val="0"/>
            <w:vAlign w:val="center"/>
          </w:tcPr>
          <w:p w14:paraId="1B3500B8">
            <w:pPr>
              <w:pageBreakBefore w:val="0"/>
              <w:shd w:val="clear"/>
              <w:kinsoku/>
              <w:overflowPunct/>
              <w:bidi w:val="0"/>
              <w:adjustRightInd w:val="0"/>
              <w:snapToGrid w:val="0"/>
              <w:spacing w:line="360" w:lineRule="auto"/>
              <w:ind w:left="0" w:leftChars="0" w:right="0" w:right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除投标人须知正文规定的情形外，除非已经产生中标候选人，在投标有限期内同意延长投标有效期的投标人少于三个的，</w:t>
            </w:r>
            <w:r>
              <w:rPr>
                <w:rFonts w:hint="eastAsia" w:ascii="宋体" w:hAnsi="宋体" w:eastAsia="宋体" w:cs="宋体"/>
                <w:color w:val="auto"/>
                <w:sz w:val="24"/>
                <w:szCs w:val="24"/>
                <w:highlight w:val="none"/>
                <w:lang w:eastAsia="zh-CN"/>
              </w:rPr>
              <w:t>采购人</w:t>
            </w:r>
            <w:r>
              <w:rPr>
                <w:rFonts w:hint="eastAsia" w:ascii="宋体" w:hAnsi="宋体" w:eastAsia="宋体" w:cs="宋体"/>
                <w:color w:val="auto"/>
                <w:sz w:val="24"/>
                <w:szCs w:val="24"/>
                <w:highlight w:val="none"/>
              </w:rPr>
              <w:t>应当依法重新招标。</w:t>
            </w:r>
          </w:p>
        </w:tc>
      </w:tr>
      <w:tr w14:paraId="1A0230AD">
        <w:tblPrEx>
          <w:tblCellMar>
            <w:top w:w="0" w:type="dxa"/>
            <w:left w:w="108" w:type="dxa"/>
            <w:bottom w:w="0" w:type="dxa"/>
            <w:right w:w="108" w:type="dxa"/>
          </w:tblCellMar>
        </w:tblPrEx>
        <w:trPr>
          <w:trHeight w:val="271" w:hRule="atLeast"/>
          <w:jc w:val="center"/>
        </w:trPr>
        <w:tc>
          <w:tcPr>
            <w:tcW w:w="1093" w:type="dxa"/>
            <w:tcBorders>
              <w:top w:val="single" w:color="auto" w:sz="4" w:space="0"/>
              <w:left w:val="single" w:color="auto" w:sz="4" w:space="0"/>
              <w:bottom w:val="single" w:color="auto" w:sz="4" w:space="0"/>
              <w:right w:val="single" w:color="auto" w:sz="4" w:space="0"/>
            </w:tcBorders>
            <w:noWrap w:val="0"/>
            <w:vAlign w:val="center"/>
          </w:tcPr>
          <w:p w14:paraId="1D1BFE72">
            <w:pPr>
              <w:keepLines/>
              <w:numPr>
                <w:ilvl w:val="0"/>
                <w:numId w:val="1"/>
              </w:numPr>
              <w:spacing w:line="360" w:lineRule="auto"/>
              <w:ind w:left="425" w:leftChars="0" w:hanging="425" w:firstLineChars="0"/>
              <w:jc w:val="center"/>
              <w:rPr>
                <w:rFonts w:hint="eastAsia" w:ascii="宋体" w:hAnsi="宋体" w:eastAsia="宋体" w:cs="宋体"/>
                <w:color w:val="auto"/>
                <w:kern w:val="0"/>
                <w:sz w:val="24"/>
                <w:szCs w:val="24"/>
                <w:highlight w:val="none"/>
              </w:rPr>
            </w:pPr>
          </w:p>
        </w:tc>
        <w:tc>
          <w:tcPr>
            <w:tcW w:w="1689" w:type="dxa"/>
            <w:tcBorders>
              <w:top w:val="single" w:color="auto" w:sz="4" w:space="0"/>
              <w:left w:val="nil"/>
              <w:bottom w:val="single" w:color="auto" w:sz="4" w:space="0"/>
              <w:right w:val="single" w:color="auto" w:sz="4" w:space="0"/>
            </w:tcBorders>
            <w:noWrap w:val="0"/>
            <w:vAlign w:val="center"/>
          </w:tcPr>
          <w:p w14:paraId="0C0D15AA">
            <w:pPr>
              <w:keepLines/>
              <w:spacing w:line="360"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付款方式</w:t>
            </w:r>
          </w:p>
        </w:tc>
        <w:tc>
          <w:tcPr>
            <w:tcW w:w="6736" w:type="dxa"/>
            <w:tcBorders>
              <w:top w:val="single" w:color="auto" w:sz="4" w:space="0"/>
              <w:left w:val="nil"/>
              <w:bottom w:val="single" w:color="auto" w:sz="4" w:space="0"/>
              <w:right w:val="single" w:color="auto" w:sz="4" w:space="0"/>
            </w:tcBorders>
            <w:noWrap w:val="0"/>
            <w:vAlign w:val="center"/>
          </w:tcPr>
          <w:p w14:paraId="67F9EFD6">
            <w:pPr>
              <w:keepLines/>
              <w:spacing w:line="360" w:lineRule="auto"/>
              <w:ind w:firstLine="240" w:firstLineChars="10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确定中标人后10个工作日内完成合同签订，合同签订后15个工作日内，招标人支付合同总额的50%；中标人完成现场会诊复查工作并提供10个以上地下矿山生产系统复查会诊报告后10个工作日内，招标人支付合同总额的30%；中标人完成现场会诊复查工作并提供16个地下矿山生产系统复查会诊报告和灵宝市矿山领域整体5年规划工作建议书后10个工作日内，招标人支付合同总额的20%</w:t>
            </w:r>
            <w:r>
              <w:rPr>
                <w:rFonts w:hint="eastAsia" w:ascii="宋体" w:hAnsi="宋体" w:cs="宋体"/>
                <w:color w:val="auto"/>
                <w:sz w:val="24"/>
                <w:szCs w:val="24"/>
                <w:highlight w:val="none"/>
                <w:lang w:eastAsia="zh-CN"/>
              </w:rPr>
              <w:t>；</w:t>
            </w:r>
          </w:p>
        </w:tc>
      </w:tr>
      <w:tr w14:paraId="63BB6A54">
        <w:tblPrEx>
          <w:tblCellMar>
            <w:top w:w="0" w:type="dxa"/>
            <w:left w:w="108" w:type="dxa"/>
            <w:bottom w:w="0" w:type="dxa"/>
            <w:right w:w="108" w:type="dxa"/>
          </w:tblCellMar>
        </w:tblPrEx>
        <w:trPr>
          <w:trHeight w:val="475" w:hRule="atLeast"/>
          <w:jc w:val="center"/>
        </w:trPr>
        <w:tc>
          <w:tcPr>
            <w:tcW w:w="1093" w:type="dxa"/>
            <w:tcBorders>
              <w:top w:val="single" w:color="auto" w:sz="4" w:space="0"/>
              <w:left w:val="single" w:color="auto" w:sz="4" w:space="0"/>
              <w:bottom w:val="single" w:color="auto" w:sz="4" w:space="0"/>
              <w:right w:val="single" w:color="auto" w:sz="4" w:space="0"/>
            </w:tcBorders>
            <w:noWrap w:val="0"/>
            <w:vAlign w:val="center"/>
          </w:tcPr>
          <w:p w14:paraId="4CAA2FC6">
            <w:pPr>
              <w:keepLines/>
              <w:numPr>
                <w:ilvl w:val="0"/>
                <w:numId w:val="1"/>
              </w:numPr>
              <w:spacing w:line="360" w:lineRule="auto"/>
              <w:ind w:left="425" w:leftChars="0" w:hanging="425" w:firstLineChars="0"/>
              <w:jc w:val="center"/>
              <w:rPr>
                <w:rFonts w:hint="eastAsia" w:ascii="宋体" w:hAnsi="宋体" w:eastAsia="宋体" w:cs="宋体"/>
                <w:color w:val="auto"/>
                <w:kern w:val="0"/>
                <w:sz w:val="24"/>
                <w:szCs w:val="24"/>
                <w:highlight w:val="none"/>
              </w:rPr>
            </w:pPr>
          </w:p>
        </w:tc>
        <w:tc>
          <w:tcPr>
            <w:tcW w:w="1689" w:type="dxa"/>
            <w:tcBorders>
              <w:top w:val="single" w:color="auto" w:sz="4" w:space="0"/>
              <w:left w:val="nil"/>
              <w:bottom w:val="single" w:color="auto" w:sz="4" w:space="0"/>
              <w:right w:val="single" w:color="auto" w:sz="4" w:space="0"/>
            </w:tcBorders>
            <w:noWrap w:val="0"/>
            <w:vAlign w:val="center"/>
          </w:tcPr>
          <w:p w14:paraId="080E1B1B">
            <w:pPr>
              <w:keepLines/>
              <w:spacing w:line="360"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合同形式</w:t>
            </w:r>
          </w:p>
        </w:tc>
        <w:tc>
          <w:tcPr>
            <w:tcW w:w="6736" w:type="dxa"/>
            <w:tcBorders>
              <w:top w:val="single" w:color="auto" w:sz="4" w:space="0"/>
              <w:left w:val="nil"/>
              <w:bottom w:val="single" w:color="auto" w:sz="4" w:space="0"/>
              <w:right w:val="single" w:color="auto" w:sz="4" w:space="0"/>
            </w:tcBorders>
            <w:noWrap w:val="0"/>
            <w:vAlign w:val="center"/>
          </w:tcPr>
          <w:p w14:paraId="30116680">
            <w:pPr>
              <w:keepLines/>
              <w:spacing w:line="360" w:lineRule="auto"/>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固定总价合同</w:t>
            </w:r>
          </w:p>
        </w:tc>
      </w:tr>
      <w:tr w14:paraId="1F503C73">
        <w:tblPrEx>
          <w:tblCellMar>
            <w:top w:w="0" w:type="dxa"/>
            <w:left w:w="108" w:type="dxa"/>
            <w:bottom w:w="0" w:type="dxa"/>
            <w:right w:w="108" w:type="dxa"/>
          </w:tblCellMar>
        </w:tblPrEx>
        <w:trPr>
          <w:trHeight w:val="209" w:hRule="atLeast"/>
          <w:jc w:val="center"/>
        </w:trPr>
        <w:tc>
          <w:tcPr>
            <w:tcW w:w="1093" w:type="dxa"/>
            <w:tcBorders>
              <w:top w:val="nil"/>
              <w:left w:val="single" w:color="auto" w:sz="4" w:space="0"/>
              <w:bottom w:val="single" w:color="auto" w:sz="4" w:space="0"/>
              <w:right w:val="single" w:color="auto" w:sz="4" w:space="0"/>
            </w:tcBorders>
            <w:noWrap w:val="0"/>
            <w:vAlign w:val="center"/>
          </w:tcPr>
          <w:p w14:paraId="44B69D0E">
            <w:pPr>
              <w:numPr>
                <w:ilvl w:val="0"/>
                <w:numId w:val="1"/>
              </w:numPr>
              <w:spacing w:line="460" w:lineRule="exact"/>
              <w:ind w:left="425" w:leftChars="0" w:hanging="425" w:firstLineChars="0"/>
              <w:jc w:val="center"/>
              <w:rPr>
                <w:rFonts w:hint="eastAsia" w:ascii="宋体" w:hAnsi="宋体" w:eastAsia="宋体" w:cs="宋体"/>
                <w:color w:val="auto"/>
                <w:sz w:val="24"/>
                <w:szCs w:val="24"/>
                <w:highlight w:val="none"/>
              </w:rPr>
            </w:pPr>
          </w:p>
        </w:tc>
        <w:tc>
          <w:tcPr>
            <w:tcW w:w="1689" w:type="dxa"/>
            <w:tcBorders>
              <w:top w:val="nil"/>
              <w:left w:val="nil"/>
              <w:bottom w:val="single" w:color="auto" w:sz="4" w:space="0"/>
              <w:right w:val="single" w:color="auto" w:sz="4" w:space="0"/>
            </w:tcBorders>
            <w:noWrap w:val="0"/>
            <w:vAlign w:val="center"/>
          </w:tcPr>
          <w:p w14:paraId="7BBF8B8E">
            <w:pPr>
              <w:spacing w:line="360"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履约保证金</w:t>
            </w:r>
          </w:p>
        </w:tc>
        <w:tc>
          <w:tcPr>
            <w:tcW w:w="6736" w:type="dxa"/>
            <w:tcBorders>
              <w:top w:val="nil"/>
              <w:left w:val="nil"/>
              <w:bottom w:val="single" w:color="auto" w:sz="4" w:space="0"/>
              <w:right w:val="single" w:color="auto" w:sz="4" w:space="0"/>
            </w:tcBorders>
            <w:noWrap w:val="0"/>
            <w:vAlign w:val="center"/>
          </w:tcPr>
          <w:p w14:paraId="1C7960BB">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本项目不收取履约保证金。如供应商违反政府采购合同约定给采购人造成损失的,采购人按照合同约定,要求供应商承担赔偿责任。</w:t>
            </w:r>
          </w:p>
        </w:tc>
      </w:tr>
      <w:tr w14:paraId="7623F5F3">
        <w:tblPrEx>
          <w:tblCellMar>
            <w:top w:w="0" w:type="dxa"/>
            <w:left w:w="108" w:type="dxa"/>
            <w:bottom w:w="0" w:type="dxa"/>
            <w:right w:w="108" w:type="dxa"/>
          </w:tblCellMar>
        </w:tblPrEx>
        <w:trPr>
          <w:trHeight w:val="209" w:hRule="atLeast"/>
          <w:jc w:val="center"/>
        </w:trPr>
        <w:tc>
          <w:tcPr>
            <w:tcW w:w="1093" w:type="dxa"/>
            <w:tcBorders>
              <w:top w:val="nil"/>
              <w:left w:val="single" w:color="auto" w:sz="4" w:space="0"/>
              <w:bottom w:val="single" w:color="auto" w:sz="4" w:space="0"/>
              <w:right w:val="single" w:color="auto" w:sz="4" w:space="0"/>
            </w:tcBorders>
            <w:noWrap w:val="0"/>
            <w:vAlign w:val="center"/>
          </w:tcPr>
          <w:p w14:paraId="7F18CEAC">
            <w:pPr>
              <w:numPr>
                <w:ilvl w:val="0"/>
                <w:numId w:val="1"/>
              </w:numPr>
              <w:spacing w:line="460" w:lineRule="exact"/>
              <w:ind w:left="425" w:leftChars="0" w:hanging="425" w:firstLineChars="0"/>
              <w:jc w:val="center"/>
              <w:rPr>
                <w:rFonts w:hint="eastAsia" w:ascii="宋体" w:hAnsi="宋体" w:eastAsia="宋体" w:cs="宋体"/>
                <w:color w:val="auto"/>
                <w:sz w:val="24"/>
                <w:szCs w:val="24"/>
                <w:highlight w:val="none"/>
              </w:rPr>
            </w:pPr>
          </w:p>
        </w:tc>
        <w:tc>
          <w:tcPr>
            <w:tcW w:w="1689" w:type="dxa"/>
            <w:tcBorders>
              <w:top w:val="nil"/>
              <w:left w:val="nil"/>
              <w:bottom w:val="single" w:color="auto" w:sz="4" w:space="0"/>
              <w:right w:val="single" w:color="auto" w:sz="4" w:space="0"/>
            </w:tcBorders>
            <w:noWrap w:val="0"/>
            <w:vAlign w:val="center"/>
          </w:tcPr>
          <w:p w14:paraId="17ACB1C6">
            <w:pPr>
              <w:pageBreakBefore w:val="0"/>
              <w:shd w:val="clear"/>
              <w:bidi w:val="0"/>
              <w:adjustRightInd w:val="0"/>
              <w:snapToGrid w:val="0"/>
              <w:spacing w:beforeAutospacing="0" w:afterAutospacing="0" w:line="360" w:lineRule="auto"/>
              <w:ind w:left="0" w:leftChars="0" w:right="0" w:rightChars="0"/>
              <w:jc w:val="center"/>
              <w:rPr>
                <w:rFonts w:hint="eastAsia" w:ascii="宋体" w:hAnsi="宋体" w:eastAsia="宋体" w:cs="宋体"/>
                <w:color w:val="auto"/>
                <w:kern w:val="0"/>
                <w:sz w:val="24"/>
                <w:szCs w:val="24"/>
                <w:highlight w:val="none"/>
              </w:rPr>
            </w:pPr>
            <w:r>
              <w:rPr>
                <w:rFonts w:hint="eastAsia" w:ascii="宋体" w:hAnsi="宋体" w:eastAsia="宋体" w:cs="宋体"/>
                <w:snapToGrid w:val="0"/>
                <w:color w:val="auto"/>
                <w:sz w:val="24"/>
                <w:szCs w:val="24"/>
                <w:highlight w:val="none"/>
              </w:rPr>
              <w:t>解释</w:t>
            </w:r>
          </w:p>
        </w:tc>
        <w:tc>
          <w:tcPr>
            <w:tcW w:w="6736" w:type="dxa"/>
            <w:tcBorders>
              <w:top w:val="nil"/>
              <w:left w:val="nil"/>
              <w:bottom w:val="single" w:color="auto" w:sz="4" w:space="0"/>
              <w:right w:val="single" w:color="auto" w:sz="4" w:space="0"/>
            </w:tcBorders>
            <w:noWrap w:val="0"/>
            <w:vAlign w:val="center"/>
          </w:tcPr>
          <w:p w14:paraId="38C279C8">
            <w:pPr>
              <w:pageBreakBefore w:val="0"/>
              <w:shd w:val="clear"/>
              <w:bidi w:val="0"/>
              <w:adjustRightInd w:val="0"/>
              <w:snapToGrid w:val="0"/>
              <w:spacing w:beforeAutospacing="0" w:afterAutospacing="0" w:line="360" w:lineRule="auto"/>
              <w:ind w:left="0" w:leftChars="0" w:right="0" w:rightChars="0" w:firstLine="240" w:firstLineChars="100"/>
              <w:jc w:val="left"/>
              <w:rPr>
                <w:rFonts w:hint="eastAsia" w:ascii="宋体" w:hAnsi="宋体" w:eastAsia="宋体" w:cs="宋体"/>
                <w:color w:val="auto"/>
                <w:sz w:val="24"/>
                <w:szCs w:val="24"/>
                <w:highlight w:val="none"/>
              </w:rPr>
            </w:pPr>
            <w:r>
              <w:rPr>
                <w:rFonts w:hint="eastAsia" w:ascii="宋体" w:hAnsi="宋体" w:eastAsia="宋体" w:cs="宋体"/>
                <w:snapToGrid w:val="0"/>
                <w:color w:val="auto"/>
                <w:sz w:val="24"/>
                <w:szCs w:val="24"/>
                <w:highlight w:val="none"/>
              </w:rPr>
              <w:t>构成本竞争性磋商文件的各个组成文件应互为解释，互为说明；如有不明确或不一致，构成合同文件组成内容的，以合同文件约定内容为准，且以专用合同条款及格式约定的合同文件优先顺序解释；除竞争性磋商文件中有特别规定外，仅适用于竞争性磋商阶段的规定，竞争性磋商公告、供应商须知、评标办法、响应文 件格式的先后顺序解释；同一组成文件中就同一事项的规定或约定不一致的，以编排顺序在后者为准；同一组成文件不同版本之间有不一致的，以形成时间在后者为准。按本款前述规定仍不能形成结论的，由采购人负责解释。</w:t>
            </w:r>
          </w:p>
        </w:tc>
      </w:tr>
      <w:tr w14:paraId="5051D8E9">
        <w:tblPrEx>
          <w:tblCellMar>
            <w:top w:w="0" w:type="dxa"/>
            <w:left w:w="108" w:type="dxa"/>
            <w:bottom w:w="0" w:type="dxa"/>
            <w:right w:w="108" w:type="dxa"/>
          </w:tblCellMar>
        </w:tblPrEx>
        <w:trPr>
          <w:trHeight w:val="209" w:hRule="atLeast"/>
          <w:jc w:val="center"/>
        </w:trPr>
        <w:tc>
          <w:tcPr>
            <w:tcW w:w="1093" w:type="dxa"/>
            <w:tcBorders>
              <w:top w:val="nil"/>
              <w:left w:val="single" w:color="auto" w:sz="4" w:space="0"/>
              <w:bottom w:val="single" w:color="auto" w:sz="4" w:space="0"/>
              <w:right w:val="single" w:color="auto" w:sz="4" w:space="0"/>
            </w:tcBorders>
            <w:noWrap w:val="0"/>
            <w:vAlign w:val="center"/>
          </w:tcPr>
          <w:p w14:paraId="611DDBBF">
            <w:pPr>
              <w:numPr>
                <w:ilvl w:val="0"/>
                <w:numId w:val="1"/>
              </w:numPr>
              <w:spacing w:line="460" w:lineRule="exact"/>
              <w:ind w:left="425" w:leftChars="0" w:hanging="425" w:firstLineChars="0"/>
              <w:jc w:val="center"/>
              <w:rPr>
                <w:rFonts w:hint="eastAsia" w:ascii="宋体" w:hAnsi="宋体" w:eastAsia="宋体" w:cs="宋体"/>
                <w:color w:val="auto"/>
                <w:sz w:val="24"/>
                <w:szCs w:val="24"/>
                <w:highlight w:val="none"/>
              </w:rPr>
            </w:pPr>
          </w:p>
        </w:tc>
        <w:tc>
          <w:tcPr>
            <w:tcW w:w="1689" w:type="dxa"/>
            <w:tcBorders>
              <w:top w:val="nil"/>
              <w:left w:val="nil"/>
              <w:bottom w:val="single" w:color="auto" w:sz="4" w:space="0"/>
              <w:right w:val="single" w:color="auto" w:sz="4" w:space="0"/>
            </w:tcBorders>
            <w:noWrap w:val="0"/>
            <w:vAlign w:val="center"/>
          </w:tcPr>
          <w:p w14:paraId="7BEE7A5B">
            <w:pPr>
              <w:widowControl/>
              <w:spacing w:line="360" w:lineRule="auto"/>
              <w:jc w:val="center"/>
              <w:rPr>
                <w:rFonts w:hint="eastAsia" w:ascii="宋体" w:hAnsi="宋体" w:eastAsia="宋体" w:cs="宋体"/>
                <w:color w:val="auto"/>
                <w:spacing w:val="11"/>
                <w:sz w:val="24"/>
                <w:szCs w:val="24"/>
                <w:highlight w:val="none"/>
              </w:rPr>
            </w:pPr>
            <w:r>
              <w:rPr>
                <w:rFonts w:hint="eastAsia" w:ascii="宋体" w:hAnsi="宋体" w:cs="宋体"/>
                <w:color w:val="auto"/>
                <w:sz w:val="24"/>
                <w:szCs w:val="24"/>
                <w:highlight w:val="none"/>
              </w:rPr>
              <w:t>质疑</w:t>
            </w:r>
          </w:p>
        </w:tc>
        <w:tc>
          <w:tcPr>
            <w:tcW w:w="6736" w:type="dxa"/>
            <w:tcBorders>
              <w:top w:val="nil"/>
              <w:left w:val="nil"/>
              <w:bottom w:val="single" w:color="auto" w:sz="4" w:space="0"/>
              <w:right w:val="single" w:color="auto" w:sz="4" w:space="0"/>
            </w:tcBorders>
            <w:noWrap w:val="0"/>
            <w:vAlign w:val="center"/>
          </w:tcPr>
          <w:p w14:paraId="00F876E8">
            <w:pPr>
              <w:keepNext w:val="0"/>
              <w:keepLines w:val="0"/>
              <w:pageBreakBefore w:val="0"/>
              <w:widowControl w:val="0"/>
              <w:numPr>
                <w:ilvl w:val="0"/>
                <w:numId w:val="3"/>
              </w:numPr>
              <w:kinsoku/>
              <w:wordWrap w:val="0"/>
              <w:overflowPunct/>
              <w:topLinePunct/>
              <w:autoSpaceDE/>
              <w:autoSpaceDN/>
              <w:bidi w:val="0"/>
              <w:adjustRightInd/>
              <w:snapToGrid/>
              <w:spacing w:line="360" w:lineRule="auto"/>
              <w:ind w:firstLine="0" w:firstLineChars="0"/>
              <w:jc w:val="left"/>
              <w:textAlignment w:val="auto"/>
              <w:rPr>
                <w:rFonts w:ascii="宋体" w:hAnsi="宋体" w:cs="宋体"/>
                <w:color w:val="auto"/>
                <w:kern w:val="44"/>
                <w:sz w:val="24"/>
                <w:szCs w:val="24"/>
                <w:highlight w:val="none"/>
              </w:rPr>
            </w:pPr>
            <w:r>
              <w:rPr>
                <w:rFonts w:hint="eastAsia" w:ascii="宋体" w:hAnsi="宋体" w:cs="宋体"/>
                <w:color w:val="auto"/>
                <w:kern w:val="44"/>
                <w:sz w:val="24"/>
                <w:szCs w:val="24"/>
                <w:highlight w:val="none"/>
              </w:rPr>
              <w:t>供应商认为自己的权益受到损害的，可以在知道或者应知其权益受到损害之日起七个工作日内，向招标代理机构提出质疑。</w:t>
            </w:r>
          </w:p>
          <w:p w14:paraId="2BA7691B">
            <w:pPr>
              <w:keepNext w:val="0"/>
              <w:keepLines w:val="0"/>
              <w:pageBreakBefore w:val="0"/>
              <w:widowControl w:val="0"/>
              <w:numPr>
                <w:ilvl w:val="0"/>
                <w:numId w:val="4"/>
              </w:numPr>
              <w:kinsoku/>
              <w:wordWrap w:val="0"/>
              <w:overflowPunct/>
              <w:topLinePunct/>
              <w:autoSpaceDE/>
              <w:autoSpaceDN/>
              <w:bidi w:val="0"/>
              <w:adjustRightInd/>
              <w:snapToGrid/>
              <w:spacing w:line="360" w:lineRule="auto"/>
              <w:ind w:firstLine="0" w:firstLineChars="0"/>
              <w:jc w:val="left"/>
              <w:textAlignment w:val="auto"/>
              <w:rPr>
                <w:rFonts w:hint="eastAsia" w:ascii="宋体" w:hAnsi="宋体" w:cs="宋体"/>
                <w:color w:val="auto"/>
                <w:kern w:val="44"/>
                <w:sz w:val="24"/>
                <w:szCs w:val="24"/>
                <w:highlight w:val="none"/>
              </w:rPr>
            </w:pPr>
            <w:r>
              <w:rPr>
                <w:rFonts w:hint="eastAsia" w:ascii="宋体" w:hAnsi="宋体" w:cs="宋体"/>
                <w:color w:val="auto"/>
                <w:kern w:val="44"/>
                <w:sz w:val="24"/>
                <w:szCs w:val="24"/>
                <w:highlight w:val="none"/>
              </w:rPr>
              <w:t>接收质疑函的方式：接收加盖单位公章的书面质疑函接收单位：</w:t>
            </w:r>
            <w:r>
              <w:rPr>
                <w:rFonts w:hint="eastAsia" w:ascii="宋体" w:hAnsi="宋体" w:cs="宋体"/>
                <w:color w:val="auto"/>
                <w:kern w:val="44"/>
                <w:sz w:val="24"/>
                <w:szCs w:val="24"/>
                <w:highlight w:val="none"/>
                <w:lang w:eastAsia="zh-CN"/>
              </w:rPr>
              <w:t>河南坤源工程咨询管理有限公司</w:t>
            </w:r>
          </w:p>
          <w:p w14:paraId="5795421E">
            <w:pPr>
              <w:keepNext w:val="0"/>
              <w:keepLines w:val="0"/>
              <w:pageBreakBefore w:val="0"/>
              <w:widowControl w:val="0"/>
              <w:numPr>
                <w:ilvl w:val="0"/>
                <w:numId w:val="4"/>
              </w:numPr>
              <w:kinsoku/>
              <w:wordWrap w:val="0"/>
              <w:overflowPunct/>
              <w:topLinePunct/>
              <w:autoSpaceDE/>
              <w:autoSpaceDN/>
              <w:bidi w:val="0"/>
              <w:adjustRightInd/>
              <w:snapToGrid/>
              <w:spacing w:line="360" w:lineRule="auto"/>
              <w:ind w:firstLine="0" w:firstLineChars="0"/>
              <w:jc w:val="left"/>
              <w:textAlignment w:val="auto"/>
              <w:rPr>
                <w:rFonts w:hint="eastAsia" w:ascii="宋体" w:hAnsi="宋体" w:cs="宋体"/>
                <w:color w:val="auto"/>
                <w:kern w:val="44"/>
                <w:sz w:val="24"/>
                <w:szCs w:val="24"/>
                <w:highlight w:val="none"/>
              </w:rPr>
            </w:pPr>
            <w:r>
              <w:rPr>
                <w:rFonts w:hint="eastAsia" w:ascii="宋体" w:hAnsi="宋体" w:cs="宋体"/>
                <w:color w:val="auto"/>
                <w:kern w:val="44"/>
                <w:sz w:val="24"/>
                <w:szCs w:val="24"/>
                <w:highlight w:val="none"/>
              </w:rPr>
              <w:t>质疑函的内容、格式：应符合《中华人民共和国财政部令第 94 号—政府采购质疑和投诉办法》相关规定和财政部门制定的《政府采购质疑函范本》格式。</w:t>
            </w:r>
          </w:p>
          <w:p w14:paraId="194BFC71">
            <w:pPr>
              <w:keepNext w:val="0"/>
              <w:keepLines w:val="0"/>
              <w:pageBreakBefore w:val="0"/>
              <w:widowControl w:val="0"/>
              <w:kinsoku/>
              <w:wordWrap w:val="0"/>
              <w:overflowPunct/>
              <w:topLinePunct/>
              <w:autoSpaceDE/>
              <w:autoSpaceDN/>
              <w:bidi w:val="0"/>
              <w:adjustRightInd/>
              <w:snapToGrid/>
              <w:spacing w:line="360" w:lineRule="auto"/>
              <w:ind w:firstLine="0"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kern w:val="44"/>
                <w:sz w:val="24"/>
                <w:szCs w:val="24"/>
                <w:highlight w:val="none"/>
              </w:rPr>
              <w:t>二、供应商应在法定质疑期内一次性针对同一采购程序环节提出质疑，否则针对再次提出质疑将不予接收。（采购程序环节分为：磋商公告、磋商文件、磋商过程、成交结果）</w:t>
            </w:r>
          </w:p>
        </w:tc>
      </w:tr>
      <w:tr w14:paraId="77DCAC44">
        <w:tblPrEx>
          <w:tblCellMar>
            <w:top w:w="0" w:type="dxa"/>
            <w:left w:w="108" w:type="dxa"/>
            <w:bottom w:w="0" w:type="dxa"/>
            <w:right w:w="108" w:type="dxa"/>
          </w:tblCellMar>
        </w:tblPrEx>
        <w:trPr>
          <w:trHeight w:val="209" w:hRule="atLeast"/>
          <w:jc w:val="center"/>
        </w:trPr>
        <w:tc>
          <w:tcPr>
            <w:tcW w:w="1093" w:type="dxa"/>
            <w:tcBorders>
              <w:top w:val="nil"/>
              <w:left w:val="single" w:color="auto" w:sz="4" w:space="0"/>
              <w:bottom w:val="single" w:color="auto" w:sz="4" w:space="0"/>
              <w:right w:val="single" w:color="auto" w:sz="4" w:space="0"/>
            </w:tcBorders>
            <w:noWrap w:val="0"/>
            <w:vAlign w:val="center"/>
          </w:tcPr>
          <w:p w14:paraId="4F84F327">
            <w:pPr>
              <w:numPr>
                <w:ilvl w:val="0"/>
                <w:numId w:val="1"/>
              </w:numPr>
              <w:spacing w:line="460" w:lineRule="exact"/>
              <w:ind w:left="425" w:leftChars="0" w:hanging="425" w:firstLineChars="0"/>
              <w:jc w:val="center"/>
              <w:rPr>
                <w:rFonts w:hint="eastAsia" w:ascii="宋体" w:hAnsi="宋体" w:eastAsia="宋体" w:cs="宋体"/>
                <w:color w:val="auto"/>
                <w:sz w:val="24"/>
                <w:szCs w:val="24"/>
                <w:highlight w:val="none"/>
              </w:rPr>
            </w:pPr>
          </w:p>
        </w:tc>
        <w:tc>
          <w:tcPr>
            <w:tcW w:w="1689" w:type="dxa"/>
            <w:tcBorders>
              <w:top w:val="nil"/>
              <w:left w:val="nil"/>
              <w:bottom w:val="single" w:color="auto" w:sz="4" w:space="0"/>
              <w:right w:val="single" w:color="auto" w:sz="4" w:space="0"/>
            </w:tcBorders>
            <w:noWrap w:val="0"/>
            <w:vAlign w:val="center"/>
          </w:tcPr>
          <w:p w14:paraId="55115D01">
            <w:pPr>
              <w:widowControl/>
              <w:spacing w:line="360" w:lineRule="auto"/>
              <w:jc w:val="center"/>
              <w:rPr>
                <w:rFonts w:hint="eastAsia" w:ascii="宋体" w:hAnsi="宋体" w:eastAsia="宋体" w:cs="宋体"/>
                <w:color w:val="auto"/>
                <w:spacing w:val="11"/>
                <w:sz w:val="24"/>
                <w:szCs w:val="24"/>
                <w:highlight w:val="none"/>
              </w:rPr>
            </w:pPr>
            <w:r>
              <w:rPr>
                <w:rFonts w:hint="eastAsia" w:ascii="宋体" w:hAnsi="宋体" w:cs="宋体"/>
                <w:color w:val="auto"/>
                <w:sz w:val="24"/>
                <w:szCs w:val="24"/>
                <w:highlight w:val="none"/>
              </w:rPr>
              <w:t>竞争性磋商文件的解释</w:t>
            </w:r>
          </w:p>
        </w:tc>
        <w:tc>
          <w:tcPr>
            <w:tcW w:w="6736" w:type="dxa"/>
            <w:tcBorders>
              <w:top w:val="nil"/>
              <w:left w:val="nil"/>
              <w:bottom w:val="single" w:color="auto" w:sz="4" w:space="0"/>
              <w:right w:val="single" w:color="auto" w:sz="4" w:space="0"/>
            </w:tcBorders>
            <w:noWrap w:val="0"/>
            <w:vAlign w:val="center"/>
          </w:tcPr>
          <w:p w14:paraId="5C0BC9CF">
            <w:pPr>
              <w:keepNext w:val="0"/>
              <w:keepLines w:val="0"/>
              <w:pageBreakBefore w:val="0"/>
              <w:widowControl w:val="0"/>
              <w:kinsoku/>
              <w:wordWrap w:val="0"/>
              <w:overflowPunct/>
              <w:topLinePunct/>
              <w:autoSpaceDE/>
              <w:autoSpaceDN/>
              <w:bidi w:val="0"/>
              <w:adjustRightInd/>
              <w:snapToGrid/>
              <w:spacing w:line="360" w:lineRule="auto"/>
              <w:ind w:firstLine="0"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kern w:val="44"/>
                <w:sz w:val="24"/>
                <w:szCs w:val="24"/>
                <w:highlight w:val="none"/>
              </w:rPr>
              <w:t>在符合相关法律法规的前提下，竞争性磋商文件的解释权归</w:t>
            </w:r>
            <w:r>
              <w:rPr>
                <w:rFonts w:hint="eastAsia" w:ascii="宋体" w:hAnsi="宋体" w:cs="宋体"/>
                <w:color w:val="auto"/>
                <w:kern w:val="44"/>
                <w:sz w:val="24"/>
                <w:szCs w:val="24"/>
                <w:highlight w:val="none"/>
                <w:lang w:eastAsia="zh-CN"/>
              </w:rPr>
              <w:t>采购人</w:t>
            </w:r>
            <w:r>
              <w:rPr>
                <w:rFonts w:hint="eastAsia" w:ascii="宋体" w:hAnsi="宋体" w:cs="宋体"/>
                <w:color w:val="auto"/>
                <w:kern w:val="44"/>
                <w:sz w:val="24"/>
                <w:szCs w:val="24"/>
                <w:highlight w:val="none"/>
              </w:rPr>
              <w:t>所有。</w:t>
            </w:r>
          </w:p>
        </w:tc>
      </w:tr>
      <w:tr w14:paraId="13FDF8B6">
        <w:tblPrEx>
          <w:tblCellMar>
            <w:top w:w="0" w:type="dxa"/>
            <w:left w:w="108" w:type="dxa"/>
            <w:bottom w:w="0" w:type="dxa"/>
            <w:right w:w="108" w:type="dxa"/>
          </w:tblCellMar>
        </w:tblPrEx>
        <w:trPr>
          <w:trHeight w:val="209" w:hRule="atLeast"/>
          <w:jc w:val="center"/>
        </w:trPr>
        <w:tc>
          <w:tcPr>
            <w:tcW w:w="1093" w:type="dxa"/>
            <w:tcBorders>
              <w:top w:val="nil"/>
              <w:left w:val="single" w:color="auto" w:sz="4" w:space="0"/>
              <w:bottom w:val="single" w:color="auto" w:sz="4" w:space="0"/>
              <w:right w:val="single" w:color="auto" w:sz="4" w:space="0"/>
            </w:tcBorders>
            <w:noWrap w:val="0"/>
            <w:vAlign w:val="center"/>
          </w:tcPr>
          <w:p w14:paraId="4FFC93FA">
            <w:pPr>
              <w:numPr>
                <w:ilvl w:val="0"/>
                <w:numId w:val="1"/>
              </w:numPr>
              <w:spacing w:line="460" w:lineRule="exact"/>
              <w:ind w:left="425" w:leftChars="0" w:hanging="425" w:firstLineChars="0"/>
              <w:jc w:val="center"/>
              <w:rPr>
                <w:rFonts w:hint="eastAsia" w:ascii="宋体" w:hAnsi="宋体" w:eastAsia="宋体" w:cs="宋体"/>
                <w:color w:val="auto"/>
                <w:sz w:val="24"/>
                <w:szCs w:val="24"/>
                <w:highlight w:val="none"/>
              </w:rPr>
            </w:pPr>
          </w:p>
        </w:tc>
        <w:tc>
          <w:tcPr>
            <w:tcW w:w="1689" w:type="dxa"/>
            <w:tcBorders>
              <w:top w:val="nil"/>
              <w:left w:val="nil"/>
              <w:bottom w:val="single" w:color="auto" w:sz="4" w:space="0"/>
              <w:right w:val="single" w:color="auto" w:sz="4" w:space="0"/>
            </w:tcBorders>
            <w:noWrap w:val="0"/>
            <w:vAlign w:val="center"/>
          </w:tcPr>
          <w:p w14:paraId="4240B34B">
            <w:pPr>
              <w:widowControl/>
              <w:spacing w:line="360" w:lineRule="auto"/>
              <w:jc w:val="center"/>
              <w:rPr>
                <w:rFonts w:hint="eastAsia" w:ascii="宋体" w:hAnsi="宋体" w:eastAsia="宋体" w:cs="宋体"/>
                <w:color w:val="auto"/>
                <w:spacing w:val="11"/>
                <w:sz w:val="24"/>
                <w:szCs w:val="24"/>
                <w:highlight w:val="none"/>
              </w:rPr>
            </w:pPr>
            <w:r>
              <w:rPr>
                <w:rFonts w:hint="eastAsia" w:ascii="宋体" w:hAnsi="宋体" w:cs="宋体"/>
                <w:color w:val="auto"/>
                <w:sz w:val="24"/>
                <w:szCs w:val="24"/>
                <w:highlight w:val="none"/>
              </w:rPr>
              <w:t>相关费用</w:t>
            </w:r>
          </w:p>
        </w:tc>
        <w:tc>
          <w:tcPr>
            <w:tcW w:w="6736" w:type="dxa"/>
            <w:tcBorders>
              <w:top w:val="nil"/>
              <w:left w:val="nil"/>
              <w:bottom w:val="single" w:color="auto" w:sz="4" w:space="0"/>
              <w:right w:val="single" w:color="auto" w:sz="4" w:space="0"/>
            </w:tcBorders>
            <w:noWrap w:val="0"/>
            <w:vAlign w:val="center"/>
          </w:tcPr>
          <w:p w14:paraId="27743557">
            <w:pPr>
              <w:keepNext w:val="0"/>
              <w:keepLines w:val="0"/>
              <w:pageBreakBefore w:val="0"/>
              <w:widowControl w:val="0"/>
              <w:kinsoku/>
              <w:wordWrap w:val="0"/>
              <w:overflowPunct/>
              <w:topLinePunct/>
              <w:autoSpaceDE/>
              <w:autoSpaceDN/>
              <w:bidi w:val="0"/>
              <w:adjustRightInd/>
              <w:snapToGrid/>
              <w:spacing w:line="360" w:lineRule="auto"/>
              <w:ind w:firstLine="0"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kern w:val="0"/>
                <w:sz w:val="24"/>
                <w:szCs w:val="24"/>
                <w:highlight w:val="none"/>
              </w:rPr>
              <w:t>竞争性磋商文件费</w:t>
            </w:r>
            <w:r>
              <w:rPr>
                <w:rFonts w:hint="eastAsia" w:ascii="宋体" w:hAnsi="宋体" w:cs="宋体"/>
                <w:color w:val="auto"/>
                <w:sz w:val="24"/>
                <w:szCs w:val="24"/>
                <w:highlight w:val="none"/>
              </w:rPr>
              <w:t>：本项目为全电子招标，不收取竞争性磋商文件费；</w:t>
            </w:r>
          </w:p>
        </w:tc>
      </w:tr>
      <w:tr w14:paraId="23FCB12D">
        <w:tblPrEx>
          <w:tblCellMar>
            <w:top w:w="0" w:type="dxa"/>
            <w:left w:w="108" w:type="dxa"/>
            <w:bottom w:w="0" w:type="dxa"/>
            <w:right w:w="108" w:type="dxa"/>
          </w:tblCellMar>
        </w:tblPrEx>
        <w:trPr>
          <w:trHeight w:val="209" w:hRule="atLeast"/>
          <w:jc w:val="center"/>
        </w:trPr>
        <w:tc>
          <w:tcPr>
            <w:tcW w:w="1093" w:type="dxa"/>
            <w:tcBorders>
              <w:top w:val="nil"/>
              <w:left w:val="single" w:color="auto" w:sz="4" w:space="0"/>
              <w:bottom w:val="single" w:color="auto" w:sz="4" w:space="0"/>
              <w:right w:val="single" w:color="auto" w:sz="4" w:space="0"/>
            </w:tcBorders>
            <w:noWrap w:val="0"/>
            <w:vAlign w:val="center"/>
          </w:tcPr>
          <w:p w14:paraId="062A75B6">
            <w:pPr>
              <w:numPr>
                <w:ilvl w:val="0"/>
                <w:numId w:val="1"/>
              </w:numPr>
              <w:spacing w:line="460" w:lineRule="exact"/>
              <w:ind w:left="425" w:leftChars="0" w:hanging="425" w:firstLineChars="0"/>
              <w:jc w:val="center"/>
              <w:rPr>
                <w:rFonts w:hint="eastAsia" w:ascii="宋体" w:hAnsi="宋体" w:eastAsia="宋体" w:cs="宋体"/>
                <w:color w:val="auto"/>
                <w:sz w:val="24"/>
                <w:szCs w:val="24"/>
                <w:highlight w:val="none"/>
              </w:rPr>
            </w:pPr>
          </w:p>
        </w:tc>
        <w:tc>
          <w:tcPr>
            <w:tcW w:w="1689" w:type="dxa"/>
            <w:tcBorders>
              <w:top w:val="nil"/>
              <w:left w:val="nil"/>
              <w:bottom w:val="single" w:color="auto" w:sz="4" w:space="0"/>
              <w:right w:val="single" w:color="auto" w:sz="4" w:space="0"/>
            </w:tcBorders>
            <w:noWrap w:val="0"/>
            <w:vAlign w:val="center"/>
          </w:tcPr>
          <w:p w14:paraId="1EF5D96D">
            <w:pPr>
              <w:widowControl/>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同义词语</w:t>
            </w:r>
          </w:p>
        </w:tc>
        <w:tc>
          <w:tcPr>
            <w:tcW w:w="6736" w:type="dxa"/>
            <w:tcBorders>
              <w:top w:val="nil"/>
              <w:left w:val="nil"/>
              <w:bottom w:val="single" w:color="auto" w:sz="4" w:space="0"/>
              <w:right w:val="single" w:color="auto" w:sz="4" w:space="0"/>
            </w:tcBorders>
            <w:noWrap w:val="0"/>
            <w:vAlign w:val="center"/>
          </w:tcPr>
          <w:p w14:paraId="5FA25AC1">
            <w:pPr>
              <w:spacing w:line="360" w:lineRule="auto"/>
              <w:ind w:firstLine="482" w:firstLineChars="0"/>
              <w:jc w:val="left"/>
              <w:rPr>
                <w:rFonts w:hint="eastAsia" w:ascii="宋体" w:hAnsi="宋体" w:cs="宋体"/>
                <w:color w:val="auto"/>
                <w:kern w:val="0"/>
                <w:sz w:val="24"/>
                <w:szCs w:val="24"/>
                <w:highlight w:val="none"/>
              </w:rPr>
            </w:pPr>
            <w:r>
              <w:rPr>
                <w:rFonts w:hint="eastAsia" w:ascii="宋体" w:hAnsi="宋体" w:cs="宋体"/>
                <w:color w:val="auto"/>
                <w:kern w:val="44"/>
                <w:sz w:val="24"/>
                <w:szCs w:val="24"/>
                <w:highlight w:val="none"/>
              </w:rPr>
              <w:t>构成竞争性磋商文件组成部分的“通用合同条款”、“专用合同条款”、“技术标准和要求”等章节中出现的措辞“发包人”和“承包人”，在招标投标阶段应当分别按“</w:t>
            </w:r>
            <w:r>
              <w:rPr>
                <w:rFonts w:hint="eastAsia" w:ascii="宋体" w:hAnsi="宋体" w:cs="宋体"/>
                <w:color w:val="auto"/>
                <w:kern w:val="44"/>
                <w:sz w:val="24"/>
                <w:szCs w:val="24"/>
                <w:highlight w:val="none"/>
                <w:lang w:eastAsia="zh-CN"/>
              </w:rPr>
              <w:t>采购人</w:t>
            </w:r>
            <w:r>
              <w:rPr>
                <w:rFonts w:hint="eastAsia" w:ascii="宋体" w:hAnsi="宋体" w:cs="宋体"/>
                <w:color w:val="auto"/>
                <w:kern w:val="44"/>
                <w:sz w:val="24"/>
                <w:szCs w:val="24"/>
                <w:highlight w:val="none"/>
              </w:rPr>
              <w:t>”和“</w:t>
            </w:r>
            <w:r>
              <w:rPr>
                <w:rFonts w:hint="eastAsia" w:ascii="宋体" w:hAnsi="宋体" w:cs="宋体"/>
                <w:color w:val="auto"/>
                <w:kern w:val="44"/>
                <w:sz w:val="24"/>
                <w:szCs w:val="24"/>
                <w:highlight w:val="none"/>
                <w:lang w:eastAsia="zh-CN"/>
              </w:rPr>
              <w:t>供应商</w:t>
            </w:r>
            <w:r>
              <w:rPr>
                <w:rFonts w:hint="eastAsia" w:ascii="宋体" w:hAnsi="宋体" w:cs="宋体"/>
                <w:color w:val="auto"/>
                <w:kern w:val="44"/>
                <w:sz w:val="24"/>
                <w:szCs w:val="24"/>
                <w:highlight w:val="none"/>
              </w:rPr>
              <w:t>”进行理解。</w:t>
            </w:r>
          </w:p>
        </w:tc>
      </w:tr>
      <w:tr w14:paraId="303DA5A4">
        <w:tblPrEx>
          <w:tblCellMar>
            <w:top w:w="0" w:type="dxa"/>
            <w:left w:w="108" w:type="dxa"/>
            <w:bottom w:w="0" w:type="dxa"/>
            <w:right w:w="108" w:type="dxa"/>
          </w:tblCellMar>
        </w:tblPrEx>
        <w:trPr>
          <w:trHeight w:val="209" w:hRule="atLeast"/>
          <w:jc w:val="center"/>
        </w:trPr>
        <w:tc>
          <w:tcPr>
            <w:tcW w:w="1093" w:type="dxa"/>
            <w:tcBorders>
              <w:top w:val="nil"/>
              <w:left w:val="single" w:color="auto" w:sz="4" w:space="0"/>
              <w:bottom w:val="single" w:color="auto" w:sz="4" w:space="0"/>
              <w:right w:val="single" w:color="auto" w:sz="4" w:space="0"/>
            </w:tcBorders>
            <w:noWrap w:val="0"/>
            <w:vAlign w:val="center"/>
          </w:tcPr>
          <w:p w14:paraId="180640E4">
            <w:pPr>
              <w:numPr>
                <w:ilvl w:val="0"/>
                <w:numId w:val="1"/>
              </w:numPr>
              <w:spacing w:line="460" w:lineRule="exact"/>
              <w:ind w:left="425" w:leftChars="0" w:hanging="425" w:firstLineChars="0"/>
              <w:jc w:val="center"/>
              <w:rPr>
                <w:rFonts w:hint="eastAsia" w:ascii="宋体" w:hAnsi="宋体" w:eastAsia="宋体" w:cs="宋体"/>
                <w:color w:val="auto"/>
                <w:sz w:val="24"/>
                <w:szCs w:val="24"/>
                <w:highlight w:val="none"/>
              </w:rPr>
            </w:pPr>
          </w:p>
        </w:tc>
        <w:tc>
          <w:tcPr>
            <w:tcW w:w="1689" w:type="dxa"/>
            <w:tcBorders>
              <w:top w:val="nil"/>
              <w:left w:val="nil"/>
              <w:bottom w:val="single" w:color="auto" w:sz="4" w:space="0"/>
              <w:right w:val="single" w:color="auto" w:sz="4" w:space="0"/>
            </w:tcBorders>
            <w:noWrap w:val="0"/>
            <w:vAlign w:val="center"/>
          </w:tcPr>
          <w:p w14:paraId="38D0563A">
            <w:pPr>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政府采购政策</w:t>
            </w:r>
          </w:p>
        </w:tc>
        <w:tc>
          <w:tcPr>
            <w:tcW w:w="6736" w:type="dxa"/>
            <w:tcBorders>
              <w:top w:val="nil"/>
              <w:left w:val="nil"/>
              <w:bottom w:val="single" w:color="auto" w:sz="4" w:space="0"/>
              <w:right w:val="single" w:color="auto" w:sz="4" w:space="0"/>
            </w:tcBorders>
            <w:noWrap w:val="0"/>
            <w:vAlign w:val="top"/>
          </w:tcPr>
          <w:p w14:paraId="5D6987AC">
            <w:pPr>
              <w:spacing w:line="400" w:lineRule="exact"/>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rPr>
              <w:t>1、本项目执行促进中小型企业发展，执行财政部、工信部印发的《政府采购促进中小型企业发展暂行办法》，对小型和微型企业一定政策倾向（监狱企业、残疾人福利性企业视同小型、微型企业），参加政府采购活动的中小企业应当提供《中小企业声明函》并提供证明材料，未填写中小企业声明函的在评标过程中不予认可</w:t>
            </w:r>
            <w:r>
              <w:rPr>
                <w:rFonts w:hint="eastAsia" w:ascii="宋体" w:hAnsi="宋体" w:eastAsia="宋体" w:cs="宋体"/>
                <w:b/>
                <w:bCs/>
                <w:color w:val="auto"/>
                <w:sz w:val="24"/>
                <w:szCs w:val="24"/>
                <w:highlight w:val="none"/>
              </w:rPr>
              <w:t>。</w:t>
            </w:r>
          </w:p>
          <w:p w14:paraId="1E1E6873">
            <w:pPr>
              <w:spacing w:line="400" w:lineRule="exac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2、划定标准为：《工业和信息化部、国家统计局、国家发展和改革委员会、财政部关于印发&lt;中小企业划型标准规定的通知&gt;（工信部联企业〔2011〕300号）规定的划分标准为依据。</w:t>
            </w:r>
          </w:p>
          <w:p w14:paraId="783ACF7B">
            <w:pPr>
              <w:spacing w:line="400" w:lineRule="exac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本项目采购标的其他未列明行业。</w:t>
            </w:r>
          </w:p>
          <w:p w14:paraId="03BDFEA5">
            <w:pPr>
              <w:spacing w:line="400" w:lineRule="exac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3、小微企业的认定标准详见《关于印发《政府采购促进中小企业发展管理办法》的通知》（财库〔2020〕46号）。</w:t>
            </w:r>
          </w:p>
          <w:p w14:paraId="61F611FB">
            <w:pPr>
              <w:spacing w:line="400" w:lineRule="exac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（1）小微企业认定标准：出具《中小企业声明函》。</w:t>
            </w:r>
          </w:p>
          <w:p w14:paraId="69788EDB">
            <w:pPr>
              <w:spacing w:line="400" w:lineRule="exac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（2）残疾人福利性单位认定标准：出具《残疾人福利性单位声明函》。</w:t>
            </w:r>
          </w:p>
          <w:p w14:paraId="741C175A">
            <w:pPr>
              <w:spacing w:line="400" w:lineRule="exac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（3）监狱企业的认定标准：省级以上监狱管理局、戒毒管理局（含新疆生产建设兵团）出具的属于监狱企业的证明文件。</w:t>
            </w:r>
          </w:p>
          <w:p w14:paraId="4036E05D">
            <w:pPr>
              <w:keepLines/>
              <w:spacing w:line="400" w:lineRule="exac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相关风险：提供虚假证明材料后果：供应商为取得上述身份而提供虚假证明材料，在评审过程中发现的，按无效标处理；已取得成交资格的，无论该行为是否影响中标，均取消其成交资格；该供应商还应承担由此引起的其他经济、法律责任。出现此种情形时，招标人、招标代理机构将有关情况上报政府采购监管部门，由监管部门按有关规定对其进行相应处罚。</w:t>
            </w:r>
          </w:p>
        </w:tc>
      </w:tr>
      <w:tr w14:paraId="0F895F49">
        <w:tblPrEx>
          <w:tblCellMar>
            <w:top w:w="0" w:type="dxa"/>
            <w:left w:w="108" w:type="dxa"/>
            <w:bottom w:w="0" w:type="dxa"/>
            <w:right w:w="108" w:type="dxa"/>
          </w:tblCellMar>
        </w:tblPrEx>
        <w:trPr>
          <w:trHeight w:val="209" w:hRule="atLeast"/>
          <w:jc w:val="center"/>
        </w:trPr>
        <w:tc>
          <w:tcPr>
            <w:tcW w:w="1093" w:type="dxa"/>
            <w:tcBorders>
              <w:top w:val="nil"/>
              <w:left w:val="single" w:color="auto" w:sz="4" w:space="0"/>
              <w:bottom w:val="single" w:color="auto" w:sz="4" w:space="0"/>
              <w:right w:val="single" w:color="auto" w:sz="4" w:space="0"/>
            </w:tcBorders>
            <w:noWrap w:val="0"/>
            <w:vAlign w:val="center"/>
          </w:tcPr>
          <w:p w14:paraId="681E31C8">
            <w:pPr>
              <w:numPr>
                <w:ilvl w:val="0"/>
                <w:numId w:val="1"/>
              </w:numPr>
              <w:spacing w:line="460" w:lineRule="exact"/>
              <w:ind w:left="425" w:leftChars="0" w:hanging="425" w:firstLineChars="0"/>
              <w:jc w:val="center"/>
              <w:rPr>
                <w:rFonts w:hint="eastAsia" w:ascii="宋体" w:hAnsi="宋体" w:eastAsia="宋体" w:cs="宋体"/>
                <w:color w:val="auto"/>
                <w:sz w:val="24"/>
                <w:szCs w:val="24"/>
                <w:highlight w:val="none"/>
              </w:rPr>
            </w:pPr>
          </w:p>
        </w:tc>
        <w:tc>
          <w:tcPr>
            <w:tcW w:w="1689" w:type="dxa"/>
            <w:tcBorders>
              <w:top w:val="nil"/>
              <w:left w:val="nil"/>
              <w:bottom w:val="single" w:color="auto" w:sz="4" w:space="0"/>
              <w:right w:val="single" w:color="auto" w:sz="4" w:space="0"/>
            </w:tcBorders>
            <w:noWrap w:val="0"/>
            <w:vAlign w:val="center"/>
          </w:tcPr>
          <w:p w14:paraId="3E6A6E28">
            <w:pPr>
              <w:keepNext w:val="0"/>
              <w:keepLines w:val="0"/>
              <w:pageBreakBefore w:val="0"/>
              <w:widowControl w:val="0"/>
              <w:kinsoku/>
              <w:wordWrap w:val="0"/>
              <w:overflowPunct/>
              <w:topLinePunct/>
              <w:autoSpaceDE/>
              <w:autoSpaceDN/>
              <w:bidi w:val="0"/>
              <w:spacing w:line="360" w:lineRule="auto"/>
              <w:jc w:val="center"/>
              <w:textAlignment w:val="auto"/>
              <w:rPr>
                <w:rFonts w:hint="eastAsia" w:ascii="宋体" w:hAnsi="宋体" w:eastAsia="宋体" w:cs="宋体"/>
                <w:b/>
                <w:bCs/>
                <w:color w:val="auto"/>
                <w:kern w:val="0"/>
                <w:sz w:val="24"/>
                <w:szCs w:val="24"/>
                <w:highlight w:val="none"/>
              </w:rPr>
            </w:pPr>
            <w:r>
              <w:rPr>
                <w:rFonts w:hint="eastAsia" w:asciiTheme="minorEastAsia" w:hAnsiTheme="minorEastAsia" w:eastAsiaTheme="minorEastAsia" w:cstheme="minorEastAsia"/>
                <w:b/>
                <w:bCs/>
                <w:color w:val="auto"/>
                <w:kern w:val="0"/>
                <w:sz w:val="24"/>
                <w:szCs w:val="24"/>
                <w:highlight w:val="none"/>
                <w:lang w:val="en-US" w:eastAsia="zh-CN"/>
              </w:rPr>
              <w:t>关于异常低价的处理</w:t>
            </w:r>
          </w:p>
        </w:tc>
        <w:tc>
          <w:tcPr>
            <w:tcW w:w="6736" w:type="dxa"/>
            <w:tcBorders>
              <w:top w:val="nil"/>
              <w:left w:val="nil"/>
              <w:bottom w:val="single" w:color="auto" w:sz="4" w:space="0"/>
              <w:right w:val="single" w:color="auto" w:sz="4" w:space="0"/>
            </w:tcBorders>
            <w:noWrap w:val="0"/>
            <w:vAlign w:val="center"/>
          </w:tcPr>
          <w:p w14:paraId="69C09B3F">
            <w:pPr>
              <w:keepNext w:val="0"/>
              <w:keepLines w:val="0"/>
              <w:pageBreakBefore w:val="0"/>
              <w:widowControl w:val="0"/>
              <w:kinsoku/>
              <w:wordWrap w:val="0"/>
              <w:overflowPunct/>
              <w:topLinePunct/>
              <w:autoSpaceDE/>
              <w:autoSpaceDN/>
              <w:bidi w:val="0"/>
              <w:spacing w:line="360" w:lineRule="auto"/>
              <w:textAlignment w:val="auto"/>
              <w:rPr>
                <w:rFonts w:hint="eastAsia" w:asciiTheme="minorEastAsia" w:hAnsiTheme="minorEastAsia" w:eastAsiaTheme="minorEastAsia" w:cstheme="minorEastAsia"/>
                <w:b/>
                <w:bCs/>
                <w:color w:val="auto"/>
                <w:kern w:val="0"/>
                <w:sz w:val="24"/>
                <w:szCs w:val="24"/>
                <w:highlight w:val="none"/>
                <w:lang w:val="en-US" w:eastAsia="zh-CN"/>
              </w:rPr>
            </w:pPr>
            <w:r>
              <w:rPr>
                <w:rFonts w:hint="eastAsia" w:asciiTheme="minorEastAsia" w:hAnsiTheme="minorEastAsia" w:eastAsiaTheme="minorEastAsia" w:cstheme="minorEastAsia"/>
                <w:b/>
                <w:bCs/>
                <w:color w:val="auto"/>
                <w:kern w:val="0"/>
                <w:sz w:val="24"/>
                <w:szCs w:val="24"/>
                <w:highlight w:val="none"/>
                <w:lang w:val="en-US" w:eastAsia="zh-CN"/>
              </w:rPr>
              <w:t>政府采购评审中出现下列情形之一的，评标委员会应当启动异常低价投标（响应）审查程序：</w:t>
            </w:r>
          </w:p>
          <w:p w14:paraId="1A6E3097">
            <w:pPr>
              <w:keepNext w:val="0"/>
              <w:keepLines w:val="0"/>
              <w:pageBreakBefore w:val="0"/>
              <w:widowControl w:val="0"/>
              <w:kinsoku/>
              <w:wordWrap w:val="0"/>
              <w:overflowPunct/>
              <w:topLinePunct/>
              <w:autoSpaceDE/>
              <w:autoSpaceDN/>
              <w:bidi w:val="0"/>
              <w:spacing w:line="360" w:lineRule="auto"/>
              <w:textAlignment w:val="auto"/>
              <w:rPr>
                <w:rFonts w:hint="eastAsia" w:asciiTheme="minorEastAsia" w:hAnsiTheme="minorEastAsia" w:eastAsiaTheme="minorEastAsia" w:cstheme="minorEastAsia"/>
                <w:b/>
                <w:bCs/>
                <w:color w:val="auto"/>
                <w:kern w:val="0"/>
                <w:sz w:val="24"/>
                <w:szCs w:val="24"/>
                <w:highlight w:val="none"/>
                <w:lang w:val="en-US" w:eastAsia="zh-CN"/>
              </w:rPr>
            </w:pPr>
            <w:r>
              <w:rPr>
                <w:rFonts w:hint="eastAsia" w:asciiTheme="minorEastAsia" w:hAnsiTheme="minorEastAsia" w:eastAsiaTheme="minorEastAsia" w:cstheme="minorEastAsia"/>
                <w:b/>
                <w:bCs/>
                <w:color w:val="auto"/>
                <w:kern w:val="0"/>
                <w:sz w:val="24"/>
                <w:szCs w:val="24"/>
                <w:highlight w:val="none"/>
                <w:lang w:val="en-US" w:eastAsia="zh-CN"/>
              </w:rPr>
              <w:t>（1）投标（响应）报价低于全部通过符合性审查供应商投标（响应）报价平均值60%的，即投标（响应）报价&lt;全部通过符合性审查供应商投标（响应）报价平均值×60%；</w:t>
            </w:r>
          </w:p>
          <w:p w14:paraId="3E4F349F">
            <w:pPr>
              <w:keepNext w:val="0"/>
              <w:keepLines w:val="0"/>
              <w:pageBreakBefore w:val="0"/>
              <w:widowControl w:val="0"/>
              <w:kinsoku/>
              <w:wordWrap w:val="0"/>
              <w:overflowPunct/>
              <w:topLinePunct/>
              <w:autoSpaceDE/>
              <w:autoSpaceDN/>
              <w:bidi w:val="0"/>
              <w:spacing w:line="360" w:lineRule="auto"/>
              <w:textAlignment w:val="auto"/>
              <w:rPr>
                <w:rFonts w:hint="eastAsia" w:asciiTheme="minorEastAsia" w:hAnsiTheme="minorEastAsia" w:eastAsiaTheme="minorEastAsia" w:cstheme="minorEastAsia"/>
                <w:b/>
                <w:bCs/>
                <w:color w:val="auto"/>
                <w:kern w:val="0"/>
                <w:sz w:val="24"/>
                <w:szCs w:val="24"/>
                <w:highlight w:val="none"/>
                <w:lang w:val="en-US" w:eastAsia="zh-CN"/>
              </w:rPr>
            </w:pPr>
            <w:r>
              <w:rPr>
                <w:rFonts w:hint="eastAsia" w:asciiTheme="minorEastAsia" w:hAnsiTheme="minorEastAsia" w:eastAsiaTheme="minorEastAsia" w:cstheme="minorEastAsia"/>
                <w:b/>
                <w:bCs/>
                <w:color w:val="auto"/>
                <w:kern w:val="0"/>
                <w:sz w:val="24"/>
                <w:szCs w:val="24"/>
                <w:highlight w:val="none"/>
                <w:lang w:val="en-US" w:eastAsia="zh-CN"/>
              </w:rPr>
              <w:t>（2）投标（响应）报价低于通过符合性审查的次低报价供应商投标（响应）报价60%的，即投标（响应）报价&lt;通过符合性审查的次低报价供应商投标（响应）报价×60%；</w:t>
            </w:r>
          </w:p>
          <w:p w14:paraId="2F23176B">
            <w:pPr>
              <w:keepNext w:val="0"/>
              <w:keepLines w:val="0"/>
              <w:pageBreakBefore w:val="0"/>
              <w:widowControl w:val="0"/>
              <w:kinsoku/>
              <w:wordWrap w:val="0"/>
              <w:overflowPunct/>
              <w:topLinePunct/>
              <w:autoSpaceDE/>
              <w:autoSpaceDN/>
              <w:bidi w:val="0"/>
              <w:spacing w:line="360" w:lineRule="auto"/>
              <w:textAlignment w:val="auto"/>
              <w:rPr>
                <w:rFonts w:hint="eastAsia" w:asciiTheme="minorEastAsia" w:hAnsiTheme="minorEastAsia" w:eastAsiaTheme="minorEastAsia" w:cstheme="minorEastAsia"/>
                <w:b/>
                <w:bCs/>
                <w:color w:val="auto"/>
                <w:kern w:val="0"/>
                <w:sz w:val="24"/>
                <w:szCs w:val="24"/>
                <w:highlight w:val="none"/>
                <w:lang w:val="en-US" w:eastAsia="zh-CN"/>
              </w:rPr>
            </w:pPr>
            <w:r>
              <w:rPr>
                <w:rFonts w:hint="eastAsia" w:asciiTheme="minorEastAsia" w:hAnsiTheme="minorEastAsia" w:eastAsiaTheme="minorEastAsia" w:cstheme="minorEastAsia"/>
                <w:b/>
                <w:bCs/>
                <w:color w:val="auto"/>
                <w:kern w:val="0"/>
                <w:sz w:val="24"/>
                <w:szCs w:val="24"/>
                <w:highlight w:val="none"/>
                <w:lang w:val="en-US" w:eastAsia="zh-CN"/>
              </w:rPr>
              <w:t>（3）投标（响应）报价低于采购项目最高限价55%的，即投标（响应）报价&lt;采购项目最高限价×55%；</w:t>
            </w:r>
          </w:p>
          <w:p w14:paraId="711FF479">
            <w:pPr>
              <w:keepNext w:val="0"/>
              <w:keepLines w:val="0"/>
              <w:pageBreakBefore w:val="0"/>
              <w:widowControl w:val="0"/>
              <w:kinsoku/>
              <w:wordWrap w:val="0"/>
              <w:overflowPunct/>
              <w:topLinePunct/>
              <w:autoSpaceDE/>
              <w:autoSpaceDN/>
              <w:bidi w:val="0"/>
              <w:spacing w:line="360" w:lineRule="auto"/>
              <w:textAlignment w:val="auto"/>
              <w:rPr>
                <w:rFonts w:hint="eastAsia" w:asciiTheme="minorEastAsia" w:hAnsiTheme="minorEastAsia" w:eastAsiaTheme="minorEastAsia" w:cstheme="minorEastAsia"/>
                <w:b/>
                <w:bCs/>
                <w:color w:val="auto"/>
                <w:kern w:val="0"/>
                <w:sz w:val="24"/>
                <w:szCs w:val="24"/>
                <w:highlight w:val="none"/>
                <w:lang w:val="en-US" w:eastAsia="zh-CN"/>
              </w:rPr>
            </w:pPr>
            <w:r>
              <w:rPr>
                <w:rFonts w:hint="eastAsia" w:asciiTheme="minorEastAsia" w:hAnsiTheme="minorEastAsia" w:eastAsiaTheme="minorEastAsia" w:cstheme="minorEastAsia"/>
                <w:b/>
                <w:bCs/>
                <w:color w:val="auto"/>
                <w:kern w:val="0"/>
                <w:sz w:val="24"/>
                <w:szCs w:val="24"/>
                <w:highlight w:val="none"/>
                <w:lang w:val="en-US" w:eastAsia="zh-CN"/>
              </w:rPr>
              <w:t>（4）评标委员会基于专业判断，认为供应商报价过低，有可能影响产品质量或者不能诚信履约的其他情形。</w:t>
            </w:r>
          </w:p>
          <w:p w14:paraId="65B51849">
            <w:pPr>
              <w:keepNext w:val="0"/>
              <w:keepLines w:val="0"/>
              <w:pageBreakBefore w:val="0"/>
              <w:widowControl w:val="0"/>
              <w:kinsoku/>
              <w:wordWrap w:val="0"/>
              <w:overflowPunct/>
              <w:topLinePunct/>
              <w:autoSpaceDE/>
              <w:autoSpaceDN/>
              <w:bidi w:val="0"/>
              <w:spacing w:line="360" w:lineRule="auto"/>
              <w:textAlignment w:val="auto"/>
              <w:rPr>
                <w:rFonts w:hint="eastAsia" w:asciiTheme="minorEastAsia" w:hAnsiTheme="minorEastAsia" w:eastAsiaTheme="minorEastAsia" w:cstheme="minorEastAsia"/>
                <w:b/>
                <w:bCs/>
                <w:color w:val="auto"/>
                <w:kern w:val="0"/>
                <w:sz w:val="24"/>
                <w:szCs w:val="24"/>
                <w:highlight w:val="none"/>
                <w:lang w:val="en-US" w:eastAsia="zh-CN"/>
              </w:rPr>
            </w:pPr>
            <w:r>
              <w:rPr>
                <w:rFonts w:hint="eastAsia" w:asciiTheme="minorEastAsia" w:hAnsiTheme="minorEastAsia" w:eastAsiaTheme="minorEastAsia" w:cstheme="minorEastAsia"/>
                <w:b/>
                <w:bCs/>
                <w:color w:val="auto"/>
                <w:kern w:val="0"/>
                <w:sz w:val="24"/>
                <w:szCs w:val="24"/>
                <w:highlight w:val="none"/>
                <w:lang w:val="en-US" w:eastAsia="zh-CN"/>
              </w:rPr>
              <w:t>评标委员会启动异常低价投标（响应）审查后，属于前述第1项至第4项情形的，应当要求相关供应商在评审现场合理的时间内对投标（响应）价格作出解释，并提供项目具体成本测算等与报价合理性相关的书面说明及必要的证明材料，包括但不限于原材料成本、人工成本、制造费用等，给予相关供应商的合理时间一般不少于30 分钟。其中，属于第3 项情形，供应商已随投标（响应）文件一并提交相关书面说明及必要的证明材料的，在评审现场可不再重复提交。</w:t>
            </w:r>
          </w:p>
          <w:p w14:paraId="31D1D39F">
            <w:pPr>
              <w:keepNext w:val="0"/>
              <w:keepLines w:val="0"/>
              <w:pageBreakBefore w:val="0"/>
              <w:widowControl w:val="0"/>
              <w:kinsoku/>
              <w:wordWrap w:val="0"/>
              <w:overflowPunct/>
              <w:topLinePunct/>
              <w:autoSpaceDE/>
              <w:autoSpaceDN/>
              <w:bidi w:val="0"/>
              <w:spacing w:line="360" w:lineRule="auto"/>
              <w:textAlignment w:val="auto"/>
              <w:rPr>
                <w:rFonts w:hint="eastAsia" w:ascii="宋体" w:hAnsi="宋体" w:eastAsia="宋体" w:cs="宋体"/>
                <w:b/>
                <w:bCs/>
                <w:color w:val="auto"/>
                <w:sz w:val="24"/>
                <w:szCs w:val="24"/>
                <w:highlight w:val="none"/>
              </w:rPr>
            </w:pPr>
            <w:r>
              <w:rPr>
                <w:rFonts w:hint="eastAsia" w:asciiTheme="minorEastAsia" w:hAnsiTheme="minorEastAsia" w:eastAsiaTheme="minorEastAsia" w:cstheme="minorEastAsia"/>
                <w:b/>
                <w:bCs/>
                <w:color w:val="auto"/>
                <w:kern w:val="0"/>
                <w:sz w:val="24"/>
                <w:szCs w:val="24"/>
                <w:highlight w:val="none"/>
                <w:lang w:val="en-US" w:eastAsia="zh-CN"/>
              </w:rPr>
              <w:t>评标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标委员会应当将其作为无效投标（响应）处理。</w:t>
            </w:r>
          </w:p>
        </w:tc>
      </w:tr>
      <w:tr w14:paraId="452AE78F">
        <w:tblPrEx>
          <w:tblCellMar>
            <w:top w:w="0" w:type="dxa"/>
            <w:left w:w="108" w:type="dxa"/>
            <w:bottom w:w="0" w:type="dxa"/>
            <w:right w:w="108" w:type="dxa"/>
          </w:tblCellMar>
        </w:tblPrEx>
        <w:trPr>
          <w:trHeight w:val="209" w:hRule="atLeast"/>
          <w:jc w:val="center"/>
        </w:trPr>
        <w:tc>
          <w:tcPr>
            <w:tcW w:w="1093" w:type="dxa"/>
            <w:tcBorders>
              <w:top w:val="nil"/>
              <w:left w:val="single" w:color="auto" w:sz="4" w:space="0"/>
              <w:bottom w:val="single" w:color="auto" w:sz="4" w:space="0"/>
              <w:right w:val="single" w:color="auto" w:sz="4" w:space="0"/>
            </w:tcBorders>
            <w:noWrap w:val="0"/>
            <w:vAlign w:val="center"/>
          </w:tcPr>
          <w:p w14:paraId="1074E4A3">
            <w:pPr>
              <w:numPr>
                <w:ilvl w:val="0"/>
                <w:numId w:val="1"/>
              </w:numPr>
              <w:spacing w:line="460" w:lineRule="exact"/>
              <w:ind w:left="425" w:leftChars="0" w:hanging="425" w:firstLineChars="0"/>
              <w:jc w:val="center"/>
              <w:rPr>
                <w:rFonts w:hint="eastAsia" w:ascii="宋体" w:hAnsi="宋体" w:eastAsia="宋体" w:cs="宋体"/>
                <w:color w:val="auto"/>
                <w:sz w:val="24"/>
                <w:szCs w:val="24"/>
                <w:highlight w:val="none"/>
              </w:rPr>
            </w:pPr>
          </w:p>
        </w:tc>
        <w:tc>
          <w:tcPr>
            <w:tcW w:w="1689" w:type="dxa"/>
            <w:tcBorders>
              <w:top w:val="nil"/>
              <w:left w:val="nil"/>
              <w:bottom w:val="single" w:color="auto" w:sz="4" w:space="0"/>
              <w:right w:val="single" w:color="auto" w:sz="4" w:space="0"/>
            </w:tcBorders>
            <w:noWrap w:val="0"/>
            <w:vAlign w:val="center"/>
          </w:tcPr>
          <w:p w14:paraId="54AE49D3">
            <w:pPr>
              <w:keepLines/>
              <w:spacing w:line="360" w:lineRule="auto"/>
              <w:jc w:val="center"/>
              <w:rPr>
                <w:rFonts w:hint="eastAsia" w:asciiTheme="minorEastAsia" w:hAnsiTheme="minorEastAsia" w:eastAsiaTheme="minorEastAsia" w:cstheme="minorEastAsia"/>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rPr>
              <w:t>政府采购合同融资政策</w:t>
            </w:r>
          </w:p>
        </w:tc>
        <w:tc>
          <w:tcPr>
            <w:tcW w:w="6736" w:type="dxa"/>
            <w:tcBorders>
              <w:top w:val="nil"/>
              <w:left w:val="nil"/>
              <w:bottom w:val="single" w:color="auto" w:sz="4" w:space="0"/>
              <w:right w:val="single" w:color="auto" w:sz="4" w:space="0"/>
            </w:tcBorders>
            <w:noWrap w:val="0"/>
            <w:vAlign w:val="center"/>
          </w:tcPr>
          <w:p w14:paraId="23D14DDE">
            <w:pPr>
              <w:keepLines/>
              <w:spacing w:line="360" w:lineRule="auto"/>
              <w:ind w:firstLine="241" w:firstLineChars="100"/>
              <w:rPr>
                <w:rFonts w:hint="eastAsia" w:asciiTheme="minorEastAsia" w:hAnsiTheme="minorEastAsia" w:eastAsiaTheme="minorEastAsia" w:cstheme="minorEastAsia"/>
                <w:b/>
                <w:bCs/>
                <w:color w:val="auto"/>
                <w:kern w:val="0"/>
                <w:sz w:val="24"/>
                <w:szCs w:val="24"/>
                <w:highlight w:val="none"/>
                <w:lang w:val="en-US" w:eastAsia="zh-CN"/>
              </w:rPr>
            </w:pPr>
            <w:r>
              <w:rPr>
                <w:rFonts w:hint="eastAsia" w:ascii="宋体" w:hAnsi="宋体" w:eastAsia="宋体" w:cs="宋体"/>
                <w:b/>
                <w:bCs/>
                <w:color w:val="auto"/>
                <w:sz w:val="24"/>
                <w:szCs w:val="24"/>
                <w:highlight w:val="none"/>
              </w:rPr>
              <w:t>成交供应商成交后，如需融资，参照《河南省政府采购合同融资工作实施方案》（豫财购〔2017〕10号）执行。</w:t>
            </w:r>
          </w:p>
        </w:tc>
      </w:tr>
      <w:tr w14:paraId="2D758277">
        <w:tblPrEx>
          <w:tblCellMar>
            <w:top w:w="0" w:type="dxa"/>
            <w:left w:w="108" w:type="dxa"/>
            <w:bottom w:w="0" w:type="dxa"/>
            <w:right w:w="108" w:type="dxa"/>
          </w:tblCellMar>
        </w:tblPrEx>
        <w:trPr>
          <w:trHeight w:val="449" w:hRule="atLeast"/>
          <w:jc w:val="center"/>
        </w:trPr>
        <w:tc>
          <w:tcPr>
            <w:tcW w:w="1093" w:type="dxa"/>
            <w:tcBorders>
              <w:top w:val="single" w:color="auto" w:sz="4" w:space="0"/>
              <w:left w:val="single" w:color="auto" w:sz="4" w:space="0"/>
              <w:bottom w:val="single" w:color="auto" w:sz="4" w:space="0"/>
              <w:right w:val="single" w:color="auto" w:sz="4" w:space="0"/>
            </w:tcBorders>
            <w:noWrap w:val="0"/>
            <w:vAlign w:val="center"/>
          </w:tcPr>
          <w:p w14:paraId="2D44E036">
            <w:pPr>
              <w:numPr>
                <w:ilvl w:val="0"/>
                <w:numId w:val="1"/>
              </w:numPr>
              <w:spacing w:line="460" w:lineRule="exact"/>
              <w:ind w:left="425" w:leftChars="0" w:hanging="425" w:firstLineChars="0"/>
              <w:jc w:val="center"/>
              <w:rPr>
                <w:rFonts w:hint="eastAsia" w:ascii="宋体" w:hAnsi="宋体" w:eastAsia="宋体" w:cs="宋体"/>
                <w:color w:val="auto"/>
                <w:sz w:val="24"/>
                <w:szCs w:val="24"/>
                <w:highlight w:val="none"/>
              </w:rPr>
            </w:pPr>
          </w:p>
        </w:tc>
        <w:tc>
          <w:tcPr>
            <w:tcW w:w="1689" w:type="dxa"/>
            <w:tcBorders>
              <w:top w:val="single" w:color="auto" w:sz="4" w:space="0"/>
              <w:left w:val="nil"/>
              <w:bottom w:val="single" w:color="auto" w:sz="4" w:space="0"/>
              <w:right w:val="single" w:color="auto" w:sz="4" w:space="0"/>
            </w:tcBorders>
            <w:noWrap w:val="0"/>
            <w:vAlign w:val="center"/>
          </w:tcPr>
          <w:p w14:paraId="149F10E0">
            <w:pPr>
              <w:widowControl/>
              <w:spacing w:line="460" w:lineRule="exac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电子化交易</w:t>
            </w:r>
          </w:p>
          <w:p w14:paraId="7DAFC1BF">
            <w:pPr>
              <w:spacing w:line="4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注意事项</w:t>
            </w:r>
          </w:p>
        </w:tc>
        <w:tc>
          <w:tcPr>
            <w:tcW w:w="6736" w:type="dxa"/>
            <w:tcBorders>
              <w:top w:val="single" w:color="auto" w:sz="4" w:space="0"/>
              <w:left w:val="nil"/>
              <w:bottom w:val="single" w:color="auto" w:sz="4" w:space="0"/>
              <w:right w:val="single" w:color="auto" w:sz="4" w:space="0"/>
            </w:tcBorders>
            <w:noWrap w:val="0"/>
            <w:vAlign w:val="center"/>
          </w:tcPr>
          <w:p w14:paraId="7A8E976E">
            <w:pPr>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具体要求：本项目为电子化、无纸化交易项目，响应文件是供应商通过中心响应文件制作系统制作，并经过签章和加密后生成的电子版响应文件。</w:t>
            </w:r>
          </w:p>
          <w:p w14:paraId="2548F215">
            <w:pPr>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电子化响应文件具体制作文件请点击</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"http://t.cn/A6ZvtVob"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u w:val="single"/>
              </w:rPr>
              <w:t>https://download.bqpoint.com/download/downloaddetail.html?SourceFrom=Ztb&amp;ZtbSoftXiaQuCode=1506&amp;ZtbSoftType=tballinclusive</w:t>
            </w:r>
            <w:r>
              <w:rPr>
                <w:rFonts w:hint="eastAsia" w:ascii="宋体" w:hAnsi="宋体" w:eastAsia="宋体" w:cs="宋体"/>
                <w:color w:val="auto"/>
                <w:sz w:val="24"/>
                <w:szCs w:val="24"/>
                <w:highlight w:val="none"/>
                <w:u w:val="single"/>
              </w:rPr>
              <w:fldChar w:fldCharType="end"/>
            </w:r>
            <w:r>
              <w:rPr>
                <w:rFonts w:hint="eastAsia" w:ascii="宋体" w:hAnsi="宋体" w:eastAsia="宋体" w:cs="宋体"/>
                <w:color w:val="auto"/>
                <w:sz w:val="24"/>
                <w:szCs w:val="24"/>
                <w:highlight w:val="none"/>
              </w:rPr>
              <w:t>进行下载。</w:t>
            </w:r>
          </w:p>
          <w:p w14:paraId="3A5EDAD0">
            <w:pPr>
              <w:spacing w:line="440" w:lineRule="exac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温馨提示：本项目为电子化、无纸化交易项目，为保证您能投标成功，请需仔细阅读以下条款。</w:t>
            </w:r>
          </w:p>
          <w:p w14:paraId="20697B05">
            <w:pPr>
              <w:spacing w:line="44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一、电子化投标</w:t>
            </w:r>
          </w:p>
          <w:p w14:paraId="18F1C980">
            <w:pPr>
              <w:spacing w:line="440" w:lineRule="exact"/>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（一）网上磋商保证金的缴纳</w:t>
            </w:r>
          </w:p>
          <w:p w14:paraId="00EB9CE6">
            <w:pPr>
              <w:spacing w:line="440" w:lineRule="exact"/>
              <w:rPr>
                <w:rFonts w:hint="eastAsia" w:ascii="宋体" w:hAnsi="宋体" w:eastAsia="宋体" w:cs="宋体"/>
                <w:color w:val="auto"/>
                <w:spacing w:val="11"/>
                <w:sz w:val="24"/>
                <w:szCs w:val="24"/>
                <w:highlight w:val="none"/>
              </w:rPr>
            </w:pPr>
            <w:r>
              <w:rPr>
                <w:rFonts w:hint="eastAsia" w:ascii="宋体" w:hAnsi="宋体" w:eastAsia="宋体" w:cs="宋体"/>
                <w:color w:val="auto"/>
                <w:spacing w:val="11"/>
                <w:sz w:val="24"/>
                <w:szCs w:val="24"/>
                <w:highlight w:val="none"/>
              </w:rPr>
              <w:t>按照《河南省财政厅关于优化政府采购营商环境有关问题的通知》（豫财购[2019]4号文）的要求本项目不再收取磋商保证金。</w:t>
            </w:r>
          </w:p>
          <w:p w14:paraId="5D0AE4E2">
            <w:pPr>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（二）电子化响应文件的签章</w:t>
            </w:r>
          </w:p>
          <w:p w14:paraId="08C1FBEC">
            <w:pPr>
              <w:spacing w:line="440" w:lineRule="exact"/>
              <w:ind w:firstLine="120" w:firstLineChars="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1、供应商在生成电子化响应文件后，应对电子化响应文件进行签章，未进行签章的视为无效投标。</w:t>
            </w:r>
          </w:p>
          <w:p w14:paraId="136E3B15">
            <w:pPr>
              <w:spacing w:line="440" w:lineRule="exact"/>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b/>
                <w:color w:val="auto"/>
                <w:sz w:val="24"/>
                <w:szCs w:val="24"/>
                <w:highlight w:val="none"/>
              </w:rPr>
              <w:t>供应商在进行电子化响应文件签章时，竞争性磋商文件中要求供应商盖章的，以签盖单位章为准；要求法定代表人或委托代理人签章的，以签盖法定代表人签章为准。</w:t>
            </w:r>
          </w:p>
          <w:p w14:paraId="211F786A">
            <w:pPr>
              <w:spacing w:line="440" w:lineRule="exact"/>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（三）电子化响应文件的格式及上传投标</w:t>
            </w:r>
          </w:p>
          <w:p w14:paraId="047C175F">
            <w:pPr>
              <w:spacing w:line="440" w:lineRule="exact"/>
              <w:ind w:firstLine="120" w:firstLineChars="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供应商所上传的电子化响应文件，应是通过中心响应文件制作系统制作的（响应文件制作工具下载地址：https://download.bqpoint.com/download/downloaddetail.html?SourceFrom=Ztb&amp;ZtbSoftXiaQuCode=1506&amp;ZtbSoftType=tballinclusive），经过签章和加密后生成的电子版响应文件。其中包含用于响应文件上传的主文件（后缀为.smxtf）和用于应急补救的响应文件备份文件（后缀为.nsmxtf）。</w:t>
            </w:r>
          </w:p>
          <w:p w14:paraId="25D4D3B6">
            <w:pPr>
              <w:spacing w:line="440" w:lineRule="exact"/>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2、电子化响应文件应在投标截止时间前成功上传至三门峡市公共资源电子化交易系统。至投标截止时间止，仍未上传成功的电子化响应文件将不予接收。</w:t>
            </w:r>
          </w:p>
          <w:p w14:paraId="19F12D64">
            <w:pPr>
              <w:spacing w:line="440" w:lineRule="exact"/>
              <w:ind w:firstLine="241" w:firstLineChars="100"/>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注：</w:t>
            </w:r>
            <w:r>
              <w:rPr>
                <w:rFonts w:hint="eastAsia" w:ascii="宋体" w:hAnsi="宋体" w:eastAsia="宋体" w:cs="宋体"/>
                <w:color w:val="auto"/>
                <w:sz w:val="24"/>
                <w:szCs w:val="24"/>
                <w:highlight w:val="none"/>
              </w:rPr>
              <w:t>如按照电子化投标操作教材制作完成的电子化响应文件无法上传的，供应商应在</w:t>
            </w:r>
            <w:r>
              <w:rPr>
                <w:rFonts w:hint="eastAsia" w:ascii="宋体" w:hAnsi="宋体" w:eastAsia="宋体" w:cs="宋体"/>
                <w:b/>
                <w:color w:val="auto"/>
                <w:sz w:val="24"/>
                <w:szCs w:val="24"/>
                <w:highlight w:val="none"/>
              </w:rPr>
              <w:t>投标截止时间前尽早的</w:t>
            </w:r>
            <w:r>
              <w:rPr>
                <w:rFonts w:hint="eastAsia" w:ascii="宋体" w:hAnsi="宋体" w:eastAsia="宋体" w:cs="宋体"/>
                <w:color w:val="auto"/>
                <w:sz w:val="24"/>
                <w:szCs w:val="24"/>
                <w:highlight w:val="none"/>
              </w:rPr>
              <w:t>联系中心技术人员，以便有充分的时间进行处理。供应商应充分考虑到处理技术问题和上传数据等工作所需的时间问题，响应文件未在投标截止时间前成功上传的，其响应文件不予接收。</w:t>
            </w:r>
          </w:p>
          <w:p w14:paraId="0A86B8E8">
            <w:pPr>
              <w:spacing w:line="440" w:lineRule="exact"/>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技术联系电话：0398-3117871</w:t>
            </w:r>
          </w:p>
          <w:p w14:paraId="3F53E18A">
            <w:pPr>
              <w:spacing w:line="440" w:lineRule="exact"/>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新点客服电话：4009980000</w:t>
            </w:r>
          </w:p>
          <w:p w14:paraId="39C52772">
            <w:pPr>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（四）电子化项目开标、解密、唱标、评标</w:t>
            </w:r>
          </w:p>
          <w:p w14:paraId="2BCFD85C">
            <w:pPr>
              <w:spacing w:line="440" w:lineRule="exact"/>
              <w:ind w:firstLine="120" w:firstLineChars="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1、本项目采用</w:t>
            </w:r>
            <w:r>
              <w:rPr>
                <w:rFonts w:hint="eastAsia" w:ascii="宋体" w:hAnsi="宋体" w:eastAsia="宋体" w:cs="宋体"/>
                <w:b/>
                <w:color w:val="auto"/>
                <w:sz w:val="24"/>
                <w:szCs w:val="24"/>
                <w:highlight w:val="none"/>
              </w:rPr>
              <w:t>电子化、无纸化</w:t>
            </w:r>
            <w:r>
              <w:rPr>
                <w:rFonts w:hint="eastAsia" w:ascii="宋体" w:hAnsi="宋体" w:eastAsia="宋体" w:cs="宋体"/>
                <w:color w:val="auto"/>
                <w:sz w:val="24"/>
                <w:szCs w:val="24"/>
                <w:highlight w:val="none"/>
              </w:rPr>
              <w:t>进行招标，开标当日，供应商无需到开标现场参加开标会议，供应商应当在投标截止时间前，登陆不见面开标大厅选择登陆三门峡市公共资源电子招投标系统进行登陆（网址为http://120.194.249.36:10094/BidOpening/bidopeninghallaction/hall/login）,在线准时参加开标活动并进行响应文件解密等</w:t>
            </w:r>
          </w:p>
          <w:p w14:paraId="1B3287C0">
            <w:pPr>
              <w:spacing w:line="440" w:lineRule="exact"/>
              <w:ind w:firstLine="120" w:firstLineChars="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2、电子化响应文件采用一次加密方式。开标时，由供应商使用CA 证书，在规定时间内对其电子化响应文件进行解密。每位供应商的解密时间为开标时间起30 分钟内，如在规定时间内未完成解密的，其响应文件不予开标、唱标。</w:t>
            </w:r>
          </w:p>
          <w:p w14:paraId="6A6856FC">
            <w:pPr>
              <w:spacing w:line="440" w:lineRule="exact"/>
              <w:ind w:firstLine="120" w:firstLineChars="5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3、电子化响应文件解密异常的处理</w:t>
            </w:r>
          </w:p>
          <w:p w14:paraId="7DC736A1">
            <w:pPr>
              <w:spacing w:line="440" w:lineRule="exact"/>
              <w:ind w:firstLine="120" w:firstLineChars="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如出现供应商的电子响应文件无法解密等异常情况，供应商应及时致电中介服务机构说明。响应文件异常，按以下步骤进行处理：</w:t>
            </w:r>
          </w:p>
          <w:p w14:paraId="743D86A8">
            <w:pPr>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（1）首先由技术人员进行问题排查。</w:t>
            </w:r>
          </w:p>
          <w:p w14:paraId="0C7AA311">
            <w:pPr>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（2）经技术人员排查后，是供应商文件自身问题导致响应文件无法解密的，该响应文件将不予接收、解密和唱标。开标会议继续进行。</w:t>
            </w:r>
          </w:p>
          <w:p w14:paraId="7054613A">
            <w:pPr>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经技术人员排查后，如果是电子化交易系统问题造成响应文件无法解密的，将由技术人员对问题进行处理。如短时间内问题无法解决的，将由中介服务机构向监督部门申请，经监督部门同意后，暂停开标会议，待问题解决后继续开标。</w:t>
            </w:r>
          </w:p>
          <w:p w14:paraId="0C4279B3">
            <w:pPr>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4、待所有供应商响应文件解密完成后，由中介服务机构操作，对所有已解密响应文件进行唱标。</w:t>
            </w:r>
          </w:p>
          <w:p w14:paraId="428CFCA8">
            <w:pPr>
              <w:spacing w:line="440" w:lineRule="exac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供应商应保证在开标期间电话、电脑、网络能够正常工作，供应商因停电、电脑病毒、网络堵塞等原因，未在规定的解密时间内对响应文件进行解密的，其响应文件不予接收、唱标。</w:t>
            </w:r>
          </w:p>
          <w:p w14:paraId="43ECF472">
            <w:pPr>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评标时，评标委员会对电子化响应文件有质疑的，将通过电子化交易系统对供应商发起质疑，并在监督人员的监督下，用免提模式致电需要答复的供应商对质疑进行回复。供应商的回复文件必须以经过供应商和其法定代表人签章的PDF格式文件为准，并通过电子化交易系统提交至评标委员会。</w:t>
            </w:r>
          </w:p>
          <w:p w14:paraId="72A74FC8">
            <w:pPr>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6、如评标委员会对需要回复的供应商连续三次致电未接通的，视为供应商放弃回复，评标委员会将自行对需要回复的内容进行认定。</w:t>
            </w:r>
          </w:p>
          <w:p w14:paraId="65194C3E">
            <w:pPr>
              <w:spacing w:line="440" w:lineRule="exac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二、相关证书原件的提交</w:t>
            </w:r>
          </w:p>
          <w:p w14:paraId="602D0C96">
            <w:pPr>
              <w:spacing w:line="440" w:lineRule="exact"/>
              <w:ind w:firstLine="120" w:firstLineChars="5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本项目实行资格后审，</w:t>
            </w:r>
            <w:r>
              <w:rPr>
                <w:rFonts w:hint="eastAsia" w:ascii="宋体" w:hAnsi="宋体" w:eastAsia="宋体" w:cs="宋体"/>
                <w:b/>
                <w:color w:val="auto"/>
                <w:sz w:val="24"/>
                <w:szCs w:val="24"/>
                <w:highlight w:val="none"/>
              </w:rPr>
              <w:t>竞争性磋商文件中要求供应商提交相关资料原件的，供应商需将原件扫描件制作到电子响应文件中，涉及到资格审查、企业荣誉、人员业绩、企业业绩等计分部分时，以供应商自行上传到响应文件中的相应内容为准。</w:t>
            </w:r>
          </w:p>
          <w:p w14:paraId="5896436C">
            <w:pPr>
              <w:widowControl/>
              <w:spacing w:line="460" w:lineRule="exact"/>
              <w:ind w:firstLine="241" w:firstLineChars="100"/>
              <w:rPr>
                <w:rFonts w:hint="eastAsia" w:ascii="宋体" w:hAnsi="宋体" w:eastAsia="宋体" w:cs="宋体"/>
                <w:color w:val="auto"/>
                <w:kern w:val="0"/>
                <w:sz w:val="24"/>
                <w:szCs w:val="24"/>
                <w:highlight w:val="none"/>
                <w:shd w:val="clear" w:color="auto" w:fill="FFFFFF"/>
              </w:rPr>
            </w:pPr>
            <w:r>
              <w:rPr>
                <w:rFonts w:hint="eastAsia" w:ascii="宋体" w:hAnsi="宋体" w:eastAsia="宋体" w:cs="宋体"/>
                <w:b/>
                <w:color w:val="auto"/>
                <w:sz w:val="24"/>
                <w:szCs w:val="24"/>
                <w:highlight w:val="none"/>
              </w:rPr>
              <w:t>提示：本项目为电子化、无纸化交易项目，为保证您能投标成功，请需仔细阅读以上条款。</w:t>
            </w:r>
          </w:p>
        </w:tc>
      </w:tr>
      <w:tr w14:paraId="79D6AFDF">
        <w:tblPrEx>
          <w:tblCellMar>
            <w:top w:w="0" w:type="dxa"/>
            <w:left w:w="108" w:type="dxa"/>
            <w:bottom w:w="0" w:type="dxa"/>
            <w:right w:w="108" w:type="dxa"/>
          </w:tblCellMar>
        </w:tblPrEx>
        <w:trPr>
          <w:trHeight w:val="449" w:hRule="atLeast"/>
          <w:jc w:val="center"/>
        </w:trPr>
        <w:tc>
          <w:tcPr>
            <w:tcW w:w="1093" w:type="dxa"/>
            <w:tcBorders>
              <w:top w:val="single" w:color="auto" w:sz="4" w:space="0"/>
              <w:left w:val="single" w:color="auto" w:sz="4" w:space="0"/>
              <w:bottom w:val="single" w:color="auto" w:sz="4" w:space="0"/>
              <w:right w:val="single" w:color="auto" w:sz="4" w:space="0"/>
            </w:tcBorders>
            <w:noWrap w:val="0"/>
            <w:vAlign w:val="center"/>
          </w:tcPr>
          <w:p w14:paraId="55C5505F">
            <w:pPr>
              <w:numPr>
                <w:ilvl w:val="0"/>
                <w:numId w:val="1"/>
              </w:numPr>
              <w:spacing w:line="460" w:lineRule="exact"/>
              <w:ind w:left="425" w:leftChars="0" w:hanging="425" w:firstLineChars="0"/>
              <w:jc w:val="center"/>
              <w:rPr>
                <w:rFonts w:hint="eastAsia" w:ascii="宋体" w:hAnsi="宋体" w:eastAsia="宋体" w:cs="宋体"/>
                <w:color w:val="auto"/>
                <w:sz w:val="24"/>
                <w:szCs w:val="24"/>
                <w:highlight w:val="none"/>
              </w:rPr>
            </w:pPr>
          </w:p>
        </w:tc>
        <w:tc>
          <w:tcPr>
            <w:tcW w:w="1689" w:type="dxa"/>
            <w:tcBorders>
              <w:top w:val="single" w:color="auto" w:sz="4" w:space="0"/>
              <w:left w:val="nil"/>
              <w:bottom w:val="single" w:color="auto" w:sz="4" w:space="0"/>
              <w:right w:val="single" w:color="auto" w:sz="4" w:space="0"/>
            </w:tcBorders>
            <w:noWrap w:val="0"/>
            <w:vAlign w:val="center"/>
          </w:tcPr>
          <w:p w14:paraId="1A194A75">
            <w:pPr>
              <w:adjustRightInd w:val="0"/>
              <w:snapToGrid w:val="0"/>
              <w:spacing w:line="360"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其他</w:t>
            </w:r>
          </w:p>
        </w:tc>
        <w:tc>
          <w:tcPr>
            <w:tcW w:w="6736" w:type="dxa"/>
            <w:tcBorders>
              <w:top w:val="single" w:color="auto" w:sz="4" w:space="0"/>
              <w:left w:val="nil"/>
              <w:bottom w:val="single" w:color="auto" w:sz="4" w:space="0"/>
              <w:right w:val="single" w:color="auto" w:sz="4" w:space="0"/>
            </w:tcBorders>
            <w:noWrap w:val="0"/>
            <w:vAlign w:val="top"/>
          </w:tcPr>
          <w:p w14:paraId="5376621E">
            <w:pPr>
              <w:widowControl/>
              <w:spacing w:line="44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1、电子化响应文件应在投标截止时间前成功上传至三门</w:t>
            </w:r>
          </w:p>
          <w:p w14:paraId="3ECE4C43">
            <w:pPr>
              <w:widowControl/>
              <w:spacing w:line="44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峡市公共资源电子化交易系统。至投标截止时间止，仍未上传成功的电子化响应文件，将不予接受 。</w:t>
            </w:r>
          </w:p>
          <w:p w14:paraId="63EACEA5">
            <w:pPr>
              <w:widowControl/>
              <w:spacing w:line="44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2、成交人领取通知书时，须提供与上传电子版内容一致的纸质版响应文件二份，不得采用活页夹形式 。</w:t>
            </w:r>
          </w:p>
          <w:p w14:paraId="0FD5A45E">
            <w:pPr>
              <w:widowControl/>
              <w:spacing w:line="44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3、供应商成交后必须向采购人提供与所投相同的同质量、品质的服务。供应商必须在规定时间内对采购人进行服务，不得拖延。</w:t>
            </w:r>
          </w:p>
          <w:p w14:paraId="4BEB84EE">
            <w:pPr>
              <w:widowControl/>
              <w:spacing w:line="44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4、开标结束后请各供应商响应性文件中预留的电话保持</w:t>
            </w:r>
          </w:p>
          <w:p w14:paraId="164CDE7D">
            <w:pPr>
              <w:widowControl/>
              <w:spacing w:line="44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畅通，以方便提醒二次报价，未在规定时间内进行二次报价的按自动放弃处理。</w:t>
            </w:r>
          </w:p>
          <w:p w14:paraId="604D7A5F">
            <w:pPr>
              <w:widowControl/>
              <w:spacing w:line="440" w:lineRule="exact"/>
              <w:jc w:val="left"/>
              <w:rPr>
                <w:rFonts w:hint="eastAsia" w:ascii="宋体" w:hAnsi="宋体" w:eastAsia="宋体" w:cs="宋体"/>
                <w:b/>
                <w:color w:val="auto"/>
                <w:sz w:val="24"/>
                <w:szCs w:val="24"/>
                <w:highlight w:val="none"/>
              </w:rPr>
            </w:pPr>
            <w:r>
              <w:rPr>
                <w:rFonts w:hint="eastAsia" w:ascii="宋体" w:hAnsi="宋体" w:eastAsia="宋体" w:cs="宋体"/>
                <w:color w:val="auto"/>
                <w:kern w:val="0"/>
                <w:sz w:val="24"/>
                <w:szCs w:val="24"/>
                <w:highlight w:val="none"/>
              </w:rPr>
              <w:t>5、磋商文件的最终解释权归采购人。其它未尽事宜，按国家有关法律、法规执行。</w:t>
            </w:r>
          </w:p>
        </w:tc>
      </w:tr>
    </w:tbl>
    <w:p w14:paraId="09CDBC05">
      <w:pPr>
        <w:widowControl/>
        <w:spacing w:line="360" w:lineRule="auto"/>
        <w:jc w:val="center"/>
        <w:rPr>
          <w:rFonts w:hint="eastAsia" w:ascii="宋体" w:hAnsi="宋体" w:eastAsia="宋体" w:cs="宋体"/>
          <w:b/>
          <w:bCs/>
          <w:color w:val="auto"/>
          <w:kern w:val="0"/>
          <w:sz w:val="32"/>
          <w:szCs w:val="32"/>
          <w:highlight w:val="none"/>
          <w:shd w:val="clear" w:color="auto" w:fill="FFFFFF"/>
        </w:rPr>
      </w:pPr>
    </w:p>
    <w:p w14:paraId="20BDDE87">
      <w:pPr>
        <w:widowControl/>
        <w:spacing w:line="360" w:lineRule="auto"/>
        <w:jc w:val="center"/>
        <w:rPr>
          <w:rFonts w:hint="eastAsia" w:ascii="宋体" w:hAnsi="宋体" w:eastAsia="宋体" w:cs="宋体"/>
          <w:b/>
          <w:bCs/>
          <w:color w:val="auto"/>
          <w:kern w:val="0"/>
          <w:sz w:val="32"/>
          <w:szCs w:val="32"/>
          <w:highlight w:val="none"/>
          <w:shd w:val="clear" w:color="auto" w:fill="FFFFFF"/>
        </w:rPr>
      </w:pPr>
      <w:r>
        <w:rPr>
          <w:rFonts w:hint="eastAsia" w:ascii="宋体" w:hAnsi="宋体" w:eastAsia="宋体" w:cs="宋体"/>
          <w:b/>
          <w:bCs/>
          <w:color w:val="auto"/>
          <w:kern w:val="0"/>
          <w:sz w:val="32"/>
          <w:szCs w:val="32"/>
          <w:highlight w:val="none"/>
          <w:shd w:val="clear" w:color="auto" w:fill="FFFFFF"/>
        </w:rPr>
        <w:t>磋商响应供应商须知</w:t>
      </w:r>
    </w:p>
    <w:p w14:paraId="6A0F6BED">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1.总则</w:t>
      </w:r>
    </w:p>
    <w:p w14:paraId="49653B92">
      <w:pPr>
        <w:widowControl/>
        <w:kinsoku w:val="0"/>
        <w:autoSpaceDE w:val="0"/>
        <w:autoSpaceDN w:val="0"/>
        <w:adjustRightInd w:val="0"/>
        <w:snapToGrid w:val="0"/>
        <w:spacing w:line="360" w:lineRule="auto"/>
        <w:ind w:firstLine="486" w:firstLineChars="200"/>
        <w:jc w:val="left"/>
        <w:textAlignment w:val="baseline"/>
        <w:outlineLvl w:val="0"/>
        <w:rPr>
          <w:rFonts w:hint="eastAsia" w:ascii="宋体" w:hAnsi="宋体" w:eastAsia="宋体" w:cs="宋体"/>
          <w:b/>
          <w:snapToGrid w:val="0"/>
          <w:color w:val="auto"/>
          <w:kern w:val="0"/>
          <w:sz w:val="24"/>
          <w:szCs w:val="24"/>
          <w:highlight w:val="none"/>
        </w:rPr>
      </w:pPr>
      <w:bookmarkStart w:id="2" w:name="_Toc27752"/>
      <w:r>
        <w:rPr>
          <w:rFonts w:hint="eastAsia" w:ascii="宋体" w:hAnsi="宋体" w:eastAsia="宋体" w:cs="宋体"/>
          <w:b/>
          <w:bCs/>
          <w:snapToGrid w:val="0"/>
          <w:color w:val="auto"/>
          <w:spacing w:val="1"/>
          <w:kern w:val="0"/>
          <w:sz w:val="24"/>
          <w:szCs w:val="24"/>
          <w:highlight w:val="none"/>
        </w:rPr>
        <w:t>1.</w:t>
      </w:r>
      <w:r>
        <w:rPr>
          <w:rFonts w:hint="eastAsia" w:ascii="宋体" w:hAnsi="宋体" w:eastAsia="宋体" w:cs="宋体"/>
          <w:b/>
          <w:bCs/>
          <w:snapToGrid w:val="0"/>
          <w:color w:val="auto"/>
          <w:kern w:val="0"/>
          <w:sz w:val="24"/>
          <w:szCs w:val="24"/>
          <w:highlight w:val="none"/>
        </w:rPr>
        <w:t>1</w:t>
      </w:r>
      <w:r>
        <w:rPr>
          <w:rFonts w:hint="eastAsia" w:ascii="宋体" w:hAnsi="宋体" w:eastAsia="宋体" w:cs="宋体"/>
          <w:b/>
          <w:snapToGrid w:val="0"/>
          <w:color w:val="auto"/>
          <w:kern w:val="0"/>
          <w:sz w:val="24"/>
          <w:szCs w:val="24"/>
          <w:highlight w:val="none"/>
        </w:rPr>
        <w:t>项目概况</w:t>
      </w:r>
      <w:bookmarkEnd w:id="2"/>
    </w:p>
    <w:p w14:paraId="5547F2EC">
      <w:pPr>
        <w:widowControl/>
        <w:kinsoku w:val="0"/>
        <w:autoSpaceDE w:val="0"/>
        <w:autoSpaceDN w:val="0"/>
        <w:adjustRightInd w:val="0"/>
        <w:snapToGrid w:val="0"/>
        <w:spacing w:line="360" w:lineRule="auto"/>
        <w:ind w:left="37" w:right="24" w:firstLine="496" w:firstLineChars="200"/>
        <w:jc w:val="left"/>
        <w:textAlignment w:val="baseline"/>
        <w:rPr>
          <w:rFonts w:hint="eastAsia" w:ascii="宋体" w:hAnsi="宋体" w:eastAsia="宋体" w:cs="宋体"/>
          <w:snapToGrid w:val="0"/>
          <w:color w:val="auto"/>
          <w:spacing w:val="1"/>
          <w:kern w:val="0"/>
          <w:sz w:val="24"/>
          <w:szCs w:val="24"/>
          <w:highlight w:val="none"/>
        </w:rPr>
      </w:pPr>
      <w:r>
        <w:rPr>
          <w:rFonts w:hint="eastAsia" w:ascii="宋体" w:hAnsi="宋体" w:eastAsia="宋体" w:cs="宋体"/>
          <w:snapToGrid w:val="0"/>
          <w:color w:val="auto"/>
          <w:spacing w:val="4"/>
          <w:kern w:val="0"/>
          <w:sz w:val="24"/>
          <w:szCs w:val="24"/>
          <w:highlight w:val="none"/>
        </w:rPr>
        <w:t>1.1.1</w:t>
      </w:r>
      <w:r>
        <w:rPr>
          <w:rFonts w:hint="eastAsia" w:ascii="宋体" w:hAnsi="宋体" w:eastAsia="宋体" w:cs="宋体"/>
          <w:snapToGrid w:val="0"/>
          <w:color w:val="auto"/>
          <w:spacing w:val="2"/>
          <w:kern w:val="0"/>
          <w:sz w:val="24"/>
          <w:szCs w:val="24"/>
          <w:highlight w:val="none"/>
        </w:rPr>
        <w:t>本项目依据</w:t>
      </w:r>
      <w:r>
        <w:rPr>
          <w:rFonts w:hint="eastAsia" w:ascii="宋体" w:hAnsi="宋体" w:eastAsia="宋体" w:cs="宋体"/>
          <w:snapToGrid w:val="0"/>
          <w:color w:val="auto"/>
          <w:spacing w:val="-4"/>
          <w:kern w:val="0"/>
          <w:sz w:val="24"/>
          <w:szCs w:val="24"/>
          <w:highlight w:val="none"/>
        </w:rPr>
        <w:t>《中华人民共和国政府采购法》《中华人民共和国</w:t>
      </w:r>
      <w:r>
        <w:rPr>
          <w:rFonts w:hint="eastAsia" w:ascii="宋体" w:hAnsi="宋体" w:eastAsia="宋体" w:cs="宋体"/>
          <w:snapToGrid w:val="0"/>
          <w:color w:val="auto"/>
          <w:spacing w:val="-3"/>
          <w:kern w:val="0"/>
          <w:sz w:val="24"/>
          <w:szCs w:val="24"/>
          <w:highlight w:val="none"/>
        </w:rPr>
        <w:t>政</w:t>
      </w:r>
      <w:r>
        <w:rPr>
          <w:rFonts w:hint="eastAsia" w:ascii="宋体" w:hAnsi="宋体" w:eastAsia="宋体" w:cs="宋体"/>
          <w:snapToGrid w:val="0"/>
          <w:color w:val="auto"/>
          <w:spacing w:val="1"/>
          <w:kern w:val="0"/>
          <w:sz w:val="24"/>
          <w:szCs w:val="24"/>
          <w:highlight w:val="none"/>
        </w:rPr>
        <w:t>府采购法实施条例》</w:t>
      </w:r>
      <w:r>
        <w:rPr>
          <w:rFonts w:hint="eastAsia" w:ascii="宋体" w:hAnsi="宋体" w:eastAsia="宋体" w:cs="宋体"/>
          <w:color w:val="auto"/>
          <w:sz w:val="24"/>
          <w:szCs w:val="24"/>
          <w:highlight w:val="none"/>
        </w:rPr>
        <w:t>《政府采购竞争性磋商采购方式管理暂行办法》</w:t>
      </w:r>
      <w:r>
        <w:rPr>
          <w:rFonts w:hint="eastAsia" w:ascii="宋体" w:hAnsi="宋体" w:eastAsia="宋体" w:cs="宋体"/>
          <w:snapToGrid w:val="0"/>
          <w:color w:val="auto"/>
          <w:spacing w:val="1"/>
          <w:kern w:val="0"/>
          <w:sz w:val="24"/>
          <w:szCs w:val="24"/>
          <w:highlight w:val="none"/>
        </w:rPr>
        <w:t>等有关法律、法规和规章的规定</w:t>
      </w:r>
      <w:r>
        <w:rPr>
          <w:rFonts w:hint="eastAsia" w:ascii="宋体" w:hAnsi="宋体" w:eastAsia="宋体" w:cs="宋体"/>
          <w:snapToGrid w:val="0"/>
          <w:color w:val="auto"/>
          <w:spacing w:val="-7"/>
          <w:kern w:val="0"/>
          <w:sz w:val="24"/>
          <w:szCs w:val="24"/>
          <w:highlight w:val="none"/>
        </w:rPr>
        <w:t>，</w:t>
      </w:r>
      <w:r>
        <w:rPr>
          <w:rFonts w:hint="eastAsia" w:ascii="宋体" w:hAnsi="宋体" w:eastAsia="宋体" w:cs="宋体"/>
          <w:snapToGrid w:val="0"/>
          <w:color w:val="auto"/>
          <w:spacing w:val="2"/>
          <w:kern w:val="0"/>
          <w:sz w:val="24"/>
          <w:szCs w:val="24"/>
          <w:highlight w:val="none"/>
        </w:rPr>
        <w:t>本招</w:t>
      </w:r>
      <w:r>
        <w:rPr>
          <w:rFonts w:hint="eastAsia" w:ascii="宋体" w:hAnsi="宋体" w:eastAsia="宋体" w:cs="宋体"/>
          <w:snapToGrid w:val="0"/>
          <w:color w:val="auto"/>
          <w:spacing w:val="-5"/>
          <w:kern w:val="0"/>
          <w:sz w:val="24"/>
          <w:szCs w:val="24"/>
          <w:highlight w:val="none"/>
        </w:rPr>
        <w:t>标项目已具备招标条件，现对本项目进行磋商</w:t>
      </w:r>
      <w:r>
        <w:rPr>
          <w:rFonts w:hint="eastAsia" w:ascii="宋体" w:hAnsi="宋体" w:eastAsia="宋体" w:cs="宋体"/>
          <w:snapToGrid w:val="0"/>
          <w:color w:val="auto"/>
          <w:spacing w:val="-4"/>
          <w:kern w:val="0"/>
          <w:sz w:val="24"/>
          <w:szCs w:val="24"/>
          <w:highlight w:val="none"/>
        </w:rPr>
        <w:t>。</w:t>
      </w:r>
    </w:p>
    <w:p w14:paraId="2A778DD6">
      <w:pPr>
        <w:autoSpaceDE w:val="0"/>
        <w:autoSpaceDN w:val="0"/>
        <w:adjustRightInd w:val="0"/>
        <w:spacing w:line="360" w:lineRule="auto"/>
        <w:ind w:right="-20"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1.1.2采购人</w:t>
      </w:r>
      <w:r>
        <w:rPr>
          <w:rFonts w:hint="eastAsia" w:ascii="宋体" w:hAnsi="宋体" w:eastAsia="宋体" w:cs="宋体"/>
          <w:color w:val="auto"/>
          <w:spacing w:val="-2"/>
          <w:kern w:val="0"/>
          <w:sz w:val="24"/>
          <w:szCs w:val="24"/>
          <w:highlight w:val="none"/>
        </w:rPr>
        <w:t>：</w:t>
      </w:r>
      <w:r>
        <w:rPr>
          <w:rFonts w:hint="eastAsia" w:ascii="宋体" w:hAnsi="宋体" w:eastAsia="宋体" w:cs="宋体"/>
          <w:color w:val="auto"/>
          <w:kern w:val="0"/>
          <w:sz w:val="24"/>
          <w:szCs w:val="24"/>
          <w:highlight w:val="none"/>
        </w:rPr>
        <w:t>见</w:t>
      </w:r>
      <w:r>
        <w:rPr>
          <w:rFonts w:hint="eastAsia" w:ascii="宋体" w:hAnsi="宋体" w:eastAsia="宋体" w:cs="宋体"/>
          <w:color w:val="auto"/>
          <w:spacing w:val="-2"/>
          <w:kern w:val="0"/>
          <w:sz w:val="24"/>
          <w:szCs w:val="24"/>
          <w:highlight w:val="none"/>
        </w:rPr>
        <w:t>供应商须</w:t>
      </w:r>
      <w:r>
        <w:rPr>
          <w:rFonts w:hint="eastAsia" w:ascii="宋体" w:hAnsi="宋体" w:eastAsia="宋体" w:cs="宋体"/>
          <w:color w:val="auto"/>
          <w:kern w:val="0"/>
          <w:sz w:val="24"/>
          <w:szCs w:val="24"/>
          <w:highlight w:val="none"/>
        </w:rPr>
        <w:t>知前</w:t>
      </w:r>
      <w:r>
        <w:rPr>
          <w:rFonts w:hint="eastAsia" w:ascii="宋体" w:hAnsi="宋体" w:eastAsia="宋体" w:cs="宋体"/>
          <w:color w:val="auto"/>
          <w:spacing w:val="-2"/>
          <w:kern w:val="0"/>
          <w:sz w:val="24"/>
          <w:szCs w:val="24"/>
          <w:highlight w:val="none"/>
        </w:rPr>
        <w:t>附</w:t>
      </w:r>
      <w:r>
        <w:rPr>
          <w:rFonts w:hint="eastAsia" w:ascii="宋体" w:hAnsi="宋体" w:eastAsia="宋体" w:cs="宋体"/>
          <w:color w:val="auto"/>
          <w:kern w:val="0"/>
          <w:sz w:val="24"/>
          <w:szCs w:val="24"/>
          <w:highlight w:val="none"/>
        </w:rPr>
        <w:t>表。</w:t>
      </w:r>
    </w:p>
    <w:p w14:paraId="1C7138CC">
      <w:pPr>
        <w:autoSpaceDE w:val="0"/>
        <w:autoSpaceDN w:val="0"/>
        <w:adjustRightInd w:val="0"/>
        <w:spacing w:line="360" w:lineRule="auto"/>
        <w:ind w:right="-20"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1.1.3采购代</w:t>
      </w:r>
      <w:r>
        <w:rPr>
          <w:rFonts w:hint="eastAsia" w:ascii="宋体" w:hAnsi="宋体" w:eastAsia="宋体" w:cs="宋体"/>
          <w:color w:val="auto"/>
          <w:spacing w:val="-2"/>
          <w:kern w:val="0"/>
          <w:sz w:val="24"/>
          <w:szCs w:val="24"/>
          <w:highlight w:val="none"/>
        </w:rPr>
        <w:t>理</w:t>
      </w:r>
      <w:r>
        <w:rPr>
          <w:rFonts w:hint="eastAsia" w:ascii="宋体" w:hAnsi="宋体" w:eastAsia="宋体" w:cs="宋体"/>
          <w:color w:val="auto"/>
          <w:kern w:val="0"/>
          <w:sz w:val="24"/>
          <w:szCs w:val="24"/>
          <w:highlight w:val="none"/>
        </w:rPr>
        <w:t>机</w:t>
      </w:r>
      <w:r>
        <w:rPr>
          <w:rFonts w:hint="eastAsia" w:ascii="宋体" w:hAnsi="宋体" w:eastAsia="宋体" w:cs="宋体"/>
          <w:color w:val="auto"/>
          <w:spacing w:val="-2"/>
          <w:kern w:val="0"/>
          <w:sz w:val="24"/>
          <w:szCs w:val="24"/>
          <w:highlight w:val="none"/>
        </w:rPr>
        <w:t>构</w:t>
      </w:r>
      <w:r>
        <w:rPr>
          <w:rFonts w:hint="eastAsia" w:ascii="宋体" w:hAnsi="宋体" w:eastAsia="宋体" w:cs="宋体"/>
          <w:color w:val="auto"/>
          <w:kern w:val="0"/>
          <w:sz w:val="24"/>
          <w:szCs w:val="24"/>
          <w:highlight w:val="none"/>
        </w:rPr>
        <w:t>：</w:t>
      </w:r>
      <w:r>
        <w:rPr>
          <w:rFonts w:hint="eastAsia" w:ascii="宋体" w:hAnsi="宋体" w:eastAsia="宋体" w:cs="宋体"/>
          <w:color w:val="auto"/>
          <w:spacing w:val="-2"/>
          <w:kern w:val="0"/>
          <w:sz w:val="24"/>
          <w:szCs w:val="24"/>
          <w:highlight w:val="none"/>
        </w:rPr>
        <w:t>见供应商须</w:t>
      </w:r>
      <w:r>
        <w:rPr>
          <w:rFonts w:hint="eastAsia" w:ascii="宋体" w:hAnsi="宋体" w:eastAsia="宋体" w:cs="宋体"/>
          <w:color w:val="auto"/>
          <w:kern w:val="0"/>
          <w:sz w:val="24"/>
          <w:szCs w:val="24"/>
          <w:highlight w:val="none"/>
        </w:rPr>
        <w:t>知</w:t>
      </w:r>
      <w:r>
        <w:rPr>
          <w:rFonts w:hint="eastAsia" w:ascii="宋体" w:hAnsi="宋体" w:eastAsia="宋体" w:cs="宋体"/>
          <w:color w:val="auto"/>
          <w:spacing w:val="-2"/>
          <w:kern w:val="0"/>
          <w:sz w:val="24"/>
          <w:szCs w:val="24"/>
          <w:highlight w:val="none"/>
        </w:rPr>
        <w:t>前</w:t>
      </w:r>
      <w:r>
        <w:rPr>
          <w:rFonts w:hint="eastAsia" w:ascii="宋体" w:hAnsi="宋体" w:eastAsia="宋体" w:cs="宋体"/>
          <w:color w:val="auto"/>
          <w:kern w:val="0"/>
          <w:sz w:val="24"/>
          <w:szCs w:val="24"/>
          <w:highlight w:val="none"/>
        </w:rPr>
        <w:t>附</w:t>
      </w:r>
      <w:r>
        <w:rPr>
          <w:rFonts w:hint="eastAsia" w:ascii="宋体" w:hAnsi="宋体" w:eastAsia="宋体" w:cs="宋体"/>
          <w:color w:val="auto"/>
          <w:spacing w:val="-2"/>
          <w:kern w:val="0"/>
          <w:sz w:val="24"/>
          <w:szCs w:val="24"/>
          <w:highlight w:val="none"/>
        </w:rPr>
        <w:t>表</w:t>
      </w:r>
      <w:r>
        <w:rPr>
          <w:rFonts w:hint="eastAsia" w:ascii="宋体" w:hAnsi="宋体" w:eastAsia="宋体" w:cs="宋体"/>
          <w:color w:val="auto"/>
          <w:kern w:val="0"/>
          <w:sz w:val="24"/>
          <w:szCs w:val="24"/>
          <w:highlight w:val="none"/>
        </w:rPr>
        <w:t>。</w:t>
      </w:r>
    </w:p>
    <w:p w14:paraId="4CFDFB1F">
      <w:pPr>
        <w:autoSpaceDE w:val="0"/>
        <w:autoSpaceDN w:val="0"/>
        <w:adjustRightInd w:val="0"/>
        <w:spacing w:line="360" w:lineRule="auto"/>
        <w:ind w:right="-20"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1.1.4采购项</w:t>
      </w:r>
      <w:r>
        <w:rPr>
          <w:rFonts w:hint="eastAsia" w:ascii="宋体" w:hAnsi="宋体" w:eastAsia="宋体" w:cs="宋体"/>
          <w:color w:val="auto"/>
          <w:spacing w:val="-2"/>
          <w:kern w:val="0"/>
          <w:sz w:val="24"/>
          <w:szCs w:val="24"/>
          <w:highlight w:val="none"/>
        </w:rPr>
        <w:t>目</w:t>
      </w:r>
      <w:r>
        <w:rPr>
          <w:rFonts w:hint="eastAsia" w:ascii="宋体" w:hAnsi="宋体" w:eastAsia="宋体" w:cs="宋体"/>
          <w:color w:val="auto"/>
          <w:kern w:val="0"/>
          <w:sz w:val="24"/>
          <w:szCs w:val="24"/>
          <w:highlight w:val="none"/>
        </w:rPr>
        <w:t>名</w:t>
      </w:r>
      <w:r>
        <w:rPr>
          <w:rFonts w:hint="eastAsia" w:ascii="宋体" w:hAnsi="宋体" w:eastAsia="宋体" w:cs="宋体"/>
          <w:color w:val="auto"/>
          <w:spacing w:val="-2"/>
          <w:kern w:val="0"/>
          <w:sz w:val="24"/>
          <w:szCs w:val="24"/>
          <w:highlight w:val="none"/>
        </w:rPr>
        <w:t>称</w:t>
      </w:r>
      <w:r>
        <w:rPr>
          <w:rFonts w:hint="eastAsia" w:ascii="宋体" w:hAnsi="宋体" w:eastAsia="宋体" w:cs="宋体"/>
          <w:color w:val="auto"/>
          <w:kern w:val="0"/>
          <w:sz w:val="24"/>
          <w:szCs w:val="24"/>
          <w:highlight w:val="none"/>
        </w:rPr>
        <w:t>：</w:t>
      </w:r>
      <w:r>
        <w:rPr>
          <w:rFonts w:hint="eastAsia" w:ascii="宋体" w:hAnsi="宋体" w:eastAsia="宋体" w:cs="宋体"/>
          <w:color w:val="auto"/>
          <w:spacing w:val="-2"/>
          <w:kern w:val="0"/>
          <w:sz w:val="24"/>
          <w:szCs w:val="24"/>
          <w:highlight w:val="none"/>
        </w:rPr>
        <w:t>见供应商须</w:t>
      </w:r>
      <w:r>
        <w:rPr>
          <w:rFonts w:hint="eastAsia" w:ascii="宋体" w:hAnsi="宋体" w:eastAsia="宋体" w:cs="宋体"/>
          <w:color w:val="auto"/>
          <w:kern w:val="0"/>
          <w:sz w:val="24"/>
          <w:szCs w:val="24"/>
          <w:highlight w:val="none"/>
        </w:rPr>
        <w:t>知</w:t>
      </w:r>
      <w:r>
        <w:rPr>
          <w:rFonts w:hint="eastAsia" w:ascii="宋体" w:hAnsi="宋体" w:eastAsia="宋体" w:cs="宋体"/>
          <w:color w:val="auto"/>
          <w:spacing w:val="-2"/>
          <w:kern w:val="0"/>
          <w:sz w:val="24"/>
          <w:szCs w:val="24"/>
          <w:highlight w:val="none"/>
        </w:rPr>
        <w:t>前</w:t>
      </w:r>
      <w:r>
        <w:rPr>
          <w:rFonts w:hint="eastAsia" w:ascii="宋体" w:hAnsi="宋体" w:eastAsia="宋体" w:cs="宋体"/>
          <w:color w:val="auto"/>
          <w:kern w:val="0"/>
          <w:sz w:val="24"/>
          <w:szCs w:val="24"/>
          <w:highlight w:val="none"/>
        </w:rPr>
        <w:t>附</w:t>
      </w:r>
      <w:r>
        <w:rPr>
          <w:rFonts w:hint="eastAsia" w:ascii="宋体" w:hAnsi="宋体" w:eastAsia="宋体" w:cs="宋体"/>
          <w:color w:val="auto"/>
          <w:spacing w:val="-2"/>
          <w:kern w:val="0"/>
          <w:sz w:val="24"/>
          <w:szCs w:val="24"/>
          <w:highlight w:val="none"/>
        </w:rPr>
        <w:t>表</w:t>
      </w:r>
      <w:r>
        <w:rPr>
          <w:rFonts w:hint="eastAsia" w:ascii="宋体" w:hAnsi="宋体" w:eastAsia="宋体" w:cs="宋体"/>
          <w:color w:val="auto"/>
          <w:kern w:val="0"/>
          <w:sz w:val="24"/>
          <w:szCs w:val="24"/>
          <w:highlight w:val="none"/>
        </w:rPr>
        <w:t>。</w:t>
      </w:r>
    </w:p>
    <w:p w14:paraId="1B00B9D6">
      <w:pPr>
        <w:widowControl/>
        <w:kinsoku w:val="0"/>
        <w:autoSpaceDE w:val="0"/>
        <w:autoSpaceDN w:val="0"/>
        <w:adjustRightInd w:val="0"/>
        <w:snapToGrid w:val="0"/>
        <w:spacing w:line="360" w:lineRule="auto"/>
        <w:ind w:firstLine="472" w:firstLineChars="200"/>
        <w:jc w:val="left"/>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spacing w:val="-2"/>
          <w:kern w:val="0"/>
          <w:sz w:val="24"/>
          <w:szCs w:val="24"/>
          <w:highlight w:val="none"/>
        </w:rPr>
        <w:t>1.1.5政府</w:t>
      </w:r>
      <w:r>
        <w:rPr>
          <w:rFonts w:hint="eastAsia" w:ascii="宋体" w:hAnsi="宋体" w:eastAsia="宋体" w:cs="宋体"/>
          <w:snapToGrid w:val="0"/>
          <w:color w:val="auto"/>
          <w:spacing w:val="-1"/>
          <w:kern w:val="0"/>
          <w:sz w:val="24"/>
          <w:szCs w:val="24"/>
          <w:highlight w:val="none"/>
        </w:rPr>
        <w:t>采购政策：见供应商须知前附表</w:t>
      </w:r>
    </w:p>
    <w:p w14:paraId="51D97165">
      <w:pPr>
        <w:spacing w:line="360" w:lineRule="auto"/>
        <w:ind w:firstLine="478"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pacing w:val="-1"/>
          <w:sz w:val="24"/>
          <w:szCs w:val="24"/>
          <w:highlight w:val="none"/>
        </w:rPr>
        <w:t>1.2</w:t>
      </w:r>
      <w:r>
        <w:rPr>
          <w:rFonts w:hint="eastAsia" w:ascii="宋体" w:hAnsi="宋体" w:eastAsia="宋体" w:cs="宋体"/>
          <w:b/>
          <w:color w:val="auto"/>
          <w:spacing w:val="-1"/>
          <w:sz w:val="24"/>
          <w:szCs w:val="24"/>
          <w:highlight w:val="none"/>
        </w:rPr>
        <w:t>资</w:t>
      </w:r>
      <w:r>
        <w:rPr>
          <w:rFonts w:hint="eastAsia" w:ascii="宋体" w:hAnsi="宋体" w:eastAsia="宋体" w:cs="宋体"/>
          <w:b/>
          <w:color w:val="auto"/>
          <w:sz w:val="24"/>
          <w:szCs w:val="24"/>
          <w:highlight w:val="none"/>
        </w:rPr>
        <w:t>金来源和落实情况</w:t>
      </w:r>
    </w:p>
    <w:p w14:paraId="3A977E08">
      <w:pPr>
        <w:autoSpaceDE w:val="0"/>
        <w:autoSpaceDN w:val="0"/>
        <w:adjustRightInd w:val="0"/>
        <w:spacing w:line="360" w:lineRule="auto"/>
        <w:ind w:right="-20"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1.2.1资</w:t>
      </w:r>
      <w:r>
        <w:rPr>
          <w:rFonts w:hint="eastAsia" w:ascii="宋体" w:hAnsi="宋体" w:eastAsia="宋体" w:cs="宋体"/>
          <w:color w:val="auto"/>
          <w:spacing w:val="-2"/>
          <w:kern w:val="0"/>
          <w:sz w:val="24"/>
          <w:szCs w:val="24"/>
          <w:highlight w:val="none"/>
        </w:rPr>
        <w:t>金</w:t>
      </w:r>
      <w:r>
        <w:rPr>
          <w:rFonts w:hint="eastAsia" w:ascii="宋体" w:hAnsi="宋体" w:eastAsia="宋体" w:cs="宋体"/>
          <w:color w:val="auto"/>
          <w:kern w:val="0"/>
          <w:sz w:val="24"/>
          <w:szCs w:val="24"/>
          <w:highlight w:val="none"/>
        </w:rPr>
        <w:t>来</w:t>
      </w:r>
      <w:r>
        <w:rPr>
          <w:rFonts w:hint="eastAsia" w:ascii="宋体" w:hAnsi="宋体" w:eastAsia="宋体" w:cs="宋体"/>
          <w:color w:val="auto"/>
          <w:spacing w:val="-2"/>
          <w:kern w:val="0"/>
          <w:sz w:val="24"/>
          <w:szCs w:val="24"/>
          <w:highlight w:val="none"/>
        </w:rPr>
        <w:t>源</w:t>
      </w:r>
      <w:r>
        <w:rPr>
          <w:rFonts w:hint="eastAsia" w:ascii="宋体" w:hAnsi="宋体" w:eastAsia="宋体" w:cs="宋体"/>
          <w:color w:val="auto"/>
          <w:kern w:val="0"/>
          <w:sz w:val="24"/>
          <w:szCs w:val="24"/>
          <w:highlight w:val="none"/>
        </w:rPr>
        <w:t>及</w:t>
      </w:r>
      <w:r>
        <w:rPr>
          <w:rFonts w:hint="eastAsia" w:ascii="宋体" w:hAnsi="宋体" w:eastAsia="宋体" w:cs="宋体"/>
          <w:color w:val="auto"/>
          <w:spacing w:val="-2"/>
          <w:kern w:val="0"/>
          <w:sz w:val="24"/>
          <w:szCs w:val="24"/>
          <w:highlight w:val="none"/>
        </w:rPr>
        <w:t>比</w:t>
      </w:r>
      <w:r>
        <w:rPr>
          <w:rFonts w:hint="eastAsia" w:ascii="宋体" w:hAnsi="宋体" w:eastAsia="宋体" w:cs="宋体"/>
          <w:color w:val="auto"/>
          <w:kern w:val="0"/>
          <w:sz w:val="24"/>
          <w:szCs w:val="24"/>
          <w:highlight w:val="none"/>
        </w:rPr>
        <w:t>例</w:t>
      </w:r>
      <w:r>
        <w:rPr>
          <w:rFonts w:hint="eastAsia" w:ascii="宋体" w:hAnsi="宋体" w:eastAsia="宋体" w:cs="宋体"/>
          <w:color w:val="auto"/>
          <w:spacing w:val="-2"/>
          <w:kern w:val="0"/>
          <w:sz w:val="24"/>
          <w:szCs w:val="24"/>
          <w:highlight w:val="none"/>
        </w:rPr>
        <w:t>：见</w:t>
      </w:r>
      <w:r>
        <w:rPr>
          <w:rFonts w:hint="eastAsia" w:ascii="宋体" w:hAnsi="宋体" w:eastAsia="宋体" w:cs="宋体"/>
          <w:color w:val="auto"/>
          <w:kern w:val="0"/>
          <w:sz w:val="24"/>
          <w:szCs w:val="24"/>
          <w:highlight w:val="none"/>
        </w:rPr>
        <w:t>供应商须</w:t>
      </w:r>
      <w:r>
        <w:rPr>
          <w:rFonts w:hint="eastAsia" w:ascii="宋体" w:hAnsi="宋体" w:eastAsia="宋体" w:cs="宋体"/>
          <w:color w:val="auto"/>
          <w:spacing w:val="-2"/>
          <w:kern w:val="0"/>
          <w:sz w:val="24"/>
          <w:szCs w:val="24"/>
          <w:highlight w:val="none"/>
        </w:rPr>
        <w:t>知</w:t>
      </w:r>
      <w:r>
        <w:rPr>
          <w:rFonts w:hint="eastAsia" w:ascii="宋体" w:hAnsi="宋体" w:eastAsia="宋体" w:cs="宋体"/>
          <w:color w:val="auto"/>
          <w:kern w:val="0"/>
          <w:sz w:val="24"/>
          <w:szCs w:val="24"/>
          <w:highlight w:val="none"/>
        </w:rPr>
        <w:t>前</w:t>
      </w:r>
      <w:r>
        <w:rPr>
          <w:rFonts w:hint="eastAsia" w:ascii="宋体" w:hAnsi="宋体" w:eastAsia="宋体" w:cs="宋体"/>
          <w:color w:val="auto"/>
          <w:spacing w:val="-2"/>
          <w:kern w:val="0"/>
          <w:sz w:val="24"/>
          <w:szCs w:val="24"/>
          <w:highlight w:val="none"/>
        </w:rPr>
        <w:t>附</w:t>
      </w:r>
      <w:r>
        <w:rPr>
          <w:rFonts w:hint="eastAsia" w:ascii="宋体" w:hAnsi="宋体" w:eastAsia="宋体" w:cs="宋体"/>
          <w:color w:val="auto"/>
          <w:kern w:val="0"/>
          <w:sz w:val="24"/>
          <w:szCs w:val="24"/>
          <w:highlight w:val="none"/>
        </w:rPr>
        <w:t>表。</w:t>
      </w:r>
    </w:p>
    <w:p w14:paraId="3C33B59A">
      <w:pPr>
        <w:autoSpaceDE w:val="0"/>
        <w:autoSpaceDN w:val="0"/>
        <w:adjustRightInd w:val="0"/>
        <w:spacing w:line="360" w:lineRule="auto"/>
        <w:ind w:right="-20"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1.2.2资</w:t>
      </w:r>
      <w:r>
        <w:rPr>
          <w:rFonts w:hint="eastAsia" w:ascii="宋体" w:hAnsi="宋体" w:eastAsia="宋体" w:cs="宋体"/>
          <w:color w:val="auto"/>
          <w:spacing w:val="-2"/>
          <w:kern w:val="0"/>
          <w:sz w:val="24"/>
          <w:szCs w:val="24"/>
          <w:highlight w:val="none"/>
        </w:rPr>
        <w:t>金</w:t>
      </w:r>
      <w:r>
        <w:rPr>
          <w:rFonts w:hint="eastAsia" w:ascii="宋体" w:hAnsi="宋体" w:eastAsia="宋体" w:cs="宋体"/>
          <w:color w:val="auto"/>
          <w:kern w:val="0"/>
          <w:sz w:val="24"/>
          <w:szCs w:val="24"/>
          <w:highlight w:val="none"/>
        </w:rPr>
        <w:t>落</w:t>
      </w:r>
      <w:r>
        <w:rPr>
          <w:rFonts w:hint="eastAsia" w:ascii="宋体" w:hAnsi="宋体" w:eastAsia="宋体" w:cs="宋体"/>
          <w:color w:val="auto"/>
          <w:spacing w:val="-2"/>
          <w:kern w:val="0"/>
          <w:sz w:val="24"/>
          <w:szCs w:val="24"/>
          <w:highlight w:val="none"/>
        </w:rPr>
        <w:t>实</w:t>
      </w:r>
      <w:r>
        <w:rPr>
          <w:rFonts w:hint="eastAsia" w:ascii="宋体" w:hAnsi="宋体" w:eastAsia="宋体" w:cs="宋体"/>
          <w:color w:val="auto"/>
          <w:kern w:val="0"/>
          <w:sz w:val="24"/>
          <w:szCs w:val="24"/>
          <w:highlight w:val="none"/>
        </w:rPr>
        <w:t>情</w:t>
      </w:r>
      <w:r>
        <w:rPr>
          <w:rFonts w:hint="eastAsia" w:ascii="宋体" w:hAnsi="宋体" w:eastAsia="宋体" w:cs="宋体"/>
          <w:color w:val="auto"/>
          <w:spacing w:val="-2"/>
          <w:kern w:val="0"/>
          <w:sz w:val="24"/>
          <w:szCs w:val="24"/>
          <w:highlight w:val="none"/>
        </w:rPr>
        <w:t>况</w:t>
      </w:r>
      <w:r>
        <w:rPr>
          <w:rFonts w:hint="eastAsia" w:ascii="宋体" w:hAnsi="宋体" w:eastAsia="宋体" w:cs="宋体"/>
          <w:color w:val="auto"/>
          <w:kern w:val="0"/>
          <w:sz w:val="24"/>
          <w:szCs w:val="24"/>
          <w:highlight w:val="none"/>
        </w:rPr>
        <w:t>：</w:t>
      </w:r>
      <w:r>
        <w:rPr>
          <w:rFonts w:hint="eastAsia" w:ascii="宋体" w:hAnsi="宋体" w:eastAsia="宋体" w:cs="宋体"/>
          <w:color w:val="auto"/>
          <w:spacing w:val="-2"/>
          <w:kern w:val="0"/>
          <w:sz w:val="24"/>
          <w:szCs w:val="24"/>
          <w:highlight w:val="none"/>
        </w:rPr>
        <w:t>见供应商须</w:t>
      </w:r>
      <w:r>
        <w:rPr>
          <w:rFonts w:hint="eastAsia" w:ascii="宋体" w:hAnsi="宋体" w:eastAsia="宋体" w:cs="宋体"/>
          <w:color w:val="auto"/>
          <w:kern w:val="0"/>
          <w:sz w:val="24"/>
          <w:szCs w:val="24"/>
          <w:highlight w:val="none"/>
        </w:rPr>
        <w:t>知</w:t>
      </w:r>
      <w:r>
        <w:rPr>
          <w:rFonts w:hint="eastAsia" w:ascii="宋体" w:hAnsi="宋体" w:eastAsia="宋体" w:cs="宋体"/>
          <w:color w:val="auto"/>
          <w:spacing w:val="-2"/>
          <w:kern w:val="0"/>
          <w:sz w:val="24"/>
          <w:szCs w:val="24"/>
          <w:highlight w:val="none"/>
        </w:rPr>
        <w:t>前</w:t>
      </w:r>
      <w:r>
        <w:rPr>
          <w:rFonts w:hint="eastAsia" w:ascii="宋体" w:hAnsi="宋体" w:eastAsia="宋体" w:cs="宋体"/>
          <w:color w:val="auto"/>
          <w:kern w:val="0"/>
          <w:sz w:val="24"/>
          <w:szCs w:val="24"/>
          <w:highlight w:val="none"/>
        </w:rPr>
        <w:t>附</w:t>
      </w:r>
      <w:r>
        <w:rPr>
          <w:rFonts w:hint="eastAsia" w:ascii="宋体" w:hAnsi="宋体" w:eastAsia="宋体" w:cs="宋体"/>
          <w:color w:val="auto"/>
          <w:spacing w:val="-2"/>
          <w:kern w:val="0"/>
          <w:sz w:val="24"/>
          <w:szCs w:val="24"/>
          <w:highlight w:val="none"/>
        </w:rPr>
        <w:t>表</w:t>
      </w:r>
      <w:r>
        <w:rPr>
          <w:rFonts w:hint="eastAsia" w:ascii="宋体" w:hAnsi="宋体" w:eastAsia="宋体" w:cs="宋体"/>
          <w:color w:val="auto"/>
          <w:kern w:val="0"/>
          <w:sz w:val="24"/>
          <w:szCs w:val="24"/>
          <w:highlight w:val="none"/>
        </w:rPr>
        <w:t>。</w:t>
      </w:r>
    </w:p>
    <w:p w14:paraId="7B4E3D24">
      <w:pPr>
        <w:autoSpaceDE w:val="0"/>
        <w:autoSpaceDN w:val="0"/>
        <w:adjustRightInd w:val="0"/>
        <w:spacing w:line="360" w:lineRule="auto"/>
        <w:ind w:right="-20" w:firstLine="484" w:firstLineChars="200"/>
        <w:jc w:val="left"/>
        <w:rPr>
          <w:rFonts w:hint="eastAsia" w:ascii="宋体" w:hAnsi="宋体" w:eastAsia="宋体" w:cs="宋体"/>
          <w:color w:val="auto"/>
          <w:spacing w:val="1"/>
          <w:kern w:val="0"/>
          <w:sz w:val="24"/>
          <w:szCs w:val="24"/>
          <w:highlight w:val="none"/>
        </w:rPr>
      </w:pPr>
      <w:r>
        <w:rPr>
          <w:rFonts w:hint="eastAsia" w:ascii="宋体" w:hAnsi="宋体" w:eastAsia="宋体" w:cs="宋体"/>
          <w:color w:val="auto"/>
          <w:spacing w:val="1"/>
          <w:kern w:val="0"/>
          <w:sz w:val="24"/>
          <w:szCs w:val="24"/>
          <w:highlight w:val="none"/>
        </w:rPr>
        <w:t>1.2.3预算金额</w:t>
      </w:r>
      <w:r>
        <w:rPr>
          <w:rFonts w:hint="eastAsia" w:ascii="宋体" w:hAnsi="宋体" w:eastAsia="宋体" w:cs="宋体"/>
          <w:color w:val="auto"/>
          <w:kern w:val="0"/>
          <w:sz w:val="24"/>
          <w:szCs w:val="24"/>
          <w:highlight w:val="none"/>
        </w:rPr>
        <w:t>：</w:t>
      </w:r>
      <w:r>
        <w:rPr>
          <w:rFonts w:hint="eastAsia" w:ascii="宋体" w:hAnsi="宋体" w:eastAsia="宋体" w:cs="宋体"/>
          <w:color w:val="auto"/>
          <w:spacing w:val="-2"/>
          <w:kern w:val="0"/>
          <w:sz w:val="24"/>
          <w:szCs w:val="24"/>
          <w:highlight w:val="none"/>
        </w:rPr>
        <w:t>见供应商须</w:t>
      </w:r>
      <w:r>
        <w:rPr>
          <w:rFonts w:hint="eastAsia" w:ascii="宋体" w:hAnsi="宋体" w:eastAsia="宋体" w:cs="宋体"/>
          <w:color w:val="auto"/>
          <w:kern w:val="0"/>
          <w:sz w:val="24"/>
          <w:szCs w:val="24"/>
          <w:highlight w:val="none"/>
        </w:rPr>
        <w:t>知</w:t>
      </w:r>
      <w:r>
        <w:rPr>
          <w:rFonts w:hint="eastAsia" w:ascii="宋体" w:hAnsi="宋体" w:eastAsia="宋体" w:cs="宋体"/>
          <w:color w:val="auto"/>
          <w:spacing w:val="-2"/>
          <w:kern w:val="0"/>
          <w:sz w:val="24"/>
          <w:szCs w:val="24"/>
          <w:highlight w:val="none"/>
        </w:rPr>
        <w:t>前</w:t>
      </w:r>
      <w:r>
        <w:rPr>
          <w:rFonts w:hint="eastAsia" w:ascii="宋体" w:hAnsi="宋体" w:eastAsia="宋体" w:cs="宋体"/>
          <w:color w:val="auto"/>
          <w:kern w:val="0"/>
          <w:sz w:val="24"/>
          <w:szCs w:val="24"/>
          <w:highlight w:val="none"/>
        </w:rPr>
        <w:t>附</w:t>
      </w:r>
      <w:r>
        <w:rPr>
          <w:rFonts w:hint="eastAsia" w:ascii="宋体" w:hAnsi="宋体" w:eastAsia="宋体" w:cs="宋体"/>
          <w:color w:val="auto"/>
          <w:spacing w:val="-2"/>
          <w:kern w:val="0"/>
          <w:sz w:val="24"/>
          <w:szCs w:val="24"/>
          <w:highlight w:val="none"/>
        </w:rPr>
        <w:t>表</w:t>
      </w:r>
      <w:r>
        <w:rPr>
          <w:rFonts w:hint="eastAsia" w:ascii="宋体" w:hAnsi="宋体" w:eastAsia="宋体" w:cs="宋体"/>
          <w:color w:val="auto"/>
          <w:kern w:val="0"/>
          <w:sz w:val="24"/>
          <w:szCs w:val="24"/>
          <w:highlight w:val="none"/>
        </w:rPr>
        <w:t>。</w:t>
      </w:r>
    </w:p>
    <w:p w14:paraId="1E456BDD">
      <w:pPr>
        <w:autoSpaceDE w:val="0"/>
        <w:autoSpaceDN w:val="0"/>
        <w:adjustRightInd w:val="0"/>
        <w:spacing w:line="360" w:lineRule="auto"/>
        <w:ind w:right="-20" w:firstLine="486" w:firstLineChars="200"/>
        <w:jc w:val="left"/>
        <w:rPr>
          <w:rFonts w:hint="eastAsia" w:ascii="宋体" w:hAnsi="宋体" w:eastAsia="宋体" w:cs="宋体"/>
          <w:b/>
          <w:color w:val="auto"/>
          <w:kern w:val="0"/>
          <w:sz w:val="24"/>
          <w:szCs w:val="24"/>
          <w:highlight w:val="none"/>
        </w:rPr>
      </w:pPr>
      <w:r>
        <w:rPr>
          <w:rFonts w:hint="eastAsia" w:ascii="宋体" w:hAnsi="宋体" w:eastAsia="宋体" w:cs="宋体"/>
          <w:b/>
          <w:color w:val="auto"/>
          <w:spacing w:val="1"/>
          <w:kern w:val="0"/>
          <w:sz w:val="24"/>
          <w:szCs w:val="24"/>
          <w:highlight w:val="none"/>
        </w:rPr>
        <w:t>1</w:t>
      </w:r>
      <w:r>
        <w:rPr>
          <w:rFonts w:hint="eastAsia" w:ascii="宋体" w:hAnsi="宋体" w:eastAsia="宋体" w:cs="宋体"/>
          <w:b/>
          <w:color w:val="auto"/>
          <w:kern w:val="0"/>
          <w:sz w:val="24"/>
          <w:szCs w:val="24"/>
          <w:highlight w:val="none"/>
        </w:rPr>
        <w:t>.3采购范</w:t>
      </w:r>
      <w:r>
        <w:rPr>
          <w:rFonts w:hint="eastAsia" w:ascii="宋体" w:hAnsi="宋体" w:eastAsia="宋体" w:cs="宋体"/>
          <w:b/>
          <w:color w:val="auto"/>
          <w:spacing w:val="-3"/>
          <w:kern w:val="0"/>
          <w:sz w:val="24"/>
          <w:szCs w:val="24"/>
          <w:highlight w:val="none"/>
        </w:rPr>
        <w:t>围</w:t>
      </w:r>
      <w:r>
        <w:rPr>
          <w:rFonts w:hint="eastAsia" w:ascii="宋体" w:hAnsi="宋体" w:eastAsia="宋体" w:cs="宋体"/>
          <w:b/>
          <w:color w:val="auto"/>
          <w:kern w:val="0"/>
          <w:sz w:val="24"/>
          <w:szCs w:val="24"/>
          <w:highlight w:val="none"/>
        </w:rPr>
        <w:t>、服务地点</w:t>
      </w:r>
      <w:r>
        <w:rPr>
          <w:rFonts w:hint="eastAsia" w:ascii="宋体" w:hAnsi="宋体" w:eastAsia="宋体" w:cs="宋体"/>
          <w:b/>
          <w:color w:val="auto"/>
          <w:spacing w:val="-2"/>
          <w:kern w:val="0"/>
          <w:sz w:val="24"/>
          <w:szCs w:val="24"/>
          <w:highlight w:val="none"/>
        </w:rPr>
        <w:t>、</w:t>
      </w:r>
      <w:r>
        <w:rPr>
          <w:rFonts w:hint="eastAsia" w:ascii="宋体" w:hAnsi="宋体" w:eastAsia="宋体" w:cs="宋体"/>
          <w:b/>
          <w:color w:val="auto"/>
          <w:spacing w:val="-3"/>
          <w:kern w:val="0"/>
          <w:sz w:val="24"/>
          <w:szCs w:val="24"/>
          <w:highlight w:val="none"/>
        </w:rPr>
        <w:t>质量要求和履约验收</w:t>
      </w:r>
    </w:p>
    <w:p w14:paraId="61D8589F">
      <w:pPr>
        <w:autoSpaceDE w:val="0"/>
        <w:autoSpaceDN w:val="0"/>
        <w:adjustRightInd w:val="0"/>
        <w:spacing w:line="360" w:lineRule="auto"/>
        <w:ind w:right="-20"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1.3.1采购范</w:t>
      </w:r>
      <w:r>
        <w:rPr>
          <w:rFonts w:hint="eastAsia" w:ascii="宋体" w:hAnsi="宋体" w:eastAsia="宋体" w:cs="宋体"/>
          <w:color w:val="auto"/>
          <w:spacing w:val="-2"/>
          <w:kern w:val="0"/>
          <w:sz w:val="24"/>
          <w:szCs w:val="24"/>
          <w:highlight w:val="none"/>
        </w:rPr>
        <w:t>围</w:t>
      </w:r>
      <w:r>
        <w:rPr>
          <w:rFonts w:hint="eastAsia" w:ascii="宋体" w:hAnsi="宋体" w:eastAsia="宋体" w:cs="宋体"/>
          <w:color w:val="auto"/>
          <w:kern w:val="0"/>
          <w:sz w:val="24"/>
          <w:szCs w:val="24"/>
          <w:highlight w:val="none"/>
        </w:rPr>
        <w:t>：</w:t>
      </w:r>
      <w:r>
        <w:rPr>
          <w:rFonts w:hint="eastAsia" w:ascii="宋体" w:hAnsi="宋体" w:eastAsia="宋体" w:cs="宋体"/>
          <w:color w:val="auto"/>
          <w:spacing w:val="-2"/>
          <w:kern w:val="0"/>
          <w:sz w:val="24"/>
          <w:szCs w:val="24"/>
          <w:highlight w:val="none"/>
        </w:rPr>
        <w:t>见</w:t>
      </w:r>
      <w:r>
        <w:rPr>
          <w:rFonts w:hint="eastAsia" w:ascii="宋体" w:hAnsi="宋体" w:eastAsia="宋体" w:cs="宋体"/>
          <w:color w:val="auto"/>
          <w:kern w:val="0"/>
          <w:sz w:val="24"/>
          <w:szCs w:val="24"/>
          <w:highlight w:val="none"/>
        </w:rPr>
        <w:t>供应商须知</w:t>
      </w:r>
      <w:r>
        <w:rPr>
          <w:rFonts w:hint="eastAsia" w:ascii="宋体" w:hAnsi="宋体" w:eastAsia="宋体" w:cs="宋体"/>
          <w:color w:val="auto"/>
          <w:spacing w:val="-2"/>
          <w:kern w:val="0"/>
          <w:sz w:val="24"/>
          <w:szCs w:val="24"/>
          <w:highlight w:val="none"/>
        </w:rPr>
        <w:t>前</w:t>
      </w:r>
      <w:r>
        <w:rPr>
          <w:rFonts w:hint="eastAsia" w:ascii="宋体" w:hAnsi="宋体" w:eastAsia="宋体" w:cs="宋体"/>
          <w:color w:val="auto"/>
          <w:kern w:val="0"/>
          <w:sz w:val="24"/>
          <w:szCs w:val="24"/>
          <w:highlight w:val="none"/>
        </w:rPr>
        <w:t>附</w:t>
      </w:r>
      <w:r>
        <w:rPr>
          <w:rFonts w:hint="eastAsia" w:ascii="宋体" w:hAnsi="宋体" w:eastAsia="宋体" w:cs="宋体"/>
          <w:color w:val="auto"/>
          <w:spacing w:val="-2"/>
          <w:kern w:val="0"/>
          <w:sz w:val="24"/>
          <w:szCs w:val="24"/>
          <w:highlight w:val="none"/>
        </w:rPr>
        <w:t>表</w:t>
      </w:r>
      <w:r>
        <w:rPr>
          <w:rFonts w:hint="eastAsia" w:ascii="宋体" w:hAnsi="宋体" w:eastAsia="宋体" w:cs="宋体"/>
          <w:color w:val="auto"/>
          <w:kern w:val="0"/>
          <w:sz w:val="24"/>
          <w:szCs w:val="24"/>
          <w:highlight w:val="none"/>
        </w:rPr>
        <w:t>。</w:t>
      </w:r>
    </w:p>
    <w:p w14:paraId="34C155F3">
      <w:pPr>
        <w:spacing w:line="360" w:lineRule="auto"/>
        <w:ind w:firstLine="480" w:firstLineChars="200"/>
        <w:rPr>
          <w:rFonts w:hint="eastAsia" w:ascii="宋体" w:hAnsi="宋体" w:eastAsia="宋体" w:cs="宋体"/>
          <w:b/>
          <w:bCs/>
          <w:color w:val="auto"/>
          <w:sz w:val="24"/>
          <w:szCs w:val="24"/>
          <w:highlight w:val="none"/>
        </w:rPr>
      </w:pPr>
      <w:r>
        <w:rPr>
          <w:rFonts w:hint="eastAsia" w:ascii="宋体" w:hAnsi="宋体" w:eastAsia="宋体" w:cs="宋体"/>
          <w:color w:val="auto"/>
          <w:kern w:val="0"/>
          <w:sz w:val="24"/>
          <w:szCs w:val="24"/>
          <w:highlight w:val="none"/>
        </w:rPr>
        <w:t>1.3.2服务地点：</w:t>
      </w:r>
      <w:r>
        <w:rPr>
          <w:rFonts w:hint="eastAsia" w:ascii="宋体" w:hAnsi="宋体" w:eastAsia="宋体" w:cs="宋体"/>
          <w:color w:val="auto"/>
          <w:spacing w:val="-2"/>
          <w:kern w:val="0"/>
          <w:sz w:val="24"/>
          <w:szCs w:val="24"/>
          <w:highlight w:val="none"/>
        </w:rPr>
        <w:t>见</w:t>
      </w:r>
      <w:r>
        <w:rPr>
          <w:rFonts w:hint="eastAsia" w:ascii="宋体" w:hAnsi="宋体" w:eastAsia="宋体" w:cs="宋体"/>
          <w:color w:val="auto"/>
          <w:kern w:val="0"/>
          <w:sz w:val="24"/>
          <w:szCs w:val="24"/>
          <w:highlight w:val="none"/>
        </w:rPr>
        <w:t>供应商须知</w:t>
      </w:r>
      <w:r>
        <w:rPr>
          <w:rFonts w:hint="eastAsia" w:ascii="宋体" w:hAnsi="宋体" w:eastAsia="宋体" w:cs="宋体"/>
          <w:color w:val="auto"/>
          <w:spacing w:val="-2"/>
          <w:kern w:val="0"/>
          <w:sz w:val="24"/>
          <w:szCs w:val="24"/>
          <w:highlight w:val="none"/>
        </w:rPr>
        <w:t>前</w:t>
      </w:r>
      <w:r>
        <w:rPr>
          <w:rFonts w:hint="eastAsia" w:ascii="宋体" w:hAnsi="宋体" w:eastAsia="宋体" w:cs="宋体"/>
          <w:color w:val="auto"/>
          <w:kern w:val="0"/>
          <w:sz w:val="24"/>
          <w:szCs w:val="24"/>
          <w:highlight w:val="none"/>
        </w:rPr>
        <w:t>附</w:t>
      </w:r>
      <w:r>
        <w:rPr>
          <w:rFonts w:hint="eastAsia" w:ascii="宋体" w:hAnsi="宋体" w:eastAsia="宋体" w:cs="宋体"/>
          <w:color w:val="auto"/>
          <w:spacing w:val="-2"/>
          <w:kern w:val="0"/>
          <w:sz w:val="24"/>
          <w:szCs w:val="24"/>
          <w:highlight w:val="none"/>
        </w:rPr>
        <w:t>表</w:t>
      </w:r>
      <w:r>
        <w:rPr>
          <w:rFonts w:hint="eastAsia" w:ascii="宋体" w:hAnsi="宋体" w:eastAsia="宋体" w:cs="宋体"/>
          <w:color w:val="auto"/>
          <w:kern w:val="0"/>
          <w:sz w:val="24"/>
          <w:szCs w:val="24"/>
          <w:highlight w:val="none"/>
        </w:rPr>
        <w:t>。</w:t>
      </w:r>
    </w:p>
    <w:p w14:paraId="20A1C62F">
      <w:pPr>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bCs/>
          <w:color w:val="auto"/>
          <w:sz w:val="24"/>
          <w:szCs w:val="24"/>
          <w:highlight w:val="none"/>
        </w:rPr>
        <w:t>1.3.3</w:t>
      </w:r>
      <w:r>
        <w:rPr>
          <w:rFonts w:hint="eastAsia" w:ascii="宋体" w:hAnsi="宋体" w:eastAsia="宋体" w:cs="宋体"/>
          <w:color w:val="auto"/>
          <w:sz w:val="24"/>
          <w:szCs w:val="24"/>
          <w:highlight w:val="none"/>
        </w:rPr>
        <w:t>质量要求：</w:t>
      </w:r>
      <w:r>
        <w:rPr>
          <w:rFonts w:hint="eastAsia" w:ascii="宋体" w:hAnsi="宋体" w:eastAsia="宋体" w:cs="宋体"/>
          <w:color w:val="auto"/>
          <w:kern w:val="0"/>
          <w:sz w:val="24"/>
          <w:szCs w:val="24"/>
          <w:highlight w:val="none"/>
        </w:rPr>
        <w:t>见</w:t>
      </w:r>
      <w:r>
        <w:rPr>
          <w:rFonts w:hint="eastAsia" w:ascii="宋体" w:hAnsi="宋体" w:eastAsia="宋体" w:cs="宋体"/>
          <w:color w:val="auto"/>
          <w:spacing w:val="-2"/>
          <w:kern w:val="0"/>
          <w:sz w:val="24"/>
          <w:szCs w:val="24"/>
          <w:highlight w:val="none"/>
        </w:rPr>
        <w:t>供应商须</w:t>
      </w:r>
      <w:r>
        <w:rPr>
          <w:rFonts w:hint="eastAsia" w:ascii="宋体" w:hAnsi="宋体" w:eastAsia="宋体" w:cs="宋体"/>
          <w:color w:val="auto"/>
          <w:kern w:val="0"/>
          <w:sz w:val="24"/>
          <w:szCs w:val="24"/>
          <w:highlight w:val="none"/>
        </w:rPr>
        <w:t>知前</w:t>
      </w:r>
      <w:r>
        <w:rPr>
          <w:rFonts w:hint="eastAsia" w:ascii="宋体" w:hAnsi="宋体" w:eastAsia="宋体" w:cs="宋体"/>
          <w:color w:val="auto"/>
          <w:spacing w:val="-2"/>
          <w:kern w:val="0"/>
          <w:sz w:val="24"/>
          <w:szCs w:val="24"/>
          <w:highlight w:val="none"/>
        </w:rPr>
        <w:t>附</w:t>
      </w:r>
      <w:r>
        <w:rPr>
          <w:rFonts w:hint="eastAsia" w:ascii="宋体" w:hAnsi="宋体" w:eastAsia="宋体" w:cs="宋体"/>
          <w:color w:val="auto"/>
          <w:kern w:val="0"/>
          <w:sz w:val="24"/>
          <w:szCs w:val="24"/>
          <w:highlight w:val="none"/>
        </w:rPr>
        <w:t>表。</w:t>
      </w:r>
    </w:p>
    <w:p w14:paraId="7979666C">
      <w:pPr>
        <w:spacing w:line="360" w:lineRule="auto"/>
        <w:ind w:firstLine="484" w:firstLineChars="200"/>
        <w:rPr>
          <w:rFonts w:hint="eastAsia" w:ascii="宋体" w:hAnsi="宋体" w:eastAsia="宋体" w:cs="宋体"/>
          <w:color w:val="auto"/>
          <w:spacing w:val="1"/>
          <w:kern w:val="0"/>
          <w:sz w:val="24"/>
          <w:szCs w:val="24"/>
          <w:highlight w:val="none"/>
        </w:rPr>
      </w:pPr>
      <w:r>
        <w:rPr>
          <w:rFonts w:hint="eastAsia" w:ascii="宋体" w:hAnsi="宋体" w:eastAsia="宋体" w:cs="宋体"/>
          <w:color w:val="auto"/>
          <w:spacing w:val="1"/>
          <w:kern w:val="0"/>
          <w:sz w:val="24"/>
          <w:szCs w:val="24"/>
          <w:highlight w:val="none"/>
        </w:rPr>
        <w:t>1.3.4履约验收：见供应商须知前附表。</w:t>
      </w:r>
    </w:p>
    <w:p w14:paraId="0FC839DE">
      <w:pPr>
        <w:spacing w:line="360" w:lineRule="auto"/>
        <w:ind w:firstLine="486" w:firstLineChars="200"/>
        <w:rPr>
          <w:rFonts w:hint="eastAsia" w:ascii="宋体" w:hAnsi="宋体" w:eastAsia="宋体" w:cs="宋体"/>
          <w:b/>
          <w:color w:val="auto"/>
          <w:kern w:val="0"/>
          <w:sz w:val="24"/>
          <w:szCs w:val="24"/>
          <w:highlight w:val="none"/>
        </w:rPr>
      </w:pPr>
      <w:r>
        <w:rPr>
          <w:rFonts w:hint="eastAsia" w:ascii="宋体" w:hAnsi="宋体" w:eastAsia="宋体" w:cs="宋体"/>
          <w:b/>
          <w:color w:val="auto"/>
          <w:spacing w:val="1"/>
          <w:kern w:val="0"/>
          <w:sz w:val="24"/>
          <w:szCs w:val="24"/>
          <w:highlight w:val="none"/>
        </w:rPr>
        <w:t>1</w:t>
      </w:r>
      <w:r>
        <w:rPr>
          <w:rFonts w:hint="eastAsia" w:ascii="宋体" w:hAnsi="宋体" w:eastAsia="宋体" w:cs="宋体"/>
          <w:b/>
          <w:color w:val="auto"/>
          <w:kern w:val="0"/>
          <w:sz w:val="24"/>
          <w:szCs w:val="24"/>
          <w:highlight w:val="none"/>
        </w:rPr>
        <w:t>.4供应商</w:t>
      </w:r>
      <w:r>
        <w:rPr>
          <w:rFonts w:hint="eastAsia" w:ascii="宋体" w:hAnsi="宋体" w:eastAsia="宋体" w:cs="宋体"/>
          <w:b/>
          <w:color w:val="auto"/>
          <w:spacing w:val="-3"/>
          <w:kern w:val="0"/>
          <w:sz w:val="24"/>
          <w:szCs w:val="24"/>
          <w:highlight w:val="none"/>
        </w:rPr>
        <w:t>资</w:t>
      </w:r>
      <w:r>
        <w:rPr>
          <w:rFonts w:hint="eastAsia" w:ascii="宋体" w:hAnsi="宋体" w:eastAsia="宋体" w:cs="宋体"/>
          <w:b/>
          <w:color w:val="auto"/>
          <w:kern w:val="0"/>
          <w:sz w:val="24"/>
          <w:szCs w:val="24"/>
          <w:highlight w:val="none"/>
        </w:rPr>
        <w:t>格要求</w:t>
      </w:r>
    </w:p>
    <w:p w14:paraId="43252BFB">
      <w:pPr>
        <w:autoSpaceDE w:val="0"/>
        <w:autoSpaceDN w:val="0"/>
        <w:adjustRightInd w:val="0"/>
        <w:spacing w:line="360" w:lineRule="auto"/>
        <w:ind w:right="-20"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1.4.1供应商</w:t>
      </w:r>
      <w:r>
        <w:rPr>
          <w:rFonts w:hint="eastAsia" w:ascii="宋体" w:hAnsi="宋体" w:eastAsia="宋体" w:cs="宋体"/>
          <w:color w:val="auto"/>
          <w:spacing w:val="-2"/>
          <w:kern w:val="0"/>
          <w:sz w:val="24"/>
          <w:szCs w:val="24"/>
          <w:highlight w:val="none"/>
        </w:rPr>
        <w:t>应</w:t>
      </w:r>
      <w:r>
        <w:rPr>
          <w:rFonts w:hint="eastAsia" w:ascii="宋体" w:hAnsi="宋体" w:eastAsia="宋体" w:cs="宋体"/>
          <w:color w:val="auto"/>
          <w:kern w:val="0"/>
          <w:sz w:val="24"/>
          <w:szCs w:val="24"/>
          <w:highlight w:val="none"/>
        </w:rPr>
        <w:t>具</w:t>
      </w:r>
      <w:r>
        <w:rPr>
          <w:rFonts w:hint="eastAsia" w:ascii="宋体" w:hAnsi="宋体" w:eastAsia="宋体" w:cs="宋体"/>
          <w:color w:val="auto"/>
          <w:spacing w:val="-2"/>
          <w:kern w:val="0"/>
          <w:sz w:val="24"/>
          <w:szCs w:val="24"/>
          <w:highlight w:val="none"/>
        </w:rPr>
        <w:t>备</w:t>
      </w:r>
      <w:r>
        <w:rPr>
          <w:rFonts w:hint="eastAsia" w:ascii="宋体" w:hAnsi="宋体" w:eastAsia="宋体" w:cs="宋体"/>
          <w:color w:val="auto"/>
          <w:kern w:val="0"/>
          <w:sz w:val="24"/>
          <w:szCs w:val="24"/>
          <w:highlight w:val="none"/>
        </w:rPr>
        <w:t>承</w:t>
      </w:r>
      <w:r>
        <w:rPr>
          <w:rFonts w:hint="eastAsia" w:ascii="宋体" w:hAnsi="宋体" w:eastAsia="宋体" w:cs="宋体"/>
          <w:color w:val="auto"/>
          <w:spacing w:val="-2"/>
          <w:kern w:val="0"/>
          <w:sz w:val="24"/>
          <w:szCs w:val="24"/>
          <w:highlight w:val="none"/>
        </w:rPr>
        <w:t>担本</w:t>
      </w:r>
      <w:r>
        <w:rPr>
          <w:rFonts w:hint="eastAsia" w:ascii="宋体" w:hAnsi="宋体" w:eastAsia="宋体" w:cs="宋体"/>
          <w:color w:val="auto"/>
          <w:kern w:val="0"/>
          <w:sz w:val="24"/>
          <w:szCs w:val="24"/>
          <w:highlight w:val="none"/>
        </w:rPr>
        <w:t>招标</w:t>
      </w:r>
      <w:r>
        <w:rPr>
          <w:rFonts w:hint="eastAsia" w:ascii="宋体" w:hAnsi="宋体" w:eastAsia="宋体" w:cs="宋体"/>
          <w:color w:val="auto"/>
          <w:spacing w:val="-2"/>
          <w:kern w:val="0"/>
          <w:sz w:val="24"/>
          <w:szCs w:val="24"/>
          <w:highlight w:val="none"/>
        </w:rPr>
        <w:t>项</w:t>
      </w:r>
      <w:r>
        <w:rPr>
          <w:rFonts w:hint="eastAsia" w:ascii="宋体" w:hAnsi="宋体" w:eastAsia="宋体" w:cs="宋体"/>
          <w:color w:val="auto"/>
          <w:kern w:val="0"/>
          <w:sz w:val="24"/>
          <w:szCs w:val="24"/>
          <w:highlight w:val="none"/>
        </w:rPr>
        <w:t>目</w:t>
      </w:r>
      <w:r>
        <w:rPr>
          <w:rFonts w:hint="eastAsia" w:ascii="宋体" w:hAnsi="宋体" w:eastAsia="宋体" w:cs="宋体"/>
          <w:color w:val="auto"/>
          <w:spacing w:val="-2"/>
          <w:kern w:val="0"/>
          <w:sz w:val="24"/>
          <w:szCs w:val="24"/>
          <w:highlight w:val="none"/>
        </w:rPr>
        <w:t>资</w:t>
      </w:r>
      <w:r>
        <w:rPr>
          <w:rFonts w:hint="eastAsia" w:ascii="宋体" w:hAnsi="宋体" w:eastAsia="宋体" w:cs="宋体"/>
          <w:color w:val="auto"/>
          <w:kern w:val="0"/>
          <w:sz w:val="24"/>
          <w:szCs w:val="24"/>
          <w:highlight w:val="none"/>
        </w:rPr>
        <w:t>质</w:t>
      </w:r>
      <w:r>
        <w:rPr>
          <w:rFonts w:hint="eastAsia" w:ascii="宋体" w:hAnsi="宋体" w:eastAsia="宋体" w:cs="宋体"/>
          <w:color w:val="auto"/>
          <w:spacing w:val="-2"/>
          <w:kern w:val="0"/>
          <w:sz w:val="24"/>
          <w:szCs w:val="24"/>
          <w:highlight w:val="none"/>
        </w:rPr>
        <w:t>条</w:t>
      </w:r>
      <w:r>
        <w:rPr>
          <w:rFonts w:hint="eastAsia" w:ascii="宋体" w:hAnsi="宋体" w:eastAsia="宋体" w:cs="宋体"/>
          <w:color w:val="auto"/>
          <w:kern w:val="0"/>
          <w:sz w:val="24"/>
          <w:szCs w:val="24"/>
          <w:highlight w:val="none"/>
        </w:rPr>
        <w:t>件</w:t>
      </w:r>
      <w:r>
        <w:rPr>
          <w:rFonts w:hint="eastAsia" w:ascii="宋体" w:hAnsi="宋体" w:eastAsia="宋体" w:cs="宋体"/>
          <w:color w:val="auto"/>
          <w:spacing w:val="-2"/>
          <w:kern w:val="0"/>
          <w:sz w:val="24"/>
          <w:szCs w:val="24"/>
          <w:highlight w:val="none"/>
        </w:rPr>
        <w:t>、</w:t>
      </w:r>
      <w:r>
        <w:rPr>
          <w:rFonts w:hint="eastAsia" w:ascii="宋体" w:hAnsi="宋体" w:eastAsia="宋体" w:cs="宋体"/>
          <w:color w:val="auto"/>
          <w:kern w:val="0"/>
          <w:sz w:val="24"/>
          <w:szCs w:val="24"/>
          <w:highlight w:val="none"/>
        </w:rPr>
        <w:t>能</w:t>
      </w:r>
      <w:r>
        <w:rPr>
          <w:rFonts w:hint="eastAsia" w:ascii="宋体" w:hAnsi="宋体" w:eastAsia="宋体" w:cs="宋体"/>
          <w:color w:val="auto"/>
          <w:spacing w:val="-2"/>
          <w:kern w:val="0"/>
          <w:sz w:val="24"/>
          <w:szCs w:val="24"/>
          <w:highlight w:val="none"/>
        </w:rPr>
        <w:t>力</w:t>
      </w:r>
      <w:r>
        <w:rPr>
          <w:rFonts w:hint="eastAsia" w:ascii="宋体" w:hAnsi="宋体" w:eastAsia="宋体" w:cs="宋体"/>
          <w:color w:val="auto"/>
          <w:kern w:val="0"/>
          <w:sz w:val="24"/>
          <w:szCs w:val="24"/>
          <w:highlight w:val="none"/>
        </w:rPr>
        <w:t>和信</w:t>
      </w:r>
      <w:r>
        <w:rPr>
          <w:rFonts w:hint="eastAsia" w:ascii="宋体" w:hAnsi="宋体" w:eastAsia="宋体" w:cs="宋体"/>
          <w:color w:val="auto"/>
          <w:spacing w:val="-2"/>
          <w:kern w:val="0"/>
          <w:sz w:val="24"/>
          <w:szCs w:val="24"/>
          <w:highlight w:val="none"/>
        </w:rPr>
        <w:t>誉</w:t>
      </w:r>
      <w:r>
        <w:rPr>
          <w:rFonts w:hint="eastAsia" w:ascii="宋体" w:hAnsi="宋体" w:eastAsia="宋体" w:cs="宋体"/>
          <w:color w:val="auto"/>
          <w:kern w:val="0"/>
          <w:sz w:val="24"/>
          <w:szCs w:val="24"/>
          <w:highlight w:val="none"/>
        </w:rPr>
        <w:t>：</w:t>
      </w:r>
      <w:r>
        <w:rPr>
          <w:rFonts w:hint="eastAsia" w:ascii="宋体" w:hAnsi="宋体" w:eastAsia="宋体" w:cs="宋体"/>
          <w:color w:val="auto"/>
          <w:spacing w:val="1"/>
          <w:kern w:val="0"/>
          <w:sz w:val="24"/>
          <w:szCs w:val="24"/>
          <w:highlight w:val="none"/>
        </w:rPr>
        <w:t>见供应商须知前附表。</w:t>
      </w:r>
    </w:p>
    <w:p w14:paraId="6ED932F7">
      <w:pPr>
        <w:spacing w:line="360" w:lineRule="auto"/>
        <w:ind w:firstLine="480" w:firstLineChars="200"/>
        <w:rPr>
          <w:rFonts w:hint="eastAsia" w:ascii="宋体" w:hAnsi="宋体" w:eastAsia="宋体" w:cs="宋体"/>
          <w:color w:val="auto"/>
          <w:kern w:val="0"/>
          <w:position w:val="-1"/>
          <w:sz w:val="24"/>
          <w:szCs w:val="24"/>
          <w:highlight w:val="none"/>
        </w:rPr>
      </w:pPr>
      <w:r>
        <w:rPr>
          <w:rFonts w:hint="eastAsia" w:ascii="宋体" w:hAnsi="宋体" w:eastAsia="宋体" w:cs="宋体"/>
          <w:color w:val="auto"/>
          <w:kern w:val="0"/>
          <w:position w:val="-1"/>
          <w:sz w:val="24"/>
          <w:szCs w:val="24"/>
          <w:highlight w:val="none"/>
        </w:rPr>
        <w:t>1.4.2</w:t>
      </w:r>
      <w:r>
        <w:rPr>
          <w:rFonts w:hint="eastAsia" w:ascii="宋体" w:hAnsi="宋体" w:eastAsia="宋体" w:cs="宋体"/>
          <w:color w:val="auto"/>
          <w:spacing w:val="-2"/>
          <w:kern w:val="0"/>
          <w:position w:val="-1"/>
          <w:sz w:val="24"/>
          <w:szCs w:val="24"/>
          <w:highlight w:val="none"/>
        </w:rPr>
        <w:t>本项目不</w:t>
      </w:r>
      <w:r>
        <w:rPr>
          <w:rFonts w:hint="eastAsia" w:ascii="宋体" w:hAnsi="宋体" w:eastAsia="宋体" w:cs="宋体"/>
          <w:color w:val="auto"/>
          <w:kern w:val="0"/>
          <w:position w:val="-1"/>
          <w:sz w:val="24"/>
          <w:szCs w:val="24"/>
          <w:highlight w:val="none"/>
        </w:rPr>
        <w:t>接</w:t>
      </w:r>
      <w:r>
        <w:rPr>
          <w:rFonts w:hint="eastAsia" w:ascii="宋体" w:hAnsi="宋体" w:eastAsia="宋体" w:cs="宋体"/>
          <w:color w:val="auto"/>
          <w:spacing w:val="-2"/>
          <w:kern w:val="0"/>
          <w:position w:val="-1"/>
          <w:sz w:val="24"/>
          <w:szCs w:val="24"/>
          <w:highlight w:val="none"/>
        </w:rPr>
        <w:t>受</w:t>
      </w:r>
      <w:r>
        <w:rPr>
          <w:rFonts w:hint="eastAsia" w:ascii="宋体" w:hAnsi="宋体" w:eastAsia="宋体" w:cs="宋体"/>
          <w:color w:val="auto"/>
          <w:kern w:val="0"/>
          <w:position w:val="-1"/>
          <w:sz w:val="24"/>
          <w:szCs w:val="24"/>
          <w:highlight w:val="none"/>
        </w:rPr>
        <w:t>联</w:t>
      </w:r>
      <w:r>
        <w:rPr>
          <w:rFonts w:hint="eastAsia" w:ascii="宋体" w:hAnsi="宋体" w:eastAsia="宋体" w:cs="宋体"/>
          <w:color w:val="auto"/>
          <w:spacing w:val="-2"/>
          <w:kern w:val="0"/>
          <w:position w:val="-1"/>
          <w:sz w:val="24"/>
          <w:szCs w:val="24"/>
          <w:highlight w:val="none"/>
        </w:rPr>
        <w:t>合</w:t>
      </w:r>
      <w:r>
        <w:rPr>
          <w:rFonts w:hint="eastAsia" w:ascii="宋体" w:hAnsi="宋体" w:eastAsia="宋体" w:cs="宋体"/>
          <w:color w:val="auto"/>
          <w:kern w:val="0"/>
          <w:position w:val="-1"/>
          <w:sz w:val="24"/>
          <w:szCs w:val="24"/>
          <w:highlight w:val="none"/>
        </w:rPr>
        <w:t>体</w:t>
      </w:r>
      <w:r>
        <w:rPr>
          <w:rFonts w:hint="eastAsia" w:ascii="宋体" w:hAnsi="宋体" w:eastAsia="宋体" w:cs="宋体"/>
          <w:color w:val="auto"/>
          <w:spacing w:val="-2"/>
          <w:kern w:val="0"/>
          <w:position w:val="-1"/>
          <w:sz w:val="24"/>
          <w:szCs w:val="24"/>
          <w:highlight w:val="none"/>
        </w:rPr>
        <w:t>投</w:t>
      </w:r>
      <w:r>
        <w:rPr>
          <w:rFonts w:hint="eastAsia" w:ascii="宋体" w:hAnsi="宋体" w:eastAsia="宋体" w:cs="宋体"/>
          <w:color w:val="auto"/>
          <w:kern w:val="0"/>
          <w:position w:val="-1"/>
          <w:sz w:val="24"/>
          <w:szCs w:val="24"/>
          <w:highlight w:val="none"/>
        </w:rPr>
        <w:t>标。</w:t>
      </w:r>
    </w:p>
    <w:p w14:paraId="06A6CB4C">
      <w:pPr>
        <w:autoSpaceDE w:val="0"/>
        <w:autoSpaceDN w:val="0"/>
        <w:adjustRightInd w:val="0"/>
        <w:spacing w:line="360" w:lineRule="auto"/>
        <w:ind w:left="-2" w:leftChars="-1" w:right="-20"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1.4.3供应商</w:t>
      </w:r>
      <w:r>
        <w:rPr>
          <w:rFonts w:hint="eastAsia" w:ascii="宋体" w:hAnsi="宋体" w:eastAsia="宋体" w:cs="宋体"/>
          <w:color w:val="auto"/>
          <w:spacing w:val="-2"/>
          <w:kern w:val="0"/>
          <w:sz w:val="24"/>
          <w:szCs w:val="24"/>
          <w:highlight w:val="none"/>
        </w:rPr>
        <w:t>不</w:t>
      </w:r>
      <w:r>
        <w:rPr>
          <w:rFonts w:hint="eastAsia" w:ascii="宋体" w:hAnsi="宋体" w:eastAsia="宋体" w:cs="宋体"/>
          <w:color w:val="auto"/>
          <w:kern w:val="0"/>
          <w:sz w:val="24"/>
          <w:szCs w:val="24"/>
          <w:highlight w:val="none"/>
        </w:rPr>
        <w:t>得</w:t>
      </w:r>
      <w:r>
        <w:rPr>
          <w:rFonts w:hint="eastAsia" w:ascii="宋体" w:hAnsi="宋体" w:eastAsia="宋体" w:cs="宋体"/>
          <w:color w:val="auto"/>
          <w:spacing w:val="-2"/>
          <w:kern w:val="0"/>
          <w:sz w:val="24"/>
          <w:szCs w:val="24"/>
          <w:highlight w:val="none"/>
        </w:rPr>
        <w:t>存</w:t>
      </w:r>
      <w:r>
        <w:rPr>
          <w:rFonts w:hint="eastAsia" w:ascii="宋体" w:hAnsi="宋体" w:eastAsia="宋体" w:cs="宋体"/>
          <w:color w:val="auto"/>
          <w:kern w:val="0"/>
          <w:sz w:val="24"/>
          <w:szCs w:val="24"/>
          <w:highlight w:val="none"/>
        </w:rPr>
        <w:t>在</w:t>
      </w:r>
      <w:r>
        <w:rPr>
          <w:rFonts w:hint="eastAsia" w:ascii="宋体" w:hAnsi="宋体" w:eastAsia="宋体" w:cs="宋体"/>
          <w:color w:val="auto"/>
          <w:spacing w:val="-2"/>
          <w:kern w:val="0"/>
          <w:sz w:val="24"/>
          <w:szCs w:val="24"/>
          <w:highlight w:val="none"/>
        </w:rPr>
        <w:t>下列</w:t>
      </w:r>
      <w:r>
        <w:rPr>
          <w:rFonts w:hint="eastAsia" w:ascii="宋体" w:hAnsi="宋体" w:eastAsia="宋体" w:cs="宋体"/>
          <w:color w:val="auto"/>
          <w:kern w:val="0"/>
          <w:sz w:val="24"/>
          <w:szCs w:val="24"/>
          <w:highlight w:val="none"/>
        </w:rPr>
        <w:t>情形</w:t>
      </w:r>
      <w:r>
        <w:rPr>
          <w:rFonts w:hint="eastAsia" w:ascii="宋体" w:hAnsi="宋体" w:eastAsia="宋体" w:cs="宋体"/>
          <w:color w:val="auto"/>
          <w:spacing w:val="-2"/>
          <w:kern w:val="0"/>
          <w:sz w:val="24"/>
          <w:szCs w:val="24"/>
          <w:highlight w:val="none"/>
        </w:rPr>
        <w:t>之</w:t>
      </w:r>
      <w:r>
        <w:rPr>
          <w:rFonts w:hint="eastAsia" w:ascii="宋体" w:hAnsi="宋体" w:eastAsia="宋体" w:cs="宋体"/>
          <w:color w:val="auto"/>
          <w:kern w:val="0"/>
          <w:sz w:val="24"/>
          <w:szCs w:val="24"/>
          <w:highlight w:val="none"/>
        </w:rPr>
        <w:t>一：</w:t>
      </w:r>
    </w:p>
    <w:p w14:paraId="2B75B691">
      <w:pPr>
        <w:autoSpaceDE w:val="0"/>
        <w:autoSpaceDN w:val="0"/>
        <w:adjustRightInd w:val="0"/>
        <w:spacing w:line="360" w:lineRule="auto"/>
        <w:ind w:left="-2" w:leftChars="-1" w:right="-20"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eastAsia="宋体" w:cs="宋体"/>
          <w:color w:val="auto"/>
          <w:spacing w:val="-2"/>
          <w:kern w:val="0"/>
          <w:sz w:val="24"/>
          <w:szCs w:val="24"/>
          <w:highlight w:val="none"/>
        </w:rPr>
        <w:t>）</w:t>
      </w:r>
      <w:r>
        <w:rPr>
          <w:rFonts w:hint="eastAsia" w:ascii="宋体" w:hAnsi="宋体" w:eastAsia="宋体" w:cs="宋体"/>
          <w:color w:val="auto"/>
          <w:kern w:val="0"/>
          <w:sz w:val="24"/>
          <w:szCs w:val="24"/>
          <w:highlight w:val="none"/>
        </w:rPr>
        <w:t>与</w:t>
      </w:r>
      <w:r>
        <w:rPr>
          <w:rFonts w:hint="eastAsia" w:ascii="宋体" w:hAnsi="宋体" w:eastAsia="宋体" w:cs="宋体"/>
          <w:color w:val="auto"/>
          <w:spacing w:val="-2"/>
          <w:kern w:val="0"/>
          <w:sz w:val="24"/>
          <w:szCs w:val="24"/>
          <w:highlight w:val="none"/>
        </w:rPr>
        <w:t>采购人</w:t>
      </w:r>
      <w:r>
        <w:rPr>
          <w:rFonts w:hint="eastAsia" w:ascii="宋体" w:hAnsi="宋体" w:eastAsia="宋体" w:cs="宋体"/>
          <w:color w:val="auto"/>
          <w:kern w:val="0"/>
          <w:sz w:val="24"/>
          <w:szCs w:val="24"/>
          <w:highlight w:val="none"/>
        </w:rPr>
        <w:t>存</w:t>
      </w:r>
      <w:r>
        <w:rPr>
          <w:rFonts w:hint="eastAsia" w:ascii="宋体" w:hAnsi="宋体" w:eastAsia="宋体" w:cs="宋体"/>
          <w:color w:val="auto"/>
          <w:spacing w:val="-2"/>
          <w:kern w:val="0"/>
          <w:sz w:val="24"/>
          <w:szCs w:val="24"/>
          <w:highlight w:val="none"/>
        </w:rPr>
        <w:t>在</w:t>
      </w:r>
      <w:r>
        <w:rPr>
          <w:rFonts w:hint="eastAsia" w:ascii="宋体" w:hAnsi="宋体" w:eastAsia="宋体" w:cs="宋体"/>
          <w:color w:val="auto"/>
          <w:kern w:val="0"/>
          <w:sz w:val="24"/>
          <w:szCs w:val="24"/>
          <w:highlight w:val="none"/>
        </w:rPr>
        <w:t>利</w:t>
      </w:r>
      <w:r>
        <w:rPr>
          <w:rFonts w:hint="eastAsia" w:ascii="宋体" w:hAnsi="宋体" w:eastAsia="宋体" w:cs="宋体"/>
          <w:color w:val="auto"/>
          <w:spacing w:val="-2"/>
          <w:kern w:val="0"/>
          <w:sz w:val="24"/>
          <w:szCs w:val="24"/>
          <w:highlight w:val="none"/>
        </w:rPr>
        <w:t>害关</w:t>
      </w:r>
      <w:r>
        <w:rPr>
          <w:rFonts w:hint="eastAsia" w:ascii="宋体" w:hAnsi="宋体" w:eastAsia="宋体" w:cs="宋体"/>
          <w:color w:val="auto"/>
          <w:kern w:val="0"/>
          <w:sz w:val="24"/>
          <w:szCs w:val="24"/>
          <w:highlight w:val="none"/>
        </w:rPr>
        <w:t>系且</w:t>
      </w:r>
      <w:r>
        <w:rPr>
          <w:rFonts w:hint="eastAsia" w:ascii="宋体" w:hAnsi="宋体" w:eastAsia="宋体" w:cs="宋体"/>
          <w:color w:val="auto"/>
          <w:spacing w:val="-2"/>
          <w:kern w:val="0"/>
          <w:sz w:val="24"/>
          <w:szCs w:val="24"/>
          <w:highlight w:val="none"/>
        </w:rPr>
        <w:t>可</w:t>
      </w:r>
      <w:r>
        <w:rPr>
          <w:rFonts w:hint="eastAsia" w:ascii="宋体" w:hAnsi="宋体" w:eastAsia="宋体" w:cs="宋体"/>
          <w:color w:val="auto"/>
          <w:kern w:val="0"/>
          <w:sz w:val="24"/>
          <w:szCs w:val="24"/>
          <w:highlight w:val="none"/>
        </w:rPr>
        <w:t>能</w:t>
      </w:r>
      <w:r>
        <w:rPr>
          <w:rFonts w:hint="eastAsia" w:ascii="宋体" w:hAnsi="宋体" w:eastAsia="宋体" w:cs="宋体"/>
          <w:color w:val="auto"/>
          <w:spacing w:val="-2"/>
          <w:kern w:val="0"/>
          <w:sz w:val="24"/>
          <w:szCs w:val="24"/>
          <w:highlight w:val="none"/>
        </w:rPr>
        <w:t>影</w:t>
      </w:r>
      <w:r>
        <w:rPr>
          <w:rFonts w:hint="eastAsia" w:ascii="宋体" w:hAnsi="宋体" w:eastAsia="宋体" w:cs="宋体"/>
          <w:color w:val="auto"/>
          <w:kern w:val="0"/>
          <w:sz w:val="24"/>
          <w:szCs w:val="24"/>
          <w:highlight w:val="none"/>
        </w:rPr>
        <w:t>响</w:t>
      </w:r>
      <w:r>
        <w:rPr>
          <w:rFonts w:hint="eastAsia" w:ascii="宋体" w:hAnsi="宋体" w:eastAsia="宋体" w:cs="宋体"/>
          <w:color w:val="auto"/>
          <w:spacing w:val="-2"/>
          <w:kern w:val="0"/>
          <w:sz w:val="24"/>
          <w:szCs w:val="24"/>
          <w:highlight w:val="none"/>
        </w:rPr>
        <w:t>采购公</w:t>
      </w:r>
      <w:r>
        <w:rPr>
          <w:rFonts w:hint="eastAsia" w:ascii="宋体" w:hAnsi="宋体" w:eastAsia="宋体" w:cs="宋体"/>
          <w:color w:val="auto"/>
          <w:kern w:val="0"/>
          <w:sz w:val="24"/>
          <w:szCs w:val="24"/>
          <w:highlight w:val="none"/>
        </w:rPr>
        <w:t>正</w:t>
      </w:r>
      <w:r>
        <w:rPr>
          <w:rFonts w:hint="eastAsia" w:ascii="宋体" w:hAnsi="宋体" w:eastAsia="宋体" w:cs="宋体"/>
          <w:color w:val="auto"/>
          <w:spacing w:val="-2"/>
          <w:kern w:val="0"/>
          <w:sz w:val="24"/>
          <w:szCs w:val="24"/>
          <w:highlight w:val="none"/>
        </w:rPr>
        <w:t>性</w:t>
      </w:r>
      <w:r>
        <w:rPr>
          <w:rFonts w:hint="eastAsia" w:ascii="宋体" w:hAnsi="宋体" w:eastAsia="宋体" w:cs="宋体"/>
          <w:color w:val="auto"/>
          <w:kern w:val="0"/>
          <w:sz w:val="24"/>
          <w:szCs w:val="24"/>
          <w:highlight w:val="none"/>
        </w:rPr>
        <w:t>；</w:t>
      </w:r>
    </w:p>
    <w:p w14:paraId="17738910">
      <w:pPr>
        <w:autoSpaceDE w:val="0"/>
        <w:autoSpaceDN w:val="0"/>
        <w:adjustRightInd w:val="0"/>
        <w:spacing w:line="360" w:lineRule="auto"/>
        <w:ind w:left="-2" w:leftChars="-1" w:right="-20"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eastAsia="宋体" w:cs="宋体"/>
          <w:color w:val="auto"/>
          <w:spacing w:val="-2"/>
          <w:kern w:val="0"/>
          <w:sz w:val="24"/>
          <w:szCs w:val="24"/>
          <w:highlight w:val="none"/>
        </w:rPr>
        <w:t>）</w:t>
      </w:r>
      <w:r>
        <w:rPr>
          <w:rFonts w:hint="eastAsia" w:ascii="宋体" w:hAnsi="宋体" w:eastAsia="宋体" w:cs="宋体"/>
          <w:color w:val="auto"/>
          <w:kern w:val="0"/>
          <w:sz w:val="24"/>
          <w:szCs w:val="24"/>
          <w:highlight w:val="none"/>
        </w:rPr>
        <w:t>与本采购项目的其他供应商的单位负责人为同一人；</w:t>
      </w:r>
    </w:p>
    <w:p w14:paraId="6105E87E">
      <w:pPr>
        <w:autoSpaceDE w:val="0"/>
        <w:autoSpaceDN w:val="0"/>
        <w:adjustRightInd w:val="0"/>
        <w:spacing w:line="360" w:lineRule="auto"/>
        <w:ind w:left="-2" w:leftChars="-1" w:right="-20"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w:t>
      </w:r>
      <w:r>
        <w:rPr>
          <w:rFonts w:hint="eastAsia" w:ascii="宋体" w:hAnsi="宋体" w:eastAsia="宋体" w:cs="宋体"/>
          <w:color w:val="auto"/>
          <w:spacing w:val="-2"/>
          <w:kern w:val="0"/>
          <w:sz w:val="24"/>
          <w:szCs w:val="24"/>
          <w:highlight w:val="none"/>
        </w:rPr>
        <w:t>）</w:t>
      </w:r>
      <w:r>
        <w:rPr>
          <w:rFonts w:hint="eastAsia" w:ascii="宋体" w:hAnsi="宋体" w:eastAsia="宋体" w:cs="宋体"/>
          <w:color w:val="auto"/>
          <w:kern w:val="0"/>
          <w:sz w:val="24"/>
          <w:szCs w:val="24"/>
          <w:highlight w:val="none"/>
        </w:rPr>
        <w:t>与本采购项目的其他供应商存在直接控股、管理关系；</w:t>
      </w:r>
    </w:p>
    <w:p w14:paraId="07C6395C">
      <w:pPr>
        <w:autoSpaceDE w:val="0"/>
        <w:autoSpaceDN w:val="0"/>
        <w:adjustRightInd w:val="0"/>
        <w:spacing w:line="360" w:lineRule="auto"/>
        <w:ind w:left="-2" w:leftChars="-1" w:right="-20"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w:t>
      </w:r>
      <w:r>
        <w:rPr>
          <w:rFonts w:hint="eastAsia" w:ascii="宋体" w:hAnsi="宋体" w:eastAsia="宋体" w:cs="宋体"/>
          <w:color w:val="auto"/>
          <w:spacing w:val="-7"/>
          <w:kern w:val="0"/>
          <w:sz w:val="24"/>
          <w:szCs w:val="24"/>
          <w:highlight w:val="none"/>
        </w:rPr>
        <w:t>4</w:t>
      </w:r>
      <w:r>
        <w:rPr>
          <w:rFonts w:hint="eastAsia" w:ascii="宋体" w:hAnsi="宋体" w:eastAsia="宋体" w:cs="宋体"/>
          <w:color w:val="auto"/>
          <w:kern w:val="0"/>
          <w:sz w:val="24"/>
          <w:szCs w:val="24"/>
          <w:highlight w:val="none"/>
        </w:rPr>
        <w:t>）</w:t>
      </w:r>
      <w:r>
        <w:rPr>
          <w:rFonts w:hint="eastAsia" w:ascii="宋体" w:hAnsi="宋体" w:eastAsia="宋体" w:cs="宋体"/>
          <w:color w:val="auto"/>
          <w:spacing w:val="-2"/>
          <w:kern w:val="0"/>
          <w:sz w:val="24"/>
          <w:szCs w:val="24"/>
          <w:highlight w:val="none"/>
        </w:rPr>
        <w:t>被</w:t>
      </w:r>
      <w:r>
        <w:rPr>
          <w:rFonts w:hint="eastAsia" w:ascii="宋体" w:hAnsi="宋体" w:eastAsia="宋体" w:cs="宋体"/>
          <w:color w:val="auto"/>
          <w:kern w:val="0"/>
          <w:sz w:val="24"/>
          <w:szCs w:val="24"/>
          <w:highlight w:val="none"/>
        </w:rPr>
        <w:t>依</w:t>
      </w:r>
      <w:r>
        <w:rPr>
          <w:rFonts w:hint="eastAsia" w:ascii="宋体" w:hAnsi="宋体" w:eastAsia="宋体" w:cs="宋体"/>
          <w:color w:val="auto"/>
          <w:spacing w:val="-2"/>
          <w:kern w:val="0"/>
          <w:sz w:val="24"/>
          <w:szCs w:val="24"/>
          <w:highlight w:val="none"/>
        </w:rPr>
        <w:t>法</w:t>
      </w:r>
      <w:r>
        <w:rPr>
          <w:rFonts w:hint="eastAsia" w:ascii="宋体" w:hAnsi="宋体" w:eastAsia="宋体" w:cs="宋体"/>
          <w:color w:val="auto"/>
          <w:kern w:val="0"/>
          <w:sz w:val="24"/>
          <w:szCs w:val="24"/>
          <w:highlight w:val="none"/>
        </w:rPr>
        <w:t>暂</w:t>
      </w:r>
      <w:r>
        <w:rPr>
          <w:rFonts w:hint="eastAsia" w:ascii="宋体" w:hAnsi="宋体" w:eastAsia="宋体" w:cs="宋体"/>
          <w:color w:val="auto"/>
          <w:spacing w:val="-2"/>
          <w:kern w:val="0"/>
          <w:sz w:val="24"/>
          <w:szCs w:val="24"/>
          <w:highlight w:val="none"/>
        </w:rPr>
        <w:t>停</w:t>
      </w:r>
      <w:r>
        <w:rPr>
          <w:rFonts w:hint="eastAsia" w:ascii="宋体" w:hAnsi="宋体" w:eastAsia="宋体" w:cs="宋体"/>
          <w:color w:val="auto"/>
          <w:kern w:val="0"/>
          <w:sz w:val="24"/>
          <w:szCs w:val="24"/>
          <w:highlight w:val="none"/>
        </w:rPr>
        <w:t>或</w:t>
      </w:r>
      <w:r>
        <w:rPr>
          <w:rFonts w:hint="eastAsia" w:ascii="宋体" w:hAnsi="宋体" w:eastAsia="宋体" w:cs="宋体"/>
          <w:color w:val="auto"/>
          <w:spacing w:val="-2"/>
          <w:kern w:val="0"/>
          <w:sz w:val="24"/>
          <w:szCs w:val="24"/>
          <w:highlight w:val="none"/>
        </w:rPr>
        <w:t>者取</w:t>
      </w:r>
      <w:r>
        <w:rPr>
          <w:rFonts w:hint="eastAsia" w:ascii="宋体" w:hAnsi="宋体" w:eastAsia="宋体" w:cs="宋体"/>
          <w:color w:val="auto"/>
          <w:kern w:val="0"/>
          <w:sz w:val="24"/>
          <w:szCs w:val="24"/>
          <w:highlight w:val="none"/>
        </w:rPr>
        <w:t>消投</w:t>
      </w:r>
      <w:r>
        <w:rPr>
          <w:rFonts w:hint="eastAsia" w:ascii="宋体" w:hAnsi="宋体" w:eastAsia="宋体" w:cs="宋体"/>
          <w:color w:val="auto"/>
          <w:spacing w:val="-2"/>
          <w:kern w:val="0"/>
          <w:sz w:val="24"/>
          <w:szCs w:val="24"/>
          <w:highlight w:val="none"/>
        </w:rPr>
        <w:t>标</w:t>
      </w:r>
      <w:r>
        <w:rPr>
          <w:rFonts w:hint="eastAsia" w:ascii="宋体" w:hAnsi="宋体" w:eastAsia="宋体" w:cs="宋体"/>
          <w:color w:val="auto"/>
          <w:kern w:val="0"/>
          <w:sz w:val="24"/>
          <w:szCs w:val="24"/>
          <w:highlight w:val="none"/>
        </w:rPr>
        <w:t>资</w:t>
      </w:r>
      <w:r>
        <w:rPr>
          <w:rFonts w:hint="eastAsia" w:ascii="宋体" w:hAnsi="宋体" w:eastAsia="宋体" w:cs="宋体"/>
          <w:color w:val="auto"/>
          <w:spacing w:val="-2"/>
          <w:kern w:val="0"/>
          <w:sz w:val="24"/>
          <w:szCs w:val="24"/>
          <w:highlight w:val="none"/>
        </w:rPr>
        <w:t>格</w:t>
      </w:r>
      <w:r>
        <w:rPr>
          <w:rFonts w:hint="eastAsia" w:ascii="宋体" w:hAnsi="宋体" w:eastAsia="宋体" w:cs="宋体"/>
          <w:color w:val="auto"/>
          <w:kern w:val="0"/>
          <w:sz w:val="24"/>
          <w:szCs w:val="24"/>
          <w:highlight w:val="none"/>
        </w:rPr>
        <w:t>；</w:t>
      </w:r>
    </w:p>
    <w:p w14:paraId="263E9447">
      <w:pPr>
        <w:autoSpaceDE w:val="0"/>
        <w:autoSpaceDN w:val="0"/>
        <w:adjustRightInd w:val="0"/>
        <w:spacing w:line="360" w:lineRule="auto"/>
        <w:ind w:left="-2" w:leftChars="-1" w:right="-20"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w:t>
      </w:r>
      <w:r>
        <w:rPr>
          <w:rFonts w:hint="eastAsia" w:ascii="宋体" w:hAnsi="宋体" w:eastAsia="宋体" w:cs="宋体"/>
          <w:color w:val="auto"/>
          <w:spacing w:val="-2"/>
          <w:kern w:val="0"/>
          <w:sz w:val="24"/>
          <w:szCs w:val="24"/>
          <w:highlight w:val="none"/>
        </w:rPr>
        <w:t>）</w:t>
      </w:r>
      <w:r>
        <w:rPr>
          <w:rFonts w:hint="eastAsia" w:ascii="宋体" w:hAnsi="宋体" w:eastAsia="宋体" w:cs="宋体"/>
          <w:color w:val="auto"/>
          <w:kern w:val="0"/>
          <w:sz w:val="24"/>
          <w:szCs w:val="24"/>
          <w:highlight w:val="none"/>
        </w:rPr>
        <w:t>被</w:t>
      </w:r>
      <w:r>
        <w:rPr>
          <w:rFonts w:hint="eastAsia" w:ascii="宋体" w:hAnsi="宋体" w:eastAsia="宋体" w:cs="宋体"/>
          <w:color w:val="auto"/>
          <w:spacing w:val="-2"/>
          <w:kern w:val="0"/>
          <w:sz w:val="24"/>
          <w:szCs w:val="24"/>
          <w:highlight w:val="none"/>
        </w:rPr>
        <w:t>责</w:t>
      </w:r>
      <w:r>
        <w:rPr>
          <w:rFonts w:hint="eastAsia" w:ascii="宋体" w:hAnsi="宋体" w:eastAsia="宋体" w:cs="宋体"/>
          <w:color w:val="auto"/>
          <w:kern w:val="0"/>
          <w:sz w:val="24"/>
          <w:szCs w:val="24"/>
          <w:highlight w:val="none"/>
        </w:rPr>
        <w:t>令</w:t>
      </w:r>
      <w:r>
        <w:rPr>
          <w:rFonts w:hint="eastAsia" w:ascii="宋体" w:hAnsi="宋体" w:eastAsia="宋体" w:cs="宋体"/>
          <w:color w:val="auto"/>
          <w:spacing w:val="-2"/>
          <w:kern w:val="0"/>
          <w:sz w:val="24"/>
          <w:szCs w:val="24"/>
          <w:highlight w:val="none"/>
        </w:rPr>
        <w:t>停</w:t>
      </w:r>
      <w:r>
        <w:rPr>
          <w:rFonts w:hint="eastAsia" w:ascii="宋体" w:hAnsi="宋体" w:eastAsia="宋体" w:cs="宋体"/>
          <w:color w:val="auto"/>
          <w:kern w:val="0"/>
          <w:sz w:val="24"/>
          <w:szCs w:val="24"/>
          <w:highlight w:val="none"/>
        </w:rPr>
        <w:t>产</w:t>
      </w:r>
      <w:r>
        <w:rPr>
          <w:rFonts w:hint="eastAsia" w:ascii="宋体" w:hAnsi="宋体" w:eastAsia="宋体" w:cs="宋体"/>
          <w:color w:val="auto"/>
          <w:spacing w:val="-2"/>
          <w:kern w:val="0"/>
          <w:sz w:val="24"/>
          <w:szCs w:val="24"/>
          <w:highlight w:val="none"/>
        </w:rPr>
        <w:t>停</w:t>
      </w:r>
      <w:r>
        <w:rPr>
          <w:rFonts w:hint="eastAsia" w:ascii="宋体" w:hAnsi="宋体" w:eastAsia="宋体" w:cs="宋体"/>
          <w:color w:val="auto"/>
          <w:kern w:val="0"/>
          <w:sz w:val="24"/>
          <w:szCs w:val="24"/>
          <w:highlight w:val="none"/>
        </w:rPr>
        <w:t>业</w:t>
      </w:r>
      <w:r>
        <w:rPr>
          <w:rFonts w:hint="eastAsia" w:ascii="宋体" w:hAnsi="宋体" w:eastAsia="宋体" w:cs="宋体"/>
          <w:color w:val="auto"/>
          <w:spacing w:val="-2"/>
          <w:kern w:val="0"/>
          <w:sz w:val="24"/>
          <w:szCs w:val="24"/>
          <w:highlight w:val="none"/>
        </w:rPr>
        <w:t>、</w:t>
      </w:r>
      <w:r>
        <w:rPr>
          <w:rFonts w:hint="eastAsia" w:ascii="宋体" w:hAnsi="宋体" w:eastAsia="宋体" w:cs="宋体"/>
          <w:color w:val="auto"/>
          <w:kern w:val="0"/>
          <w:sz w:val="24"/>
          <w:szCs w:val="24"/>
          <w:highlight w:val="none"/>
        </w:rPr>
        <w:t>暂扣</w:t>
      </w:r>
      <w:r>
        <w:rPr>
          <w:rFonts w:hint="eastAsia" w:ascii="宋体" w:hAnsi="宋体" w:eastAsia="宋体" w:cs="宋体"/>
          <w:color w:val="auto"/>
          <w:spacing w:val="-2"/>
          <w:kern w:val="0"/>
          <w:sz w:val="24"/>
          <w:szCs w:val="24"/>
          <w:highlight w:val="none"/>
        </w:rPr>
        <w:t>或</w:t>
      </w:r>
      <w:r>
        <w:rPr>
          <w:rFonts w:hint="eastAsia" w:ascii="宋体" w:hAnsi="宋体" w:eastAsia="宋体" w:cs="宋体"/>
          <w:color w:val="auto"/>
          <w:kern w:val="0"/>
          <w:sz w:val="24"/>
          <w:szCs w:val="24"/>
          <w:highlight w:val="none"/>
        </w:rPr>
        <w:t>者</w:t>
      </w:r>
      <w:r>
        <w:rPr>
          <w:rFonts w:hint="eastAsia" w:ascii="宋体" w:hAnsi="宋体" w:eastAsia="宋体" w:cs="宋体"/>
          <w:color w:val="auto"/>
          <w:spacing w:val="-2"/>
          <w:kern w:val="0"/>
          <w:sz w:val="24"/>
          <w:szCs w:val="24"/>
          <w:highlight w:val="none"/>
        </w:rPr>
        <w:t>吊</w:t>
      </w:r>
      <w:r>
        <w:rPr>
          <w:rFonts w:hint="eastAsia" w:ascii="宋体" w:hAnsi="宋体" w:eastAsia="宋体" w:cs="宋体"/>
          <w:color w:val="auto"/>
          <w:kern w:val="0"/>
          <w:sz w:val="24"/>
          <w:szCs w:val="24"/>
          <w:highlight w:val="none"/>
        </w:rPr>
        <w:t>销</w:t>
      </w:r>
      <w:r>
        <w:rPr>
          <w:rFonts w:hint="eastAsia" w:ascii="宋体" w:hAnsi="宋体" w:eastAsia="宋体" w:cs="宋体"/>
          <w:color w:val="auto"/>
          <w:spacing w:val="-2"/>
          <w:kern w:val="0"/>
          <w:sz w:val="24"/>
          <w:szCs w:val="24"/>
          <w:highlight w:val="none"/>
        </w:rPr>
        <w:t>许</w:t>
      </w:r>
      <w:r>
        <w:rPr>
          <w:rFonts w:hint="eastAsia" w:ascii="宋体" w:hAnsi="宋体" w:eastAsia="宋体" w:cs="宋体"/>
          <w:color w:val="auto"/>
          <w:kern w:val="0"/>
          <w:sz w:val="24"/>
          <w:szCs w:val="24"/>
          <w:highlight w:val="none"/>
        </w:rPr>
        <w:t>可</w:t>
      </w:r>
      <w:r>
        <w:rPr>
          <w:rFonts w:hint="eastAsia" w:ascii="宋体" w:hAnsi="宋体" w:eastAsia="宋体" w:cs="宋体"/>
          <w:color w:val="auto"/>
          <w:spacing w:val="-2"/>
          <w:kern w:val="0"/>
          <w:sz w:val="24"/>
          <w:szCs w:val="24"/>
          <w:highlight w:val="none"/>
        </w:rPr>
        <w:t>证</w:t>
      </w:r>
      <w:r>
        <w:rPr>
          <w:rFonts w:hint="eastAsia" w:ascii="宋体" w:hAnsi="宋体" w:eastAsia="宋体" w:cs="宋体"/>
          <w:color w:val="auto"/>
          <w:kern w:val="0"/>
          <w:sz w:val="24"/>
          <w:szCs w:val="24"/>
          <w:highlight w:val="none"/>
        </w:rPr>
        <w:t>、</w:t>
      </w:r>
      <w:r>
        <w:rPr>
          <w:rFonts w:hint="eastAsia" w:ascii="宋体" w:hAnsi="宋体" w:eastAsia="宋体" w:cs="宋体"/>
          <w:color w:val="auto"/>
          <w:spacing w:val="-2"/>
          <w:kern w:val="0"/>
          <w:sz w:val="24"/>
          <w:szCs w:val="24"/>
          <w:highlight w:val="none"/>
        </w:rPr>
        <w:t>暂</w:t>
      </w:r>
      <w:r>
        <w:rPr>
          <w:rFonts w:hint="eastAsia" w:ascii="宋体" w:hAnsi="宋体" w:eastAsia="宋体" w:cs="宋体"/>
          <w:color w:val="auto"/>
          <w:kern w:val="0"/>
          <w:sz w:val="24"/>
          <w:szCs w:val="24"/>
          <w:highlight w:val="none"/>
        </w:rPr>
        <w:t>扣或</w:t>
      </w:r>
      <w:r>
        <w:rPr>
          <w:rFonts w:hint="eastAsia" w:ascii="宋体" w:hAnsi="宋体" w:eastAsia="宋体" w:cs="宋体"/>
          <w:color w:val="auto"/>
          <w:spacing w:val="-2"/>
          <w:kern w:val="0"/>
          <w:sz w:val="24"/>
          <w:szCs w:val="24"/>
          <w:highlight w:val="none"/>
        </w:rPr>
        <w:t>者</w:t>
      </w:r>
      <w:r>
        <w:rPr>
          <w:rFonts w:hint="eastAsia" w:ascii="宋体" w:hAnsi="宋体" w:eastAsia="宋体" w:cs="宋体"/>
          <w:color w:val="auto"/>
          <w:kern w:val="0"/>
          <w:sz w:val="24"/>
          <w:szCs w:val="24"/>
          <w:highlight w:val="none"/>
        </w:rPr>
        <w:t>吊</w:t>
      </w:r>
      <w:r>
        <w:rPr>
          <w:rFonts w:hint="eastAsia" w:ascii="宋体" w:hAnsi="宋体" w:eastAsia="宋体" w:cs="宋体"/>
          <w:color w:val="auto"/>
          <w:spacing w:val="-2"/>
          <w:kern w:val="0"/>
          <w:sz w:val="24"/>
          <w:szCs w:val="24"/>
          <w:highlight w:val="none"/>
        </w:rPr>
        <w:t>销</w:t>
      </w:r>
      <w:r>
        <w:rPr>
          <w:rFonts w:hint="eastAsia" w:ascii="宋体" w:hAnsi="宋体" w:eastAsia="宋体" w:cs="宋体"/>
          <w:color w:val="auto"/>
          <w:kern w:val="0"/>
          <w:sz w:val="24"/>
          <w:szCs w:val="24"/>
          <w:highlight w:val="none"/>
        </w:rPr>
        <w:t>执</w:t>
      </w:r>
      <w:r>
        <w:rPr>
          <w:rFonts w:hint="eastAsia" w:ascii="宋体" w:hAnsi="宋体" w:eastAsia="宋体" w:cs="宋体"/>
          <w:color w:val="auto"/>
          <w:spacing w:val="-2"/>
          <w:kern w:val="0"/>
          <w:sz w:val="24"/>
          <w:szCs w:val="24"/>
          <w:highlight w:val="none"/>
        </w:rPr>
        <w:t>照</w:t>
      </w:r>
      <w:r>
        <w:rPr>
          <w:rFonts w:hint="eastAsia" w:ascii="宋体" w:hAnsi="宋体" w:eastAsia="宋体" w:cs="宋体"/>
          <w:color w:val="auto"/>
          <w:kern w:val="0"/>
          <w:sz w:val="24"/>
          <w:szCs w:val="24"/>
          <w:highlight w:val="none"/>
        </w:rPr>
        <w:t>；</w:t>
      </w:r>
    </w:p>
    <w:p w14:paraId="5F0237CB">
      <w:pPr>
        <w:autoSpaceDE w:val="0"/>
        <w:autoSpaceDN w:val="0"/>
        <w:adjustRightInd w:val="0"/>
        <w:spacing w:line="360" w:lineRule="auto"/>
        <w:ind w:left="-2" w:leftChars="-1" w:right="-20"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w:t>
      </w:r>
      <w:r>
        <w:rPr>
          <w:rFonts w:hint="eastAsia" w:ascii="宋体" w:hAnsi="宋体" w:eastAsia="宋体" w:cs="宋体"/>
          <w:color w:val="auto"/>
          <w:spacing w:val="-2"/>
          <w:kern w:val="0"/>
          <w:sz w:val="24"/>
          <w:szCs w:val="24"/>
          <w:highlight w:val="none"/>
        </w:rPr>
        <w:t>）</w:t>
      </w:r>
      <w:r>
        <w:rPr>
          <w:rFonts w:hint="eastAsia" w:ascii="宋体" w:hAnsi="宋体" w:eastAsia="宋体" w:cs="宋体"/>
          <w:color w:val="auto"/>
          <w:kern w:val="0"/>
          <w:sz w:val="24"/>
          <w:szCs w:val="24"/>
          <w:highlight w:val="none"/>
        </w:rPr>
        <w:t>进</w:t>
      </w:r>
      <w:r>
        <w:rPr>
          <w:rFonts w:hint="eastAsia" w:ascii="宋体" w:hAnsi="宋体" w:eastAsia="宋体" w:cs="宋体"/>
          <w:color w:val="auto"/>
          <w:spacing w:val="-2"/>
          <w:kern w:val="0"/>
          <w:sz w:val="24"/>
          <w:szCs w:val="24"/>
          <w:highlight w:val="none"/>
        </w:rPr>
        <w:t>入</w:t>
      </w:r>
      <w:r>
        <w:rPr>
          <w:rFonts w:hint="eastAsia" w:ascii="宋体" w:hAnsi="宋体" w:eastAsia="宋体" w:cs="宋体"/>
          <w:color w:val="auto"/>
          <w:kern w:val="0"/>
          <w:sz w:val="24"/>
          <w:szCs w:val="24"/>
          <w:highlight w:val="none"/>
        </w:rPr>
        <w:t>清</w:t>
      </w:r>
      <w:r>
        <w:rPr>
          <w:rFonts w:hint="eastAsia" w:ascii="宋体" w:hAnsi="宋体" w:eastAsia="宋体" w:cs="宋体"/>
          <w:color w:val="auto"/>
          <w:spacing w:val="-2"/>
          <w:kern w:val="0"/>
          <w:sz w:val="24"/>
          <w:szCs w:val="24"/>
          <w:highlight w:val="none"/>
        </w:rPr>
        <w:t>算</w:t>
      </w:r>
      <w:r>
        <w:rPr>
          <w:rFonts w:hint="eastAsia" w:ascii="宋体" w:hAnsi="宋体" w:eastAsia="宋体" w:cs="宋体"/>
          <w:color w:val="auto"/>
          <w:kern w:val="0"/>
          <w:sz w:val="24"/>
          <w:szCs w:val="24"/>
          <w:highlight w:val="none"/>
        </w:rPr>
        <w:t>程</w:t>
      </w:r>
      <w:r>
        <w:rPr>
          <w:rFonts w:hint="eastAsia" w:ascii="宋体" w:hAnsi="宋体" w:eastAsia="宋体" w:cs="宋体"/>
          <w:color w:val="auto"/>
          <w:spacing w:val="-2"/>
          <w:kern w:val="0"/>
          <w:sz w:val="24"/>
          <w:szCs w:val="24"/>
          <w:highlight w:val="none"/>
        </w:rPr>
        <w:t>序</w:t>
      </w:r>
      <w:r>
        <w:rPr>
          <w:rFonts w:hint="eastAsia" w:ascii="宋体" w:hAnsi="宋体" w:eastAsia="宋体" w:cs="宋体"/>
          <w:color w:val="auto"/>
          <w:kern w:val="0"/>
          <w:sz w:val="24"/>
          <w:szCs w:val="24"/>
          <w:highlight w:val="none"/>
        </w:rPr>
        <w:t>，</w:t>
      </w:r>
      <w:r>
        <w:rPr>
          <w:rFonts w:hint="eastAsia" w:ascii="宋体" w:hAnsi="宋体" w:eastAsia="宋体" w:cs="宋体"/>
          <w:color w:val="auto"/>
          <w:spacing w:val="-2"/>
          <w:kern w:val="0"/>
          <w:sz w:val="24"/>
          <w:szCs w:val="24"/>
          <w:highlight w:val="none"/>
        </w:rPr>
        <w:t>或</w:t>
      </w:r>
      <w:r>
        <w:rPr>
          <w:rFonts w:hint="eastAsia" w:ascii="宋体" w:hAnsi="宋体" w:eastAsia="宋体" w:cs="宋体"/>
          <w:color w:val="auto"/>
          <w:kern w:val="0"/>
          <w:sz w:val="24"/>
          <w:szCs w:val="24"/>
          <w:highlight w:val="none"/>
        </w:rPr>
        <w:t>被宣</w:t>
      </w:r>
      <w:r>
        <w:rPr>
          <w:rFonts w:hint="eastAsia" w:ascii="宋体" w:hAnsi="宋体" w:eastAsia="宋体" w:cs="宋体"/>
          <w:color w:val="auto"/>
          <w:spacing w:val="-2"/>
          <w:kern w:val="0"/>
          <w:sz w:val="24"/>
          <w:szCs w:val="24"/>
          <w:highlight w:val="none"/>
        </w:rPr>
        <w:t>告</w:t>
      </w:r>
      <w:r>
        <w:rPr>
          <w:rFonts w:hint="eastAsia" w:ascii="宋体" w:hAnsi="宋体" w:eastAsia="宋体" w:cs="宋体"/>
          <w:color w:val="auto"/>
          <w:kern w:val="0"/>
          <w:sz w:val="24"/>
          <w:szCs w:val="24"/>
          <w:highlight w:val="none"/>
        </w:rPr>
        <w:t>破</w:t>
      </w:r>
      <w:r>
        <w:rPr>
          <w:rFonts w:hint="eastAsia" w:ascii="宋体" w:hAnsi="宋体" w:eastAsia="宋体" w:cs="宋体"/>
          <w:color w:val="auto"/>
          <w:spacing w:val="-2"/>
          <w:kern w:val="0"/>
          <w:sz w:val="24"/>
          <w:szCs w:val="24"/>
          <w:highlight w:val="none"/>
        </w:rPr>
        <w:t>产</w:t>
      </w:r>
      <w:r>
        <w:rPr>
          <w:rFonts w:hint="eastAsia" w:ascii="宋体" w:hAnsi="宋体" w:eastAsia="宋体" w:cs="宋体"/>
          <w:color w:val="auto"/>
          <w:kern w:val="0"/>
          <w:sz w:val="24"/>
          <w:szCs w:val="24"/>
          <w:highlight w:val="none"/>
        </w:rPr>
        <w:t>，</w:t>
      </w:r>
      <w:r>
        <w:rPr>
          <w:rFonts w:hint="eastAsia" w:ascii="宋体" w:hAnsi="宋体" w:eastAsia="宋体" w:cs="宋体"/>
          <w:color w:val="auto"/>
          <w:spacing w:val="-2"/>
          <w:kern w:val="0"/>
          <w:sz w:val="24"/>
          <w:szCs w:val="24"/>
          <w:highlight w:val="none"/>
        </w:rPr>
        <w:t>或</w:t>
      </w:r>
      <w:r>
        <w:rPr>
          <w:rFonts w:hint="eastAsia" w:ascii="宋体" w:hAnsi="宋体" w:eastAsia="宋体" w:cs="宋体"/>
          <w:color w:val="auto"/>
          <w:kern w:val="0"/>
          <w:sz w:val="24"/>
          <w:szCs w:val="24"/>
          <w:highlight w:val="none"/>
        </w:rPr>
        <w:t>其</w:t>
      </w:r>
      <w:r>
        <w:rPr>
          <w:rFonts w:hint="eastAsia" w:ascii="宋体" w:hAnsi="宋体" w:eastAsia="宋体" w:cs="宋体"/>
          <w:color w:val="auto"/>
          <w:spacing w:val="-2"/>
          <w:kern w:val="0"/>
          <w:sz w:val="24"/>
          <w:szCs w:val="24"/>
          <w:highlight w:val="none"/>
        </w:rPr>
        <w:t>他</w:t>
      </w:r>
      <w:r>
        <w:rPr>
          <w:rFonts w:hint="eastAsia" w:ascii="宋体" w:hAnsi="宋体" w:eastAsia="宋体" w:cs="宋体"/>
          <w:color w:val="auto"/>
          <w:kern w:val="0"/>
          <w:sz w:val="24"/>
          <w:szCs w:val="24"/>
          <w:highlight w:val="none"/>
        </w:rPr>
        <w:t>丧</w:t>
      </w:r>
      <w:r>
        <w:rPr>
          <w:rFonts w:hint="eastAsia" w:ascii="宋体" w:hAnsi="宋体" w:eastAsia="宋体" w:cs="宋体"/>
          <w:color w:val="auto"/>
          <w:spacing w:val="-2"/>
          <w:kern w:val="0"/>
          <w:sz w:val="24"/>
          <w:szCs w:val="24"/>
          <w:highlight w:val="none"/>
        </w:rPr>
        <w:t>失</w:t>
      </w:r>
      <w:r>
        <w:rPr>
          <w:rFonts w:hint="eastAsia" w:ascii="宋体" w:hAnsi="宋体" w:eastAsia="宋体" w:cs="宋体"/>
          <w:color w:val="auto"/>
          <w:kern w:val="0"/>
          <w:sz w:val="24"/>
          <w:szCs w:val="24"/>
          <w:highlight w:val="none"/>
        </w:rPr>
        <w:t>履约</w:t>
      </w:r>
      <w:r>
        <w:rPr>
          <w:rFonts w:hint="eastAsia" w:ascii="宋体" w:hAnsi="宋体" w:eastAsia="宋体" w:cs="宋体"/>
          <w:color w:val="auto"/>
          <w:spacing w:val="-2"/>
          <w:kern w:val="0"/>
          <w:sz w:val="24"/>
          <w:szCs w:val="24"/>
          <w:highlight w:val="none"/>
        </w:rPr>
        <w:t>能</w:t>
      </w:r>
      <w:r>
        <w:rPr>
          <w:rFonts w:hint="eastAsia" w:ascii="宋体" w:hAnsi="宋体" w:eastAsia="宋体" w:cs="宋体"/>
          <w:color w:val="auto"/>
          <w:kern w:val="0"/>
          <w:sz w:val="24"/>
          <w:szCs w:val="24"/>
          <w:highlight w:val="none"/>
        </w:rPr>
        <w:t>力</w:t>
      </w:r>
      <w:r>
        <w:rPr>
          <w:rFonts w:hint="eastAsia" w:ascii="宋体" w:hAnsi="宋体" w:eastAsia="宋体" w:cs="宋体"/>
          <w:color w:val="auto"/>
          <w:spacing w:val="-2"/>
          <w:kern w:val="0"/>
          <w:sz w:val="24"/>
          <w:szCs w:val="24"/>
          <w:highlight w:val="none"/>
        </w:rPr>
        <w:t>的</w:t>
      </w:r>
      <w:r>
        <w:rPr>
          <w:rFonts w:hint="eastAsia" w:ascii="宋体" w:hAnsi="宋体" w:eastAsia="宋体" w:cs="宋体"/>
          <w:color w:val="auto"/>
          <w:kern w:val="0"/>
          <w:sz w:val="24"/>
          <w:szCs w:val="24"/>
          <w:highlight w:val="none"/>
        </w:rPr>
        <w:t>情</w:t>
      </w:r>
      <w:r>
        <w:rPr>
          <w:rFonts w:hint="eastAsia" w:ascii="宋体" w:hAnsi="宋体" w:eastAsia="宋体" w:cs="宋体"/>
          <w:color w:val="auto"/>
          <w:spacing w:val="-2"/>
          <w:kern w:val="0"/>
          <w:sz w:val="24"/>
          <w:szCs w:val="24"/>
          <w:highlight w:val="none"/>
        </w:rPr>
        <w:t>形</w:t>
      </w:r>
      <w:r>
        <w:rPr>
          <w:rFonts w:hint="eastAsia" w:ascii="宋体" w:hAnsi="宋体" w:eastAsia="宋体" w:cs="宋体"/>
          <w:color w:val="auto"/>
          <w:kern w:val="0"/>
          <w:sz w:val="24"/>
          <w:szCs w:val="24"/>
          <w:highlight w:val="none"/>
        </w:rPr>
        <w:t>；</w:t>
      </w:r>
    </w:p>
    <w:p w14:paraId="716EBC8E">
      <w:pPr>
        <w:autoSpaceDE w:val="0"/>
        <w:autoSpaceDN w:val="0"/>
        <w:adjustRightInd w:val="0"/>
        <w:spacing w:line="360" w:lineRule="auto"/>
        <w:ind w:left="-2" w:leftChars="-1" w:right="-20"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（7）在最近三年</w:t>
      </w:r>
      <w:r>
        <w:rPr>
          <w:rFonts w:hint="eastAsia" w:ascii="宋体" w:hAnsi="宋体" w:eastAsia="宋体" w:cs="宋体"/>
          <w:color w:val="auto"/>
          <w:spacing w:val="-2"/>
          <w:kern w:val="0"/>
          <w:sz w:val="24"/>
          <w:szCs w:val="24"/>
          <w:highlight w:val="none"/>
        </w:rPr>
        <w:t>内严重违约、</w:t>
      </w:r>
      <w:r>
        <w:rPr>
          <w:rFonts w:hint="eastAsia" w:ascii="宋体" w:hAnsi="宋体" w:eastAsia="宋体" w:cs="宋体"/>
          <w:color w:val="auto"/>
          <w:kern w:val="0"/>
          <w:sz w:val="24"/>
          <w:szCs w:val="24"/>
          <w:highlight w:val="none"/>
        </w:rPr>
        <w:t>发</w:t>
      </w:r>
      <w:r>
        <w:rPr>
          <w:rFonts w:hint="eastAsia" w:ascii="宋体" w:hAnsi="宋体" w:eastAsia="宋体" w:cs="宋体"/>
          <w:color w:val="auto"/>
          <w:spacing w:val="-2"/>
          <w:kern w:val="0"/>
          <w:sz w:val="24"/>
          <w:szCs w:val="24"/>
          <w:highlight w:val="none"/>
        </w:rPr>
        <w:t>生</w:t>
      </w:r>
      <w:r>
        <w:rPr>
          <w:rFonts w:hint="eastAsia" w:ascii="宋体" w:hAnsi="宋体" w:eastAsia="宋体" w:cs="宋体"/>
          <w:color w:val="auto"/>
          <w:kern w:val="0"/>
          <w:sz w:val="24"/>
          <w:szCs w:val="24"/>
          <w:highlight w:val="none"/>
        </w:rPr>
        <w:t>重大产品质量问题</w:t>
      </w:r>
      <w:r>
        <w:rPr>
          <w:rFonts w:hint="eastAsia" w:ascii="宋体" w:hAnsi="宋体" w:eastAsia="宋体" w:cs="宋体"/>
          <w:color w:val="auto"/>
          <w:spacing w:val="-2"/>
          <w:kern w:val="0"/>
          <w:sz w:val="24"/>
          <w:szCs w:val="24"/>
          <w:highlight w:val="none"/>
        </w:rPr>
        <w:t>的。</w:t>
      </w:r>
    </w:p>
    <w:p w14:paraId="214D5248">
      <w:pPr>
        <w:autoSpaceDE w:val="0"/>
        <w:autoSpaceDN w:val="0"/>
        <w:adjustRightInd w:val="0"/>
        <w:spacing w:line="360" w:lineRule="auto"/>
        <w:ind w:right="-20" w:firstLine="486" w:firstLineChars="200"/>
        <w:jc w:val="left"/>
        <w:rPr>
          <w:rFonts w:hint="eastAsia" w:ascii="宋体" w:hAnsi="宋体" w:eastAsia="宋体" w:cs="宋体"/>
          <w:b/>
          <w:color w:val="auto"/>
          <w:kern w:val="0"/>
          <w:sz w:val="24"/>
          <w:szCs w:val="24"/>
          <w:highlight w:val="none"/>
        </w:rPr>
      </w:pPr>
      <w:r>
        <w:rPr>
          <w:rFonts w:hint="eastAsia" w:ascii="宋体" w:hAnsi="宋体" w:eastAsia="宋体" w:cs="宋体"/>
          <w:b/>
          <w:color w:val="auto"/>
          <w:spacing w:val="1"/>
          <w:kern w:val="0"/>
          <w:position w:val="-1"/>
          <w:sz w:val="24"/>
          <w:szCs w:val="24"/>
          <w:highlight w:val="none"/>
        </w:rPr>
        <w:t>1</w:t>
      </w:r>
      <w:r>
        <w:rPr>
          <w:rFonts w:hint="eastAsia" w:ascii="宋体" w:hAnsi="宋体" w:eastAsia="宋体" w:cs="宋体"/>
          <w:b/>
          <w:color w:val="auto"/>
          <w:kern w:val="0"/>
          <w:position w:val="-1"/>
          <w:sz w:val="24"/>
          <w:szCs w:val="24"/>
          <w:highlight w:val="none"/>
        </w:rPr>
        <w:t>.5费用承担</w:t>
      </w:r>
    </w:p>
    <w:p w14:paraId="583E5F01">
      <w:pPr>
        <w:autoSpaceDE w:val="0"/>
        <w:autoSpaceDN w:val="0"/>
        <w:adjustRightInd w:val="0"/>
        <w:spacing w:line="360" w:lineRule="auto"/>
        <w:ind w:right="-20"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供应商准</w:t>
      </w:r>
      <w:r>
        <w:rPr>
          <w:rFonts w:hint="eastAsia" w:ascii="宋体" w:hAnsi="宋体" w:eastAsia="宋体" w:cs="宋体"/>
          <w:color w:val="auto"/>
          <w:spacing w:val="-2"/>
          <w:kern w:val="0"/>
          <w:sz w:val="24"/>
          <w:szCs w:val="24"/>
          <w:highlight w:val="none"/>
        </w:rPr>
        <w:t>备</w:t>
      </w:r>
      <w:r>
        <w:rPr>
          <w:rFonts w:hint="eastAsia" w:ascii="宋体" w:hAnsi="宋体" w:eastAsia="宋体" w:cs="宋体"/>
          <w:color w:val="auto"/>
          <w:kern w:val="0"/>
          <w:sz w:val="24"/>
          <w:szCs w:val="24"/>
          <w:highlight w:val="none"/>
        </w:rPr>
        <w:t>和</w:t>
      </w:r>
      <w:r>
        <w:rPr>
          <w:rFonts w:hint="eastAsia" w:ascii="宋体" w:hAnsi="宋体" w:eastAsia="宋体" w:cs="宋体"/>
          <w:color w:val="auto"/>
          <w:spacing w:val="-2"/>
          <w:kern w:val="0"/>
          <w:sz w:val="24"/>
          <w:szCs w:val="24"/>
          <w:highlight w:val="none"/>
        </w:rPr>
        <w:t>参</w:t>
      </w:r>
      <w:r>
        <w:rPr>
          <w:rFonts w:hint="eastAsia" w:ascii="宋体" w:hAnsi="宋体" w:eastAsia="宋体" w:cs="宋体"/>
          <w:color w:val="auto"/>
          <w:kern w:val="0"/>
          <w:sz w:val="24"/>
          <w:szCs w:val="24"/>
          <w:highlight w:val="none"/>
        </w:rPr>
        <w:t>加</w:t>
      </w:r>
      <w:r>
        <w:rPr>
          <w:rFonts w:hint="eastAsia" w:ascii="宋体" w:hAnsi="宋体" w:eastAsia="宋体" w:cs="宋体"/>
          <w:color w:val="auto"/>
          <w:spacing w:val="-2"/>
          <w:kern w:val="0"/>
          <w:sz w:val="24"/>
          <w:szCs w:val="24"/>
          <w:highlight w:val="none"/>
        </w:rPr>
        <w:t>投</w:t>
      </w:r>
      <w:r>
        <w:rPr>
          <w:rFonts w:hint="eastAsia" w:ascii="宋体" w:hAnsi="宋体" w:eastAsia="宋体" w:cs="宋体"/>
          <w:color w:val="auto"/>
          <w:kern w:val="0"/>
          <w:sz w:val="24"/>
          <w:szCs w:val="24"/>
          <w:highlight w:val="none"/>
        </w:rPr>
        <w:t>标</w:t>
      </w:r>
      <w:r>
        <w:rPr>
          <w:rFonts w:hint="eastAsia" w:ascii="宋体" w:hAnsi="宋体" w:eastAsia="宋体" w:cs="宋体"/>
          <w:color w:val="auto"/>
          <w:spacing w:val="-2"/>
          <w:kern w:val="0"/>
          <w:sz w:val="24"/>
          <w:szCs w:val="24"/>
          <w:highlight w:val="none"/>
        </w:rPr>
        <w:t>活</w:t>
      </w:r>
      <w:r>
        <w:rPr>
          <w:rFonts w:hint="eastAsia" w:ascii="宋体" w:hAnsi="宋体" w:eastAsia="宋体" w:cs="宋体"/>
          <w:color w:val="auto"/>
          <w:kern w:val="0"/>
          <w:sz w:val="24"/>
          <w:szCs w:val="24"/>
          <w:highlight w:val="none"/>
        </w:rPr>
        <w:t>动发</w:t>
      </w:r>
      <w:r>
        <w:rPr>
          <w:rFonts w:hint="eastAsia" w:ascii="宋体" w:hAnsi="宋体" w:eastAsia="宋体" w:cs="宋体"/>
          <w:color w:val="auto"/>
          <w:spacing w:val="-2"/>
          <w:kern w:val="0"/>
          <w:sz w:val="24"/>
          <w:szCs w:val="24"/>
          <w:highlight w:val="none"/>
        </w:rPr>
        <w:t>生</w:t>
      </w:r>
      <w:r>
        <w:rPr>
          <w:rFonts w:hint="eastAsia" w:ascii="宋体" w:hAnsi="宋体" w:eastAsia="宋体" w:cs="宋体"/>
          <w:color w:val="auto"/>
          <w:kern w:val="0"/>
          <w:sz w:val="24"/>
          <w:szCs w:val="24"/>
          <w:highlight w:val="none"/>
        </w:rPr>
        <w:t>的</w:t>
      </w:r>
      <w:r>
        <w:rPr>
          <w:rFonts w:hint="eastAsia" w:ascii="宋体" w:hAnsi="宋体" w:eastAsia="宋体" w:cs="宋体"/>
          <w:color w:val="auto"/>
          <w:spacing w:val="-2"/>
          <w:kern w:val="0"/>
          <w:sz w:val="24"/>
          <w:szCs w:val="24"/>
          <w:highlight w:val="none"/>
        </w:rPr>
        <w:t>费</w:t>
      </w:r>
      <w:r>
        <w:rPr>
          <w:rFonts w:hint="eastAsia" w:ascii="宋体" w:hAnsi="宋体" w:eastAsia="宋体" w:cs="宋体"/>
          <w:color w:val="auto"/>
          <w:kern w:val="0"/>
          <w:sz w:val="24"/>
          <w:szCs w:val="24"/>
          <w:highlight w:val="none"/>
        </w:rPr>
        <w:t>用</w:t>
      </w:r>
      <w:r>
        <w:rPr>
          <w:rFonts w:hint="eastAsia" w:ascii="宋体" w:hAnsi="宋体" w:eastAsia="宋体" w:cs="宋体"/>
          <w:color w:val="auto"/>
          <w:spacing w:val="-2"/>
          <w:kern w:val="0"/>
          <w:sz w:val="24"/>
          <w:szCs w:val="24"/>
          <w:highlight w:val="none"/>
        </w:rPr>
        <w:t>自</w:t>
      </w:r>
      <w:r>
        <w:rPr>
          <w:rFonts w:hint="eastAsia" w:ascii="宋体" w:hAnsi="宋体" w:eastAsia="宋体" w:cs="宋体"/>
          <w:color w:val="auto"/>
          <w:kern w:val="0"/>
          <w:sz w:val="24"/>
          <w:szCs w:val="24"/>
          <w:highlight w:val="none"/>
        </w:rPr>
        <w:t>理。</w:t>
      </w:r>
    </w:p>
    <w:p w14:paraId="7FA0F73A">
      <w:pPr>
        <w:autoSpaceDE w:val="0"/>
        <w:autoSpaceDN w:val="0"/>
        <w:adjustRightInd w:val="0"/>
        <w:spacing w:line="360" w:lineRule="auto"/>
        <w:ind w:right="-20" w:firstLine="486" w:firstLineChars="200"/>
        <w:jc w:val="left"/>
        <w:rPr>
          <w:rFonts w:hint="eastAsia" w:ascii="宋体" w:hAnsi="宋体" w:eastAsia="宋体" w:cs="宋体"/>
          <w:b/>
          <w:color w:val="auto"/>
          <w:kern w:val="0"/>
          <w:sz w:val="24"/>
          <w:szCs w:val="24"/>
          <w:highlight w:val="none"/>
        </w:rPr>
      </w:pPr>
      <w:r>
        <w:rPr>
          <w:rFonts w:hint="eastAsia" w:ascii="宋体" w:hAnsi="宋体" w:eastAsia="宋体" w:cs="宋体"/>
          <w:b/>
          <w:color w:val="auto"/>
          <w:spacing w:val="1"/>
          <w:kern w:val="0"/>
          <w:sz w:val="24"/>
          <w:szCs w:val="24"/>
          <w:highlight w:val="none"/>
        </w:rPr>
        <w:t>1</w:t>
      </w:r>
      <w:r>
        <w:rPr>
          <w:rFonts w:hint="eastAsia" w:ascii="宋体" w:hAnsi="宋体" w:eastAsia="宋体" w:cs="宋体"/>
          <w:b/>
          <w:color w:val="auto"/>
          <w:kern w:val="0"/>
          <w:sz w:val="24"/>
          <w:szCs w:val="24"/>
          <w:highlight w:val="none"/>
        </w:rPr>
        <w:t>.6保密</w:t>
      </w:r>
    </w:p>
    <w:p w14:paraId="71A97849">
      <w:pPr>
        <w:autoSpaceDE w:val="0"/>
        <w:autoSpaceDN w:val="0"/>
        <w:adjustRightInd w:val="0"/>
        <w:spacing w:line="360" w:lineRule="auto"/>
        <w:ind w:right="143"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参与招标投标活动</w:t>
      </w:r>
      <w:r>
        <w:rPr>
          <w:rFonts w:hint="eastAsia" w:ascii="宋体" w:hAnsi="宋体" w:eastAsia="宋体" w:cs="宋体"/>
          <w:color w:val="auto"/>
          <w:spacing w:val="-2"/>
          <w:kern w:val="0"/>
          <w:sz w:val="24"/>
          <w:szCs w:val="24"/>
          <w:highlight w:val="none"/>
        </w:rPr>
        <w:t>的</w:t>
      </w:r>
      <w:r>
        <w:rPr>
          <w:rFonts w:hint="eastAsia" w:ascii="宋体" w:hAnsi="宋体" w:eastAsia="宋体" w:cs="宋体"/>
          <w:color w:val="auto"/>
          <w:kern w:val="0"/>
          <w:sz w:val="24"/>
          <w:szCs w:val="24"/>
          <w:highlight w:val="none"/>
        </w:rPr>
        <w:t>各</w:t>
      </w:r>
      <w:r>
        <w:rPr>
          <w:rFonts w:hint="eastAsia" w:ascii="宋体" w:hAnsi="宋体" w:eastAsia="宋体" w:cs="宋体"/>
          <w:color w:val="auto"/>
          <w:spacing w:val="-2"/>
          <w:kern w:val="0"/>
          <w:sz w:val="24"/>
          <w:szCs w:val="24"/>
          <w:highlight w:val="none"/>
        </w:rPr>
        <w:t>方</w:t>
      </w:r>
      <w:r>
        <w:rPr>
          <w:rFonts w:hint="eastAsia" w:ascii="宋体" w:hAnsi="宋体" w:eastAsia="宋体" w:cs="宋体"/>
          <w:color w:val="auto"/>
          <w:kern w:val="0"/>
          <w:sz w:val="24"/>
          <w:szCs w:val="24"/>
          <w:highlight w:val="none"/>
        </w:rPr>
        <w:t>应对竞争性磋商文件和磋商响应文件中的商业和技术等</w:t>
      </w:r>
      <w:r>
        <w:rPr>
          <w:rFonts w:hint="eastAsia" w:ascii="宋体" w:hAnsi="宋体" w:eastAsia="宋体" w:cs="宋体"/>
          <w:color w:val="auto"/>
          <w:spacing w:val="-2"/>
          <w:kern w:val="0"/>
          <w:sz w:val="24"/>
          <w:szCs w:val="24"/>
          <w:highlight w:val="none"/>
        </w:rPr>
        <w:t>秘</w:t>
      </w:r>
      <w:r>
        <w:rPr>
          <w:rFonts w:hint="eastAsia" w:ascii="宋体" w:hAnsi="宋体" w:eastAsia="宋体" w:cs="宋体"/>
          <w:color w:val="auto"/>
          <w:kern w:val="0"/>
          <w:sz w:val="24"/>
          <w:szCs w:val="24"/>
          <w:highlight w:val="none"/>
        </w:rPr>
        <w:t>密</w:t>
      </w:r>
      <w:r>
        <w:rPr>
          <w:rFonts w:hint="eastAsia" w:ascii="宋体" w:hAnsi="宋体" w:eastAsia="宋体" w:cs="宋体"/>
          <w:color w:val="auto"/>
          <w:spacing w:val="-2"/>
          <w:kern w:val="0"/>
          <w:sz w:val="24"/>
          <w:szCs w:val="24"/>
          <w:highlight w:val="none"/>
        </w:rPr>
        <w:t>保</w:t>
      </w:r>
      <w:r>
        <w:rPr>
          <w:rFonts w:hint="eastAsia" w:ascii="宋体" w:hAnsi="宋体" w:eastAsia="宋体" w:cs="宋体"/>
          <w:color w:val="auto"/>
          <w:kern w:val="0"/>
          <w:sz w:val="24"/>
          <w:szCs w:val="24"/>
          <w:highlight w:val="none"/>
        </w:rPr>
        <w:t>密，否则应承担相</w:t>
      </w:r>
      <w:r>
        <w:rPr>
          <w:rFonts w:hint="eastAsia" w:ascii="宋体" w:hAnsi="宋体" w:eastAsia="宋体" w:cs="宋体"/>
          <w:color w:val="auto"/>
          <w:spacing w:val="-2"/>
          <w:kern w:val="0"/>
          <w:sz w:val="24"/>
          <w:szCs w:val="24"/>
          <w:highlight w:val="none"/>
        </w:rPr>
        <w:t>应</w:t>
      </w:r>
      <w:r>
        <w:rPr>
          <w:rFonts w:hint="eastAsia" w:ascii="宋体" w:hAnsi="宋体" w:eastAsia="宋体" w:cs="宋体"/>
          <w:color w:val="auto"/>
          <w:kern w:val="0"/>
          <w:sz w:val="24"/>
          <w:szCs w:val="24"/>
          <w:highlight w:val="none"/>
        </w:rPr>
        <w:t>的</w:t>
      </w:r>
      <w:r>
        <w:rPr>
          <w:rFonts w:hint="eastAsia" w:ascii="宋体" w:hAnsi="宋体" w:eastAsia="宋体" w:cs="宋体"/>
          <w:color w:val="auto"/>
          <w:spacing w:val="-2"/>
          <w:kern w:val="0"/>
          <w:sz w:val="24"/>
          <w:szCs w:val="24"/>
          <w:highlight w:val="none"/>
        </w:rPr>
        <w:t>法</w:t>
      </w:r>
      <w:r>
        <w:rPr>
          <w:rFonts w:hint="eastAsia" w:ascii="宋体" w:hAnsi="宋体" w:eastAsia="宋体" w:cs="宋体"/>
          <w:color w:val="auto"/>
          <w:kern w:val="0"/>
          <w:sz w:val="24"/>
          <w:szCs w:val="24"/>
          <w:highlight w:val="none"/>
        </w:rPr>
        <w:t>律</w:t>
      </w:r>
      <w:r>
        <w:rPr>
          <w:rFonts w:hint="eastAsia" w:ascii="宋体" w:hAnsi="宋体" w:eastAsia="宋体" w:cs="宋体"/>
          <w:color w:val="auto"/>
          <w:spacing w:val="-2"/>
          <w:kern w:val="0"/>
          <w:sz w:val="24"/>
          <w:szCs w:val="24"/>
          <w:highlight w:val="none"/>
        </w:rPr>
        <w:t>责</w:t>
      </w:r>
      <w:r>
        <w:rPr>
          <w:rFonts w:hint="eastAsia" w:ascii="宋体" w:hAnsi="宋体" w:eastAsia="宋体" w:cs="宋体"/>
          <w:color w:val="auto"/>
          <w:kern w:val="0"/>
          <w:sz w:val="24"/>
          <w:szCs w:val="24"/>
          <w:highlight w:val="none"/>
        </w:rPr>
        <w:t>任。</w:t>
      </w:r>
    </w:p>
    <w:p w14:paraId="733D5756">
      <w:pPr>
        <w:autoSpaceDE w:val="0"/>
        <w:autoSpaceDN w:val="0"/>
        <w:adjustRightInd w:val="0"/>
        <w:spacing w:line="360" w:lineRule="auto"/>
        <w:ind w:right="-20" w:firstLine="486" w:firstLineChars="200"/>
        <w:jc w:val="left"/>
        <w:rPr>
          <w:rFonts w:hint="eastAsia" w:ascii="宋体" w:hAnsi="宋体" w:eastAsia="宋体" w:cs="宋体"/>
          <w:b/>
          <w:color w:val="auto"/>
          <w:kern w:val="0"/>
          <w:sz w:val="24"/>
          <w:szCs w:val="24"/>
          <w:highlight w:val="none"/>
        </w:rPr>
      </w:pPr>
      <w:r>
        <w:rPr>
          <w:rFonts w:hint="eastAsia" w:ascii="宋体" w:hAnsi="宋体" w:eastAsia="宋体" w:cs="宋体"/>
          <w:b/>
          <w:color w:val="auto"/>
          <w:spacing w:val="1"/>
          <w:kern w:val="0"/>
          <w:sz w:val="24"/>
          <w:szCs w:val="24"/>
          <w:highlight w:val="none"/>
        </w:rPr>
        <w:t>1</w:t>
      </w:r>
      <w:r>
        <w:rPr>
          <w:rFonts w:hint="eastAsia" w:ascii="宋体" w:hAnsi="宋体" w:eastAsia="宋体" w:cs="宋体"/>
          <w:b/>
          <w:color w:val="auto"/>
          <w:spacing w:val="-1"/>
          <w:kern w:val="0"/>
          <w:sz w:val="24"/>
          <w:szCs w:val="24"/>
          <w:highlight w:val="none"/>
        </w:rPr>
        <w:t>.</w:t>
      </w:r>
      <w:r>
        <w:rPr>
          <w:rFonts w:hint="eastAsia" w:ascii="宋体" w:hAnsi="宋体" w:eastAsia="宋体" w:cs="宋体"/>
          <w:b/>
          <w:color w:val="auto"/>
          <w:kern w:val="0"/>
          <w:sz w:val="24"/>
          <w:szCs w:val="24"/>
          <w:highlight w:val="none"/>
        </w:rPr>
        <w:t>7语言文字</w:t>
      </w:r>
    </w:p>
    <w:p w14:paraId="379CDC5F">
      <w:pPr>
        <w:autoSpaceDE w:val="0"/>
        <w:autoSpaceDN w:val="0"/>
        <w:adjustRightInd w:val="0"/>
        <w:spacing w:line="360" w:lineRule="auto"/>
        <w:ind w:right="-20"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磋商文件、</w:t>
      </w:r>
      <w:r>
        <w:rPr>
          <w:rFonts w:hint="eastAsia" w:ascii="宋体" w:hAnsi="宋体" w:eastAsia="宋体" w:cs="宋体"/>
          <w:color w:val="auto"/>
          <w:spacing w:val="-2"/>
          <w:kern w:val="0"/>
          <w:sz w:val="24"/>
          <w:szCs w:val="24"/>
          <w:highlight w:val="none"/>
        </w:rPr>
        <w:t>磋商响应文件使</w:t>
      </w:r>
      <w:r>
        <w:rPr>
          <w:rFonts w:hint="eastAsia" w:ascii="宋体" w:hAnsi="宋体" w:eastAsia="宋体" w:cs="宋体"/>
          <w:color w:val="auto"/>
          <w:kern w:val="0"/>
          <w:sz w:val="24"/>
          <w:szCs w:val="24"/>
          <w:highlight w:val="none"/>
        </w:rPr>
        <w:t>用</w:t>
      </w:r>
      <w:r>
        <w:rPr>
          <w:rFonts w:hint="eastAsia" w:ascii="宋体" w:hAnsi="宋体" w:eastAsia="宋体" w:cs="宋体"/>
          <w:color w:val="auto"/>
          <w:spacing w:val="-2"/>
          <w:kern w:val="0"/>
          <w:sz w:val="24"/>
          <w:szCs w:val="24"/>
          <w:highlight w:val="none"/>
        </w:rPr>
        <w:t>的</w:t>
      </w:r>
      <w:r>
        <w:rPr>
          <w:rFonts w:hint="eastAsia" w:ascii="宋体" w:hAnsi="宋体" w:eastAsia="宋体" w:cs="宋体"/>
          <w:color w:val="auto"/>
          <w:kern w:val="0"/>
          <w:sz w:val="24"/>
          <w:szCs w:val="24"/>
          <w:highlight w:val="none"/>
        </w:rPr>
        <w:t>语</w:t>
      </w:r>
      <w:r>
        <w:rPr>
          <w:rFonts w:hint="eastAsia" w:ascii="宋体" w:hAnsi="宋体" w:eastAsia="宋体" w:cs="宋体"/>
          <w:color w:val="auto"/>
          <w:spacing w:val="-2"/>
          <w:kern w:val="0"/>
          <w:sz w:val="24"/>
          <w:szCs w:val="24"/>
          <w:highlight w:val="none"/>
        </w:rPr>
        <w:t>言</w:t>
      </w:r>
      <w:r>
        <w:rPr>
          <w:rFonts w:hint="eastAsia" w:ascii="宋体" w:hAnsi="宋体" w:eastAsia="宋体" w:cs="宋体"/>
          <w:color w:val="auto"/>
          <w:kern w:val="0"/>
          <w:sz w:val="24"/>
          <w:szCs w:val="24"/>
          <w:highlight w:val="none"/>
        </w:rPr>
        <w:t>文字</w:t>
      </w:r>
      <w:r>
        <w:rPr>
          <w:rFonts w:hint="eastAsia" w:ascii="宋体" w:hAnsi="宋体" w:eastAsia="宋体" w:cs="宋体"/>
          <w:color w:val="auto"/>
          <w:spacing w:val="-2"/>
          <w:kern w:val="0"/>
          <w:sz w:val="24"/>
          <w:szCs w:val="24"/>
          <w:highlight w:val="none"/>
        </w:rPr>
        <w:t>为</w:t>
      </w:r>
      <w:r>
        <w:rPr>
          <w:rFonts w:hint="eastAsia" w:ascii="宋体" w:hAnsi="宋体" w:eastAsia="宋体" w:cs="宋体"/>
          <w:color w:val="auto"/>
          <w:kern w:val="0"/>
          <w:sz w:val="24"/>
          <w:szCs w:val="24"/>
          <w:highlight w:val="none"/>
        </w:rPr>
        <w:t>中</w:t>
      </w:r>
      <w:r>
        <w:rPr>
          <w:rFonts w:hint="eastAsia" w:ascii="宋体" w:hAnsi="宋体" w:eastAsia="宋体" w:cs="宋体"/>
          <w:color w:val="auto"/>
          <w:spacing w:val="-2"/>
          <w:kern w:val="0"/>
          <w:sz w:val="24"/>
          <w:szCs w:val="24"/>
          <w:highlight w:val="none"/>
        </w:rPr>
        <w:t>文</w:t>
      </w:r>
      <w:r>
        <w:rPr>
          <w:rFonts w:hint="eastAsia" w:ascii="宋体" w:hAnsi="宋体" w:eastAsia="宋体" w:cs="宋体"/>
          <w:color w:val="auto"/>
          <w:kern w:val="0"/>
          <w:sz w:val="24"/>
          <w:szCs w:val="24"/>
          <w:highlight w:val="none"/>
        </w:rPr>
        <w:t>。</w:t>
      </w:r>
      <w:r>
        <w:rPr>
          <w:rFonts w:hint="eastAsia" w:ascii="宋体" w:hAnsi="宋体" w:eastAsia="宋体" w:cs="宋体"/>
          <w:color w:val="auto"/>
          <w:spacing w:val="-2"/>
          <w:kern w:val="0"/>
          <w:sz w:val="24"/>
          <w:szCs w:val="24"/>
          <w:highlight w:val="none"/>
        </w:rPr>
        <w:t>专</w:t>
      </w:r>
      <w:r>
        <w:rPr>
          <w:rFonts w:hint="eastAsia" w:ascii="宋体" w:hAnsi="宋体" w:eastAsia="宋体" w:cs="宋体"/>
          <w:color w:val="auto"/>
          <w:kern w:val="0"/>
          <w:sz w:val="24"/>
          <w:szCs w:val="24"/>
          <w:highlight w:val="none"/>
        </w:rPr>
        <w:t>用</w:t>
      </w:r>
      <w:r>
        <w:rPr>
          <w:rFonts w:hint="eastAsia" w:ascii="宋体" w:hAnsi="宋体" w:eastAsia="宋体" w:cs="宋体"/>
          <w:color w:val="auto"/>
          <w:spacing w:val="-2"/>
          <w:kern w:val="0"/>
          <w:sz w:val="24"/>
          <w:szCs w:val="24"/>
          <w:highlight w:val="none"/>
        </w:rPr>
        <w:t>术</w:t>
      </w:r>
      <w:r>
        <w:rPr>
          <w:rFonts w:hint="eastAsia" w:ascii="宋体" w:hAnsi="宋体" w:eastAsia="宋体" w:cs="宋体"/>
          <w:color w:val="auto"/>
          <w:kern w:val="0"/>
          <w:sz w:val="24"/>
          <w:szCs w:val="24"/>
          <w:highlight w:val="none"/>
        </w:rPr>
        <w:t>语</w:t>
      </w:r>
      <w:r>
        <w:rPr>
          <w:rFonts w:hint="eastAsia" w:ascii="宋体" w:hAnsi="宋体" w:eastAsia="宋体" w:cs="宋体"/>
          <w:color w:val="auto"/>
          <w:spacing w:val="-2"/>
          <w:kern w:val="0"/>
          <w:sz w:val="24"/>
          <w:szCs w:val="24"/>
          <w:highlight w:val="none"/>
        </w:rPr>
        <w:t>使</w:t>
      </w:r>
      <w:r>
        <w:rPr>
          <w:rFonts w:hint="eastAsia" w:ascii="宋体" w:hAnsi="宋体" w:eastAsia="宋体" w:cs="宋体"/>
          <w:color w:val="auto"/>
          <w:kern w:val="0"/>
          <w:sz w:val="24"/>
          <w:szCs w:val="24"/>
          <w:highlight w:val="none"/>
        </w:rPr>
        <w:t>用外</w:t>
      </w:r>
      <w:r>
        <w:rPr>
          <w:rFonts w:hint="eastAsia" w:ascii="宋体" w:hAnsi="宋体" w:eastAsia="宋体" w:cs="宋体"/>
          <w:color w:val="auto"/>
          <w:spacing w:val="-2"/>
          <w:kern w:val="0"/>
          <w:sz w:val="24"/>
          <w:szCs w:val="24"/>
          <w:highlight w:val="none"/>
        </w:rPr>
        <w:t>文</w:t>
      </w:r>
      <w:r>
        <w:rPr>
          <w:rFonts w:hint="eastAsia" w:ascii="宋体" w:hAnsi="宋体" w:eastAsia="宋体" w:cs="宋体"/>
          <w:color w:val="auto"/>
          <w:kern w:val="0"/>
          <w:sz w:val="24"/>
          <w:szCs w:val="24"/>
          <w:highlight w:val="none"/>
        </w:rPr>
        <w:t>的</w:t>
      </w:r>
      <w:r>
        <w:rPr>
          <w:rFonts w:hint="eastAsia" w:ascii="宋体" w:hAnsi="宋体" w:eastAsia="宋体" w:cs="宋体"/>
          <w:color w:val="auto"/>
          <w:spacing w:val="-2"/>
          <w:kern w:val="0"/>
          <w:sz w:val="24"/>
          <w:szCs w:val="24"/>
          <w:highlight w:val="none"/>
        </w:rPr>
        <w:t>，</w:t>
      </w:r>
      <w:r>
        <w:rPr>
          <w:rFonts w:hint="eastAsia" w:ascii="宋体" w:hAnsi="宋体" w:eastAsia="宋体" w:cs="宋体"/>
          <w:color w:val="auto"/>
          <w:kern w:val="0"/>
          <w:sz w:val="24"/>
          <w:szCs w:val="24"/>
          <w:highlight w:val="none"/>
        </w:rPr>
        <w:t>应</w:t>
      </w:r>
      <w:r>
        <w:rPr>
          <w:rFonts w:hint="eastAsia" w:ascii="宋体" w:hAnsi="宋体" w:eastAsia="宋体" w:cs="宋体"/>
          <w:color w:val="auto"/>
          <w:spacing w:val="-2"/>
          <w:kern w:val="0"/>
          <w:sz w:val="24"/>
          <w:szCs w:val="24"/>
          <w:highlight w:val="none"/>
        </w:rPr>
        <w:t>附</w:t>
      </w:r>
      <w:r>
        <w:rPr>
          <w:rFonts w:hint="eastAsia" w:ascii="宋体" w:hAnsi="宋体" w:eastAsia="宋体" w:cs="宋体"/>
          <w:color w:val="auto"/>
          <w:kern w:val="0"/>
          <w:sz w:val="24"/>
          <w:szCs w:val="24"/>
          <w:highlight w:val="none"/>
        </w:rPr>
        <w:t>有</w:t>
      </w:r>
      <w:r>
        <w:rPr>
          <w:rFonts w:hint="eastAsia" w:ascii="宋体" w:hAnsi="宋体" w:eastAsia="宋体" w:cs="宋体"/>
          <w:color w:val="auto"/>
          <w:spacing w:val="-2"/>
          <w:kern w:val="0"/>
          <w:sz w:val="24"/>
          <w:szCs w:val="24"/>
          <w:highlight w:val="none"/>
        </w:rPr>
        <w:t>中</w:t>
      </w:r>
      <w:r>
        <w:rPr>
          <w:rFonts w:hint="eastAsia" w:ascii="宋体" w:hAnsi="宋体" w:eastAsia="宋体" w:cs="宋体"/>
          <w:color w:val="auto"/>
          <w:kern w:val="0"/>
          <w:sz w:val="24"/>
          <w:szCs w:val="24"/>
          <w:highlight w:val="none"/>
        </w:rPr>
        <w:t>文</w:t>
      </w:r>
      <w:r>
        <w:rPr>
          <w:rFonts w:hint="eastAsia" w:ascii="宋体" w:hAnsi="宋体" w:eastAsia="宋体" w:cs="宋体"/>
          <w:color w:val="auto"/>
          <w:spacing w:val="-2"/>
          <w:kern w:val="0"/>
          <w:sz w:val="24"/>
          <w:szCs w:val="24"/>
          <w:highlight w:val="none"/>
        </w:rPr>
        <w:t>注</w:t>
      </w:r>
      <w:r>
        <w:rPr>
          <w:rFonts w:hint="eastAsia" w:ascii="宋体" w:hAnsi="宋体" w:eastAsia="宋体" w:cs="宋体"/>
          <w:color w:val="auto"/>
          <w:kern w:val="0"/>
          <w:sz w:val="24"/>
          <w:szCs w:val="24"/>
          <w:highlight w:val="none"/>
        </w:rPr>
        <w:t>释。</w:t>
      </w:r>
    </w:p>
    <w:p w14:paraId="4411D2FB">
      <w:pPr>
        <w:autoSpaceDE w:val="0"/>
        <w:autoSpaceDN w:val="0"/>
        <w:adjustRightInd w:val="0"/>
        <w:spacing w:line="360" w:lineRule="auto"/>
        <w:ind w:right="-20" w:firstLine="486" w:firstLineChars="200"/>
        <w:jc w:val="left"/>
        <w:rPr>
          <w:rFonts w:hint="eastAsia" w:ascii="宋体" w:hAnsi="宋体" w:eastAsia="宋体" w:cs="宋体"/>
          <w:b/>
          <w:color w:val="auto"/>
          <w:kern w:val="0"/>
          <w:sz w:val="24"/>
          <w:szCs w:val="24"/>
          <w:highlight w:val="none"/>
        </w:rPr>
      </w:pPr>
      <w:r>
        <w:rPr>
          <w:rFonts w:hint="eastAsia" w:ascii="宋体" w:hAnsi="宋体" w:eastAsia="宋体" w:cs="宋体"/>
          <w:b/>
          <w:color w:val="auto"/>
          <w:spacing w:val="1"/>
          <w:kern w:val="0"/>
          <w:sz w:val="24"/>
          <w:szCs w:val="24"/>
          <w:highlight w:val="none"/>
        </w:rPr>
        <w:t>1</w:t>
      </w:r>
      <w:r>
        <w:rPr>
          <w:rFonts w:hint="eastAsia" w:ascii="宋体" w:hAnsi="宋体" w:eastAsia="宋体" w:cs="宋体"/>
          <w:b/>
          <w:color w:val="auto"/>
          <w:spacing w:val="-1"/>
          <w:kern w:val="0"/>
          <w:sz w:val="24"/>
          <w:szCs w:val="24"/>
          <w:highlight w:val="none"/>
        </w:rPr>
        <w:t>.</w:t>
      </w:r>
      <w:r>
        <w:rPr>
          <w:rFonts w:hint="eastAsia" w:ascii="宋体" w:hAnsi="宋体" w:eastAsia="宋体" w:cs="宋体"/>
          <w:b/>
          <w:color w:val="auto"/>
          <w:kern w:val="0"/>
          <w:sz w:val="24"/>
          <w:szCs w:val="24"/>
          <w:highlight w:val="none"/>
        </w:rPr>
        <w:t>8计量单位</w:t>
      </w:r>
    </w:p>
    <w:p w14:paraId="12F56088">
      <w:pPr>
        <w:autoSpaceDE w:val="0"/>
        <w:autoSpaceDN w:val="0"/>
        <w:adjustRightInd w:val="0"/>
        <w:spacing w:line="360" w:lineRule="auto"/>
        <w:ind w:right="-20"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所有</w:t>
      </w:r>
      <w:r>
        <w:rPr>
          <w:rFonts w:hint="eastAsia" w:ascii="宋体" w:hAnsi="宋体" w:eastAsia="宋体" w:cs="宋体"/>
          <w:color w:val="auto"/>
          <w:spacing w:val="-2"/>
          <w:kern w:val="0"/>
          <w:sz w:val="24"/>
          <w:szCs w:val="24"/>
          <w:highlight w:val="none"/>
        </w:rPr>
        <w:t>计</w:t>
      </w:r>
      <w:r>
        <w:rPr>
          <w:rFonts w:hint="eastAsia" w:ascii="宋体" w:hAnsi="宋体" w:eastAsia="宋体" w:cs="宋体"/>
          <w:color w:val="auto"/>
          <w:kern w:val="0"/>
          <w:sz w:val="24"/>
          <w:szCs w:val="24"/>
          <w:highlight w:val="none"/>
        </w:rPr>
        <w:t>量</w:t>
      </w:r>
      <w:r>
        <w:rPr>
          <w:rFonts w:hint="eastAsia" w:ascii="宋体" w:hAnsi="宋体" w:eastAsia="宋体" w:cs="宋体"/>
          <w:color w:val="auto"/>
          <w:spacing w:val="-2"/>
          <w:kern w:val="0"/>
          <w:sz w:val="24"/>
          <w:szCs w:val="24"/>
          <w:highlight w:val="none"/>
        </w:rPr>
        <w:t>均</w:t>
      </w:r>
      <w:r>
        <w:rPr>
          <w:rFonts w:hint="eastAsia" w:ascii="宋体" w:hAnsi="宋体" w:eastAsia="宋体" w:cs="宋体"/>
          <w:color w:val="auto"/>
          <w:kern w:val="0"/>
          <w:sz w:val="24"/>
          <w:szCs w:val="24"/>
          <w:highlight w:val="none"/>
        </w:rPr>
        <w:t>采</w:t>
      </w:r>
      <w:r>
        <w:rPr>
          <w:rFonts w:hint="eastAsia" w:ascii="宋体" w:hAnsi="宋体" w:eastAsia="宋体" w:cs="宋体"/>
          <w:color w:val="auto"/>
          <w:spacing w:val="-2"/>
          <w:kern w:val="0"/>
          <w:sz w:val="24"/>
          <w:szCs w:val="24"/>
          <w:highlight w:val="none"/>
        </w:rPr>
        <w:t>用</w:t>
      </w:r>
      <w:r>
        <w:rPr>
          <w:rFonts w:hint="eastAsia" w:ascii="宋体" w:hAnsi="宋体" w:eastAsia="宋体" w:cs="宋体"/>
          <w:color w:val="auto"/>
          <w:kern w:val="0"/>
          <w:sz w:val="24"/>
          <w:szCs w:val="24"/>
          <w:highlight w:val="none"/>
        </w:rPr>
        <w:t>中</w:t>
      </w:r>
      <w:r>
        <w:rPr>
          <w:rFonts w:hint="eastAsia" w:ascii="宋体" w:hAnsi="宋体" w:eastAsia="宋体" w:cs="宋体"/>
          <w:color w:val="auto"/>
          <w:spacing w:val="-2"/>
          <w:kern w:val="0"/>
          <w:sz w:val="24"/>
          <w:szCs w:val="24"/>
          <w:highlight w:val="none"/>
        </w:rPr>
        <w:t>华</w:t>
      </w:r>
      <w:r>
        <w:rPr>
          <w:rFonts w:hint="eastAsia" w:ascii="宋体" w:hAnsi="宋体" w:eastAsia="宋体" w:cs="宋体"/>
          <w:color w:val="auto"/>
          <w:kern w:val="0"/>
          <w:sz w:val="24"/>
          <w:szCs w:val="24"/>
          <w:highlight w:val="none"/>
        </w:rPr>
        <w:t>人</w:t>
      </w:r>
      <w:r>
        <w:rPr>
          <w:rFonts w:hint="eastAsia" w:ascii="宋体" w:hAnsi="宋体" w:eastAsia="宋体" w:cs="宋体"/>
          <w:color w:val="auto"/>
          <w:spacing w:val="-2"/>
          <w:kern w:val="0"/>
          <w:sz w:val="24"/>
          <w:szCs w:val="24"/>
          <w:highlight w:val="none"/>
        </w:rPr>
        <w:t>民</w:t>
      </w:r>
      <w:r>
        <w:rPr>
          <w:rFonts w:hint="eastAsia" w:ascii="宋体" w:hAnsi="宋体" w:eastAsia="宋体" w:cs="宋体"/>
          <w:color w:val="auto"/>
          <w:kern w:val="0"/>
          <w:sz w:val="24"/>
          <w:szCs w:val="24"/>
          <w:highlight w:val="none"/>
        </w:rPr>
        <w:t>共和</w:t>
      </w:r>
      <w:r>
        <w:rPr>
          <w:rFonts w:hint="eastAsia" w:ascii="宋体" w:hAnsi="宋体" w:eastAsia="宋体" w:cs="宋体"/>
          <w:color w:val="auto"/>
          <w:spacing w:val="-2"/>
          <w:kern w:val="0"/>
          <w:sz w:val="24"/>
          <w:szCs w:val="24"/>
          <w:highlight w:val="none"/>
        </w:rPr>
        <w:t>国</w:t>
      </w:r>
      <w:r>
        <w:rPr>
          <w:rFonts w:hint="eastAsia" w:ascii="宋体" w:hAnsi="宋体" w:eastAsia="宋体" w:cs="宋体"/>
          <w:color w:val="auto"/>
          <w:kern w:val="0"/>
          <w:sz w:val="24"/>
          <w:szCs w:val="24"/>
          <w:highlight w:val="none"/>
        </w:rPr>
        <w:t>法</w:t>
      </w:r>
      <w:r>
        <w:rPr>
          <w:rFonts w:hint="eastAsia" w:ascii="宋体" w:hAnsi="宋体" w:eastAsia="宋体" w:cs="宋体"/>
          <w:color w:val="auto"/>
          <w:spacing w:val="-2"/>
          <w:kern w:val="0"/>
          <w:sz w:val="24"/>
          <w:szCs w:val="24"/>
          <w:highlight w:val="none"/>
        </w:rPr>
        <w:t>定</w:t>
      </w:r>
      <w:r>
        <w:rPr>
          <w:rFonts w:hint="eastAsia" w:ascii="宋体" w:hAnsi="宋体" w:eastAsia="宋体" w:cs="宋体"/>
          <w:color w:val="auto"/>
          <w:kern w:val="0"/>
          <w:sz w:val="24"/>
          <w:szCs w:val="24"/>
          <w:highlight w:val="none"/>
        </w:rPr>
        <w:t>计</w:t>
      </w:r>
      <w:r>
        <w:rPr>
          <w:rFonts w:hint="eastAsia" w:ascii="宋体" w:hAnsi="宋体" w:eastAsia="宋体" w:cs="宋体"/>
          <w:color w:val="auto"/>
          <w:spacing w:val="-2"/>
          <w:kern w:val="0"/>
          <w:sz w:val="24"/>
          <w:szCs w:val="24"/>
          <w:highlight w:val="none"/>
        </w:rPr>
        <w:t>量</w:t>
      </w:r>
      <w:r>
        <w:rPr>
          <w:rFonts w:hint="eastAsia" w:ascii="宋体" w:hAnsi="宋体" w:eastAsia="宋体" w:cs="宋体"/>
          <w:color w:val="auto"/>
          <w:kern w:val="0"/>
          <w:sz w:val="24"/>
          <w:szCs w:val="24"/>
          <w:highlight w:val="none"/>
        </w:rPr>
        <w:t>单</w:t>
      </w:r>
      <w:r>
        <w:rPr>
          <w:rFonts w:hint="eastAsia" w:ascii="宋体" w:hAnsi="宋体" w:eastAsia="宋体" w:cs="宋体"/>
          <w:color w:val="auto"/>
          <w:spacing w:val="-2"/>
          <w:kern w:val="0"/>
          <w:sz w:val="24"/>
          <w:szCs w:val="24"/>
          <w:highlight w:val="none"/>
        </w:rPr>
        <w:t>位</w:t>
      </w:r>
      <w:r>
        <w:rPr>
          <w:rFonts w:hint="eastAsia" w:ascii="宋体" w:hAnsi="宋体" w:eastAsia="宋体" w:cs="宋体"/>
          <w:color w:val="auto"/>
          <w:kern w:val="0"/>
          <w:sz w:val="24"/>
          <w:szCs w:val="24"/>
          <w:highlight w:val="none"/>
        </w:rPr>
        <w:t>。</w:t>
      </w:r>
    </w:p>
    <w:p w14:paraId="32816962">
      <w:pPr>
        <w:autoSpaceDE w:val="0"/>
        <w:autoSpaceDN w:val="0"/>
        <w:adjustRightInd w:val="0"/>
        <w:spacing w:line="360" w:lineRule="auto"/>
        <w:ind w:right="-20" w:firstLine="486" w:firstLineChars="200"/>
        <w:jc w:val="left"/>
        <w:rPr>
          <w:rFonts w:hint="eastAsia" w:ascii="宋体" w:hAnsi="宋体" w:eastAsia="宋体" w:cs="宋体"/>
          <w:b/>
          <w:color w:val="auto"/>
          <w:spacing w:val="-2"/>
          <w:kern w:val="0"/>
          <w:sz w:val="24"/>
          <w:szCs w:val="24"/>
          <w:highlight w:val="none"/>
        </w:rPr>
      </w:pPr>
      <w:r>
        <w:rPr>
          <w:rFonts w:hint="eastAsia" w:ascii="宋体" w:hAnsi="宋体" w:eastAsia="宋体" w:cs="宋体"/>
          <w:b/>
          <w:color w:val="auto"/>
          <w:spacing w:val="1"/>
          <w:kern w:val="0"/>
          <w:sz w:val="24"/>
          <w:szCs w:val="24"/>
          <w:highlight w:val="none"/>
        </w:rPr>
        <w:t>1</w:t>
      </w:r>
      <w:r>
        <w:rPr>
          <w:rFonts w:hint="eastAsia" w:ascii="宋体" w:hAnsi="宋体" w:eastAsia="宋体" w:cs="宋体"/>
          <w:b/>
          <w:color w:val="auto"/>
          <w:spacing w:val="-1"/>
          <w:kern w:val="0"/>
          <w:sz w:val="24"/>
          <w:szCs w:val="24"/>
          <w:highlight w:val="none"/>
        </w:rPr>
        <w:t>.</w:t>
      </w:r>
      <w:r>
        <w:rPr>
          <w:rFonts w:hint="eastAsia" w:ascii="宋体" w:hAnsi="宋体" w:eastAsia="宋体" w:cs="宋体"/>
          <w:b/>
          <w:color w:val="auto"/>
          <w:kern w:val="0"/>
          <w:sz w:val="24"/>
          <w:szCs w:val="24"/>
          <w:highlight w:val="none"/>
        </w:rPr>
        <w:t>9</w:t>
      </w:r>
      <w:r>
        <w:rPr>
          <w:rFonts w:hint="eastAsia" w:ascii="宋体" w:hAnsi="宋体" w:eastAsia="宋体" w:cs="宋体"/>
          <w:b/>
          <w:color w:val="auto"/>
          <w:sz w:val="24"/>
          <w:szCs w:val="24"/>
          <w:highlight w:val="none"/>
        </w:rPr>
        <w:t>踏勘现场</w:t>
      </w:r>
    </w:p>
    <w:p w14:paraId="2215AF32">
      <w:pPr>
        <w:spacing w:line="360" w:lineRule="auto"/>
        <w:ind w:firstLine="480" w:firstLineChars="200"/>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1.9.1采购人不组织现场踏勘，由供应商自行踏勘。</w:t>
      </w:r>
    </w:p>
    <w:p w14:paraId="3A79BD4C">
      <w:pPr>
        <w:spacing w:line="360" w:lineRule="auto"/>
        <w:ind w:firstLine="480" w:firstLineChars="200"/>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1.9.2供应商踏勘现场发生的费用自理。</w:t>
      </w:r>
    </w:p>
    <w:p w14:paraId="0D92DFFA">
      <w:pPr>
        <w:spacing w:line="360" w:lineRule="auto"/>
        <w:ind w:firstLine="464" w:firstLineChars="200"/>
        <w:rPr>
          <w:rFonts w:hint="eastAsia" w:ascii="宋体" w:hAnsi="宋体" w:eastAsia="宋体" w:cs="宋体"/>
          <w:color w:val="auto"/>
          <w:sz w:val="24"/>
          <w:szCs w:val="28"/>
          <w:highlight w:val="none"/>
        </w:rPr>
      </w:pPr>
      <w:r>
        <w:rPr>
          <w:rFonts w:hint="eastAsia" w:ascii="宋体" w:hAnsi="宋体" w:eastAsia="宋体" w:cs="宋体"/>
          <w:snapToGrid w:val="0"/>
          <w:color w:val="auto"/>
          <w:spacing w:val="-4"/>
          <w:kern w:val="0"/>
          <w:sz w:val="24"/>
          <w:szCs w:val="24"/>
          <w:highlight w:val="none"/>
        </w:rPr>
        <w:t>1.9.3</w:t>
      </w:r>
      <w:r>
        <w:rPr>
          <w:rFonts w:hint="eastAsia" w:ascii="宋体" w:hAnsi="宋体" w:eastAsia="宋体" w:cs="宋体"/>
          <w:snapToGrid w:val="0"/>
          <w:color w:val="auto"/>
          <w:spacing w:val="-2"/>
          <w:kern w:val="0"/>
          <w:sz w:val="24"/>
          <w:szCs w:val="24"/>
          <w:highlight w:val="none"/>
        </w:rPr>
        <w:t>除采购人的原因外，潜在供应商自行负责在踏勘现场中所发生的人员伤亡和财产</w:t>
      </w:r>
      <w:r>
        <w:rPr>
          <w:rFonts w:hint="eastAsia" w:ascii="宋体" w:hAnsi="宋体" w:eastAsia="宋体" w:cs="宋体"/>
          <w:snapToGrid w:val="0"/>
          <w:color w:val="auto"/>
          <w:spacing w:val="-8"/>
          <w:kern w:val="0"/>
          <w:sz w:val="24"/>
          <w:szCs w:val="24"/>
          <w:highlight w:val="none"/>
        </w:rPr>
        <w:t>损失。</w:t>
      </w:r>
    </w:p>
    <w:p w14:paraId="7DB5FC1B">
      <w:pPr>
        <w:widowControl/>
        <w:kinsoku w:val="0"/>
        <w:autoSpaceDE w:val="0"/>
        <w:autoSpaceDN w:val="0"/>
        <w:adjustRightInd w:val="0"/>
        <w:snapToGrid w:val="0"/>
        <w:spacing w:line="360" w:lineRule="auto"/>
        <w:ind w:left="37" w:right="24" w:firstLine="464" w:firstLineChars="200"/>
        <w:jc w:val="left"/>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spacing w:val="-4"/>
          <w:kern w:val="0"/>
          <w:sz w:val="24"/>
          <w:szCs w:val="24"/>
          <w:highlight w:val="none"/>
        </w:rPr>
        <w:t>1.9.4</w:t>
      </w:r>
      <w:r>
        <w:rPr>
          <w:rFonts w:hint="eastAsia" w:ascii="宋体" w:hAnsi="宋体" w:eastAsia="宋体" w:cs="宋体"/>
          <w:snapToGrid w:val="0"/>
          <w:color w:val="auto"/>
          <w:spacing w:val="-2"/>
          <w:kern w:val="0"/>
          <w:sz w:val="24"/>
          <w:szCs w:val="24"/>
          <w:highlight w:val="none"/>
        </w:rPr>
        <w:t>采购人在踏勘现场中介绍的项目现场和相关的周边环境情况，供潜在供应商在编</w:t>
      </w:r>
      <w:r>
        <w:rPr>
          <w:rFonts w:hint="eastAsia" w:ascii="宋体" w:hAnsi="宋体" w:eastAsia="宋体" w:cs="宋体"/>
          <w:snapToGrid w:val="0"/>
          <w:color w:val="auto"/>
          <w:spacing w:val="-6"/>
          <w:kern w:val="0"/>
          <w:sz w:val="24"/>
          <w:szCs w:val="24"/>
          <w:highlight w:val="none"/>
        </w:rPr>
        <w:t>制磋商响应文件</w:t>
      </w:r>
      <w:r>
        <w:rPr>
          <w:rFonts w:hint="eastAsia" w:ascii="宋体" w:hAnsi="宋体" w:eastAsia="宋体" w:cs="宋体"/>
          <w:snapToGrid w:val="0"/>
          <w:color w:val="auto"/>
          <w:spacing w:val="-3"/>
          <w:kern w:val="0"/>
          <w:sz w:val="24"/>
          <w:szCs w:val="24"/>
          <w:highlight w:val="none"/>
        </w:rPr>
        <w:t>时参考，采购人不对供应商据此作出的判断和决策负责。</w:t>
      </w:r>
    </w:p>
    <w:p w14:paraId="09DBC8E2">
      <w:pPr>
        <w:autoSpaceDE w:val="0"/>
        <w:autoSpaceDN w:val="0"/>
        <w:adjustRightInd w:val="0"/>
        <w:spacing w:line="360" w:lineRule="auto"/>
        <w:ind w:right="-20" w:firstLine="482" w:firstLineChars="200"/>
        <w:jc w:val="left"/>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1.10磋商预</w:t>
      </w:r>
      <w:r>
        <w:rPr>
          <w:rFonts w:hint="eastAsia" w:ascii="宋体" w:hAnsi="宋体" w:eastAsia="宋体" w:cs="宋体"/>
          <w:b/>
          <w:color w:val="auto"/>
          <w:spacing w:val="-3"/>
          <w:kern w:val="0"/>
          <w:sz w:val="24"/>
          <w:szCs w:val="24"/>
          <w:highlight w:val="none"/>
        </w:rPr>
        <w:t>备</w:t>
      </w:r>
      <w:r>
        <w:rPr>
          <w:rFonts w:hint="eastAsia" w:ascii="宋体" w:hAnsi="宋体" w:eastAsia="宋体" w:cs="宋体"/>
          <w:b/>
          <w:color w:val="auto"/>
          <w:kern w:val="0"/>
          <w:sz w:val="24"/>
          <w:szCs w:val="24"/>
          <w:highlight w:val="none"/>
        </w:rPr>
        <w:t>会</w:t>
      </w:r>
    </w:p>
    <w:p w14:paraId="3E6B335D">
      <w:pPr>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不召开</w:t>
      </w:r>
    </w:p>
    <w:p w14:paraId="2C7AB934">
      <w:pPr>
        <w:spacing w:line="360" w:lineRule="auto"/>
        <w:ind w:firstLine="482" w:firstLineChars="200"/>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1.11响应和偏差</w:t>
      </w:r>
    </w:p>
    <w:p w14:paraId="558491FD">
      <w:pPr>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1.11.1磋商响应文件应当对竞争性磋商文件的实质性要求和条件作出满足性或更有利于采购人的响应，否则，供应商的投标将被否决。实质性要求和条件见供应商须知前附表。</w:t>
      </w:r>
    </w:p>
    <w:p w14:paraId="49B5DF4D">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1.12投标费用</w:t>
      </w:r>
    </w:p>
    <w:p w14:paraId="19691FEE">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供应商承担其</w:t>
      </w:r>
      <w:r>
        <w:rPr>
          <w:rFonts w:hint="eastAsia" w:ascii="宋体" w:hAnsi="宋体" w:eastAsia="宋体" w:cs="宋体"/>
          <w:color w:val="auto"/>
          <w:kern w:val="0"/>
          <w:sz w:val="24"/>
          <w:szCs w:val="24"/>
          <w:highlight w:val="none"/>
        </w:rPr>
        <w:t>磋商响应文件</w:t>
      </w:r>
      <w:r>
        <w:rPr>
          <w:rFonts w:hint="eastAsia" w:ascii="宋体" w:hAnsi="宋体" w:eastAsia="宋体" w:cs="宋体"/>
          <w:color w:val="auto"/>
          <w:sz w:val="24"/>
          <w:szCs w:val="24"/>
          <w:highlight w:val="none"/>
        </w:rPr>
        <w:t>编制与递交所涉及的一切费用。在任何情况下采购人和采购代理机构对上述费用均不承担任何责任。</w:t>
      </w:r>
    </w:p>
    <w:p w14:paraId="49053F11">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1.13保证</w:t>
      </w:r>
    </w:p>
    <w:p w14:paraId="75131D98">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供应商应保证在</w:t>
      </w:r>
      <w:r>
        <w:rPr>
          <w:rFonts w:hint="eastAsia" w:ascii="宋体" w:hAnsi="宋体" w:eastAsia="宋体" w:cs="宋体"/>
          <w:color w:val="auto"/>
          <w:kern w:val="0"/>
          <w:sz w:val="24"/>
          <w:szCs w:val="24"/>
          <w:highlight w:val="none"/>
        </w:rPr>
        <w:t>磋商响应文件</w:t>
      </w:r>
      <w:r>
        <w:rPr>
          <w:rFonts w:hint="eastAsia" w:ascii="宋体" w:hAnsi="宋体" w:eastAsia="宋体" w:cs="宋体"/>
          <w:color w:val="auto"/>
          <w:sz w:val="24"/>
          <w:szCs w:val="24"/>
          <w:highlight w:val="none"/>
        </w:rPr>
        <w:t>中所提交的资料和数据是真实的。</w:t>
      </w:r>
    </w:p>
    <w:p w14:paraId="341BDD03">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1.14定义及解释</w:t>
      </w:r>
    </w:p>
    <w:p w14:paraId="10824A66">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1.14.1</w:t>
      </w:r>
      <w:r>
        <w:rPr>
          <w:rFonts w:hint="eastAsia" w:ascii="宋体" w:hAnsi="宋体" w:eastAsia="宋体" w:cs="宋体"/>
          <w:color w:val="auto"/>
          <w:sz w:val="24"/>
          <w:szCs w:val="24"/>
          <w:highlight w:val="none"/>
        </w:rPr>
        <w:t>货物：系指供应商按竞争性磋商文件规定而提供的货物及其他有关资料和材料。</w:t>
      </w:r>
    </w:p>
    <w:p w14:paraId="51195BF5">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1.14.2</w:t>
      </w:r>
      <w:r>
        <w:rPr>
          <w:rFonts w:hint="eastAsia" w:ascii="宋体" w:hAnsi="宋体" w:eastAsia="宋体" w:cs="宋体"/>
          <w:color w:val="auto"/>
          <w:sz w:val="24"/>
          <w:szCs w:val="24"/>
          <w:highlight w:val="none"/>
        </w:rPr>
        <w:t>服务：系指供应商按竞争性磋商文件提供的服务。</w:t>
      </w:r>
    </w:p>
    <w:p w14:paraId="37C507B1">
      <w:pPr>
        <w:spacing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bCs/>
          <w:color w:val="auto"/>
          <w:sz w:val="24"/>
          <w:szCs w:val="24"/>
          <w:highlight w:val="none"/>
        </w:rPr>
        <w:t>1.14.3</w:t>
      </w:r>
      <w:r>
        <w:rPr>
          <w:rFonts w:hint="eastAsia" w:ascii="宋体" w:hAnsi="宋体" w:eastAsia="宋体" w:cs="宋体"/>
          <w:color w:val="auto"/>
          <w:sz w:val="24"/>
          <w:szCs w:val="24"/>
          <w:highlight w:val="none"/>
        </w:rPr>
        <w:t>采购人：</w:t>
      </w:r>
      <w:r>
        <w:rPr>
          <w:rFonts w:hint="eastAsia" w:ascii="宋体" w:hAnsi="宋体" w:cs="宋体"/>
          <w:color w:val="auto"/>
          <w:sz w:val="24"/>
          <w:szCs w:val="24"/>
          <w:highlight w:val="none"/>
          <w:lang w:eastAsia="zh-CN"/>
        </w:rPr>
        <w:t>灵宝市应急管理局</w:t>
      </w:r>
      <w:r>
        <w:rPr>
          <w:rFonts w:hint="eastAsia" w:ascii="宋体" w:hAnsi="宋体" w:eastAsia="宋体" w:cs="宋体"/>
          <w:color w:val="auto"/>
          <w:sz w:val="24"/>
          <w:szCs w:val="24"/>
          <w:highlight w:val="none"/>
        </w:rPr>
        <w:t>。</w:t>
      </w:r>
    </w:p>
    <w:p w14:paraId="03F4D69D">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1.14.4</w:t>
      </w:r>
      <w:r>
        <w:rPr>
          <w:rFonts w:hint="eastAsia" w:ascii="宋体" w:hAnsi="宋体" w:eastAsia="宋体" w:cs="宋体"/>
          <w:color w:val="auto"/>
          <w:sz w:val="24"/>
          <w:szCs w:val="24"/>
          <w:highlight w:val="none"/>
        </w:rPr>
        <w:t>供应商：是指响应磋商、参加磋商竞争的法人或者其他组织。</w:t>
      </w:r>
    </w:p>
    <w:p w14:paraId="78BBF99A">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1.14.5</w:t>
      </w:r>
      <w:r>
        <w:rPr>
          <w:rFonts w:hint="eastAsia" w:ascii="宋体" w:hAnsi="宋体" w:eastAsia="宋体" w:cs="宋体"/>
          <w:color w:val="auto"/>
          <w:sz w:val="24"/>
          <w:szCs w:val="24"/>
          <w:highlight w:val="none"/>
        </w:rPr>
        <w:t>采购代理机构：</w:t>
      </w:r>
      <w:r>
        <w:rPr>
          <w:rFonts w:hint="eastAsia" w:ascii="宋体" w:hAnsi="宋体" w:cs="宋体"/>
          <w:color w:val="auto"/>
          <w:sz w:val="24"/>
          <w:szCs w:val="24"/>
          <w:highlight w:val="none"/>
          <w:lang w:eastAsia="zh-CN"/>
        </w:rPr>
        <w:t>河南坤源工程咨询管理有限公司</w:t>
      </w:r>
      <w:r>
        <w:rPr>
          <w:rFonts w:hint="eastAsia" w:ascii="宋体" w:hAnsi="宋体" w:eastAsia="宋体" w:cs="宋体"/>
          <w:color w:val="auto"/>
          <w:sz w:val="24"/>
          <w:szCs w:val="24"/>
          <w:highlight w:val="none"/>
        </w:rPr>
        <w:t>。</w:t>
      </w:r>
    </w:p>
    <w:p w14:paraId="4289C186">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1.14.6</w:t>
      </w:r>
      <w:r>
        <w:rPr>
          <w:rFonts w:hint="eastAsia" w:ascii="宋体" w:hAnsi="宋体" w:eastAsia="宋体" w:cs="宋体"/>
          <w:color w:val="auto"/>
          <w:sz w:val="24"/>
          <w:szCs w:val="24"/>
          <w:highlight w:val="none"/>
        </w:rPr>
        <w:t>磋商小组：是指按照《中华人民共和国政府采购法》</w:t>
      </w:r>
      <w:r>
        <w:rPr>
          <w:rFonts w:hint="eastAsia" w:ascii="宋体" w:hAnsi="宋体" w:eastAsia="宋体" w:cs="宋体"/>
          <w:color w:val="auto"/>
          <w:kern w:val="0"/>
          <w:sz w:val="24"/>
          <w:szCs w:val="24"/>
          <w:highlight w:val="none"/>
        </w:rPr>
        <w:t>和</w:t>
      </w:r>
      <w:r>
        <w:rPr>
          <w:rFonts w:hint="eastAsia" w:ascii="宋体" w:hAnsi="宋体" w:eastAsia="宋体" w:cs="宋体"/>
          <w:color w:val="auto"/>
          <w:sz w:val="24"/>
          <w:szCs w:val="24"/>
          <w:highlight w:val="none"/>
        </w:rPr>
        <w:t>《政府采购竞争性磋商采购方式管理暂行办法》</w:t>
      </w:r>
      <w:r>
        <w:rPr>
          <w:rFonts w:hint="eastAsia" w:ascii="宋体" w:hAnsi="宋体" w:eastAsia="宋体" w:cs="宋体"/>
          <w:color w:val="auto"/>
          <w:kern w:val="0"/>
          <w:sz w:val="24"/>
          <w:szCs w:val="24"/>
          <w:highlight w:val="none"/>
        </w:rPr>
        <w:t>的</w:t>
      </w:r>
      <w:r>
        <w:rPr>
          <w:rFonts w:hint="eastAsia" w:ascii="宋体" w:hAnsi="宋体" w:eastAsia="宋体" w:cs="宋体"/>
          <w:color w:val="auto"/>
          <w:sz w:val="24"/>
          <w:szCs w:val="24"/>
          <w:highlight w:val="none"/>
        </w:rPr>
        <w:t>规定组建的专门负责本次磋商的评审工作的临时机构。</w:t>
      </w:r>
    </w:p>
    <w:p w14:paraId="09DEAC3C">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1.14.7</w:t>
      </w:r>
      <w:r>
        <w:rPr>
          <w:rFonts w:hint="eastAsia" w:ascii="宋体" w:hAnsi="宋体" w:eastAsia="宋体" w:cs="宋体"/>
          <w:color w:val="auto"/>
          <w:sz w:val="24"/>
          <w:szCs w:val="24"/>
          <w:highlight w:val="none"/>
        </w:rPr>
        <w:t>日期、天数、时间：无特别说明时是指公历日及北京时间。</w:t>
      </w:r>
    </w:p>
    <w:p w14:paraId="1C659327">
      <w:pPr>
        <w:spacing w:line="360" w:lineRule="auto"/>
        <w:ind w:firstLine="424" w:firstLineChars="176"/>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 竞争性磋商文件</w:t>
      </w:r>
    </w:p>
    <w:p w14:paraId="002CF6D2">
      <w:pPr>
        <w:spacing w:line="360" w:lineRule="auto"/>
        <w:ind w:firstLine="424" w:firstLineChars="176"/>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2.1竞争性磋商文件的构成</w:t>
      </w:r>
    </w:p>
    <w:p w14:paraId="38BD6A1E">
      <w:pPr>
        <w:spacing w:line="360" w:lineRule="auto"/>
        <w:ind w:firstLine="422" w:firstLineChars="17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2.1.1竞争性磋商公告</w:t>
      </w:r>
    </w:p>
    <w:p w14:paraId="3321E47B">
      <w:pPr>
        <w:spacing w:line="360" w:lineRule="auto"/>
        <w:ind w:firstLine="422" w:firstLineChars="17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2.1.2磋商响应供应商须知及前附表</w:t>
      </w:r>
    </w:p>
    <w:p w14:paraId="7F20A1D6">
      <w:pPr>
        <w:spacing w:line="360" w:lineRule="auto"/>
        <w:ind w:firstLine="422" w:firstLineChars="17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2.1.3采购内容及要求</w:t>
      </w:r>
    </w:p>
    <w:p w14:paraId="53070671">
      <w:pPr>
        <w:spacing w:line="360" w:lineRule="auto"/>
        <w:ind w:firstLine="422" w:firstLineChars="17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2.1.4评审办法</w:t>
      </w:r>
    </w:p>
    <w:p w14:paraId="6A7CF269">
      <w:pPr>
        <w:spacing w:line="360" w:lineRule="auto"/>
        <w:ind w:firstLine="422" w:firstLineChars="17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2.1.5合同主要条款及格式</w:t>
      </w:r>
    </w:p>
    <w:p w14:paraId="429D5B04">
      <w:pPr>
        <w:spacing w:line="360" w:lineRule="auto"/>
        <w:ind w:firstLine="422" w:firstLineChars="17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2.1.6磋商响应文件内容及格式</w:t>
      </w:r>
    </w:p>
    <w:p w14:paraId="5BBC6DD8">
      <w:pPr>
        <w:spacing w:line="360" w:lineRule="auto"/>
        <w:ind w:firstLine="422" w:firstLineChars="176"/>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根据本章第2.2款对竞争性磋商文件所做的澄清、修改，构成竞争性磋商文件的组成部分。</w:t>
      </w:r>
    </w:p>
    <w:p w14:paraId="7BECC782">
      <w:pPr>
        <w:spacing w:line="360" w:lineRule="auto"/>
        <w:ind w:firstLine="424" w:firstLineChars="176"/>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2.2竞争性磋商文件的澄清或者修改</w:t>
      </w:r>
    </w:p>
    <w:p w14:paraId="7276DCF7">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2.2.1供应商应详细阅读竞争性磋商文件中的全部内容。供应商如对竞争性磋商文件有异议的，应在获取竞争性磋商文件之日起或者竞争性磋商公告期限届满之日起7个工作日内在三门峡市公共资源交易平台上一次性提出，否则，将被视为完全理解并接受竞争性磋商文件的全部内容。</w:t>
      </w:r>
    </w:p>
    <w:p w14:paraId="2EC12FAA">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2.2.2采购人、采购代理机构或者磋商小组可以对已发出的磋商文件进行必要的澄清或者修改，澄清或者修改的内容作为磋商文件的组成部分。澄清或者修改的内容可能影响响应文件编制的，采购人、采购代理机构应当在提交首次响应文件截止时间至少5日前，以通知所有获取磋商文件的供应商；不足5日的，采购人、采购代理机构应当顺延提交首次响应文件截止时间。</w:t>
      </w:r>
    </w:p>
    <w:p w14:paraId="394EB5E7">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2.2.3竞争性磋商文件的澄清或者修改将通过交易平台系统内部“答疑文件”告知供应商，发布给所有下载竞争性磋商文件的供应商，并在原公告发布媒体上发布澄清公告，但不指明澄清问题的来源。对于项目中已经下载竞争性磋商文件的供应商，系统将通过第三方短信群发方式提醒供应商进行查询。各供应商须重新下载最新的答疑文件，以此编制磋商响应文件。</w:t>
      </w:r>
    </w:p>
    <w:p w14:paraId="3A8E26AF">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2.2.4供应商市场主体信息登记时所留手机联系方式要保持畅通，因联系方式变更而未及时更新系统内联系方式的，将会造成收不到短信。此短信仅系友情提示，并不具有任何约束性和必要性，采购人和采购代理机构不承担供应商未收到短信而引起的一切后果和法律责任。</w:t>
      </w:r>
    </w:p>
    <w:p w14:paraId="5CCAC732">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2.2.5因交易中心平台在开标前具有保密性，供应商在投标截止时间前须自行查看项目进展、变更通知、澄清及回复，因供应商未及时查看而造成的后果自行承担。</w:t>
      </w:r>
    </w:p>
    <w:p w14:paraId="25A202ED">
      <w:pPr>
        <w:spacing w:line="360" w:lineRule="auto"/>
        <w:ind w:firstLine="424" w:firstLineChars="176"/>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 磋商响应文件</w:t>
      </w:r>
    </w:p>
    <w:p w14:paraId="41C8A4F7">
      <w:pPr>
        <w:spacing w:line="360" w:lineRule="auto"/>
        <w:ind w:firstLine="424" w:firstLineChars="176"/>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3.1磋商响应文件的组成</w:t>
      </w:r>
    </w:p>
    <w:p w14:paraId="3F0FBCFD">
      <w:pPr>
        <w:spacing w:line="360" w:lineRule="auto"/>
        <w:ind w:firstLine="480" w:firstLineChars="200"/>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rPr>
        <w:t>3.1.1</w:t>
      </w:r>
      <w:r>
        <w:rPr>
          <w:rFonts w:hint="eastAsia" w:ascii="宋体" w:hAnsi="宋体" w:eastAsia="宋体" w:cs="宋体"/>
          <w:bCs/>
          <w:color w:val="auto"/>
          <w:sz w:val="24"/>
          <w:szCs w:val="24"/>
          <w:highlight w:val="none"/>
          <w:lang w:val="en-US" w:eastAsia="zh-CN"/>
        </w:rPr>
        <w:t>详见响应文件格式</w:t>
      </w:r>
    </w:p>
    <w:p w14:paraId="30595C41">
      <w:pPr>
        <w:spacing w:line="360" w:lineRule="auto"/>
        <w:ind w:firstLine="545" w:firstLineChars="226"/>
        <w:rPr>
          <w:rFonts w:hint="eastAsia" w:ascii="宋体" w:hAnsi="宋体" w:eastAsia="宋体" w:cs="宋体"/>
          <w:color w:val="auto"/>
          <w:highlight w:val="none"/>
        </w:rPr>
      </w:pPr>
      <w:r>
        <w:rPr>
          <w:rFonts w:hint="eastAsia" w:ascii="宋体" w:hAnsi="宋体" w:eastAsia="宋体" w:cs="宋体"/>
          <w:b/>
          <w:bCs/>
          <w:color w:val="auto"/>
          <w:sz w:val="24"/>
          <w:szCs w:val="24"/>
          <w:highlight w:val="none"/>
        </w:rPr>
        <w:t>3.2磋商报价</w:t>
      </w:r>
      <w:r>
        <w:rPr>
          <w:rFonts w:hint="eastAsia" w:ascii="宋体" w:hAnsi="宋体" w:eastAsia="宋体" w:cs="宋体"/>
          <w:b/>
          <w:bCs/>
          <w:color w:val="auto"/>
          <w:sz w:val="24"/>
          <w:szCs w:val="24"/>
          <w:highlight w:val="none"/>
        </w:rPr>
        <w:tab/>
      </w:r>
    </w:p>
    <w:p w14:paraId="470E6806">
      <w:pPr>
        <w:spacing w:line="360" w:lineRule="auto"/>
        <w:ind w:firstLine="542" w:firstLineChars="22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3.2.1本次磋商采购的均须以人民币为计算单位。</w:t>
      </w:r>
    </w:p>
    <w:p w14:paraId="33FD4DAC">
      <w:pPr>
        <w:spacing w:line="460" w:lineRule="exact"/>
        <w:ind w:firstLine="542" w:firstLineChars="22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3.2.2磋商响应供应商报价应包括本项目全部服务内容的价格。请磋商响应供应商认真测算所投全部服务内容，磋商报价应是磋商文件所确定的采购范围内的全部工作内容的价格体现。</w:t>
      </w:r>
    </w:p>
    <w:p w14:paraId="69FD96E8">
      <w:pPr>
        <w:spacing w:line="460" w:lineRule="exact"/>
        <w:ind w:firstLine="542" w:firstLineChars="22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3.2.3 磋商响应供应商应充分考虑市场风险和国家政策性风险系数，根据企业具体情况在合理的范围内自主报价，但不得低于企业实际成本。</w:t>
      </w:r>
    </w:p>
    <w:p w14:paraId="1DE23A52">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3.2.4采购人设有最高投标限价的，供应商的磋商报价不得超过最高投标限价，最高投标限价在供应商须知前附表中载明。</w:t>
      </w:r>
    </w:p>
    <w:p w14:paraId="034BB6A2">
      <w:pPr>
        <w:pStyle w:val="15"/>
        <w:ind w:firstLine="542" w:firstLineChars="22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3.2.5磋商响应供应商只能提出一个报价，采购人不接受任何有选择的报价，最后报价不得超过项目投标最高限价。</w:t>
      </w:r>
    </w:p>
    <w:p w14:paraId="216CFB37">
      <w:pPr>
        <w:spacing w:line="360" w:lineRule="auto"/>
        <w:ind w:firstLine="542" w:firstLineChars="22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3.2.6磋商响应供应商的报价明显低于其他报价，使得其报价可能低于其个别成本的，有可能影响商品质量和不能诚信履约的，应当要求该报价人作出书面说明并提供相关证明材料。报价人不能合理说明或者不能提供相关证明材料的，由磋商小组认定该报价人以低于成本报价，其报价应作无效报价处理。</w:t>
      </w:r>
    </w:p>
    <w:p w14:paraId="4A0134A9">
      <w:pPr>
        <w:spacing w:line="360" w:lineRule="auto"/>
        <w:ind w:firstLine="542" w:firstLineChars="22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3.2.7本次采购为竞争性磋商采购，允许</w:t>
      </w:r>
      <w:r>
        <w:rPr>
          <w:rFonts w:hint="eastAsia" w:ascii="宋体" w:hAnsi="宋体" w:eastAsia="宋体" w:cs="宋体"/>
          <w:color w:val="auto"/>
          <w:sz w:val="24"/>
          <w:szCs w:val="24"/>
          <w:highlight w:val="none"/>
          <w:lang w:val="en-US" w:eastAsia="zh-CN"/>
        </w:rPr>
        <w:t>多</w:t>
      </w:r>
      <w:r>
        <w:rPr>
          <w:rFonts w:hint="eastAsia" w:ascii="宋体" w:hAnsi="宋体" w:eastAsia="宋体" w:cs="宋体"/>
          <w:color w:val="auto"/>
          <w:sz w:val="24"/>
          <w:szCs w:val="24"/>
          <w:highlight w:val="none"/>
        </w:rPr>
        <w:t>次报价。</w:t>
      </w:r>
    </w:p>
    <w:p w14:paraId="4634B74E">
      <w:pPr>
        <w:spacing w:line="360" w:lineRule="auto"/>
        <w:ind w:firstLine="545" w:firstLineChars="226"/>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3.3.磋商响应文件有效期</w:t>
      </w:r>
    </w:p>
    <w:p w14:paraId="66EE7981">
      <w:pPr>
        <w:spacing w:line="360" w:lineRule="auto"/>
        <w:ind w:firstLine="542" w:firstLineChars="22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3.3.1磋商响应性文件从首次递交竞争性磋商响应文件截止时间之日起开始生效，磋商有效期为</w:t>
      </w:r>
      <w:r>
        <w:rPr>
          <w:rFonts w:hint="eastAsia" w:ascii="宋体" w:hAnsi="宋体" w:cs="宋体"/>
          <w:color w:val="auto"/>
          <w:sz w:val="24"/>
          <w:szCs w:val="24"/>
          <w:highlight w:val="none"/>
          <w:lang w:val="en-US" w:eastAsia="zh-CN"/>
        </w:rPr>
        <w:t>9</w:t>
      </w:r>
      <w:r>
        <w:rPr>
          <w:rFonts w:hint="eastAsia" w:ascii="宋体" w:hAnsi="宋体" w:eastAsia="宋体" w:cs="宋体"/>
          <w:color w:val="auto"/>
          <w:sz w:val="24"/>
          <w:szCs w:val="24"/>
          <w:highlight w:val="none"/>
        </w:rPr>
        <w:t>0日历天，磋商有效期短于此规定的磋商响应文件将被视为无效文件。</w:t>
      </w:r>
    </w:p>
    <w:p w14:paraId="4BCEFB12">
      <w:pPr>
        <w:spacing w:line="360" w:lineRule="auto"/>
        <w:ind w:firstLine="422" w:firstLineChars="17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3.3.2特殊情况下，采购人可于磋商响应文件有效期满之前要求磋商响应供应商同意延长有效期，要求与答复均为书面形式。磋商响应供应商可以拒绝上述要求，对于同意该要求的磋商响应供应商，不允许其修改磋商响应文件。</w:t>
      </w:r>
    </w:p>
    <w:p w14:paraId="13516895">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3.4磋商保证金</w:t>
      </w:r>
    </w:p>
    <w:p w14:paraId="171E4F98">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根据《河南省财政厅关于优化政府采购营商环境有关问题的通知》（豫财购【2019】4号）第6条的规定，磋商保证金不再收取，需提供投标承诺函（详见</w:t>
      </w:r>
      <w:r>
        <w:rPr>
          <w:rFonts w:hint="eastAsia" w:ascii="宋体" w:hAnsi="宋体" w:eastAsia="宋体" w:cs="宋体"/>
          <w:bCs/>
          <w:color w:val="auto"/>
          <w:sz w:val="24"/>
          <w:szCs w:val="24"/>
          <w:highlight w:val="none"/>
        </w:rPr>
        <w:t>磋商响应文件格式</w:t>
      </w:r>
      <w:r>
        <w:rPr>
          <w:rFonts w:hint="eastAsia" w:ascii="宋体" w:hAnsi="宋体" w:eastAsia="宋体" w:cs="宋体"/>
          <w:color w:val="auto"/>
          <w:sz w:val="24"/>
          <w:szCs w:val="24"/>
          <w:highlight w:val="none"/>
        </w:rPr>
        <w:t>）。</w:t>
      </w:r>
    </w:p>
    <w:p w14:paraId="3B436894">
      <w:pPr>
        <w:spacing w:line="360" w:lineRule="auto"/>
        <w:ind w:firstLine="545" w:firstLineChars="226"/>
        <w:rPr>
          <w:rFonts w:hint="eastAsia" w:ascii="宋体" w:hAnsi="宋体" w:eastAsia="宋体" w:cs="宋体"/>
          <w:b/>
          <w:bCs/>
          <w:color w:val="auto"/>
          <w:sz w:val="24"/>
          <w:szCs w:val="24"/>
          <w:highlight w:val="none"/>
        </w:rPr>
      </w:pPr>
      <w:r>
        <w:rPr>
          <w:rFonts w:hint="eastAsia" w:ascii="宋体" w:hAnsi="宋体" w:eastAsia="宋体" w:cs="宋体"/>
          <w:b/>
          <w:color w:val="auto"/>
          <w:sz w:val="24"/>
          <w:szCs w:val="24"/>
          <w:highlight w:val="none"/>
        </w:rPr>
        <w:t>3.5</w:t>
      </w:r>
      <w:r>
        <w:rPr>
          <w:rFonts w:hint="eastAsia" w:ascii="宋体" w:hAnsi="宋体" w:eastAsia="宋体" w:cs="宋体"/>
          <w:b/>
          <w:bCs/>
          <w:color w:val="auto"/>
          <w:sz w:val="24"/>
          <w:szCs w:val="24"/>
          <w:highlight w:val="none"/>
        </w:rPr>
        <w:t>磋商响应文件的编制及签署</w:t>
      </w:r>
    </w:p>
    <w:p w14:paraId="0D048820">
      <w:pPr>
        <w:spacing w:line="360" w:lineRule="auto"/>
        <w:ind w:firstLine="542" w:firstLineChars="226"/>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3.5.1供应商所上传的磋商响应文件，应是通过中心磋商响应文件制作系统制作的（磋商响应文件制作工具下载地址：https://download.bqpoint.com/download/downloaddetail.html?SourceFrom=Ztb&amp;ZtbSoftXiaQuCode=1506&amp;ZtbSoftType=tballinclusive），经过签章和加密后生成的电子版磋商响应文件。其中包含用于磋商响应文件上传的主文件（后缀为.smxtf）和用于应急补救的磋商响应文件备份文件（后缀为.nsmxtf）。</w:t>
      </w:r>
    </w:p>
    <w:p w14:paraId="7B5FC42A">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3.5.2在竞争性磋商文件中要求供应商按照磋商响应文件格式进行磋商响应文件编制，在磋商响应文件编制时，应明确将供应商企业基本情况、业绩情况编入磋商响应文件中，便于进行资格审查及评标打分。</w:t>
      </w:r>
    </w:p>
    <w:p w14:paraId="33E4B93B">
      <w:pPr>
        <w:spacing w:line="360" w:lineRule="auto"/>
        <w:ind w:firstLine="542" w:firstLineChars="22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3.5.3</w:t>
      </w:r>
      <w:r>
        <w:rPr>
          <w:rFonts w:hint="eastAsia" w:ascii="宋体" w:hAnsi="宋体" w:eastAsia="宋体" w:cs="宋体"/>
          <w:color w:val="auto"/>
          <w:kern w:val="0"/>
          <w:sz w:val="24"/>
          <w:szCs w:val="24"/>
          <w:highlight w:val="none"/>
        </w:rPr>
        <w:t>磋商响应供应商在进行磋商响应文件签章时，竞争性磋商文件中要求磋商响应供应商盖章的，以签盖单位章为准；要求法定代表人或授权代理人签章的，以法定代表人或授权代理人签章为准</w:t>
      </w:r>
      <w:r>
        <w:rPr>
          <w:rFonts w:hint="eastAsia" w:ascii="宋体" w:hAnsi="宋体" w:eastAsia="宋体" w:cs="宋体"/>
          <w:color w:val="auto"/>
          <w:sz w:val="24"/>
          <w:szCs w:val="24"/>
          <w:highlight w:val="none"/>
        </w:rPr>
        <w:t>。</w:t>
      </w:r>
    </w:p>
    <w:p w14:paraId="5BA8ADC3">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4.磋商响应文件递交</w:t>
      </w:r>
    </w:p>
    <w:p w14:paraId="716F4C2C">
      <w:pPr>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4.1磋商响应文件的加密</w:t>
      </w:r>
    </w:p>
    <w:p w14:paraId="5A54FB24">
      <w:pPr>
        <w:spacing w:line="360" w:lineRule="auto"/>
        <w:ind w:firstLine="480" w:firstLineChars="200"/>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网上上传的电子磋商响应文件应使用数字证书认证并加密。</w:t>
      </w:r>
    </w:p>
    <w:p w14:paraId="76EF2BE2">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4.2磋商响应文件的上传</w:t>
      </w:r>
    </w:p>
    <w:p w14:paraId="68F773D5">
      <w:pPr>
        <w:spacing w:line="360" w:lineRule="auto"/>
        <w:ind w:firstLine="542" w:firstLineChars="226"/>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磋商响应文件应在投标截止时间前成功上传至三门峡市公共资源电子化交易系统。至投标截止时间止，仍未上传成功的磋商响应文件将不予接收。</w:t>
      </w:r>
    </w:p>
    <w:p w14:paraId="3D801CC8">
      <w:pPr>
        <w:spacing w:line="360" w:lineRule="auto"/>
        <w:ind w:firstLine="422" w:firstLineChars="176"/>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注：如按照电子化投标操作教材制作完成的磋商响应文件无法上传的，供应商应在投标截止时间前尽早的联系中心技术人员，以便有充分的时间进行处理。供应商应充分考虑到处理技术问题和上传数据等工作所需的时间问题，磋商响应文件未在投标截止时间前成功上传的，其磋商响应文件不予接收。</w:t>
      </w:r>
    </w:p>
    <w:p w14:paraId="6D117576">
      <w:pPr>
        <w:spacing w:line="360" w:lineRule="auto"/>
        <w:ind w:firstLine="424" w:firstLineChars="176"/>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4.3磋商截止时间</w:t>
      </w:r>
    </w:p>
    <w:p w14:paraId="3CA06015">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4.3.1</w:t>
      </w:r>
      <w:r>
        <w:rPr>
          <w:rFonts w:hint="eastAsia" w:ascii="宋体" w:hAnsi="宋体" w:eastAsia="宋体" w:cs="宋体"/>
          <w:color w:val="auto"/>
          <w:sz w:val="24"/>
          <w:szCs w:val="24"/>
          <w:highlight w:val="none"/>
        </w:rPr>
        <w:t>磋商响应文件的截止时间见本须知前附表规定。</w:t>
      </w:r>
    </w:p>
    <w:p w14:paraId="38A0DBFD">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4.3.2</w:t>
      </w:r>
      <w:r>
        <w:rPr>
          <w:rFonts w:hint="eastAsia" w:ascii="宋体" w:hAnsi="宋体" w:eastAsia="宋体" w:cs="宋体"/>
          <w:color w:val="auto"/>
          <w:sz w:val="24"/>
          <w:szCs w:val="24"/>
          <w:highlight w:val="none"/>
        </w:rPr>
        <w:t>采购人可按本须知第2.2条规定以修改补充通知的方式，酌情延长提交磋商响应文件的截止时间。在此情况下，供应商的所有权利和义务以及供应商受制约的截止时间，均以延长后新的投标截止时间为准。</w:t>
      </w:r>
    </w:p>
    <w:p w14:paraId="1A2F4143">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4.3.3</w:t>
      </w:r>
      <w:r>
        <w:rPr>
          <w:rFonts w:hint="eastAsia" w:ascii="宋体" w:hAnsi="宋体" w:eastAsia="宋体" w:cs="宋体"/>
          <w:color w:val="auto"/>
          <w:sz w:val="24"/>
          <w:szCs w:val="24"/>
          <w:highlight w:val="none"/>
        </w:rPr>
        <w:t>到投标截止时间止，上传成功的磋商响应文件少于3个的，采购人将依法重新组织招标。</w:t>
      </w:r>
    </w:p>
    <w:p w14:paraId="142D9D87">
      <w:pPr>
        <w:spacing w:line="360" w:lineRule="auto"/>
        <w:ind w:firstLine="424" w:firstLineChars="176"/>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4.4磋商响应文件的补充、修改与撤回</w:t>
      </w:r>
    </w:p>
    <w:p w14:paraId="0DF1315F">
      <w:pPr>
        <w:spacing w:line="360" w:lineRule="auto"/>
        <w:ind w:firstLine="422" w:firstLineChars="17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4.4.1供应商在提交响应文件截止时间前，可以对所提交的响应文件进行补充、修改或者撤回。补充、修改的内容作为响应文件的组成部分。补充、修改的内容与响应文件不一致的，以补充、修改的内容为准。</w:t>
      </w:r>
    </w:p>
    <w:p w14:paraId="451ECB9E">
      <w:pPr>
        <w:spacing w:line="360" w:lineRule="auto"/>
        <w:ind w:firstLine="422" w:firstLineChars="17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4.4.2在磋商截止时间之后，磋商响应供应商不得补充、修改磋商响应文件。</w:t>
      </w:r>
    </w:p>
    <w:p w14:paraId="016EAEB8">
      <w:pPr>
        <w:spacing w:line="360" w:lineRule="auto"/>
        <w:ind w:firstLine="424" w:firstLineChars="176"/>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5.磋商</w:t>
      </w:r>
    </w:p>
    <w:p w14:paraId="09F9130E">
      <w:pPr>
        <w:spacing w:line="360" w:lineRule="auto"/>
        <w:ind w:firstLine="422" w:firstLineChars="17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 磋商时间和地点</w:t>
      </w:r>
    </w:p>
    <w:p w14:paraId="1FAB230B">
      <w:pPr>
        <w:spacing w:line="360" w:lineRule="auto"/>
        <w:ind w:firstLine="422" w:firstLineChars="17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5.1.1采购人在磋商文件规定的磋商时间和地点通过远程开标大厅进行开标。开标当日，供应商无需到开标现场参加开标会议，供应商应当在投标截止时间前，登陆不见面开标大厅选择登陆三门峡市公共资源电子招投标系统进行登陆（网址为http://120.194.249.36:10094/BidOpening/bidopeninghallaction/hall/login）,在线准时参加开标活动并进行磋商响应文件解密等。</w:t>
      </w:r>
    </w:p>
    <w:p w14:paraId="46819EEE">
      <w:pPr>
        <w:spacing w:line="360" w:lineRule="auto"/>
        <w:ind w:firstLine="422" w:firstLineChars="17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5.1.2 磋商响应文件采用一次加密方式。开标时，由供应商使用CA 证书，在规定时间内对其磋商响应文件进行解密。每位供应商的解密时间为开标时间起30 分钟内，如在规定时间内未完成解密的，其磋商响应文件不予开标、唱标。每位供应商的解密时间为开标时间起30分钟内完成。</w:t>
      </w:r>
    </w:p>
    <w:p w14:paraId="41C81C0F">
      <w:pPr>
        <w:autoSpaceDE w:val="0"/>
        <w:autoSpaceDN w:val="0"/>
        <w:adjustRightIn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5.2开标程序</w:t>
      </w:r>
    </w:p>
    <w:p w14:paraId="7465F8A8">
      <w:pPr>
        <w:autoSpaceDE w:val="0"/>
        <w:autoSpaceDN w:val="0"/>
        <w:adjustRightIn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（1）公布供应商名单；</w:t>
      </w:r>
    </w:p>
    <w:p w14:paraId="58A1E193">
      <w:pPr>
        <w:autoSpaceDE w:val="0"/>
        <w:autoSpaceDN w:val="0"/>
        <w:adjustRightIn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（2）供应商远程解密磋商响应文件；</w:t>
      </w:r>
    </w:p>
    <w:p w14:paraId="4BA0BB58">
      <w:pPr>
        <w:autoSpaceDE w:val="0"/>
        <w:autoSpaceDN w:val="0"/>
        <w:adjustRightIn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（3）磋商响应文件导入；</w:t>
      </w:r>
    </w:p>
    <w:p w14:paraId="3C0016EA">
      <w:pPr>
        <w:autoSpaceDE w:val="0"/>
        <w:autoSpaceDN w:val="0"/>
        <w:adjustRightIn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（4）唱标；</w:t>
      </w:r>
    </w:p>
    <w:p w14:paraId="1B9132DF">
      <w:pPr>
        <w:autoSpaceDE w:val="0"/>
        <w:autoSpaceDN w:val="0"/>
        <w:adjustRightIn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（5）异议与回复(如有)；</w:t>
      </w:r>
    </w:p>
    <w:p w14:paraId="2D0CB01A">
      <w:pPr>
        <w:autoSpaceDE w:val="0"/>
        <w:autoSpaceDN w:val="0"/>
        <w:adjustRightInd w:val="0"/>
        <w:spacing w:line="360" w:lineRule="auto"/>
        <w:ind w:firstLine="480" w:firstLineChars="200"/>
        <w:jc w:val="left"/>
        <w:rPr>
          <w:rFonts w:hint="eastAsia" w:ascii="宋体" w:hAnsi="宋体" w:eastAsia="宋体" w:cs="宋体"/>
          <w:b/>
          <w:bCs/>
          <w:color w:val="auto"/>
          <w:kern w:val="0"/>
          <w:sz w:val="24"/>
          <w:szCs w:val="24"/>
          <w:highlight w:val="none"/>
        </w:rPr>
      </w:pPr>
      <w:r>
        <w:rPr>
          <w:rFonts w:hint="eastAsia" w:ascii="宋体" w:hAnsi="宋体" w:eastAsia="宋体" w:cs="宋体"/>
          <w:color w:val="auto"/>
          <w:sz w:val="24"/>
          <w:szCs w:val="24"/>
          <w:highlight w:val="none"/>
        </w:rPr>
        <w:t>（6）开标结束。</w:t>
      </w:r>
    </w:p>
    <w:p w14:paraId="7C425266">
      <w:pPr>
        <w:spacing w:line="360" w:lineRule="auto"/>
        <w:ind w:firstLine="422" w:firstLineChars="17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5.3 磋商响应文件解密异常的处理</w:t>
      </w:r>
    </w:p>
    <w:p w14:paraId="46CD0959">
      <w:pPr>
        <w:spacing w:line="360" w:lineRule="auto"/>
        <w:ind w:firstLine="422" w:firstLineChars="17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如出现供应商的电子磋商响应文件无法解密等异常情况，供应商应及时致电中介服务机构说明。磋商响应文件异常，按以下步骤进行处理：</w:t>
      </w:r>
    </w:p>
    <w:p w14:paraId="5497B20F">
      <w:pPr>
        <w:spacing w:line="360" w:lineRule="auto"/>
        <w:ind w:firstLine="422" w:firstLineChars="17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5.3.1首先由技术人员进行问题排查。</w:t>
      </w:r>
    </w:p>
    <w:p w14:paraId="130E2F82">
      <w:pPr>
        <w:spacing w:line="360" w:lineRule="auto"/>
        <w:ind w:firstLine="422" w:firstLineChars="17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5.3.2经技术人员排查后，是供应商文件自身问题导致磋商响应文件无法解密的，该磋商响应文件将不予接收、解密和唱标。开标会议继续进行。</w:t>
      </w:r>
    </w:p>
    <w:p w14:paraId="361C877A">
      <w:pPr>
        <w:spacing w:line="360" w:lineRule="auto"/>
        <w:ind w:firstLine="422" w:firstLineChars="17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5.3.3经技术人员排查后，如果是电子化交易系统问题造成磋商响应文件无法解密的，将由技术人员对问题进行处理。如短时间内问题无法解决的，将由中介服务机构向监督部门申请，经监督部门同意后，暂停开标会议，待问题解决后继续开标。</w:t>
      </w:r>
    </w:p>
    <w:p w14:paraId="02EC7F01">
      <w:pPr>
        <w:spacing w:line="360" w:lineRule="auto"/>
        <w:ind w:firstLine="422" w:firstLineChars="17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5.4 待所有供应商磋商响应文件解密完成后，由中介服务机构操作，对所有已解密磋商响应文件进行唱标。</w:t>
      </w:r>
    </w:p>
    <w:p w14:paraId="12CB63B3">
      <w:pPr>
        <w:spacing w:line="360" w:lineRule="auto"/>
        <w:ind w:firstLine="422" w:firstLineChars="17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供应商应保证在开标期间电话、电脑、网络能够正常工作，供应商因停电、电脑病毒、网络堵塞等原因，未在规定的解密时间内对磋商响应文件进行解密的，其磋商响应文件不予接收、唱标。</w:t>
      </w:r>
    </w:p>
    <w:p w14:paraId="152B9F20">
      <w:pPr>
        <w:spacing w:line="360" w:lineRule="auto"/>
        <w:ind w:firstLine="424" w:firstLineChars="176"/>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5.5 开标异议</w:t>
      </w:r>
    </w:p>
    <w:p w14:paraId="7E78B205">
      <w:pPr>
        <w:spacing w:line="360" w:lineRule="auto"/>
        <w:ind w:firstLine="422" w:firstLineChars="17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标时供应商可登录到交易系统中在开标大厅中点击开标一览表查看自己的磋商报价。如对自己的唱标内容有异议的，应在唱标内容显示后10分钟内向中介服务机构电话质疑。中介服务机构应在监督人员的监督下进行免提通话接受供应商的质疑并做好书面记录。供应商未在规定时间内提出质疑的，视为认可唱标内容。</w:t>
      </w:r>
    </w:p>
    <w:p w14:paraId="5345CF91">
      <w:pPr>
        <w:spacing w:line="360" w:lineRule="auto"/>
        <w:ind w:firstLine="424" w:firstLineChars="176"/>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6.评审</w:t>
      </w:r>
    </w:p>
    <w:p w14:paraId="34439C65">
      <w:pPr>
        <w:spacing w:line="360" w:lineRule="auto"/>
        <w:ind w:firstLine="424" w:firstLineChars="176"/>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6.1磋商小组</w:t>
      </w:r>
    </w:p>
    <w:p w14:paraId="40138080">
      <w:pPr>
        <w:spacing w:line="360" w:lineRule="auto"/>
        <w:ind w:firstLine="422" w:firstLineChars="17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6.1.1磋商小组由3人构成：采购人代表1人，其他专家2人，在磋商会议开始前从</w:t>
      </w:r>
      <w:r>
        <w:rPr>
          <w:rFonts w:hint="eastAsia" w:ascii="宋体" w:hAnsi="宋体" w:eastAsia="宋体" w:cs="宋体"/>
          <w:color w:val="auto"/>
          <w:kern w:val="44"/>
          <w:sz w:val="24"/>
          <w:szCs w:val="24"/>
          <w:highlight w:val="none"/>
        </w:rPr>
        <w:t>河南省电子化政府采购系统评标专家库</w:t>
      </w:r>
      <w:r>
        <w:rPr>
          <w:rFonts w:hint="eastAsia" w:ascii="宋体" w:hAnsi="宋体" w:eastAsia="宋体" w:cs="宋体"/>
          <w:color w:val="auto"/>
          <w:sz w:val="24"/>
          <w:szCs w:val="24"/>
          <w:highlight w:val="none"/>
        </w:rPr>
        <w:t>随机抽取。</w:t>
      </w:r>
    </w:p>
    <w:p w14:paraId="0FDC836E">
      <w:pPr>
        <w:spacing w:line="360" w:lineRule="auto"/>
        <w:ind w:firstLine="422" w:firstLineChars="17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6.1.2磋商小组对所有磋商响应供应商的磋商响应文件进行评审，按评审后得分由高到低顺序排列，递交给采购人。</w:t>
      </w:r>
    </w:p>
    <w:p w14:paraId="5E15CA64">
      <w:pPr>
        <w:spacing w:line="360" w:lineRule="auto"/>
        <w:ind w:firstLine="422" w:firstLineChars="17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6.1.3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14:paraId="1201031B">
      <w:pPr>
        <w:spacing w:line="360" w:lineRule="auto"/>
        <w:ind w:firstLine="422" w:firstLineChars="17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6.1.4磋商小组成员和评审工作有关人员不得干预或者影响正常评审工作，不得明示或者暗示其倾向性、引导性意见，不得修改磋商文件确定的评审程序、评审方法，不得征询采购人代表的倾向性意见，不得记录、复制或带走任何评审资料。成交候选供应商确定后，磋商小组不得修改评审结果或者要求重新评审，但因资格性审查认定错误或价格计算错误需依法重新评审的除外。应在评审报告中明确记载。</w:t>
      </w:r>
    </w:p>
    <w:p w14:paraId="432CA9A8">
      <w:pPr>
        <w:spacing w:line="440" w:lineRule="exact"/>
        <w:ind w:firstLine="424" w:firstLineChars="176"/>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6.2磋商原则和方法</w:t>
      </w:r>
    </w:p>
    <w:p w14:paraId="3FC11643">
      <w:pPr>
        <w:spacing w:line="440" w:lineRule="exact"/>
        <w:ind w:firstLine="422" w:firstLineChars="17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6.2.1磋商原则</w:t>
      </w:r>
    </w:p>
    <w:p w14:paraId="2F75971F">
      <w:pPr>
        <w:spacing w:line="440" w:lineRule="exact"/>
        <w:ind w:firstLine="422" w:firstLineChars="17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磋商小组成员应当按照客观、公正、审慎的原则集中与单一磋商响应供应商分别进行磋商，磋商小组将遵照磋商原则，公正、平等地对待所有磋商响应供应商。</w:t>
      </w:r>
    </w:p>
    <w:p w14:paraId="028218EB">
      <w:pPr>
        <w:spacing w:line="440" w:lineRule="exact"/>
        <w:ind w:firstLine="422" w:firstLineChars="17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6.2.2评审方法</w:t>
      </w:r>
    </w:p>
    <w:p w14:paraId="1E5BA9DC">
      <w:pPr>
        <w:spacing w:line="440" w:lineRule="exact"/>
        <w:ind w:firstLine="422" w:firstLineChars="17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（1）初步评审（是否响应竞争性磋商文件的要求），确定合格的磋商响应供应商。</w:t>
      </w:r>
    </w:p>
    <w:p w14:paraId="435D4994">
      <w:pPr>
        <w:spacing w:line="440" w:lineRule="exact"/>
        <w:ind w:firstLine="422" w:firstLineChars="17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（2）各磋商响应供应商依据各自情况进行最后报价。</w:t>
      </w:r>
    </w:p>
    <w:p w14:paraId="161B292B">
      <w:pPr>
        <w:spacing w:line="420" w:lineRule="exact"/>
        <w:ind w:firstLine="422" w:firstLineChars="17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（3）经磋商确定最终采购需求和提交最后报价的磋商响应供应商，由磋商小组采用综合评分法对提交最后报价的磋商响应供应商的响应文件和最后报价进行综合评分。</w:t>
      </w:r>
    </w:p>
    <w:p w14:paraId="662DE267">
      <w:pPr>
        <w:spacing w:line="360" w:lineRule="auto"/>
        <w:ind w:firstLine="424" w:firstLineChars="176"/>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6.3磋商</w:t>
      </w:r>
    </w:p>
    <w:p w14:paraId="57D2C904">
      <w:pPr>
        <w:spacing w:line="360" w:lineRule="auto"/>
        <w:ind w:firstLine="422" w:firstLineChars="17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6.3.1磋商小组所有成员集中与单一磋商响应供应商分别进行磋商。在磋商中，磋商的任何一方不得透露与磋商有关的其他供应商的技术资料、价格和其他信息。</w:t>
      </w:r>
      <w:r>
        <w:rPr>
          <w:rFonts w:hint="eastAsia" w:ascii="宋体" w:hAnsi="宋体" w:eastAsia="宋体" w:cs="宋体"/>
          <w:color w:val="auto"/>
          <w:sz w:val="24"/>
          <w:szCs w:val="24"/>
          <w:highlight w:val="none"/>
        </w:rPr>
        <w:cr/>
      </w:r>
      <w:r>
        <w:rPr>
          <w:rFonts w:hint="eastAsia" w:ascii="宋体" w:hAnsi="宋体" w:eastAsia="宋体" w:cs="宋体"/>
          <w:b/>
          <w:bCs/>
          <w:color w:val="auto"/>
          <w:sz w:val="24"/>
          <w:szCs w:val="24"/>
          <w:highlight w:val="none"/>
        </w:rPr>
        <w:t xml:space="preserve">    </w:t>
      </w:r>
      <w:r>
        <w:rPr>
          <w:rFonts w:hint="eastAsia" w:ascii="宋体" w:hAnsi="宋体" w:eastAsia="宋体" w:cs="宋体"/>
          <w:color w:val="auto"/>
          <w:sz w:val="24"/>
          <w:szCs w:val="24"/>
          <w:highlight w:val="none"/>
        </w:rPr>
        <w:t>6.3.2磋商小组首先对所有磋商响应文件进行资格性和符合性审查。资格性审查是指：磋商小组按照竞争性磋商文件第二章磋商磋商响应供应商须知前附表第1.4.1项的要求，对磋商响应供应商进行审查，有一项不符合的，视为未通过资格审查，不得进入下一评审过程。符合性审查是指：磋商小组按照竞争性磋商文件本须知6.4条的要求，对磋商响应供应商进行审查，有一项不符合的，视为未通过符合性审查。未通过资格性和符合性审查的磋商响应文件按无效响应处理，磋商小组应当告知提交磋商响应文件的磋商响应供应商。</w:t>
      </w:r>
    </w:p>
    <w:p w14:paraId="35BEA7F1">
      <w:pPr>
        <w:spacing w:line="360" w:lineRule="auto"/>
        <w:ind w:firstLine="422" w:firstLineChars="17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6.4有下列情形之一的，其磋商响应文件将会被拒绝：</w:t>
      </w:r>
    </w:p>
    <w:p w14:paraId="08E25DF1">
      <w:pPr>
        <w:spacing w:line="360" w:lineRule="auto"/>
        <w:ind w:firstLine="422" w:firstLineChars="17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6.4.1磋商响应供应商资格不符合竞争性磋商文件要求的；</w:t>
      </w:r>
    </w:p>
    <w:p w14:paraId="08646B78">
      <w:pPr>
        <w:spacing w:line="360" w:lineRule="auto"/>
        <w:ind w:firstLine="422" w:firstLineChars="17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6.4.2磋商报价超过竞争性磋商文件规定的投标最高限价的；</w:t>
      </w:r>
    </w:p>
    <w:p w14:paraId="6EF8F388">
      <w:pPr>
        <w:spacing w:line="360" w:lineRule="auto"/>
        <w:ind w:firstLine="422" w:firstLineChars="17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6.4.3以他人的名义磋商、串通磋商、以行贿手段谋取成交或者以其他弄虚作假方式磋商的；</w:t>
      </w:r>
    </w:p>
    <w:p w14:paraId="45F0696E">
      <w:pPr>
        <w:spacing w:line="360" w:lineRule="auto"/>
        <w:ind w:firstLine="422" w:firstLineChars="17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6.4.4采取不正当手段谋取成交的。</w:t>
      </w:r>
    </w:p>
    <w:p w14:paraId="3256EA3B">
      <w:pPr>
        <w:spacing w:line="360" w:lineRule="auto"/>
        <w:ind w:firstLine="424" w:firstLineChars="176"/>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6.5对磋商响应供应商的评价</w:t>
      </w:r>
    </w:p>
    <w:p w14:paraId="455106D3">
      <w:pPr>
        <w:spacing w:line="360" w:lineRule="auto"/>
        <w:ind w:firstLine="422" w:firstLineChars="17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6.5.1磋商小组只对已判定为实质性响应且通过资格审查的磋商响应文件进行详细评价和比较。</w:t>
      </w:r>
    </w:p>
    <w:p w14:paraId="1C1F3D3C">
      <w:pPr>
        <w:spacing w:line="360" w:lineRule="auto"/>
        <w:ind w:firstLine="422" w:firstLineChars="17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6.5.2磋商小组所有成员应当集中与单一磋商响应供应商分别进行磋商，并给予所有参加磋商的磋商响应供应商平等的磋商机会。磋商完成后，要求其在规定时间内提交最后报价，提交最后报价的供应商可以为两家。</w:t>
      </w:r>
    </w:p>
    <w:p w14:paraId="59C8ACCE">
      <w:pPr>
        <w:spacing w:line="360" w:lineRule="auto"/>
        <w:ind w:firstLine="422" w:firstLineChars="17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6.5.3经磋商确定最终采购需求和提交最后报价的磋商响应供应商后，磋商小组采用综合评分法对提交最后报价的磋商响应供应商的磋商响应文件和最后报价进行综合评分。</w:t>
      </w:r>
    </w:p>
    <w:p w14:paraId="12BD02C9">
      <w:pPr>
        <w:spacing w:line="440" w:lineRule="exact"/>
        <w:ind w:firstLine="422" w:firstLineChars="17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6.5.4磋商小组根据综合评分情况，按评审得分由高到低的顺序推荐三名成交候选供应商，并编写评审报告。评审得分相同的，按照最后报价由低到高的顺序确定，评审得分且最后报价相同的，按照技术指标优劣顺序确定成交候选供应商。评审报告由磋商小组全体人员签字。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1E498982">
      <w:pPr>
        <w:spacing w:line="440" w:lineRule="exact"/>
        <w:ind w:firstLine="424" w:firstLineChars="176"/>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6.6磋商响应文件的澄清</w:t>
      </w:r>
    </w:p>
    <w:p w14:paraId="093D1929">
      <w:pPr>
        <w:spacing w:line="440" w:lineRule="exact"/>
        <w:ind w:firstLine="422" w:firstLineChars="176"/>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6.6.1在磋商期间，磋商小组可以要求供应商对其响应文件中含义不明确、同类问题表述不一致或者有明显文字和计算错误的内容等作必要的澄清、说明或更正。供应商的澄清、说明或更正应在磋商小组规定的时间内以书面方式进行，并不得超出响应文件范围或者改变响应文件的实质性内容。供应商拒不进行澄清、说明、更正的，或者不能在规定时间内作出书面澄清、说明、更正的，其响应文件将被作为无效响应文件处理。</w:t>
      </w:r>
    </w:p>
    <w:p w14:paraId="0F2A3B05">
      <w:pPr>
        <w:spacing w:line="440" w:lineRule="exact"/>
        <w:ind w:firstLine="422" w:firstLineChars="17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磋商小组要求供应商澄清、说明或者更正响应文件将以书面形式作出，并在三门峡市公共资源交易系统中向供应商发出，供应商在收到该要求后，应在磋商小组规定时间内在交易系统中做出相应的回复，如果磋商小组在规定时间内没有收到供应商的回复则视为该供应商没有回复。</w:t>
      </w:r>
    </w:p>
    <w:p w14:paraId="5F3B3D9B">
      <w:pPr>
        <w:spacing w:line="440" w:lineRule="exact"/>
        <w:ind w:firstLine="422" w:firstLineChars="17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6.6.2供应商的澄清、说明或者更正应当加盖单位章及法定代表人（或单位负责人）印章。供应商为自然人的，应当由本人签字并附身份证明。</w:t>
      </w:r>
    </w:p>
    <w:p w14:paraId="67447716">
      <w:pPr>
        <w:spacing w:line="440" w:lineRule="exact"/>
        <w:ind w:firstLine="422" w:firstLineChars="17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6.6.3响应文件的澄清、说明或者更正不得对响应文件的内容进行实质性修改。</w:t>
      </w:r>
    </w:p>
    <w:p w14:paraId="1AB0B790">
      <w:pPr>
        <w:spacing w:line="440" w:lineRule="exact"/>
        <w:ind w:firstLine="422" w:firstLineChars="176"/>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6.6.4供应商的澄清、说明或更正将作为响应文件的一部分并取代响应文件中被澄清的部分。</w:t>
      </w:r>
      <w:r>
        <w:rPr>
          <w:rFonts w:hint="eastAsia" w:ascii="宋体" w:hAnsi="宋体" w:eastAsia="宋体" w:cs="宋体"/>
          <w:color w:val="auto"/>
          <w:sz w:val="24"/>
          <w:szCs w:val="24"/>
          <w:highlight w:val="none"/>
        </w:rPr>
        <w:cr/>
      </w:r>
      <w:r>
        <w:rPr>
          <w:rFonts w:hint="eastAsia" w:ascii="宋体" w:hAnsi="宋体" w:eastAsia="宋体" w:cs="宋体"/>
          <w:color w:val="auto"/>
          <w:sz w:val="24"/>
          <w:szCs w:val="24"/>
          <w:highlight w:val="none"/>
        </w:rPr>
        <w:t xml:space="preserve">    </w:t>
      </w:r>
      <w:r>
        <w:rPr>
          <w:rFonts w:hint="eastAsia" w:ascii="宋体" w:hAnsi="宋体" w:eastAsia="宋体" w:cs="宋体"/>
          <w:b/>
          <w:bCs/>
          <w:color w:val="auto"/>
          <w:sz w:val="24"/>
          <w:szCs w:val="24"/>
          <w:highlight w:val="none"/>
        </w:rPr>
        <w:t>7.确定成交供应商</w:t>
      </w:r>
    </w:p>
    <w:p w14:paraId="7EA763B1">
      <w:pPr>
        <w:spacing w:line="420" w:lineRule="exact"/>
        <w:ind w:firstLine="545" w:firstLineChars="226"/>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7.1成交公告</w:t>
      </w:r>
    </w:p>
    <w:p w14:paraId="474677F0">
      <w:pPr>
        <w:spacing w:line="420" w:lineRule="exact"/>
        <w:ind w:firstLine="542" w:firstLineChars="22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7.1.1采购代理机构在评审结束后2个工作日内将评审报告送采购人确认。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158F7342">
      <w:pPr>
        <w:autoSpaceDE w:val="0"/>
        <w:autoSpaceDN w:val="0"/>
        <w:adjustRightInd w:val="0"/>
        <w:spacing w:line="360" w:lineRule="auto"/>
        <w:ind w:firstLine="480" w:firstLineChars="200"/>
        <w:jc w:val="left"/>
        <w:outlineLvl w:val="0"/>
        <w:rPr>
          <w:rFonts w:hint="eastAsia" w:ascii="宋体" w:hAnsi="宋体" w:eastAsia="宋体" w:cs="宋体"/>
          <w:color w:val="auto"/>
          <w:sz w:val="24"/>
          <w:szCs w:val="24"/>
          <w:highlight w:val="none"/>
        </w:rPr>
      </w:pPr>
      <w:bookmarkStart w:id="3" w:name="_Toc5835"/>
      <w:r>
        <w:rPr>
          <w:rFonts w:hint="eastAsia" w:ascii="宋体" w:hAnsi="宋体" w:eastAsia="宋体" w:cs="宋体"/>
          <w:color w:val="auto"/>
          <w:sz w:val="24"/>
          <w:szCs w:val="24"/>
          <w:highlight w:val="none"/>
        </w:rPr>
        <w:t>7.1.2 采购代理机构自成交供应商确定之日起2个工作日内，在《</w:t>
      </w:r>
      <w:r>
        <w:rPr>
          <w:rFonts w:hint="eastAsia" w:ascii="宋体" w:hAnsi="宋体" w:cs="宋体"/>
          <w:color w:val="auto"/>
          <w:sz w:val="24"/>
          <w:szCs w:val="24"/>
          <w:highlight w:val="none"/>
          <w:lang w:eastAsia="zh-CN"/>
        </w:rPr>
        <w:t>河南政府采购网</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中国</w:t>
      </w:r>
      <w:r>
        <w:rPr>
          <w:rFonts w:hint="eastAsia" w:ascii="宋体" w:hAnsi="宋体" w:eastAsia="宋体" w:cs="宋体"/>
          <w:color w:val="auto"/>
          <w:sz w:val="24"/>
          <w:szCs w:val="24"/>
          <w:highlight w:val="none"/>
        </w:rPr>
        <w:t>采购与招标网》《三门峡市公共资源交易中心网》公告成交结果，竞争性磋商文件随成交结果同时公告。成交公告期限为1个工作日。</w:t>
      </w:r>
      <w:bookmarkEnd w:id="3"/>
    </w:p>
    <w:p w14:paraId="738FCE0A">
      <w:pPr>
        <w:spacing w:line="440" w:lineRule="exact"/>
        <w:ind w:firstLine="480" w:firstLineChars="2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7.1.3如果第一名供应商放弃成交资格或因不可抗力提出不能履行合同的，采购人将依序确定排名第二名的成交候选供应商为成交供应商，也可以重新开展政府采购活动。</w:t>
      </w:r>
    </w:p>
    <w:p w14:paraId="68D57AF6">
      <w:pPr>
        <w:autoSpaceDE w:val="0"/>
        <w:autoSpaceDN w:val="0"/>
        <w:adjustRightInd w:val="0"/>
        <w:spacing w:line="360" w:lineRule="auto"/>
        <w:ind w:firstLine="482" w:firstLineChars="200"/>
        <w:jc w:val="left"/>
        <w:outlineLvl w:val="0"/>
        <w:rPr>
          <w:rFonts w:hint="eastAsia" w:ascii="宋体" w:hAnsi="宋体" w:eastAsia="宋体" w:cs="宋体"/>
          <w:b/>
          <w:color w:val="auto"/>
          <w:sz w:val="24"/>
          <w:szCs w:val="24"/>
          <w:highlight w:val="none"/>
        </w:rPr>
      </w:pPr>
      <w:bookmarkStart w:id="4" w:name="_Toc7369"/>
      <w:r>
        <w:rPr>
          <w:rFonts w:hint="eastAsia" w:ascii="宋体" w:hAnsi="宋体" w:eastAsia="宋体" w:cs="宋体"/>
          <w:b/>
          <w:color w:val="auto"/>
          <w:sz w:val="24"/>
          <w:szCs w:val="24"/>
          <w:highlight w:val="none"/>
        </w:rPr>
        <w:t>7.2成交通知书</w:t>
      </w:r>
      <w:bookmarkEnd w:id="4"/>
    </w:p>
    <w:p w14:paraId="17AB9318">
      <w:pPr>
        <w:autoSpaceDE w:val="0"/>
        <w:autoSpaceDN w:val="0"/>
        <w:adjustRightInd w:val="0"/>
        <w:spacing w:line="360" w:lineRule="auto"/>
        <w:ind w:firstLine="480" w:firstLineChars="200"/>
        <w:jc w:val="left"/>
        <w:outlineLvl w:val="0"/>
        <w:rPr>
          <w:rFonts w:hint="eastAsia" w:ascii="宋体" w:hAnsi="宋体" w:eastAsia="宋体" w:cs="宋体"/>
          <w:color w:val="auto"/>
          <w:sz w:val="24"/>
          <w:szCs w:val="24"/>
          <w:highlight w:val="none"/>
        </w:rPr>
      </w:pPr>
      <w:bookmarkStart w:id="5" w:name="_Toc19662"/>
      <w:r>
        <w:rPr>
          <w:rFonts w:hint="eastAsia" w:ascii="宋体" w:hAnsi="宋体" w:eastAsia="宋体" w:cs="宋体"/>
          <w:color w:val="auto"/>
          <w:sz w:val="24"/>
          <w:szCs w:val="24"/>
          <w:highlight w:val="none"/>
        </w:rPr>
        <w:t>在公告成交结果的同时，向成交供应商发出成交通知书，成交通知书发出后，采购人不得违法改变成交结果，成交供应商无正当理由不得放弃成交。</w:t>
      </w:r>
      <w:bookmarkEnd w:id="5"/>
    </w:p>
    <w:p w14:paraId="768026FD">
      <w:pPr>
        <w:autoSpaceDE w:val="0"/>
        <w:autoSpaceDN w:val="0"/>
        <w:adjustRightInd w:val="0"/>
        <w:spacing w:line="360" w:lineRule="auto"/>
        <w:ind w:firstLine="482" w:firstLineChars="200"/>
        <w:jc w:val="left"/>
        <w:outlineLvl w:val="0"/>
        <w:rPr>
          <w:rFonts w:hint="eastAsia" w:ascii="宋体" w:hAnsi="宋体" w:eastAsia="宋体" w:cs="宋体"/>
          <w:b/>
          <w:color w:val="auto"/>
          <w:sz w:val="24"/>
          <w:szCs w:val="24"/>
          <w:highlight w:val="none"/>
        </w:rPr>
      </w:pPr>
      <w:bookmarkStart w:id="6" w:name="_Toc17011"/>
      <w:r>
        <w:rPr>
          <w:rFonts w:hint="eastAsia" w:ascii="宋体" w:hAnsi="宋体" w:eastAsia="宋体" w:cs="宋体"/>
          <w:b/>
          <w:color w:val="auto"/>
          <w:sz w:val="24"/>
          <w:szCs w:val="24"/>
          <w:highlight w:val="none"/>
        </w:rPr>
        <w:t>7.3履约保证金</w:t>
      </w:r>
      <w:bookmarkEnd w:id="6"/>
    </w:p>
    <w:p w14:paraId="236BA638">
      <w:pPr>
        <w:autoSpaceDE w:val="0"/>
        <w:autoSpaceDN w:val="0"/>
        <w:adjustRightInd w:val="0"/>
        <w:spacing w:line="360" w:lineRule="auto"/>
        <w:ind w:firstLine="480" w:firstLineChars="200"/>
        <w:jc w:val="left"/>
        <w:outlineLvl w:val="0"/>
        <w:rPr>
          <w:rFonts w:hint="eastAsia" w:ascii="宋体" w:hAnsi="宋体" w:eastAsia="宋体" w:cs="宋体"/>
          <w:b/>
          <w:bCs/>
          <w:color w:val="auto"/>
          <w:kern w:val="0"/>
          <w:sz w:val="24"/>
          <w:szCs w:val="24"/>
          <w:highlight w:val="none"/>
        </w:rPr>
      </w:pPr>
      <w:bookmarkStart w:id="7" w:name="_Toc11612"/>
      <w:r>
        <w:rPr>
          <w:rFonts w:hint="eastAsia" w:ascii="宋体" w:hAnsi="宋体" w:eastAsia="宋体" w:cs="宋体"/>
          <w:color w:val="auto"/>
          <w:sz w:val="24"/>
          <w:szCs w:val="24"/>
          <w:highlight w:val="none"/>
        </w:rPr>
        <w:t>本项目不收取履约保证金。如供应商违反政府采购合同约定给采购人造成损失的,采购人按照合同约定,要求供应商承担赔偿责任。</w:t>
      </w:r>
      <w:bookmarkEnd w:id="7"/>
    </w:p>
    <w:p w14:paraId="35124998">
      <w:pPr>
        <w:autoSpaceDE w:val="0"/>
        <w:autoSpaceDN w:val="0"/>
        <w:adjustRightInd w:val="0"/>
        <w:spacing w:line="360" w:lineRule="auto"/>
        <w:ind w:firstLine="482" w:firstLineChars="200"/>
        <w:jc w:val="left"/>
        <w:outlineLvl w:val="0"/>
        <w:rPr>
          <w:rFonts w:hint="eastAsia" w:ascii="宋体" w:hAnsi="宋体" w:eastAsia="宋体" w:cs="宋体"/>
          <w:b/>
          <w:color w:val="auto"/>
          <w:sz w:val="24"/>
          <w:szCs w:val="24"/>
          <w:highlight w:val="none"/>
        </w:rPr>
      </w:pPr>
      <w:bookmarkStart w:id="8" w:name="_Toc12871"/>
      <w:r>
        <w:rPr>
          <w:rFonts w:hint="eastAsia" w:ascii="宋体" w:hAnsi="宋体" w:eastAsia="宋体" w:cs="宋体"/>
          <w:b/>
          <w:color w:val="auto"/>
          <w:sz w:val="24"/>
          <w:szCs w:val="24"/>
          <w:highlight w:val="none"/>
        </w:rPr>
        <w:t>7.4签订合同</w:t>
      </w:r>
      <w:bookmarkEnd w:id="8"/>
    </w:p>
    <w:p w14:paraId="2EFD19D0">
      <w:pPr>
        <w:autoSpaceDE w:val="0"/>
        <w:autoSpaceDN w:val="0"/>
        <w:adjustRightInd w:val="0"/>
        <w:spacing w:line="360" w:lineRule="auto"/>
        <w:ind w:firstLine="480" w:firstLineChars="200"/>
        <w:jc w:val="left"/>
        <w:outlineLvl w:val="0"/>
        <w:rPr>
          <w:rFonts w:hint="eastAsia" w:ascii="宋体" w:hAnsi="宋体" w:eastAsia="宋体" w:cs="宋体"/>
          <w:color w:val="auto"/>
          <w:sz w:val="24"/>
          <w:szCs w:val="24"/>
          <w:highlight w:val="none"/>
        </w:rPr>
      </w:pPr>
      <w:bookmarkStart w:id="9" w:name="_Toc5891"/>
      <w:r>
        <w:rPr>
          <w:rFonts w:hint="eastAsia" w:ascii="宋体" w:hAnsi="宋体" w:eastAsia="宋体" w:cs="宋体"/>
          <w:color w:val="auto"/>
          <w:sz w:val="24"/>
          <w:szCs w:val="24"/>
          <w:highlight w:val="none"/>
        </w:rPr>
        <w:t>7.4.1采购人和成交供应商在成交通知书发出之日起2个工作日内，根据竞争性磋商文件和成交供应商的磋商响应文件订立书面合同。所签订的合同不得对竞争性磋商文件确定的事项和成交供应商磋商响应文件作实质性修改。</w:t>
      </w:r>
      <w:bookmarkEnd w:id="9"/>
    </w:p>
    <w:p w14:paraId="65EC76E0">
      <w:pPr>
        <w:autoSpaceDE w:val="0"/>
        <w:autoSpaceDN w:val="0"/>
        <w:adjustRightInd w:val="0"/>
        <w:spacing w:line="360" w:lineRule="auto"/>
        <w:ind w:firstLine="480" w:firstLineChars="200"/>
        <w:jc w:val="left"/>
        <w:outlineLvl w:val="0"/>
        <w:rPr>
          <w:rFonts w:hint="eastAsia" w:ascii="宋体" w:hAnsi="宋体" w:eastAsia="宋体" w:cs="宋体"/>
          <w:color w:val="auto"/>
          <w:sz w:val="24"/>
          <w:szCs w:val="24"/>
          <w:highlight w:val="none"/>
        </w:rPr>
      </w:pPr>
      <w:bookmarkStart w:id="10" w:name="_Toc264"/>
      <w:r>
        <w:rPr>
          <w:rFonts w:hint="eastAsia" w:ascii="宋体" w:hAnsi="宋体" w:eastAsia="宋体" w:cs="宋体"/>
          <w:color w:val="auto"/>
          <w:sz w:val="24"/>
          <w:szCs w:val="24"/>
          <w:highlight w:val="none"/>
        </w:rPr>
        <w:t>7.4.2成交供应商无正当理由拒签合同、在签订合同时向采购人提出附加条件的，采购人有权取消其成交资格，给采购人带来损失的，还应给予赔偿；采购人可以按照评标报告推荐的成交候选供应商排序，确定排名下一位的成交候选供应商为成交供应商，也可以重新开展采购活动。拒绝签订政府采购合同的成交供应商不得参加对该项目重新开展的采购活动。</w:t>
      </w:r>
      <w:bookmarkEnd w:id="10"/>
    </w:p>
    <w:p w14:paraId="0C6B0E23">
      <w:pPr>
        <w:autoSpaceDE w:val="0"/>
        <w:autoSpaceDN w:val="0"/>
        <w:adjustRightInd w:val="0"/>
        <w:spacing w:line="360" w:lineRule="auto"/>
        <w:ind w:firstLine="480" w:firstLineChars="200"/>
        <w:jc w:val="left"/>
        <w:outlineLvl w:val="0"/>
        <w:rPr>
          <w:rFonts w:hint="eastAsia" w:ascii="宋体" w:hAnsi="宋体" w:eastAsia="宋体" w:cs="宋体"/>
          <w:color w:val="auto"/>
          <w:sz w:val="24"/>
          <w:szCs w:val="24"/>
          <w:highlight w:val="none"/>
        </w:rPr>
      </w:pPr>
      <w:bookmarkStart w:id="11" w:name="_Toc25148"/>
      <w:r>
        <w:rPr>
          <w:rFonts w:hint="eastAsia" w:ascii="宋体" w:hAnsi="宋体" w:eastAsia="宋体" w:cs="宋体"/>
          <w:color w:val="auto"/>
          <w:sz w:val="24"/>
          <w:szCs w:val="24"/>
          <w:highlight w:val="none"/>
        </w:rPr>
        <w:t>7.4.3当出现法规规定的成交无效或成交结果无效情形时，采购人可与排名下一位的成交候选供应商另行签订合同，或依法重新开展采购活动。</w:t>
      </w:r>
      <w:bookmarkEnd w:id="11"/>
    </w:p>
    <w:p w14:paraId="1E5B5A8E">
      <w:pPr>
        <w:autoSpaceDE w:val="0"/>
        <w:autoSpaceDN w:val="0"/>
        <w:adjustRightInd w:val="0"/>
        <w:spacing w:line="360" w:lineRule="auto"/>
        <w:ind w:firstLine="480" w:firstLineChars="200"/>
        <w:jc w:val="left"/>
        <w:outlineLvl w:val="0"/>
        <w:rPr>
          <w:rFonts w:hint="eastAsia" w:ascii="宋体" w:hAnsi="宋体" w:eastAsia="宋体" w:cs="宋体"/>
          <w:b/>
          <w:bCs/>
          <w:color w:val="auto"/>
          <w:kern w:val="0"/>
          <w:sz w:val="24"/>
          <w:szCs w:val="24"/>
          <w:highlight w:val="none"/>
        </w:rPr>
      </w:pPr>
      <w:bookmarkStart w:id="12" w:name="_Toc26884"/>
      <w:r>
        <w:rPr>
          <w:rFonts w:hint="eastAsia" w:ascii="宋体" w:hAnsi="宋体" w:eastAsia="宋体" w:cs="宋体"/>
          <w:color w:val="auto"/>
          <w:sz w:val="24"/>
          <w:szCs w:val="24"/>
          <w:highlight w:val="none"/>
        </w:rPr>
        <w:t>7.4.4采购人不得向成交供应商提出任何不合理的要求作为签订合同的条件。</w:t>
      </w:r>
      <w:bookmarkEnd w:id="12"/>
    </w:p>
    <w:p w14:paraId="4E42BA97">
      <w:pPr>
        <w:autoSpaceDE w:val="0"/>
        <w:autoSpaceDN w:val="0"/>
        <w:adjustRightInd w:val="0"/>
        <w:spacing w:line="360" w:lineRule="auto"/>
        <w:ind w:firstLine="482" w:firstLineChars="200"/>
        <w:jc w:val="left"/>
        <w:outlineLvl w:val="0"/>
        <w:rPr>
          <w:rFonts w:hint="eastAsia" w:ascii="宋体" w:hAnsi="宋体" w:eastAsia="宋体" w:cs="宋体"/>
          <w:b/>
          <w:bCs/>
          <w:color w:val="auto"/>
          <w:kern w:val="0"/>
          <w:sz w:val="24"/>
          <w:szCs w:val="24"/>
          <w:highlight w:val="none"/>
        </w:rPr>
      </w:pPr>
      <w:bookmarkStart w:id="13" w:name="_Toc31986"/>
      <w:r>
        <w:rPr>
          <w:rFonts w:hint="eastAsia" w:ascii="宋体" w:hAnsi="宋体" w:eastAsia="宋体" w:cs="宋体"/>
          <w:b/>
          <w:bCs/>
          <w:color w:val="auto"/>
          <w:sz w:val="24"/>
          <w:szCs w:val="24"/>
          <w:highlight w:val="none"/>
        </w:rPr>
        <w:t>8.保密及其它注意事项</w:t>
      </w:r>
      <w:bookmarkEnd w:id="13"/>
    </w:p>
    <w:p w14:paraId="2FF473CC">
      <w:pPr>
        <w:autoSpaceDE w:val="0"/>
        <w:autoSpaceDN w:val="0"/>
        <w:adjustRightInd w:val="0"/>
        <w:spacing w:line="360" w:lineRule="auto"/>
        <w:ind w:firstLine="480" w:firstLineChars="200"/>
        <w:jc w:val="left"/>
        <w:outlineLvl w:val="0"/>
        <w:rPr>
          <w:rFonts w:hint="eastAsia" w:ascii="宋体" w:hAnsi="宋体" w:eastAsia="宋体" w:cs="宋体"/>
          <w:b/>
          <w:bCs/>
          <w:color w:val="auto"/>
          <w:kern w:val="0"/>
          <w:sz w:val="24"/>
          <w:szCs w:val="24"/>
          <w:highlight w:val="none"/>
        </w:rPr>
      </w:pPr>
      <w:bookmarkStart w:id="14" w:name="_Toc4612"/>
      <w:r>
        <w:rPr>
          <w:rFonts w:hint="eastAsia" w:ascii="宋体" w:hAnsi="宋体" w:eastAsia="宋体" w:cs="宋体"/>
          <w:color w:val="auto"/>
          <w:sz w:val="24"/>
          <w:szCs w:val="24"/>
          <w:highlight w:val="none"/>
        </w:rPr>
        <w:t>8.1评审工作是磋商工作的重要环节，评审工作在磋商小组内独立进行。</w:t>
      </w:r>
      <w:bookmarkEnd w:id="14"/>
    </w:p>
    <w:p w14:paraId="7D35B2ED">
      <w:pPr>
        <w:autoSpaceDE w:val="0"/>
        <w:autoSpaceDN w:val="0"/>
        <w:adjustRightInd w:val="0"/>
        <w:spacing w:line="360" w:lineRule="auto"/>
        <w:ind w:firstLine="480" w:firstLineChars="200"/>
        <w:jc w:val="left"/>
        <w:outlineLvl w:val="0"/>
        <w:rPr>
          <w:rFonts w:hint="eastAsia" w:ascii="宋体" w:hAnsi="宋体" w:eastAsia="宋体" w:cs="宋体"/>
          <w:b/>
          <w:bCs/>
          <w:color w:val="auto"/>
          <w:kern w:val="0"/>
          <w:sz w:val="24"/>
          <w:szCs w:val="24"/>
          <w:highlight w:val="none"/>
        </w:rPr>
      </w:pPr>
      <w:bookmarkStart w:id="15" w:name="_Toc17196"/>
      <w:r>
        <w:rPr>
          <w:rFonts w:hint="eastAsia" w:ascii="宋体" w:hAnsi="宋体" w:eastAsia="宋体" w:cs="宋体"/>
          <w:color w:val="auto"/>
          <w:sz w:val="24"/>
          <w:szCs w:val="24"/>
          <w:highlight w:val="none"/>
        </w:rPr>
        <w:t>8.2在评审期间，磋商响应供应商不得向磋商小组成员询问评审情况，不得进行影响评审结果的活动。否则其响应将会被拒绝。</w:t>
      </w:r>
      <w:bookmarkEnd w:id="15"/>
    </w:p>
    <w:p w14:paraId="7B25531E">
      <w:pPr>
        <w:autoSpaceDE w:val="0"/>
        <w:autoSpaceDN w:val="0"/>
        <w:adjustRightInd w:val="0"/>
        <w:spacing w:line="360" w:lineRule="auto"/>
        <w:ind w:firstLine="480" w:firstLineChars="200"/>
        <w:jc w:val="left"/>
        <w:outlineLvl w:val="0"/>
        <w:rPr>
          <w:rFonts w:hint="eastAsia" w:ascii="宋体" w:hAnsi="宋体" w:eastAsia="宋体" w:cs="宋体"/>
          <w:b/>
          <w:bCs/>
          <w:color w:val="auto"/>
          <w:kern w:val="0"/>
          <w:sz w:val="24"/>
          <w:szCs w:val="24"/>
          <w:highlight w:val="none"/>
        </w:rPr>
      </w:pPr>
      <w:bookmarkStart w:id="16" w:name="_Toc30160"/>
      <w:r>
        <w:rPr>
          <w:rFonts w:hint="eastAsia" w:ascii="宋体" w:hAnsi="宋体" w:eastAsia="宋体" w:cs="宋体"/>
          <w:color w:val="auto"/>
          <w:sz w:val="24"/>
          <w:szCs w:val="24"/>
          <w:highlight w:val="none"/>
        </w:rPr>
        <w:t>8.3为保证评审的公正性，磋商开始后直至授予成交供应商合同，磋商小组成员不得与供应商私下交换意见。</w:t>
      </w:r>
      <w:bookmarkEnd w:id="16"/>
    </w:p>
    <w:p w14:paraId="521B567A">
      <w:pPr>
        <w:autoSpaceDE w:val="0"/>
        <w:autoSpaceDN w:val="0"/>
        <w:adjustRightInd w:val="0"/>
        <w:spacing w:line="360" w:lineRule="auto"/>
        <w:ind w:firstLine="480" w:firstLineChars="200"/>
        <w:jc w:val="left"/>
        <w:outlineLvl w:val="0"/>
        <w:rPr>
          <w:rFonts w:hint="eastAsia" w:ascii="宋体" w:hAnsi="宋体" w:eastAsia="宋体" w:cs="宋体"/>
          <w:color w:val="auto"/>
          <w:sz w:val="24"/>
          <w:szCs w:val="24"/>
          <w:highlight w:val="none"/>
        </w:rPr>
      </w:pPr>
      <w:bookmarkStart w:id="17" w:name="_Toc1535"/>
      <w:r>
        <w:rPr>
          <w:rFonts w:hint="eastAsia" w:ascii="宋体" w:hAnsi="宋体" w:eastAsia="宋体" w:cs="宋体"/>
          <w:color w:val="auto"/>
          <w:sz w:val="24"/>
          <w:szCs w:val="24"/>
          <w:highlight w:val="none"/>
        </w:rPr>
        <w:t>8.4在评审工作结束后，凡与评审情况有接触的任何人不得擅自将评审情况扩散出评审人员之外。</w:t>
      </w:r>
      <w:bookmarkEnd w:id="17"/>
    </w:p>
    <w:p w14:paraId="122B6614">
      <w:pPr>
        <w:autoSpaceDE w:val="0"/>
        <w:autoSpaceDN w:val="0"/>
        <w:adjustRightInd w:val="0"/>
        <w:spacing w:line="360" w:lineRule="auto"/>
        <w:ind w:firstLine="482" w:firstLineChars="200"/>
        <w:jc w:val="left"/>
        <w:outlineLvl w:val="0"/>
        <w:rPr>
          <w:rFonts w:hint="eastAsia" w:ascii="宋体" w:hAnsi="宋体" w:eastAsia="宋体" w:cs="宋体"/>
          <w:b/>
          <w:color w:val="auto"/>
          <w:sz w:val="24"/>
          <w:szCs w:val="24"/>
          <w:highlight w:val="none"/>
        </w:rPr>
      </w:pPr>
      <w:bookmarkStart w:id="18" w:name="_Toc11726"/>
      <w:r>
        <w:rPr>
          <w:rFonts w:hint="eastAsia" w:ascii="宋体" w:hAnsi="宋体" w:eastAsia="宋体" w:cs="宋体"/>
          <w:b/>
          <w:color w:val="auto"/>
          <w:sz w:val="24"/>
          <w:szCs w:val="24"/>
          <w:highlight w:val="none"/>
        </w:rPr>
        <w:t>9.质疑</w:t>
      </w:r>
      <w:bookmarkEnd w:id="18"/>
    </w:p>
    <w:p w14:paraId="6752D8F4">
      <w:pPr>
        <w:autoSpaceDE w:val="0"/>
        <w:autoSpaceDN w:val="0"/>
        <w:adjustRightInd w:val="0"/>
        <w:spacing w:line="360" w:lineRule="auto"/>
        <w:ind w:firstLine="480" w:firstLineChars="200"/>
        <w:jc w:val="left"/>
        <w:outlineLvl w:val="0"/>
        <w:rPr>
          <w:rFonts w:hint="eastAsia" w:ascii="宋体" w:hAnsi="宋体" w:eastAsia="宋体" w:cs="宋体"/>
          <w:color w:val="auto"/>
          <w:sz w:val="24"/>
          <w:szCs w:val="24"/>
          <w:highlight w:val="none"/>
        </w:rPr>
      </w:pPr>
      <w:bookmarkStart w:id="19" w:name="_Toc31552"/>
      <w:r>
        <w:rPr>
          <w:rFonts w:hint="eastAsia" w:ascii="宋体" w:hAnsi="宋体" w:eastAsia="宋体" w:cs="宋体"/>
          <w:color w:val="auto"/>
          <w:sz w:val="24"/>
          <w:szCs w:val="24"/>
          <w:highlight w:val="none"/>
        </w:rPr>
        <w:t>各有关当事人对成交结果有异议的，可以在成交结果公告期限届满之日起七个工作日内，按《政府采购质疑和投诉办法》（财政部令第94号）要求以书面形式同时向采购人和采购代理机构提出质疑，逾期提交或未按照要求提交的质疑函将不予受理。</w:t>
      </w:r>
      <w:bookmarkEnd w:id="19"/>
    </w:p>
    <w:p w14:paraId="24064FE8">
      <w:pPr>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10.纪律和监督</w:t>
      </w:r>
    </w:p>
    <w:p w14:paraId="5F483590">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10.1对采购人的纪律要求</w:t>
      </w:r>
    </w:p>
    <w:p w14:paraId="630F8B1D">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采购人不得泄露招标投标活动中应当保密的情况和资料，不得与供应商串通损害国家利益、社会公共利益或者他人合法权益。</w:t>
      </w:r>
    </w:p>
    <w:p w14:paraId="3176EE6F">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10.2对供应商的纪律要求</w:t>
      </w:r>
    </w:p>
    <w:p w14:paraId="47E2774E">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供应商不得相互串通投标或者与采购人串通投标，不得向采购人或者磋商小组成员行贿谋取成交，不得以他人名义投标或者以其他方式弄虚作假骗取成交；供应商不得以任何方式干扰、影响评标工作。</w:t>
      </w:r>
    </w:p>
    <w:p w14:paraId="7808FF8C">
      <w:pPr>
        <w:spacing w:line="420" w:lineRule="exact"/>
        <w:ind w:firstLine="542" w:firstLineChars="22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10.2.1供应商出现下列情形之一的，磋商小组可取消其磋商资格：</w:t>
      </w:r>
    </w:p>
    <w:p w14:paraId="0A818571">
      <w:pPr>
        <w:spacing w:line="420" w:lineRule="exact"/>
        <w:ind w:firstLine="542" w:firstLineChars="22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10.2.1.1未按磋商文件要求和规定提交实质性响应材料的；</w:t>
      </w:r>
    </w:p>
    <w:p w14:paraId="31A49C2B">
      <w:pPr>
        <w:spacing w:line="420" w:lineRule="exact"/>
        <w:ind w:firstLine="542" w:firstLineChars="22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10.2.1.2相互串通磋商的（有下列情形之一的，视为磋商响应供应商相互串通磋商）；</w:t>
      </w:r>
    </w:p>
    <w:p w14:paraId="78323002">
      <w:pPr>
        <w:spacing w:line="420" w:lineRule="exact"/>
        <w:ind w:firstLine="422" w:firstLineChars="17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（1）不同磋商响应供应商的响应文件由同一单位或者个人编制</w:t>
      </w:r>
    </w:p>
    <w:p w14:paraId="280A5A28">
      <w:pPr>
        <w:spacing w:line="420" w:lineRule="exact"/>
        <w:ind w:firstLine="422" w:firstLineChars="17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（2）不同磋商响应供应商的响应文件载明的项目管理成员为同一人</w:t>
      </w:r>
    </w:p>
    <w:p w14:paraId="6CC4A174">
      <w:pPr>
        <w:autoSpaceDE w:val="0"/>
        <w:spacing w:line="420" w:lineRule="exact"/>
        <w:ind w:firstLine="422" w:firstLineChars="17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（3）不同磋商响应供应商的响应文件异常一致或者磋商报价呈规律性差异</w:t>
      </w:r>
    </w:p>
    <w:p w14:paraId="52541002">
      <w:pPr>
        <w:autoSpaceDE w:val="0"/>
        <w:spacing w:line="420" w:lineRule="exact"/>
        <w:ind w:firstLine="422" w:firstLineChars="17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（4）不同磋商响应供应商的响应文件相互混放</w:t>
      </w:r>
    </w:p>
    <w:p w14:paraId="6B00AB3D">
      <w:pPr>
        <w:autoSpaceDE w:val="0"/>
        <w:spacing w:line="420" w:lineRule="exact"/>
        <w:ind w:firstLine="422" w:firstLineChars="17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10.2.2供应商出现下列情形之一的，将被视为非实质性响应磋商文件要求：</w:t>
      </w:r>
    </w:p>
    <w:p w14:paraId="105D52C1">
      <w:pPr>
        <w:autoSpaceDE w:val="0"/>
        <w:spacing w:line="420" w:lineRule="exact"/>
        <w:ind w:firstLine="422" w:firstLineChars="17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10.2.2.1 交货（完成）期限不确切或不符合磋商文件要求的；</w:t>
      </w:r>
    </w:p>
    <w:p w14:paraId="66C77D5D">
      <w:pPr>
        <w:autoSpaceDE w:val="0"/>
        <w:spacing w:line="420" w:lineRule="exact"/>
        <w:ind w:firstLine="422" w:firstLineChars="17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10.2.2.2最后报价有选择性的；</w:t>
      </w:r>
    </w:p>
    <w:p w14:paraId="7C43ECE9">
      <w:pPr>
        <w:autoSpaceDE w:val="0"/>
        <w:spacing w:line="420" w:lineRule="exact"/>
        <w:ind w:firstLine="422" w:firstLineChars="17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10.2.2.3最后报价超过投标最高限价的；</w:t>
      </w:r>
    </w:p>
    <w:p w14:paraId="4DDBCBA0">
      <w:pPr>
        <w:autoSpaceDE w:val="0"/>
        <w:spacing w:line="420" w:lineRule="exact"/>
        <w:ind w:firstLine="422" w:firstLineChars="17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10.2.2.4被磋商小组认定存在重大负偏离的；</w:t>
      </w:r>
    </w:p>
    <w:p w14:paraId="559171E2">
      <w:pPr>
        <w:autoSpaceDE w:val="0"/>
        <w:spacing w:line="420" w:lineRule="exact"/>
        <w:ind w:firstLine="422" w:firstLineChars="17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注：所谓重大负偏离是指磋商响应供应商对磋商文件的响应在范围、质量、数量和交货（完成）期限、技术规格要求等方面明显不能满足采购需求的。重大负偏离的认定须经磋商小组三分之二以上同意。</w:t>
      </w:r>
    </w:p>
    <w:p w14:paraId="7CAC0C67">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10.3对磋商小组成员的纪律要求</w:t>
      </w:r>
    </w:p>
    <w:p w14:paraId="4CAADD40">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磋商小组成员不得收受他人的财物或者其他好处，不得向他人透露对磋商响应文件的评审和比较、成交候选供应商的推荐情况以及评标有关的其他情况。在评标活动中，磋商小组成员应当客观、公正地履行职责，遵守职业道德，不得擅离职守，影响评标程序正常进行，不得使用第四章“评标方法和标准”没有规定的评审因素和标准进行评标。</w:t>
      </w:r>
    </w:p>
    <w:p w14:paraId="69D68067">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10.4对与评标活动有关的工作人员的纪律要求</w:t>
      </w:r>
    </w:p>
    <w:p w14:paraId="70DB1CD5">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与评标活动有关的工作人员不得收受他人的财物或者其他好处，不得向他人透露对磋商响应文件的评审和比较、成交候选供应商的推荐情况以及评标有关的其他情况。在评标活动中，与评标活动有关的工作人员不得擅离职守，影响评标程序正常进行。</w:t>
      </w:r>
    </w:p>
    <w:p w14:paraId="5E9246D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11.需要补充的其他内容</w:t>
      </w:r>
    </w:p>
    <w:p w14:paraId="4176BE47">
      <w:pPr>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需要补充的其他内容：见供应商须知前附表。</w:t>
      </w:r>
    </w:p>
    <w:p w14:paraId="242A888E">
      <w:pPr>
        <w:keepNext w:val="0"/>
        <w:keepLines w:val="0"/>
        <w:pageBreakBefore w:val="0"/>
        <w:widowControl w:val="0"/>
        <w:tabs>
          <w:tab w:val="left" w:pos="1341"/>
        </w:tabs>
        <w:kinsoku/>
        <w:wordWrap w:val="0"/>
        <w:overflowPunct/>
        <w:topLinePunct/>
        <w:autoSpaceDE/>
        <w:autoSpaceDN/>
        <w:bidi w:val="0"/>
        <w:snapToGrid/>
        <w:spacing w:line="360" w:lineRule="auto"/>
        <w:ind w:firstLine="478" w:firstLineChars="200"/>
        <w:jc w:val="left"/>
        <w:textAlignment w:val="auto"/>
        <w:outlineLvl w:val="9"/>
        <w:rPr>
          <w:rFonts w:hint="eastAsia" w:ascii="宋体" w:hAnsi="宋体" w:cs="宋体"/>
          <w:b/>
          <w:bCs/>
          <w:color w:val="auto"/>
          <w:spacing w:val="-1"/>
          <w:kern w:val="0"/>
          <w:sz w:val="24"/>
          <w:szCs w:val="22"/>
          <w:highlight w:val="none"/>
          <w:lang w:bidi="zh-CN"/>
        </w:rPr>
      </w:pPr>
      <w:bookmarkStart w:id="20" w:name="_Toc6778"/>
      <w:r>
        <w:rPr>
          <w:rFonts w:hint="eastAsia" w:ascii="宋体" w:hAnsi="宋体" w:cs="宋体"/>
          <w:b/>
          <w:bCs/>
          <w:color w:val="auto"/>
          <w:spacing w:val="-1"/>
          <w:kern w:val="0"/>
          <w:sz w:val="24"/>
          <w:szCs w:val="22"/>
          <w:highlight w:val="none"/>
          <w:lang w:val="en-US" w:bidi="zh-CN"/>
        </w:rPr>
        <w:t>12.</w:t>
      </w:r>
      <w:r>
        <w:rPr>
          <w:rFonts w:hint="eastAsia" w:ascii="宋体" w:hAnsi="宋体" w:cs="宋体"/>
          <w:b/>
          <w:bCs/>
          <w:color w:val="auto"/>
          <w:spacing w:val="-1"/>
          <w:kern w:val="0"/>
          <w:sz w:val="24"/>
          <w:szCs w:val="22"/>
          <w:highlight w:val="none"/>
          <w:lang w:bidi="zh-CN"/>
        </w:rPr>
        <w:t>招标代理服务收费参照豫招协[2023]002号河南省招标投标协会关于印发《河南省招标代理服务收费指导意见》规定的收费标准收取中标服务费。</w:t>
      </w:r>
    </w:p>
    <w:p w14:paraId="17EFA25B">
      <w:pPr>
        <w:keepNext w:val="0"/>
        <w:keepLines w:val="0"/>
        <w:pageBreakBefore w:val="0"/>
        <w:widowControl w:val="0"/>
        <w:tabs>
          <w:tab w:val="left" w:pos="1341"/>
        </w:tabs>
        <w:kinsoku/>
        <w:wordWrap w:val="0"/>
        <w:overflowPunct/>
        <w:topLinePunct/>
        <w:autoSpaceDE/>
        <w:autoSpaceDN/>
        <w:bidi w:val="0"/>
        <w:snapToGrid/>
        <w:spacing w:line="360" w:lineRule="auto"/>
        <w:ind w:firstLine="478" w:firstLineChars="200"/>
        <w:jc w:val="left"/>
        <w:textAlignment w:val="auto"/>
        <w:outlineLvl w:val="9"/>
        <w:rPr>
          <w:rFonts w:ascii="宋体" w:hAnsi="宋体" w:cs="宋体"/>
          <w:b/>
          <w:bCs/>
          <w:color w:val="auto"/>
          <w:spacing w:val="-1"/>
          <w:kern w:val="0"/>
          <w:sz w:val="24"/>
          <w:szCs w:val="22"/>
          <w:highlight w:val="none"/>
          <w:lang w:bidi="zh-CN"/>
        </w:rPr>
      </w:pPr>
    </w:p>
    <w:p w14:paraId="2E14356A">
      <w:pPr>
        <w:keepNext w:val="0"/>
        <w:keepLines w:val="0"/>
        <w:pageBreakBefore w:val="0"/>
        <w:widowControl w:val="0"/>
        <w:tabs>
          <w:tab w:val="left" w:pos="1341"/>
        </w:tabs>
        <w:kinsoku/>
        <w:wordWrap w:val="0"/>
        <w:overflowPunct/>
        <w:topLinePunct/>
        <w:autoSpaceDE/>
        <w:autoSpaceDN/>
        <w:bidi w:val="0"/>
        <w:snapToGrid/>
        <w:spacing w:line="360" w:lineRule="auto"/>
        <w:ind w:firstLine="478" w:firstLineChars="200"/>
        <w:jc w:val="left"/>
        <w:textAlignment w:val="auto"/>
        <w:outlineLvl w:val="9"/>
        <w:rPr>
          <w:rFonts w:ascii="宋体" w:hAnsi="宋体" w:cs="宋体"/>
          <w:b/>
          <w:bCs/>
          <w:color w:val="auto"/>
          <w:spacing w:val="-1"/>
          <w:kern w:val="0"/>
          <w:sz w:val="24"/>
          <w:szCs w:val="22"/>
          <w:highlight w:val="none"/>
          <w:lang w:bidi="zh-CN"/>
        </w:rPr>
      </w:pPr>
      <w:r>
        <w:rPr>
          <w:rFonts w:hint="eastAsia" w:ascii="宋体" w:hAnsi="宋体" w:cs="宋体"/>
          <w:b/>
          <w:bCs/>
          <w:color w:val="auto"/>
          <w:spacing w:val="-1"/>
          <w:kern w:val="0"/>
          <w:sz w:val="24"/>
          <w:szCs w:val="22"/>
          <w:highlight w:val="none"/>
          <w:lang w:bidi="zh-CN"/>
        </w:rPr>
        <w:t>河南省招标代理服务费计算标准</w:t>
      </w:r>
    </w:p>
    <w:tbl>
      <w:tblPr>
        <w:tblStyle w:val="17"/>
        <w:tblW w:w="8780" w:type="dxa"/>
        <w:tblInd w:w="0" w:type="dxa"/>
        <w:tblLayout w:type="fixed"/>
        <w:tblCellMar>
          <w:top w:w="0" w:type="dxa"/>
          <w:left w:w="15" w:type="dxa"/>
          <w:bottom w:w="0" w:type="dxa"/>
          <w:right w:w="15" w:type="dxa"/>
        </w:tblCellMar>
      </w:tblPr>
      <w:tblGrid>
        <w:gridCol w:w="3994"/>
        <w:gridCol w:w="1642"/>
        <w:gridCol w:w="1433"/>
        <w:gridCol w:w="1711"/>
      </w:tblGrid>
      <w:tr w14:paraId="32F299B3">
        <w:tblPrEx>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noWrap w:val="0"/>
            <w:vAlign w:val="center"/>
          </w:tcPr>
          <w:p w14:paraId="465A3559">
            <w:pPr>
              <w:autoSpaceDN w:val="0"/>
              <w:jc w:val="center"/>
              <w:textAlignment w:val="center"/>
              <w:rPr>
                <w:rFonts w:ascii="宋体" w:hAnsi="宋体" w:cs="宋体"/>
                <w:color w:val="auto"/>
                <w:kern w:val="0"/>
                <w:sz w:val="24"/>
                <w:szCs w:val="18"/>
                <w:highlight w:val="none"/>
                <w:lang w:val="zh-CN" w:bidi="zh-CN"/>
              </w:rPr>
            </w:pPr>
            <w:r>
              <w:rPr>
                <w:rFonts w:ascii="宋体" w:hAnsi="宋体" w:cs="宋体"/>
                <w:color w:val="auto"/>
                <w:kern w:val="0"/>
                <w:sz w:val="24"/>
                <w:szCs w:val="18"/>
                <w:highlight w:val="none"/>
                <w:lang w:val="zh-CN" w:bidi="zh-CN"/>
              </w:rPr>
              <w:t>项目类型/（金额万元）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31BE4A35">
            <w:pPr>
              <w:autoSpaceDN w:val="0"/>
              <w:jc w:val="center"/>
              <w:textAlignment w:val="center"/>
              <w:rPr>
                <w:rFonts w:ascii="宋体" w:hAnsi="宋体" w:cs="宋体"/>
                <w:color w:val="auto"/>
                <w:kern w:val="0"/>
                <w:sz w:val="24"/>
                <w:szCs w:val="18"/>
                <w:highlight w:val="none"/>
                <w:lang w:val="zh-CN" w:bidi="zh-CN"/>
              </w:rPr>
            </w:pPr>
            <w:r>
              <w:rPr>
                <w:rFonts w:ascii="宋体" w:hAnsi="宋体" w:cs="宋体"/>
                <w:color w:val="auto"/>
                <w:kern w:val="0"/>
                <w:sz w:val="24"/>
                <w:szCs w:val="18"/>
                <w:highlight w:val="none"/>
                <w:lang w:val="zh-CN" w:bidi="zh-CN"/>
              </w:rPr>
              <w:t>工程</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78B07572">
            <w:pPr>
              <w:autoSpaceDN w:val="0"/>
              <w:jc w:val="center"/>
              <w:textAlignment w:val="center"/>
              <w:rPr>
                <w:rFonts w:ascii="宋体" w:hAnsi="宋体" w:cs="宋体"/>
                <w:color w:val="auto"/>
                <w:kern w:val="0"/>
                <w:sz w:val="24"/>
                <w:szCs w:val="18"/>
                <w:highlight w:val="none"/>
                <w:lang w:val="zh-CN" w:bidi="zh-CN"/>
              </w:rPr>
            </w:pPr>
            <w:r>
              <w:rPr>
                <w:rFonts w:ascii="宋体" w:hAnsi="宋体" w:cs="宋体"/>
                <w:color w:val="auto"/>
                <w:kern w:val="0"/>
                <w:sz w:val="24"/>
                <w:szCs w:val="18"/>
                <w:highlight w:val="none"/>
                <w:lang w:val="zh-CN" w:bidi="zh-CN"/>
              </w:rPr>
              <w:t>货物</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3A5F7179">
            <w:pPr>
              <w:autoSpaceDN w:val="0"/>
              <w:jc w:val="center"/>
              <w:textAlignment w:val="center"/>
              <w:rPr>
                <w:rFonts w:ascii="宋体" w:hAnsi="宋体" w:cs="宋体"/>
                <w:color w:val="auto"/>
                <w:kern w:val="0"/>
                <w:sz w:val="24"/>
                <w:szCs w:val="18"/>
                <w:highlight w:val="none"/>
                <w:lang w:val="zh-CN" w:bidi="zh-CN"/>
              </w:rPr>
            </w:pPr>
            <w:r>
              <w:rPr>
                <w:rFonts w:ascii="宋体" w:hAnsi="宋体" w:cs="宋体"/>
                <w:color w:val="auto"/>
                <w:kern w:val="0"/>
                <w:sz w:val="24"/>
                <w:szCs w:val="18"/>
                <w:highlight w:val="none"/>
                <w:lang w:val="zh-CN" w:bidi="zh-CN"/>
              </w:rPr>
              <w:t>服务</w:t>
            </w:r>
          </w:p>
        </w:tc>
      </w:tr>
      <w:tr w14:paraId="38A80952">
        <w:tblPrEx>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noWrap w:val="0"/>
            <w:vAlign w:val="center"/>
          </w:tcPr>
          <w:p w14:paraId="7CE39D60">
            <w:pPr>
              <w:autoSpaceDN w:val="0"/>
              <w:jc w:val="left"/>
              <w:textAlignment w:val="center"/>
              <w:rPr>
                <w:rFonts w:ascii="宋体" w:hAnsi="宋体" w:cs="宋体"/>
                <w:color w:val="auto"/>
                <w:kern w:val="0"/>
                <w:sz w:val="24"/>
                <w:szCs w:val="18"/>
                <w:highlight w:val="none"/>
                <w:lang w:val="zh-CN" w:bidi="zh-CN"/>
              </w:rPr>
            </w:pPr>
            <w:r>
              <w:rPr>
                <w:rFonts w:ascii="宋体" w:hAnsi="宋体" w:cs="宋体"/>
                <w:color w:val="auto"/>
                <w:kern w:val="0"/>
                <w:sz w:val="24"/>
                <w:szCs w:val="18"/>
                <w:highlight w:val="none"/>
                <w:lang w:val="zh-CN" w:bidi="zh-CN"/>
              </w:rPr>
              <w:t>100万元以下（含100万元）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2441F49C">
            <w:pPr>
              <w:autoSpaceDN w:val="0"/>
              <w:jc w:val="center"/>
              <w:textAlignment w:val="center"/>
              <w:rPr>
                <w:rFonts w:ascii="宋体" w:hAnsi="宋体" w:cs="宋体"/>
                <w:color w:val="auto"/>
                <w:kern w:val="0"/>
                <w:sz w:val="24"/>
                <w:szCs w:val="18"/>
                <w:highlight w:val="none"/>
                <w:lang w:val="zh-CN" w:bidi="zh-CN"/>
              </w:rPr>
            </w:pPr>
            <w:r>
              <w:rPr>
                <w:rFonts w:ascii="宋体" w:hAnsi="宋体" w:cs="宋体"/>
                <w:color w:val="auto"/>
                <w:kern w:val="0"/>
                <w:sz w:val="24"/>
                <w:szCs w:val="18"/>
                <w:highlight w:val="none"/>
                <w:lang w:val="zh-CN" w:bidi="zh-CN"/>
              </w:rPr>
              <w:t>1.20%</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2C92BE7C">
            <w:pPr>
              <w:autoSpaceDN w:val="0"/>
              <w:jc w:val="center"/>
              <w:textAlignment w:val="center"/>
              <w:rPr>
                <w:rFonts w:ascii="宋体" w:hAnsi="宋体" w:cs="宋体"/>
                <w:color w:val="auto"/>
                <w:kern w:val="0"/>
                <w:sz w:val="24"/>
                <w:szCs w:val="18"/>
                <w:highlight w:val="none"/>
                <w:lang w:val="zh-CN" w:bidi="zh-CN"/>
              </w:rPr>
            </w:pPr>
            <w:r>
              <w:rPr>
                <w:rFonts w:ascii="宋体" w:hAnsi="宋体" w:cs="宋体"/>
                <w:color w:val="auto"/>
                <w:kern w:val="0"/>
                <w:sz w:val="24"/>
                <w:szCs w:val="18"/>
                <w:highlight w:val="none"/>
                <w:lang w:val="zh-CN" w:bidi="zh-CN"/>
              </w:rPr>
              <w:t>1.70%</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76840753">
            <w:pPr>
              <w:autoSpaceDN w:val="0"/>
              <w:jc w:val="center"/>
              <w:textAlignment w:val="center"/>
              <w:rPr>
                <w:rFonts w:ascii="宋体" w:hAnsi="宋体" w:cs="宋体"/>
                <w:color w:val="auto"/>
                <w:kern w:val="0"/>
                <w:sz w:val="24"/>
                <w:szCs w:val="18"/>
                <w:highlight w:val="none"/>
                <w:lang w:val="zh-CN" w:bidi="zh-CN"/>
              </w:rPr>
            </w:pPr>
            <w:r>
              <w:rPr>
                <w:rFonts w:ascii="宋体" w:hAnsi="宋体" w:cs="宋体"/>
                <w:color w:val="auto"/>
                <w:kern w:val="0"/>
                <w:sz w:val="24"/>
                <w:szCs w:val="18"/>
                <w:highlight w:val="none"/>
                <w:lang w:val="zh-CN" w:bidi="zh-CN"/>
              </w:rPr>
              <w:t>1.70%</w:t>
            </w:r>
          </w:p>
        </w:tc>
      </w:tr>
      <w:tr w14:paraId="04DDA42B">
        <w:tblPrEx>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noWrap w:val="0"/>
            <w:vAlign w:val="center"/>
          </w:tcPr>
          <w:p w14:paraId="56838107">
            <w:pPr>
              <w:autoSpaceDN w:val="0"/>
              <w:jc w:val="left"/>
              <w:textAlignment w:val="center"/>
              <w:rPr>
                <w:rFonts w:ascii="宋体" w:hAnsi="宋体" w:cs="宋体"/>
                <w:color w:val="auto"/>
                <w:kern w:val="0"/>
                <w:sz w:val="24"/>
                <w:szCs w:val="18"/>
                <w:highlight w:val="none"/>
                <w:lang w:val="zh-CN" w:bidi="zh-CN"/>
              </w:rPr>
            </w:pPr>
            <w:r>
              <w:rPr>
                <w:rFonts w:ascii="宋体" w:hAnsi="宋体" w:cs="宋体"/>
                <w:color w:val="auto"/>
                <w:kern w:val="0"/>
                <w:sz w:val="24"/>
                <w:szCs w:val="18"/>
                <w:highlight w:val="none"/>
                <w:lang w:val="zh-CN" w:bidi="zh-CN"/>
              </w:rPr>
              <w:t>100-500万元（含500万元）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2C6E3F98">
            <w:pPr>
              <w:autoSpaceDN w:val="0"/>
              <w:jc w:val="center"/>
              <w:textAlignment w:val="center"/>
              <w:rPr>
                <w:rFonts w:ascii="宋体" w:hAnsi="宋体" w:cs="宋体"/>
                <w:color w:val="auto"/>
                <w:kern w:val="0"/>
                <w:sz w:val="24"/>
                <w:szCs w:val="18"/>
                <w:highlight w:val="none"/>
                <w:lang w:val="zh-CN" w:bidi="zh-CN"/>
              </w:rPr>
            </w:pPr>
            <w:r>
              <w:rPr>
                <w:rFonts w:ascii="宋体" w:hAnsi="宋体" w:cs="宋体"/>
                <w:color w:val="auto"/>
                <w:kern w:val="0"/>
                <w:sz w:val="24"/>
                <w:szCs w:val="18"/>
                <w:highlight w:val="none"/>
                <w:lang w:val="zh-CN" w:bidi="zh-CN"/>
              </w:rPr>
              <w:t>1.00%</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61DA8CF3">
            <w:pPr>
              <w:autoSpaceDN w:val="0"/>
              <w:jc w:val="center"/>
              <w:textAlignment w:val="center"/>
              <w:rPr>
                <w:rFonts w:ascii="宋体" w:hAnsi="宋体" w:cs="宋体"/>
                <w:color w:val="auto"/>
                <w:kern w:val="0"/>
                <w:sz w:val="24"/>
                <w:szCs w:val="18"/>
                <w:highlight w:val="none"/>
                <w:lang w:val="zh-CN" w:bidi="zh-CN"/>
              </w:rPr>
            </w:pPr>
            <w:r>
              <w:rPr>
                <w:rFonts w:ascii="宋体" w:hAnsi="宋体" w:cs="宋体"/>
                <w:color w:val="auto"/>
                <w:kern w:val="0"/>
                <w:sz w:val="24"/>
                <w:szCs w:val="18"/>
                <w:highlight w:val="none"/>
                <w:lang w:val="zh-CN" w:bidi="zh-CN"/>
              </w:rPr>
              <w:t>1.20%</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4E6DEF0D">
            <w:pPr>
              <w:autoSpaceDN w:val="0"/>
              <w:jc w:val="center"/>
              <w:textAlignment w:val="center"/>
              <w:rPr>
                <w:rFonts w:ascii="宋体" w:hAnsi="宋体" w:cs="宋体"/>
                <w:color w:val="auto"/>
                <w:kern w:val="0"/>
                <w:sz w:val="24"/>
                <w:szCs w:val="18"/>
                <w:highlight w:val="none"/>
                <w:lang w:val="zh-CN" w:bidi="zh-CN"/>
              </w:rPr>
            </w:pPr>
            <w:r>
              <w:rPr>
                <w:rFonts w:ascii="宋体" w:hAnsi="宋体" w:cs="宋体"/>
                <w:color w:val="auto"/>
                <w:kern w:val="0"/>
                <w:sz w:val="24"/>
                <w:szCs w:val="18"/>
                <w:highlight w:val="none"/>
                <w:lang w:val="zh-CN" w:bidi="zh-CN"/>
              </w:rPr>
              <w:t>1.20%</w:t>
            </w:r>
          </w:p>
        </w:tc>
      </w:tr>
      <w:tr w14:paraId="607D6EB3">
        <w:tblPrEx>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noWrap w:val="0"/>
            <w:vAlign w:val="center"/>
          </w:tcPr>
          <w:p w14:paraId="7C6F392C">
            <w:pPr>
              <w:autoSpaceDN w:val="0"/>
              <w:jc w:val="left"/>
              <w:textAlignment w:val="center"/>
              <w:rPr>
                <w:rFonts w:ascii="宋体" w:hAnsi="宋体" w:cs="宋体"/>
                <w:color w:val="auto"/>
                <w:kern w:val="0"/>
                <w:sz w:val="24"/>
                <w:szCs w:val="18"/>
                <w:highlight w:val="none"/>
                <w:lang w:val="zh-CN" w:bidi="zh-CN"/>
              </w:rPr>
            </w:pPr>
            <w:r>
              <w:rPr>
                <w:rFonts w:ascii="宋体" w:hAnsi="宋体" w:cs="宋体"/>
                <w:color w:val="auto"/>
                <w:kern w:val="0"/>
                <w:sz w:val="24"/>
                <w:szCs w:val="18"/>
                <w:highlight w:val="none"/>
                <w:lang w:val="zh-CN" w:bidi="zh-CN"/>
              </w:rPr>
              <w:t>500-1000万元（含1000万元）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62F3E765">
            <w:pPr>
              <w:autoSpaceDN w:val="0"/>
              <w:jc w:val="center"/>
              <w:textAlignment w:val="center"/>
              <w:rPr>
                <w:rFonts w:ascii="宋体" w:hAnsi="宋体" w:cs="宋体"/>
                <w:color w:val="auto"/>
                <w:kern w:val="0"/>
                <w:sz w:val="24"/>
                <w:szCs w:val="18"/>
                <w:highlight w:val="none"/>
                <w:lang w:val="zh-CN" w:bidi="zh-CN"/>
              </w:rPr>
            </w:pPr>
            <w:r>
              <w:rPr>
                <w:rFonts w:ascii="宋体" w:hAnsi="宋体" w:cs="宋体"/>
                <w:color w:val="auto"/>
                <w:kern w:val="0"/>
                <w:sz w:val="24"/>
                <w:szCs w:val="18"/>
                <w:highlight w:val="none"/>
                <w:lang w:val="zh-CN" w:bidi="zh-CN"/>
              </w:rPr>
              <w:t>0.70%</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04AD0C7E">
            <w:pPr>
              <w:autoSpaceDN w:val="0"/>
              <w:jc w:val="center"/>
              <w:textAlignment w:val="center"/>
              <w:rPr>
                <w:rFonts w:ascii="宋体" w:hAnsi="宋体" w:cs="宋体"/>
                <w:color w:val="auto"/>
                <w:kern w:val="0"/>
                <w:sz w:val="24"/>
                <w:szCs w:val="18"/>
                <w:highlight w:val="none"/>
                <w:lang w:val="zh-CN" w:bidi="zh-CN"/>
              </w:rPr>
            </w:pPr>
            <w:r>
              <w:rPr>
                <w:rFonts w:ascii="宋体" w:hAnsi="宋体" w:cs="宋体"/>
                <w:color w:val="auto"/>
                <w:kern w:val="0"/>
                <w:sz w:val="24"/>
                <w:szCs w:val="18"/>
                <w:highlight w:val="none"/>
                <w:lang w:val="zh-CN" w:bidi="zh-CN"/>
              </w:rPr>
              <w:t>0.80%</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1A6A815D">
            <w:pPr>
              <w:autoSpaceDN w:val="0"/>
              <w:jc w:val="center"/>
              <w:textAlignment w:val="center"/>
              <w:rPr>
                <w:rFonts w:ascii="宋体" w:hAnsi="宋体" w:cs="宋体"/>
                <w:color w:val="auto"/>
                <w:kern w:val="0"/>
                <w:sz w:val="24"/>
                <w:szCs w:val="18"/>
                <w:highlight w:val="none"/>
                <w:lang w:val="zh-CN" w:bidi="zh-CN"/>
              </w:rPr>
            </w:pPr>
            <w:r>
              <w:rPr>
                <w:rFonts w:ascii="宋体" w:hAnsi="宋体" w:cs="宋体"/>
                <w:color w:val="auto"/>
                <w:kern w:val="0"/>
                <w:sz w:val="24"/>
                <w:szCs w:val="18"/>
                <w:highlight w:val="none"/>
                <w:lang w:val="zh-CN" w:bidi="zh-CN"/>
              </w:rPr>
              <w:t>0.70%</w:t>
            </w:r>
          </w:p>
        </w:tc>
      </w:tr>
      <w:tr w14:paraId="21AD332C">
        <w:tblPrEx>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noWrap w:val="0"/>
            <w:vAlign w:val="center"/>
          </w:tcPr>
          <w:p w14:paraId="3918065F">
            <w:pPr>
              <w:autoSpaceDN w:val="0"/>
              <w:jc w:val="left"/>
              <w:textAlignment w:val="center"/>
              <w:rPr>
                <w:rFonts w:ascii="宋体" w:hAnsi="宋体" w:cs="宋体"/>
                <w:color w:val="auto"/>
                <w:kern w:val="0"/>
                <w:sz w:val="24"/>
                <w:szCs w:val="18"/>
                <w:highlight w:val="none"/>
                <w:lang w:val="zh-CN" w:bidi="zh-CN"/>
              </w:rPr>
            </w:pPr>
            <w:r>
              <w:rPr>
                <w:rFonts w:ascii="宋体" w:hAnsi="宋体" w:cs="宋体"/>
                <w:color w:val="auto"/>
                <w:kern w:val="0"/>
                <w:sz w:val="24"/>
                <w:szCs w:val="18"/>
                <w:highlight w:val="none"/>
                <w:lang w:val="zh-CN" w:bidi="zh-CN"/>
              </w:rPr>
              <w:t>1000-5000万元（含5000万元）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624400A9">
            <w:pPr>
              <w:autoSpaceDN w:val="0"/>
              <w:jc w:val="center"/>
              <w:textAlignment w:val="center"/>
              <w:rPr>
                <w:rFonts w:ascii="宋体" w:hAnsi="宋体" w:cs="宋体"/>
                <w:color w:val="auto"/>
                <w:kern w:val="0"/>
                <w:sz w:val="24"/>
                <w:szCs w:val="18"/>
                <w:highlight w:val="none"/>
                <w:lang w:val="zh-CN" w:bidi="zh-CN"/>
              </w:rPr>
            </w:pPr>
            <w:r>
              <w:rPr>
                <w:rFonts w:ascii="宋体" w:hAnsi="宋体" w:cs="宋体"/>
                <w:color w:val="auto"/>
                <w:kern w:val="0"/>
                <w:sz w:val="24"/>
                <w:szCs w:val="18"/>
                <w:highlight w:val="none"/>
                <w:lang w:val="zh-CN" w:bidi="zh-CN"/>
              </w:rPr>
              <w:t>0.40%</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521A4718">
            <w:pPr>
              <w:autoSpaceDN w:val="0"/>
              <w:jc w:val="center"/>
              <w:textAlignment w:val="center"/>
              <w:rPr>
                <w:rFonts w:ascii="宋体" w:hAnsi="宋体" w:cs="宋体"/>
                <w:color w:val="auto"/>
                <w:kern w:val="0"/>
                <w:sz w:val="24"/>
                <w:szCs w:val="18"/>
                <w:highlight w:val="none"/>
                <w:lang w:val="zh-CN" w:bidi="zh-CN"/>
              </w:rPr>
            </w:pPr>
            <w:r>
              <w:rPr>
                <w:rFonts w:ascii="宋体" w:hAnsi="宋体" w:cs="宋体"/>
                <w:color w:val="auto"/>
                <w:kern w:val="0"/>
                <w:sz w:val="24"/>
                <w:szCs w:val="18"/>
                <w:highlight w:val="none"/>
                <w:lang w:val="zh-CN" w:bidi="zh-CN"/>
              </w:rPr>
              <w:t>0.50%</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2C00225E">
            <w:pPr>
              <w:autoSpaceDN w:val="0"/>
              <w:jc w:val="center"/>
              <w:textAlignment w:val="center"/>
              <w:rPr>
                <w:rFonts w:ascii="宋体" w:hAnsi="宋体" w:cs="宋体"/>
                <w:color w:val="auto"/>
                <w:kern w:val="0"/>
                <w:sz w:val="24"/>
                <w:szCs w:val="18"/>
                <w:highlight w:val="none"/>
                <w:lang w:val="zh-CN" w:bidi="zh-CN"/>
              </w:rPr>
            </w:pPr>
            <w:r>
              <w:rPr>
                <w:rFonts w:ascii="宋体" w:hAnsi="宋体" w:cs="宋体"/>
                <w:color w:val="auto"/>
                <w:kern w:val="0"/>
                <w:sz w:val="24"/>
                <w:szCs w:val="18"/>
                <w:highlight w:val="none"/>
                <w:lang w:val="zh-CN" w:bidi="zh-CN"/>
              </w:rPr>
              <w:t>0.40%</w:t>
            </w:r>
          </w:p>
        </w:tc>
      </w:tr>
      <w:tr w14:paraId="440D0599">
        <w:tblPrEx>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noWrap w:val="0"/>
            <w:vAlign w:val="center"/>
          </w:tcPr>
          <w:p w14:paraId="525F2883">
            <w:pPr>
              <w:autoSpaceDN w:val="0"/>
              <w:jc w:val="left"/>
              <w:textAlignment w:val="center"/>
              <w:rPr>
                <w:rFonts w:ascii="宋体" w:hAnsi="宋体" w:cs="宋体"/>
                <w:color w:val="auto"/>
                <w:kern w:val="0"/>
                <w:sz w:val="24"/>
                <w:szCs w:val="18"/>
                <w:highlight w:val="none"/>
                <w:lang w:val="zh-CN" w:bidi="zh-CN"/>
              </w:rPr>
            </w:pPr>
            <w:r>
              <w:rPr>
                <w:rFonts w:ascii="宋体" w:hAnsi="宋体" w:cs="宋体"/>
                <w:color w:val="auto"/>
                <w:kern w:val="0"/>
                <w:sz w:val="24"/>
                <w:szCs w:val="18"/>
                <w:highlight w:val="none"/>
                <w:lang w:val="zh-CN" w:bidi="zh-CN"/>
              </w:rPr>
              <w:t>5000万元--1亿元（含1亿元）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6D643C0B">
            <w:pPr>
              <w:autoSpaceDN w:val="0"/>
              <w:jc w:val="center"/>
              <w:textAlignment w:val="center"/>
              <w:rPr>
                <w:rFonts w:ascii="宋体" w:hAnsi="宋体" w:cs="宋体"/>
                <w:color w:val="auto"/>
                <w:kern w:val="0"/>
                <w:sz w:val="24"/>
                <w:szCs w:val="18"/>
                <w:highlight w:val="none"/>
                <w:lang w:val="zh-CN" w:bidi="zh-CN"/>
              </w:rPr>
            </w:pPr>
            <w:r>
              <w:rPr>
                <w:rFonts w:ascii="宋体" w:hAnsi="宋体" w:cs="宋体"/>
                <w:color w:val="auto"/>
                <w:kern w:val="0"/>
                <w:sz w:val="24"/>
                <w:szCs w:val="18"/>
                <w:highlight w:val="none"/>
                <w:lang w:val="zh-CN" w:bidi="zh-CN"/>
              </w:rPr>
              <w:t>0.25%</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74414E8C">
            <w:pPr>
              <w:autoSpaceDN w:val="0"/>
              <w:jc w:val="center"/>
              <w:textAlignment w:val="center"/>
              <w:rPr>
                <w:rFonts w:ascii="宋体" w:hAnsi="宋体" w:cs="宋体"/>
                <w:color w:val="auto"/>
                <w:kern w:val="0"/>
                <w:sz w:val="24"/>
                <w:szCs w:val="18"/>
                <w:highlight w:val="none"/>
                <w:lang w:val="zh-CN" w:bidi="zh-CN"/>
              </w:rPr>
            </w:pPr>
            <w:r>
              <w:rPr>
                <w:rFonts w:ascii="宋体" w:hAnsi="宋体" w:cs="宋体"/>
                <w:color w:val="auto"/>
                <w:kern w:val="0"/>
                <w:sz w:val="24"/>
                <w:szCs w:val="18"/>
                <w:highlight w:val="none"/>
                <w:lang w:val="zh-CN" w:bidi="zh-CN"/>
              </w:rPr>
              <w:t>0.30%</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337D3CCD">
            <w:pPr>
              <w:autoSpaceDN w:val="0"/>
              <w:jc w:val="center"/>
              <w:textAlignment w:val="center"/>
              <w:rPr>
                <w:rFonts w:ascii="宋体" w:hAnsi="宋体" w:cs="宋体"/>
                <w:color w:val="auto"/>
                <w:kern w:val="0"/>
                <w:sz w:val="24"/>
                <w:szCs w:val="18"/>
                <w:highlight w:val="none"/>
                <w:lang w:val="zh-CN" w:bidi="zh-CN"/>
              </w:rPr>
            </w:pPr>
            <w:r>
              <w:rPr>
                <w:rFonts w:ascii="宋体" w:hAnsi="宋体" w:cs="宋体"/>
                <w:color w:val="auto"/>
                <w:kern w:val="0"/>
                <w:sz w:val="24"/>
                <w:szCs w:val="18"/>
                <w:highlight w:val="none"/>
                <w:lang w:val="zh-CN" w:bidi="zh-CN"/>
              </w:rPr>
              <w:t>0.25%</w:t>
            </w:r>
          </w:p>
        </w:tc>
      </w:tr>
      <w:tr w14:paraId="7F319329">
        <w:tblPrEx>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noWrap w:val="0"/>
            <w:vAlign w:val="center"/>
          </w:tcPr>
          <w:p w14:paraId="217D2ACD">
            <w:pPr>
              <w:autoSpaceDN w:val="0"/>
              <w:jc w:val="left"/>
              <w:textAlignment w:val="center"/>
              <w:rPr>
                <w:rFonts w:ascii="宋体" w:hAnsi="宋体" w:cs="宋体"/>
                <w:color w:val="auto"/>
                <w:kern w:val="0"/>
                <w:sz w:val="24"/>
                <w:szCs w:val="18"/>
                <w:highlight w:val="none"/>
                <w:lang w:val="zh-CN" w:bidi="zh-CN"/>
              </w:rPr>
            </w:pPr>
            <w:r>
              <w:rPr>
                <w:rFonts w:ascii="宋体" w:hAnsi="宋体" w:cs="宋体"/>
                <w:color w:val="auto"/>
                <w:kern w:val="0"/>
                <w:sz w:val="24"/>
                <w:szCs w:val="18"/>
                <w:highlight w:val="none"/>
                <w:lang w:val="zh-CN" w:bidi="zh-CN"/>
              </w:rPr>
              <w:t>1亿--5亿元（含5亿元）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4E96A503">
            <w:pPr>
              <w:autoSpaceDN w:val="0"/>
              <w:jc w:val="center"/>
              <w:textAlignment w:val="center"/>
              <w:rPr>
                <w:rFonts w:ascii="宋体" w:hAnsi="宋体" w:cs="宋体"/>
                <w:color w:val="auto"/>
                <w:kern w:val="0"/>
                <w:sz w:val="24"/>
                <w:szCs w:val="18"/>
                <w:highlight w:val="none"/>
                <w:lang w:val="zh-CN" w:bidi="zh-CN"/>
              </w:rPr>
            </w:pPr>
            <w:r>
              <w:rPr>
                <w:rFonts w:ascii="宋体" w:hAnsi="宋体" w:cs="宋体"/>
                <w:color w:val="auto"/>
                <w:kern w:val="0"/>
                <w:sz w:val="24"/>
                <w:szCs w:val="18"/>
                <w:highlight w:val="none"/>
                <w:lang w:val="zh-CN" w:bidi="zh-CN"/>
              </w:rPr>
              <w:t>0.10%</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491245BA">
            <w:pPr>
              <w:autoSpaceDN w:val="0"/>
              <w:jc w:val="center"/>
              <w:textAlignment w:val="center"/>
              <w:rPr>
                <w:rFonts w:ascii="宋体" w:hAnsi="宋体" w:cs="宋体"/>
                <w:color w:val="auto"/>
                <w:kern w:val="0"/>
                <w:sz w:val="24"/>
                <w:szCs w:val="18"/>
                <w:highlight w:val="none"/>
                <w:lang w:val="zh-CN" w:bidi="zh-CN"/>
              </w:rPr>
            </w:pPr>
            <w:r>
              <w:rPr>
                <w:rFonts w:ascii="宋体" w:hAnsi="宋体" w:cs="宋体"/>
                <w:color w:val="auto"/>
                <w:kern w:val="0"/>
                <w:sz w:val="24"/>
                <w:szCs w:val="18"/>
                <w:highlight w:val="none"/>
                <w:lang w:val="zh-CN" w:bidi="zh-CN"/>
              </w:rPr>
              <w:t>0.10%</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09734E16">
            <w:pPr>
              <w:autoSpaceDN w:val="0"/>
              <w:jc w:val="center"/>
              <w:textAlignment w:val="center"/>
              <w:rPr>
                <w:rFonts w:ascii="宋体" w:hAnsi="宋体" w:cs="宋体"/>
                <w:color w:val="auto"/>
                <w:kern w:val="0"/>
                <w:sz w:val="24"/>
                <w:szCs w:val="18"/>
                <w:highlight w:val="none"/>
                <w:lang w:val="zh-CN" w:bidi="zh-CN"/>
              </w:rPr>
            </w:pPr>
            <w:r>
              <w:rPr>
                <w:rFonts w:ascii="宋体" w:hAnsi="宋体" w:cs="宋体"/>
                <w:color w:val="auto"/>
                <w:kern w:val="0"/>
                <w:sz w:val="24"/>
                <w:szCs w:val="18"/>
                <w:highlight w:val="none"/>
                <w:lang w:val="zh-CN" w:bidi="zh-CN"/>
              </w:rPr>
              <w:t>0.10%</w:t>
            </w:r>
          </w:p>
        </w:tc>
      </w:tr>
      <w:tr w14:paraId="4FEF6228">
        <w:tblPrEx>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right w:val="single" w:color="000000" w:sz="4" w:space="0"/>
            </w:tcBorders>
            <w:noWrap w:val="0"/>
            <w:vAlign w:val="center"/>
          </w:tcPr>
          <w:p w14:paraId="18136E9C">
            <w:pPr>
              <w:autoSpaceDN w:val="0"/>
              <w:jc w:val="left"/>
              <w:textAlignment w:val="center"/>
              <w:rPr>
                <w:rFonts w:ascii="宋体" w:hAnsi="宋体" w:cs="宋体"/>
                <w:color w:val="auto"/>
                <w:kern w:val="0"/>
                <w:sz w:val="24"/>
                <w:szCs w:val="18"/>
                <w:highlight w:val="none"/>
                <w:lang w:val="zh-CN" w:bidi="zh-CN"/>
              </w:rPr>
            </w:pPr>
            <w:r>
              <w:rPr>
                <w:rFonts w:ascii="宋体" w:hAnsi="宋体" w:cs="宋体"/>
                <w:color w:val="auto"/>
                <w:kern w:val="0"/>
                <w:sz w:val="24"/>
                <w:szCs w:val="18"/>
                <w:highlight w:val="none"/>
                <w:lang w:val="zh-CN" w:bidi="zh-CN"/>
              </w:rPr>
              <w:t>5亿--10亿元（含10亿元）</w:t>
            </w:r>
          </w:p>
        </w:tc>
        <w:tc>
          <w:tcPr>
            <w:tcW w:w="1642" w:type="dxa"/>
            <w:tcBorders>
              <w:top w:val="single" w:color="000000" w:sz="4" w:space="0"/>
              <w:left w:val="single" w:color="000000" w:sz="4" w:space="0"/>
              <w:right w:val="single" w:color="000000" w:sz="4" w:space="0"/>
            </w:tcBorders>
            <w:noWrap w:val="0"/>
            <w:vAlign w:val="center"/>
          </w:tcPr>
          <w:p w14:paraId="2A991E09">
            <w:pPr>
              <w:autoSpaceDN w:val="0"/>
              <w:jc w:val="center"/>
              <w:textAlignment w:val="center"/>
              <w:rPr>
                <w:rFonts w:ascii="宋体" w:hAnsi="宋体" w:cs="宋体"/>
                <w:color w:val="auto"/>
                <w:kern w:val="0"/>
                <w:sz w:val="24"/>
                <w:szCs w:val="18"/>
                <w:highlight w:val="none"/>
                <w:lang w:val="zh-CN" w:bidi="zh-CN"/>
              </w:rPr>
            </w:pPr>
            <w:r>
              <w:rPr>
                <w:rFonts w:ascii="宋体" w:hAnsi="宋体" w:cs="宋体"/>
                <w:color w:val="auto"/>
                <w:kern w:val="0"/>
                <w:sz w:val="24"/>
                <w:szCs w:val="18"/>
                <w:highlight w:val="none"/>
                <w:lang w:val="zh-CN" w:bidi="zh-CN"/>
              </w:rPr>
              <w:t>0.045%</w:t>
            </w:r>
          </w:p>
        </w:tc>
        <w:tc>
          <w:tcPr>
            <w:tcW w:w="1433" w:type="dxa"/>
            <w:tcBorders>
              <w:top w:val="single" w:color="000000" w:sz="4" w:space="0"/>
              <w:left w:val="single" w:color="000000" w:sz="4" w:space="0"/>
              <w:right w:val="single" w:color="000000" w:sz="4" w:space="0"/>
            </w:tcBorders>
            <w:noWrap w:val="0"/>
            <w:vAlign w:val="center"/>
          </w:tcPr>
          <w:p w14:paraId="685FA38C">
            <w:pPr>
              <w:autoSpaceDN w:val="0"/>
              <w:jc w:val="center"/>
              <w:textAlignment w:val="center"/>
              <w:rPr>
                <w:rFonts w:ascii="宋体" w:hAnsi="宋体" w:cs="宋体"/>
                <w:color w:val="auto"/>
                <w:kern w:val="0"/>
                <w:sz w:val="24"/>
                <w:szCs w:val="18"/>
                <w:highlight w:val="none"/>
                <w:lang w:val="zh-CN" w:bidi="zh-CN"/>
              </w:rPr>
            </w:pPr>
            <w:r>
              <w:rPr>
                <w:rFonts w:ascii="宋体" w:hAnsi="宋体" w:cs="宋体"/>
                <w:color w:val="auto"/>
                <w:kern w:val="0"/>
                <w:sz w:val="24"/>
                <w:szCs w:val="18"/>
                <w:highlight w:val="none"/>
                <w:lang w:val="zh-CN" w:bidi="zh-CN"/>
              </w:rPr>
              <w:t>0.045%</w:t>
            </w:r>
          </w:p>
        </w:tc>
        <w:tc>
          <w:tcPr>
            <w:tcW w:w="1711" w:type="dxa"/>
            <w:tcBorders>
              <w:top w:val="single" w:color="000000" w:sz="4" w:space="0"/>
              <w:left w:val="single" w:color="000000" w:sz="4" w:space="0"/>
              <w:right w:val="single" w:color="000000" w:sz="4" w:space="0"/>
            </w:tcBorders>
            <w:noWrap w:val="0"/>
            <w:vAlign w:val="center"/>
          </w:tcPr>
          <w:p w14:paraId="27F3B38F">
            <w:pPr>
              <w:autoSpaceDN w:val="0"/>
              <w:jc w:val="center"/>
              <w:textAlignment w:val="center"/>
              <w:rPr>
                <w:rFonts w:ascii="宋体" w:hAnsi="宋体" w:cs="宋体"/>
                <w:color w:val="auto"/>
                <w:kern w:val="0"/>
                <w:sz w:val="24"/>
                <w:szCs w:val="18"/>
                <w:highlight w:val="none"/>
                <w:lang w:val="zh-CN" w:bidi="zh-CN"/>
              </w:rPr>
            </w:pPr>
            <w:r>
              <w:rPr>
                <w:rFonts w:ascii="宋体" w:hAnsi="宋体" w:cs="宋体"/>
                <w:color w:val="auto"/>
                <w:kern w:val="0"/>
                <w:sz w:val="24"/>
                <w:szCs w:val="18"/>
                <w:highlight w:val="none"/>
                <w:lang w:val="zh-CN" w:bidi="zh-CN"/>
              </w:rPr>
              <w:t>0.045%</w:t>
            </w:r>
          </w:p>
        </w:tc>
      </w:tr>
      <w:tr w14:paraId="6903C52E">
        <w:tblPrEx>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noWrap w:val="0"/>
            <w:vAlign w:val="center"/>
          </w:tcPr>
          <w:p w14:paraId="2926CEF1">
            <w:pPr>
              <w:autoSpaceDN w:val="0"/>
              <w:jc w:val="left"/>
              <w:textAlignment w:val="center"/>
              <w:rPr>
                <w:rFonts w:ascii="宋体" w:hAnsi="宋体" w:cs="宋体"/>
                <w:color w:val="auto"/>
                <w:kern w:val="0"/>
                <w:sz w:val="24"/>
                <w:szCs w:val="18"/>
                <w:highlight w:val="none"/>
                <w:lang w:val="zh-CN" w:bidi="zh-CN"/>
              </w:rPr>
            </w:pPr>
            <w:r>
              <w:rPr>
                <w:rFonts w:ascii="宋体" w:hAnsi="宋体" w:cs="宋体"/>
                <w:color w:val="auto"/>
                <w:kern w:val="0"/>
                <w:sz w:val="24"/>
                <w:szCs w:val="18"/>
                <w:highlight w:val="none"/>
                <w:lang w:val="zh-CN" w:bidi="zh-CN"/>
              </w:rPr>
              <w:t>10亿--50亿元（含50亿元）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63C1D2F7">
            <w:pPr>
              <w:autoSpaceDN w:val="0"/>
              <w:jc w:val="center"/>
              <w:textAlignment w:val="center"/>
              <w:rPr>
                <w:rFonts w:ascii="宋体" w:hAnsi="宋体" w:cs="宋体"/>
                <w:color w:val="auto"/>
                <w:kern w:val="0"/>
                <w:sz w:val="24"/>
                <w:szCs w:val="18"/>
                <w:highlight w:val="none"/>
                <w:lang w:val="zh-CN" w:bidi="zh-CN"/>
              </w:rPr>
            </w:pPr>
            <w:r>
              <w:rPr>
                <w:rFonts w:ascii="宋体" w:hAnsi="宋体" w:cs="宋体"/>
                <w:color w:val="auto"/>
                <w:kern w:val="0"/>
                <w:sz w:val="24"/>
                <w:szCs w:val="18"/>
                <w:highlight w:val="none"/>
                <w:lang w:val="zh-CN" w:bidi="zh-CN"/>
              </w:rPr>
              <w:t>0.010%</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028B89FE">
            <w:pPr>
              <w:autoSpaceDN w:val="0"/>
              <w:jc w:val="center"/>
              <w:textAlignment w:val="center"/>
              <w:rPr>
                <w:rFonts w:ascii="宋体" w:hAnsi="宋体" w:cs="宋体"/>
                <w:color w:val="auto"/>
                <w:kern w:val="0"/>
                <w:sz w:val="24"/>
                <w:szCs w:val="18"/>
                <w:highlight w:val="none"/>
                <w:lang w:val="zh-CN" w:bidi="zh-CN"/>
              </w:rPr>
            </w:pPr>
            <w:r>
              <w:rPr>
                <w:rFonts w:ascii="宋体" w:hAnsi="宋体" w:cs="宋体"/>
                <w:color w:val="auto"/>
                <w:kern w:val="0"/>
                <w:sz w:val="24"/>
                <w:szCs w:val="18"/>
                <w:highlight w:val="none"/>
                <w:lang w:val="zh-CN" w:bidi="zh-CN"/>
              </w:rPr>
              <w:t>0.010%</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39026AB7">
            <w:pPr>
              <w:autoSpaceDN w:val="0"/>
              <w:jc w:val="center"/>
              <w:textAlignment w:val="center"/>
              <w:rPr>
                <w:rFonts w:ascii="宋体" w:hAnsi="宋体" w:cs="宋体"/>
                <w:color w:val="auto"/>
                <w:kern w:val="0"/>
                <w:sz w:val="24"/>
                <w:szCs w:val="18"/>
                <w:highlight w:val="none"/>
                <w:lang w:val="zh-CN" w:bidi="zh-CN"/>
              </w:rPr>
            </w:pPr>
            <w:r>
              <w:rPr>
                <w:rFonts w:ascii="宋体" w:hAnsi="宋体" w:cs="宋体"/>
                <w:color w:val="auto"/>
                <w:kern w:val="0"/>
                <w:sz w:val="24"/>
                <w:szCs w:val="18"/>
                <w:highlight w:val="none"/>
                <w:lang w:val="zh-CN" w:bidi="zh-CN"/>
              </w:rPr>
              <w:t>0.010%</w:t>
            </w:r>
          </w:p>
        </w:tc>
      </w:tr>
      <w:tr w14:paraId="69720CCF">
        <w:tblPrEx>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noWrap w:val="0"/>
            <w:vAlign w:val="center"/>
          </w:tcPr>
          <w:p w14:paraId="578A7C3A">
            <w:pPr>
              <w:autoSpaceDN w:val="0"/>
              <w:jc w:val="left"/>
              <w:textAlignment w:val="center"/>
              <w:rPr>
                <w:rFonts w:ascii="宋体" w:hAnsi="宋体" w:cs="宋体"/>
                <w:color w:val="auto"/>
                <w:kern w:val="0"/>
                <w:sz w:val="24"/>
                <w:szCs w:val="18"/>
                <w:highlight w:val="none"/>
                <w:lang w:val="zh-CN" w:bidi="zh-CN"/>
              </w:rPr>
            </w:pPr>
            <w:r>
              <w:rPr>
                <w:rFonts w:ascii="宋体" w:hAnsi="宋体" w:cs="宋体"/>
                <w:color w:val="auto"/>
                <w:kern w:val="0"/>
                <w:sz w:val="24"/>
                <w:szCs w:val="18"/>
                <w:highlight w:val="none"/>
                <w:lang w:val="zh-CN" w:bidi="zh-CN"/>
              </w:rPr>
              <w:t>50亿--100亿元（含</w:t>
            </w:r>
            <w:r>
              <w:rPr>
                <w:rFonts w:hint="eastAsia" w:ascii="宋体" w:hAnsi="宋体" w:cs="宋体"/>
                <w:color w:val="auto"/>
                <w:kern w:val="0"/>
                <w:sz w:val="24"/>
                <w:szCs w:val="18"/>
                <w:highlight w:val="none"/>
                <w:lang w:bidi="zh-CN"/>
              </w:rPr>
              <w:t>100</w:t>
            </w:r>
            <w:r>
              <w:rPr>
                <w:rFonts w:ascii="宋体" w:hAnsi="宋体" w:cs="宋体"/>
                <w:color w:val="auto"/>
                <w:kern w:val="0"/>
                <w:sz w:val="24"/>
                <w:szCs w:val="18"/>
                <w:highlight w:val="none"/>
                <w:lang w:val="zh-CN" w:bidi="zh-CN"/>
              </w:rPr>
              <w:t>亿元）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5DCABEE3">
            <w:pPr>
              <w:autoSpaceDN w:val="0"/>
              <w:jc w:val="center"/>
              <w:textAlignment w:val="center"/>
              <w:rPr>
                <w:rFonts w:ascii="宋体" w:hAnsi="宋体" w:cs="宋体"/>
                <w:color w:val="auto"/>
                <w:kern w:val="0"/>
                <w:sz w:val="24"/>
                <w:szCs w:val="18"/>
                <w:highlight w:val="none"/>
                <w:lang w:val="zh-CN" w:bidi="zh-CN"/>
              </w:rPr>
            </w:pPr>
            <w:r>
              <w:rPr>
                <w:rFonts w:ascii="宋体" w:hAnsi="宋体" w:cs="宋体"/>
                <w:color w:val="auto"/>
                <w:kern w:val="0"/>
                <w:sz w:val="24"/>
                <w:szCs w:val="18"/>
                <w:highlight w:val="none"/>
                <w:lang w:val="zh-CN" w:bidi="zh-CN"/>
              </w:rPr>
              <w:t>0.008%</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6B3CF33E">
            <w:pPr>
              <w:autoSpaceDN w:val="0"/>
              <w:jc w:val="center"/>
              <w:textAlignment w:val="center"/>
              <w:rPr>
                <w:rFonts w:ascii="宋体" w:hAnsi="宋体" w:cs="宋体"/>
                <w:color w:val="auto"/>
                <w:kern w:val="0"/>
                <w:sz w:val="24"/>
                <w:szCs w:val="18"/>
                <w:highlight w:val="none"/>
                <w:lang w:val="zh-CN" w:bidi="zh-CN"/>
              </w:rPr>
            </w:pPr>
            <w:r>
              <w:rPr>
                <w:rFonts w:ascii="宋体" w:hAnsi="宋体" w:cs="宋体"/>
                <w:color w:val="auto"/>
                <w:kern w:val="0"/>
                <w:sz w:val="24"/>
                <w:szCs w:val="18"/>
                <w:highlight w:val="none"/>
                <w:lang w:val="zh-CN" w:bidi="zh-CN"/>
              </w:rPr>
              <w:t>0.008%</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12D4E900">
            <w:pPr>
              <w:autoSpaceDN w:val="0"/>
              <w:jc w:val="center"/>
              <w:textAlignment w:val="center"/>
              <w:rPr>
                <w:rFonts w:ascii="宋体" w:hAnsi="宋体" w:cs="宋体"/>
                <w:color w:val="auto"/>
                <w:kern w:val="0"/>
                <w:sz w:val="24"/>
                <w:szCs w:val="18"/>
                <w:highlight w:val="none"/>
                <w:lang w:val="zh-CN" w:bidi="zh-CN"/>
              </w:rPr>
            </w:pPr>
            <w:r>
              <w:rPr>
                <w:rFonts w:ascii="宋体" w:hAnsi="宋体" w:cs="宋体"/>
                <w:color w:val="auto"/>
                <w:kern w:val="0"/>
                <w:sz w:val="24"/>
                <w:szCs w:val="18"/>
                <w:highlight w:val="none"/>
                <w:lang w:val="zh-CN" w:bidi="zh-CN"/>
              </w:rPr>
              <w:t>0.008%</w:t>
            </w:r>
          </w:p>
        </w:tc>
      </w:tr>
      <w:tr w14:paraId="7F951184">
        <w:tblPrEx>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noWrap w:val="0"/>
            <w:vAlign w:val="center"/>
          </w:tcPr>
          <w:p w14:paraId="63856D81">
            <w:pPr>
              <w:autoSpaceDN w:val="0"/>
              <w:jc w:val="left"/>
              <w:textAlignment w:val="center"/>
              <w:rPr>
                <w:rFonts w:ascii="宋体" w:hAnsi="宋体" w:cs="宋体"/>
                <w:color w:val="auto"/>
                <w:kern w:val="0"/>
                <w:sz w:val="24"/>
                <w:szCs w:val="18"/>
                <w:highlight w:val="none"/>
                <w:lang w:val="zh-CN" w:bidi="zh-CN"/>
              </w:rPr>
            </w:pPr>
            <w:r>
              <w:rPr>
                <w:rFonts w:ascii="宋体" w:hAnsi="宋体" w:cs="宋体"/>
                <w:color w:val="auto"/>
                <w:kern w:val="0"/>
                <w:sz w:val="24"/>
                <w:szCs w:val="18"/>
                <w:highlight w:val="none"/>
                <w:lang w:val="zh-CN" w:bidi="zh-CN"/>
              </w:rPr>
              <w:t>100亿元以上</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13A12BE1">
            <w:pPr>
              <w:autoSpaceDN w:val="0"/>
              <w:jc w:val="center"/>
              <w:textAlignment w:val="center"/>
              <w:rPr>
                <w:rFonts w:ascii="宋体" w:hAnsi="宋体" w:cs="宋体"/>
                <w:color w:val="auto"/>
                <w:kern w:val="0"/>
                <w:sz w:val="24"/>
                <w:szCs w:val="18"/>
                <w:highlight w:val="none"/>
                <w:lang w:val="zh-CN" w:bidi="zh-CN"/>
              </w:rPr>
            </w:pPr>
            <w:r>
              <w:rPr>
                <w:rFonts w:ascii="宋体" w:hAnsi="宋体" w:cs="宋体"/>
                <w:color w:val="auto"/>
                <w:kern w:val="0"/>
                <w:sz w:val="24"/>
                <w:szCs w:val="18"/>
                <w:highlight w:val="none"/>
                <w:lang w:val="zh-CN" w:bidi="zh-CN"/>
              </w:rPr>
              <w:t>0.004%</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74CC40AE">
            <w:pPr>
              <w:autoSpaceDN w:val="0"/>
              <w:jc w:val="center"/>
              <w:textAlignment w:val="center"/>
              <w:rPr>
                <w:rFonts w:ascii="宋体" w:hAnsi="宋体" w:cs="宋体"/>
                <w:color w:val="auto"/>
                <w:kern w:val="0"/>
                <w:sz w:val="24"/>
                <w:szCs w:val="18"/>
                <w:highlight w:val="none"/>
                <w:lang w:val="zh-CN" w:bidi="zh-CN"/>
              </w:rPr>
            </w:pPr>
            <w:r>
              <w:rPr>
                <w:rFonts w:ascii="宋体" w:hAnsi="宋体" w:cs="宋体"/>
                <w:color w:val="auto"/>
                <w:kern w:val="0"/>
                <w:sz w:val="24"/>
                <w:szCs w:val="18"/>
                <w:highlight w:val="none"/>
                <w:lang w:val="zh-CN" w:bidi="zh-CN"/>
              </w:rPr>
              <w:t>0.004%</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5985411E">
            <w:pPr>
              <w:autoSpaceDN w:val="0"/>
              <w:jc w:val="center"/>
              <w:textAlignment w:val="center"/>
              <w:rPr>
                <w:rFonts w:ascii="宋体" w:hAnsi="宋体" w:cs="宋体"/>
                <w:color w:val="auto"/>
                <w:kern w:val="0"/>
                <w:sz w:val="24"/>
                <w:szCs w:val="18"/>
                <w:highlight w:val="none"/>
                <w:lang w:val="zh-CN" w:bidi="zh-CN"/>
              </w:rPr>
            </w:pPr>
            <w:r>
              <w:rPr>
                <w:rFonts w:ascii="宋体" w:hAnsi="宋体" w:cs="宋体"/>
                <w:color w:val="auto"/>
                <w:kern w:val="0"/>
                <w:sz w:val="24"/>
                <w:szCs w:val="18"/>
                <w:highlight w:val="none"/>
                <w:lang w:val="zh-CN" w:bidi="zh-CN"/>
              </w:rPr>
              <w:t>0.004%</w:t>
            </w:r>
          </w:p>
        </w:tc>
      </w:tr>
      <w:tr w14:paraId="43DC5B57">
        <w:tblPrEx>
          <w:tblCellMar>
            <w:top w:w="0" w:type="dxa"/>
            <w:left w:w="15" w:type="dxa"/>
            <w:bottom w:w="0" w:type="dxa"/>
            <w:right w:w="15" w:type="dxa"/>
          </w:tblCellMar>
        </w:tblPrEx>
        <w:trPr>
          <w:trHeight w:val="621" w:hRule="atLeast"/>
        </w:trPr>
        <w:tc>
          <w:tcPr>
            <w:tcW w:w="8780" w:type="dxa"/>
            <w:gridSpan w:val="4"/>
            <w:noWrap w:val="0"/>
            <w:vAlign w:val="center"/>
          </w:tcPr>
          <w:p w14:paraId="017B21F7">
            <w:pPr>
              <w:autoSpaceDN w:val="0"/>
              <w:spacing w:line="500" w:lineRule="exact"/>
              <w:jc w:val="left"/>
              <w:textAlignment w:val="center"/>
              <w:rPr>
                <w:rFonts w:ascii="宋体" w:hAnsi="宋体" w:cs="宋体"/>
                <w:color w:val="auto"/>
                <w:kern w:val="0"/>
                <w:sz w:val="24"/>
                <w:szCs w:val="24"/>
                <w:highlight w:val="none"/>
                <w:lang w:val="zh-CN" w:bidi="zh-CN"/>
              </w:rPr>
            </w:pPr>
            <w:r>
              <w:rPr>
                <w:rFonts w:ascii="宋体" w:hAnsi="宋体" w:cs="宋体"/>
                <w:color w:val="auto"/>
                <w:kern w:val="0"/>
                <w:sz w:val="24"/>
                <w:szCs w:val="24"/>
                <w:highlight w:val="none"/>
                <w:lang w:val="zh-CN" w:bidi="zh-CN"/>
              </w:rPr>
              <w:t>注：1.按本表费率计算的收费金额为招标代理服务费的基准价格，不含工程量清单、最高投标限价（招标控制价）或标底的编制费用。</w:t>
            </w:r>
          </w:p>
          <w:p w14:paraId="722C73A9">
            <w:pPr>
              <w:autoSpaceDN w:val="0"/>
              <w:spacing w:line="500" w:lineRule="exact"/>
              <w:jc w:val="left"/>
              <w:textAlignment w:val="center"/>
              <w:rPr>
                <w:rFonts w:ascii="宋体" w:hAnsi="宋体" w:cs="宋体"/>
                <w:color w:val="auto"/>
                <w:kern w:val="0"/>
                <w:sz w:val="24"/>
                <w:szCs w:val="24"/>
                <w:highlight w:val="none"/>
                <w:lang w:bidi="zh-CN"/>
              </w:rPr>
            </w:pPr>
            <w:r>
              <w:rPr>
                <w:rFonts w:hint="eastAsia" w:ascii="宋体" w:hAnsi="宋体" w:cs="宋体"/>
                <w:color w:val="auto"/>
                <w:kern w:val="0"/>
                <w:sz w:val="24"/>
                <w:szCs w:val="24"/>
                <w:highlight w:val="none"/>
                <w:lang w:bidi="zh-CN"/>
              </w:rPr>
              <w:t>2.招标代理服务收费按差额定率累进法计算。</w:t>
            </w:r>
          </w:p>
          <w:p w14:paraId="0208E319">
            <w:pPr>
              <w:autoSpaceDN w:val="0"/>
              <w:spacing w:line="500" w:lineRule="exact"/>
              <w:jc w:val="left"/>
              <w:textAlignment w:val="center"/>
              <w:rPr>
                <w:rFonts w:ascii="宋体" w:hAnsi="宋体" w:cs="宋体"/>
                <w:color w:val="auto"/>
                <w:kern w:val="0"/>
                <w:sz w:val="24"/>
                <w:szCs w:val="24"/>
                <w:highlight w:val="none"/>
                <w:lang w:val="zh-CN" w:bidi="zh-CN"/>
              </w:rPr>
            </w:pPr>
            <w:r>
              <w:rPr>
                <w:rFonts w:ascii="宋体" w:hAnsi="宋体" w:cs="宋体"/>
                <w:color w:val="auto"/>
                <w:kern w:val="0"/>
                <w:sz w:val="24"/>
                <w:szCs w:val="24"/>
                <w:highlight w:val="none"/>
                <w:lang w:val="zh-CN" w:bidi="zh-CN"/>
              </w:rPr>
              <w:t>例如: 某工程招标代理业务，项目预算金额（招标控制价）为10000 万元，招标代理服务收费计算如下:</w:t>
            </w:r>
          </w:p>
          <w:p w14:paraId="34CD3BAD">
            <w:pPr>
              <w:autoSpaceDN w:val="0"/>
              <w:spacing w:line="500" w:lineRule="exact"/>
              <w:jc w:val="left"/>
              <w:textAlignment w:val="center"/>
              <w:rPr>
                <w:rFonts w:ascii="宋体" w:hAnsi="宋体" w:cs="宋体"/>
                <w:color w:val="auto"/>
                <w:kern w:val="0"/>
                <w:sz w:val="24"/>
                <w:szCs w:val="24"/>
                <w:highlight w:val="none"/>
                <w:lang w:val="zh-CN" w:bidi="zh-CN"/>
              </w:rPr>
            </w:pPr>
            <w:r>
              <w:rPr>
                <w:rFonts w:hint="eastAsia" w:ascii="宋体" w:hAnsi="宋体" w:cs="宋体"/>
                <w:color w:val="auto"/>
                <w:kern w:val="0"/>
                <w:sz w:val="24"/>
                <w:szCs w:val="24"/>
                <w:highlight w:val="none"/>
                <w:lang w:bidi="zh-CN"/>
              </w:rPr>
              <w:t xml:space="preserve"> </w:t>
            </w:r>
            <w:r>
              <w:rPr>
                <w:rFonts w:ascii="宋体" w:hAnsi="宋体" w:cs="宋体"/>
                <w:color w:val="auto"/>
                <w:kern w:val="0"/>
                <w:sz w:val="24"/>
                <w:szCs w:val="24"/>
                <w:highlight w:val="none"/>
                <w:lang w:val="zh-CN" w:bidi="zh-CN"/>
              </w:rPr>
              <w:t>100万元×1.2%=1.2万元</w:t>
            </w:r>
          </w:p>
          <w:p w14:paraId="28C3E937">
            <w:pPr>
              <w:autoSpaceDN w:val="0"/>
              <w:spacing w:line="500" w:lineRule="exact"/>
              <w:jc w:val="left"/>
              <w:textAlignment w:val="center"/>
              <w:rPr>
                <w:rFonts w:ascii="宋体" w:hAnsi="宋体" w:cs="宋体"/>
                <w:color w:val="auto"/>
                <w:kern w:val="0"/>
                <w:sz w:val="24"/>
                <w:szCs w:val="24"/>
                <w:highlight w:val="none"/>
                <w:lang w:val="zh-CN" w:bidi="zh-CN"/>
              </w:rPr>
            </w:pPr>
            <w:r>
              <w:rPr>
                <w:rFonts w:ascii="宋体" w:hAnsi="宋体" w:cs="宋体"/>
                <w:color w:val="auto"/>
                <w:kern w:val="0"/>
                <w:sz w:val="24"/>
                <w:szCs w:val="24"/>
                <w:highlight w:val="none"/>
                <w:lang w:val="zh-CN" w:bidi="zh-CN"/>
              </w:rPr>
              <w:t>（500-100）万元×1.0%=4万元</w:t>
            </w:r>
          </w:p>
          <w:p w14:paraId="6DAC0D7F">
            <w:pPr>
              <w:autoSpaceDN w:val="0"/>
              <w:spacing w:line="500" w:lineRule="exact"/>
              <w:jc w:val="left"/>
              <w:textAlignment w:val="center"/>
              <w:rPr>
                <w:rFonts w:ascii="宋体" w:hAnsi="宋体" w:cs="宋体"/>
                <w:color w:val="auto"/>
                <w:kern w:val="0"/>
                <w:sz w:val="24"/>
                <w:szCs w:val="24"/>
                <w:highlight w:val="none"/>
                <w:lang w:val="zh-CN" w:bidi="zh-CN"/>
              </w:rPr>
            </w:pPr>
            <w:r>
              <w:rPr>
                <w:rFonts w:ascii="宋体" w:hAnsi="宋体" w:cs="宋体"/>
                <w:color w:val="auto"/>
                <w:kern w:val="0"/>
                <w:sz w:val="24"/>
                <w:szCs w:val="24"/>
                <w:highlight w:val="none"/>
                <w:lang w:val="zh-CN" w:bidi="zh-CN"/>
              </w:rPr>
              <w:t>（1000-500）×0.7%=3.5万元</w:t>
            </w:r>
          </w:p>
          <w:p w14:paraId="0F4259C8">
            <w:pPr>
              <w:autoSpaceDN w:val="0"/>
              <w:spacing w:line="500" w:lineRule="exact"/>
              <w:jc w:val="left"/>
              <w:textAlignment w:val="center"/>
              <w:rPr>
                <w:rFonts w:ascii="宋体" w:hAnsi="宋体" w:cs="宋体"/>
                <w:color w:val="auto"/>
                <w:kern w:val="0"/>
                <w:sz w:val="24"/>
                <w:szCs w:val="24"/>
                <w:highlight w:val="none"/>
                <w:lang w:val="zh-CN" w:bidi="zh-CN"/>
              </w:rPr>
            </w:pPr>
            <w:r>
              <w:rPr>
                <w:rFonts w:ascii="宋体" w:hAnsi="宋体" w:cs="宋体"/>
                <w:color w:val="auto"/>
                <w:kern w:val="0"/>
                <w:sz w:val="24"/>
                <w:szCs w:val="24"/>
                <w:highlight w:val="none"/>
                <w:lang w:val="zh-CN" w:bidi="zh-CN"/>
              </w:rPr>
              <w:t>（5000-1000）×0.4%=16万元</w:t>
            </w:r>
          </w:p>
          <w:p w14:paraId="1F3778FE">
            <w:pPr>
              <w:autoSpaceDN w:val="0"/>
              <w:spacing w:line="500" w:lineRule="exact"/>
              <w:jc w:val="left"/>
              <w:textAlignment w:val="center"/>
              <w:rPr>
                <w:rFonts w:ascii="宋体" w:hAnsi="宋体" w:cs="宋体"/>
                <w:color w:val="auto"/>
                <w:kern w:val="0"/>
                <w:szCs w:val="18"/>
                <w:highlight w:val="none"/>
                <w:lang w:val="zh-CN" w:bidi="zh-CN"/>
              </w:rPr>
            </w:pPr>
            <w:r>
              <w:rPr>
                <w:rFonts w:ascii="宋体" w:hAnsi="宋体" w:cs="宋体"/>
                <w:color w:val="auto"/>
                <w:kern w:val="0"/>
                <w:sz w:val="24"/>
                <w:szCs w:val="24"/>
                <w:highlight w:val="none"/>
                <w:lang w:val="zh-CN" w:bidi="zh-CN"/>
              </w:rPr>
              <w:t>（10000-5000）×0.25%=12.5万元合计收费=1.2+4+3.5+16+12.5=37.2万元</w:t>
            </w:r>
          </w:p>
        </w:tc>
      </w:tr>
    </w:tbl>
    <w:p w14:paraId="333B3F6A">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3492429D">
      <w:pPr>
        <w:pStyle w:val="2"/>
        <w:keepNext/>
        <w:keepLines/>
        <w:pageBreakBefore w:val="0"/>
        <w:widowControl w:val="0"/>
        <w:kinsoku/>
        <w:wordWrap/>
        <w:overflowPunct/>
        <w:topLinePunct w:val="0"/>
        <w:autoSpaceDE/>
        <w:autoSpaceDN/>
        <w:bidi w:val="0"/>
        <w:adjustRightInd/>
        <w:snapToGrid/>
        <w:spacing w:before="0" w:after="0"/>
        <w:jc w:val="center"/>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 xml:space="preserve">第三章 </w:t>
      </w:r>
      <w:bookmarkEnd w:id="20"/>
      <w:r>
        <w:rPr>
          <w:rFonts w:hint="eastAsia" w:ascii="宋体" w:hAnsi="宋体" w:eastAsia="宋体" w:cs="宋体"/>
          <w:color w:val="auto"/>
          <w:highlight w:val="none"/>
          <w:lang w:eastAsia="zh-CN"/>
        </w:rPr>
        <w:t>采购需求</w:t>
      </w:r>
    </w:p>
    <w:p w14:paraId="2713E85A">
      <w:pPr>
        <w:pageBreakBefore w:val="0"/>
        <w:kinsoku/>
        <w:bidi w:val="0"/>
        <w:spacing w:line="440" w:lineRule="exact"/>
        <w:textAlignment w:val="auto"/>
        <w:rPr>
          <w:rFonts w:hint="eastAsia" w:asciiTheme="minorEastAsia" w:hAnsiTheme="minorEastAsia" w:eastAsiaTheme="minorEastAsia" w:cstheme="minorEastAsia"/>
          <w:b/>
          <w:bCs/>
          <w:color w:val="auto"/>
          <w:sz w:val="24"/>
          <w:szCs w:val="24"/>
          <w:highlight w:val="none"/>
        </w:rPr>
      </w:pPr>
      <w:bookmarkStart w:id="21" w:name="_Toc25481"/>
      <w:r>
        <w:rPr>
          <w:rFonts w:hint="eastAsia" w:asciiTheme="minorEastAsia" w:hAnsiTheme="minorEastAsia" w:eastAsiaTheme="minorEastAsia" w:cstheme="minorEastAsia"/>
          <w:b/>
          <w:bCs/>
          <w:color w:val="auto"/>
          <w:sz w:val="24"/>
          <w:szCs w:val="24"/>
          <w:highlight w:val="none"/>
        </w:rPr>
        <w:t>一</w:t>
      </w:r>
      <w:r>
        <w:rPr>
          <w:rFonts w:hint="eastAsia" w:asciiTheme="minorEastAsia" w:hAnsiTheme="minorEastAsia" w:eastAsiaTheme="minorEastAsia" w:cstheme="minorEastAsia"/>
          <w:b/>
          <w:bCs/>
          <w:color w:val="auto"/>
          <w:sz w:val="24"/>
          <w:szCs w:val="24"/>
          <w:highlight w:val="none"/>
          <w:lang w:eastAsia="zh-CN"/>
        </w:rPr>
        <w:t>、</w:t>
      </w:r>
      <w:r>
        <w:rPr>
          <w:rFonts w:hint="eastAsia" w:asciiTheme="minorEastAsia" w:hAnsiTheme="minorEastAsia" w:eastAsiaTheme="minorEastAsia" w:cstheme="minorEastAsia"/>
          <w:b/>
          <w:bCs/>
          <w:color w:val="auto"/>
          <w:sz w:val="24"/>
          <w:szCs w:val="24"/>
          <w:highlight w:val="none"/>
          <w:lang w:val="en-US" w:eastAsia="zh-CN"/>
        </w:rPr>
        <w:t>项目概况</w:t>
      </w:r>
    </w:p>
    <w:p w14:paraId="0EF5F864">
      <w:pPr>
        <w:pageBreakBefore w:val="0"/>
        <w:kinsoku/>
        <w:bidi w:val="0"/>
        <w:spacing w:line="440" w:lineRule="exact"/>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bookmarkStart w:id="22" w:name="PO_TDCUS_ITEM_PB_REQ_FILE_1_1_1"/>
      <w:r>
        <w:rPr>
          <w:rFonts w:hint="eastAsia" w:asciiTheme="minorEastAsia" w:hAnsiTheme="minorEastAsia" w:eastAsiaTheme="minorEastAsia" w:cstheme="minorEastAsia"/>
          <w:color w:val="auto"/>
          <w:sz w:val="24"/>
          <w:szCs w:val="24"/>
          <w:highlight w:val="none"/>
          <w:lang w:val="en-US" w:eastAsia="zh-CN"/>
        </w:rPr>
        <w:t>1、采购单位：</w:t>
      </w:r>
      <w:r>
        <w:rPr>
          <w:rFonts w:hint="eastAsia" w:asciiTheme="minorEastAsia" w:hAnsiTheme="minorEastAsia" w:eastAsiaTheme="minorEastAsia" w:cstheme="minorEastAsia"/>
          <w:color w:val="auto"/>
          <w:sz w:val="24"/>
          <w:szCs w:val="24"/>
          <w:highlight w:val="none"/>
          <w:lang w:eastAsia="zh-CN"/>
        </w:rPr>
        <w:t>灵宝市应急管理局</w:t>
      </w:r>
    </w:p>
    <w:p w14:paraId="64CB430B">
      <w:pPr>
        <w:pageBreakBefore w:val="0"/>
        <w:kinsoku/>
        <w:bidi w:val="0"/>
        <w:spacing w:line="440" w:lineRule="exact"/>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2、项目名称：灵宝市应急管理局灵宝市非煤矿山安全生产会诊服务项目</w:t>
      </w:r>
    </w:p>
    <w:p w14:paraId="47BD826A">
      <w:pPr>
        <w:pageBreakBefore w:val="0"/>
        <w:kinsoku/>
        <w:bidi w:val="0"/>
        <w:spacing w:line="440" w:lineRule="exact"/>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3、采购内容：组织采矿、地质（岩土）、机电、安全、通风等矿山主体专业专家团队，采取“一矿一研判、一系统一会诊”的方式，对灵宝市16个非煤地下矿山系统的各关键环节、重点领域进行排查会诊，对查出的问题整改情况进行复查研判，形成“一矿一策”会诊复查报告，同时，形成对灵宝市矿山领域的整体工作建议，提出3-5年内短、中、长期安全生产规划</w:t>
      </w:r>
      <w:r>
        <w:rPr>
          <w:rFonts w:hint="eastAsia" w:asciiTheme="minorEastAsia" w:hAnsiTheme="minorEastAsia" w:eastAsiaTheme="minorEastAsia" w:cstheme="minorEastAsia"/>
          <w:color w:val="auto"/>
          <w:sz w:val="24"/>
          <w:szCs w:val="24"/>
          <w:highlight w:val="none"/>
        </w:rPr>
        <w:t>。</w:t>
      </w:r>
    </w:p>
    <w:p w14:paraId="3AB02712">
      <w:pPr>
        <w:pageBreakBefore w:val="0"/>
        <w:kinsoku/>
        <w:bidi w:val="0"/>
        <w:spacing w:line="440" w:lineRule="exact"/>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4、合同履约期限：120</w:t>
      </w:r>
      <w:r>
        <w:rPr>
          <w:rFonts w:hint="eastAsia" w:asciiTheme="minorEastAsia" w:hAnsiTheme="minorEastAsia" w:eastAsiaTheme="minorEastAsia" w:cstheme="minorEastAsia"/>
          <w:color w:val="auto"/>
          <w:sz w:val="24"/>
          <w:szCs w:val="24"/>
          <w:highlight w:val="none"/>
          <w:lang w:eastAsia="zh-CN"/>
        </w:rPr>
        <w:t>日历天</w:t>
      </w:r>
    </w:p>
    <w:p w14:paraId="153D1A32">
      <w:pPr>
        <w:pageBreakBefore w:val="0"/>
        <w:kinsoku/>
        <w:bidi w:val="0"/>
        <w:spacing w:line="440" w:lineRule="exact"/>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5、服务地点：灵宝市</w:t>
      </w:r>
    </w:p>
    <w:p w14:paraId="0A16DD6D">
      <w:pPr>
        <w:pageBreakBefore w:val="0"/>
        <w:kinsoku/>
        <w:bidi w:val="0"/>
        <w:spacing w:line="440" w:lineRule="exact"/>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6、服务标准：</w:t>
      </w:r>
      <w:r>
        <w:rPr>
          <w:rFonts w:hint="eastAsia" w:asciiTheme="minorEastAsia" w:hAnsiTheme="minorEastAsia" w:eastAsiaTheme="minorEastAsia" w:cstheme="minorEastAsia"/>
          <w:color w:val="auto"/>
          <w:sz w:val="24"/>
          <w:szCs w:val="24"/>
          <w:highlight w:val="none"/>
        </w:rPr>
        <w:t>符合国家及行业相关法规、标准和规范，满足采购人需求</w:t>
      </w:r>
      <w:r>
        <w:rPr>
          <w:rFonts w:hint="eastAsia" w:asciiTheme="minorEastAsia" w:hAnsiTheme="minorEastAsia" w:eastAsiaTheme="minorEastAsia" w:cstheme="minorEastAsia"/>
          <w:color w:val="auto"/>
          <w:sz w:val="24"/>
          <w:szCs w:val="24"/>
          <w:highlight w:val="none"/>
          <w:lang w:val="en-US" w:eastAsia="zh-CN"/>
        </w:rPr>
        <w:t>。</w:t>
      </w:r>
    </w:p>
    <w:p w14:paraId="00383B09">
      <w:pPr>
        <w:pageBreakBefore w:val="0"/>
        <w:kinsoku/>
        <w:bidi w:val="0"/>
        <w:spacing w:line="440" w:lineRule="exact"/>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7、采购预算：197万元</w:t>
      </w:r>
    </w:p>
    <w:p w14:paraId="1139E866">
      <w:pPr>
        <w:pageBreakBefore w:val="0"/>
        <w:kinsoku/>
        <w:bidi w:val="0"/>
        <w:spacing w:line="440" w:lineRule="exact"/>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8、最高限价：197万元</w:t>
      </w:r>
    </w:p>
    <w:bookmarkEnd w:id="22"/>
    <w:p w14:paraId="5C239379">
      <w:pPr>
        <w:pageBreakBefore w:val="0"/>
        <w:kinsoku/>
        <w:bidi w:val="0"/>
        <w:spacing w:line="440" w:lineRule="exact"/>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9、组织采矿、地质（岩土）、机电、安全、通风等矿山主体专业专家团队，采取“一矿一研判、一系统一会诊”的方式，对灵宝市16个非煤地下矿山系统的各关键环节、重点领域进行排查会诊，对查出的问题整改情况进行复查研判，形成“一矿一策”会诊复查报告，同时，形成对灵宝市矿山领域的整体工作建议，提出3-5年内短、中、长期安全生产规划。</w:t>
      </w:r>
    </w:p>
    <w:p w14:paraId="5BDD63B2">
      <w:pPr>
        <w:spacing w:after="0" w:line="360" w:lineRule="auto"/>
        <w:jc w:val="both"/>
        <w:rPr>
          <w:rFonts w:ascii="Times New Roman" w:hAnsi="Times New Roman" w:eastAsia="宋体" w:cs="Times New Roman"/>
          <w:b/>
          <w:color w:val="auto"/>
          <w:sz w:val="24"/>
          <w:highlight w:val="none"/>
          <w14:ligatures w14:val="none"/>
        </w:rPr>
      </w:pPr>
      <w:r>
        <w:rPr>
          <w:rFonts w:ascii="Times New Roman" w:hAnsi="Times New Roman" w:eastAsia="宋体" w:cs="Times New Roman"/>
          <w:b/>
          <w:color w:val="auto"/>
          <w:sz w:val="24"/>
          <w:highlight w:val="none"/>
          <w14:ligatures w14:val="none"/>
        </w:rPr>
        <w:t>二、服务的技术要求</w:t>
      </w:r>
    </w:p>
    <w:p w14:paraId="57467C3A">
      <w:pPr>
        <w:spacing w:after="0" w:line="360" w:lineRule="auto"/>
        <w:ind w:firstLine="424" w:firstLineChars="177"/>
        <w:jc w:val="both"/>
        <w:rPr>
          <w:rFonts w:ascii="Times New Roman" w:hAnsi="Times New Roman" w:eastAsia="宋体" w:cs="Times New Roman"/>
          <w:color w:val="auto"/>
          <w:sz w:val="24"/>
          <w:highlight w:val="none"/>
          <w14:ligatures w14:val="none"/>
        </w:rPr>
      </w:pPr>
      <w:r>
        <w:rPr>
          <w:rFonts w:hint="eastAsia" w:ascii="Times New Roman" w:hAnsi="Times New Roman" w:eastAsia="宋体" w:cs="Times New Roman"/>
          <w:color w:val="auto"/>
          <w:sz w:val="24"/>
          <w:highlight w:val="none"/>
          <w14:ligatures w14:val="none"/>
        </w:rPr>
        <w:t>1）全面排查会诊</w:t>
      </w:r>
    </w:p>
    <w:p w14:paraId="4618B1BC">
      <w:pPr>
        <w:spacing w:after="0" w:line="360" w:lineRule="auto"/>
        <w:ind w:firstLine="424" w:firstLineChars="177"/>
        <w:jc w:val="both"/>
        <w:rPr>
          <w:rFonts w:ascii="Times New Roman" w:hAnsi="Times New Roman" w:eastAsia="宋体" w:cs="Times New Roman"/>
          <w:color w:val="auto"/>
          <w:sz w:val="24"/>
          <w:highlight w:val="none"/>
          <w14:ligatures w14:val="none"/>
        </w:rPr>
      </w:pPr>
      <w:r>
        <w:rPr>
          <w:rFonts w:hint="eastAsia" w:ascii="Times New Roman" w:hAnsi="Times New Roman" w:eastAsia="宋体" w:cs="Times New Roman"/>
          <w:color w:val="auto"/>
          <w:sz w:val="24"/>
          <w:highlight w:val="none"/>
          <w14:ligatures w14:val="none"/>
        </w:rPr>
        <w:t>采取“一矿一研判、一系统一会诊”的方式，对16个非煤地下矿山系统各关键环节、重点领域进行</w:t>
      </w:r>
      <w:r>
        <w:rPr>
          <w:rFonts w:ascii="Times New Roman" w:hAnsi="Times New Roman" w:eastAsia="宋体" w:cs="Times New Roman"/>
          <w:color w:val="auto"/>
          <w:sz w:val="24"/>
          <w:highlight w:val="none"/>
          <w14:ligatures w14:val="none"/>
        </w:rPr>
        <w:t>会诊排查</w:t>
      </w:r>
      <w:r>
        <w:rPr>
          <w:rFonts w:hint="eastAsia" w:ascii="Times New Roman" w:hAnsi="Times New Roman" w:eastAsia="宋体" w:cs="Times New Roman"/>
          <w:color w:val="auto"/>
          <w:sz w:val="24"/>
          <w:highlight w:val="none"/>
          <w14:ligatures w14:val="none"/>
        </w:rPr>
        <w:t>，重点对照《金属非金属矿山重大事故隐患判定标准》（矿安〔2022〕88号）、《金属非金属矿山重大事故隐患判定标准补充情形》（矿安〔2024〕41号）逐项排查。具体检查内容应至少覆盖以下方面：</w:t>
      </w:r>
    </w:p>
    <w:p w14:paraId="3C674C05">
      <w:pPr>
        <w:spacing w:after="0" w:line="360" w:lineRule="auto"/>
        <w:ind w:firstLine="424" w:firstLineChars="177"/>
        <w:jc w:val="both"/>
        <w:rPr>
          <w:rFonts w:ascii="Times New Roman" w:hAnsi="Times New Roman" w:eastAsia="宋体" w:cs="Times New Roman"/>
          <w:color w:val="auto"/>
          <w:sz w:val="24"/>
          <w:highlight w:val="none"/>
          <w14:ligatures w14:val="none"/>
        </w:rPr>
      </w:pPr>
      <w:r>
        <w:rPr>
          <w:rFonts w:hint="eastAsia" w:ascii="Times New Roman" w:hAnsi="Times New Roman" w:eastAsia="宋体" w:cs="Times New Roman"/>
          <w:color w:val="auto"/>
          <w:sz w:val="24"/>
          <w:highlight w:val="none"/>
          <w14:ligatures w14:val="none"/>
        </w:rPr>
        <w:t>（1）安全管理责任制度体系：检查企业安全生产责任制、安全管理机构设置及人员配备、安全管理制度建立健全及落实情况。</w:t>
      </w:r>
    </w:p>
    <w:p w14:paraId="61DC23AC">
      <w:pPr>
        <w:spacing w:after="0" w:line="360" w:lineRule="auto"/>
        <w:ind w:firstLine="424" w:firstLineChars="177"/>
        <w:jc w:val="both"/>
        <w:rPr>
          <w:rFonts w:ascii="Times New Roman" w:hAnsi="Times New Roman" w:eastAsia="宋体" w:cs="Times New Roman"/>
          <w:color w:val="auto"/>
          <w:sz w:val="24"/>
          <w:highlight w:val="none"/>
          <w14:ligatures w14:val="none"/>
        </w:rPr>
      </w:pPr>
      <w:r>
        <w:rPr>
          <w:rFonts w:hint="eastAsia" w:ascii="Times New Roman" w:hAnsi="Times New Roman" w:eastAsia="宋体" w:cs="Times New Roman"/>
          <w:color w:val="auto"/>
          <w:sz w:val="24"/>
          <w:highlight w:val="none"/>
          <w14:ligatures w14:val="none"/>
        </w:rPr>
        <w:t>（2）安全风险辨识管控与隐患排查治理：检查双重预防机制建设运行情况，重大事故隐患自查自改情况。</w:t>
      </w:r>
    </w:p>
    <w:p w14:paraId="55515EBE">
      <w:pPr>
        <w:spacing w:after="0" w:line="360" w:lineRule="auto"/>
        <w:ind w:firstLine="424" w:firstLineChars="177"/>
        <w:jc w:val="both"/>
        <w:rPr>
          <w:rFonts w:ascii="Times New Roman" w:hAnsi="Times New Roman" w:eastAsia="宋体" w:cs="Times New Roman"/>
          <w:color w:val="auto"/>
          <w:sz w:val="24"/>
          <w:highlight w:val="none"/>
          <w14:ligatures w14:val="none"/>
        </w:rPr>
      </w:pPr>
      <w:r>
        <w:rPr>
          <w:rFonts w:hint="eastAsia" w:ascii="Times New Roman" w:hAnsi="Times New Roman" w:eastAsia="宋体" w:cs="Times New Roman"/>
          <w:color w:val="auto"/>
          <w:sz w:val="24"/>
          <w:highlight w:val="none"/>
          <w14:ligatures w14:val="none"/>
        </w:rPr>
        <w:t>（3）矿山开采系统与安全出口：检查开拓系统、中段平面布置、采场布置是否与设计及现状图纸一致，矿井直达地面的独立安全出口是否不少于2个且与设计一致。</w:t>
      </w:r>
    </w:p>
    <w:p w14:paraId="2DAC7006">
      <w:pPr>
        <w:spacing w:after="0" w:line="360" w:lineRule="auto"/>
        <w:ind w:firstLine="424" w:firstLineChars="177"/>
        <w:jc w:val="both"/>
        <w:rPr>
          <w:rFonts w:ascii="Times New Roman" w:hAnsi="Times New Roman" w:eastAsia="宋体" w:cs="Times New Roman"/>
          <w:color w:val="auto"/>
          <w:sz w:val="24"/>
          <w:highlight w:val="none"/>
          <w14:ligatures w14:val="none"/>
        </w:rPr>
      </w:pPr>
      <w:r>
        <w:rPr>
          <w:rFonts w:hint="eastAsia" w:ascii="Times New Roman" w:hAnsi="Times New Roman" w:eastAsia="宋体" w:cs="Times New Roman"/>
          <w:color w:val="auto"/>
          <w:sz w:val="24"/>
          <w:highlight w:val="none"/>
          <w14:ligatures w14:val="none"/>
        </w:rPr>
        <w:t>（4）通风系统：检查通风系统是否完善，机械通风运行是否正常，风量、风速、风质是否符合《金属非金属矿山安全规程》（GB16423）要求。</w:t>
      </w:r>
    </w:p>
    <w:p w14:paraId="4B525738">
      <w:pPr>
        <w:spacing w:after="0" w:line="360" w:lineRule="auto"/>
        <w:ind w:firstLine="424" w:firstLineChars="177"/>
        <w:jc w:val="both"/>
        <w:rPr>
          <w:rFonts w:ascii="Times New Roman" w:hAnsi="Times New Roman" w:eastAsia="宋体" w:cs="Times New Roman"/>
          <w:color w:val="auto"/>
          <w:sz w:val="24"/>
          <w:highlight w:val="none"/>
          <w14:ligatures w14:val="none"/>
        </w:rPr>
      </w:pPr>
      <w:r>
        <w:rPr>
          <w:rFonts w:hint="eastAsia" w:ascii="Times New Roman" w:hAnsi="Times New Roman" w:eastAsia="宋体" w:cs="Times New Roman"/>
          <w:color w:val="auto"/>
          <w:sz w:val="24"/>
          <w:highlight w:val="none"/>
          <w14:ligatures w14:val="none"/>
        </w:rPr>
        <w:t>（5）防排水与防治水系统：检查排水设施设备运行状态、防水措施落实情况。</w:t>
      </w:r>
    </w:p>
    <w:p w14:paraId="30E8CC4C">
      <w:pPr>
        <w:spacing w:after="0" w:line="360" w:lineRule="auto"/>
        <w:ind w:firstLine="424" w:firstLineChars="177"/>
        <w:jc w:val="both"/>
        <w:rPr>
          <w:rFonts w:ascii="Times New Roman" w:hAnsi="Times New Roman" w:eastAsia="宋体" w:cs="Times New Roman"/>
          <w:color w:val="auto"/>
          <w:sz w:val="24"/>
          <w:highlight w:val="none"/>
          <w14:ligatures w14:val="none"/>
        </w:rPr>
      </w:pPr>
      <w:r>
        <w:rPr>
          <w:rFonts w:hint="eastAsia" w:ascii="Times New Roman" w:hAnsi="Times New Roman" w:eastAsia="宋体" w:cs="Times New Roman"/>
          <w:color w:val="auto"/>
          <w:sz w:val="24"/>
          <w:highlight w:val="none"/>
          <w14:ligatures w14:val="none"/>
        </w:rPr>
        <w:t>（6）机电运输系统：检查提升运输设备、供配电系统安全运行状况。</w:t>
      </w:r>
    </w:p>
    <w:p w14:paraId="6DF247FD">
      <w:pPr>
        <w:spacing w:after="0" w:line="360" w:lineRule="auto"/>
        <w:ind w:firstLine="424" w:firstLineChars="177"/>
        <w:jc w:val="both"/>
        <w:rPr>
          <w:rFonts w:ascii="Times New Roman" w:hAnsi="Times New Roman" w:eastAsia="宋体" w:cs="Times New Roman"/>
          <w:color w:val="auto"/>
          <w:sz w:val="24"/>
          <w:highlight w:val="none"/>
          <w14:ligatures w14:val="none"/>
        </w:rPr>
      </w:pPr>
      <w:r>
        <w:rPr>
          <w:rFonts w:hint="eastAsia" w:ascii="Times New Roman" w:hAnsi="Times New Roman" w:eastAsia="宋体" w:cs="Times New Roman"/>
          <w:color w:val="auto"/>
          <w:sz w:val="24"/>
          <w:highlight w:val="none"/>
          <w14:ligatures w14:val="none"/>
        </w:rPr>
        <w:t>（7）监测监控系统：检查安全监测监控系统（有毒有害气体监测、风速风压监测、视频监控等）、人员定位系统、通信联络系统建设与运行情况。</w:t>
      </w:r>
    </w:p>
    <w:p w14:paraId="02C0A096">
      <w:pPr>
        <w:spacing w:after="0" w:line="360" w:lineRule="auto"/>
        <w:ind w:firstLine="424" w:firstLineChars="177"/>
        <w:jc w:val="both"/>
        <w:rPr>
          <w:rFonts w:ascii="Times New Roman" w:hAnsi="Times New Roman" w:eastAsia="宋体" w:cs="Times New Roman"/>
          <w:color w:val="auto"/>
          <w:sz w:val="24"/>
          <w:highlight w:val="none"/>
          <w14:ligatures w14:val="none"/>
        </w:rPr>
      </w:pPr>
      <w:r>
        <w:rPr>
          <w:rFonts w:hint="eastAsia" w:ascii="Times New Roman" w:hAnsi="Times New Roman" w:eastAsia="宋体" w:cs="Times New Roman"/>
          <w:color w:val="auto"/>
          <w:sz w:val="24"/>
          <w:highlight w:val="none"/>
          <w14:ligatures w14:val="none"/>
        </w:rPr>
        <w:t>（8）采空区管理：检查采空区及废弃井巷的位置、处理方式、现状，以及地表塌陷区位置是否与图纸实际相符；检查隐蔽致灾因素普查情况。</w:t>
      </w:r>
    </w:p>
    <w:p w14:paraId="32DD4EB8">
      <w:pPr>
        <w:spacing w:after="0" w:line="360" w:lineRule="auto"/>
        <w:ind w:firstLine="424" w:firstLineChars="177"/>
        <w:jc w:val="both"/>
        <w:rPr>
          <w:rFonts w:ascii="Times New Roman" w:hAnsi="Times New Roman" w:eastAsia="宋体" w:cs="Times New Roman"/>
          <w:color w:val="auto"/>
          <w:sz w:val="24"/>
          <w:highlight w:val="none"/>
          <w14:ligatures w14:val="none"/>
        </w:rPr>
      </w:pPr>
      <w:r>
        <w:rPr>
          <w:rFonts w:hint="eastAsia" w:ascii="Times New Roman" w:hAnsi="Times New Roman" w:eastAsia="宋体" w:cs="Times New Roman"/>
          <w:color w:val="auto"/>
          <w:sz w:val="24"/>
          <w:highlight w:val="none"/>
          <w14:ligatures w14:val="none"/>
        </w:rPr>
        <w:t>（9）应急管理：检查应急救援预案编制与演练、应急物资储备、井下避灾路线图等情况。</w:t>
      </w:r>
    </w:p>
    <w:p w14:paraId="6F21B379">
      <w:pPr>
        <w:spacing w:after="0" w:line="360" w:lineRule="auto"/>
        <w:ind w:firstLine="424" w:firstLineChars="177"/>
        <w:jc w:val="both"/>
        <w:rPr>
          <w:rFonts w:ascii="Times New Roman" w:hAnsi="Times New Roman" w:eastAsia="宋体" w:cs="Times New Roman"/>
          <w:color w:val="auto"/>
          <w:sz w:val="24"/>
          <w:highlight w:val="none"/>
          <w14:ligatures w14:val="none"/>
        </w:rPr>
      </w:pPr>
      <w:r>
        <w:rPr>
          <w:rFonts w:hint="eastAsia" w:ascii="Times New Roman" w:hAnsi="Times New Roman" w:eastAsia="宋体" w:cs="Times New Roman"/>
          <w:color w:val="auto"/>
          <w:sz w:val="24"/>
          <w:highlight w:val="none"/>
          <w14:ligatures w14:val="none"/>
        </w:rPr>
        <w:t>（10）图纸资料：检查矿山是否保存《金属非金属矿山安全规程》规定的各类现状图纸，生产矿山是否每3个月、基建矿山是否每月更新图纸并由主要负责人签字确认。</w:t>
      </w:r>
    </w:p>
    <w:p w14:paraId="7AEF1680">
      <w:pPr>
        <w:spacing w:after="0" w:line="360" w:lineRule="auto"/>
        <w:ind w:firstLine="424" w:firstLineChars="177"/>
        <w:jc w:val="both"/>
        <w:rPr>
          <w:rFonts w:ascii="Times New Roman" w:hAnsi="Times New Roman" w:eastAsia="宋体" w:cs="Times New Roman"/>
          <w:color w:val="auto"/>
          <w:sz w:val="24"/>
          <w:highlight w:val="none"/>
          <w14:ligatures w14:val="none"/>
        </w:rPr>
      </w:pPr>
      <w:r>
        <w:rPr>
          <w:rFonts w:hint="eastAsia" w:ascii="Times New Roman" w:hAnsi="Times New Roman" w:eastAsia="宋体" w:cs="Times New Roman"/>
          <w:color w:val="auto"/>
          <w:sz w:val="24"/>
          <w:highlight w:val="none"/>
          <w14:ligatures w14:val="none"/>
        </w:rPr>
        <w:t>（11）矿山安全生产费用提取和使用、设备检测检验等情况。</w:t>
      </w:r>
    </w:p>
    <w:p w14:paraId="413F1BEB">
      <w:pPr>
        <w:spacing w:after="0" w:line="360" w:lineRule="auto"/>
        <w:ind w:firstLine="424" w:firstLineChars="177"/>
        <w:jc w:val="both"/>
        <w:rPr>
          <w:rFonts w:ascii="Times New Roman" w:hAnsi="Times New Roman" w:eastAsia="宋体" w:cs="Times New Roman"/>
          <w:color w:val="auto"/>
          <w:sz w:val="24"/>
          <w:highlight w:val="none"/>
          <w14:ligatures w14:val="none"/>
        </w:rPr>
      </w:pPr>
      <w:r>
        <w:rPr>
          <w:rFonts w:hint="eastAsia" w:ascii="Times New Roman" w:hAnsi="Times New Roman" w:eastAsia="宋体" w:cs="Times New Roman"/>
          <w:color w:val="auto"/>
          <w:sz w:val="24"/>
          <w:highlight w:val="none"/>
          <w14:ligatures w14:val="none"/>
        </w:rPr>
        <w:t>2）问题整改复查</w:t>
      </w:r>
    </w:p>
    <w:p w14:paraId="2D1EE41C">
      <w:pPr>
        <w:spacing w:after="0" w:line="360" w:lineRule="auto"/>
        <w:ind w:firstLine="424" w:firstLineChars="177"/>
        <w:jc w:val="both"/>
        <w:rPr>
          <w:rFonts w:ascii="Times New Roman" w:hAnsi="Times New Roman" w:eastAsia="宋体" w:cs="Times New Roman"/>
          <w:color w:val="auto"/>
          <w:sz w:val="24"/>
          <w:highlight w:val="none"/>
          <w14:ligatures w14:val="none"/>
        </w:rPr>
      </w:pPr>
      <w:r>
        <w:rPr>
          <w:rFonts w:hint="eastAsia" w:ascii="Times New Roman" w:hAnsi="Times New Roman" w:eastAsia="宋体" w:cs="Times New Roman"/>
          <w:color w:val="auto"/>
          <w:sz w:val="24"/>
          <w:highlight w:val="none"/>
          <w14:ligatures w14:val="none"/>
        </w:rPr>
        <w:t>对照查出的问题清单，逐项复查整改落实情况，核实整改效果，确认是否达到闭环销号标准。</w:t>
      </w:r>
    </w:p>
    <w:p w14:paraId="1521C291">
      <w:pPr>
        <w:spacing w:after="0" w:line="360" w:lineRule="auto"/>
        <w:ind w:firstLine="424" w:firstLineChars="177"/>
        <w:jc w:val="both"/>
        <w:rPr>
          <w:rFonts w:ascii="Times New Roman" w:hAnsi="Times New Roman" w:eastAsia="宋体" w:cs="Times New Roman"/>
          <w:color w:val="auto"/>
          <w:sz w:val="24"/>
          <w:highlight w:val="none"/>
          <w14:ligatures w14:val="none"/>
        </w:rPr>
      </w:pPr>
      <w:r>
        <w:rPr>
          <w:rFonts w:hint="eastAsia" w:ascii="Times New Roman" w:hAnsi="Times New Roman" w:eastAsia="宋体" w:cs="Times New Roman"/>
          <w:color w:val="auto"/>
          <w:sz w:val="24"/>
          <w:highlight w:val="none"/>
          <w14:ligatures w14:val="none"/>
        </w:rPr>
        <w:t>3）报告编制</w:t>
      </w:r>
    </w:p>
    <w:p w14:paraId="4B31F796">
      <w:pPr>
        <w:spacing w:after="0" w:line="360" w:lineRule="auto"/>
        <w:ind w:firstLine="424" w:firstLineChars="177"/>
        <w:jc w:val="both"/>
        <w:rPr>
          <w:rFonts w:hint="eastAsia" w:ascii="Times New Roman" w:hAnsi="Times New Roman" w:eastAsia="宋体" w:cs="Times New Roman"/>
          <w:color w:val="auto"/>
          <w:sz w:val="24"/>
          <w:highlight w:val="none"/>
          <w14:ligatures w14:val="none"/>
        </w:rPr>
      </w:pPr>
      <w:r>
        <w:rPr>
          <w:rFonts w:hint="eastAsia" w:ascii="Times New Roman" w:hAnsi="Times New Roman" w:eastAsia="宋体" w:cs="Times New Roman"/>
          <w:color w:val="auto"/>
          <w:sz w:val="24"/>
          <w:highlight w:val="none"/>
          <w14:ligatures w14:val="none"/>
        </w:rPr>
        <w:t>（1）“一矿一策”会诊复查报告。为每个矿山系统编制会诊复查报告，列出问题隐患清单、隐患整改情况、隐患整改符合性及复查研判结论，对矿山后续生产运行提出建议。</w:t>
      </w:r>
    </w:p>
    <w:p w14:paraId="56F41733">
      <w:pPr>
        <w:spacing w:after="0" w:line="360" w:lineRule="auto"/>
        <w:ind w:firstLine="424" w:firstLineChars="177"/>
        <w:jc w:val="both"/>
        <w:rPr>
          <w:rFonts w:hint="eastAsia" w:ascii="Times New Roman" w:hAnsi="Times New Roman" w:eastAsia="宋体" w:cs="Times New Roman"/>
          <w:color w:val="auto"/>
          <w:sz w:val="24"/>
          <w:highlight w:val="none"/>
          <w14:ligatures w14:val="none"/>
        </w:rPr>
      </w:pPr>
      <w:r>
        <w:rPr>
          <w:rFonts w:hint="eastAsia" w:ascii="Times New Roman" w:hAnsi="Times New Roman" w:eastAsia="宋体" w:cs="Times New Roman"/>
          <w:color w:val="auto"/>
          <w:sz w:val="24"/>
          <w:highlight w:val="none"/>
          <w14:ligatures w14:val="none"/>
        </w:rPr>
        <w:t>（2）灵宝市矿山领域整体工作建议。在全面会诊复查基础上，形成对全市矿山安全生产领域的系统性工作建议，提出5年内短、中、长期安全生产规划。</w:t>
      </w:r>
    </w:p>
    <w:p w14:paraId="6D2AD3F8">
      <w:pPr>
        <w:spacing w:after="0" w:line="360" w:lineRule="auto"/>
        <w:ind w:firstLine="424" w:firstLineChars="177"/>
        <w:jc w:val="both"/>
        <w:rPr>
          <w:rFonts w:hint="eastAsia" w:ascii="Times New Roman" w:hAnsi="Times New Roman" w:eastAsia="宋体" w:cs="Times New Roman"/>
          <w:color w:val="auto"/>
          <w:sz w:val="24"/>
          <w:highlight w:val="none"/>
          <w14:ligatures w14:val="none"/>
        </w:rPr>
      </w:pPr>
      <w:r>
        <w:rPr>
          <w:rFonts w:hint="eastAsia" w:ascii="Times New Roman" w:hAnsi="Times New Roman" w:eastAsia="宋体" w:cs="Times New Roman"/>
          <w:color w:val="auto"/>
          <w:sz w:val="24"/>
          <w:highlight w:val="none"/>
          <w14:ligatures w14:val="none"/>
        </w:rPr>
        <w:t>4）质量要求</w:t>
      </w:r>
    </w:p>
    <w:p w14:paraId="1F12C622">
      <w:pPr>
        <w:spacing w:after="0" w:line="360" w:lineRule="auto"/>
        <w:ind w:firstLine="424" w:firstLineChars="177"/>
        <w:jc w:val="both"/>
        <w:rPr>
          <w:rFonts w:ascii="Times New Roman" w:hAnsi="Times New Roman" w:eastAsia="宋体" w:cs="Times New Roman"/>
          <w:color w:val="auto"/>
          <w:sz w:val="24"/>
          <w:highlight w:val="none"/>
          <w14:ligatures w14:val="none"/>
        </w:rPr>
      </w:pPr>
      <w:r>
        <w:rPr>
          <w:rFonts w:hint="eastAsia" w:ascii="Times New Roman" w:hAnsi="Times New Roman" w:eastAsia="宋体" w:cs="Times New Roman"/>
          <w:color w:val="auto"/>
          <w:sz w:val="24"/>
          <w:highlight w:val="none"/>
          <w14:ligatures w14:val="none"/>
        </w:rPr>
        <w:t>（1）会诊复查报告。内容应包含该矿山系统隐患问题清单、整改情况、复查情况、研判结论。报告须加盖服务单位公章，提交纸质报告一式5份及电子文档1份。</w:t>
      </w:r>
    </w:p>
    <w:p w14:paraId="2E47D5B4">
      <w:pPr>
        <w:spacing w:after="0" w:line="360" w:lineRule="auto"/>
        <w:ind w:firstLine="424" w:firstLineChars="177"/>
        <w:jc w:val="both"/>
        <w:rPr>
          <w:rFonts w:ascii="Times New Roman" w:hAnsi="Times New Roman" w:eastAsia="宋体" w:cs="Times New Roman"/>
          <w:color w:val="auto"/>
          <w:sz w:val="24"/>
          <w:szCs w:val="32"/>
          <w:highlight w:val="none"/>
          <w14:ligatures w14:val="none"/>
        </w:rPr>
      </w:pPr>
      <w:r>
        <w:rPr>
          <w:rFonts w:hint="eastAsia" w:ascii="Times New Roman" w:hAnsi="Times New Roman" w:eastAsia="宋体" w:cs="Times New Roman"/>
          <w:color w:val="auto"/>
          <w:sz w:val="24"/>
          <w:highlight w:val="none"/>
          <w14:ligatures w14:val="none"/>
        </w:rPr>
        <w:t>（2）灵宝市矿山领域整体工作建议。系统梳理全市16个矿山系统共性问题和矛盾，提出针对性的政策建议和工作措施，提出3-5</w:t>
      </w:r>
      <w:r>
        <w:rPr>
          <w:rFonts w:hint="eastAsia" w:ascii="Times New Roman" w:hAnsi="Times New Roman" w:eastAsia="宋体" w:cs="Times New Roman"/>
          <w:bCs/>
          <w:color w:val="auto"/>
          <w:sz w:val="24"/>
          <w:highlight w:val="none"/>
          <w14:ligatures w14:val="none"/>
        </w:rPr>
        <w:t>年内短、中、长期安全生产规划</w:t>
      </w:r>
      <w:r>
        <w:rPr>
          <w:rFonts w:hint="eastAsia" w:ascii="Times New Roman" w:hAnsi="Times New Roman" w:eastAsia="宋体" w:cs="Times New Roman"/>
          <w:color w:val="auto"/>
          <w:sz w:val="24"/>
          <w:highlight w:val="none"/>
          <w14:ligatures w14:val="none"/>
        </w:rPr>
        <w:t>。</w:t>
      </w:r>
    </w:p>
    <w:p w14:paraId="14DE1B95">
      <w:pPr>
        <w:spacing w:after="0" w:line="360" w:lineRule="auto"/>
        <w:jc w:val="both"/>
        <w:outlineLvl w:val="1"/>
        <w:rPr>
          <w:rFonts w:ascii="Times New Roman" w:hAnsi="Times New Roman" w:eastAsia="宋体" w:cs="Times New Roman"/>
          <w:b/>
          <w:color w:val="auto"/>
          <w:sz w:val="24"/>
          <w:highlight w:val="none"/>
          <w14:ligatures w14:val="none"/>
        </w:rPr>
      </w:pPr>
      <w:bookmarkStart w:id="23" w:name="_Toc3431"/>
      <w:r>
        <w:rPr>
          <w:rFonts w:ascii="Times New Roman" w:hAnsi="Times New Roman" w:eastAsia="宋体" w:cs="Times New Roman"/>
          <w:b/>
          <w:color w:val="auto"/>
          <w:sz w:val="24"/>
          <w:highlight w:val="none"/>
          <w14:ligatures w14:val="none"/>
        </w:rPr>
        <w:t>三、供货范围</w:t>
      </w:r>
      <w:bookmarkEnd w:id="23"/>
    </w:p>
    <w:p w14:paraId="27D4D7A8">
      <w:pPr>
        <w:spacing w:after="0" w:line="360" w:lineRule="auto"/>
        <w:ind w:firstLine="352" w:firstLineChars="147"/>
        <w:jc w:val="center"/>
        <w:rPr>
          <w:rFonts w:ascii="Times New Roman" w:hAnsi="Times New Roman" w:eastAsia="宋体" w:cs="Times New Roman"/>
          <w:color w:val="auto"/>
          <w:sz w:val="24"/>
          <w:highlight w:val="none"/>
          <w14:ligatures w14:val="none"/>
        </w:rPr>
      </w:pPr>
      <w:r>
        <w:rPr>
          <w:rFonts w:ascii="Times New Roman" w:hAnsi="Times New Roman" w:eastAsia="宋体" w:cs="Times New Roman"/>
          <w:color w:val="auto"/>
          <w:sz w:val="24"/>
          <w:highlight w:val="none"/>
          <w14:ligatures w14:val="none"/>
        </w:rPr>
        <w:t>供货范围一览表</w:t>
      </w:r>
    </w:p>
    <w:tbl>
      <w:tblPr>
        <w:tblStyle w:val="17"/>
        <w:tblW w:w="5000" w:type="pct"/>
        <w:tblInd w:w="0" w:type="dxa"/>
        <w:tblLayout w:type="autofit"/>
        <w:tblCellMar>
          <w:top w:w="0" w:type="dxa"/>
          <w:left w:w="108" w:type="dxa"/>
          <w:bottom w:w="0" w:type="dxa"/>
          <w:right w:w="108" w:type="dxa"/>
        </w:tblCellMar>
      </w:tblPr>
      <w:tblGrid>
        <w:gridCol w:w="1026"/>
        <w:gridCol w:w="3314"/>
        <w:gridCol w:w="1878"/>
        <w:gridCol w:w="1948"/>
        <w:gridCol w:w="1234"/>
      </w:tblGrid>
      <w:tr w14:paraId="18304354">
        <w:tblPrEx>
          <w:tblCellMar>
            <w:top w:w="0" w:type="dxa"/>
            <w:left w:w="108" w:type="dxa"/>
            <w:bottom w:w="0" w:type="dxa"/>
            <w:right w:w="108" w:type="dxa"/>
          </w:tblCellMar>
        </w:tblPrEx>
        <w:tc>
          <w:tcPr>
            <w:tcW w:w="546" w:type="pct"/>
            <w:tcBorders>
              <w:top w:val="single" w:color="000000" w:sz="4" w:space="0"/>
              <w:left w:val="single" w:color="000000" w:sz="4" w:space="0"/>
              <w:bottom w:val="single" w:color="000000" w:sz="4" w:space="0"/>
              <w:right w:val="single" w:color="auto" w:sz="4" w:space="0"/>
            </w:tcBorders>
            <w:vAlign w:val="center"/>
          </w:tcPr>
          <w:p w14:paraId="2B62082C">
            <w:pPr>
              <w:spacing w:after="0" w:line="240" w:lineRule="auto"/>
              <w:jc w:val="center"/>
              <w:rPr>
                <w:rFonts w:ascii="Times New Roman" w:hAnsi="Times New Roman" w:eastAsia="宋体" w:cs="Times New Roman"/>
                <w:b/>
                <w:bCs/>
                <w:color w:val="auto"/>
                <w:sz w:val="24"/>
                <w:highlight w:val="none"/>
                <w14:ligatures w14:val="none"/>
              </w:rPr>
            </w:pPr>
            <w:r>
              <w:rPr>
                <w:rFonts w:ascii="Times New Roman" w:hAnsi="Times New Roman" w:eastAsia="宋体" w:cs="Times New Roman"/>
                <w:b/>
                <w:bCs/>
                <w:color w:val="auto"/>
                <w:sz w:val="24"/>
                <w:highlight w:val="none"/>
                <w14:ligatures w14:val="none"/>
              </w:rPr>
              <w:t>序号</w:t>
            </w:r>
          </w:p>
        </w:tc>
        <w:tc>
          <w:tcPr>
            <w:tcW w:w="1763" w:type="pct"/>
            <w:tcBorders>
              <w:top w:val="single" w:color="000000" w:sz="4" w:space="0"/>
              <w:left w:val="single" w:color="auto" w:sz="4" w:space="0"/>
              <w:bottom w:val="single" w:color="000000" w:sz="4" w:space="0"/>
              <w:right w:val="single" w:color="000000" w:sz="4" w:space="0"/>
            </w:tcBorders>
            <w:vAlign w:val="center"/>
          </w:tcPr>
          <w:p w14:paraId="6AE0460A">
            <w:pPr>
              <w:spacing w:after="0" w:line="240" w:lineRule="auto"/>
              <w:jc w:val="center"/>
              <w:rPr>
                <w:rFonts w:ascii="Times New Roman" w:hAnsi="Times New Roman" w:eastAsia="宋体" w:cs="Times New Roman"/>
                <w:b/>
                <w:bCs/>
                <w:color w:val="auto"/>
                <w:sz w:val="24"/>
                <w:highlight w:val="none"/>
                <w14:ligatures w14:val="none"/>
              </w:rPr>
            </w:pPr>
            <w:r>
              <w:rPr>
                <w:rFonts w:ascii="Times New Roman" w:hAnsi="Times New Roman" w:eastAsia="宋体" w:cs="Times New Roman"/>
                <w:b/>
                <w:bCs/>
                <w:color w:val="auto"/>
                <w:sz w:val="24"/>
                <w:highlight w:val="none"/>
                <w14:ligatures w14:val="none"/>
              </w:rPr>
              <w:t>名称</w:t>
            </w:r>
          </w:p>
        </w:tc>
        <w:tc>
          <w:tcPr>
            <w:tcW w:w="999" w:type="pct"/>
            <w:tcBorders>
              <w:top w:val="single" w:color="000000" w:sz="4" w:space="0"/>
              <w:left w:val="nil"/>
              <w:bottom w:val="single" w:color="000000" w:sz="4" w:space="0"/>
              <w:right w:val="single" w:color="000000" w:sz="4" w:space="0"/>
            </w:tcBorders>
            <w:vAlign w:val="center"/>
          </w:tcPr>
          <w:p w14:paraId="38EBE778">
            <w:pPr>
              <w:spacing w:after="0" w:line="240" w:lineRule="auto"/>
              <w:jc w:val="center"/>
              <w:rPr>
                <w:rFonts w:ascii="Times New Roman" w:hAnsi="Times New Roman" w:eastAsia="宋体" w:cs="Times New Roman"/>
                <w:b/>
                <w:bCs/>
                <w:color w:val="auto"/>
                <w:sz w:val="24"/>
                <w:highlight w:val="none"/>
                <w14:ligatures w14:val="none"/>
              </w:rPr>
            </w:pPr>
            <w:r>
              <w:rPr>
                <w:rFonts w:ascii="Times New Roman" w:hAnsi="Times New Roman" w:eastAsia="宋体" w:cs="Times New Roman"/>
                <w:b/>
                <w:bCs/>
                <w:color w:val="auto"/>
                <w:sz w:val="24"/>
                <w:highlight w:val="none"/>
                <w14:ligatures w14:val="none"/>
              </w:rPr>
              <w:t>型号</w:t>
            </w:r>
          </w:p>
        </w:tc>
        <w:tc>
          <w:tcPr>
            <w:tcW w:w="1036" w:type="pct"/>
            <w:tcBorders>
              <w:top w:val="single" w:color="000000" w:sz="4" w:space="0"/>
              <w:left w:val="nil"/>
              <w:bottom w:val="single" w:color="000000" w:sz="4" w:space="0"/>
              <w:right w:val="single" w:color="000000" w:sz="4" w:space="0"/>
            </w:tcBorders>
            <w:vAlign w:val="center"/>
          </w:tcPr>
          <w:p w14:paraId="4D1BA78E">
            <w:pPr>
              <w:spacing w:after="0" w:line="240" w:lineRule="auto"/>
              <w:jc w:val="center"/>
              <w:rPr>
                <w:rFonts w:ascii="Times New Roman" w:hAnsi="Times New Roman" w:eastAsia="宋体" w:cs="Times New Roman"/>
                <w:b/>
                <w:bCs/>
                <w:color w:val="auto"/>
                <w:sz w:val="24"/>
                <w:highlight w:val="none"/>
                <w14:ligatures w14:val="none"/>
              </w:rPr>
            </w:pPr>
            <w:r>
              <w:rPr>
                <w:rFonts w:ascii="Times New Roman" w:hAnsi="Times New Roman" w:eastAsia="宋体" w:cs="Times New Roman"/>
                <w:b/>
                <w:bCs/>
                <w:color w:val="auto"/>
                <w:sz w:val="24"/>
                <w:highlight w:val="none"/>
                <w14:ligatures w14:val="none"/>
              </w:rPr>
              <w:t>数量</w:t>
            </w:r>
          </w:p>
        </w:tc>
        <w:tc>
          <w:tcPr>
            <w:tcW w:w="656" w:type="pct"/>
            <w:tcBorders>
              <w:top w:val="single" w:color="000000" w:sz="4" w:space="0"/>
              <w:left w:val="nil"/>
              <w:bottom w:val="single" w:color="000000" w:sz="4" w:space="0"/>
              <w:right w:val="single" w:color="000000" w:sz="4" w:space="0"/>
            </w:tcBorders>
            <w:vAlign w:val="center"/>
          </w:tcPr>
          <w:p w14:paraId="38F7DEEF">
            <w:pPr>
              <w:spacing w:after="0" w:line="240" w:lineRule="auto"/>
              <w:jc w:val="center"/>
              <w:rPr>
                <w:rFonts w:ascii="Times New Roman" w:hAnsi="Times New Roman" w:eastAsia="宋体" w:cs="Times New Roman"/>
                <w:b/>
                <w:bCs/>
                <w:color w:val="auto"/>
                <w:sz w:val="24"/>
                <w:highlight w:val="none"/>
                <w14:ligatures w14:val="none"/>
              </w:rPr>
            </w:pPr>
            <w:r>
              <w:rPr>
                <w:rFonts w:ascii="Times New Roman" w:hAnsi="Times New Roman" w:eastAsia="宋体" w:cs="Times New Roman"/>
                <w:b/>
                <w:bCs/>
                <w:color w:val="auto"/>
                <w:sz w:val="24"/>
                <w:highlight w:val="none"/>
                <w14:ligatures w14:val="none"/>
              </w:rPr>
              <w:t>供货厂家</w:t>
            </w:r>
          </w:p>
        </w:tc>
      </w:tr>
      <w:tr w14:paraId="15F96D5B">
        <w:tblPrEx>
          <w:tblCellMar>
            <w:top w:w="0" w:type="dxa"/>
            <w:left w:w="108" w:type="dxa"/>
            <w:bottom w:w="0" w:type="dxa"/>
            <w:right w:w="108" w:type="dxa"/>
          </w:tblCellMar>
        </w:tblPrEx>
        <w:tc>
          <w:tcPr>
            <w:tcW w:w="546" w:type="pct"/>
            <w:tcBorders>
              <w:top w:val="single" w:color="000000" w:sz="4" w:space="0"/>
              <w:left w:val="single" w:color="000000" w:sz="4" w:space="0"/>
              <w:bottom w:val="single" w:color="000000" w:sz="4" w:space="0"/>
              <w:right w:val="single" w:color="auto" w:sz="4" w:space="0"/>
            </w:tcBorders>
            <w:vAlign w:val="center"/>
          </w:tcPr>
          <w:p w14:paraId="0E93B274">
            <w:pPr>
              <w:spacing w:after="0" w:line="240" w:lineRule="auto"/>
              <w:jc w:val="center"/>
              <w:rPr>
                <w:rFonts w:ascii="Times New Roman" w:hAnsi="Times New Roman" w:eastAsia="宋体" w:cs="Times New Roman"/>
                <w:color w:val="auto"/>
                <w:sz w:val="24"/>
                <w:highlight w:val="none"/>
                <w14:ligatures w14:val="none"/>
              </w:rPr>
            </w:pPr>
            <w:r>
              <w:rPr>
                <w:rFonts w:ascii="Times New Roman" w:hAnsi="Times New Roman" w:eastAsia="宋体" w:cs="Times New Roman"/>
                <w:color w:val="auto"/>
                <w:sz w:val="24"/>
                <w:highlight w:val="none"/>
                <w14:ligatures w14:val="none"/>
              </w:rPr>
              <w:t>1</w:t>
            </w:r>
          </w:p>
        </w:tc>
        <w:tc>
          <w:tcPr>
            <w:tcW w:w="1763" w:type="pct"/>
            <w:tcBorders>
              <w:top w:val="single" w:color="000000" w:sz="4" w:space="0"/>
              <w:left w:val="single" w:color="auto" w:sz="4" w:space="0"/>
              <w:bottom w:val="single" w:color="000000" w:sz="4" w:space="0"/>
              <w:right w:val="single" w:color="000000" w:sz="4" w:space="0"/>
            </w:tcBorders>
            <w:vAlign w:val="center"/>
          </w:tcPr>
          <w:p w14:paraId="5331C3D0">
            <w:pPr>
              <w:spacing w:after="0" w:line="240" w:lineRule="auto"/>
              <w:rPr>
                <w:rFonts w:ascii="Times New Roman" w:hAnsi="Times New Roman" w:eastAsia="宋体" w:cs="Times New Roman"/>
                <w:color w:val="auto"/>
                <w:sz w:val="24"/>
                <w:highlight w:val="none"/>
                <w14:ligatures w14:val="none"/>
              </w:rPr>
            </w:pPr>
            <w:r>
              <w:rPr>
                <w:rFonts w:hint="eastAsia" w:ascii="Times New Roman" w:hAnsi="Times New Roman" w:eastAsia="宋体" w:cs="Times New Roman"/>
                <w:bCs/>
                <w:color w:val="auto"/>
                <w:spacing w:val="20"/>
                <w:sz w:val="24"/>
                <w:highlight w:val="none"/>
                <w14:ligatures w14:val="none"/>
              </w:rPr>
              <w:t>“一矿一策”会诊复查报告（16个地下矿山生产系统）</w:t>
            </w:r>
          </w:p>
        </w:tc>
        <w:tc>
          <w:tcPr>
            <w:tcW w:w="999" w:type="pct"/>
            <w:tcBorders>
              <w:top w:val="single" w:color="000000" w:sz="4" w:space="0"/>
              <w:left w:val="nil"/>
              <w:bottom w:val="single" w:color="000000" w:sz="4" w:space="0"/>
              <w:right w:val="single" w:color="000000" w:sz="4" w:space="0"/>
            </w:tcBorders>
            <w:vAlign w:val="center"/>
          </w:tcPr>
          <w:p w14:paraId="3731DAD4">
            <w:pPr>
              <w:spacing w:after="0" w:line="240" w:lineRule="auto"/>
              <w:jc w:val="center"/>
              <w:rPr>
                <w:rFonts w:ascii="Times New Roman" w:hAnsi="Times New Roman" w:eastAsia="宋体" w:cs="Times New Roman"/>
                <w:color w:val="auto"/>
                <w:sz w:val="24"/>
                <w:highlight w:val="none"/>
                <w14:ligatures w14:val="none"/>
              </w:rPr>
            </w:pPr>
            <w:r>
              <w:rPr>
                <w:rFonts w:ascii="Times New Roman" w:hAnsi="Times New Roman" w:eastAsia="宋体" w:cs="Times New Roman"/>
                <w:color w:val="auto"/>
                <w:sz w:val="24"/>
                <w:highlight w:val="none"/>
                <w14:ligatures w14:val="none"/>
              </w:rPr>
              <w:t>电子版（含word版和PDF版）</w:t>
            </w:r>
          </w:p>
        </w:tc>
        <w:tc>
          <w:tcPr>
            <w:tcW w:w="1036" w:type="pct"/>
            <w:tcBorders>
              <w:top w:val="single" w:color="000000" w:sz="4" w:space="0"/>
              <w:left w:val="nil"/>
              <w:bottom w:val="single" w:color="000000" w:sz="4" w:space="0"/>
              <w:right w:val="single" w:color="000000" w:sz="4" w:space="0"/>
            </w:tcBorders>
            <w:vAlign w:val="center"/>
          </w:tcPr>
          <w:p w14:paraId="0EA4CFCF">
            <w:pPr>
              <w:spacing w:after="0" w:line="240" w:lineRule="auto"/>
              <w:jc w:val="center"/>
              <w:rPr>
                <w:rFonts w:ascii="Times New Roman" w:hAnsi="Times New Roman" w:eastAsia="宋体" w:cs="Times New Roman"/>
                <w:color w:val="auto"/>
                <w:sz w:val="24"/>
                <w:highlight w:val="none"/>
                <w14:ligatures w14:val="none"/>
              </w:rPr>
            </w:pPr>
            <w:r>
              <w:rPr>
                <w:rFonts w:hint="eastAsia" w:ascii="Times New Roman" w:hAnsi="Times New Roman" w:eastAsia="宋体" w:cs="Times New Roman"/>
                <w:color w:val="auto"/>
                <w:sz w:val="24"/>
                <w:highlight w:val="none"/>
                <w14:ligatures w14:val="none"/>
              </w:rPr>
              <w:t>每个地下矿山生产系统</w:t>
            </w:r>
            <w:r>
              <w:rPr>
                <w:rFonts w:hint="eastAsia" w:ascii="Times New Roman" w:hAnsi="Times New Roman" w:eastAsia="宋体" w:cs="Times New Roman"/>
                <w:bCs/>
                <w:color w:val="auto"/>
                <w:sz w:val="24"/>
                <w:highlight w:val="none"/>
                <w14:ligatures w14:val="none"/>
              </w:rPr>
              <w:t>“一矿一策”会诊复查报告</w:t>
            </w:r>
            <w:r>
              <w:rPr>
                <w:rFonts w:hint="eastAsia" w:ascii="Times New Roman" w:hAnsi="Times New Roman" w:eastAsia="宋体" w:cs="Times New Roman"/>
                <w:color w:val="auto"/>
                <w:sz w:val="24"/>
                <w:highlight w:val="none"/>
                <w14:ligatures w14:val="none"/>
              </w:rPr>
              <w:t>提供5</w:t>
            </w:r>
            <w:r>
              <w:rPr>
                <w:rFonts w:ascii="Times New Roman" w:hAnsi="Times New Roman" w:eastAsia="宋体" w:cs="Times New Roman"/>
                <w:color w:val="auto"/>
                <w:sz w:val="24"/>
                <w:highlight w:val="none"/>
                <w14:ligatures w14:val="none"/>
              </w:rPr>
              <w:t>本纸质</w:t>
            </w:r>
            <w:r>
              <w:rPr>
                <w:rFonts w:hint="eastAsia" w:ascii="Times New Roman" w:hAnsi="Times New Roman" w:eastAsia="宋体" w:cs="Times New Roman"/>
                <w:color w:val="auto"/>
                <w:sz w:val="24"/>
                <w:highlight w:val="none"/>
                <w14:ligatures w14:val="none"/>
              </w:rPr>
              <w:t>盖章</w:t>
            </w:r>
            <w:r>
              <w:rPr>
                <w:rFonts w:ascii="Times New Roman" w:hAnsi="Times New Roman" w:eastAsia="宋体" w:cs="Times New Roman"/>
                <w:color w:val="auto"/>
                <w:sz w:val="24"/>
                <w:highlight w:val="none"/>
                <w14:ligatures w14:val="none"/>
              </w:rPr>
              <w:t>报告</w:t>
            </w:r>
            <w:r>
              <w:rPr>
                <w:rFonts w:hint="eastAsia" w:ascii="Times New Roman" w:hAnsi="Times New Roman" w:eastAsia="宋体" w:cs="Times New Roman"/>
                <w:color w:val="auto"/>
                <w:sz w:val="24"/>
                <w:highlight w:val="none"/>
                <w14:ligatures w14:val="none"/>
              </w:rPr>
              <w:t>，1份电子报告。</w:t>
            </w:r>
          </w:p>
        </w:tc>
        <w:tc>
          <w:tcPr>
            <w:tcW w:w="656" w:type="pct"/>
            <w:tcBorders>
              <w:top w:val="single" w:color="000000" w:sz="4" w:space="0"/>
              <w:left w:val="nil"/>
              <w:bottom w:val="single" w:color="000000" w:sz="4" w:space="0"/>
              <w:right w:val="single" w:color="000000" w:sz="4" w:space="0"/>
            </w:tcBorders>
            <w:vAlign w:val="center"/>
          </w:tcPr>
          <w:p w14:paraId="63C4F50A">
            <w:pPr>
              <w:spacing w:after="0" w:line="240" w:lineRule="auto"/>
              <w:jc w:val="center"/>
              <w:rPr>
                <w:rFonts w:ascii="Times New Roman" w:hAnsi="Times New Roman" w:eastAsia="宋体" w:cs="Times New Roman"/>
                <w:color w:val="auto"/>
                <w:sz w:val="24"/>
                <w:highlight w:val="none"/>
                <w14:ligatures w14:val="none"/>
              </w:rPr>
            </w:pPr>
          </w:p>
        </w:tc>
      </w:tr>
      <w:tr w14:paraId="7FF954FB">
        <w:tblPrEx>
          <w:tblCellMar>
            <w:top w:w="0" w:type="dxa"/>
            <w:left w:w="108" w:type="dxa"/>
            <w:bottom w:w="0" w:type="dxa"/>
            <w:right w:w="108" w:type="dxa"/>
          </w:tblCellMar>
        </w:tblPrEx>
        <w:tc>
          <w:tcPr>
            <w:tcW w:w="546" w:type="pct"/>
            <w:tcBorders>
              <w:top w:val="single" w:color="000000" w:sz="4" w:space="0"/>
              <w:left w:val="single" w:color="000000" w:sz="4" w:space="0"/>
              <w:bottom w:val="single" w:color="000000" w:sz="4" w:space="0"/>
              <w:right w:val="single" w:color="auto" w:sz="4" w:space="0"/>
            </w:tcBorders>
            <w:vAlign w:val="center"/>
          </w:tcPr>
          <w:p w14:paraId="1CE5050B">
            <w:pPr>
              <w:spacing w:after="0" w:line="240" w:lineRule="auto"/>
              <w:jc w:val="center"/>
              <w:rPr>
                <w:rFonts w:ascii="Times New Roman" w:hAnsi="Times New Roman" w:eastAsia="宋体" w:cs="Times New Roman"/>
                <w:color w:val="auto"/>
                <w:sz w:val="24"/>
                <w:highlight w:val="none"/>
                <w14:ligatures w14:val="none"/>
              </w:rPr>
            </w:pPr>
            <w:r>
              <w:rPr>
                <w:rFonts w:hint="eastAsia" w:ascii="Times New Roman" w:hAnsi="Times New Roman" w:eastAsia="宋体" w:cs="Times New Roman"/>
                <w:color w:val="auto"/>
                <w:sz w:val="24"/>
                <w:highlight w:val="none"/>
                <w14:ligatures w14:val="none"/>
              </w:rPr>
              <w:t>2</w:t>
            </w:r>
          </w:p>
        </w:tc>
        <w:tc>
          <w:tcPr>
            <w:tcW w:w="1763" w:type="pct"/>
            <w:tcBorders>
              <w:top w:val="single" w:color="000000" w:sz="4" w:space="0"/>
              <w:left w:val="single" w:color="auto" w:sz="4" w:space="0"/>
              <w:bottom w:val="single" w:color="000000" w:sz="4" w:space="0"/>
              <w:right w:val="single" w:color="000000" w:sz="4" w:space="0"/>
            </w:tcBorders>
            <w:vAlign w:val="center"/>
          </w:tcPr>
          <w:p w14:paraId="18FF2754">
            <w:pPr>
              <w:spacing w:after="0" w:line="240" w:lineRule="auto"/>
              <w:rPr>
                <w:rFonts w:ascii="Times New Roman" w:hAnsi="Times New Roman" w:eastAsia="宋体" w:cs="Times New Roman"/>
                <w:bCs/>
                <w:color w:val="auto"/>
                <w:spacing w:val="20"/>
                <w:sz w:val="24"/>
                <w:highlight w:val="none"/>
                <w14:ligatures w14:val="none"/>
              </w:rPr>
            </w:pPr>
            <w:r>
              <w:rPr>
                <w:rFonts w:hint="eastAsia" w:ascii="Times New Roman" w:hAnsi="Times New Roman" w:eastAsia="宋体" w:cs="Times New Roman"/>
                <w:bCs/>
                <w:color w:val="auto"/>
                <w:spacing w:val="20"/>
                <w:sz w:val="24"/>
                <w:highlight w:val="none"/>
                <w14:ligatures w14:val="none"/>
              </w:rPr>
              <w:t>灵宝市矿山领域整体工作建议（3-5年内短、中、长期安全生产规划）</w:t>
            </w:r>
          </w:p>
        </w:tc>
        <w:tc>
          <w:tcPr>
            <w:tcW w:w="999" w:type="pct"/>
            <w:tcBorders>
              <w:top w:val="single" w:color="000000" w:sz="4" w:space="0"/>
              <w:left w:val="nil"/>
              <w:bottom w:val="single" w:color="000000" w:sz="4" w:space="0"/>
              <w:right w:val="single" w:color="000000" w:sz="4" w:space="0"/>
            </w:tcBorders>
            <w:vAlign w:val="center"/>
          </w:tcPr>
          <w:p w14:paraId="0F947B10">
            <w:pPr>
              <w:spacing w:after="0" w:line="240" w:lineRule="auto"/>
              <w:jc w:val="center"/>
              <w:rPr>
                <w:rFonts w:ascii="Times New Roman" w:hAnsi="Times New Roman" w:eastAsia="宋体" w:cs="Times New Roman"/>
                <w:color w:val="auto"/>
                <w:sz w:val="24"/>
                <w:highlight w:val="none"/>
                <w14:ligatures w14:val="none"/>
              </w:rPr>
            </w:pPr>
            <w:r>
              <w:rPr>
                <w:rFonts w:ascii="Times New Roman" w:hAnsi="Times New Roman" w:eastAsia="宋体" w:cs="Times New Roman"/>
                <w:color w:val="auto"/>
                <w:sz w:val="24"/>
                <w:highlight w:val="none"/>
                <w14:ligatures w14:val="none"/>
              </w:rPr>
              <w:t>电子版（含word版和PDF版）</w:t>
            </w:r>
          </w:p>
        </w:tc>
        <w:tc>
          <w:tcPr>
            <w:tcW w:w="1036" w:type="pct"/>
            <w:tcBorders>
              <w:top w:val="single" w:color="000000" w:sz="4" w:space="0"/>
              <w:left w:val="nil"/>
              <w:bottom w:val="single" w:color="000000" w:sz="4" w:space="0"/>
              <w:right w:val="single" w:color="000000" w:sz="4" w:space="0"/>
            </w:tcBorders>
            <w:vAlign w:val="center"/>
          </w:tcPr>
          <w:p w14:paraId="4E41DB78">
            <w:pPr>
              <w:spacing w:after="0" w:line="240" w:lineRule="auto"/>
              <w:jc w:val="center"/>
              <w:rPr>
                <w:rFonts w:ascii="Times New Roman" w:hAnsi="Times New Roman" w:eastAsia="宋体" w:cs="Times New Roman"/>
                <w:color w:val="auto"/>
                <w:sz w:val="24"/>
                <w:highlight w:val="none"/>
                <w14:ligatures w14:val="none"/>
              </w:rPr>
            </w:pPr>
            <w:r>
              <w:rPr>
                <w:rFonts w:hint="eastAsia" w:ascii="Times New Roman" w:hAnsi="Times New Roman" w:eastAsia="宋体" w:cs="Times New Roman"/>
                <w:color w:val="auto"/>
                <w:sz w:val="24"/>
                <w:highlight w:val="none"/>
                <w14:ligatures w14:val="none"/>
              </w:rPr>
              <w:t>提供5</w:t>
            </w:r>
            <w:r>
              <w:rPr>
                <w:rFonts w:ascii="Times New Roman" w:hAnsi="Times New Roman" w:eastAsia="宋体" w:cs="Times New Roman"/>
                <w:color w:val="auto"/>
                <w:sz w:val="24"/>
                <w:highlight w:val="none"/>
                <w14:ligatures w14:val="none"/>
              </w:rPr>
              <w:t>本纸质</w:t>
            </w:r>
            <w:r>
              <w:rPr>
                <w:rFonts w:hint="eastAsia" w:ascii="Times New Roman" w:hAnsi="Times New Roman" w:eastAsia="宋体" w:cs="Times New Roman"/>
                <w:color w:val="auto"/>
                <w:sz w:val="24"/>
                <w:highlight w:val="none"/>
                <w14:ligatures w14:val="none"/>
              </w:rPr>
              <w:t>建议书，1份</w:t>
            </w:r>
            <w:r>
              <w:rPr>
                <w:rFonts w:ascii="Times New Roman" w:hAnsi="Times New Roman" w:eastAsia="宋体" w:cs="Times New Roman"/>
                <w:color w:val="auto"/>
                <w:sz w:val="24"/>
                <w:highlight w:val="none"/>
                <w14:ligatures w14:val="none"/>
              </w:rPr>
              <w:t>电子</w:t>
            </w:r>
            <w:r>
              <w:rPr>
                <w:rFonts w:hint="eastAsia" w:ascii="Times New Roman" w:hAnsi="Times New Roman" w:eastAsia="宋体" w:cs="Times New Roman"/>
                <w:color w:val="auto"/>
                <w:sz w:val="24"/>
                <w:highlight w:val="none"/>
                <w14:ligatures w14:val="none"/>
              </w:rPr>
              <w:t>文件</w:t>
            </w:r>
            <w:r>
              <w:rPr>
                <w:rFonts w:ascii="Times New Roman" w:hAnsi="Times New Roman" w:eastAsia="宋体" w:cs="Times New Roman"/>
                <w:color w:val="auto"/>
                <w:sz w:val="24"/>
                <w:highlight w:val="none"/>
                <w14:ligatures w14:val="none"/>
              </w:rPr>
              <w:t>。</w:t>
            </w:r>
          </w:p>
        </w:tc>
        <w:tc>
          <w:tcPr>
            <w:tcW w:w="656" w:type="pct"/>
            <w:tcBorders>
              <w:top w:val="single" w:color="000000" w:sz="4" w:space="0"/>
              <w:left w:val="nil"/>
              <w:bottom w:val="single" w:color="000000" w:sz="4" w:space="0"/>
              <w:right w:val="single" w:color="000000" w:sz="4" w:space="0"/>
            </w:tcBorders>
            <w:vAlign w:val="center"/>
          </w:tcPr>
          <w:p w14:paraId="4F8D6F72">
            <w:pPr>
              <w:spacing w:after="0" w:line="240" w:lineRule="auto"/>
              <w:jc w:val="center"/>
              <w:rPr>
                <w:rFonts w:ascii="Times New Roman" w:hAnsi="Times New Roman" w:eastAsia="宋体" w:cs="Times New Roman"/>
                <w:color w:val="auto"/>
                <w:sz w:val="24"/>
                <w:highlight w:val="none"/>
                <w14:ligatures w14:val="none"/>
              </w:rPr>
            </w:pPr>
          </w:p>
        </w:tc>
      </w:tr>
    </w:tbl>
    <w:p w14:paraId="3AB5F793">
      <w:pPr>
        <w:spacing w:after="0" w:line="360" w:lineRule="auto"/>
        <w:jc w:val="both"/>
        <w:outlineLvl w:val="1"/>
        <w:rPr>
          <w:rFonts w:ascii="Times New Roman" w:hAnsi="Times New Roman" w:eastAsia="宋体" w:cs="Times New Roman"/>
          <w:b/>
          <w:color w:val="auto"/>
          <w:sz w:val="24"/>
          <w:highlight w:val="none"/>
          <w14:ligatures w14:val="none"/>
        </w:rPr>
      </w:pPr>
      <w:bookmarkStart w:id="24" w:name="_Toc10821"/>
      <w:bookmarkStart w:id="25" w:name="_Toc2790"/>
      <w:r>
        <w:rPr>
          <w:rFonts w:ascii="Times New Roman" w:hAnsi="Times New Roman" w:eastAsia="宋体" w:cs="Times New Roman"/>
          <w:b/>
          <w:color w:val="auto"/>
          <w:sz w:val="24"/>
          <w:highlight w:val="none"/>
          <w14:ligatures w14:val="none"/>
        </w:rPr>
        <w:t>四、交货地点及交货时间</w:t>
      </w:r>
      <w:bookmarkEnd w:id="24"/>
      <w:bookmarkEnd w:id="25"/>
    </w:p>
    <w:p w14:paraId="5E2DDF03">
      <w:pPr>
        <w:spacing w:after="0" w:line="460" w:lineRule="exact"/>
        <w:ind w:firstLine="480" w:firstLineChars="200"/>
        <w:jc w:val="both"/>
        <w:rPr>
          <w:rFonts w:ascii="Times New Roman" w:hAnsi="Times New Roman" w:eastAsia="宋体" w:cs="Times New Roman"/>
          <w:color w:val="auto"/>
          <w:sz w:val="24"/>
          <w:highlight w:val="none"/>
          <w14:ligatures w14:val="none"/>
        </w:rPr>
      </w:pPr>
      <w:r>
        <w:rPr>
          <w:rFonts w:hint="eastAsia" w:ascii="Times New Roman" w:hAnsi="Times New Roman" w:eastAsia="宋体" w:cs="Times New Roman"/>
          <w:color w:val="auto"/>
          <w:sz w:val="24"/>
          <w:highlight w:val="none"/>
          <w:lang w:val="en-US" w:eastAsia="zh-CN"/>
          <w14:ligatures w14:val="none"/>
        </w:rPr>
        <w:t>服务期</w:t>
      </w:r>
      <w:r>
        <w:rPr>
          <w:rFonts w:ascii="Times New Roman" w:hAnsi="Times New Roman" w:eastAsia="宋体" w:cs="Times New Roman"/>
          <w:color w:val="auto"/>
          <w:sz w:val="24"/>
          <w:highlight w:val="none"/>
          <w14:ligatures w14:val="none"/>
        </w:rPr>
        <w:t>期：</w:t>
      </w:r>
      <w:r>
        <w:rPr>
          <w:rFonts w:hint="eastAsia" w:ascii="Times New Roman" w:hAnsi="Times New Roman" w:eastAsia="宋体" w:cs="Times New Roman"/>
          <w:color w:val="auto"/>
          <w:sz w:val="24"/>
          <w:highlight w:val="none"/>
          <w14:ligatures w14:val="none"/>
        </w:rPr>
        <w:t>合同签订后1</w:t>
      </w:r>
      <w:r>
        <w:rPr>
          <w:rFonts w:ascii="Times New Roman" w:hAnsi="Times New Roman" w:eastAsia="宋体" w:cs="Times New Roman"/>
          <w:color w:val="auto"/>
          <w:sz w:val="24"/>
          <w:highlight w:val="none"/>
          <w14:ligatures w14:val="none"/>
        </w:rPr>
        <w:t>个月内完成</w:t>
      </w:r>
      <w:r>
        <w:rPr>
          <w:rFonts w:hint="eastAsia" w:ascii="Times New Roman" w:hAnsi="Times New Roman" w:eastAsia="宋体" w:cs="Times New Roman"/>
          <w:color w:val="auto"/>
          <w:sz w:val="24"/>
          <w:highlight w:val="none"/>
          <w14:ligatures w14:val="none"/>
        </w:rPr>
        <w:t>灵宝市16</w:t>
      </w:r>
      <w:r>
        <w:rPr>
          <w:rFonts w:ascii="Times New Roman" w:hAnsi="Times New Roman" w:eastAsia="宋体" w:cs="Times New Roman"/>
          <w:color w:val="auto"/>
          <w:sz w:val="24"/>
          <w:highlight w:val="none"/>
          <w14:ligatures w14:val="none"/>
        </w:rPr>
        <w:t>个地下矿山生产系统</w:t>
      </w:r>
      <w:r>
        <w:rPr>
          <w:rFonts w:hint="eastAsia" w:ascii="Times New Roman" w:hAnsi="Times New Roman" w:eastAsia="宋体" w:cs="Times New Roman"/>
          <w:color w:val="auto"/>
          <w:sz w:val="24"/>
          <w:highlight w:val="none"/>
          <w14:ligatures w14:val="none"/>
        </w:rPr>
        <w:t>非煤矿山</w:t>
      </w:r>
      <w:r>
        <w:rPr>
          <w:rFonts w:ascii="Times New Roman" w:hAnsi="Times New Roman" w:eastAsia="宋体" w:cs="Times New Roman"/>
          <w:color w:val="auto"/>
          <w:sz w:val="24"/>
          <w:highlight w:val="none"/>
          <w14:ligatures w14:val="none"/>
        </w:rPr>
        <w:t>现场核查，</w:t>
      </w:r>
      <w:r>
        <w:rPr>
          <w:rFonts w:hint="eastAsia" w:ascii="Times New Roman" w:hAnsi="Times New Roman" w:eastAsia="宋体" w:cs="Times New Roman"/>
          <w:color w:val="auto"/>
          <w:sz w:val="24"/>
          <w:highlight w:val="none"/>
          <w14:ligatures w14:val="none"/>
        </w:rPr>
        <w:t>3</w:t>
      </w:r>
      <w:r>
        <w:rPr>
          <w:rFonts w:ascii="Times New Roman" w:hAnsi="Times New Roman" w:eastAsia="宋体" w:cs="Times New Roman"/>
          <w:color w:val="auto"/>
          <w:sz w:val="24"/>
          <w:highlight w:val="none"/>
          <w14:ligatures w14:val="none"/>
        </w:rPr>
        <w:t>个月内</w:t>
      </w:r>
      <w:r>
        <w:rPr>
          <w:rFonts w:hint="eastAsia" w:ascii="Times New Roman" w:hAnsi="Times New Roman" w:eastAsia="宋体" w:cs="Times New Roman"/>
          <w:color w:val="auto"/>
          <w:sz w:val="24"/>
          <w:highlight w:val="none"/>
          <w14:ligatures w14:val="none"/>
        </w:rPr>
        <w:t>完成“一矿一策”会诊复查报告编制并结项</w:t>
      </w:r>
      <w:r>
        <w:rPr>
          <w:rFonts w:ascii="Times New Roman" w:hAnsi="Times New Roman" w:eastAsia="宋体" w:cs="Times New Roman"/>
          <w:color w:val="auto"/>
          <w:sz w:val="24"/>
          <w:highlight w:val="none"/>
          <w14:ligatures w14:val="none"/>
        </w:rPr>
        <w:t>。</w:t>
      </w:r>
    </w:p>
    <w:p w14:paraId="1B0AD715">
      <w:pPr>
        <w:spacing w:after="0" w:line="360" w:lineRule="auto"/>
        <w:jc w:val="both"/>
        <w:outlineLvl w:val="1"/>
        <w:rPr>
          <w:rFonts w:ascii="Times New Roman" w:hAnsi="Times New Roman" w:eastAsia="宋体" w:cs="Times New Roman"/>
          <w:b/>
          <w:color w:val="auto"/>
          <w:sz w:val="24"/>
          <w:highlight w:val="none"/>
          <w14:ligatures w14:val="none"/>
        </w:rPr>
      </w:pPr>
      <w:bookmarkStart w:id="26" w:name="_Toc6274"/>
      <w:r>
        <w:rPr>
          <w:rFonts w:ascii="Times New Roman" w:hAnsi="Times New Roman" w:eastAsia="宋体" w:cs="Times New Roman"/>
          <w:b/>
          <w:color w:val="auto"/>
          <w:sz w:val="24"/>
          <w:highlight w:val="none"/>
          <w14:ligatures w14:val="none"/>
        </w:rPr>
        <w:t>五、</w:t>
      </w:r>
      <w:r>
        <w:rPr>
          <w:rFonts w:hint="eastAsia" w:ascii="Times New Roman" w:hAnsi="Times New Roman" w:eastAsia="宋体" w:cs="Times New Roman"/>
          <w:b/>
          <w:color w:val="auto"/>
          <w:sz w:val="24"/>
          <w:highlight w:val="none"/>
          <w:lang w:val="en-US" w:eastAsia="zh-CN"/>
          <w14:ligatures w14:val="none"/>
        </w:rPr>
        <w:t>乙</w:t>
      </w:r>
      <w:r>
        <w:rPr>
          <w:rFonts w:ascii="Times New Roman" w:hAnsi="Times New Roman" w:eastAsia="宋体" w:cs="Times New Roman"/>
          <w:b/>
          <w:color w:val="auto"/>
          <w:sz w:val="24"/>
          <w:highlight w:val="none"/>
          <w14:ligatures w14:val="none"/>
        </w:rPr>
        <w:t>方责任</w:t>
      </w:r>
      <w:bookmarkEnd w:id="26"/>
    </w:p>
    <w:p w14:paraId="09E9F468">
      <w:pPr>
        <w:spacing w:after="0" w:line="460" w:lineRule="exact"/>
        <w:ind w:firstLine="480" w:firstLineChars="200"/>
        <w:jc w:val="both"/>
        <w:rPr>
          <w:rFonts w:ascii="Times New Roman" w:hAnsi="Times New Roman" w:eastAsia="宋体" w:cs="Times New Roman"/>
          <w:color w:val="auto"/>
          <w:sz w:val="24"/>
          <w:highlight w:val="none"/>
          <w14:ligatures w14:val="none"/>
        </w:rPr>
      </w:pPr>
      <w:r>
        <w:rPr>
          <w:rFonts w:ascii="Times New Roman" w:hAnsi="Times New Roman" w:eastAsia="宋体" w:cs="Times New Roman"/>
          <w:color w:val="auto"/>
          <w:sz w:val="24"/>
          <w:highlight w:val="none"/>
          <w14:ligatures w14:val="none"/>
        </w:rPr>
        <w:t>1、满足技术要求：详见“服务的技术要求”。</w:t>
      </w:r>
    </w:p>
    <w:p w14:paraId="6F5200F6">
      <w:pPr>
        <w:spacing w:after="0" w:line="460" w:lineRule="exact"/>
        <w:ind w:firstLine="480" w:firstLineChars="200"/>
        <w:jc w:val="both"/>
        <w:rPr>
          <w:rFonts w:ascii="Times New Roman" w:hAnsi="Times New Roman" w:eastAsia="宋体" w:cs="Times New Roman"/>
          <w:color w:val="auto"/>
          <w:sz w:val="24"/>
          <w:highlight w:val="none"/>
          <w14:ligatures w14:val="none"/>
        </w:rPr>
      </w:pPr>
      <w:r>
        <w:rPr>
          <w:rFonts w:ascii="Times New Roman" w:hAnsi="Times New Roman" w:eastAsia="宋体" w:cs="Times New Roman"/>
          <w:color w:val="auto"/>
          <w:sz w:val="24"/>
          <w:highlight w:val="none"/>
          <w14:ligatures w14:val="none"/>
        </w:rPr>
        <w:t>2、服务内容保证全面，无遗漏。</w:t>
      </w:r>
    </w:p>
    <w:p w14:paraId="51E65903">
      <w:pPr>
        <w:spacing w:after="0" w:line="460" w:lineRule="exact"/>
        <w:ind w:firstLine="480" w:firstLineChars="200"/>
        <w:jc w:val="both"/>
        <w:rPr>
          <w:rFonts w:ascii="Times New Roman" w:hAnsi="Times New Roman" w:eastAsia="宋体" w:cs="Times New Roman"/>
          <w:color w:val="auto"/>
          <w:sz w:val="24"/>
          <w:szCs w:val="32"/>
          <w:highlight w:val="none"/>
          <w14:ligatures w14:val="none"/>
        </w:rPr>
      </w:pPr>
      <w:r>
        <w:rPr>
          <w:rFonts w:hint="eastAsia" w:ascii="Times New Roman" w:hAnsi="Times New Roman" w:eastAsia="宋体" w:cs="Times New Roman"/>
          <w:color w:val="auto"/>
          <w:sz w:val="24"/>
          <w:highlight w:val="none"/>
          <w14:ligatures w14:val="none"/>
        </w:rPr>
        <w:t>3</w:t>
      </w:r>
      <w:r>
        <w:rPr>
          <w:rFonts w:ascii="Times New Roman" w:hAnsi="Times New Roman" w:eastAsia="宋体" w:cs="Times New Roman"/>
          <w:color w:val="auto"/>
          <w:sz w:val="24"/>
          <w:highlight w:val="none"/>
          <w14:ligatures w14:val="none"/>
        </w:rPr>
        <w:t>、对现场及其周边环境、所有有关的数据资料进行了解。</w:t>
      </w:r>
    </w:p>
    <w:p w14:paraId="0CF1B317">
      <w:pPr>
        <w:spacing w:after="0" w:line="360" w:lineRule="auto"/>
        <w:jc w:val="both"/>
        <w:outlineLvl w:val="1"/>
        <w:rPr>
          <w:rFonts w:ascii="Times New Roman" w:hAnsi="Times New Roman" w:eastAsia="宋体" w:cs="Times New Roman"/>
          <w:b/>
          <w:color w:val="auto"/>
          <w:sz w:val="24"/>
          <w:highlight w:val="none"/>
          <w14:ligatures w14:val="none"/>
        </w:rPr>
      </w:pPr>
      <w:bookmarkStart w:id="27" w:name="_Toc31123"/>
      <w:r>
        <w:rPr>
          <w:rFonts w:ascii="Times New Roman" w:hAnsi="Times New Roman" w:eastAsia="宋体" w:cs="Times New Roman"/>
          <w:b/>
          <w:color w:val="auto"/>
          <w:sz w:val="24"/>
          <w:highlight w:val="none"/>
          <w14:ligatures w14:val="none"/>
        </w:rPr>
        <w:t>六、</w:t>
      </w:r>
      <w:r>
        <w:rPr>
          <w:rFonts w:hint="eastAsia" w:ascii="Times New Roman" w:hAnsi="Times New Roman" w:eastAsia="宋体" w:cs="Times New Roman"/>
          <w:b/>
          <w:color w:val="auto"/>
          <w:sz w:val="24"/>
          <w:highlight w:val="none"/>
          <w:lang w:val="en-US" w:eastAsia="zh-CN"/>
          <w14:ligatures w14:val="none"/>
        </w:rPr>
        <w:t>甲</w:t>
      </w:r>
      <w:r>
        <w:rPr>
          <w:rFonts w:ascii="Times New Roman" w:hAnsi="Times New Roman" w:eastAsia="宋体" w:cs="Times New Roman"/>
          <w:b/>
          <w:color w:val="auto"/>
          <w:sz w:val="24"/>
          <w:highlight w:val="none"/>
          <w14:ligatures w14:val="none"/>
        </w:rPr>
        <w:t>方责任</w:t>
      </w:r>
      <w:bookmarkEnd w:id="27"/>
    </w:p>
    <w:p w14:paraId="2F703B85">
      <w:pPr>
        <w:spacing w:after="0" w:line="460" w:lineRule="exact"/>
        <w:ind w:firstLine="480" w:firstLineChars="200"/>
        <w:jc w:val="both"/>
        <w:rPr>
          <w:rFonts w:ascii="Times New Roman" w:hAnsi="Times New Roman" w:eastAsia="宋体" w:cs="Times New Roman"/>
          <w:color w:val="auto"/>
          <w:sz w:val="24"/>
          <w:highlight w:val="none"/>
          <w14:ligatures w14:val="none"/>
        </w:rPr>
      </w:pPr>
      <w:r>
        <w:rPr>
          <w:rFonts w:ascii="Times New Roman" w:hAnsi="Times New Roman" w:eastAsia="宋体" w:cs="Times New Roman"/>
          <w:color w:val="auto"/>
          <w:sz w:val="24"/>
          <w:highlight w:val="none"/>
          <w14:ligatures w14:val="none"/>
        </w:rPr>
        <w:t>1、提供基础资料及相应报告等文件，并对其完整性、正确性及时限负责。</w:t>
      </w:r>
    </w:p>
    <w:p w14:paraId="7FA81FB3">
      <w:pPr>
        <w:spacing w:after="0" w:line="460" w:lineRule="exact"/>
        <w:ind w:firstLine="480" w:firstLineChars="200"/>
        <w:jc w:val="both"/>
        <w:rPr>
          <w:rFonts w:ascii="Times New Roman" w:hAnsi="Times New Roman" w:eastAsia="宋体" w:cs="Times New Roman"/>
          <w:color w:val="auto"/>
          <w:sz w:val="24"/>
          <w:highlight w:val="none"/>
          <w14:ligatures w14:val="none"/>
        </w:rPr>
      </w:pPr>
      <w:r>
        <w:rPr>
          <w:rFonts w:ascii="Times New Roman" w:hAnsi="Times New Roman" w:eastAsia="宋体" w:cs="Times New Roman"/>
          <w:color w:val="auto"/>
          <w:sz w:val="24"/>
          <w:highlight w:val="none"/>
          <w14:ligatures w14:val="none"/>
        </w:rPr>
        <w:t>2、提供相应的工作条件，并协助进行必要的现场指导。</w:t>
      </w:r>
    </w:p>
    <w:p w14:paraId="5C60EB93">
      <w:pPr>
        <w:spacing w:after="0" w:line="460" w:lineRule="exact"/>
        <w:ind w:firstLine="480" w:firstLineChars="200"/>
        <w:jc w:val="both"/>
        <w:rPr>
          <w:rFonts w:ascii="Times New Roman" w:hAnsi="Times New Roman" w:eastAsia="宋体" w:cs="Times New Roman"/>
          <w:color w:val="auto"/>
          <w:sz w:val="24"/>
          <w:highlight w:val="none"/>
          <w14:ligatures w14:val="none"/>
        </w:rPr>
      </w:pPr>
      <w:r>
        <w:rPr>
          <w:rFonts w:ascii="Times New Roman" w:hAnsi="Times New Roman" w:eastAsia="宋体" w:cs="Times New Roman"/>
          <w:color w:val="auto"/>
          <w:sz w:val="24"/>
          <w:highlight w:val="none"/>
          <w14:ligatures w14:val="none"/>
        </w:rPr>
        <w:t>3、负责审查</w:t>
      </w:r>
      <w:r>
        <w:rPr>
          <w:rFonts w:hint="eastAsia" w:ascii="Times New Roman" w:hAnsi="Times New Roman" w:eastAsia="宋体" w:cs="Times New Roman"/>
          <w:color w:val="auto"/>
          <w:sz w:val="24"/>
          <w:highlight w:val="none"/>
          <w:lang w:val="en-US" w:eastAsia="zh-CN"/>
          <w14:ligatures w14:val="none"/>
        </w:rPr>
        <w:t>乙</w:t>
      </w:r>
      <w:r>
        <w:rPr>
          <w:rFonts w:ascii="Times New Roman" w:hAnsi="Times New Roman" w:eastAsia="宋体" w:cs="Times New Roman"/>
          <w:color w:val="auto"/>
          <w:sz w:val="24"/>
          <w:highlight w:val="none"/>
          <w14:ligatures w14:val="none"/>
        </w:rPr>
        <w:t>方报告编制资料和文件，有权提出异议和改进意见。</w:t>
      </w:r>
    </w:p>
    <w:p w14:paraId="0D3A5FDD">
      <w:pPr>
        <w:spacing w:after="0" w:line="360" w:lineRule="auto"/>
        <w:jc w:val="both"/>
        <w:outlineLvl w:val="1"/>
        <w:rPr>
          <w:rFonts w:ascii="Times New Roman" w:hAnsi="Times New Roman" w:eastAsia="宋体" w:cs="Times New Roman"/>
          <w:b/>
          <w:color w:val="auto"/>
          <w:sz w:val="24"/>
          <w:highlight w:val="none"/>
          <w14:ligatures w14:val="none"/>
        </w:rPr>
      </w:pPr>
      <w:bookmarkStart w:id="28" w:name="_Toc12953"/>
      <w:bookmarkStart w:id="29" w:name="_Toc9251"/>
      <w:r>
        <w:rPr>
          <w:rFonts w:ascii="Times New Roman" w:hAnsi="Times New Roman" w:eastAsia="宋体" w:cs="Times New Roman"/>
          <w:b/>
          <w:color w:val="auto"/>
          <w:sz w:val="24"/>
          <w:highlight w:val="none"/>
          <w14:ligatures w14:val="none"/>
        </w:rPr>
        <w:t>七、验收</w:t>
      </w:r>
      <w:bookmarkEnd w:id="28"/>
      <w:bookmarkEnd w:id="29"/>
    </w:p>
    <w:p w14:paraId="137C659F">
      <w:pPr>
        <w:spacing w:after="0" w:line="460" w:lineRule="exact"/>
        <w:ind w:firstLine="480" w:firstLineChars="200"/>
        <w:jc w:val="both"/>
        <w:rPr>
          <w:rFonts w:ascii="Times New Roman" w:hAnsi="Times New Roman" w:eastAsia="宋体" w:cs="Times New Roman"/>
          <w:color w:val="auto"/>
          <w:sz w:val="24"/>
          <w:highlight w:val="none"/>
          <w14:ligatures w14:val="none"/>
        </w:rPr>
      </w:pPr>
      <w:r>
        <w:rPr>
          <w:rFonts w:ascii="Times New Roman" w:hAnsi="Times New Roman" w:eastAsia="宋体" w:cs="Times New Roman"/>
          <w:color w:val="auto"/>
          <w:sz w:val="24"/>
          <w:highlight w:val="none"/>
          <w14:ligatures w14:val="none"/>
        </w:rPr>
        <w:t>1、验收要求：中标人按照招标人的技术要求完成对应的服务内容，货物要达到招标人规定的要求。</w:t>
      </w:r>
    </w:p>
    <w:p w14:paraId="65672260">
      <w:pPr>
        <w:spacing w:after="0" w:line="460" w:lineRule="exact"/>
        <w:ind w:firstLine="480" w:firstLineChars="200"/>
        <w:jc w:val="both"/>
        <w:rPr>
          <w:rFonts w:ascii="Courier New" w:hAnsi="Courier New" w:eastAsia="宋体" w:cs="Times New Roman"/>
          <w:color w:val="auto"/>
          <w:sz w:val="24"/>
          <w:szCs w:val="22"/>
          <w:highlight w:val="none"/>
          <w14:ligatures w14:val="none"/>
        </w:rPr>
      </w:pPr>
      <w:r>
        <w:rPr>
          <w:rFonts w:ascii="Times New Roman" w:hAnsi="Times New Roman" w:eastAsia="宋体" w:cs="Times New Roman"/>
          <w:color w:val="auto"/>
          <w:sz w:val="24"/>
          <w:highlight w:val="none"/>
          <w14:ligatures w14:val="none"/>
        </w:rPr>
        <w:t>2、验收标准、方法及提出异议的期限：以</w:t>
      </w:r>
      <w:r>
        <w:rPr>
          <w:rFonts w:hint="eastAsia" w:ascii="Times New Roman" w:hAnsi="Times New Roman" w:eastAsia="宋体" w:cs="Times New Roman"/>
          <w:color w:val="auto"/>
          <w:sz w:val="24"/>
          <w:highlight w:val="none"/>
          <w14:ligatures w14:val="none"/>
        </w:rPr>
        <w:t>甲方审查验收</w:t>
      </w:r>
      <w:r>
        <w:rPr>
          <w:rFonts w:ascii="Times New Roman" w:hAnsi="Times New Roman" w:eastAsia="宋体" w:cs="Times New Roman"/>
          <w:color w:val="auto"/>
          <w:sz w:val="24"/>
          <w:highlight w:val="none"/>
          <w14:ligatures w14:val="none"/>
        </w:rPr>
        <w:t>为标准进行检验，</w:t>
      </w:r>
      <w:r>
        <w:rPr>
          <w:rFonts w:hint="eastAsia" w:ascii="Times New Roman" w:hAnsi="Times New Roman" w:eastAsia="宋体" w:cs="Times New Roman"/>
          <w:color w:val="auto"/>
          <w:sz w:val="24"/>
          <w:highlight w:val="none"/>
          <w14:ligatures w14:val="none"/>
        </w:rPr>
        <w:t>若</w:t>
      </w:r>
      <w:r>
        <w:rPr>
          <w:rFonts w:ascii="Times New Roman" w:hAnsi="Times New Roman" w:eastAsia="宋体" w:cs="Times New Roman"/>
          <w:color w:val="auto"/>
          <w:sz w:val="24"/>
          <w:highlight w:val="none"/>
          <w14:ligatures w14:val="none"/>
        </w:rPr>
        <w:t>发现质量问题应向中标人提交书面检验报告和质量异议书。</w:t>
      </w:r>
    </w:p>
    <w:p w14:paraId="409EB908">
      <w:pPr>
        <w:spacing w:after="0" w:line="360" w:lineRule="auto"/>
        <w:jc w:val="both"/>
        <w:outlineLvl w:val="1"/>
        <w:rPr>
          <w:rFonts w:ascii="Times New Roman" w:hAnsi="Times New Roman" w:eastAsia="宋体" w:cs="Times New Roman"/>
          <w:b/>
          <w:color w:val="auto"/>
          <w:sz w:val="24"/>
          <w:highlight w:val="none"/>
          <w14:ligatures w14:val="none"/>
        </w:rPr>
      </w:pPr>
      <w:bookmarkStart w:id="30" w:name="_Toc8694"/>
      <w:bookmarkStart w:id="31" w:name="_Toc14553"/>
      <w:r>
        <w:rPr>
          <w:rFonts w:ascii="Times New Roman" w:hAnsi="Times New Roman" w:eastAsia="宋体" w:cs="Times New Roman"/>
          <w:b/>
          <w:color w:val="auto"/>
          <w:sz w:val="24"/>
          <w:highlight w:val="none"/>
          <w14:ligatures w14:val="none"/>
        </w:rPr>
        <w:t>八、付款条件与方式</w:t>
      </w:r>
      <w:bookmarkEnd w:id="30"/>
      <w:bookmarkEnd w:id="31"/>
    </w:p>
    <w:p w14:paraId="242D40EC">
      <w:pPr>
        <w:spacing w:after="0" w:line="460" w:lineRule="exact"/>
        <w:ind w:firstLine="480" w:firstLineChars="200"/>
        <w:jc w:val="both"/>
        <w:rPr>
          <w:rFonts w:ascii="Times New Roman" w:hAnsi="Times New Roman" w:eastAsia="宋体" w:cs="Times New Roman"/>
          <w:color w:val="auto"/>
          <w:sz w:val="24"/>
          <w:highlight w:val="none"/>
          <w14:ligatures w14:val="none"/>
        </w:rPr>
      </w:pPr>
      <w:r>
        <w:rPr>
          <w:rFonts w:ascii="Times New Roman" w:hAnsi="Times New Roman" w:eastAsia="宋体" w:cs="Times New Roman"/>
          <w:color w:val="auto"/>
          <w:sz w:val="24"/>
          <w:highlight w:val="none"/>
          <w14:ligatures w14:val="none"/>
        </w:rPr>
        <w:t>1、付款条件：确定中标人后1</w:t>
      </w:r>
      <w:r>
        <w:rPr>
          <w:rFonts w:hint="eastAsia" w:ascii="Times New Roman" w:hAnsi="Times New Roman" w:eastAsia="宋体" w:cs="Times New Roman"/>
          <w:color w:val="auto"/>
          <w:sz w:val="24"/>
          <w:highlight w:val="none"/>
          <w14:ligatures w14:val="none"/>
        </w:rPr>
        <w:t>0个工作</w:t>
      </w:r>
      <w:r>
        <w:rPr>
          <w:rFonts w:ascii="Times New Roman" w:hAnsi="Times New Roman" w:eastAsia="宋体" w:cs="Times New Roman"/>
          <w:color w:val="auto"/>
          <w:sz w:val="24"/>
          <w:highlight w:val="none"/>
          <w14:ligatures w14:val="none"/>
        </w:rPr>
        <w:t>日内完成合同签订，合同签订</w:t>
      </w:r>
      <w:r>
        <w:rPr>
          <w:rFonts w:hint="eastAsia" w:ascii="Times New Roman" w:hAnsi="Times New Roman" w:eastAsia="宋体" w:cs="Times New Roman"/>
          <w:color w:val="auto"/>
          <w:sz w:val="24"/>
          <w:highlight w:val="none"/>
          <w14:ligatures w14:val="none"/>
        </w:rPr>
        <w:t>后</w:t>
      </w:r>
      <w:r>
        <w:rPr>
          <w:rFonts w:ascii="Times New Roman" w:hAnsi="Times New Roman" w:eastAsia="宋体" w:cs="Times New Roman"/>
          <w:color w:val="auto"/>
          <w:sz w:val="24"/>
          <w:highlight w:val="none"/>
          <w14:ligatures w14:val="none"/>
        </w:rPr>
        <w:t>1</w:t>
      </w:r>
      <w:r>
        <w:rPr>
          <w:rFonts w:hint="eastAsia" w:ascii="Times New Roman" w:hAnsi="Times New Roman" w:eastAsia="宋体" w:cs="Times New Roman"/>
          <w:color w:val="auto"/>
          <w:sz w:val="24"/>
          <w:highlight w:val="none"/>
          <w:lang w:val="en-US" w:eastAsia="zh-CN"/>
          <w14:ligatures w14:val="none"/>
        </w:rPr>
        <w:t>5</w:t>
      </w:r>
      <w:r>
        <w:rPr>
          <w:rFonts w:hint="eastAsia" w:ascii="Times New Roman" w:hAnsi="Times New Roman" w:eastAsia="宋体" w:cs="Times New Roman"/>
          <w:color w:val="auto"/>
          <w:sz w:val="24"/>
          <w:highlight w:val="none"/>
          <w14:ligatures w14:val="none"/>
        </w:rPr>
        <w:t>个工作</w:t>
      </w:r>
      <w:r>
        <w:rPr>
          <w:rFonts w:ascii="Times New Roman" w:hAnsi="Times New Roman" w:eastAsia="宋体" w:cs="Times New Roman"/>
          <w:color w:val="auto"/>
          <w:sz w:val="24"/>
          <w:highlight w:val="none"/>
          <w14:ligatures w14:val="none"/>
        </w:rPr>
        <w:t>日内，招标人支付合同总额的</w:t>
      </w:r>
      <w:r>
        <w:rPr>
          <w:rFonts w:hint="eastAsia" w:ascii="Times New Roman" w:hAnsi="Times New Roman" w:eastAsia="宋体" w:cs="Times New Roman"/>
          <w:color w:val="auto"/>
          <w:sz w:val="24"/>
          <w:highlight w:val="none"/>
          <w14:ligatures w14:val="none"/>
        </w:rPr>
        <w:t>50</w:t>
      </w:r>
      <w:r>
        <w:rPr>
          <w:rFonts w:ascii="Times New Roman" w:hAnsi="Times New Roman" w:eastAsia="宋体" w:cs="Times New Roman"/>
          <w:color w:val="auto"/>
          <w:sz w:val="24"/>
          <w:highlight w:val="none"/>
          <w14:ligatures w14:val="none"/>
        </w:rPr>
        <w:t>%；中标人</w:t>
      </w:r>
      <w:r>
        <w:rPr>
          <w:rFonts w:hint="eastAsia" w:ascii="Times New Roman" w:hAnsi="Times New Roman" w:eastAsia="宋体" w:cs="Times New Roman"/>
          <w:color w:val="auto"/>
          <w:sz w:val="24"/>
          <w:highlight w:val="none"/>
          <w14:ligatures w14:val="none"/>
        </w:rPr>
        <w:t>完成</w:t>
      </w:r>
      <w:r>
        <w:rPr>
          <w:rFonts w:ascii="Times New Roman" w:hAnsi="Times New Roman" w:eastAsia="宋体" w:cs="Times New Roman"/>
          <w:color w:val="auto"/>
          <w:sz w:val="24"/>
          <w:highlight w:val="none"/>
          <w14:ligatures w14:val="none"/>
        </w:rPr>
        <w:t>现场会诊复查</w:t>
      </w:r>
      <w:r>
        <w:rPr>
          <w:rFonts w:hint="eastAsia" w:ascii="Times New Roman" w:hAnsi="Times New Roman" w:eastAsia="宋体" w:cs="Times New Roman"/>
          <w:color w:val="auto"/>
          <w:sz w:val="24"/>
          <w:highlight w:val="none"/>
          <w14:ligatures w14:val="none"/>
        </w:rPr>
        <w:t>工作并提供</w:t>
      </w:r>
      <w:r>
        <w:rPr>
          <w:rFonts w:hint="eastAsia" w:ascii="Times New Roman" w:hAnsi="Times New Roman" w:eastAsia="宋体" w:cs="Times New Roman"/>
          <w:color w:val="auto"/>
          <w:sz w:val="24"/>
          <w:highlight w:val="none"/>
          <w:lang w:val="en-US" w:eastAsia="zh-CN"/>
          <w14:ligatures w14:val="none"/>
        </w:rPr>
        <w:t>10</w:t>
      </w:r>
      <w:r>
        <w:rPr>
          <w:rFonts w:hint="eastAsia" w:ascii="Times New Roman" w:hAnsi="Times New Roman" w:eastAsia="宋体" w:cs="Times New Roman"/>
          <w:color w:val="auto"/>
          <w:sz w:val="24"/>
          <w:highlight w:val="none"/>
          <w14:ligatures w14:val="none"/>
        </w:rPr>
        <w:t>个以上地下矿山生产系统复查</w:t>
      </w:r>
      <w:r>
        <w:rPr>
          <w:rFonts w:hint="eastAsia" w:ascii="Times New Roman" w:hAnsi="Times New Roman" w:eastAsia="宋体" w:cs="Times New Roman"/>
          <w:color w:val="auto"/>
          <w:sz w:val="24"/>
          <w:highlight w:val="none"/>
          <w:lang w:val="en-US" w:eastAsia="zh-CN"/>
          <w14:ligatures w14:val="none"/>
        </w:rPr>
        <w:t>会诊</w:t>
      </w:r>
      <w:r>
        <w:rPr>
          <w:rFonts w:hint="eastAsia" w:ascii="Times New Roman" w:hAnsi="Times New Roman" w:eastAsia="宋体" w:cs="Times New Roman"/>
          <w:color w:val="auto"/>
          <w:sz w:val="24"/>
          <w:highlight w:val="none"/>
          <w14:ligatures w14:val="none"/>
        </w:rPr>
        <w:t>报告后</w:t>
      </w:r>
      <w:r>
        <w:rPr>
          <w:rFonts w:ascii="Times New Roman" w:hAnsi="Times New Roman" w:eastAsia="宋体" w:cs="Times New Roman"/>
          <w:color w:val="auto"/>
          <w:sz w:val="24"/>
          <w:highlight w:val="none"/>
          <w14:ligatures w14:val="none"/>
        </w:rPr>
        <w:t>1</w:t>
      </w:r>
      <w:r>
        <w:rPr>
          <w:rFonts w:hint="eastAsia" w:ascii="Times New Roman" w:hAnsi="Times New Roman" w:eastAsia="宋体" w:cs="Times New Roman"/>
          <w:color w:val="auto"/>
          <w:sz w:val="24"/>
          <w:highlight w:val="none"/>
          <w14:ligatures w14:val="none"/>
        </w:rPr>
        <w:t>0个工作</w:t>
      </w:r>
      <w:r>
        <w:rPr>
          <w:rFonts w:ascii="Times New Roman" w:hAnsi="Times New Roman" w:eastAsia="宋体" w:cs="Times New Roman"/>
          <w:color w:val="auto"/>
          <w:sz w:val="24"/>
          <w:highlight w:val="none"/>
          <w14:ligatures w14:val="none"/>
        </w:rPr>
        <w:t>日内，招标人支付合同总额的</w:t>
      </w:r>
      <w:r>
        <w:rPr>
          <w:rFonts w:hint="eastAsia" w:ascii="Times New Roman" w:hAnsi="Times New Roman" w:eastAsia="宋体" w:cs="Times New Roman"/>
          <w:color w:val="auto"/>
          <w:sz w:val="24"/>
          <w:highlight w:val="none"/>
          <w14:ligatures w14:val="none"/>
        </w:rPr>
        <w:t>30</w:t>
      </w:r>
      <w:r>
        <w:rPr>
          <w:rFonts w:ascii="Times New Roman" w:hAnsi="Times New Roman" w:eastAsia="宋体" w:cs="Times New Roman"/>
          <w:color w:val="auto"/>
          <w:sz w:val="24"/>
          <w:highlight w:val="none"/>
          <w14:ligatures w14:val="none"/>
        </w:rPr>
        <w:t>%；中标人</w:t>
      </w:r>
      <w:r>
        <w:rPr>
          <w:rFonts w:hint="eastAsia" w:ascii="Times New Roman" w:hAnsi="Times New Roman" w:eastAsia="宋体" w:cs="Times New Roman"/>
          <w:color w:val="auto"/>
          <w:sz w:val="24"/>
          <w:highlight w:val="none"/>
          <w14:ligatures w14:val="none"/>
        </w:rPr>
        <w:t>完成</w:t>
      </w:r>
      <w:r>
        <w:rPr>
          <w:rFonts w:ascii="Times New Roman" w:hAnsi="Times New Roman" w:eastAsia="宋体" w:cs="Times New Roman"/>
          <w:color w:val="auto"/>
          <w:sz w:val="24"/>
          <w:highlight w:val="none"/>
          <w14:ligatures w14:val="none"/>
        </w:rPr>
        <w:t>现场会诊复查</w:t>
      </w:r>
      <w:r>
        <w:rPr>
          <w:rFonts w:hint="eastAsia" w:ascii="Times New Roman" w:hAnsi="Times New Roman" w:eastAsia="宋体" w:cs="Times New Roman"/>
          <w:color w:val="auto"/>
          <w:sz w:val="24"/>
          <w:highlight w:val="none"/>
          <w14:ligatures w14:val="none"/>
        </w:rPr>
        <w:t>工作并提供16个地下矿山生产系统复查</w:t>
      </w:r>
      <w:r>
        <w:rPr>
          <w:rFonts w:hint="eastAsia" w:ascii="Times New Roman" w:hAnsi="Times New Roman" w:eastAsia="宋体" w:cs="Times New Roman"/>
          <w:color w:val="auto"/>
          <w:sz w:val="24"/>
          <w:highlight w:val="none"/>
          <w:lang w:val="en-US" w:eastAsia="zh-CN"/>
          <w14:ligatures w14:val="none"/>
        </w:rPr>
        <w:t>会诊</w:t>
      </w:r>
      <w:r>
        <w:rPr>
          <w:rFonts w:hint="eastAsia" w:ascii="Times New Roman" w:hAnsi="Times New Roman" w:eastAsia="宋体" w:cs="Times New Roman"/>
          <w:color w:val="auto"/>
          <w:sz w:val="24"/>
          <w:highlight w:val="none"/>
          <w14:ligatures w14:val="none"/>
        </w:rPr>
        <w:t>报告和</w:t>
      </w:r>
      <w:r>
        <w:rPr>
          <w:rFonts w:hint="eastAsia" w:ascii="Times New Roman" w:hAnsi="Times New Roman" w:eastAsia="宋体" w:cs="Times New Roman"/>
          <w:bCs/>
          <w:color w:val="auto"/>
          <w:sz w:val="24"/>
          <w:highlight w:val="none"/>
          <w14:ligatures w14:val="none"/>
        </w:rPr>
        <w:t>灵宝市矿山</w:t>
      </w:r>
      <w:r>
        <w:rPr>
          <w:rFonts w:hint="eastAsia" w:ascii="Times New Roman" w:hAnsi="Times New Roman" w:eastAsia="宋体" w:cs="Times New Roman"/>
          <w:bCs/>
          <w:color w:val="auto"/>
          <w:sz w:val="24"/>
          <w:highlight w:val="none"/>
          <w:lang w:val="en-US" w:eastAsia="zh-CN"/>
          <w14:ligatures w14:val="none"/>
        </w:rPr>
        <w:t>安全生产</w:t>
      </w:r>
      <w:r>
        <w:rPr>
          <w:rFonts w:hint="eastAsia" w:ascii="Times New Roman" w:hAnsi="Times New Roman" w:eastAsia="宋体" w:cs="Times New Roman"/>
          <w:bCs/>
          <w:color w:val="auto"/>
          <w:sz w:val="24"/>
          <w:highlight w:val="none"/>
          <w14:ligatures w14:val="none"/>
        </w:rPr>
        <w:t>领域整体</w:t>
      </w:r>
      <w:r>
        <w:rPr>
          <w:rFonts w:hint="eastAsia" w:ascii="Times New Roman" w:hAnsi="Times New Roman" w:eastAsia="宋体" w:cs="Times New Roman"/>
          <w:bCs/>
          <w:color w:val="auto"/>
          <w:sz w:val="24"/>
          <w:highlight w:val="none"/>
          <w:lang w:val="en-US" w:eastAsia="zh-CN"/>
          <w14:ligatures w14:val="none"/>
        </w:rPr>
        <w:t>3-5年规划</w:t>
      </w:r>
      <w:r>
        <w:rPr>
          <w:rFonts w:hint="eastAsia" w:ascii="Times New Roman" w:hAnsi="Times New Roman" w:eastAsia="宋体" w:cs="Times New Roman"/>
          <w:bCs/>
          <w:color w:val="auto"/>
          <w:sz w:val="24"/>
          <w:highlight w:val="none"/>
          <w14:ligatures w14:val="none"/>
        </w:rPr>
        <w:t>工作建议书</w:t>
      </w:r>
      <w:r>
        <w:rPr>
          <w:rFonts w:hint="eastAsia" w:ascii="Times New Roman" w:hAnsi="Times New Roman" w:eastAsia="宋体" w:cs="Times New Roman"/>
          <w:color w:val="auto"/>
          <w:sz w:val="24"/>
          <w:highlight w:val="none"/>
          <w14:ligatures w14:val="none"/>
        </w:rPr>
        <w:t>后</w:t>
      </w:r>
      <w:r>
        <w:rPr>
          <w:rFonts w:ascii="Times New Roman" w:hAnsi="Times New Roman" w:eastAsia="宋体" w:cs="Times New Roman"/>
          <w:color w:val="auto"/>
          <w:sz w:val="24"/>
          <w:highlight w:val="none"/>
          <w14:ligatures w14:val="none"/>
        </w:rPr>
        <w:t>1</w:t>
      </w:r>
      <w:r>
        <w:rPr>
          <w:rFonts w:hint="eastAsia" w:ascii="Times New Roman" w:hAnsi="Times New Roman" w:eastAsia="宋体" w:cs="Times New Roman"/>
          <w:color w:val="auto"/>
          <w:sz w:val="24"/>
          <w:highlight w:val="none"/>
          <w14:ligatures w14:val="none"/>
        </w:rPr>
        <w:t>0个工作</w:t>
      </w:r>
      <w:r>
        <w:rPr>
          <w:rFonts w:ascii="Times New Roman" w:hAnsi="Times New Roman" w:eastAsia="宋体" w:cs="Times New Roman"/>
          <w:color w:val="auto"/>
          <w:sz w:val="24"/>
          <w:highlight w:val="none"/>
          <w14:ligatures w14:val="none"/>
        </w:rPr>
        <w:t>日内，招标人支付合同总额的</w:t>
      </w:r>
      <w:r>
        <w:rPr>
          <w:rFonts w:hint="eastAsia" w:ascii="Times New Roman" w:hAnsi="Times New Roman" w:eastAsia="宋体" w:cs="Times New Roman"/>
          <w:color w:val="auto"/>
          <w:sz w:val="24"/>
          <w:highlight w:val="none"/>
          <w14:ligatures w14:val="none"/>
        </w:rPr>
        <w:t>20</w:t>
      </w:r>
      <w:r>
        <w:rPr>
          <w:rFonts w:ascii="Times New Roman" w:hAnsi="Times New Roman" w:eastAsia="宋体" w:cs="Times New Roman"/>
          <w:color w:val="auto"/>
          <w:sz w:val="24"/>
          <w:highlight w:val="none"/>
          <w14:ligatures w14:val="none"/>
        </w:rPr>
        <w:t>%。</w:t>
      </w:r>
    </w:p>
    <w:p w14:paraId="3261A20B">
      <w:pPr>
        <w:spacing w:after="0" w:line="460" w:lineRule="exact"/>
        <w:ind w:firstLine="480" w:firstLineChars="200"/>
        <w:jc w:val="both"/>
        <w:rPr>
          <w:rFonts w:ascii="Courier New" w:hAnsi="Courier New" w:eastAsia="宋体" w:cs="Times New Roman"/>
          <w:color w:val="auto"/>
          <w:sz w:val="24"/>
          <w:szCs w:val="22"/>
          <w:highlight w:val="none"/>
          <w14:ligatures w14:val="none"/>
        </w:rPr>
      </w:pPr>
      <w:r>
        <w:rPr>
          <w:rFonts w:ascii="Times New Roman" w:hAnsi="Times New Roman" w:eastAsia="宋体" w:cs="Times New Roman"/>
          <w:color w:val="auto"/>
          <w:sz w:val="24"/>
          <w:highlight w:val="none"/>
          <w14:ligatures w14:val="none"/>
        </w:rPr>
        <w:t>2、付款方式：银行转账。付款前，乙方需向甲方提供增值税专用发票（税率6%），如</w:t>
      </w:r>
      <w:r>
        <w:rPr>
          <w:rFonts w:hint="eastAsia" w:ascii="Times New Roman" w:hAnsi="Times New Roman" w:eastAsia="宋体" w:cs="Times New Roman"/>
          <w:color w:val="auto"/>
          <w:sz w:val="24"/>
          <w:highlight w:val="none"/>
          <w14:ligatures w14:val="none"/>
        </w:rPr>
        <w:t>超出约定付款时间，</w:t>
      </w:r>
      <w:r>
        <w:rPr>
          <w:rFonts w:ascii="Times New Roman" w:hAnsi="Times New Roman" w:eastAsia="宋体" w:cs="Times New Roman"/>
          <w:color w:val="auto"/>
          <w:sz w:val="24"/>
          <w:highlight w:val="none"/>
          <w14:ligatures w14:val="none"/>
        </w:rPr>
        <w:t>甲方仍未收到相应增值税专用发票，则付款时间顺延。</w:t>
      </w:r>
    </w:p>
    <w:p w14:paraId="66924A3F">
      <w:pPr>
        <w:spacing w:after="0" w:line="360" w:lineRule="auto"/>
        <w:jc w:val="both"/>
        <w:outlineLvl w:val="1"/>
        <w:rPr>
          <w:rFonts w:ascii="Times New Roman" w:hAnsi="Times New Roman" w:eastAsia="宋体" w:cs="Times New Roman"/>
          <w:b/>
          <w:color w:val="auto"/>
          <w:sz w:val="24"/>
          <w:highlight w:val="none"/>
          <w14:ligatures w14:val="none"/>
        </w:rPr>
      </w:pPr>
      <w:bookmarkStart w:id="32" w:name="_Toc8347"/>
      <w:bookmarkStart w:id="33" w:name="_Toc1143"/>
      <w:r>
        <w:rPr>
          <w:rFonts w:ascii="Times New Roman" w:hAnsi="Times New Roman" w:eastAsia="宋体" w:cs="Times New Roman"/>
          <w:b/>
          <w:color w:val="auto"/>
          <w:sz w:val="24"/>
          <w:highlight w:val="none"/>
          <w14:ligatures w14:val="none"/>
        </w:rPr>
        <w:t>九、售后服务</w:t>
      </w:r>
      <w:bookmarkEnd w:id="32"/>
      <w:bookmarkEnd w:id="33"/>
    </w:p>
    <w:p w14:paraId="15375351">
      <w:pPr>
        <w:spacing w:after="0" w:line="460" w:lineRule="exact"/>
        <w:ind w:firstLine="480" w:firstLineChars="200"/>
        <w:jc w:val="both"/>
        <w:rPr>
          <w:rFonts w:ascii="Times New Roman" w:hAnsi="Times New Roman" w:eastAsia="宋体" w:cs="Times New Roman"/>
          <w:color w:val="auto"/>
          <w:sz w:val="24"/>
          <w:highlight w:val="none"/>
          <w14:ligatures w14:val="none"/>
        </w:rPr>
      </w:pPr>
      <w:r>
        <w:rPr>
          <w:rFonts w:ascii="Times New Roman" w:hAnsi="Times New Roman" w:eastAsia="宋体" w:cs="Times New Roman"/>
          <w:color w:val="auto"/>
          <w:sz w:val="24"/>
          <w:highlight w:val="none"/>
          <w14:ligatures w14:val="none"/>
        </w:rPr>
        <w:t>1、有稳定的售后服务体系，能提供良好的售后服务。</w:t>
      </w:r>
    </w:p>
    <w:p w14:paraId="20E6E872">
      <w:pPr>
        <w:spacing w:after="0" w:line="460" w:lineRule="exact"/>
        <w:ind w:firstLine="480" w:firstLineChars="200"/>
        <w:jc w:val="both"/>
        <w:rPr>
          <w:rFonts w:hint="eastAsia"/>
          <w:color w:val="auto"/>
          <w:highlight w:val="none"/>
        </w:rPr>
      </w:pPr>
      <w:r>
        <w:rPr>
          <w:rFonts w:ascii="Times New Roman" w:hAnsi="Times New Roman" w:eastAsia="宋体" w:cs="Times New Roman"/>
          <w:color w:val="auto"/>
          <w:sz w:val="24"/>
          <w:highlight w:val="none"/>
          <w14:ligatures w14:val="none"/>
        </w:rPr>
        <w:t>2、在质保期内，针对本项目研究内容中标人承诺及时为招标人提供技术支援，解答招标人技术难题，为招标人提出解决问题的建议。</w:t>
      </w:r>
    </w:p>
    <w:p w14:paraId="5A68CAD7">
      <w:pPr>
        <w:pStyle w:val="2"/>
        <w:keepNext w:val="0"/>
        <w:keepLines w:val="0"/>
        <w:jc w:val="center"/>
        <w:rPr>
          <w:rFonts w:hint="eastAsia" w:ascii="仿宋" w:hAnsi="仿宋" w:eastAsia="仿宋" w:cs="仿宋"/>
          <w:color w:val="auto"/>
          <w:highlight w:val="none"/>
        </w:rPr>
      </w:pPr>
      <w:r>
        <w:rPr>
          <w:rFonts w:hint="eastAsia" w:ascii="仿宋" w:hAnsi="仿宋" w:eastAsia="仿宋" w:cs="仿宋"/>
          <w:color w:val="auto"/>
          <w:highlight w:val="none"/>
        </w:rPr>
        <w:br w:type="page"/>
      </w:r>
      <w:r>
        <w:rPr>
          <w:rFonts w:hint="eastAsia" w:ascii="仿宋" w:hAnsi="仿宋" w:eastAsia="仿宋" w:cs="仿宋"/>
          <w:color w:val="auto"/>
          <w:highlight w:val="none"/>
        </w:rPr>
        <w:t>第四章 评审办法</w:t>
      </w:r>
      <w:bookmarkEnd w:id="21"/>
    </w:p>
    <w:p w14:paraId="3A0A6229">
      <w:pPr>
        <w:spacing w:line="460" w:lineRule="exact"/>
        <w:ind w:firstLine="480"/>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rPr>
        <w:t>1. 磋商响应文件</w:t>
      </w:r>
      <w:r>
        <w:rPr>
          <w:rFonts w:hint="eastAsia" w:ascii="宋体" w:hAnsi="宋体" w:eastAsia="宋体" w:cs="宋体"/>
          <w:b/>
          <w:bCs/>
          <w:color w:val="auto"/>
          <w:sz w:val="24"/>
          <w:szCs w:val="24"/>
          <w:highlight w:val="none"/>
        </w:rPr>
        <w:t>的评审、比较和否决</w:t>
      </w:r>
    </w:p>
    <w:p w14:paraId="1DB6498C">
      <w:pPr>
        <w:spacing w:line="460" w:lineRule="exact"/>
        <w:ind w:firstLine="48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1.1</w:t>
      </w:r>
      <w:r>
        <w:rPr>
          <w:rFonts w:hint="eastAsia" w:ascii="宋体" w:hAnsi="宋体" w:eastAsia="宋体" w:cs="宋体"/>
          <w:color w:val="auto"/>
          <w:sz w:val="24"/>
          <w:szCs w:val="24"/>
          <w:highlight w:val="none"/>
        </w:rPr>
        <w:t>磋商小组将按照竞争性磋商文件的规定，仅对在实质上响应竞争性磋商文件要求的磋商响应文件进行评估和比较。</w:t>
      </w:r>
    </w:p>
    <w:p w14:paraId="6D620B24">
      <w:pPr>
        <w:spacing w:line="460" w:lineRule="exact"/>
        <w:ind w:firstLine="48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1.2</w:t>
      </w:r>
      <w:r>
        <w:rPr>
          <w:rFonts w:hint="eastAsia" w:ascii="宋体" w:hAnsi="宋体" w:eastAsia="宋体" w:cs="宋体"/>
          <w:color w:val="auto"/>
          <w:sz w:val="24"/>
          <w:szCs w:val="24"/>
          <w:highlight w:val="none"/>
        </w:rPr>
        <w:t>根据相关法律法规及有关招磋商响应文件规定，结合本项目具体情况，制定本次磋商评审办法。并按照“公平、公正、科学、择优”的原则进行磋商。采用综合评分法进行评比。</w:t>
      </w:r>
    </w:p>
    <w:p w14:paraId="461DBBBC">
      <w:pPr>
        <w:autoSpaceDE w:val="0"/>
        <w:autoSpaceDN w:val="0"/>
        <w:adjustRightInd w:val="0"/>
        <w:spacing w:line="460" w:lineRule="exact"/>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1.3</w:t>
      </w:r>
      <w:r>
        <w:rPr>
          <w:rFonts w:hint="eastAsia" w:ascii="宋体" w:hAnsi="宋体" w:eastAsia="宋体" w:cs="宋体"/>
          <w:color w:val="auto"/>
          <w:sz w:val="24"/>
          <w:szCs w:val="24"/>
          <w:highlight w:val="none"/>
        </w:rPr>
        <w:t>在评审过程中，磋商小组可以以书面形式要求磋商响应供应商就磋商响应文件中含义不明确的内容进行书面说明并提供相关材料；</w:t>
      </w:r>
      <w:r>
        <w:rPr>
          <w:rFonts w:hint="eastAsia" w:ascii="宋体" w:hAnsi="宋体" w:eastAsia="宋体" w:cs="宋体"/>
          <w:color w:val="auto"/>
          <w:spacing w:val="-6"/>
          <w:sz w:val="24"/>
          <w:szCs w:val="24"/>
          <w:highlight w:val="none"/>
        </w:rPr>
        <w:t>凡遇到竞争性磋商文件中无界定或界定不清、前后不一致使磋商小组成员</w:t>
      </w:r>
      <w:r>
        <w:rPr>
          <w:rFonts w:hint="eastAsia" w:ascii="宋体" w:hAnsi="宋体" w:eastAsia="宋体" w:cs="宋体"/>
          <w:color w:val="auto"/>
          <w:sz w:val="24"/>
          <w:szCs w:val="24"/>
          <w:highlight w:val="none"/>
        </w:rPr>
        <w:t>意见</w:t>
      </w:r>
      <w:r>
        <w:rPr>
          <w:rFonts w:hint="eastAsia" w:ascii="宋体" w:hAnsi="宋体" w:eastAsia="宋体" w:cs="宋体"/>
          <w:color w:val="auto"/>
          <w:spacing w:val="-6"/>
          <w:sz w:val="24"/>
          <w:szCs w:val="24"/>
          <w:highlight w:val="none"/>
        </w:rPr>
        <w:t>有分歧且又难于协商一致的问题，均由磋商小组予以表决，获半数以上同意的即为通过，未获半数同意的即为否决</w:t>
      </w:r>
      <w:r>
        <w:rPr>
          <w:rFonts w:hint="eastAsia" w:ascii="宋体" w:hAnsi="宋体" w:eastAsia="宋体" w:cs="宋体"/>
          <w:color w:val="auto"/>
          <w:sz w:val="24"/>
          <w:szCs w:val="24"/>
          <w:highlight w:val="none"/>
        </w:rPr>
        <w:t>。</w:t>
      </w:r>
    </w:p>
    <w:p w14:paraId="144C044A">
      <w:pPr>
        <w:spacing w:line="460" w:lineRule="exact"/>
        <w:ind w:firstLine="480"/>
        <w:rPr>
          <w:rFonts w:hint="eastAsia" w:ascii="宋体" w:hAnsi="宋体" w:eastAsia="宋体" w:cs="宋体"/>
          <w:color w:val="auto"/>
          <w:sz w:val="24"/>
          <w:szCs w:val="24"/>
          <w:highlight w:val="none"/>
        </w:rPr>
      </w:pPr>
      <w:r>
        <w:rPr>
          <w:rFonts w:hint="eastAsia" w:ascii="宋体" w:hAnsi="宋体" w:eastAsia="宋体" w:cs="宋体"/>
          <w:b/>
          <w:bCs/>
          <w:color w:val="auto"/>
          <w:kern w:val="0"/>
          <w:sz w:val="24"/>
          <w:szCs w:val="24"/>
          <w:highlight w:val="none"/>
        </w:rPr>
        <w:t>1.4</w:t>
      </w:r>
      <w:r>
        <w:rPr>
          <w:rFonts w:hint="eastAsia" w:ascii="宋体" w:hAnsi="宋体" w:eastAsia="宋体" w:cs="宋体"/>
          <w:color w:val="auto"/>
          <w:kern w:val="0"/>
          <w:sz w:val="24"/>
          <w:szCs w:val="24"/>
          <w:highlight w:val="none"/>
        </w:rPr>
        <w:t>磋商时，磋商报价是磋商的重要依据，但不是唯一依据，</w:t>
      </w:r>
      <w:r>
        <w:rPr>
          <w:rFonts w:hint="eastAsia" w:ascii="宋体" w:hAnsi="宋体" w:eastAsia="宋体" w:cs="宋体"/>
          <w:color w:val="auto"/>
          <w:sz w:val="24"/>
          <w:szCs w:val="24"/>
          <w:highlight w:val="none"/>
        </w:rPr>
        <w:t>采购人不承诺将合同授予报价最低或最高的磋商响应供应商。</w:t>
      </w:r>
    </w:p>
    <w:p w14:paraId="3BA94451">
      <w:pPr>
        <w:spacing w:line="460" w:lineRule="exact"/>
        <w:ind w:firstLine="48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1.5</w:t>
      </w:r>
      <w:r>
        <w:rPr>
          <w:rFonts w:hint="eastAsia" w:ascii="宋体" w:hAnsi="宋体" w:eastAsia="宋体" w:cs="宋体"/>
          <w:color w:val="auto"/>
          <w:sz w:val="24"/>
          <w:szCs w:val="24"/>
          <w:highlight w:val="none"/>
        </w:rPr>
        <w:t>磋商小组依据本须知规定的评审标准和方法，对磋商响应文件进行评审和比较，向采购人提出书面磋商报告，并推荐合格的成交候选供应商。采购人授权磋商小组根据提出的书面磋商报告和推荐的成交候选供应商按序确定成交供应商。</w:t>
      </w:r>
    </w:p>
    <w:p w14:paraId="4F757C34">
      <w:pPr>
        <w:spacing w:line="460" w:lineRule="exact"/>
        <w:ind w:firstLine="426" w:firstLineChars="177"/>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1.6</w:t>
      </w:r>
      <w:r>
        <w:rPr>
          <w:rFonts w:hint="eastAsia" w:ascii="宋体" w:hAnsi="宋体" w:eastAsia="宋体" w:cs="宋体"/>
          <w:color w:val="auto"/>
          <w:sz w:val="24"/>
          <w:szCs w:val="24"/>
          <w:highlight w:val="none"/>
        </w:rPr>
        <w:t>在磋商过程中，评审得分相同的，首先以报价最低的磋商响应供应商获得成交供应商推荐资格；若报价相同的，以技术标得分最高的磋商响应供应商获得成交供应商推荐资格。</w:t>
      </w:r>
    </w:p>
    <w:p w14:paraId="43E816CF">
      <w:pPr>
        <w:autoSpaceDE w:val="0"/>
        <w:autoSpaceDN w:val="0"/>
        <w:adjustRightInd w:val="0"/>
        <w:spacing w:line="460" w:lineRule="exact"/>
        <w:ind w:firstLine="480"/>
        <w:jc w:val="left"/>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2</w:t>
      </w:r>
      <w:r>
        <w:rPr>
          <w:rFonts w:hint="eastAsia" w:ascii="宋体" w:hAnsi="宋体" w:eastAsia="宋体" w:cs="宋体"/>
          <w:b/>
          <w:bCs/>
          <w:color w:val="auto"/>
          <w:kern w:val="0"/>
          <w:sz w:val="24"/>
          <w:szCs w:val="24"/>
          <w:highlight w:val="none"/>
        </w:rPr>
        <w:t>．评分标准</w:t>
      </w:r>
      <w:r>
        <w:rPr>
          <w:rFonts w:hint="eastAsia" w:ascii="宋体" w:hAnsi="宋体" w:eastAsia="宋体" w:cs="宋体"/>
          <w:color w:val="auto"/>
          <w:sz w:val="24"/>
          <w:szCs w:val="24"/>
          <w:highlight w:val="none"/>
        </w:rPr>
        <w:t>(采用综合评分法)</w:t>
      </w:r>
    </w:p>
    <w:p w14:paraId="25CC2113">
      <w:pPr>
        <w:autoSpaceDE w:val="0"/>
        <w:autoSpaceDN w:val="0"/>
        <w:adjustRightInd w:val="0"/>
        <w:spacing w:line="460" w:lineRule="exact"/>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磋商小组按照《中华人民共和国政府采购法》和</w:t>
      </w:r>
      <w:r>
        <w:rPr>
          <w:rFonts w:hint="eastAsia" w:ascii="宋体" w:hAnsi="宋体" w:eastAsia="宋体" w:cs="宋体"/>
          <w:color w:val="auto"/>
          <w:sz w:val="24"/>
          <w:szCs w:val="24"/>
          <w:highlight w:val="none"/>
        </w:rPr>
        <w:t>《政府采购竞争性磋商采购方式管理暂行办法》</w:t>
      </w:r>
      <w:r>
        <w:rPr>
          <w:rFonts w:hint="eastAsia" w:ascii="宋体" w:hAnsi="宋体" w:eastAsia="宋体" w:cs="宋体"/>
          <w:color w:val="auto"/>
          <w:kern w:val="0"/>
          <w:sz w:val="24"/>
          <w:szCs w:val="24"/>
          <w:highlight w:val="none"/>
        </w:rPr>
        <w:t>，结合本项目具体情况，按下列标准打分：</w:t>
      </w:r>
      <w:r>
        <w:rPr>
          <w:rFonts w:hint="eastAsia" w:ascii="宋体" w:hAnsi="宋体" w:eastAsia="宋体" w:cs="宋体"/>
          <w:color w:val="auto"/>
          <w:sz w:val="24"/>
          <w:szCs w:val="24"/>
          <w:highlight w:val="none"/>
        </w:rPr>
        <w:t>第一部分：磋商报价评审；第二部分：技术部分评审；第三部分：商务部分评审。</w:t>
      </w:r>
    </w:p>
    <w:p w14:paraId="34E4A270">
      <w:pPr>
        <w:snapToGrid w:val="0"/>
        <w:spacing w:line="460" w:lineRule="exact"/>
        <w:ind w:left="1"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磋商响应供应商最终得分=磋商报价得分+技术标评审得分+商务标评审得分。</w:t>
      </w:r>
    </w:p>
    <w:p w14:paraId="1E162E80">
      <w:pPr>
        <w:snapToGrid w:val="0"/>
        <w:spacing w:line="460" w:lineRule="exact"/>
        <w:ind w:left="1"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 评审程序</w:t>
      </w:r>
    </w:p>
    <w:p w14:paraId="09A72C71">
      <w:pPr>
        <w:snapToGrid w:val="0"/>
        <w:spacing w:line="460" w:lineRule="exact"/>
        <w:ind w:left="1"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3.1 </w:t>
      </w:r>
      <w:r>
        <w:rPr>
          <w:rFonts w:hint="eastAsia" w:ascii="宋体" w:hAnsi="宋体" w:eastAsia="宋体" w:cs="宋体"/>
          <w:color w:val="auto"/>
          <w:sz w:val="24"/>
          <w:szCs w:val="24"/>
          <w:highlight w:val="none"/>
        </w:rPr>
        <w:t>资格审查</w:t>
      </w:r>
    </w:p>
    <w:p w14:paraId="2F4044F1">
      <w:pPr>
        <w:autoSpaceDE w:val="0"/>
        <w:snapToGrid w:val="0"/>
        <w:spacing w:line="460" w:lineRule="exact"/>
        <w:ind w:left="1"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磋商小组</w:t>
      </w:r>
      <w:r>
        <w:rPr>
          <w:rFonts w:hint="eastAsia" w:ascii="宋体" w:hAnsi="宋体" w:eastAsia="宋体" w:cs="宋体"/>
          <w:color w:val="auto"/>
          <w:sz w:val="24"/>
          <w:szCs w:val="24"/>
          <w:highlight w:val="none"/>
        </w:rPr>
        <w:t>按照竞争性磋商文件第二章磋商响应供应商须知前附表第1.4.1项的要求，对磋商响应供应商进行审查，有一项不符合的，视为未通过资格审查，不得进入下一磋商过程。</w:t>
      </w:r>
    </w:p>
    <w:p w14:paraId="5148E6B0">
      <w:pPr>
        <w:autoSpaceDE w:val="0"/>
        <w:snapToGrid w:val="0"/>
        <w:spacing w:line="460" w:lineRule="exact"/>
        <w:ind w:left="1"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3.2</w:t>
      </w:r>
      <w:r>
        <w:rPr>
          <w:rFonts w:hint="eastAsia" w:ascii="宋体" w:hAnsi="宋体" w:eastAsia="宋体" w:cs="宋体"/>
          <w:color w:val="auto"/>
          <w:sz w:val="24"/>
          <w:szCs w:val="24"/>
          <w:highlight w:val="none"/>
        </w:rPr>
        <w:t>符合性审查</w:t>
      </w:r>
    </w:p>
    <w:p w14:paraId="7A3C68AA">
      <w:pPr>
        <w:autoSpaceDE w:val="0"/>
        <w:snapToGrid w:val="0"/>
        <w:spacing w:line="460" w:lineRule="exact"/>
        <w:ind w:left="1" w:firstLine="480" w:firstLineChars="200"/>
        <w:rPr>
          <w:rFonts w:hint="eastAsia" w:ascii="宋体" w:hAnsi="宋体" w:eastAsia="宋体" w:cs="宋体"/>
          <w:color w:val="auto"/>
          <w:highlight w:val="none"/>
        </w:rPr>
      </w:pPr>
      <w:r>
        <w:rPr>
          <w:rFonts w:hint="eastAsia" w:ascii="宋体" w:hAnsi="宋体" w:eastAsia="宋体" w:cs="宋体"/>
          <w:color w:val="auto"/>
          <w:kern w:val="0"/>
          <w:sz w:val="24"/>
          <w:szCs w:val="24"/>
          <w:highlight w:val="none"/>
        </w:rPr>
        <w:t>磋商小组</w:t>
      </w:r>
      <w:r>
        <w:rPr>
          <w:rFonts w:hint="eastAsia" w:ascii="宋体" w:hAnsi="宋体" w:eastAsia="宋体" w:cs="宋体"/>
          <w:color w:val="auto"/>
          <w:sz w:val="24"/>
          <w:szCs w:val="24"/>
          <w:highlight w:val="none"/>
        </w:rPr>
        <w:t>按照以下内容对磋商响应供应商进行审查，有一项不符合的，视为未通过符合性审查，不得进入下一磋商过程。</w:t>
      </w:r>
    </w:p>
    <w:p w14:paraId="34576F14">
      <w:pPr>
        <w:spacing w:line="360" w:lineRule="auto"/>
        <w:ind w:firstLine="566" w:firstLineChars="23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3.2.1磋商响应供应商资格不符合竞争性磋商文件要求的；</w:t>
      </w:r>
    </w:p>
    <w:p w14:paraId="699307D8">
      <w:pPr>
        <w:pStyle w:val="15"/>
        <w:ind w:firstLine="566" w:firstLineChars="23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3.2.2磋商报价超过竞争性磋商文件规定的投标最高限价的；</w:t>
      </w:r>
    </w:p>
    <w:p w14:paraId="62579EAE">
      <w:pPr>
        <w:pStyle w:val="15"/>
        <w:ind w:firstLine="566" w:firstLineChars="23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3.2.3以他人的名义磋商、串通磋商、以行贿手段谋取成交或者以其他弄虚作假方式磋商的；</w:t>
      </w:r>
    </w:p>
    <w:p w14:paraId="40B26DEF">
      <w:pPr>
        <w:ind w:firstLine="566" w:firstLineChars="23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3.2.4采取不正当手段谋取成交的。</w:t>
      </w:r>
    </w:p>
    <w:p w14:paraId="42B10F50">
      <w:pPr>
        <w:spacing w:line="460" w:lineRule="exact"/>
        <w:jc w:val="center"/>
        <w:rPr>
          <w:rFonts w:hint="eastAsia" w:ascii="宋体" w:hAnsi="宋体" w:eastAsia="宋体" w:cs="宋体"/>
          <w:color w:val="auto"/>
          <w:sz w:val="24"/>
          <w:szCs w:val="24"/>
          <w:highlight w:val="none"/>
        </w:rPr>
      </w:pPr>
      <w:bookmarkStart w:id="34" w:name="_Toc28583_WPSOffice_Level2"/>
      <w:r>
        <w:rPr>
          <w:rFonts w:hint="eastAsia" w:ascii="宋体" w:hAnsi="宋体" w:eastAsia="宋体" w:cs="宋体"/>
          <w:color w:val="auto"/>
          <w:sz w:val="24"/>
          <w:szCs w:val="24"/>
          <w:highlight w:val="none"/>
        </w:rPr>
        <w:t>评标办法前附表</w:t>
      </w:r>
      <w:bookmarkEnd w:id="34"/>
    </w:p>
    <w:tbl>
      <w:tblPr>
        <w:tblStyle w:val="17"/>
        <w:tblpPr w:leftFromText="180" w:rightFromText="180" w:vertAnchor="text" w:horzAnchor="page" w:tblpX="1268" w:tblpY="511"/>
        <w:tblOverlap w:val="never"/>
        <w:tblW w:w="94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5"/>
        <w:gridCol w:w="1183"/>
        <w:gridCol w:w="2040"/>
        <w:gridCol w:w="5295"/>
      </w:tblGrid>
      <w:tr w14:paraId="43681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2128" w:type="dxa"/>
            <w:gridSpan w:val="2"/>
            <w:noWrap/>
            <w:vAlign w:val="center"/>
          </w:tcPr>
          <w:p w14:paraId="5A731D16">
            <w:pPr>
              <w:spacing w:line="36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条款号</w:t>
            </w:r>
          </w:p>
        </w:tc>
        <w:tc>
          <w:tcPr>
            <w:tcW w:w="2040" w:type="dxa"/>
            <w:noWrap/>
            <w:vAlign w:val="center"/>
          </w:tcPr>
          <w:p w14:paraId="0A5787AE">
            <w:pPr>
              <w:spacing w:line="36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评审因素</w:t>
            </w:r>
          </w:p>
        </w:tc>
        <w:tc>
          <w:tcPr>
            <w:tcW w:w="5295" w:type="dxa"/>
            <w:noWrap/>
            <w:vAlign w:val="center"/>
          </w:tcPr>
          <w:p w14:paraId="4A7FFBE6">
            <w:pPr>
              <w:spacing w:line="36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评审标准</w:t>
            </w:r>
          </w:p>
        </w:tc>
      </w:tr>
      <w:tr w14:paraId="07B83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7" w:hRule="atLeast"/>
        </w:trPr>
        <w:tc>
          <w:tcPr>
            <w:tcW w:w="945" w:type="dxa"/>
            <w:vMerge w:val="restart"/>
            <w:noWrap/>
            <w:vAlign w:val="center"/>
          </w:tcPr>
          <w:p w14:paraId="3D34E951">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.1.1</w:t>
            </w:r>
          </w:p>
        </w:tc>
        <w:tc>
          <w:tcPr>
            <w:tcW w:w="1183" w:type="dxa"/>
            <w:vMerge w:val="restart"/>
            <w:noWrap/>
            <w:vAlign w:val="center"/>
          </w:tcPr>
          <w:p w14:paraId="3C89ED29">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形式评审标准</w:t>
            </w:r>
          </w:p>
        </w:tc>
        <w:tc>
          <w:tcPr>
            <w:tcW w:w="2040" w:type="dxa"/>
            <w:noWrap/>
            <w:vAlign w:val="center"/>
          </w:tcPr>
          <w:p w14:paraId="1BD66592">
            <w:pPr>
              <w:spacing w:line="360" w:lineRule="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供应商名称</w:t>
            </w:r>
          </w:p>
        </w:tc>
        <w:tc>
          <w:tcPr>
            <w:tcW w:w="5295" w:type="dxa"/>
            <w:noWrap/>
            <w:vAlign w:val="center"/>
          </w:tcPr>
          <w:p w14:paraId="36594110">
            <w:pPr>
              <w:spacing w:line="360" w:lineRule="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与营业执照等一致</w:t>
            </w:r>
          </w:p>
        </w:tc>
      </w:tr>
      <w:tr w14:paraId="4A73E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5" w:hRule="atLeast"/>
        </w:trPr>
        <w:tc>
          <w:tcPr>
            <w:tcW w:w="945" w:type="dxa"/>
            <w:vMerge w:val="continue"/>
            <w:noWrap/>
            <w:vAlign w:val="top"/>
          </w:tcPr>
          <w:p w14:paraId="35A41969">
            <w:pPr>
              <w:spacing w:line="360" w:lineRule="auto"/>
              <w:rPr>
                <w:rFonts w:hint="eastAsia" w:ascii="宋体" w:hAnsi="宋体" w:eastAsia="宋体" w:cs="宋体"/>
                <w:color w:val="auto"/>
                <w:sz w:val="24"/>
                <w:szCs w:val="24"/>
                <w:highlight w:val="none"/>
              </w:rPr>
            </w:pPr>
          </w:p>
        </w:tc>
        <w:tc>
          <w:tcPr>
            <w:tcW w:w="1183" w:type="dxa"/>
            <w:vMerge w:val="continue"/>
            <w:noWrap/>
            <w:vAlign w:val="top"/>
          </w:tcPr>
          <w:p w14:paraId="0F82509A">
            <w:pPr>
              <w:spacing w:line="360" w:lineRule="auto"/>
              <w:rPr>
                <w:rFonts w:hint="eastAsia" w:ascii="宋体" w:hAnsi="宋体" w:eastAsia="宋体" w:cs="宋体"/>
                <w:color w:val="auto"/>
                <w:sz w:val="24"/>
                <w:szCs w:val="24"/>
                <w:highlight w:val="none"/>
              </w:rPr>
            </w:pPr>
          </w:p>
        </w:tc>
        <w:tc>
          <w:tcPr>
            <w:tcW w:w="2040" w:type="dxa"/>
            <w:noWrap/>
            <w:vAlign w:val="center"/>
          </w:tcPr>
          <w:p w14:paraId="2B3C3FDB">
            <w:pPr>
              <w:spacing w:line="360" w:lineRule="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投标</w:t>
            </w:r>
            <w:r>
              <w:rPr>
                <w:rFonts w:hint="eastAsia" w:ascii="宋体" w:hAnsi="宋体" w:cs="宋体"/>
                <w:color w:val="auto"/>
                <w:sz w:val="24"/>
                <w:szCs w:val="24"/>
                <w:highlight w:val="none"/>
                <w:lang w:val="en-US" w:eastAsia="zh-CN"/>
              </w:rPr>
              <w:t>文件</w:t>
            </w:r>
            <w:r>
              <w:rPr>
                <w:rFonts w:hint="eastAsia" w:ascii="宋体" w:hAnsi="宋体" w:eastAsia="宋体" w:cs="宋体"/>
                <w:color w:val="auto"/>
                <w:sz w:val="24"/>
                <w:szCs w:val="24"/>
                <w:highlight w:val="none"/>
                <w:lang w:val="en-US"/>
              </w:rPr>
              <w:t>签章</w:t>
            </w:r>
          </w:p>
        </w:tc>
        <w:tc>
          <w:tcPr>
            <w:tcW w:w="5295" w:type="dxa"/>
            <w:noWrap/>
            <w:vAlign w:val="center"/>
          </w:tcPr>
          <w:p w14:paraId="43099D6F">
            <w:pPr>
              <w:spacing w:line="360" w:lineRule="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符合竞争性磋商文件要求的签章或标注的内容</w:t>
            </w:r>
          </w:p>
        </w:tc>
      </w:tr>
      <w:tr w14:paraId="32960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2" w:hRule="atLeast"/>
        </w:trPr>
        <w:tc>
          <w:tcPr>
            <w:tcW w:w="945" w:type="dxa"/>
            <w:vMerge w:val="continue"/>
            <w:noWrap/>
            <w:vAlign w:val="top"/>
          </w:tcPr>
          <w:p w14:paraId="74E54FC1">
            <w:pPr>
              <w:spacing w:line="360" w:lineRule="auto"/>
              <w:rPr>
                <w:rFonts w:hint="eastAsia" w:ascii="宋体" w:hAnsi="宋体" w:eastAsia="宋体" w:cs="宋体"/>
                <w:color w:val="auto"/>
                <w:sz w:val="24"/>
                <w:szCs w:val="24"/>
                <w:highlight w:val="none"/>
              </w:rPr>
            </w:pPr>
          </w:p>
        </w:tc>
        <w:tc>
          <w:tcPr>
            <w:tcW w:w="1183" w:type="dxa"/>
            <w:vMerge w:val="continue"/>
            <w:noWrap/>
            <w:vAlign w:val="top"/>
          </w:tcPr>
          <w:p w14:paraId="3A3C3853">
            <w:pPr>
              <w:spacing w:line="360" w:lineRule="auto"/>
              <w:rPr>
                <w:rFonts w:hint="eastAsia" w:ascii="宋体" w:hAnsi="宋体" w:eastAsia="宋体" w:cs="宋体"/>
                <w:color w:val="auto"/>
                <w:sz w:val="24"/>
                <w:szCs w:val="24"/>
                <w:highlight w:val="none"/>
              </w:rPr>
            </w:pPr>
          </w:p>
        </w:tc>
        <w:tc>
          <w:tcPr>
            <w:tcW w:w="2040" w:type="dxa"/>
            <w:noWrap/>
            <w:vAlign w:val="center"/>
          </w:tcPr>
          <w:p w14:paraId="370B95BE">
            <w:pPr>
              <w:spacing w:line="360" w:lineRule="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响应文件格式</w:t>
            </w:r>
          </w:p>
        </w:tc>
        <w:tc>
          <w:tcPr>
            <w:tcW w:w="5295" w:type="dxa"/>
            <w:noWrap/>
            <w:vAlign w:val="center"/>
          </w:tcPr>
          <w:p w14:paraId="0C54FD66">
            <w:pPr>
              <w:spacing w:line="360" w:lineRule="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符合“响应文件格式”的要求</w:t>
            </w:r>
          </w:p>
        </w:tc>
      </w:tr>
      <w:tr w14:paraId="0C7BC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3" w:hRule="atLeast"/>
        </w:trPr>
        <w:tc>
          <w:tcPr>
            <w:tcW w:w="945" w:type="dxa"/>
            <w:vMerge w:val="continue"/>
            <w:noWrap/>
            <w:vAlign w:val="top"/>
          </w:tcPr>
          <w:p w14:paraId="4A7AEB6A">
            <w:pPr>
              <w:spacing w:line="360" w:lineRule="auto"/>
              <w:rPr>
                <w:rFonts w:hint="eastAsia" w:ascii="宋体" w:hAnsi="宋体" w:eastAsia="宋体" w:cs="宋体"/>
                <w:color w:val="auto"/>
                <w:sz w:val="24"/>
                <w:szCs w:val="24"/>
                <w:highlight w:val="none"/>
              </w:rPr>
            </w:pPr>
          </w:p>
        </w:tc>
        <w:tc>
          <w:tcPr>
            <w:tcW w:w="1183" w:type="dxa"/>
            <w:vMerge w:val="continue"/>
            <w:noWrap/>
            <w:vAlign w:val="top"/>
          </w:tcPr>
          <w:p w14:paraId="3E64447E">
            <w:pPr>
              <w:spacing w:line="360" w:lineRule="auto"/>
              <w:rPr>
                <w:rFonts w:hint="eastAsia" w:ascii="宋体" w:hAnsi="宋体" w:eastAsia="宋体" w:cs="宋体"/>
                <w:color w:val="auto"/>
                <w:sz w:val="24"/>
                <w:szCs w:val="24"/>
                <w:highlight w:val="none"/>
              </w:rPr>
            </w:pPr>
          </w:p>
        </w:tc>
        <w:tc>
          <w:tcPr>
            <w:tcW w:w="2040" w:type="dxa"/>
            <w:noWrap/>
            <w:vAlign w:val="center"/>
          </w:tcPr>
          <w:p w14:paraId="4EDFD273">
            <w:pPr>
              <w:spacing w:line="360" w:lineRule="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报价唯一</w:t>
            </w:r>
          </w:p>
        </w:tc>
        <w:tc>
          <w:tcPr>
            <w:tcW w:w="5295" w:type="dxa"/>
            <w:noWrap/>
            <w:vAlign w:val="center"/>
          </w:tcPr>
          <w:p w14:paraId="5B4A8588">
            <w:pPr>
              <w:spacing w:line="360" w:lineRule="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只能有一个有效报价</w:t>
            </w:r>
          </w:p>
        </w:tc>
      </w:tr>
      <w:tr w14:paraId="5C3C3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1" w:hRule="atLeast"/>
        </w:trPr>
        <w:tc>
          <w:tcPr>
            <w:tcW w:w="945" w:type="dxa"/>
            <w:vMerge w:val="restart"/>
            <w:noWrap/>
            <w:vAlign w:val="center"/>
          </w:tcPr>
          <w:p w14:paraId="455BD0A1">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.1.2</w:t>
            </w:r>
          </w:p>
        </w:tc>
        <w:tc>
          <w:tcPr>
            <w:tcW w:w="1183" w:type="dxa"/>
            <w:vMerge w:val="restart"/>
            <w:noWrap/>
            <w:vAlign w:val="center"/>
          </w:tcPr>
          <w:p w14:paraId="3CA3B637">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资格评审标准</w:t>
            </w:r>
          </w:p>
        </w:tc>
        <w:tc>
          <w:tcPr>
            <w:tcW w:w="2040" w:type="dxa"/>
            <w:noWrap/>
            <w:vAlign w:val="center"/>
          </w:tcPr>
          <w:p w14:paraId="4FFD3DFA">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rPr>
              <w:t>营业执照</w:t>
            </w:r>
          </w:p>
        </w:tc>
        <w:tc>
          <w:tcPr>
            <w:tcW w:w="5295" w:type="dxa"/>
            <w:noWrap/>
            <w:vAlign w:val="center"/>
          </w:tcPr>
          <w:p w14:paraId="666FA443">
            <w:pPr>
              <w:spacing w:line="360" w:lineRule="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具有有效的营业执照、税务登记证、组织机构代码证（或三证合一的营业执照）</w:t>
            </w:r>
          </w:p>
        </w:tc>
      </w:tr>
      <w:tr w14:paraId="018BC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1" w:hRule="atLeast"/>
        </w:trPr>
        <w:tc>
          <w:tcPr>
            <w:tcW w:w="945" w:type="dxa"/>
            <w:vMerge w:val="continue"/>
            <w:noWrap/>
            <w:vAlign w:val="center"/>
          </w:tcPr>
          <w:p w14:paraId="3C9C9637">
            <w:pPr>
              <w:spacing w:line="360" w:lineRule="auto"/>
              <w:jc w:val="center"/>
              <w:rPr>
                <w:rFonts w:hint="eastAsia" w:ascii="宋体" w:hAnsi="宋体" w:eastAsia="宋体" w:cs="宋体"/>
                <w:color w:val="auto"/>
                <w:sz w:val="24"/>
                <w:szCs w:val="24"/>
                <w:highlight w:val="none"/>
                <w:lang w:val="en-US" w:eastAsia="zh-CN"/>
              </w:rPr>
            </w:pPr>
          </w:p>
        </w:tc>
        <w:tc>
          <w:tcPr>
            <w:tcW w:w="1183" w:type="dxa"/>
            <w:vMerge w:val="continue"/>
            <w:noWrap/>
            <w:vAlign w:val="center"/>
          </w:tcPr>
          <w:p w14:paraId="73685700">
            <w:pPr>
              <w:spacing w:line="360" w:lineRule="auto"/>
              <w:jc w:val="center"/>
              <w:rPr>
                <w:rFonts w:hint="eastAsia" w:ascii="宋体" w:hAnsi="宋体" w:eastAsia="宋体" w:cs="宋体"/>
                <w:color w:val="auto"/>
                <w:sz w:val="24"/>
                <w:szCs w:val="24"/>
                <w:highlight w:val="none"/>
              </w:rPr>
            </w:pPr>
          </w:p>
        </w:tc>
        <w:tc>
          <w:tcPr>
            <w:tcW w:w="2040" w:type="dxa"/>
            <w:noWrap/>
            <w:vAlign w:val="center"/>
          </w:tcPr>
          <w:p w14:paraId="425E8E4F">
            <w:pPr>
              <w:spacing w:line="360" w:lineRule="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具有履行本项目采购的能力</w:t>
            </w:r>
          </w:p>
        </w:tc>
        <w:tc>
          <w:tcPr>
            <w:tcW w:w="5295" w:type="dxa"/>
            <w:noWrap/>
            <w:vAlign w:val="center"/>
          </w:tcPr>
          <w:p w14:paraId="4DDD4A8C">
            <w:pPr>
              <w:spacing w:line="360" w:lineRule="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具有履行本项目采购内容所必须的设备和专业技术服务能力；(提供证明材料或承诺书)</w:t>
            </w:r>
          </w:p>
        </w:tc>
      </w:tr>
      <w:tr w14:paraId="05B5E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945" w:type="dxa"/>
            <w:vMerge w:val="continue"/>
            <w:noWrap/>
            <w:vAlign w:val="center"/>
          </w:tcPr>
          <w:p w14:paraId="7DC3D63F">
            <w:pPr>
              <w:spacing w:line="360" w:lineRule="auto"/>
              <w:jc w:val="center"/>
              <w:rPr>
                <w:rFonts w:hint="eastAsia" w:ascii="宋体" w:hAnsi="宋体" w:eastAsia="宋体" w:cs="宋体"/>
                <w:color w:val="auto"/>
                <w:sz w:val="24"/>
                <w:szCs w:val="24"/>
                <w:highlight w:val="none"/>
              </w:rPr>
            </w:pPr>
          </w:p>
        </w:tc>
        <w:tc>
          <w:tcPr>
            <w:tcW w:w="1183" w:type="dxa"/>
            <w:vMerge w:val="continue"/>
            <w:noWrap/>
            <w:vAlign w:val="center"/>
          </w:tcPr>
          <w:p w14:paraId="0827E8BB">
            <w:pPr>
              <w:spacing w:line="360" w:lineRule="auto"/>
              <w:jc w:val="center"/>
              <w:rPr>
                <w:rFonts w:hint="eastAsia" w:ascii="宋体" w:hAnsi="宋体" w:eastAsia="宋体" w:cs="宋体"/>
                <w:color w:val="auto"/>
                <w:sz w:val="24"/>
                <w:szCs w:val="24"/>
                <w:highlight w:val="none"/>
              </w:rPr>
            </w:pPr>
          </w:p>
        </w:tc>
        <w:tc>
          <w:tcPr>
            <w:tcW w:w="2040" w:type="dxa"/>
            <w:noWrap/>
            <w:vAlign w:val="center"/>
          </w:tcPr>
          <w:p w14:paraId="26D5ED26">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资质、项目负责人</w:t>
            </w:r>
          </w:p>
        </w:tc>
        <w:tc>
          <w:tcPr>
            <w:tcW w:w="5295" w:type="dxa"/>
            <w:noWrap/>
            <w:vAlign w:val="center"/>
          </w:tcPr>
          <w:p w14:paraId="5C922132">
            <w:pPr>
              <w:spacing w:line="360" w:lineRule="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符合第二章“供应商须知”规定</w:t>
            </w:r>
          </w:p>
        </w:tc>
      </w:tr>
      <w:tr w14:paraId="1D14B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2" w:hRule="atLeast"/>
        </w:trPr>
        <w:tc>
          <w:tcPr>
            <w:tcW w:w="945" w:type="dxa"/>
            <w:vMerge w:val="continue"/>
            <w:noWrap/>
            <w:vAlign w:val="center"/>
          </w:tcPr>
          <w:p w14:paraId="4AD236FD">
            <w:pPr>
              <w:spacing w:line="360" w:lineRule="auto"/>
              <w:jc w:val="center"/>
              <w:rPr>
                <w:rFonts w:hint="eastAsia" w:ascii="宋体" w:hAnsi="宋体" w:eastAsia="宋体" w:cs="宋体"/>
                <w:color w:val="auto"/>
                <w:sz w:val="24"/>
                <w:szCs w:val="24"/>
                <w:highlight w:val="none"/>
              </w:rPr>
            </w:pPr>
          </w:p>
        </w:tc>
        <w:tc>
          <w:tcPr>
            <w:tcW w:w="1183" w:type="dxa"/>
            <w:vMerge w:val="continue"/>
            <w:noWrap/>
            <w:vAlign w:val="center"/>
          </w:tcPr>
          <w:p w14:paraId="56D4B237">
            <w:pPr>
              <w:spacing w:line="360" w:lineRule="auto"/>
              <w:rPr>
                <w:rFonts w:hint="eastAsia" w:ascii="宋体" w:hAnsi="宋体" w:eastAsia="宋体" w:cs="宋体"/>
                <w:color w:val="auto"/>
                <w:sz w:val="24"/>
                <w:szCs w:val="24"/>
                <w:highlight w:val="none"/>
              </w:rPr>
            </w:pPr>
          </w:p>
        </w:tc>
        <w:tc>
          <w:tcPr>
            <w:tcW w:w="2040" w:type="dxa"/>
            <w:noWrap/>
            <w:vAlign w:val="center"/>
          </w:tcPr>
          <w:p w14:paraId="5D1449AD">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无商业贿赂及无不正当竞争行为的承诺书</w:t>
            </w:r>
          </w:p>
        </w:tc>
        <w:tc>
          <w:tcPr>
            <w:tcW w:w="5295" w:type="dxa"/>
            <w:noWrap/>
            <w:vAlign w:val="center"/>
          </w:tcPr>
          <w:p w14:paraId="2E79B892">
            <w:pPr>
              <w:spacing w:line="360" w:lineRule="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出具本单位无商业贿赂及无不正当竞争行为的承诺书（自行作出承诺，格式自拟）；</w:t>
            </w:r>
          </w:p>
        </w:tc>
      </w:tr>
      <w:tr w14:paraId="3FB1C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3" w:hRule="atLeast"/>
        </w:trPr>
        <w:tc>
          <w:tcPr>
            <w:tcW w:w="945" w:type="dxa"/>
            <w:vMerge w:val="continue"/>
            <w:noWrap/>
            <w:vAlign w:val="center"/>
          </w:tcPr>
          <w:p w14:paraId="5482F424">
            <w:pPr>
              <w:spacing w:line="360" w:lineRule="auto"/>
              <w:jc w:val="center"/>
              <w:rPr>
                <w:rFonts w:hint="eastAsia" w:ascii="宋体" w:hAnsi="宋体" w:eastAsia="宋体" w:cs="宋体"/>
                <w:color w:val="auto"/>
                <w:sz w:val="24"/>
                <w:szCs w:val="24"/>
                <w:highlight w:val="none"/>
              </w:rPr>
            </w:pPr>
          </w:p>
        </w:tc>
        <w:tc>
          <w:tcPr>
            <w:tcW w:w="1183" w:type="dxa"/>
            <w:vMerge w:val="continue"/>
            <w:noWrap/>
            <w:vAlign w:val="center"/>
          </w:tcPr>
          <w:p w14:paraId="498ED126">
            <w:pPr>
              <w:spacing w:line="360" w:lineRule="auto"/>
              <w:rPr>
                <w:rFonts w:hint="eastAsia" w:ascii="宋体" w:hAnsi="宋体" w:eastAsia="宋体" w:cs="宋体"/>
                <w:color w:val="auto"/>
                <w:sz w:val="24"/>
                <w:szCs w:val="24"/>
                <w:highlight w:val="none"/>
              </w:rPr>
            </w:pPr>
          </w:p>
        </w:tc>
        <w:tc>
          <w:tcPr>
            <w:tcW w:w="2040" w:type="dxa"/>
            <w:noWrap/>
            <w:vAlign w:val="center"/>
          </w:tcPr>
          <w:p w14:paraId="3C4E1DDA">
            <w:pPr>
              <w:spacing w:line="360" w:lineRule="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没有重大违法记录</w:t>
            </w:r>
          </w:p>
        </w:tc>
        <w:tc>
          <w:tcPr>
            <w:tcW w:w="5295" w:type="dxa"/>
            <w:noWrap/>
            <w:vAlign w:val="center"/>
          </w:tcPr>
          <w:p w14:paraId="3C7B0876">
            <w:pPr>
              <w:spacing w:line="360" w:lineRule="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 xml:space="preserve">参加政府采购活动近三年内，在经营活动中没有重大违法记录（自行作出承诺，格式自拟）； </w:t>
            </w:r>
          </w:p>
        </w:tc>
      </w:tr>
      <w:tr w14:paraId="304D7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72" w:hRule="atLeast"/>
        </w:trPr>
        <w:tc>
          <w:tcPr>
            <w:tcW w:w="945" w:type="dxa"/>
            <w:vMerge w:val="continue"/>
            <w:noWrap/>
            <w:vAlign w:val="center"/>
          </w:tcPr>
          <w:p w14:paraId="13684859">
            <w:pPr>
              <w:spacing w:line="360" w:lineRule="auto"/>
              <w:jc w:val="center"/>
              <w:rPr>
                <w:rFonts w:hint="eastAsia" w:ascii="宋体" w:hAnsi="宋体" w:eastAsia="宋体" w:cs="宋体"/>
                <w:color w:val="auto"/>
                <w:sz w:val="24"/>
                <w:szCs w:val="24"/>
                <w:highlight w:val="none"/>
              </w:rPr>
            </w:pPr>
          </w:p>
        </w:tc>
        <w:tc>
          <w:tcPr>
            <w:tcW w:w="1183" w:type="dxa"/>
            <w:vMerge w:val="continue"/>
            <w:noWrap/>
            <w:vAlign w:val="center"/>
          </w:tcPr>
          <w:p w14:paraId="27514215">
            <w:pPr>
              <w:spacing w:line="360" w:lineRule="auto"/>
              <w:rPr>
                <w:rFonts w:hint="eastAsia" w:ascii="宋体" w:hAnsi="宋体" w:eastAsia="宋体" w:cs="宋体"/>
                <w:color w:val="auto"/>
                <w:sz w:val="24"/>
                <w:szCs w:val="24"/>
                <w:highlight w:val="none"/>
              </w:rPr>
            </w:pPr>
          </w:p>
        </w:tc>
        <w:tc>
          <w:tcPr>
            <w:tcW w:w="2040" w:type="dxa"/>
            <w:noWrap/>
            <w:vAlign w:val="center"/>
          </w:tcPr>
          <w:p w14:paraId="093FCDAB">
            <w:pPr>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信用查询</w:t>
            </w:r>
          </w:p>
        </w:tc>
        <w:tc>
          <w:tcPr>
            <w:tcW w:w="5295" w:type="dxa"/>
            <w:noWrap/>
            <w:vAlign w:val="center"/>
          </w:tcPr>
          <w:p w14:paraId="74533ACF">
            <w:pPr>
              <w:spacing w:line="360" w:lineRule="auto"/>
              <w:ind w:left="0"/>
              <w:jc w:val="both"/>
              <w:rPr>
                <w:rFonts w:hint="eastAsia" w:ascii="宋体" w:hAnsi="宋体" w:eastAsia="宋体" w:cs="宋体"/>
                <w:color w:val="auto"/>
                <w:kern w:val="2"/>
                <w:sz w:val="24"/>
                <w:szCs w:val="24"/>
                <w:highlight w:val="none"/>
                <w:lang w:val="en-US"/>
              </w:rPr>
            </w:pPr>
            <w:r>
              <w:rPr>
                <w:rFonts w:hint="eastAsia" w:ascii="宋体" w:hAnsi="宋体" w:eastAsia="宋体" w:cs="宋体"/>
                <w:color w:val="auto"/>
                <w:kern w:val="2"/>
                <w:sz w:val="24"/>
                <w:szCs w:val="24"/>
                <w:highlight w:val="none"/>
                <w:lang w:val="en-US"/>
              </w:rPr>
              <w:t>供应商未列入“中国执行信息公开网”的“失信被执行人” 名单、“信用中国”www.creditchina.gov.cn网站的”重大税收违法失信主体”及“中国政府采购网”www.ccgp.gov.cn网站的“政府采购严重违法失信行为记录名单”；（提供“中国执行信息公开网”、“信用中国”和“中国政府采购网”网站的查询信息截图，查询日期自公告发布之日起至响应文件递交截止时间前）；</w:t>
            </w:r>
          </w:p>
        </w:tc>
      </w:tr>
      <w:tr w14:paraId="0FC8A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3" w:hRule="atLeast"/>
        </w:trPr>
        <w:tc>
          <w:tcPr>
            <w:tcW w:w="945" w:type="dxa"/>
            <w:vMerge w:val="continue"/>
            <w:noWrap/>
            <w:vAlign w:val="center"/>
          </w:tcPr>
          <w:p w14:paraId="44CE5A42">
            <w:pPr>
              <w:spacing w:line="360" w:lineRule="auto"/>
              <w:jc w:val="center"/>
              <w:rPr>
                <w:rFonts w:hint="eastAsia" w:ascii="宋体" w:hAnsi="宋体" w:eastAsia="宋体" w:cs="宋体"/>
                <w:color w:val="auto"/>
                <w:sz w:val="24"/>
                <w:szCs w:val="24"/>
                <w:highlight w:val="none"/>
              </w:rPr>
            </w:pPr>
          </w:p>
        </w:tc>
        <w:tc>
          <w:tcPr>
            <w:tcW w:w="1183" w:type="dxa"/>
            <w:vMerge w:val="continue"/>
            <w:noWrap/>
            <w:vAlign w:val="center"/>
          </w:tcPr>
          <w:p w14:paraId="5F3B788D">
            <w:pPr>
              <w:spacing w:line="360" w:lineRule="auto"/>
              <w:rPr>
                <w:rFonts w:hint="eastAsia" w:ascii="宋体" w:hAnsi="宋体" w:eastAsia="宋体" w:cs="宋体"/>
                <w:color w:val="auto"/>
                <w:sz w:val="24"/>
                <w:szCs w:val="24"/>
                <w:highlight w:val="none"/>
              </w:rPr>
            </w:pPr>
          </w:p>
        </w:tc>
        <w:tc>
          <w:tcPr>
            <w:tcW w:w="2040" w:type="dxa"/>
            <w:noWrap/>
            <w:vAlign w:val="center"/>
          </w:tcPr>
          <w:p w14:paraId="372157B9">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联合体投标</w:t>
            </w:r>
          </w:p>
        </w:tc>
        <w:tc>
          <w:tcPr>
            <w:tcW w:w="5295" w:type="dxa"/>
            <w:noWrap/>
            <w:vAlign w:val="center"/>
          </w:tcPr>
          <w:p w14:paraId="2DDC78F8">
            <w:pPr>
              <w:spacing w:line="360" w:lineRule="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rPr>
              <w:t>本项目不接受联合体投标</w:t>
            </w:r>
          </w:p>
        </w:tc>
      </w:tr>
      <w:tr w14:paraId="5C19B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3" w:hRule="atLeast"/>
        </w:trPr>
        <w:tc>
          <w:tcPr>
            <w:tcW w:w="945" w:type="dxa"/>
            <w:vMerge w:val="continue"/>
            <w:noWrap/>
            <w:vAlign w:val="center"/>
          </w:tcPr>
          <w:p w14:paraId="22DB550E">
            <w:pPr>
              <w:spacing w:line="360" w:lineRule="auto"/>
              <w:jc w:val="center"/>
              <w:rPr>
                <w:rFonts w:hint="eastAsia" w:ascii="宋体" w:hAnsi="宋体" w:eastAsia="宋体" w:cs="宋体"/>
                <w:color w:val="auto"/>
                <w:sz w:val="24"/>
                <w:szCs w:val="24"/>
                <w:highlight w:val="none"/>
              </w:rPr>
            </w:pPr>
          </w:p>
        </w:tc>
        <w:tc>
          <w:tcPr>
            <w:tcW w:w="1183" w:type="dxa"/>
            <w:vMerge w:val="continue"/>
            <w:noWrap/>
            <w:vAlign w:val="center"/>
          </w:tcPr>
          <w:p w14:paraId="4C9AD91E">
            <w:pPr>
              <w:spacing w:line="360" w:lineRule="auto"/>
              <w:rPr>
                <w:rFonts w:hint="eastAsia" w:ascii="宋体" w:hAnsi="宋体" w:eastAsia="宋体" w:cs="宋体"/>
                <w:color w:val="auto"/>
                <w:sz w:val="24"/>
                <w:szCs w:val="24"/>
                <w:highlight w:val="none"/>
              </w:rPr>
            </w:pPr>
          </w:p>
        </w:tc>
        <w:tc>
          <w:tcPr>
            <w:tcW w:w="2040" w:type="dxa"/>
            <w:noWrap/>
            <w:vAlign w:val="center"/>
          </w:tcPr>
          <w:p w14:paraId="009166B9">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rPr>
              <w:t>其他内容</w:t>
            </w:r>
          </w:p>
        </w:tc>
        <w:tc>
          <w:tcPr>
            <w:tcW w:w="5295" w:type="dxa"/>
            <w:noWrap/>
            <w:vAlign w:val="center"/>
          </w:tcPr>
          <w:p w14:paraId="6B6EAA1C">
            <w:pPr>
              <w:spacing w:line="360" w:lineRule="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竞争性磋商文件规定的其他资格要求资料</w:t>
            </w:r>
          </w:p>
        </w:tc>
      </w:tr>
      <w:tr w14:paraId="2ECF3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2" w:hRule="atLeast"/>
        </w:trPr>
        <w:tc>
          <w:tcPr>
            <w:tcW w:w="945" w:type="dxa"/>
            <w:vMerge w:val="restart"/>
            <w:noWrap/>
            <w:vAlign w:val="center"/>
          </w:tcPr>
          <w:p w14:paraId="2D75A454">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.1.3</w:t>
            </w:r>
          </w:p>
        </w:tc>
        <w:tc>
          <w:tcPr>
            <w:tcW w:w="1183" w:type="dxa"/>
            <w:vMerge w:val="restart"/>
            <w:noWrap/>
            <w:vAlign w:val="center"/>
          </w:tcPr>
          <w:p w14:paraId="2B5008FA">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rPr>
              <w:t>响应性评审标准</w:t>
            </w:r>
          </w:p>
        </w:tc>
        <w:tc>
          <w:tcPr>
            <w:tcW w:w="2040" w:type="dxa"/>
            <w:noWrap/>
            <w:vAlign w:val="center"/>
          </w:tcPr>
          <w:p w14:paraId="5E995D67">
            <w:pPr>
              <w:spacing w:line="360" w:lineRule="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投标内容</w:t>
            </w:r>
          </w:p>
        </w:tc>
        <w:tc>
          <w:tcPr>
            <w:tcW w:w="5295" w:type="dxa"/>
            <w:noWrap/>
            <w:vAlign w:val="center"/>
          </w:tcPr>
          <w:p w14:paraId="089E0F9C">
            <w:pPr>
              <w:spacing w:line="360" w:lineRule="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符合第二章“供应商须知”规定</w:t>
            </w:r>
          </w:p>
        </w:tc>
      </w:tr>
      <w:tr w14:paraId="119E8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6" w:hRule="atLeast"/>
        </w:trPr>
        <w:tc>
          <w:tcPr>
            <w:tcW w:w="945" w:type="dxa"/>
            <w:vMerge w:val="continue"/>
            <w:noWrap/>
            <w:vAlign w:val="top"/>
          </w:tcPr>
          <w:p w14:paraId="120EDC5C">
            <w:pPr>
              <w:spacing w:line="360" w:lineRule="auto"/>
              <w:rPr>
                <w:rFonts w:hint="eastAsia" w:ascii="宋体" w:hAnsi="宋体" w:eastAsia="宋体" w:cs="宋体"/>
                <w:color w:val="auto"/>
                <w:sz w:val="24"/>
                <w:szCs w:val="24"/>
                <w:highlight w:val="none"/>
              </w:rPr>
            </w:pPr>
          </w:p>
        </w:tc>
        <w:tc>
          <w:tcPr>
            <w:tcW w:w="1183" w:type="dxa"/>
            <w:vMerge w:val="continue"/>
            <w:noWrap/>
            <w:vAlign w:val="top"/>
          </w:tcPr>
          <w:p w14:paraId="678CCBF4">
            <w:pPr>
              <w:spacing w:line="360" w:lineRule="auto"/>
              <w:rPr>
                <w:rFonts w:hint="eastAsia" w:ascii="宋体" w:hAnsi="宋体" w:eastAsia="宋体" w:cs="宋体"/>
                <w:color w:val="auto"/>
                <w:sz w:val="24"/>
                <w:szCs w:val="24"/>
                <w:highlight w:val="none"/>
              </w:rPr>
            </w:pPr>
          </w:p>
        </w:tc>
        <w:tc>
          <w:tcPr>
            <w:tcW w:w="2040" w:type="dxa"/>
            <w:noWrap/>
            <w:vAlign w:val="center"/>
          </w:tcPr>
          <w:p w14:paraId="358B9DB7">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服务期限</w:t>
            </w:r>
          </w:p>
        </w:tc>
        <w:tc>
          <w:tcPr>
            <w:tcW w:w="5295" w:type="dxa"/>
            <w:noWrap/>
            <w:vAlign w:val="center"/>
          </w:tcPr>
          <w:p w14:paraId="5D9CF42C">
            <w:pPr>
              <w:spacing w:line="360" w:lineRule="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符合第二章“供应商须知”规定</w:t>
            </w:r>
          </w:p>
        </w:tc>
      </w:tr>
      <w:tr w14:paraId="6AB91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945" w:type="dxa"/>
            <w:vMerge w:val="continue"/>
            <w:noWrap/>
            <w:vAlign w:val="top"/>
          </w:tcPr>
          <w:p w14:paraId="695F2C66">
            <w:pPr>
              <w:spacing w:line="360" w:lineRule="auto"/>
              <w:rPr>
                <w:rFonts w:hint="eastAsia" w:ascii="宋体" w:hAnsi="宋体" w:eastAsia="宋体" w:cs="宋体"/>
                <w:color w:val="auto"/>
                <w:sz w:val="24"/>
                <w:szCs w:val="24"/>
                <w:highlight w:val="none"/>
              </w:rPr>
            </w:pPr>
          </w:p>
        </w:tc>
        <w:tc>
          <w:tcPr>
            <w:tcW w:w="1183" w:type="dxa"/>
            <w:vMerge w:val="continue"/>
            <w:noWrap/>
            <w:vAlign w:val="top"/>
          </w:tcPr>
          <w:p w14:paraId="7EBFBDCE">
            <w:pPr>
              <w:spacing w:line="360" w:lineRule="auto"/>
              <w:rPr>
                <w:rFonts w:hint="eastAsia" w:ascii="宋体" w:hAnsi="宋体" w:eastAsia="宋体" w:cs="宋体"/>
                <w:color w:val="auto"/>
                <w:sz w:val="24"/>
                <w:szCs w:val="24"/>
                <w:highlight w:val="none"/>
              </w:rPr>
            </w:pPr>
          </w:p>
        </w:tc>
        <w:tc>
          <w:tcPr>
            <w:tcW w:w="2040" w:type="dxa"/>
            <w:noWrap/>
            <w:vAlign w:val="center"/>
          </w:tcPr>
          <w:p w14:paraId="207C9CDC">
            <w:pPr>
              <w:spacing w:line="360" w:lineRule="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质量要求</w:t>
            </w:r>
          </w:p>
        </w:tc>
        <w:tc>
          <w:tcPr>
            <w:tcW w:w="5295" w:type="dxa"/>
            <w:noWrap/>
            <w:vAlign w:val="center"/>
          </w:tcPr>
          <w:p w14:paraId="08D11178">
            <w:pPr>
              <w:spacing w:line="360" w:lineRule="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符合第二章“供应商须知”规定</w:t>
            </w:r>
          </w:p>
        </w:tc>
      </w:tr>
      <w:tr w14:paraId="1C35C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atLeast"/>
        </w:trPr>
        <w:tc>
          <w:tcPr>
            <w:tcW w:w="945" w:type="dxa"/>
            <w:vMerge w:val="continue"/>
            <w:noWrap/>
            <w:vAlign w:val="top"/>
          </w:tcPr>
          <w:p w14:paraId="535D560C">
            <w:pPr>
              <w:spacing w:line="360" w:lineRule="auto"/>
              <w:rPr>
                <w:rFonts w:hint="eastAsia" w:ascii="宋体" w:hAnsi="宋体" w:eastAsia="宋体" w:cs="宋体"/>
                <w:color w:val="auto"/>
                <w:sz w:val="24"/>
                <w:szCs w:val="24"/>
                <w:highlight w:val="none"/>
              </w:rPr>
            </w:pPr>
          </w:p>
        </w:tc>
        <w:tc>
          <w:tcPr>
            <w:tcW w:w="1183" w:type="dxa"/>
            <w:vMerge w:val="continue"/>
            <w:noWrap/>
            <w:vAlign w:val="top"/>
          </w:tcPr>
          <w:p w14:paraId="1D1F39E2">
            <w:pPr>
              <w:spacing w:line="360" w:lineRule="auto"/>
              <w:rPr>
                <w:rFonts w:hint="eastAsia" w:ascii="宋体" w:hAnsi="宋体" w:eastAsia="宋体" w:cs="宋体"/>
                <w:color w:val="auto"/>
                <w:sz w:val="24"/>
                <w:szCs w:val="24"/>
                <w:highlight w:val="none"/>
              </w:rPr>
            </w:pPr>
          </w:p>
        </w:tc>
        <w:tc>
          <w:tcPr>
            <w:tcW w:w="2040" w:type="dxa"/>
            <w:noWrap/>
            <w:vAlign w:val="center"/>
          </w:tcPr>
          <w:p w14:paraId="67ECC8F0">
            <w:pPr>
              <w:spacing w:line="360" w:lineRule="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投标有效期</w:t>
            </w:r>
          </w:p>
        </w:tc>
        <w:tc>
          <w:tcPr>
            <w:tcW w:w="5295" w:type="dxa"/>
            <w:noWrap/>
            <w:vAlign w:val="center"/>
          </w:tcPr>
          <w:p w14:paraId="7AFF3013">
            <w:pPr>
              <w:spacing w:line="360" w:lineRule="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符合第二章“供应商须知”规定</w:t>
            </w:r>
          </w:p>
        </w:tc>
      </w:tr>
      <w:tr w14:paraId="2D08D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2" w:hRule="atLeast"/>
        </w:trPr>
        <w:tc>
          <w:tcPr>
            <w:tcW w:w="945" w:type="dxa"/>
            <w:vMerge w:val="continue"/>
            <w:noWrap/>
            <w:vAlign w:val="top"/>
          </w:tcPr>
          <w:p w14:paraId="0A3A5E4A">
            <w:pPr>
              <w:spacing w:line="360" w:lineRule="auto"/>
              <w:rPr>
                <w:rFonts w:hint="eastAsia" w:ascii="宋体" w:hAnsi="宋体" w:eastAsia="宋体" w:cs="宋体"/>
                <w:color w:val="auto"/>
                <w:sz w:val="24"/>
                <w:szCs w:val="24"/>
                <w:highlight w:val="none"/>
              </w:rPr>
            </w:pPr>
          </w:p>
        </w:tc>
        <w:tc>
          <w:tcPr>
            <w:tcW w:w="1183" w:type="dxa"/>
            <w:vMerge w:val="continue"/>
            <w:noWrap/>
            <w:vAlign w:val="top"/>
          </w:tcPr>
          <w:p w14:paraId="5C62EA96">
            <w:pPr>
              <w:spacing w:line="360" w:lineRule="auto"/>
              <w:rPr>
                <w:rFonts w:hint="eastAsia" w:ascii="宋体" w:hAnsi="宋体" w:eastAsia="宋体" w:cs="宋体"/>
                <w:color w:val="auto"/>
                <w:sz w:val="24"/>
                <w:szCs w:val="24"/>
                <w:highlight w:val="none"/>
              </w:rPr>
            </w:pPr>
          </w:p>
        </w:tc>
        <w:tc>
          <w:tcPr>
            <w:tcW w:w="2040" w:type="dxa"/>
            <w:noWrap/>
            <w:vAlign w:val="center"/>
          </w:tcPr>
          <w:p w14:paraId="195D9E32">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rPr>
              <w:t>投标承诺书</w:t>
            </w:r>
          </w:p>
        </w:tc>
        <w:tc>
          <w:tcPr>
            <w:tcW w:w="5295" w:type="dxa"/>
            <w:noWrap/>
            <w:vAlign w:val="center"/>
          </w:tcPr>
          <w:p w14:paraId="48765790">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rPr>
              <w:t>符合第二章“供应商须知”规定</w:t>
            </w:r>
          </w:p>
        </w:tc>
      </w:tr>
      <w:tr w14:paraId="4EFB8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2" w:hRule="atLeast"/>
        </w:trPr>
        <w:tc>
          <w:tcPr>
            <w:tcW w:w="945" w:type="dxa"/>
            <w:vMerge w:val="continue"/>
            <w:noWrap/>
            <w:vAlign w:val="top"/>
          </w:tcPr>
          <w:p w14:paraId="579FB288">
            <w:pPr>
              <w:spacing w:line="360" w:lineRule="auto"/>
              <w:rPr>
                <w:rFonts w:hint="eastAsia" w:ascii="宋体" w:hAnsi="宋体" w:eastAsia="宋体" w:cs="宋体"/>
                <w:color w:val="auto"/>
                <w:sz w:val="24"/>
                <w:szCs w:val="24"/>
                <w:highlight w:val="none"/>
              </w:rPr>
            </w:pPr>
          </w:p>
        </w:tc>
        <w:tc>
          <w:tcPr>
            <w:tcW w:w="1183" w:type="dxa"/>
            <w:vMerge w:val="continue"/>
            <w:noWrap/>
            <w:vAlign w:val="top"/>
          </w:tcPr>
          <w:p w14:paraId="58EAC04C">
            <w:pPr>
              <w:spacing w:line="360" w:lineRule="auto"/>
              <w:rPr>
                <w:rFonts w:hint="eastAsia" w:ascii="宋体" w:hAnsi="宋体" w:eastAsia="宋体" w:cs="宋体"/>
                <w:color w:val="auto"/>
                <w:sz w:val="24"/>
                <w:szCs w:val="24"/>
                <w:highlight w:val="none"/>
              </w:rPr>
            </w:pPr>
          </w:p>
        </w:tc>
        <w:tc>
          <w:tcPr>
            <w:tcW w:w="2040" w:type="dxa"/>
            <w:noWrap/>
            <w:vAlign w:val="center"/>
          </w:tcPr>
          <w:p w14:paraId="3CEA5D38">
            <w:pPr>
              <w:spacing w:line="360" w:lineRule="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其他内容</w:t>
            </w:r>
          </w:p>
        </w:tc>
        <w:tc>
          <w:tcPr>
            <w:tcW w:w="5295" w:type="dxa"/>
            <w:noWrap/>
            <w:vAlign w:val="center"/>
          </w:tcPr>
          <w:p w14:paraId="5A70E72D">
            <w:pPr>
              <w:spacing w:line="360" w:lineRule="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符合第二章“供应商须知”规定</w:t>
            </w:r>
          </w:p>
        </w:tc>
      </w:tr>
    </w:tbl>
    <w:p w14:paraId="67F68A83">
      <w:pPr>
        <w:numPr>
          <w:ilvl w:val="0"/>
          <w:numId w:val="0"/>
        </w:numPr>
        <w:snapToGrid w:val="0"/>
        <w:spacing w:line="460" w:lineRule="exact"/>
        <w:ind w:firstLine="0" w:firstLineChars="0"/>
        <w:outlineLvl w:val="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详细评审</w:t>
      </w:r>
    </w:p>
    <w:tbl>
      <w:tblPr>
        <w:tblStyle w:val="17"/>
        <w:tblW w:w="96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5"/>
        <w:gridCol w:w="1302"/>
        <w:gridCol w:w="6191"/>
        <w:gridCol w:w="960"/>
      </w:tblGrid>
      <w:tr w14:paraId="32737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1155" w:type="dxa"/>
            <w:noWrap w:val="0"/>
            <w:vAlign w:val="center"/>
          </w:tcPr>
          <w:p w14:paraId="433C5BF6">
            <w:pPr>
              <w:keepNext w:val="0"/>
              <w:keepLines w:val="0"/>
              <w:pageBreakBefore w:val="0"/>
              <w:widowControl/>
              <w:kinsoku/>
              <w:wordWrap/>
              <w:overflowPunct/>
              <w:topLinePunct w:val="0"/>
              <w:autoSpaceDE/>
              <w:autoSpaceDN/>
              <w:bidi w:val="0"/>
              <w:spacing w:beforeAutospacing="0" w:line="360" w:lineRule="auto"/>
              <w:jc w:val="center"/>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评标</w:t>
            </w:r>
          </w:p>
          <w:p w14:paraId="3B34502C">
            <w:pPr>
              <w:keepNext w:val="0"/>
              <w:keepLines w:val="0"/>
              <w:pageBreakBefore w:val="0"/>
              <w:widowControl/>
              <w:kinsoku/>
              <w:wordWrap/>
              <w:overflowPunct/>
              <w:topLinePunct w:val="0"/>
              <w:autoSpaceDE/>
              <w:autoSpaceDN/>
              <w:bidi w:val="0"/>
              <w:spacing w:beforeAutospacing="0" w:line="360" w:lineRule="auto"/>
              <w:jc w:val="center"/>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项目</w:t>
            </w:r>
          </w:p>
        </w:tc>
        <w:tc>
          <w:tcPr>
            <w:tcW w:w="7493" w:type="dxa"/>
            <w:gridSpan w:val="2"/>
            <w:noWrap w:val="0"/>
            <w:vAlign w:val="center"/>
          </w:tcPr>
          <w:p w14:paraId="166385EE">
            <w:pPr>
              <w:keepNext w:val="0"/>
              <w:keepLines w:val="0"/>
              <w:pageBreakBefore w:val="0"/>
              <w:widowControl/>
              <w:kinsoku/>
              <w:wordWrap/>
              <w:overflowPunct/>
              <w:topLinePunct w:val="0"/>
              <w:autoSpaceDE/>
              <w:autoSpaceDN/>
              <w:bidi w:val="0"/>
              <w:spacing w:beforeAutospacing="0" w:line="360" w:lineRule="auto"/>
              <w:jc w:val="center"/>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评标分项及分值</w:t>
            </w:r>
          </w:p>
        </w:tc>
        <w:tc>
          <w:tcPr>
            <w:tcW w:w="960" w:type="dxa"/>
            <w:noWrap w:val="0"/>
            <w:vAlign w:val="center"/>
          </w:tcPr>
          <w:p w14:paraId="79AEFDA1">
            <w:pPr>
              <w:keepNext w:val="0"/>
              <w:keepLines w:val="0"/>
              <w:pageBreakBefore w:val="0"/>
              <w:widowControl/>
              <w:kinsoku/>
              <w:wordWrap/>
              <w:overflowPunct/>
              <w:topLinePunct w:val="0"/>
              <w:autoSpaceDE/>
              <w:autoSpaceDN/>
              <w:bidi w:val="0"/>
              <w:spacing w:beforeAutospacing="0" w:line="360" w:lineRule="auto"/>
              <w:jc w:val="center"/>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分值</w:t>
            </w:r>
          </w:p>
        </w:tc>
      </w:tr>
      <w:tr w14:paraId="42E77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155" w:type="dxa"/>
            <w:noWrap w:val="0"/>
            <w:vAlign w:val="center"/>
          </w:tcPr>
          <w:p w14:paraId="6A0931AF">
            <w:pPr>
              <w:keepNext w:val="0"/>
              <w:keepLines w:val="0"/>
              <w:pageBreakBefore w:val="0"/>
              <w:widowControl/>
              <w:kinsoku/>
              <w:wordWrap/>
              <w:overflowPunct/>
              <w:topLinePunct w:val="0"/>
              <w:autoSpaceDE/>
              <w:autoSpaceDN/>
              <w:bidi w:val="0"/>
              <w:spacing w:beforeAutospacing="0"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磋商</w:t>
            </w:r>
          </w:p>
          <w:p w14:paraId="27B2E548">
            <w:pPr>
              <w:keepNext w:val="0"/>
              <w:keepLines w:val="0"/>
              <w:pageBreakBefore w:val="0"/>
              <w:widowControl/>
              <w:kinsoku/>
              <w:wordWrap/>
              <w:overflowPunct/>
              <w:topLinePunct w:val="0"/>
              <w:autoSpaceDE/>
              <w:autoSpaceDN/>
              <w:bidi w:val="0"/>
              <w:spacing w:beforeAutospacing="0"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报价</w:t>
            </w:r>
          </w:p>
          <w:p w14:paraId="0976DB6D">
            <w:pPr>
              <w:keepNext w:val="0"/>
              <w:keepLines w:val="0"/>
              <w:pageBreakBefore w:val="0"/>
              <w:widowControl/>
              <w:kinsoku/>
              <w:wordWrap/>
              <w:overflowPunct/>
              <w:topLinePunct w:val="0"/>
              <w:autoSpaceDE/>
              <w:autoSpaceDN/>
              <w:bidi w:val="0"/>
              <w:spacing w:beforeAutospacing="0"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1</w:t>
            </w:r>
            <w:r>
              <w:rPr>
                <w:rFonts w:hint="eastAsia" w:ascii="宋体" w:hAnsi="宋体" w:cs="宋体"/>
                <w:color w:val="auto"/>
                <w:kern w:val="0"/>
                <w:sz w:val="24"/>
                <w:szCs w:val="24"/>
                <w:highlight w:val="none"/>
                <w:lang w:val="en-US" w:eastAsia="zh-CN"/>
              </w:rPr>
              <w:t>0</w:t>
            </w:r>
            <w:r>
              <w:rPr>
                <w:rFonts w:hint="eastAsia" w:ascii="宋体" w:hAnsi="宋体" w:eastAsia="宋体" w:cs="宋体"/>
                <w:color w:val="auto"/>
                <w:kern w:val="0"/>
                <w:sz w:val="24"/>
                <w:szCs w:val="24"/>
                <w:highlight w:val="none"/>
              </w:rPr>
              <w:t>分）</w:t>
            </w:r>
          </w:p>
        </w:tc>
        <w:tc>
          <w:tcPr>
            <w:tcW w:w="1302" w:type="dxa"/>
            <w:noWrap w:val="0"/>
            <w:vAlign w:val="center"/>
          </w:tcPr>
          <w:p w14:paraId="3E206185">
            <w:pPr>
              <w:keepNext w:val="0"/>
              <w:keepLines w:val="0"/>
              <w:pageBreakBefore w:val="0"/>
              <w:widowControl/>
              <w:kinsoku/>
              <w:wordWrap/>
              <w:overflowPunct/>
              <w:topLinePunct w:val="0"/>
              <w:autoSpaceDE/>
              <w:autoSpaceDN/>
              <w:bidi w:val="0"/>
              <w:spacing w:beforeAutospacing="0"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磋商报价</w:t>
            </w:r>
          </w:p>
        </w:tc>
        <w:tc>
          <w:tcPr>
            <w:tcW w:w="6191" w:type="dxa"/>
            <w:noWrap w:val="0"/>
            <w:vAlign w:val="center"/>
          </w:tcPr>
          <w:p w14:paraId="22ABBA9C">
            <w:pPr>
              <w:keepNext w:val="0"/>
              <w:keepLines w:val="0"/>
              <w:pageBreakBefore w:val="0"/>
              <w:kinsoku/>
              <w:wordWrap/>
              <w:overflowPunct/>
              <w:topLinePunct w:val="0"/>
              <w:autoSpaceDE/>
              <w:autoSpaceDN/>
              <w:bidi w:val="0"/>
              <w:snapToGrid/>
              <w:spacing w:beforeAutospacing="0" w:line="360" w:lineRule="auto"/>
              <w:ind w:firstLine="0" w:firstLineChars="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本项目磋商报价超出最高限价的，采购人不予接受，且磋商为无效标。磋商报价得分：价格分采用低价优先法计算，即满足竞争性磋商文件要求且磋商价格最低的磋商报价为评标基准价，得</w:t>
            </w:r>
            <w:r>
              <w:rPr>
                <w:rFonts w:hint="eastAsia" w:ascii="宋体" w:hAnsi="宋体" w:eastAsia="宋体" w:cs="宋体"/>
                <w:bCs/>
                <w:color w:val="auto"/>
                <w:sz w:val="24"/>
                <w:szCs w:val="24"/>
                <w:highlight w:val="none"/>
                <w:lang w:val="en-US" w:eastAsia="zh-CN"/>
              </w:rPr>
              <w:t>1</w:t>
            </w:r>
            <w:r>
              <w:rPr>
                <w:rFonts w:hint="eastAsia" w:ascii="宋体" w:hAnsi="宋体" w:cs="宋体"/>
                <w:bCs/>
                <w:color w:val="auto"/>
                <w:sz w:val="24"/>
                <w:szCs w:val="24"/>
                <w:highlight w:val="none"/>
                <w:lang w:val="en-US" w:eastAsia="zh-CN"/>
              </w:rPr>
              <w:t>0</w:t>
            </w:r>
            <w:r>
              <w:rPr>
                <w:rFonts w:hint="eastAsia" w:ascii="宋体" w:hAnsi="宋体" w:eastAsia="宋体" w:cs="宋体"/>
                <w:bCs/>
                <w:color w:val="auto"/>
                <w:sz w:val="24"/>
                <w:szCs w:val="24"/>
                <w:highlight w:val="none"/>
              </w:rPr>
              <w:t>分，其他磋商供应商的价格分按照下列公式计算：</w:t>
            </w:r>
          </w:p>
          <w:p w14:paraId="7C737237">
            <w:pPr>
              <w:keepNext w:val="0"/>
              <w:keepLines w:val="0"/>
              <w:pageBreakBefore w:val="0"/>
              <w:kinsoku/>
              <w:wordWrap/>
              <w:overflowPunct/>
              <w:topLinePunct w:val="0"/>
              <w:autoSpaceDE/>
              <w:autoSpaceDN/>
              <w:bidi w:val="0"/>
              <w:snapToGrid/>
              <w:spacing w:beforeAutospacing="0" w:line="360" w:lineRule="auto"/>
              <w:ind w:firstLine="0" w:firstLineChars="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报价得分=（评标基准价/磋商报价）×</w:t>
            </w:r>
            <w:r>
              <w:rPr>
                <w:rFonts w:hint="eastAsia" w:ascii="宋体" w:hAnsi="宋体" w:eastAsia="宋体" w:cs="宋体"/>
                <w:bCs/>
                <w:color w:val="auto"/>
                <w:sz w:val="24"/>
                <w:szCs w:val="24"/>
                <w:highlight w:val="none"/>
                <w:lang w:val="en-US" w:eastAsia="zh-CN"/>
              </w:rPr>
              <w:t>1</w:t>
            </w:r>
            <w:r>
              <w:rPr>
                <w:rFonts w:hint="eastAsia" w:ascii="宋体" w:hAnsi="宋体" w:cs="宋体"/>
                <w:bCs/>
                <w:color w:val="auto"/>
                <w:sz w:val="24"/>
                <w:szCs w:val="24"/>
                <w:highlight w:val="none"/>
                <w:lang w:val="en-US" w:eastAsia="zh-CN"/>
              </w:rPr>
              <w:t>0</w:t>
            </w:r>
            <w:r>
              <w:rPr>
                <w:rFonts w:hint="eastAsia" w:ascii="宋体" w:hAnsi="宋体" w:eastAsia="宋体" w:cs="宋体"/>
                <w:bCs/>
                <w:color w:val="auto"/>
                <w:sz w:val="24"/>
                <w:szCs w:val="24"/>
                <w:highlight w:val="none"/>
              </w:rPr>
              <w:t>×100%</w:t>
            </w:r>
          </w:p>
          <w:p w14:paraId="162460B3">
            <w:pPr>
              <w:keepNext w:val="0"/>
              <w:keepLines w:val="0"/>
              <w:pageBreakBefore w:val="0"/>
              <w:kinsoku/>
              <w:wordWrap/>
              <w:overflowPunct/>
              <w:topLinePunct w:val="0"/>
              <w:autoSpaceDE/>
              <w:autoSpaceDN/>
              <w:bidi w:val="0"/>
              <w:snapToGrid/>
              <w:spacing w:beforeAutospacing="0" w:line="360" w:lineRule="auto"/>
              <w:ind w:firstLine="0" w:firstLineChars="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注：1.本项目对小微企业、监狱企业、残疾人福利性企业作为供应商所提供的本企业生产的产品的价格给予20%的扣除，同一供应商中小微企业产品、监狱企业产品、残疾人福利性单位产品的价格扣除优惠只享受一次，不得重复享受。</w:t>
            </w:r>
          </w:p>
          <w:p w14:paraId="4FDF0028">
            <w:pPr>
              <w:keepNext w:val="0"/>
              <w:keepLines w:val="0"/>
              <w:pageBreakBefore w:val="0"/>
              <w:kinsoku/>
              <w:wordWrap/>
              <w:overflowPunct/>
              <w:topLinePunct w:val="0"/>
              <w:autoSpaceDE/>
              <w:autoSpaceDN/>
              <w:bidi w:val="0"/>
              <w:snapToGrid/>
              <w:spacing w:beforeAutospacing="0" w:line="360" w:lineRule="auto"/>
              <w:ind w:firstLine="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2.如评标委员会一致认为投标报价明显低于其他通过符合性审查投标供应商的报价，有可能影响产品质量或者不能诚信履约的，应当要求其在评标现场合理的时间内提供说明资料，必要时提交相关证明材料；投标供应商不能证明其报价合理性的，经评标委员会取得一致意见后，评标委员会应当将其作为无效投标处理。</w:t>
            </w:r>
          </w:p>
        </w:tc>
        <w:tc>
          <w:tcPr>
            <w:tcW w:w="960" w:type="dxa"/>
            <w:noWrap w:val="0"/>
            <w:vAlign w:val="center"/>
          </w:tcPr>
          <w:p w14:paraId="58B5E324">
            <w:pPr>
              <w:keepNext w:val="0"/>
              <w:keepLines w:val="0"/>
              <w:pageBreakBefore w:val="0"/>
              <w:widowControl/>
              <w:kinsoku/>
              <w:wordWrap/>
              <w:overflowPunct/>
              <w:topLinePunct w:val="0"/>
              <w:autoSpaceDE/>
              <w:autoSpaceDN/>
              <w:bidi w:val="0"/>
              <w:spacing w:beforeAutospacing="0"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1</w:t>
            </w:r>
            <w:r>
              <w:rPr>
                <w:rFonts w:hint="eastAsia" w:ascii="宋体" w:hAnsi="宋体" w:cs="宋体"/>
                <w:color w:val="auto"/>
                <w:kern w:val="0"/>
                <w:sz w:val="24"/>
                <w:szCs w:val="24"/>
                <w:highlight w:val="none"/>
                <w:lang w:val="en-US" w:eastAsia="zh-CN"/>
              </w:rPr>
              <w:t>0</w:t>
            </w:r>
            <w:r>
              <w:rPr>
                <w:rFonts w:hint="eastAsia" w:ascii="宋体" w:hAnsi="宋体" w:eastAsia="宋体" w:cs="宋体"/>
                <w:color w:val="auto"/>
                <w:kern w:val="0"/>
                <w:sz w:val="24"/>
                <w:szCs w:val="24"/>
                <w:highlight w:val="none"/>
              </w:rPr>
              <w:t>分</w:t>
            </w:r>
          </w:p>
        </w:tc>
      </w:tr>
      <w:tr w14:paraId="1F741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155" w:type="dxa"/>
            <w:vMerge w:val="restart"/>
            <w:noWrap w:val="0"/>
            <w:vAlign w:val="center"/>
          </w:tcPr>
          <w:p w14:paraId="78047843">
            <w:pPr>
              <w:autoSpaceDE w:val="0"/>
              <w:autoSpaceDN w:val="0"/>
              <w:spacing w:line="360" w:lineRule="auto"/>
              <w:ind w:right="166" w:rightChars="0"/>
              <w:jc w:val="center"/>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lang w:val="zh-CN" w:bidi="zh-CN"/>
              </w:rPr>
              <w:t>技术标（</w:t>
            </w:r>
            <w:r>
              <w:rPr>
                <w:rFonts w:hint="eastAsia" w:ascii="宋体" w:hAnsi="宋体" w:cs="宋体"/>
                <w:color w:val="auto"/>
                <w:sz w:val="24"/>
                <w:szCs w:val="24"/>
                <w:highlight w:val="none"/>
                <w:lang w:val="en-US" w:bidi="zh-CN"/>
              </w:rPr>
              <w:t>60</w:t>
            </w:r>
            <w:r>
              <w:rPr>
                <w:rFonts w:hint="eastAsia" w:ascii="宋体" w:hAnsi="宋体" w:eastAsia="宋体" w:cs="宋体"/>
                <w:color w:val="auto"/>
                <w:sz w:val="24"/>
                <w:szCs w:val="24"/>
                <w:highlight w:val="none"/>
                <w:lang w:val="en-US" w:bidi="zh-CN"/>
              </w:rPr>
              <w:t>分</w:t>
            </w:r>
            <w:r>
              <w:rPr>
                <w:rFonts w:hint="eastAsia" w:ascii="宋体" w:hAnsi="宋体" w:eastAsia="宋体" w:cs="宋体"/>
                <w:color w:val="auto"/>
                <w:sz w:val="24"/>
                <w:szCs w:val="24"/>
                <w:highlight w:val="none"/>
                <w:lang w:val="zh-CN" w:bidi="zh-CN"/>
              </w:rPr>
              <w:t>）</w:t>
            </w:r>
          </w:p>
        </w:tc>
        <w:tc>
          <w:tcPr>
            <w:tcW w:w="1302" w:type="dxa"/>
            <w:noWrap w:val="0"/>
            <w:vAlign w:val="top"/>
          </w:tcPr>
          <w:p w14:paraId="6DB7BC02">
            <w:pPr>
              <w:spacing w:line="360" w:lineRule="auto"/>
              <w:rPr>
                <w:rFonts w:hint="eastAsia" w:ascii="宋体" w:hAnsi="宋体" w:eastAsia="宋体" w:cs="宋体"/>
                <w:color w:val="auto"/>
                <w:sz w:val="24"/>
                <w:szCs w:val="24"/>
                <w:highlight w:val="none"/>
                <w:lang w:val="en-US" w:eastAsia="zh-CN" w:bidi="zh-CN"/>
              </w:rPr>
            </w:pPr>
            <w:r>
              <w:rPr>
                <w:rFonts w:hint="eastAsia" w:ascii="宋体" w:hAnsi="宋体" w:eastAsia="宋体" w:cs="宋体"/>
                <w:color w:val="auto"/>
                <w:sz w:val="24"/>
                <w:szCs w:val="24"/>
                <w:highlight w:val="none"/>
                <w:lang w:val="en-US" w:eastAsia="zh-CN" w:bidi="zh-CN"/>
              </w:rPr>
              <w:t>服务方案</w:t>
            </w:r>
            <w:r>
              <w:rPr>
                <w:rFonts w:hint="eastAsia" w:ascii="宋体" w:hAnsi="宋体" w:cs="宋体"/>
                <w:color w:val="auto"/>
                <w:sz w:val="24"/>
                <w:szCs w:val="24"/>
                <w:highlight w:val="none"/>
                <w:lang w:val="en-US" w:eastAsia="zh-CN" w:bidi="zh-CN"/>
              </w:rPr>
              <w:t>（</w:t>
            </w:r>
            <w:r>
              <w:rPr>
                <w:rFonts w:hint="eastAsia" w:ascii="宋体" w:hAnsi="宋体" w:cs="宋体"/>
                <w:color w:val="auto"/>
                <w:sz w:val="24"/>
                <w:szCs w:val="24"/>
                <w:highlight w:val="none"/>
                <w:lang w:val="en-US" w:eastAsia="zh-CN"/>
              </w:rPr>
              <w:t>10</w:t>
            </w:r>
            <w:r>
              <w:rPr>
                <w:rFonts w:hint="eastAsia" w:ascii="宋体" w:hAnsi="宋体" w:eastAsia="宋体" w:cs="宋体"/>
                <w:color w:val="auto"/>
                <w:sz w:val="24"/>
                <w:szCs w:val="24"/>
                <w:highlight w:val="none"/>
                <w:lang w:val="en-US" w:eastAsia="zh-CN"/>
              </w:rPr>
              <w:t>分</w:t>
            </w:r>
            <w:r>
              <w:rPr>
                <w:rFonts w:hint="eastAsia" w:ascii="宋体" w:hAnsi="宋体" w:cs="宋体"/>
                <w:color w:val="auto"/>
                <w:sz w:val="24"/>
                <w:szCs w:val="24"/>
                <w:highlight w:val="none"/>
                <w:lang w:val="en-US" w:eastAsia="zh-CN" w:bidi="zh-CN"/>
              </w:rPr>
              <w:t>）</w:t>
            </w:r>
          </w:p>
        </w:tc>
        <w:tc>
          <w:tcPr>
            <w:tcW w:w="6191" w:type="dxa"/>
            <w:noWrap w:val="0"/>
            <w:vAlign w:val="top"/>
          </w:tcPr>
          <w:p w14:paraId="5C8D9264">
            <w:pPr>
              <w:spacing w:line="360" w:lineRule="auto"/>
              <w:rPr>
                <w:rFonts w:hint="eastAsia" w:ascii="宋体" w:hAnsi="宋体" w:eastAsia="宋体" w:cs="宋体"/>
                <w:color w:val="auto"/>
                <w:sz w:val="24"/>
                <w:szCs w:val="24"/>
                <w:highlight w:val="none"/>
                <w:lang w:eastAsia="zh-CN"/>
              </w:rPr>
            </w:pPr>
            <w:r>
              <w:rPr>
                <w:rFonts w:ascii="宋体" w:hAnsi="宋体" w:eastAsia="宋体" w:cs="宋体"/>
                <w:color w:val="auto"/>
                <w:sz w:val="24"/>
                <w:szCs w:val="24"/>
                <w:highlight w:val="none"/>
              </w:rPr>
              <w:t>本项目整体服务工作方案，包括但不限于：①本项目的理解；②工作思路；③排查整治方案；④应急处置方案⑤安全保障预案等</w:t>
            </w:r>
            <w:r>
              <w:rPr>
                <w:rFonts w:hint="eastAsia" w:ascii="宋体" w:hAnsi="宋体" w:eastAsia="宋体" w:cs="宋体"/>
                <w:color w:val="auto"/>
                <w:sz w:val="24"/>
                <w:szCs w:val="24"/>
                <w:highlight w:val="none"/>
                <w:lang w:eastAsia="zh-CN"/>
              </w:rPr>
              <w:t>；</w:t>
            </w:r>
          </w:p>
          <w:p w14:paraId="61DEF4BC">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内容完整详细</w:t>
            </w:r>
            <w:r>
              <w:rPr>
                <w:rFonts w:hint="eastAsia" w:ascii="宋体" w:hAnsi="宋体" w:eastAsia="宋体" w:cs="宋体"/>
                <w:color w:val="auto"/>
                <w:sz w:val="24"/>
                <w:szCs w:val="24"/>
                <w:highlight w:val="none"/>
                <w:lang w:val="en-US" w:eastAsia="zh-CN" w:bidi="zh-CN"/>
              </w:rPr>
              <w:t>、科学先进、合理可行</w:t>
            </w:r>
            <w:r>
              <w:rPr>
                <w:rFonts w:hint="eastAsia" w:ascii="宋体" w:hAnsi="宋体" w:cs="宋体"/>
                <w:color w:val="auto"/>
                <w:sz w:val="24"/>
                <w:szCs w:val="24"/>
                <w:highlight w:val="none"/>
                <w:lang w:val="en-US" w:eastAsia="zh-CN" w:bidi="zh-CN"/>
              </w:rPr>
              <w:t>、</w:t>
            </w:r>
            <w:r>
              <w:rPr>
                <w:rFonts w:hint="eastAsia" w:ascii="宋体" w:hAnsi="宋体" w:eastAsia="宋体" w:cs="宋体"/>
                <w:color w:val="auto"/>
                <w:sz w:val="24"/>
                <w:szCs w:val="24"/>
                <w:highlight w:val="none"/>
              </w:rPr>
              <w:t>条理清晰且符合采购实际需求得</w:t>
            </w:r>
            <w:r>
              <w:rPr>
                <w:rFonts w:hint="eastAsia" w:ascii="宋体" w:hAnsi="宋体" w:eastAsia="宋体" w:cs="宋体"/>
                <w:color w:val="auto"/>
                <w:sz w:val="24"/>
                <w:szCs w:val="24"/>
                <w:highlight w:val="none"/>
                <w:lang w:val="en-US" w:eastAsia="zh-CN"/>
              </w:rPr>
              <w:t>10分</w:t>
            </w:r>
          </w:p>
          <w:p w14:paraId="26463B3C">
            <w:pPr>
              <w:spacing w:line="360" w:lineRule="auto"/>
              <w:rPr>
                <w:rFonts w:hint="eastAsia" w:ascii="宋体" w:hAnsi="宋体" w:eastAsia="宋体" w:cs="宋体"/>
                <w:color w:val="auto"/>
                <w:sz w:val="24"/>
                <w:szCs w:val="24"/>
                <w:highlight w:val="none"/>
                <w:lang w:val="en-US" w:eastAsia="zh-CN" w:bidi="zh-CN"/>
              </w:rPr>
            </w:pPr>
            <w:r>
              <w:rPr>
                <w:rFonts w:hint="eastAsia" w:ascii="宋体" w:hAnsi="宋体" w:eastAsia="宋体" w:cs="宋体"/>
                <w:color w:val="auto"/>
                <w:sz w:val="24"/>
                <w:szCs w:val="24"/>
                <w:highlight w:val="none"/>
              </w:rPr>
              <w:t>内容</w:t>
            </w:r>
            <w:r>
              <w:rPr>
                <w:rFonts w:hint="eastAsia" w:ascii="宋体" w:hAnsi="宋体" w:eastAsia="宋体" w:cs="宋体"/>
                <w:color w:val="auto"/>
                <w:sz w:val="24"/>
                <w:szCs w:val="24"/>
                <w:highlight w:val="none"/>
                <w:lang w:val="en-US" w:eastAsia="zh-CN" w:bidi="zh-CN"/>
              </w:rPr>
              <w:t>较为完整、较为科学、较为合理得</w:t>
            </w:r>
            <w:r>
              <w:rPr>
                <w:rFonts w:hint="eastAsia" w:ascii="宋体" w:hAnsi="宋体" w:cs="宋体"/>
                <w:color w:val="auto"/>
                <w:sz w:val="24"/>
                <w:szCs w:val="24"/>
                <w:highlight w:val="none"/>
                <w:lang w:val="en-US" w:eastAsia="zh-CN" w:bidi="zh-CN"/>
              </w:rPr>
              <w:t>8</w:t>
            </w:r>
            <w:r>
              <w:rPr>
                <w:rFonts w:hint="eastAsia" w:ascii="宋体" w:hAnsi="宋体" w:eastAsia="宋体" w:cs="宋体"/>
                <w:color w:val="auto"/>
                <w:sz w:val="24"/>
                <w:szCs w:val="24"/>
                <w:highlight w:val="none"/>
                <w:lang w:val="en-US" w:eastAsia="zh-CN" w:bidi="zh-CN"/>
              </w:rPr>
              <w:t>分；</w:t>
            </w:r>
          </w:p>
          <w:p w14:paraId="7888CD7C">
            <w:pPr>
              <w:spacing w:line="360" w:lineRule="auto"/>
              <w:rPr>
                <w:rFonts w:hint="eastAsia" w:ascii="宋体" w:hAnsi="宋体" w:eastAsia="宋体" w:cs="宋体"/>
                <w:color w:val="auto"/>
                <w:sz w:val="24"/>
                <w:szCs w:val="24"/>
                <w:highlight w:val="none"/>
                <w:lang w:val="en-US" w:eastAsia="zh-CN" w:bidi="zh-CN"/>
              </w:rPr>
            </w:pPr>
            <w:r>
              <w:rPr>
                <w:rFonts w:hint="eastAsia" w:ascii="宋体" w:hAnsi="宋体" w:eastAsia="宋体" w:cs="宋体"/>
                <w:color w:val="auto"/>
                <w:sz w:val="24"/>
                <w:szCs w:val="24"/>
                <w:highlight w:val="none"/>
              </w:rPr>
              <w:t>内容</w:t>
            </w:r>
            <w:r>
              <w:rPr>
                <w:rFonts w:hint="eastAsia" w:ascii="宋体" w:hAnsi="宋体" w:eastAsia="宋体" w:cs="宋体"/>
                <w:color w:val="auto"/>
                <w:sz w:val="24"/>
                <w:szCs w:val="24"/>
                <w:highlight w:val="none"/>
                <w:lang w:val="en-US" w:eastAsia="zh-CN" w:bidi="zh-CN"/>
              </w:rPr>
              <w:t>简略、基本科学、基本合理得</w:t>
            </w:r>
            <w:r>
              <w:rPr>
                <w:rFonts w:hint="eastAsia" w:ascii="宋体" w:hAnsi="宋体" w:cs="宋体"/>
                <w:color w:val="auto"/>
                <w:sz w:val="24"/>
                <w:szCs w:val="24"/>
                <w:highlight w:val="none"/>
                <w:lang w:val="en-US" w:eastAsia="zh-CN" w:bidi="zh-CN"/>
              </w:rPr>
              <w:t>6</w:t>
            </w:r>
            <w:r>
              <w:rPr>
                <w:rFonts w:hint="eastAsia" w:ascii="宋体" w:hAnsi="宋体" w:eastAsia="宋体" w:cs="宋体"/>
                <w:color w:val="auto"/>
                <w:sz w:val="24"/>
                <w:szCs w:val="24"/>
                <w:highlight w:val="none"/>
                <w:lang w:val="en-US" w:eastAsia="zh-CN" w:bidi="zh-CN"/>
              </w:rPr>
              <w:t>分；</w:t>
            </w:r>
          </w:p>
          <w:p w14:paraId="4D75D62E">
            <w:pPr>
              <w:spacing w:line="360" w:lineRule="auto"/>
              <w:rPr>
                <w:rFonts w:hint="eastAsia"/>
                <w:color w:val="auto"/>
                <w:highlight w:val="none"/>
                <w:lang w:val="en-US" w:eastAsia="zh-CN"/>
              </w:rPr>
            </w:pPr>
            <w:r>
              <w:rPr>
                <w:rFonts w:hint="eastAsia" w:ascii="宋体" w:hAnsi="宋体" w:eastAsia="宋体" w:cs="宋体"/>
                <w:color w:val="auto"/>
                <w:sz w:val="24"/>
                <w:szCs w:val="24"/>
                <w:highlight w:val="none"/>
              </w:rPr>
              <w:t>内容</w:t>
            </w:r>
            <w:r>
              <w:rPr>
                <w:rFonts w:hint="eastAsia" w:ascii="宋体" w:hAnsi="宋体" w:eastAsia="宋体" w:cs="宋体"/>
                <w:color w:val="auto"/>
                <w:sz w:val="24"/>
                <w:szCs w:val="24"/>
                <w:highlight w:val="none"/>
                <w:lang w:val="en-US" w:eastAsia="zh-CN" w:bidi="zh-CN"/>
              </w:rPr>
              <w:t>简略、</w:t>
            </w:r>
            <w:r>
              <w:rPr>
                <w:rFonts w:hint="eastAsia" w:ascii="宋体" w:hAnsi="宋体" w:cs="宋体"/>
                <w:color w:val="auto"/>
                <w:sz w:val="24"/>
                <w:szCs w:val="24"/>
                <w:highlight w:val="none"/>
                <w:lang w:val="en-US" w:eastAsia="zh-CN" w:bidi="zh-CN"/>
              </w:rPr>
              <w:t>不</w:t>
            </w:r>
            <w:r>
              <w:rPr>
                <w:rFonts w:hint="eastAsia" w:ascii="宋体" w:hAnsi="宋体" w:eastAsia="宋体" w:cs="宋体"/>
                <w:color w:val="auto"/>
                <w:sz w:val="24"/>
                <w:szCs w:val="24"/>
                <w:highlight w:val="none"/>
                <w:lang w:val="en-US" w:eastAsia="zh-CN" w:bidi="zh-CN"/>
              </w:rPr>
              <w:t>科学、</w:t>
            </w:r>
            <w:r>
              <w:rPr>
                <w:rFonts w:hint="eastAsia" w:ascii="宋体" w:hAnsi="宋体" w:cs="宋体"/>
                <w:color w:val="auto"/>
                <w:sz w:val="24"/>
                <w:szCs w:val="24"/>
                <w:highlight w:val="none"/>
                <w:lang w:val="en-US" w:eastAsia="zh-CN" w:bidi="zh-CN"/>
              </w:rPr>
              <w:t>不</w:t>
            </w:r>
            <w:r>
              <w:rPr>
                <w:rFonts w:hint="eastAsia" w:ascii="宋体" w:hAnsi="宋体" w:eastAsia="宋体" w:cs="宋体"/>
                <w:color w:val="auto"/>
                <w:sz w:val="24"/>
                <w:szCs w:val="24"/>
                <w:highlight w:val="none"/>
                <w:lang w:val="en-US" w:eastAsia="zh-CN" w:bidi="zh-CN"/>
              </w:rPr>
              <w:t>合理得</w:t>
            </w:r>
            <w:r>
              <w:rPr>
                <w:rFonts w:hint="eastAsia" w:ascii="宋体" w:hAnsi="宋体" w:cs="宋体"/>
                <w:color w:val="auto"/>
                <w:sz w:val="24"/>
                <w:szCs w:val="24"/>
                <w:highlight w:val="none"/>
                <w:lang w:val="en-US" w:eastAsia="zh-CN" w:bidi="zh-CN"/>
              </w:rPr>
              <w:t>4</w:t>
            </w:r>
            <w:r>
              <w:rPr>
                <w:rFonts w:hint="eastAsia" w:ascii="宋体" w:hAnsi="宋体" w:eastAsia="宋体" w:cs="宋体"/>
                <w:color w:val="auto"/>
                <w:sz w:val="24"/>
                <w:szCs w:val="24"/>
                <w:highlight w:val="none"/>
                <w:lang w:val="en-US" w:eastAsia="zh-CN" w:bidi="zh-CN"/>
              </w:rPr>
              <w:t>分；</w:t>
            </w:r>
          </w:p>
          <w:p w14:paraId="1A8AD706">
            <w:pPr>
              <w:spacing w:line="360" w:lineRule="auto"/>
              <w:rPr>
                <w:rFonts w:hint="eastAsia" w:ascii="宋体" w:hAnsi="宋体" w:eastAsia="宋体" w:cs="宋体"/>
                <w:color w:val="auto"/>
                <w:sz w:val="24"/>
                <w:szCs w:val="24"/>
                <w:highlight w:val="none"/>
              </w:rPr>
            </w:pPr>
            <w:r>
              <w:rPr>
                <w:rFonts w:ascii="宋体" w:hAnsi="宋体" w:eastAsia="宋体" w:cs="宋体"/>
                <w:color w:val="auto"/>
                <w:sz w:val="24"/>
                <w:szCs w:val="24"/>
                <w:highlight w:val="none"/>
              </w:rPr>
              <w:t>缺项漏项的该项不得分；</w:t>
            </w:r>
          </w:p>
        </w:tc>
        <w:tc>
          <w:tcPr>
            <w:tcW w:w="960" w:type="dxa"/>
            <w:noWrap w:val="0"/>
            <w:vAlign w:val="top"/>
          </w:tcPr>
          <w:p w14:paraId="476AD42E">
            <w:pPr>
              <w:autoSpaceDE w:val="0"/>
              <w:autoSpaceDN w:val="0"/>
              <w:spacing w:line="360" w:lineRule="auto"/>
              <w:ind w:right="166" w:rightChars="0"/>
              <w:jc w:val="right"/>
              <w:rPr>
                <w:rFonts w:hint="eastAsia" w:ascii="宋体" w:hAnsi="宋体" w:eastAsia="宋体" w:cs="宋体"/>
                <w:color w:val="auto"/>
                <w:kern w:val="0"/>
                <w:sz w:val="24"/>
                <w:szCs w:val="24"/>
                <w:highlight w:val="none"/>
              </w:rPr>
            </w:pPr>
            <w:r>
              <w:rPr>
                <w:rFonts w:hint="eastAsia" w:ascii="宋体" w:hAnsi="宋体" w:cs="宋体"/>
                <w:bCs/>
                <w:color w:val="auto"/>
                <w:sz w:val="24"/>
                <w:szCs w:val="24"/>
                <w:highlight w:val="none"/>
                <w:lang w:val="en-US" w:eastAsia="zh-CN"/>
              </w:rPr>
              <w:t>10</w:t>
            </w:r>
            <w:r>
              <w:rPr>
                <w:rFonts w:hint="eastAsia" w:ascii="宋体" w:hAnsi="宋体" w:eastAsia="宋体" w:cs="宋体"/>
                <w:bCs/>
                <w:color w:val="auto"/>
                <w:sz w:val="24"/>
                <w:szCs w:val="24"/>
                <w:highlight w:val="none"/>
                <w:lang w:val="en-US" w:eastAsia="zh-CN"/>
              </w:rPr>
              <w:t xml:space="preserve">分 </w:t>
            </w:r>
          </w:p>
        </w:tc>
      </w:tr>
      <w:tr w14:paraId="7954B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155" w:type="dxa"/>
            <w:vMerge w:val="continue"/>
            <w:noWrap w:val="0"/>
            <w:vAlign w:val="center"/>
          </w:tcPr>
          <w:p w14:paraId="4AD74D58">
            <w:pPr>
              <w:autoSpaceDE w:val="0"/>
              <w:autoSpaceDN w:val="0"/>
              <w:spacing w:line="360" w:lineRule="auto"/>
              <w:ind w:right="166" w:rightChars="0"/>
              <w:jc w:val="both"/>
              <w:rPr>
                <w:rFonts w:hint="eastAsia" w:ascii="宋体" w:hAnsi="宋体" w:eastAsia="宋体" w:cs="宋体"/>
                <w:color w:val="auto"/>
                <w:kern w:val="0"/>
                <w:sz w:val="24"/>
                <w:szCs w:val="24"/>
                <w:highlight w:val="none"/>
              </w:rPr>
            </w:pPr>
          </w:p>
        </w:tc>
        <w:tc>
          <w:tcPr>
            <w:tcW w:w="1302" w:type="dxa"/>
            <w:noWrap w:val="0"/>
            <w:vAlign w:val="top"/>
          </w:tcPr>
          <w:p w14:paraId="738E2151">
            <w:pPr>
              <w:spacing w:line="360" w:lineRule="auto"/>
              <w:rPr>
                <w:rFonts w:hint="eastAsia" w:ascii="宋体" w:hAnsi="宋体" w:eastAsia="宋体" w:cs="宋体"/>
                <w:color w:val="auto"/>
                <w:sz w:val="24"/>
                <w:szCs w:val="24"/>
                <w:highlight w:val="none"/>
                <w:lang w:val="en-US" w:eastAsia="zh-CN" w:bidi="zh-CN"/>
              </w:rPr>
            </w:pPr>
            <w:r>
              <w:rPr>
                <w:rFonts w:hint="eastAsia" w:ascii="宋体" w:hAnsi="宋体" w:eastAsia="宋体" w:cs="宋体"/>
                <w:color w:val="auto"/>
                <w:sz w:val="24"/>
                <w:szCs w:val="24"/>
                <w:highlight w:val="none"/>
                <w:lang w:val="en-US" w:eastAsia="zh-CN" w:bidi="zh-CN"/>
              </w:rPr>
              <w:t>项目进度安排及保证措施</w:t>
            </w:r>
            <w:r>
              <w:rPr>
                <w:rFonts w:hint="eastAsia" w:ascii="宋体" w:hAnsi="宋体" w:cs="宋体"/>
                <w:color w:val="auto"/>
                <w:sz w:val="24"/>
                <w:szCs w:val="24"/>
                <w:highlight w:val="none"/>
                <w:lang w:val="en-US" w:eastAsia="zh-CN" w:bidi="zh-CN"/>
              </w:rPr>
              <w:t>（</w:t>
            </w:r>
            <w:r>
              <w:rPr>
                <w:rFonts w:hint="eastAsia" w:ascii="宋体" w:hAnsi="宋体" w:cs="宋体"/>
                <w:color w:val="auto"/>
                <w:sz w:val="24"/>
                <w:szCs w:val="24"/>
                <w:highlight w:val="none"/>
                <w:lang w:val="en-US" w:eastAsia="zh-CN"/>
              </w:rPr>
              <w:t>10</w:t>
            </w:r>
            <w:r>
              <w:rPr>
                <w:rFonts w:hint="eastAsia" w:ascii="宋体" w:hAnsi="宋体" w:eastAsia="宋体" w:cs="宋体"/>
                <w:color w:val="auto"/>
                <w:sz w:val="24"/>
                <w:szCs w:val="24"/>
                <w:highlight w:val="none"/>
                <w:lang w:val="en-US" w:eastAsia="zh-CN"/>
              </w:rPr>
              <w:t>分</w:t>
            </w:r>
            <w:r>
              <w:rPr>
                <w:rFonts w:hint="eastAsia" w:ascii="宋体" w:hAnsi="宋体" w:cs="宋体"/>
                <w:color w:val="auto"/>
                <w:sz w:val="24"/>
                <w:szCs w:val="24"/>
                <w:highlight w:val="none"/>
                <w:lang w:val="en-US" w:eastAsia="zh-CN" w:bidi="zh-CN"/>
              </w:rPr>
              <w:t>）</w:t>
            </w:r>
          </w:p>
        </w:tc>
        <w:tc>
          <w:tcPr>
            <w:tcW w:w="6191" w:type="dxa"/>
            <w:noWrap w:val="0"/>
            <w:vAlign w:val="top"/>
          </w:tcPr>
          <w:p w14:paraId="68B86072">
            <w:pPr>
              <w:spacing w:line="360" w:lineRule="auto"/>
              <w:rPr>
                <w:rFonts w:ascii="宋体" w:hAnsi="宋体" w:eastAsia="宋体" w:cs="宋体"/>
                <w:color w:val="auto"/>
                <w:sz w:val="24"/>
                <w:szCs w:val="24"/>
                <w:highlight w:val="none"/>
              </w:rPr>
            </w:pPr>
            <w:r>
              <w:rPr>
                <w:rFonts w:ascii="宋体" w:hAnsi="宋体" w:eastAsia="宋体" w:cs="宋体"/>
                <w:color w:val="auto"/>
                <w:sz w:val="24"/>
                <w:szCs w:val="24"/>
                <w:highlight w:val="none"/>
              </w:rPr>
              <w:t>本项目进度安排及保证措施，包括：①整体进度安排②进度计划③进度控制④进度保证措施等。</w:t>
            </w:r>
          </w:p>
          <w:p w14:paraId="71277C40">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内容完整详细</w:t>
            </w:r>
            <w:r>
              <w:rPr>
                <w:rFonts w:hint="eastAsia" w:ascii="宋体" w:hAnsi="宋体" w:eastAsia="宋体" w:cs="宋体"/>
                <w:color w:val="auto"/>
                <w:sz w:val="24"/>
                <w:szCs w:val="24"/>
                <w:highlight w:val="none"/>
                <w:lang w:val="en-US" w:eastAsia="zh-CN" w:bidi="zh-CN"/>
              </w:rPr>
              <w:t>、科学先进、合理可行</w:t>
            </w:r>
            <w:r>
              <w:rPr>
                <w:rFonts w:hint="eastAsia" w:ascii="宋体" w:hAnsi="宋体" w:cs="宋体"/>
                <w:color w:val="auto"/>
                <w:sz w:val="24"/>
                <w:szCs w:val="24"/>
                <w:highlight w:val="none"/>
                <w:lang w:val="en-US" w:eastAsia="zh-CN" w:bidi="zh-CN"/>
              </w:rPr>
              <w:t>、</w:t>
            </w:r>
            <w:r>
              <w:rPr>
                <w:rFonts w:hint="eastAsia" w:ascii="宋体" w:hAnsi="宋体" w:eastAsia="宋体" w:cs="宋体"/>
                <w:color w:val="auto"/>
                <w:sz w:val="24"/>
                <w:szCs w:val="24"/>
                <w:highlight w:val="none"/>
              </w:rPr>
              <w:t>条理清晰且符合采购实际需求得</w:t>
            </w:r>
            <w:r>
              <w:rPr>
                <w:rFonts w:hint="eastAsia" w:ascii="宋体" w:hAnsi="宋体" w:eastAsia="宋体" w:cs="宋体"/>
                <w:color w:val="auto"/>
                <w:sz w:val="24"/>
                <w:szCs w:val="24"/>
                <w:highlight w:val="none"/>
                <w:lang w:val="en-US" w:eastAsia="zh-CN"/>
              </w:rPr>
              <w:t>10分</w:t>
            </w:r>
          </w:p>
          <w:p w14:paraId="1B5E39E4">
            <w:pPr>
              <w:spacing w:line="360" w:lineRule="auto"/>
              <w:rPr>
                <w:rFonts w:hint="eastAsia" w:ascii="宋体" w:hAnsi="宋体" w:eastAsia="宋体" w:cs="宋体"/>
                <w:color w:val="auto"/>
                <w:sz w:val="24"/>
                <w:szCs w:val="24"/>
                <w:highlight w:val="none"/>
                <w:lang w:val="en-US" w:eastAsia="zh-CN" w:bidi="zh-CN"/>
              </w:rPr>
            </w:pPr>
            <w:r>
              <w:rPr>
                <w:rFonts w:hint="eastAsia" w:ascii="宋体" w:hAnsi="宋体" w:eastAsia="宋体" w:cs="宋体"/>
                <w:color w:val="auto"/>
                <w:sz w:val="24"/>
                <w:szCs w:val="24"/>
                <w:highlight w:val="none"/>
              </w:rPr>
              <w:t>内容</w:t>
            </w:r>
            <w:r>
              <w:rPr>
                <w:rFonts w:hint="eastAsia" w:ascii="宋体" w:hAnsi="宋体" w:eastAsia="宋体" w:cs="宋体"/>
                <w:color w:val="auto"/>
                <w:sz w:val="24"/>
                <w:szCs w:val="24"/>
                <w:highlight w:val="none"/>
                <w:lang w:val="en-US" w:eastAsia="zh-CN" w:bidi="zh-CN"/>
              </w:rPr>
              <w:t>较为完整、较为科学、较为合理得</w:t>
            </w:r>
            <w:r>
              <w:rPr>
                <w:rFonts w:hint="eastAsia" w:ascii="宋体" w:hAnsi="宋体" w:cs="宋体"/>
                <w:color w:val="auto"/>
                <w:sz w:val="24"/>
                <w:szCs w:val="24"/>
                <w:highlight w:val="none"/>
                <w:lang w:val="en-US" w:eastAsia="zh-CN" w:bidi="zh-CN"/>
              </w:rPr>
              <w:t>8</w:t>
            </w:r>
            <w:r>
              <w:rPr>
                <w:rFonts w:hint="eastAsia" w:ascii="宋体" w:hAnsi="宋体" w:eastAsia="宋体" w:cs="宋体"/>
                <w:color w:val="auto"/>
                <w:sz w:val="24"/>
                <w:szCs w:val="24"/>
                <w:highlight w:val="none"/>
                <w:lang w:val="en-US" w:eastAsia="zh-CN" w:bidi="zh-CN"/>
              </w:rPr>
              <w:t>分；</w:t>
            </w:r>
          </w:p>
          <w:p w14:paraId="62AC0F74">
            <w:pPr>
              <w:spacing w:line="360" w:lineRule="auto"/>
              <w:rPr>
                <w:rFonts w:hint="eastAsia" w:ascii="宋体" w:hAnsi="宋体" w:eastAsia="宋体" w:cs="宋体"/>
                <w:color w:val="auto"/>
                <w:sz w:val="24"/>
                <w:szCs w:val="24"/>
                <w:highlight w:val="none"/>
                <w:lang w:val="en-US" w:eastAsia="zh-CN" w:bidi="zh-CN"/>
              </w:rPr>
            </w:pPr>
            <w:r>
              <w:rPr>
                <w:rFonts w:hint="eastAsia" w:ascii="宋体" w:hAnsi="宋体" w:eastAsia="宋体" w:cs="宋体"/>
                <w:color w:val="auto"/>
                <w:sz w:val="24"/>
                <w:szCs w:val="24"/>
                <w:highlight w:val="none"/>
              </w:rPr>
              <w:t>内容</w:t>
            </w:r>
            <w:r>
              <w:rPr>
                <w:rFonts w:hint="eastAsia" w:ascii="宋体" w:hAnsi="宋体" w:eastAsia="宋体" w:cs="宋体"/>
                <w:color w:val="auto"/>
                <w:sz w:val="24"/>
                <w:szCs w:val="24"/>
                <w:highlight w:val="none"/>
                <w:lang w:val="en-US" w:eastAsia="zh-CN" w:bidi="zh-CN"/>
              </w:rPr>
              <w:t>简略、基本科学、基本合理得</w:t>
            </w:r>
            <w:r>
              <w:rPr>
                <w:rFonts w:hint="eastAsia" w:ascii="宋体" w:hAnsi="宋体" w:cs="宋体"/>
                <w:color w:val="auto"/>
                <w:sz w:val="24"/>
                <w:szCs w:val="24"/>
                <w:highlight w:val="none"/>
                <w:lang w:val="en-US" w:eastAsia="zh-CN" w:bidi="zh-CN"/>
              </w:rPr>
              <w:t>6</w:t>
            </w:r>
            <w:r>
              <w:rPr>
                <w:rFonts w:hint="eastAsia" w:ascii="宋体" w:hAnsi="宋体" w:eastAsia="宋体" w:cs="宋体"/>
                <w:color w:val="auto"/>
                <w:sz w:val="24"/>
                <w:szCs w:val="24"/>
                <w:highlight w:val="none"/>
                <w:lang w:val="en-US" w:eastAsia="zh-CN" w:bidi="zh-CN"/>
              </w:rPr>
              <w:t>分；</w:t>
            </w:r>
          </w:p>
          <w:p w14:paraId="2230ED00">
            <w:pPr>
              <w:spacing w:line="360" w:lineRule="auto"/>
              <w:rPr>
                <w:rFonts w:hint="eastAsia"/>
                <w:color w:val="auto"/>
                <w:highlight w:val="none"/>
                <w:lang w:val="en-US" w:eastAsia="zh-CN"/>
              </w:rPr>
            </w:pPr>
            <w:r>
              <w:rPr>
                <w:rFonts w:hint="eastAsia" w:ascii="宋体" w:hAnsi="宋体" w:eastAsia="宋体" w:cs="宋体"/>
                <w:color w:val="auto"/>
                <w:sz w:val="24"/>
                <w:szCs w:val="24"/>
                <w:highlight w:val="none"/>
              </w:rPr>
              <w:t>内容</w:t>
            </w:r>
            <w:r>
              <w:rPr>
                <w:rFonts w:hint="eastAsia" w:ascii="宋体" w:hAnsi="宋体" w:eastAsia="宋体" w:cs="宋体"/>
                <w:color w:val="auto"/>
                <w:sz w:val="24"/>
                <w:szCs w:val="24"/>
                <w:highlight w:val="none"/>
                <w:lang w:val="en-US" w:eastAsia="zh-CN" w:bidi="zh-CN"/>
              </w:rPr>
              <w:t>简略、</w:t>
            </w:r>
            <w:r>
              <w:rPr>
                <w:rFonts w:hint="eastAsia" w:ascii="宋体" w:hAnsi="宋体" w:cs="宋体"/>
                <w:color w:val="auto"/>
                <w:sz w:val="24"/>
                <w:szCs w:val="24"/>
                <w:highlight w:val="none"/>
                <w:lang w:val="en-US" w:eastAsia="zh-CN" w:bidi="zh-CN"/>
              </w:rPr>
              <w:t>不</w:t>
            </w:r>
            <w:r>
              <w:rPr>
                <w:rFonts w:hint="eastAsia" w:ascii="宋体" w:hAnsi="宋体" w:eastAsia="宋体" w:cs="宋体"/>
                <w:color w:val="auto"/>
                <w:sz w:val="24"/>
                <w:szCs w:val="24"/>
                <w:highlight w:val="none"/>
                <w:lang w:val="en-US" w:eastAsia="zh-CN" w:bidi="zh-CN"/>
              </w:rPr>
              <w:t>科学、</w:t>
            </w:r>
            <w:r>
              <w:rPr>
                <w:rFonts w:hint="eastAsia" w:ascii="宋体" w:hAnsi="宋体" w:cs="宋体"/>
                <w:color w:val="auto"/>
                <w:sz w:val="24"/>
                <w:szCs w:val="24"/>
                <w:highlight w:val="none"/>
                <w:lang w:val="en-US" w:eastAsia="zh-CN" w:bidi="zh-CN"/>
              </w:rPr>
              <w:t>不</w:t>
            </w:r>
            <w:r>
              <w:rPr>
                <w:rFonts w:hint="eastAsia" w:ascii="宋体" w:hAnsi="宋体" w:eastAsia="宋体" w:cs="宋体"/>
                <w:color w:val="auto"/>
                <w:sz w:val="24"/>
                <w:szCs w:val="24"/>
                <w:highlight w:val="none"/>
                <w:lang w:val="en-US" w:eastAsia="zh-CN" w:bidi="zh-CN"/>
              </w:rPr>
              <w:t>合理得</w:t>
            </w:r>
            <w:r>
              <w:rPr>
                <w:rFonts w:hint="eastAsia" w:ascii="宋体" w:hAnsi="宋体" w:cs="宋体"/>
                <w:color w:val="auto"/>
                <w:sz w:val="24"/>
                <w:szCs w:val="24"/>
                <w:highlight w:val="none"/>
                <w:lang w:val="en-US" w:eastAsia="zh-CN" w:bidi="zh-CN"/>
              </w:rPr>
              <w:t>4</w:t>
            </w:r>
            <w:r>
              <w:rPr>
                <w:rFonts w:hint="eastAsia" w:ascii="宋体" w:hAnsi="宋体" w:eastAsia="宋体" w:cs="宋体"/>
                <w:color w:val="auto"/>
                <w:sz w:val="24"/>
                <w:szCs w:val="24"/>
                <w:highlight w:val="none"/>
                <w:lang w:val="en-US" w:eastAsia="zh-CN" w:bidi="zh-CN"/>
              </w:rPr>
              <w:t>分；</w:t>
            </w:r>
          </w:p>
          <w:p w14:paraId="799E7955">
            <w:pPr>
              <w:pStyle w:val="9"/>
              <w:rPr>
                <w:rFonts w:hint="eastAsia"/>
                <w:color w:val="auto"/>
                <w:highlight w:val="none"/>
              </w:rPr>
            </w:pPr>
            <w:r>
              <w:rPr>
                <w:rFonts w:ascii="宋体" w:hAnsi="宋体" w:eastAsia="宋体" w:cs="宋体"/>
                <w:color w:val="auto"/>
                <w:sz w:val="24"/>
                <w:szCs w:val="24"/>
                <w:highlight w:val="none"/>
              </w:rPr>
              <w:t>缺项漏项的该项不得分；</w:t>
            </w:r>
          </w:p>
        </w:tc>
        <w:tc>
          <w:tcPr>
            <w:tcW w:w="960" w:type="dxa"/>
            <w:noWrap w:val="0"/>
            <w:vAlign w:val="top"/>
          </w:tcPr>
          <w:p w14:paraId="08B07868">
            <w:pPr>
              <w:autoSpaceDE w:val="0"/>
              <w:autoSpaceDN w:val="0"/>
              <w:spacing w:line="360" w:lineRule="auto"/>
              <w:ind w:left="0" w:leftChars="0" w:right="166" w:rightChars="0" w:firstLine="0" w:firstLineChars="0"/>
              <w:jc w:val="center"/>
              <w:rPr>
                <w:rFonts w:hint="eastAsia" w:ascii="宋体" w:hAnsi="宋体" w:eastAsia="宋体" w:cs="宋体"/>
                <w:color w:val="auto"/>
                <w:kern w:val="0"/>
                <w:sz w:val="24"/>
                <w:szCs w:val="24"/>
                <w:highlight w:val="none"/>
              </w:rPr>
            </w:pPr>
            <w:r>
              <w:rPr>
                <w:rFonts w:hint="eastAsia" w:ascii="宋体" w:hAnsi="宋体" w:cs="宋体"/>
                <w:bCs/>
                <w:color w:val="auto"/>
                <w:sz w:val="24"/>
                <w:szCs w:val="24"/>
                <w:highlight w:val="none"/>
                <w:lang w:val="en-US" w:eastAsia="zh-CN"/>
              </w:rPr>
              <w:t>10</w:t>
            </w:r>
            <w:r>
              <w:rPr>
                <w:rFonts w:hint="eastAsia" w:ascii="宋体" w:hAnsi="宋体" w:eastAsia="宋体" w:cs="宋体"/>
                <w:bCs/>
                <w:color w:val="auto"/>
                <w:sz w:val="24"/>
                <w:szCs w:val="24"/>
                <w:highlight w:val="none"/>
                <w:lang w:val="en-US" w:eastAsia="zh-CN"/>
              </w:rPr>
              <w:t>分</w:t>
            </w:r>
          </w:p>
        </w:tc>
      </w:tr>
      <w:tr w14:paraId="06610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1155" w:type="dxa"/>
            <w:vMerge w:val="continue"/>
            <w:noWrap w:val="0"/>
            <w:vAlign w:val="center"/>
          </w:tcPr>
          <w:p w14:paraId="48536156">
            <w:pPr>
              <w:autoSpaceDE w:val="0"/>
              <w:autoSpaceDN w:val="0"/>
              <w:spacing w:line="360" w:lineRule="auto"/>
              <w:ind w:right="166" w:rightChars="0"/>
              <w:jc w:val="center"/>
              <w:rPr>
                <w:rFonts w:hint="eastAsia" w:ascii="宋体" w:hAnsi="宋体" w:eastAsia="宋体" w:cs="宋体"/>
                <w:color w:val="auto"/>
                <w:kern w:val="0"/>
                <w:sz w:val="24"/>
                <w:szCs w:val="24"/>
                <w:highlight w:val="none"/>
              </w:rPr>
            </w:pPr>
          </w:p>
        </w:tc>
        <w:tc>
          <w:tcPr>
            <w:tcW w:w="1302" w:type="dxa"/>
            <w:noWrap w:val="0"/>
            <w:vAlign w:val="top"/>
          </w:tcPr>
          <w:p w14:paraId="32B9EE73">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bidi="zh-CN"/>
              </w:rPr>
              <w:t>职责分工、工作开展流程</w:t>
            </w:r>
            <w:r>
              <w:rPr>
                <w:rFonts w:hint="eastAsia" w:ascii="宋体" w:hAnsi="宋体" w:cs="宋体"/>
                <w:color w:val="auto"/>
                <w:sz w:val="24"/>
                <w:szCs w:val="24"/>
                <w:highlight w:val="none"/>
                <w:lang w:val="en-US" w:eastAsia="zh-CN" w:bidi="zh-CN"/>
              </w:rPr>
              <w:t>（</w:t>
            </w:r>
            <w:r>
              <w:rPr>
                <w:rFonts w:hint="eastAsia" w:ascii="宋体" w:hAnsi="宋体" w:cs="宋体"/>
                <w:color w:val="auto"/>
                <w:sz w:val="24"/>
                <w:szCs w:val="24"/>
                <w:highlight w:val="none"/>
                <w:lang w:val="en-US" w:eastAsia="zh-CN"/>
              </w:rPr>
              <w:t>10</w:t>
            </w:r>
            <w:r>
              <w:rPr>
                <w:rFonts w:hint="eastAsia" w:ascii="宋体" w:hAnsi="宋体" w:eastAsia="宋体" w:cs="宋体"/>
                <w:color w:val="auto"/>
                <w:sz w:val="24"/>
                <w:szCs w:val="24"/>
                <w:highlight w:val="none"/>
                <w:lang w:val="en-US" w:eastAsia="zh-CN"/>
              </w:rPr>
              <w:t>分</w:t>
            </w:r>
            <w:r>
              <w:rPr>
                <w:rFonts w:hint="eastAsia" w:ascii="宋体" w:hAnsi="宋体" w:cs="宋体"/>
                <w:color w:val="auto"/>
                <w:sz w:val="24"/>
                <w:szCs w:val="24"/>
                <w:highlight w:val="none"/>
                <w:lang w:val="en-US" w:eastAsia="zh-CN" w:bidi="zh-CN"/>
              </w:rPr>
              <w:t>）</w:t>
            </w:r>
          </w:p>
        </w:tc>
        <w:tc>
          <w:tcPr>
            <w:tcW w:w="6191" w:type="dxa"/>
            <w:noWrap w:val="0"/>
            <w:vAlign w:val="top"/>
          </w:tcPr>
          <w:p w14:paraId="1407A933">
            <w:pPr>
              <w:spacing w:line="360" w:lineRule="auto"/>
              <w:rPr>
                <w:rFonts w:hint="eastAsia" w:ascii="宋体" w:hAnsi="宋体" w:eastAsia="宋体" w:cs="宋体"/>
                <w:color w:val="auto"/>
                <w:sz w:val="24"/>
                <w:szCs w:val="24"/>
                <w:highlight w:val="none"/>
                <w:lang w:val="en-US" w:eastAsia="zh-CN" w:bidi="zh-CN"/>
              </w:rPr>
            </w:pPr>
            <w:r>
              <w:rPr>
                <w:rFonts w:hint="eastAsia" w:ascii="宋体" w:hAnsi="宋体" w:eastAsia="宋体" w:cs="宋体"/>
                <w:color w:val="auto"/>
                <w:sz w:val="24"/>
                <w:szCs w:val="24"/>
                <w:highlight w:val="none"/>
                <w:lang w:val="en-US" w:eastAsia="zh-CN" w:bidi="zh-CN"/>
              </w:rPr>
              <w:t>根据供应商编制的服务方案的具体内容，重点对职责分工说明、工作开展流程进行评价。</w:t>
            </w:r>
          </w:p>
          <w:p w14:paraId="11488890">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内容完整详细</w:t>
            </w:r>
            <w:r>
              <w:rPr>
                <w:rFonts w:hint="eastAsia" w:ascii="宋体" w:hAnsi="宋体" w:eastAsia="宋体" w:cs="宋体"/>
                <w:color w:val="auto"/>
                <w:sz w:val="24"/>
                <w:szCs w:val="24"/>
                <w:highlight w:val="none"/>
                <w:lang w:val="en-US" w:eastAsia="zh-CN" w:bidi="zh-CN"/>
              </w:rPr>
              <w:t>、科学先进、合理可行</w:t>
            </w:r>
            <w:r>
              <w:rPr>
                <w:rFonts w:hint="eastAsia" w:ascii="宋体" w:hAnsi="宋体" w:cs="宋体"/>
                <w:color w:val="auto"/>
                <w:sz w:val="24"/>
                <w:szCs w:val="24"/>
                <w:highlight w:val="none"/>
                <w:lang w:val="en-US" w:eastAsia="zh-CN" w:bidi="zh-CN"/>
              </w:rPr>
              <w:t>、</w:t>
            </w:r>
            <w:r>
              <w:rPr>
                <w:rFonts w:hint="eastAsia" w:ascii="宋体" w:hAnsi="宋体" w:eastAsia="宋体" w:cs="宋体"/>
                <w:color w:val="auto"/>
                <w:sz w:val="24"/>
                <w:szCs w:val="24"/>
                <w:highlight w:val="none"/>
              </w:rPr>
              <w:t>条理清晰且符合采购实际需求得</w:t>
            </w:r>
            <w:r>
              <w:rPr>
                <w:rFonts w:hint="eastAsia" w:ascii="宋体" w:hAnsi="宋体" w:eastAsia="宋体" w:cs="宋体"/>
                <w:color w:val="auto"/>
                <w:sz w:val="24"/>
                <w:szCs w:val="24"/>
                <w:highlight w:val="none"/>
                <w:lang w:val="en-US" w:eastAsia="zh-CN"/>
              </w:rPr>
              <w:t>10分</w:t>
            </w:r>
          </w:p>
          <w:p w14:paraId="17B25CAC">
            <w:pPr>
              <w:spacing w:line="360" w:lineRule="auto"/>
              <w:rPr>
                <w:rFonts w:hint="eastAsia" w:ascii="宋体" w:hAnsi="宋体" w:eastAsia="宋体" w:cs="宋体"/>
                <w:color w:val="auto"/>
                <w:sz w:val="24"/>
                <w:szCs w:val="24"/>
                <w:highlight w:val="none"/>
                <w:lang w:val="en-US" w:eastAsia="zh-CN" w:bidi="zh-CN"/>
              </w:rPr>
            </w:pPr>
            <w:r>
              <w:rPr>
                <w:rFonts w:hint="eastAsia" w:ascii="宋体" w:hAnsi="宋体" w:eastAsia="宋体" w:cs="宋体"/>
                <w:color w:val="auto"/>
                <w:sz w:val="24"/>
                <w:szCs w:val="24"/>
                <w:highlight w:val="none"/>
              </w:rPr>
              <w:t>内容</w:t>
            </w:r>
            <w:r>
              <w:rPr>
                <w:rFonts w:hint="eastAsia" w:ascii="宋体" w:hAnsi="宋体" w:eastAsia="宋体" w:cs="宋体"/>
                <w:color w:val="auto"/>
                <w:sz w:val="24"/>
                <w:szCs w:val="24"/>
                <w:highlight w:val="none"/>
                <w:lang w:val="en-US" w:eastAsia="zh-CN" w:bidi="zh-CN"/>
              </w:rPr>
              <w:t>较为完整、较为科学、较为合理得</w:t>
            </w:r>
            <w:r>
              <w:rPr>
                <w:rFonts w:hint="eastAsia" w:ascii="宋体" w:hAnsi="宋体" w:cs="宋体"/>
                <w:color w:val="auto"/>
                <w:sz w:val="24"/>
                <w:szCs w:val="24"/>
                <w:highlight w:val="none"/>
                <w:lang w:val="en-US" w:eastAsia="zh-CN" w:bidi="zh-CN"/>
              </w:rPr>
              <w:t>8</w:t>
            </w:r>
            <w:r>
              <w:rPr>
                <w:rFonts w:hint="eastAsia" w:ascii="宋体" w:hAnsi="宋体" w:eastAsia="宋体" w:cs="宋体"/>
                <w:color w:val="auto"/>
                <w:sz w:val="24"/>
                <w:szCs w:val="24"/>
                <w:highlight w:val="none"/>
                <w:lang w:val="en-US" w:eastAsia="zh-CN" w:bidi="zh-CN"/>
              </w:rPr>
              <w:t>分；</w:t>
            </w:r>
          </w:p>
          <w:p w14:paraId="7D95DD37">
            <w:pPr>
              <w:spacing w:line="360" w:lineRule="auto"/>
              <w:rPr>
                <w:rFonts w:hint="eastAsia" w:ascii="宋体" w:hAnsi="宋体" w:eastAsia="宋体" w:cs="宋体"/>
                <w:color w:val="auto"/>
                <w:sz w:val="24"/>
                <w:szCs w:val="24"/>
                <w:highlight w:val="none"/>
                <w:lang w:val="en-US" w:eastAsia="zh-CN" w:bidi="zh-CN"/>
              </w:rPr>
            </w:pPr>
            <w:r>
              <w:rPr>
                <w:rFonts w:hint="eastAsia" w:ascii="宋体" w:hAnsi="宋体" w:eastAsia="宋体" w:cs="宋体"/>
                <w:color w:val="auto"/>
                <w:sz w:val="24"/>
                <w:szCs w:val="24"/>
                <w:highlight w:val="none"/>
              </w:rPr>
              <w:t>内容</w:t>
            </w:r>
            <w:r>
              <w:rPr>
                <w:rFonts w:hint="eastAsia" w:ascii="宋体" w:hAnsi="宋体" w:eastAsia="宋体" w:cs="宋体"/>
                <w:color w:val="auto"/>
                <w:sz w:val="24"/>
                <w:szCs w:val="24"/>
                <w:highlight w:val="none"/>
                <w:lang w:val="en-US" w:eastAsia="zh-CN" w:bidi="zh-CN"/>
              </w:rPr>
              <w:t>简略、基本科学、基本合理得</w:t>
            </w:r>
            <w:r>
              <w:rPr>
                <w:rFonts w:hint="eastAsia" w:ascii="宋体" w:hAnsi="宋体" w:cs="宋体"/>
                <w:color w:val="auto"/>
                <w:sz w:val="24"/>
                <w:szCs w:val="24"/>
                <w:highlight w:val="none"/>
                <w:lang w:val="en-US" w:eastAsia="zh-CN" w:bidi="zh-CN"/>
              </w:rPr>
              <w:t>6</w:t>
            </w:r>
            <w:r>
              <w:rPr>
                <w:rFonts w:hint="eastAsia" w:ascii="宋体" w:hAnsi="宋体" w:eastAsia="宋体" w:cs="宋体"/>
                <w:color w:val="auto"/>
                <w:sz w:val="24"/>
                <w:szCs w:val="24"/>
                <w:highlight w:val="none"/>
                <w:lang w:val="en-US" w:eastAsia="zh-CN" w:bidi="zh-CN"/>
              </w:rPr>
              <w:t>分；</w:t>
            </w:r>
          </w:p>
          <w:p w14:paraId="45B1FFE7">
            <w:pPr>
              <w:spacing w:line="360" w:lineRule="auto"/>
              <w:rPr>
                <w:rFonts w:hint="eastAsia"/>
                <w:color w:val="auto"/>
                <w:highlight w:val="none"/>
                <w:lang w:val="en-US" w:eastAsia="zh-CN"/>
              </w:rPr>
            </w:pPr>
            <w:r>
              <w:rPr>
                <w:rFonts w:hint="eastAsia" w:ascii="宋体" w:hAnsi="宋体" w:eastAsia="宋体" w:cs="宋体"/>
                <w:color w:val="auto"/>
                <w:sz w:val="24"/>
                <w:szCs w:val="24"/>
                <w:highlight w:val="none"/>
              </w:rPr>
              <w:t>内容</w:t>
            </w:r>
            <w:r>
              <w:rPr>
                <w:rFonts w:hint="eastAsia" w:ascii="宋体" w:hAnsi="宋体" w:eastAsia="宋体" w:cs="宋体"/>
                <w:color w:val="auto"/>
                <w:sz w:val="24"/>
                <w:szCs w:val="24"/>
                <w:highlight w:val="none"/>
                <w:lang w:val="en-US" w:eastAsia="zh-CN" w:bidi="zh-CN"/>
              </w:rPr>
              <w:t>简略、</w:t>
            </w:r>
            <w:r>
              <w:rPr>
                <w:rFonts w:hint="eastAsia" w:ascii="宋体" w:hAnsi="宋体" w:cs="宋体"/>
                <w:color w:val="auto"/>
                <w:sz w:val="24"/>
                <w:szCs w:val="24"/>
                <w:highlight w:val="none"/>
                <w:lang w:val="en-US" w:eastAsia="zh-CN" w:bidi="zh-CN"/>
              </w:rPr>
              <w:t>不</w:t>
            </w:r>
            <w:r>
              <w:rPr>
                <w:rFonts w:hint="eastAsia" w:ascii="宋体" w:hAnsi="宋体" w:eastAsia="宋体" w:cs="宋体"/>
                <w:color w:val="auto"/>
                <w:sz w:val="24"/>
                <w:szCs w:val="24"/>
                <w:highlight w:val="none"/>
                <w:lang w:val="en-US" w:eastAsia="zh-CN" w:bidi="zh-CN"/>
              </w:rPr>
              <w:t>科学、</w:t>
            </w:r>
            <w:r>
              <w:rPr>
                <w:rFonts w:hint="eastAsia" w:ascii="宋体" w:hAnsi="宋体" w:cs="宋体"/>
                <w:color w:val="auto"/>
                <w:sz w:val="24"/>
                <w:szCs w:val="24"/>
                <w:highlight w:val="none"/>
                <w:lang w:val="en-US" w:eastAsia="zh-CN" w:bidi="zh-CN"/>
              </w:rPr>
              <w:t>不</w:t>
            </w:r>
            <w:r>
              <w:rPr>
                <w:rFonts w:hint="eastAsia" w:ascii="宋体" w:hAnsi="宋体" w:eastAsia="宋体" w:cs="宋体"/>
                <w:color w:val="auto"/>
                <w:sz w:val="24"/>
                <w:szCs w:val="24"/>
                <w:highlight w:val="none"/>
                <w:lang w:val="en-US" w:eastAsia="zh-CN" w:bidi="zh-CN"/>
              </w:rPr>
              <w:t>合理得</w:t>
            </w:r>
            <w:r>
              <w:rPr>
                <w:rFonts w:hint="eastAsia" w:ascii="宋体" w:hAnsi="宋体" w:cs="宋体"/>
                <w:color w:val="auto"/>
                <w:sz w:val="24"/>
                <w:szCs w:val="24"/>
                <w:highlight w:val="none"/>
                <w:lang w:val="en-US" w:eastAsia="zh-CN" w:bidi="zh-CN"/>
              </w:rPr>
              <w:t>4</w:t>
            </w:r>
            <w:r>
              <w:rPr>
                <w:rFonts w:hint="eastAsia" w:ascii="宋体" w:hAnsi="宋体" w:eastAsia="宋体" w:cs="宋体"/>
                <w:color w:val="auto"/>
                <w:sz w:val="24"/>
                <w:szCs w:val="24"/>
                <w:highlight w:val="none"/>
                <w:lang w:val="en-US" w:eastAsia="zh-CN" w:bidi="zh-CN"/>
              </w:rPr>
              <w:t>分；</w:t>
            </w:r>
          </w:p>
          <w:p w14:paraId="3332313F">
            <w:pPr>
              <w:spacing w:line="360" w:lineRule="auto"/>
              <w:rPr>
                <w:rFonts w:hint="eastAsia" w:ascii="宋体" w:hAnsi="宋体" w:eastAsia="宋体" w:cs="宋体"/>
                <w:color w:val="auto"/>
                <w:sz w:val="24"/>
                <w:szCs w:val="24"/>
                <w:highlight w:val="none"/>
              </w:rPr>
            </w:pPr>
            <w:r>
              <w:rPr>
                <w:rFonts w:ascii="宋体" w:hAnsi="宋体" w:eastAsia="宋体" w:cs="宋体"/>
                <w:color w:val="auto"/>
                <w:sz w:val="24"/>
                <w:szCs w:val="24"/>
                <w:highlight w:val="none"/>
              </w:rPr>
              <w:t>缺项漏项的该项不得分；</w:t>
            </w:r>
          </w:p>
        </w:tc>
        <w:tc>
          <w:tcPr>
            <w:tcW w:w="960" w:type="dxa"/>
            <w:noWrap w:val="0"/>
            <w:vAlign w:val="top"/>
          </w:tcPr>
          <w:p w14:paraId="43D2BC24">
            <w:pPr>
              <w:autoSpaceDE w:val="0"/>
              <w:autoSpaceDN w:val="0"/>
              <w:spacing w:line="360" w:lineRule="auto"/>
              <w:ind w:right="166" w:rightChars="0"/>
              <w:jc w:val="both"/>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10</w:t>
            </w:r>
            <w:r>
              <w:rPr>
                <w:rFonts w:hint="eastAsia" w:ascii="宋体" w:hAnsi="宋体" w:eastAsia="宋体" w:cs="宋体"/>
                <w:color w:val="auto"/>
                <w:sz w:val="24"/>
                <w:szCs w:val="24"/>
                <w:highlight w:val="none"/>
                <w:lang w:val="en-US" w:eastAsia="zh-CN"/>
              </w:rPr>
              <w:t>分</w:t>
            </w:r>
          </w:p>
        </w:tc>
      </w:tr>
      <w:tr w14:paraId="589CF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1155" w:type="dxa"/>
            <w:vMerge w:val="continue"/>
            <w:noWrap w:val="0"/>
            <w:vAlign w:val="center"/>
          </w:tcPr>
          <w:p w14:paraId="51C237DF">
            <w:pPr>
              <w:autoSpaceDE w:val="0"/>
              <w:autoSpaceDN w:val="0"/>
              <w:spacing w:line="360" w:lineRule="auto"/>
              <w:ind w:right="166" w:rightChars="0"/>
              <w:jc w:val="center"/>
              <w:rPr>
                <w:rFonts w:hint="eastAsia" w:ascii="宋体" w:hAnsi="宋体" w:eastAsia="宋体" w:cs="宋体"/>
                <w:color w:val="auto"/>
                <w:kern w:val="0"/>
                <w:sz w:val="24"/>
                <w:szCs w:val="24"/>
                <w:highlight w:val="none"/>
              </w:rPr>
            </w:pPr>
          </w:p>
        </w:tc>
        <w:tc>
          <w:tcPr>
            <w:tcW w:w="1302" w:type="dxa"/>
            <w:noWrap w:val="0"/>
            <w:vAlign w:val="top"/>
          </w:tcPr>
          <w:p w14:paraId="7BF4FB07">
            <w:pPr>
              <w:autoSpaceDE w:val="0"/>
              <w:autoSpaceDN w:val="0"/>
              <w:spacing w:line="360" w:lineRule="auto"/>
              <w:ind w:right="166" w:rightChars="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bidi="zh-CN"/>
              </w:rPr>
              <w:t>重点与难点分析</w:t>
            </w:r>
            <w:r>
              <w:rPr>
                <w:rFonts w:hint="eastAsia" w:ascii="宋体" w:hAnsi="宋体" w:cs="宋体"/>
                <w:color w:val="auto"/>
                <w:sz w:val="24"/>
                <w:szCs w:val="24"/>
                <w:highlight w:val="none"/>
                <w:lang w:val="en-US" w:eastAsia="zh-CN" w:bidi="zh-CN"/>
              </w:rPr>
              <w:t>（</w:t>
            </w:r>
            <w:r>
              <w:rPr>
                <w:rFonts w:hint="eastAsia" w:ascii="宋体" w:hAnsi="宋体" w:cs="宋体"/>
                <w:color w:val="auto"/>
                <w:sz w:val="24"/>
                <w:szCs w:val="24"/>
                <w:highlight w:val="none"/>
                <w:lang w:val="en-US" w:eastAsia="zh-CN"/>
              </w:rPr>
              <w:t>10</w:t>
            </w:r>
            <w:r>
              <w:rPr>
                <w:rFonts w:hint="eastAsia" w:ascii="宋体" w:hAnsi="宋体" w:eastAsia="宋体" w:cs="宋体"/>
                <w:color w:val="auto"/>
                <w:sz w:val="24"/>
                <w:szCs w:val="24"/>
                <w:highlight w:val="none"/>
                <w:lang w:val="en-US" w:eastAsia="zh-CN"/>
              </w:rPr>
              <w:t>分</w:t>
            </w:r>
            <w:r>
              <w:rPr>
                <w:rFonts w:hint="eastAsia" w:ascii="宋体" w:hAnsi="宋体" w:cs="宋体"/>
                <w:color w:val="auto"/>
                <w:sz w:val="24"/>
                <w:szCs w:val="24"/>
                <w:highlight w:val="none"/>
                <w:lang w:val="en-US" w:eastAsia="zh-CN" w:bidi="zh-CN"/>
              </w:rPr>
              <w:t>）</w:t>
            </w:r>
          </w:p>
        </w:tc>
        <w:tc>
          <w:tcPr>
            <w:tcW w:w="6191" w:type="dxa"/>
            <w:noWrap w:val="0"/>
            <w:vAlign w:val="top"/>
          </w:tcPr>
          <w:p w14:paraId="6DB9B6D7">
            <w:pPr>
              <w:spacing w:line="360" w:lineRule="auto"/>
              <w:rPr>
                <w:rFonts w:hint="eastAsia" w:ascii="宋体" w:hAnsi="宋体" w:eastAsia="宋体" w:cs="宋体"/>
                <w:color w:val="auto"/>
                <w:sz w:val="24"/>
                <w:szCs w:val="24"/>
                <w:highlight w:val="none"/>
                <w:lang w:val="en-US" w:eastAsia="zh-CN" w:bidi="zh-CN"/>
              </w:rPr>
            </w:pPr>
            <w:r>
              <w:rPr>
                <w:rFonts w:hint="eastAsia" w:ascii="宋体" w:hAnsi="宋体" w:eastAsia="宋体" w:cs="宋体"/>
                <w:color w:val="auto"/>
                <w:sz w:val="24"/>
                <w:szCs w:val="24"/>
                <w:highlight w:val="none"/>
                <w:lang w:val="en-US" w:eastAsia="zh-CN" w:bidi="zh-CN"/>
              </w:rPr>
              <w:t>根据供应商编制的服务方案具体内容，重点对本项目工作的重点与难点进行全面分析及评价。</w:t>
            </w:r>
          </w:p>
          <w:p w14:paraId="7454A3BD">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内容完整详细</w:t>
            </w:r>
            <w:r>
              <w:rPr>
                <w:rFonts w:hint="eastAsia" w:ascii="宋体" w:hAnsi="宋体" w:eastAsia="宋体" w:cs="宋体"/>
                <w:color w:val="auto"/>
                <w:sz w:val="24"/>
                <w:szCs w:val="24"/>
                <w:highlight w:val="none"/>
                <w:lang w:val="en-US" w:eastAsia="zh-CN" w:bidi="zh-CN"/>
              </w:rPr>
              <w:t>、科学先进、合理可行</w:t>
            </w:r>
            <w:r>
              <w:rPr>
                <w:rFonts w:hint="eastAsia" w:ascii="宋体" w:hAnsi="宋体" w:cs="宋体"/>
                <w:color w:val="auto"/>
                <w:sz w:val="24"/>
                <w:szCs w:val="24"/>
                <w:highlight w:val="none"/>
                <w:lang w:val="en-US" w:eastAsia="zh-CN" w:bidi="zh-CN"/>
              </w:rPr>
              <w:t>、</w:t>
            </w:r>
            <w:r>
              <w:rPr>
                <w:rFonts w:hint="eastAsia" w:ascii="宋体" w:hAnsi="宋体" w:eastAsia="宋体" w:cs="宋体"/>
                <w:color w:val="auto"/>
                <w:sz w:val="24"/>
                <w:szCs w:val="24"/>
                <w:highlight w:val="none"/>
              </w:rPr>
              <w:t>条理清晰且符合采购实际需求得</w:t>
            </w:r>
            <w:r>
              <w:rPr>
                <w:rFonts w:hint="eastAsia" w:ascii="宋体" w:hAnsi="宋体" w:eastAsia="宋体" w:cs="宋体"/>
                <w:color w:val="auto"/>
                <w:sz w:val="24"/>
                <w:szCs w:val="24"/>
                <w:highlight w:val="none"/>
                <w:lang w:val="en-US" w:eastAsia="zh-CN"/>
              </w:rPr>
              <w:t>10分</w:t>
            </w:r>
          </w:p>
          <w:p w14:paraId="06852758">
            <w:pPr>
              <w:spacing w:line="360" w:lineRule="auto"/>
              <w:rPr>
                <w:rFonts w:hint="eastAsia" w:ascii="宋体" w:hAnsi="宋体" w:eastAsia="宋体" w:cs="宋体"/>
                <w:color w:val="auto"/>
                <w:sz w:val="24"/>
                <w:szCs w:val="24"/>
                <w:highlight w:val="none"/>
                <w:lang w:val="en-US" w:eastAsia="zh-CN" w:bidi="zh-CN"/>
              </w:rPr>
            </w:pPr>
            <w:r>
              <w:rPr>
                <w:rFonts w:hint="eastAsia" w:ascii="宋体" w:hAnsi="宋体" w:eastAsia="宋体" w:cs="宋体"/>
                <w:color w:val="auto"/>
                <w:sz w:val="24"/>
                <w:szCs w:val="24"/>
                <w:highlight w:val="none"/>
              </w:rPr>
              <w:t>内容</w:t>
            </w:r>
            <w:r>
              <w:rPr>
                <w:rFonts w:hint="eastAsia" w:ascii="宋体" w:hAnsi="宋体" w:eastAsia="宋体" w:cs="宋体"/>
                <w:color w:val="auto"/>
                <w:sz w:val="24"/>
                <w:szCs w:val="24"/>
                <w:highlight w:val="none"/>
                <w:lang w:val="en-US" w:eastAsia="zh-CN" w:bidi="zh-CN"/>
              </w:rPr>
              <w:t>较为完整、较为科学、较为合理得</w:t>
            </w:r>
            <w:r>
              <w:rPr>
                <w:rFonts w:hint="eastAsia" w:ascii="宋体" w:hAnsi="宋体" w:cs="宋体"/>
                <w:color w:val="auto"/>
                <w:sz w:val="24"/>
                <w:szCs w:val="24"/>
                <w:highlight w:val="none"/>
                <w:lang w:val="en-US" w:eastAsia="zh-CN" w:bidi="zh-CN"/>
              </w:rPr>
              <w:t>8</w:t>
            </w:r>
            <w:r>
              <w:rPr>
                <w:rFonts w:hint="eastAsia" w:ascii="宋体" w:hAnsi="宋体" w:eastAsia="宋体" w:cs="宋体"/>
                <w:color w:val="auto"/>
                <w:sz w:val="24"/>
                <w:szCs w:val="24"/>
                <w:highlight w:val="none"/>
                <w:lang w:val="en-US" w:eastAsia="zh-CN" w:bidi="zh-CN"/>
              </w:rPr>
              <w:t>分；</w:t>
            </w:r>
          </w:p>
          <w:p w14:paraId="66F9FE04">
            <w:pPr>
              <w:spacing w:line="360" w:lineRule="auto"/>
              <w:rPr>
                <w:rFonts w:hint="eastAsia" w:ascii="宋体" w:hAnsi="宋体" w:eastAsia="宋体" w:cs="宋体"/>
                <w:color w:val="auto"/>
                <w:sz w:val="24"/>
                <w:szCs w:val="24"/>
                <w:highlight w:val="none"/>
                <w:lang w:val="en-US" w:eastAsia="zh-CN" w:bidi="zh-CN"/>
              </w:rPr>
            </w:pPr>
            <w:r>
              <w:rPr>
                <w:rFonts w:hint="eastAsia" w:ascii="宋体" w:hAnsi="宋体" w:eastAsia="宋体" w:cs="宋体"/>
                <w:color w:val="auto"/>
                <w:sz w:val="24"/>
                <w:szCs w:val="24"/>
                <w:highlight w:val="none"/>
              </w:rPr>
              <w:t>内容</w:t>
            </w:r>
            <w:r>
              <w:rPr>
                <w:rFonts w:hint="eastAsia" w:ascii="宋体" w:hAnsi="宋体" w:eastAsia="宋体" w:cs="宋体"/>
                <w:color w:val="auto"/>
                <w:sz w:val="24"/>
                <w:szCs w:val="24"/>
                <w:highlight w:val="none"/>
                <w:lang w:val="en-US" w:eastAsia="zh-CN" w:bidi="zh-CN"/>
              </w:rPr>
              <w:t>简略、基本科学、基本合理得</w:t>
            </w:r>
            <w:r>
              <w:rPr>
                <w:rFonts w:hint="eastAsia" w:ascii="宋体" w:hAnsi="宋体" w:cs="宋体"/>
                <w:color w:val="auto"/>
                <w:sz w:val="24"/>
                <w:szCs w:val="24"/>
                <w:highlight w:val="none"/>
                <w:lang w:val="en-US" w:eastAsia="zh-CN" w:bidi="zh-CN"/>
              </w:rPr>
              <w:t>6</w:t>
            </w:r>
            <w:r>
              <w:rPr>
                <w:rFonts w:hint="eastAsia" w:ascii="宋体" w:hAnsi="宋体" w:eastAsia="宋体" w:cs="宋体"/>
                <w:color w:val="auto"/>
                <w:sz w:val="24"/>
                <w:szCs w:val="24"/>
                <w:highlight w:val="none"/>
                <w:lang w:val="en-US" w:eastAsia="zh-CN" w:bidi="zh-CN"/>
              </w:rPr>
              <w:t>分；</w:t>
            </w:r>
          </w:p>
          <w:p w14:paraId="71627225">
            <w:pPr>
              <w:spacing w:line="360" w:lineRule="auto"/>
              <w:rPr>
                <w:rFonts w:hint="eastAsia"/>
                <w:color w:val="auto"/>
                <w:highlight w:val="none"/>
                <w:lang w:val="en-US" w:eastAsia="zh-CN"/>
              </w:rPr>
            </w:pPr>
            <w:r>
              <w:rPr>
                <w:rFonts w:hint="eastAsia" w:ascii="宋体" w:hAnsi="宋体" w:eastAsia="宋体" w:cs="宋体"/>
                <w:color w:val="auto"/>
                <w:sz w:val="24"/>
                <w:szCs w:val="24"/>
                <w:highlight w:val="none"/>
              </w:rPr>
              <w:t>内容</w:t>
            </w:r>
            <w:r>
              <w:rPr>
                <w:rFonts w:hint="eastAsia" w:ascii="宋体" w:hAnsi="宋体" w:eastAsia="宋体" w:cs="宋体"/>
                <w:color w:val="auto"/>
                <w:sz w:val="24"/>
                <w:szCs w:val="24"/>
                <w:highlight w:val="none"/>
                <w:lang w:val="en-US" w:eastAsia="zh-CN" w:bidi="zh-CN"/>
              </w:rPr>
              <w:t>简略、</w:t>
            </w:r>
            <w:r>
              <w:rPr>
                <w:rFonts w:hint="eastAsia" w:ascii="宋体" w:hAnsi="宋体" w:cs="宋体"/>
                <w:color w:val="auto"/>
                <w:sz w:val="24"/>
                <w:szCs w:val="24"/>
                <w:highlight w:val="none"/>
                <w:lang w:val="en-US" w:eastAsia="zh-CN" w:bidi="zh-CN"/>
              </w:rPr>
              <w:t>不</w:t>
            </w:r>
            <w:r>
              <w:rPr>
                <w:rFonts w:hint="eastAsia" w:ascii="宋体" w:hAnsi="宋体" w:eastAsia="宋体" w:cs="宋体"/>
                <w:color w:val="auto"/>
                <w:sz w:val="24"/>
                <w:szCs w:val="24"/>
                <w:highlight w:val="none"/>
                <w:lang w:val="en-US" w:eastAsia="zh-CN" w:bidi="zh-CN"/>
              </w:rPr>
              <w:t>科学、</w:t>
            </w:r>
            <w:r>
              <w:rPr>
                <w:rFonts w:hint="eastAsia" w:ascii="宋体" w:hAnsi="宋体" w:cs="宋体"/>
                <w:color w:val="auto"/>
                <w:sz w:val="24"/>
                <w:szCs w:val="24"/>
                <w:highlight w:val="none"/>
                <w:lang w:val="en-US" w:eastAsia="zh-CN" w:bidi="zh-CN"/>
              </w:rPr>
              <w:t>不</w:t>
            </w:r>
            <w:r>
              <w:rPr>
                <w:rFonts w:hint="eastAsia" w:ascii="宋体" w:hAnsi="宋体" w:eastAsia="宋体" w:cs="宋体"/>
                <w:color w:val="auto"/>
                <w:sz w:val="24"/>
                <w:szCs w:val="24"/>
                <w:highlight w:val="none"/>
                <w:lang w:val="en-US" w:eastAsia="zh-CN" w:bidi="zh-CN"/>
              </w:rPr>
              <w:t>合理得</w:t>
            </w:r>
            <w:r>
              <w:rPr>
                <w:rFonts w:hint="eastAsia" w:ascii="宋体" w:hAnsi="宋体" w:cs="宋体"/>
                <w:color w:val="auto"/>
                <w:sz w:val="24"/>
                <w:szCs w:val="24"/>
                <w:highlight w:val="none"/>
                <w:lang w:val="en-US" w:eastAsia="zh-CN" w:bidi="zh-CN"/>
              </w:rPr>
              <w:t>4</w:t>
            </w:r>
            <w:r>
              <w:rPr>
                <w:rFonts w:hint="eastAsia" w:ascii="宋体" w:hAnsi="宋体" w:eastAsia="宋体" w:cs="宋体"/>
                <w:color w:val="auto"/>
                <w:sz w:val="24"/>
                <w:szCs w:val="24"/>
                <w:highlight w:val="none"/>
                <w:lang w:val="en-US" w:eastAsia="zh-CN" w:bidi="zh-CN"/>
              </w:rPr>
              <w:t>分；</w:t>
            </w:r>
          </w:p>
          <w:p w14:paraId="2ED449F8">
            <w:pPr>
              <w:spacing w:line="360" w:lineRule="auto"/>
              <w:rPr>
                <w:rFonts w:hint="eastAsia" w:ascii="宋体" w:hAnsi="宋体" w:eastAsia="宋体" w:cs="宋体"/>
                <w:bCs/>
                <w:color w:val="auto"/>
                <w:sz w:val="24"/>
                <w:szCs w:val="24"/>
                <w:highlight w:val="none"/>
              </w:rPr>
            </w:pPr>
            <w:r>
              <w:rPr>
                <w:rFonts w:ascii="宋体" w:hAnsi="宋体" w:eastAsia="宋体" w:cs="宋体"/>
                <w:color w:val="auto"/>
                <w:sz w:val="24"/>
                <w:szCs w:val="24"/>
                <w:highlight w:val="none"/>
              </w:rPr>
              <w:t>缺项漏项的该项不得分；</w:t>
            </w:r>
          </w:p>
        </w:tc>
        <w:tc>
          <w:tcPr>
            <w:tcW w:w="960" w:type="dxa"/>
            <w:noWrap w:val="0"/>
            <w:vAlign w:val="top"/>
          </w:tcPr>
          <w:p w14:paraId="31DE98A2">
            <w:pPr>
              <w:autoSpaceDE w:val="0"/>
              <w:autoSpaceDN w:val="0"/>
              <w:spacing w:line="360" w:lineRule="auto"/>
              <w:ind w:right="166" w:rightChars="0"/>
              <w:jc w:val="both"/>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10</w:t>
            </w:r>
            <w:r>
              <w:rPr>
                <w:rFonts w:hint="eastAsia" w:ascii="宋体" w:hAnsi="宋体" w:eastAsia="宋体" w:cs="宋体"/>
                <w:color w:val="auto"/>
                <w:sz w:val="24"/>
                <w:szCs w:val="24"/>
                <w:highlight w:val="none"/>
                <w:lang w:val="en-US" w:eastAsia="zh-CN"/>
              </w:rPr>
              <w:t>分</w:t>
            </w:r>
          </w:p>
        </w:tc>
      </w:tr>
      <w:tr w14:paraId="168B4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1155" w:type="dxa"/>
            <w:vMerge w:val="continue"/>
            <w:noWrap w:val="0"/>
            <w:vAlign w:val="center"/>
          </w:tcPr>
          <w:p w14:paraId="34022E6D">
            <w:pPr>
              <w:autoSpaceDE w:val="0"/>
              <w:autoSpaceDN w:val="0"/>
              <w:spacing w:line="360" w:lineRule="auto"/>
              <w:ind w:right="166" w:rightChars="0"/>
              <w:jc w:val="center"/>
              <w:rPr>
                <w:rFonts w:hint="eastAsia" w:ascii="宋体" w:hAnsi="宋体" w:eastAsia="宋体" w:cs="宋体"/>
                <w:color w:val="auto"/>
                <w:kern w:val="0"/>
                <w:sz w:val="24"/>
                <w:szCs w:val="24"/>
                <w:highlight w:val="none"/>
              </w:rPr>
            </w:pPr>
          </w:p>
        </w:tc>
        <w:tc>
          <w:tcPr>
            <w:tcW w:w="1302" w:type="dxa"/>
            <w:noWrap w:val="0"/>
            <w:vAlign w:val="top"/>
          </w:tcPr>
          <w:p w14:paraId="42A39A19">
            <w:pPr>
              <w:autoSpaceDE w:val="0"/>
              <w:autoSpaceDN w:val="0"/>
              <w:spacing w:line="360" w:lineRule="auto"/>
              <w:ind w:right="166" w:rightChars="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bidi="zh-CN"/>
              </w:rPr>
              <w:t>质量、进度、组织保障措施</w:t>
            </w:r>
            <w:r>
              <w:rPr>
                <w:rFonts w:hint="eastAsia" w:ascii="宋体" w:hAnsi="宋体" w:cs="宋体"/>
                <w:color w:val="auto"/>
                <w:sz w:val="24"/>
                <w:szCs w:val="24"/>
                <w:highlight w:val="none"/>
                <w:lang w:val="en-US" w:eastAsia="zh-CN" w:bidi="zh-CN"/>
              </w:rPr>
              <w:t>（</w:t>
            </w:r>
            <w:r>
              <w:rPr>
                <w:rFonts w:hint="eastAsia" w:ascii="宋体" w:hAnsi="宋体" w:cs="宋体"/>
                <w:color w:val="auto"/>
                <w:sz w:val="24"/>
                <w:szCs w:val="24"/>
                <w:highlight w:val="none"/>
                <w:lang w:val="en-US" w:eastAsia="zh-CN"/>
              </w:rPr>
              <w:t>10</w:t>
            </w:r>
            <w:r>
              <w:rPr>
                <w:rFonts w:hint="eastAsia" w:ascii="宋体" w:hAnsi="宋体" w:eastAsia="宋体" w:cs="宋体"/>
                <w:color w:val="auto"/>
                <w:sz w:val="24"/>
                <w:szCs w:val="24"/>
                <w:highlight w:val="none"/>
                <w:lang w:val="en-US" w:eastAsia="zh-CN"/>
              </w:rPr>
              <w:t>分</w:t>
            </w:r>
            <w:r>
              <w:rPr>
                <w:rFonts w:hint="eastAsia" w:ascii="宋体" w:hAnsi="宋体" w:cs="宋体"/>
                <w:color w:val="auto"/>
                <w:sz w:val="24"/>
                <w:szCs w:val="24"/>
                <w:highlight w:val="none"/>
                <w:lang w:val="en-US" w:eastAsia="zh-CN" w:bidi="zh-CN"/>
              </w:rPr>
              <w:t>）</w:t>
            </w:r>
          </w:p>
        </w:tc>
        <w:tc>
          <w:tcPr>
            <w:tcW w:w="6191" w:type="dxa"/>
            <w:noWrap w:val="0"/>
            <w:vAlign w:val="top"/>
          </w:tcPr>
          <w:p w14:paraId="1145C5C1">
            <w:pPr>
              <w:spacing w:line="360" w:lineRule="auto"/>
              <w:rPr>
                <w:rFonts w:hint="eastAsia" w:ascii="宋体" w:hAnsi="宋体" w:eastAsia="宋体" w:cs="宋体"/>
                <w:color w:val="auto"/>
                <w:sz w:val="24"/>
                <w:szCs w:val="24"/>
                <w:highlight w:val="none"/>
                <w:lang w:val="en-US" w:eastAsia="zh-CN" w:bidi="zh-CN"/>
              </w:rPr>
            </w:pPr>
            <w:r>
              <w:rPr>
                <w:rFonts w:hint="eastAsia" w:ascii="宋体" w:hAnsi="宋体" w:eastAsia="宋体" w:cs="宋体"/>
                <w:color w:val="auto"/>
                <w:sz w:val="24"/>
                <w:szCs w:val="24"/>
                <w:highlight w:val="none"/>
                <w:lang w:val="en-US" w:eastAsia="zh-CN" w:bidi="zh-CN"/>
              </w:rPr>
              <w:t>根据供应商编制服务方案的具体内容，重点对本项目工作质量保证措施、进度保证措施、组织保障措施进行评价。</w:t>
            </w:r>
          </w:p>
          <w:p w14:paraId="09DCE372">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内容完整详细</w:t>
            </w:r>
            <w:r>
              <w:rPr>
                <w:rFonts w:hint="eastAsia" w:ascii="宋体" w:hAnsi="宋体" w:eastAsia="宋体" w:cs="宋体"/>
                <w:color w:val="auto"/>
                <w:sz w:val="24"/>
                <w:szCs w:val="24"/>
                <w:highlight w:val="none"/>
                <w:lang w:val="en-US" w:eastAsia="zh-CN" w:bidi="zh-CN"/>
              </w:rPr>
              <w:t>、科学先进、合理可行</w:t>
            </w:r>
            <w:r>
              <w:rPr>
                <w:rFonts w:hint="eastAsia" w:ascii="宋体" w:hAnsi="宋体" w:cs="宋体"/>
                <w:color w:val="auto"/>
                <w:sz w:val="24"/>
                <w:szCs w:val="24"/>
                <w:highlight w:val="none"/>
                <w:lang w:val="en-US" w:eastAsia="zh-CN" w:bidi="zh-CN"/>
              </w:rPr>
              <w:t>、</w:t>
            </w:r>
            <w:r>
              <w:rPr>
                <w:rFonts w:hint="eastAsia" w:ascii="宋体" w:hAnsi="宋体" w:eastAsia="宋体" w:cs="宋体"/>
                <w:color w:val="auto"/>
                <w:sz w:val="24"/>
                <w:szCs w:val="24"/>
                <w:highlight w:val="none"/>
              </w:rPr>
              <w:t>条理清晰且符合采购实际需求得</w:t>
            </w:r>
            <w:r>
              <w:rPr>
                <w:rFonts w:hint="eastAsia" w:ascii="宋体" w:hAnsi="宋体" w:eastAsia="宋体" w:cs="宋体"/>
                <w:color w:val="auto"/>
                <w:sz w:val="24"/>
                <w:szCs w:val="24"/>
                <w:highlight w:val="none"/>
                <w:lang w:val="en-US" w:eastAsia="zh-CN"/>
              </w:rPr>
              <w:t>10分</w:t>
            </w:r>
          </w:p>
          <w:p w14:paraId="09CE8940">
            <w:pPr>
              <w:spacing w:line="360" w:lineRule="auto"/>
              <w:rPr>
                <w:rFonts w:hint="eastAsia" w:ascii="宋体" w:hAnsi="宋体" w:eastAsia="宋体" w:cs="宋体"/>
                <w:color w:val="auto"/>
                <w:sz w:val="24"/>
                <w:szCs w:val="24"/>
                <w:highlight w:val="none"/>
                <w:lang w:val="en-US" w:eastAsia="zh-CN" w:bidi="zh-CN"/>
              </w:rPr>
            </w:pPr>
            <w:r>
              <w:rPr>
                <w:rFonts w:hint="eastAsia" w:ascii="宋体" w:hAnsi="宋体" w:eastAsia="宋体" w:cs="宋体"/>
                <w:color w:val="auto"/>
                <w:sz w:val="24"/>
                <w:szCs w:val="24"/>
                <w:highlight w:val="none"/>
              </w:rPr>
              <w:t>内容</w:t>
            </w:r>
            <w:r>
              <w:rPr>
                <w:rFonts w:hint="eastAsia" w:ascii="宋体" w:hAnsi="宋体" w:eastAsia="宋体" w:cs="宋体"/>
                <w:color w:val="auto"/>
                <w:sz w:val="24"/>
                <w:szCs w:val="24"/>
                <w:highlight w:val="none"/>
                <w:lang w:val="en-US" w:eastAsia="zh-CN" w:bidi="zh-CN"/>
              </w:rPr>
              <w:t>较为完整、较为科学、较为合理得</w:t>
            </w:r>
            <w:r>
              <w:rPr>
                <w:rFonts w:hint="eastAsia" w:ascii="宋体" w:hAnsi="宋体" w:cs="宋体"/>
                <w:color w:val="auto"/>
                <w:sz w:val="24"/>
                <w:szCs w:val="24"/>
                <w:highlight w:val="none"/>
                <w:lang w:val="en-US" w:eastAsia="zh-CN" w:bidi="zh-CN"/>
              </w:rPr>
              <w:t>8</w:t>
            </w:r>
            <w:r>
              <w:rPr>
                <w:rFonts w:hint="eastAsia" w:ascii="宋体" w:hAnsi="宋体" w:eastAsia="宋体" w:cs="宋体"/>
                <w:color w:val="auto"/>
                <w:sz w:val="24"/>
                <w:szCs w:val="24"/>
                <w:highlight w:val="none"/>
                <w:lang w:val="en-US" w:eastAsia="zh-CN" w:bidi="zh-CN"/>
              </w:rPr>
              <w:t>分；</w:t>
            </w:r>
          </w:p>
          <w:p w14:paraId="4FAEFDCC">
            <w:pPr>
              <w:spacing w:line="360" w:lineRule="auto"/>
              <w:rPr>
                <w:rFonts w:hint="eastAsia" w:ascii="宋体" w:hAnsi="宋体" w:eastAsia="宋体" w:cs="宋体"/>
                <w:color w:val="auto"/>
                <w:sz w:val="24"/>
                <w:szCs w:val="24"/>
                <w:highlight w:val="none"/>
                <w:lang w:val="en-US" w:eastAsia="zh-CN" w:bidi="zh-CN"/>
              </w:rPr>
            </w:pPr>
            <w:r>
              <w:rPr>
                <w:rFonts w:hint="eastAsia" w:ascii="宋体" w:hAnsi="宋体" w:eastAsia="宋体" w:cs="宋体"/>
                <w:color w:val="auto"/>
                <w:sz w:val="24"/>
                <w:szCs w:val="24"/>
                <w:highlight w:val="none"/>
              </w:rPr>
              <w:t>内容</w:t>
            </w:r>
            <w:r>
              <w:rPr>
                <w:rFonts w:hint="eastAsia" w:ascii="宋体" w:hAnsi="宋体" w:eastAsia="宋体" w:cs="宋体"/>
                <w:color w:val="auto"/>
                <w:sz w:val="24"/>
                <w:szCs w:val="24"/>
                <w:highlight w:val="none"/>
                <w:lang w:val="en-US" w:eastAsia="zh-CN" w:bidi="zh-CN"/>
              </w:rPr>
              <w:t>简略、基本科学、基本合理得</w:t>
            </w:r>
            <w:r>
              <w:rPr>
                <w:rFonts w:hint="eastAsia" w:ascii="宋体" w:hAnsi="宋体" w:cs="宋体"/>
                <w:color w:val="auto"/>
                <w:sz w:val="24"/>
                <w:szCs w:val="24"/>
                <w:highlight w:val="none"/>
                <w:lang w:val="en-US" w:eastAsia="zh-CN" w:bidi="zh-CN"/>
              </w:rPr>
              <w:t>6</w:t>
            </w:r>
            <w:r>
              <w:rPr>
                <w:rFonts w:hint="eastAsia" w:ascii="宋体" w:hAnsi="宋体" w:eastAsia="宋体" w:cs="宋体"/>
                <w:color w:val="auto"/>
                <w:sz w:val="24"/>
                <w:szCs w:val="24"/>
                <w:highlight w:val="none"/>
                <w:lang w:val="en-US" w:eastAsia="zh-CN" w:bidi="zh-CN"/>
              </w:rPr>
              <w:t>分；</w:t>
            </w:r>
          </w:p>
          <w:p w14:paraId="08B2977A">
            <w:pPr>
              <w:spacing w:line="360" w:lineRule="auto"/>
              <w:rPr>
                <w:rFonts w:hint="eastAsia"/>
                <w:color w:val="auto"/>
                <w:highlight w:val="none"/>
                <w:lang w:val="en-US" w:eastAsia="zh-CN"/>
              </w:rPr>
            </w:pPr>
            <w:r>
              <w:rPr>
                <w:rFonts w:hint="eastAsia" w:ascii="宋体" w:hAnsi="宋体" w:eastAsia="宋体" w:cs="宋体"/>
                <w:color w:val="auto"/>
                <w:sz w:val="24"/>
                <w:szCs w:val="24"/>
                <w:highlight w:val="none"/>
              </w:rPr>
              <w:t>内容</w:t>
            </w:r>
            <w:r>
              <w:rPr>
                <w:rFonts w:hint="eastAsia" w:ascii="宋体" w:hAnsi="宋体" w:eastAsia="宋体" w:cs="宋体"/>
                <w:color w:val="auto"/>
                <w:sz w:val="24"/>
                <w:szCs w:val="24"/>
                <w:highlight w:val="none"/>
                <w:lang w:val="en-US" w:eastAsia="zh-CN" w:bidi="zh-CN"/>
              </w:rPr>
              <w:t>简略、</w:t>
            </w:r>
            <w:r>
              <w:rPr>
                <w:rFonts w:hint="eastAsia" w:ascii="宋体" w:hAnsi="宋体" w:cs="宋体"/>
                <w:color w:val="auto"/>
                <w:sz w:val="24"/>
                <w:szCs w:val="24"/>
                <w:highlight w:val="none"/>
                <w:lang w:val="en-US" w:eastAsia="zh-CN" w:bidi="zh-CN"/>
              </w:rPr>
              <w:t>不</w:t>
            </w:r>
            <w:r>
              <w:rPr>
                <w:rFonts w:hint="eastAsia" w:ascii="宋体" w:hAnsi="宋体" w:eastAsia="宋体" w:cs="宋体"/>
                <w:color w:val="auto"/>
                <w:sz w:val="24"/>
                <w:szCs w:val="24"/>
                <w:highlight w:val="none"/>
                <w:lang w:val="en-US" w:eastAsia="zh-CN" w:bidi="zh-CN"/>
              </w:rPr>
              <w:t>科学、</w:t>
            </w:r>
            <w:r>
              <w:rPr>
                <w:rFonts w:hint="eastAsia" w:ascii="宋体" w:hAnsi="宋体" w:cs="宋体"/>
                <w:color w:val="auto"/>
                <w:sz w:val="24"/>
                <w:szCs w:val="24"/>
                <w:highlight w:val="none"/>
                <w:lang w:val="en-US" w:eastAsia="zh-CN" w:bidi="zh-CN"/>
              </w:rPr>
              <w:t>不</w:t>
            </w:r>
            <w:r>
              <w:rPr>
                <w:rFonts w:hint="eastAsia" w:ascii="宋体" w:hAnsi="宋体" w:eastAsia="宋体" w:cs="宋体"/>
                <w:color w:val="auto"/>
                <w:sz w:val="24"/>
                <w:szCs w:val="24"/>
                <w:highlight w:val="none"/>
                <w:lang w:val="en-US" w:eastAsia="zh-CN" w:bidi="zh-CN"/>
              </w:rPr>
              <w:t>合理得</w:t>
            </w:r>
            <w:r>
              <w:rPr>
                <w:rFonts w:hint="eastAsia" w:ascii="宋体" w:hAnsi="宋体" w:cs="宋体"/>
                <w:color w:val="auto"/>
                <w:sz w:val="24"/>
                <w:szCs w:val="24"/>
                <w:highlight w:val="none"/>
                <w:lang w:val="en-US" w:eastAsia="zh-CN" w:bidi="zh-CN"/>
              </w:rPr>
              <w:t>4</w:t>
            </w:r>
            <w:r>
              <w:rPr>
                <w:rFonts w:hint="eastAsia" w:ascii="宋体" w:hAnsi="宋体" w:eastAsia="宋体" w:cs="宋体"/>
                <w:color w:val="auto"/>
                <w:sz w:val="24"/>
                <w:szCs w:val="24"/>
                <w:highlight w:val="none"/>
                <w:lang w:val="en-US" w:eastAsia="zh-CN" w:bidi="zh-CN"/>
              </w:rPr>
              <w:t>分；</w:t>
            </w:r>
          </w:p>
          <w:p w14:paraId="18D11935">
            <w:pPr>
              <w:spacing w:line="360" w:lineRule="auto"/>
              <w:rPr>
                <w:rFonts w:hint="eastAsia" w:ascii="宋体" w:hAnsi="宋体" w:eastAsia="宋体" w:cs="宋体"/>
                <w:bCs/>
                <w:color w:val="auto"/>
                <w:sz w:val="24"/>
                <w:szCs w:val="24"/>
                <w:highlight w:val="none"/>
              </w:rPr>
            </w:pPr>
            <w:r>
              <w:rPr>
                <w:rFonts w:ascii="宋体" w:hAnsi="宋体" w:eastAsia="宋体" w:cs="宋体"/>
                <w:color w:val="auto"/>
                <w:sz w:val="24"/>
                <w:szCs w:val="24"/>
                <w:highlight w:val="none"/>
              </w:rPr>
              <w:t>缺项漏项的该项不得分；</w:t>
            </w:r>
          </w:p>
        </w:tc>
        <w:tc>
          <w:tcPr>
            <w:tcW w:w="960" w:type="dxa"/>
            <w:noWrap w:val="0"/>
            <w:vAlign w:val="top"/>
          </w:tcPr>
          <w:p w14:paraId="3A9F63FA">
            <w:pPr>
              <w:autoSpaceDE w:val="0"/>
              <w:autoSpaceDN w:val="0"/>
              <w:spacing w:line="360" w:lineRule="auto"/>
              <w:ind w:right="166" w:rightChars="0"/>
              <w:jc w:val="both"/>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10</w:t>
            </w:r>
            <w:r>
              <w:rPr>
                <w:rFonts w:hint="eastAsia" w:ascii="宋体" w:hAnsi="宋体" w:eastAsia="宋体" w:cs="宋体"/>
                <w:color w:val="auto"/>
                <w:sz w:val="24"/>
                <w:szCs w:val="24"/>
                <w:highlight w:val="none"/>
                <w:lang w:val="en-US" w:eastAsia="zh-CN"/>
              </w:rPr>
              <w:t>分</w:t>
            </w:r>
          </w:p>
        </w:tc>
      </w:tr>
      <w:tr w14:paraId="6378F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1155" w:type="dxa"/>
            <w:vMerge w:val="continue"/>
            <w:noWrap w:val="0"/>
            <w:vAlign w:val="center"/>
          </w:tcPr>
          <w:p w14:paraId="70EE3BDE">
            <w:pPr>
              <w:autoSpaceDE w:val="0"/>
              <w:autoSpaceDN w:val="0"/>
              <w:spacing w:line="360" w:lineRule="auto"/>
              <w:ind w:right="166" w:rightChars="0"/>
              <w:jc w:val="center"/>
              <w:rPr>
                <w:rFonts w:hint="eastAsia" w:ascii="宋体" w:hAnsi="宋体" w:eastAsia="宋体" w:cs="宋体"/>
                <w:color w:val="auto"/>
                <w:kern w:val="0"/>
                <w:sz w:val="24"/>
                <w:szCs w:val="24"/>
                <w:highlight w:val="none"/>
              </w:rPr>
            </w:pPr>
          </w:p>
        </w:tc>
        <w:tc>
          <w:tcPr>
            <w:tcW w:w="1302" w:type="dxa"/>
            <w:noWrap w:val="0"/>
            <w:vAlign w:val="top"/>
          </w:tcPr>
          <w:p w14:paraId="2BCA04C0">
            <w:pPr>
              <w:autoSpaceDE w:val="0"/>
              <w:autoSpaceDN w:val="0"/>
              <w:spacing w:line="360" w:lineRule="auto"/>
              <w:ind w:right="166"/>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bidi="zh-CN"/>
              </w:rPr>
              <w:t>合理化建议</w:t>
            </w:r>
            <w:r>
              <w:rPr>
                <w:rFonts w:hint="eastAsia" w:ascii="宋体" w:hAnsi="宋体" w:cs="宋体"/>
                <w:color w:val="auto"/>
                <w:sz w:val="24"/>
                <w:szCs w:val="24"/>
                <w:highlight w:val="none"/>
                <w:lang w:val="en-US" w:eastAsia="zh-CN" w:bidi="zh-CN"/>
              </w:rPr>
              <w:t>（</w:t>
            </w:r>
            <w:r>
              <w:rPr>
                <w:rFonts w:hint="eastAsia" w:ascii="宋体" w:hAnsi="宋体" w:cs="宋体"/>
                <w:color w:val="auto"/>
                <w:sz w:val="24"/>
                <w:szCs w:val="24"/>
                <w:highlight w:val="none"/>
                <w:lang w:val="en-US" w:eastAsia="zh-CN"/>
              </w:rPr>
              <w:t>10</w:t>
            </w:r>
            <w:r>
              <w:rPr>
                <w:rFonts w:hint="eastAsia" w:ascii="宋体" w:hAnsi="宋体" w:eastAsia="宋体" w:cs="宋体"/>
                <w:color w:val="auto"/>
                <w:sz w:val="24"/>
                <w:szCs w:val="24"/>
                <w:highlight w:val="none"/>
                <w:lang w:val="en-US" w:eastAsia="zh-CN"/>
              </w:rPr>
              <w:t>分</w:t>
            </w:r>
            <w:r>
              <w:rPr>
                <w:rFonts w:hint="eastAsia" w:ascii="宋体" w:hAnsi="宋体" w:cs="宋体"/>
                <w:color w:val="auto"/>
                <w:sz w:val="24"/>
                <w:szCs w:val="24"/>
                <w:highlight w:val="none"/>
                <w:lang w:val="en-US" w:eastAsia="zh-CN" w:bidi="zh-CN"/>
              </w:rPr>
              <w:t>）</w:t>
            </w:r>
          </w:p>
        </w:tc>
        <w:tc>
          <w:tcPr>
            <w:tcW w:w="6191" w:type="dxa"/>
            <w:noWrap w:val="0"/>
            <w:vAlign w:val="top"/>
          </w:tcPr>
          <w:p w14:paraId="62458686">
            <w:pPr>
              <w:spacing w:line="360" w:lineRule="auto"/>
              <w:rPr>
                <w:rFonts w:hint="eastAsia" w:ascii="宋体" w:hAnsi="宋体" w:eastAsia="宋体" w:cs="宋体"/>
                <w:color w:val="auto"/>
                <w:sz w:val="24"/>
                <w:szCs w:val="24"/>
                <w:highlight w:val="none"/>
                <w:lang w:val="en-US" w:eastAsia="zh-CN" w:bidi="zh-CN"/>
              </w:rPr>
            </w:pPr>
            <w:r>
              <w:rPr>
                <w:rFonts w:hint="eastAsia" w:ascii="宋体" w:hAnsi="宋体" w:eastAsia="宋体" w:cs="宋体"/>
                <w:color w:val="auto"/>
                <w:sz w:val="24"/>
                <w:szCs w:val="24"/>
                <w:highlight w:val="none"/>
                <w:lang w:val="en-US" w:eastAsia="zh-CN" w:bidi="zh-CN"/>
              </w:rPr>
              <w:t>根据供应商整体实力，拟投入项目力量，合理化建议及对本项目重视程度等。</w:t>
            </w:r>
          </w:p>
          <w:p w14:paraId="34A47B5A">
            <w:p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内容完整详细</w:t>
            </w:r>
            <w:r>
              <w:rPr>
                <w:rFonts w:hint="eastAsia" w:ascii="宋体" w:hAnsi="宋体" w:eastAsia="宋体" w:cs="宋体"/>
                <w:color w:val="auto"/>
                <w:sz w:val="24"/>
                <w:szCs w:val="24"/>
                <w:highlight w:val="none"/>
                <w:lang w:val="en-US" w:eastAsia="zh-CN" w:bidi="zh-CN"/>
              </w:rPr>
              <w:t>、科学先进、合理可行</w:t>
            </w:r>
            <w:r>
              <w:rPr>
                <w:rFonts w:hint="eastAsia" w:ascii="宋体" w:hAnsi="宋体" w:cs="宋体"/>
                <w:color w:val="auto"/>
                <w:sz w:val="24"/>
                <w:szCs w:val="24"/>
                <w:highlight w:val="none"/>
                <w:lang w:val="en-US" w:eastAsia="zh-CN" w:bidi="zh-CN"/>
              </w:rPr>
              <w:t>、</w:t>
            </w:r>
            <w:r>
              <w:rPr>
                <w:rFonts w:hint="eastAsia" w:ascii="宋体" w:hAnsi="宋体" w:eastAsia="宋体" w:cs="宋体"/>
                <w:color w:val="auto"/>
                <w:sz w:val="24"/>
                <w:szCs w:val="24"/>
                <w:highlight w:val="none"/>
              </w:rPr>
              <w:t>条理清晰且符合采购实际需求得</w:t>
            </w:r>
            <w:r>
              <w:rPr>
                <w:rFonts w:hint="eastAsia" w:ascii="宋体" w:hAnsi="宋体" w:eastAsia="宋体" w:cs="宋体"/>
                <w:color w:val="auto"/>
                <w:sz w:val="24"/>
                <w:szCs w:val="24"/>
                <w:highlight w:val="none"/>
                <w:lang w:val="en-US" w:eastAsia="zh-CN"/>
              </w:rPr>
              <w:t>10分</w:t>
            </w:r>
          </w:p>
          <w:p w14:paraId="3BBB8FB4">
            <w:pPr>
              <w:spacing w:line="360" w:lineRule="auto"/>
              <w:rPr>
                <w:rFonts w:hint="eastAsia" w:ascii="宋体" w:hAnsi="宋体" w:eastAsia="宋体" w:cs="宋体"/>
                <w:color w:val="auto"/>
                <w:sz w:val="24"/>
                <w:szCs w:val="24"/>
                <w:highlight w:val="none"/>
                <w:lang w:val="en-US" w:eastAsia="zh-CN" w:bidi="zh-CN"/>
              </w:rPr>
            </w:pPr>
            <w:r>
              <w:rPr>
                <w:rFonts w:hint="eastAsia" w:ascii="宋体" w:hAnsi="宋体" w:eastAsia="宋体" w:cs="宋体"/>
                <w:color w:val="auto"/>
                <w:sz w:val="24"/>
                <w:szCs w:val="24"/>
                <w:highlight w:val="none"/>
              </w:rPr>
              <w:t>内容</w:t>
            </w:r>
            <w:r>
              <w:rPr>
                <w:rFonts w:hint="eastAsia" w:ascii="宋体" w:hAnsi="宋体" w:eastAsia="宋体" w:cs="宋体"/>
                <w:color w:val="auto"/>
                <w:sz w:val="24"/>
                <w:szCs w:val="24"/>
                <w:highlight w:val="none"/>
                <w:lang w:val="en-US" w:eastAsia="zh-CN" w:bidi="zh-CN"/>
              </w:rPr>
              <w:t>较为完整、较为科学、较为合理得</w:t>
            </w:r>
            <w:r>
              <w:rPr>
                <w:rFonts w:hint="eastAsia" w:ascii="宋体" w:hAnsi="宋体" w:cs="宋体"/>
                <w:color w:val="auto"/>
                <w:sz w:val="24"/>
                <w:szCs w:val="24"/>
                <w:highlight w:val="none"/>
                <w:lang w:val="en-US" w:eastAsia="zh-CN" w:bidi="zh-CN"/>
              </w:rPr>
              <w:t>8</w:t>
            </w:r>
            <w:r>
              <w:rPr>
                <w:rFonts w:hint="eastAsia" w:ascii="宋体" w:hAnsi="宋体" w:eastAsia="宋体" w:cs="宋体"/>
                <w:color w:val="auto"/>
                <w:sz w:val="24"/>
                <w:szCs w:val="24"/>
                <w:highlight w:val="none"/>
                <w:lang w:val="en-US" w:eastAsia="zh-CN" w:bidi="zh-CN"/>
              </w:rPr>
              <w:t>分；</w:t>
            </w:r>
          </w:p>
          <w:p w14:paraId="532F1CDE">
            <w:pPr>
              <w:spacing w:line="360" w:lineRule="auto"/>
              <w:rPr>
                <w:rFonts w:hint="eastAsia" w:ascii="宋体" w:hAnsi="宋体" w:eastAsia="宋体" w:cs="宋体"/>
                <w:color w:val="auto"/>
                <w:sz w:val="24"/>
                <w:szCs w:val="24"/>
                <w:highlight w:val="none"/>
                <w:lang w:val="en-US" w:eastAsia="zh-CN" w:bidi="zh-CN"/>
              </w:rPr>
            </w:pPr>
            <w:r>
              <w:rPr>
                <w:rFonts w:hint="eastAsia" w:ascii="宋体" w:hAnsi="宋体" w:eastAsia="宋体" w:cs="宋体"/>
                <w:color w:val="auto"/>
                <w:sz w:val="24"/>
                <w:szCs w:val="24"/>
                <w:highlight w:val="none"/>
              </w:rPr>
              <w:t>内容</w:t>
            </w:r>
            <w:r>
              <w:rPr>
                <w:rFonts w:hint="eastAsia" w:ascii="宋体" w:hAnsi="宋体" w:eastAsia="宋体" w:cs="宋体"/>
                <w:color w:val="auto"/>
                <w:sz w:val="24"/>
                <w:szCs w:val="24"/>
                <w:highlight w:val="none"/>
                <w:lang w:val="en-US" w:eastAsia="zh-CN" w:bidi="zh-CN"/>
              </w:rPr>
              <w:t>简略、基本科学、基本合理得</w:t>
            </w:r>
            <w:r>
              <w:rPr>
                <w:rFonts w:hint="eastAsia" w:ascii="宋体" w:hAnsi="宋体" w:cs="宋体"/>
                <w:color w:val="auto"/>
                <w:sz w:val="24"/>
                <w:szCs w:val="24"/>
                <w:highlight w:val="none"/>
                <w:lang w:val="en-US" w:eastAsia="zh-CN" w:bidi="zh-CN"/>
              </w:rPr>
              <w:t>6</w:t>
            </w:r>
            <w:r>
              <w:rPr>
                <w:rFonts w:hint="eastAsia" w:ascii="宋体" w:hAnsi="宋体" w:eastAsia="宋体" w:cs="宋体"/>
                <w:color w:val="auto"/>
                <w:sz w:val="24"/>
                <w:szCs w:val="24"/>
                <w:highlight w:val="none"/>
                <w:lang w:val="en-US" w:eastAsia="zh-CN" w:bidi="zh-CN"/>
              </w:rPr>
              <w:t>分；</w:t>
            </w:r>
          </w:p>
          <w:p w14:paraId="08646DC4">
            <w:pPr>
              <w:spacing w:line="360" w:lineRule="auto"/>
              <w:rPr>
                <w:rFonts w:hint="eastAsia"/>
                <w:color w:val="auto"/>
                <w:highlight w:val="none"/>
                <w:lang w:val="en-US" w:eastAsia="zh-CN"/>
              </w:rPr>
            </w:pPr>
            <w:r>
              <w:rPr>
                <w:rFonts w:hint="eastAsia" w:ascii="宋体" w:hAnsi="宋体" w:eastAsia="宋体" w:cs="宋体"/>
                <w:color w:val="auto"/>
                <w:sz w:val="24"/>
                <w:szCs w:val="24"/>
                <w:highlight w:val="none"/>
              </w:rPr>
              <w:t>内容</w:t>
            </w:r>
            <w:r>
              <w:rPr>
                <w:rFonts w:hint="eastAsia" w:ascii="宋体" w:hAnsi="宋体" w:eastAsia="宋体" w:cs="宋体"/>
                <w:color w:val="auto"/>
                <w:sz w:val="24"/>
                <w:szCs w:val="24"/>
                <w:highlight w:val="none"/>
                <w:lang w:val="en-US" w:eastAsia="zh-CN" w:bidi="zh-CN"/>
              </w:rPr>
              <w:t>简略、</w:t>
            </w:r>
            <w:r>
              <w:rPr>
                <w:rFonts w:hint="eastAsia" w:ascii="宋体" w:hAnsi="宋体" w:cs="宋体"/>
                <w:color w:val="auto"/>
                <w:sz w:val="24"/>
                <w:szCs w:val="24"/>
                <w:highlight w:val="none"/>
                <w:lang w:val="en-US" w:eastAsia="zh-CN" w:bidi="zh-CN"/>
              </w:rPr>
              <w:t>不</w:t>
            </w:r>
            <w:r>
              <w:rPr>
                <w:rFonts w:hint="eastAsia" w:ascii="宋体" w:hAnsi="宋体" w:eastAsia="宋体" w:cs="宋体"/>
                <w:color w:val="auto"/>
                <w:sz w:val="24"/>
                <w:szCs w:val="24"/>
                <w:highlight w:val="none"/>
                <w:lang w:val="en-US" w:eastAsia="zh-CN" w:bidi="zh-CN"/>
              </w:rPr>
              <w:t>科学、</w:t>
            </w:r>
            <w:r>
              <w:rPr>
                <w:rFonts w:hint="eastAsia" w:ascii="宋体" w:hAnsi="宋体" w:cs="宋体"/>
                <w:color w:val="auto"/>
                <w:sz w:val="24"/>
                <w:szCs w:val="24"/>
                <w:highlight w:val="none"/>
                <w:lang w:val="en-US" w:eastAsia="zh-CN" w:bidi="zh-CN"/>
              </w:rPr>
              <w:t>不</w:t>
            </w:r>
            <w:r>
              <w:rPr>
                <w:rFonts w:hint="eastAsia" w:ascii="宋体" w:hAnsi="宋体" w:eastAsia="宋体" w:cs="宋体"/>
                <w:color w:val="auto"/>
                <w:sz w:val="24"/>
                <w:szCs w:val="24"/>
                <w:highlight w:val="none"/>
                <w:lang w:val="en-US" w:eastAsia="zh-CN" w:bidi="zh-CN"/>
              </w:rPr>
              <w:t>合理得</w:t>
            </w:r>
            <w:r>
              <w:rPr>
                <w:rFonts w:hint="eastAsia" w:ascii="宋体" w:hAnsi="宋体" w:cs="宋体"/>
                <w:color w:val="auto"/>
                <w:sz w:val="24"/>
                <w:szCs w:val="24"/>
                <w:highlight w:val="none"/>
                <w:lang w:val="en-US" w:eastAsia="zh-CN" w:bidi="zh-CN"/>
              </w:rPr>
              <w:t>4</w:t>
            </w:r>
            <w:r>
              <w:rPr>
                <w:rFonts w:hint="eastAsia" w:ascii="宋体" w:hAnsi="宋体" w:eastAsia="宋体" w:cs="宋体"/>
                <w:color w:val="auto"/>
                <w:sz w:val="24"/>
                <w:szCs w:val="24"/>
                <w:highlight w:val="none"/>
                <w:lang w:val="en-US" w:eastAsia="zh-CN" w:bidi="zh-CN"/>
              </w:rPr>
              <w:t>分；</w:t>
            </w:r>
          </w:p>
          <w:p w14:paraId="6DDEF6E7">
            <w:pPr>
              <w:pStyle w:val="9"/>
              <w:rPr>
                <w:rFonts w:hint="eastAsia"/>
                <w:color w:val="auto"/>
                <w:highlight w:val="none"/>
              </w:rPr>
            </w:pPr>
            <w:r>
              <w:rPr>
                <w:rFonts w:ascii="宋体" w:hAnsi="宋体" w:eastAsia="宋体" w:cs="宋体"/>
                <w:color w:val="auto"/>
                <w:sz w:val="24"/>
                <w:szCs w:val="24"/>
                <w:highlight w:val="none"/>
              </w:rPr>
              <w:t>缺项漏项的该项不得分；</w:t>
            </w:r>
          </w:p>
        </w:tc>
        <w:tc>
          <w:tcPr>
            <w:tcW w:w="960" w:type="dxa"/>
            <w:noWrap w:val="0"/>
            <w:vAlign w:val="top"/>
          </w:tcPr>
          <w:p w14:paraId="578F2411">
            <w:pPr>
              <w:autoSpaceDE w:val="0"/>
              <w:autoSpaceDN w:val="0"/>
              <w:spacing w:line="360" w:lineRule="auto"/>
              <w:ind w:right="166" w:rightChars="0"/>
              <w:jc w:val="both"/>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10</w:t>
            </w:r>
            <w:r>
              <w:rPr>
                <w:rFonts w:hint="eastAsia" w:ascii="宋体" w:hAnsi="宋体" w:eastAsia="宋体" w:cs="宋体"/>
                <w:color w:val="auto"/>
                <w:sz w:val="24"/>
                <w:szCs w:val="24"/>
                <w:highlight w:val="none"/>
                <w:lang w:val="en-US" w:eastAsia="zh-CN"/>
              </w:rPr>
              <w:t>分</w:t>
            </w:r>
          </w:p>
        </w:tc>
      </w:tr>
      <w:tr w14:paraId="2E211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155" w:type="dxa"/>
            <w:vMerge w:val="restart"/>
            <w:noWrap w:val="0"/>
            <w:vAlign w:val="center"/>
          </w:tcPr>
          <w:p w14:paraId="26E6C55F">
            <w:pPr>
              <w:keepNext w:val="0"/>
              <w:keepLines w:val="0"/>
              <w:pageBreakBefore w:val="0"/>
              <w:kinsoku/>
              <w:wordWrap/>
              <w:overflowPunct/>
              <w:topLinePunct w:val="0"/>
              <w:autoSpaceDE/>
              <w:autoSpaceDN/>
              <w:bidi w:val="0"/>
              <w:spacing w:beforeAutospacing="0"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商务标（</w:t>
            </w:r>
            <w:r>
              <w:rPr>
                <w:rFonts w:hint="eastAsia" w:ascii="宋体" w:hAnsi="宋体" w:eastAsia="宋体" w:cs="宋体"/>
                <w:color w:val="auto"/>
                <w:kern w:val="0"/>
                <w:sz w:val="24"/>
                <w:szCs w:val="24"/>
                <w:highlight w:val="none"/>
                <w:lang w:val="en-US" w:eastAsia="zh-CN"/>
              </w:rPr>
              <w:t>30</w:t>
            </w:r>
            <w:r>
              <w:rPr>
                <w:rFonts w:hint="eastAsia" w:ascii="宋体" w:hAnsi="宋体" w:eastAsia="宋体" w:cs="宋体"/>
                <w:color w:val="auto"/>
                <w:kern w:val="0"/>
                <w:sz w:val="24"/>
                <w:szCs w:val="24"/>
                <w:highlight w:val="none"/>
              </w:rPr>
              <w:t>分）</w:t>
            </w:r>
          </w:p>
        </w:tc>
        <w:tc>
          <w:tcPr>
            <w:tcW w:w="1302" w:type="dxa"/>
            <w:noWrap w:val="0"/>
            <w:vAlign w:val="center"/>
          </w:tcPr>
          <w:p w14:paraId="0003AA17">
            <w:pPr>
              <w:keepNext w:val="0"/>
              <w:keepLines w:val="0"/>
              <w:widowControl/>
              <w:suppressLineNumbers w:val="0"/>
              <w:spacing w:line="360" w:lineRule="auto"/>
              <w:jc w:val="center"/>
              <w:textAlignment w:val="center"/>
              <w:rPr>
                <w:rFonts w:hint="eastAsia" w:ascii="宋体" w:hAnsi="宋体" w:eastAsia="宋体" w:cs="宋体"/>
                <w:color w:val="auto"/>
                <w:kern w:val="0"/>
                <w:sz w:val="24"/>
                <w:szCs w:val="24"/>
                <w:highlight w:val="none"/>
              </w:rPr>
            </w:pPr>
            <w:r>
              <w:rPr>
                <w:rFonts w:hint="eastAsia" w:ascii="宋体" w:hAnsi="宋体" w:eastAsia="宋体" w:cs="宋体"/>
                <w:i w:val="0"/>
                <w:iCs w:val="0"/>
                <w:color w:val="auto"/>
                <w:kern w:val="0"/>
                <w:sz w:val="24"/>
                <w:szCs w:val="24"/>
                <w:highlight w:val="none"/>
                <w:u w:val="none"/>
                <w:lang w:val="en-US" w:eastAsia="zh-CN" w:bidi="ar"/>
              </w:rPr>
              <w:t>项目业绩</w:t>
            </w:r>
          </w:p>
        </w:tc>
        <w:tc>
          <w:tcPr>
            <w:tcW w:w="6191" w:type="dxa"/>
            <w:noWrap w:val="0"/>
            <w:vAlign w:val="center"/>
          </w:tcPr>
          <w:p w14:paraId="581D4A18">
            <w:pPr>
              <w:keepNext w:val="0"/>
              <w:keepLines w:val="0"/>
              <w:widowControl/>
              <w:suppressLineNumbers w:val="0"/>
              <w:spacing w:line="360" w:lineRule="auto"/>
              <w:ind w:firstLine="480" w:firstLineChars="200"/>
              <w:jc w:val="left"/>
              <w:textAlignment w:val="center"/>
              <w:rPr>
                <w:rFonts w:hint="eastAsia" w:ascii="宋体" w:hAnsi="宋体" w:eastAsia="宋体" w:cs="宋体"/>
                <w:i w:val="0"/>
                <w:iCs w:val="0"/>
                <w:color w:val="auto"/>
                <w:sz w:val="24"/>
                <w:szCs w:val="24"/>
                <w:highlight w:val="none"/>
                <w:u w:val="none"/>
                <w:lang w:val="en-US" w:eastAsia="zh-CN"/>
              </w:rPr>
            </w:pPr>
            <w:r>
              <w:rPr>
                <w:rFonts w:hint="eastAsia" w:ascii="宋体" w:hAnsi="宋体" w:eastAsia="宋体" w:cs="宋体"/>
                <w:i w:val="0"/>
                <w:iCs w:val="0"/>
                <w:color w:val="auto"/>
                <w:sz w:val="24"/>
                <w:szCs w:val="24"/>
                <w:highlight w:val="none"/>
                <w:u w:val="none"/>
                <w:lang w:val="en-US" w:eastAsia="zh-CN"/>
              </w:rPr>
              <w:t>投标人提供近三年(自202</w:t>
            </w:r>
            <w:r>
              <w:rPr>
                <w:rFonts w:hint="eastAsia" w:ascii="宋体" w:hAnsi="宋体" w:cs="宋体"/>
                <w:i w:val="0"/>
                <w:iCs w:val="0"/>
                <w:color w:val="auto"/>
                <w:sz w:val="24"/>
                <w:szCs w:val="24"/>
                <w:highlight w:val="none"/>
                <w:u w:val="none"/>
                <w:lang w:val="en-US" w:eastAsia="zh-CN"/>
              </w:rPr>
              <w:t>3</w:t>
            </w:r>
            <w:r>
              <w:rPr>
                <w:rFonts w:hint="eastAsia" w:ascii="宋体" w:hAnsi="宋体" w:eastAsia="宋体" w:cs="宋体"/>
                <w:i w:val="0"/>
                <w:iCs w:val="0"/>
                <w:color w:val="auto"/>
                <w:sz w:val="24"/>
                <w:szCs w:val="24"/>
                <w:highlight w:val="none"/>
                <w:u w:val="none"/>
                <w:lang w:val="en-US" w:eastAsia="zh-CN"/>
              </w:rPr>
              <w:t>年1月1日以来)承担过类似项目合同案例的，（以合同签订日期为准证明）每提供一个得</w:t>
            </w:r>
            <w:r>
              <w:rPr>
                <w:rFonts w:hint="eastAsia" w:ascii="宋体" w:hAnsi="宋体" w:cs="宋体"/>
                <w:i w:val="0"/>
                <w:iCs w:val="0"/>
                <w:color w:val="auto"/>
                <w:sz w:val="24"/>
                <w:szCs w:val="24"/>
                <w:highlight w:val="none"/>
                <w:u w:val="none"/>
                <w:lang w:val="en-US" w:eastAsia="zh-CN"/>
              </w:rPr>
              <w:t>5</w:t>
            </w:r>
            <w:r>
              <w:rPr>
                <w:rFonts w:hint="eastAsia" w:ascii="宋体" w:hAnsi="宋体" w:eastAsia="宋体" w:cs="宋体"/>
                <w:i w:val="0"/>
                <w:iCs w:val="0"/>
                <w:color w:val="auto"/>
                <w:sz w:val="24"/>
                <w:szCs w:val="24"/>
                <w:highlight w:val="none"/>
                <w:u w:val="none"/>
                <w:lang w:val="en-US" w:eastAsia="zh-CN"/>
              </w:rPr>
              <w:t>分，最高得10分；</w:t>
            </w:r>
          </w:p>
          <w:p w14:paraId="59D07AAC">
            <w:pPr>
              <w:keepNext w:val="0"/>
              <w:keepLines w:val="0"/>
              <w:widowControl/>
              <w:suppressLineNumbers w:val="0"/>
              <w:spacing w:line="360" w:lineRule="auto"/>
              <w:ind w:firstLine="480" w:firstLineChars="200"/>
              <w:jc w:val="left"/>
              <w:textAlignment w:val="center"/>
              <w:rPr>
                <w:rFonts w:hint="eastAsia" w:ascii="宋体" w:hAnsi="宋体" w:eastAsia="宋体" w:cs="宋体"/>
                <w:color w:val="auto"/>
                <w:kern w:val="0"/>
                <w:sz w:val="24"/>
                <w:szCs w:val="24"/>
                <w:highlight w:val="none"/>
              </w:rPr>
            </w:pPr>
            <w:r>
              <w:rPr>
                <w:rFonts w:hint="eastAsia" w:ascii="宋体" w:hAnsi="宋体" w:eastAsia="宋体" w:cs="宋体"/>
                <w:i w:val="0"/>
                <w:iCs w:val="0"/>
                <w:color w:val="auto"/>
                <w:sz w:val="24"/>
                <w:szCs w:val="24"/>
                <w:highlight w:val="none"/>
                <w:u w:val="none"/>
                <w:lang w:val="en-US" w:eastAsia="zh-CN"/>
              </w:rPr>
              <w:t>注:类似项目是需提供非煤矿山安全生产会诊服务的类似相关领域的业绩。（业绩证明材料需提供合同、成果文件关键页）</w:t>
            </w:r>
          </w:p>
        </w:tc>
        <w:tc>
          <w:tcPr>
            <w:tcW w:w="960" w:type="dxa"/>
            <w:noWrap w:val="0"/>
            <w:vAlign w:val="center"/>
          </w:tcPr>
          <w:p w14:paraId="3CB04319">
            <w:pPr>
              <w:keepNext w:val="0"/>
              <w:keepLines w:val="0"/>
              <w:widowControl/>
              <w:suppressLineNumbers w:val="0"/>
              <w:spacing w:line="360" w:lineRule="auto"/>
              <w:jc w:val="center"/>
              <w:textAlignment w:val="center"/>
              <w:rPr>
                <w:rFonts w:hint="eastAsia" w:ascii="宋体" w:hAnsi="宋体" w:eastAsia="宋体" w:cs="宋体"/>
                <w:color w:val="auto"/>
                <w:sz w:val="24"/>
                <w:szCs w:val="24"/>
                <w:highlight w:val="none"/>
                <w:lang w:val="en-US"/>
              </w:rPr>
            </w:pPr>
            <w:r>
              <w:rPr>
                <w:rFonts w:hint="eastAsia" w:ascii="宋体" w:hAnsi="宋体" w:eastAsia="宋体" w:cs="宋体"/>
                <w:i w:val="0"/>
                <w:iCs w:val="0"/>
                <w:color w:val="auto"/>
                <w:kern w:val="0"/>
                <w:sz w:val="24"/>
                <w:szCs w:val="24"/>
                <w:highlight w:val="none"/>
                <w:u w:val="none"/>
                <w:lang w:val="en-US" w:eastAsia="zh-CN" w:bidi="ar"/>
              </w:rPr>
              <w:t>10分</w:t>
            </w:r>
          </w:p>
        </w:tc>
      </w:tr>
      <w:tr w14:paraId="27E9A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155" w:type="dxa"/>
            <w:vMerge w:val="continue"/>
            <w:noWrap w:val="0"/>
            <w:vAlign w:val="center"/>
          </w:tcPr>
          <w:p w14:paraId="05E64E16">
            <w:pPr>
              <w:keepNext w:val="0"/>
              <w:keepLines w:val="0"/>
              <w:pageBreakBefore w:val="0"/>
              <w:kinsoku/>
              <w:wordWrap/>
              <w:overflowPunct/>
              <w:topLinePunct w:val="0"/>
              <w:autoSpaceDE/>
              <w:autoSpaceDN/>
              <w:bidi w:val="0"/>
              <w:spacing w:beforeAutospacing="0" w:line="360" w:lineRule="auto"/>
              <w:jc w:val="center"/>
              <w:textAlignment w:val="auto"/>
              <w:rPr>
                <w:rFonts w:hint="eastAsia" w:ascii="宋体" w:hAnsi="宋体" w:eastAsia="宋体" w:cs="宋体"/>
                <w:color w:val="auto"/>
                <w:kern w:val="0"/>
                <w:sz w:val="24"/>
                <w:szCs w:val="24"/>
                <w:highlight w:val="none"/>
              </w:rPr>
            </w:pPr>
          </w:p>
        </w:tc>
        <w:tc>
          <w:tcPr>
            <w:tcW w:w="1302" w:type="dxa"/>
            <w:noWrap w:val="0"/>
            <w:vAlign w:val="center"/>
          </w:tcPr>
          <w:p w14:paraId="6F027C4B">
            <w:pPr>
              <w:keepNext w:val="0"/>
              <w:keepLines w:val="0"/>
              <w:widowControl/>
              <w:suppressLineNumbers w:val="0"/>
              <w:spacing w:line="360" w:lineRule="auto"/>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color w:val="auto"/>
                <w:sz w:val="24"/>
                <w:szCs w:val="24"/>
                <w:highlight w:val="none"/>
              </w:rPr>
              <w:t>服务承诺</w:t>
            </w:r>
          </w:p>
        </w:tc>
        <w:tc>
          <w:tcPr>
            <w:tcW w:w="6191" w:type="dxa"/>
            <w:noWrap w:val="0"/>
            <w:vAlign w:val="center"/>
          </w:tcPr>
          <w:p w14:paraId="323F8168">
            <w:pPr>
              <w:pStyle w:val="20"/>
              <w:widowControl w:val="0"/>
              <w:spacing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供应商对针对本项目作出服务承诺，包括但不限于响应时效、服务质量、信息保密承诺、后续服务承诺</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lang w:val="en-US" w:eastAsia="zh-CN"/>
              </w:rPr>
              <w:t>违约责任承诺</w:t>
            </w:r>
            <w:r>
              <w:rPr>
                <w:rFonts w:hint="eastAsia" w:ascii="宋体" w:hAnsi="宋体" w:eastAsia="宋体" w:cs="宋体"/>
                <w:bCs/>
                <w:color w:val="auto"/>
                <w:sz w:val="24"/>
                <w:szCs w:val="24"/>
                <w:highlight w:val="none"/>
              </w:rPr>
              <w:t>等。</w:t>
            </w:r>
          </w:p>
          <w:p w14:paraId="455B5547">
            <w:pPr>
              <w:pStyle w:val="20"/>
              <w:widowControl w:val="0"/>
              <w:numPr>
                <w:ilvl w:val="0"/>
                <w:numId w:val="0"/>
              </w:numPr>
              <w:spacing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bidi="ar-SA"/>
              </w:rPr>
              <w:t>（1）</w:t>
            </w:r>
            <w:r>
              <w:rPr>
                <w:rFonts w:hint="eastAsia" w:ascii="宋体" w:hAnsi="宋体" w:eastAsia="宋体" w:cs="宋体"/>
                <w:bCs/>
                <w:color w:val="auto"/>
                <w:sz w:val="24"/>
                <w:szCs w:val="24"/>
                <w:highlight w:val="none"/>
              </w:rPr>
              <w:t>服务承诺全面、承诺条件合理、利于本项目实施得</w:t>
            </w:r>
            <w:r>
              <w:rPr>
                <w:rFonts w:hint="eastAsia" w:ascii="宋体" w:hAnsi="宋体" w:eastAsia="宋体" w:cs="宋体"/>
                <w:bCs/>
                <w:color w:val="auto"/>
                <w:sz w:val="24"/>
                <w:szCs w:val="24"/>
                <w:highlight w:val="none"/>
                <w:lang w:val="en-US" w:eastAsia="zh-CN"/>
              </w:rPr>
              <w:t>8</w:t>
            </w:r>
            <w:r>
              <w:rPr>
                <w:rFonts w:hint="eastAsia" w:ascii="宋体" w:hAnsi="宋体" w:eastAsia="宋体" w:cs="宋体"/>
                <w:bCs/>
                <w:color w:val="auto"/>
                <w:sz w:val="24"/>
                <w:szCs w:val="24"/>
                <w:highlight w:val="none"/>
              </w:rPr>
              <w:t>分；</w:t>
            </w:r>
          </w:p>
          <w:p w14:paraId="24AC0304">
            <w:pPr>
              <w:pStyle w:val="20"/>
              <w:widowControl w:val="0"/>
              <w:numPr>
                <w:ilvl w:val="0"/>
                <w:numId w:val="0"/>
              </w:numPr>
              <w:spacing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bidi="ar-SA"/>
              </w:rPr>
              <w:t>（2）</w:t>
            </w:r>
            <w:r>
              <w:rPr>
                <w:rFonts w:hint="eastAsia" w:ascii="宋体" w:hAnsi="宋体" w:eastAsia="宋体" w:cs="宋体"/>
                <w:bCs/>
                <w:color w:val="auto"/>
                <w:sz w:val="24"/>
                <w:szCs w:val="24"/>
                <w:highlight w:val="none"/>
              </w:rPr>
              <w:t>进行相应的服务承诺、满足本项目实施得</w:t>
            </w:r>
            <w:r>
              <w:rPr>
                <w:rFonts w:hint="eastAsia" w:ascii="宋体" w:hAnsi="宋体" w:eastAsia="宋体" w:cs="宋体"/>
                <w:bCs/>
                <w:color w:val="auto"/>
                <w:sz w:val="24"/>
                <w:szCs w:val="24"/>
                <w:highlight w:val="none"/>
                <w:lang w:val="en-US" w:eastAsia="zh-CN"/>
              </w:rPr>
              <w:t>5</w:t>
            </w:r>
            <w:r>
              <w:rPr>
                <w:rFonts w:hint="eastAsia" w:ascii="宋体" w:hAnsi="宋体" w:eastAsia="宋体" w:cs="宋体"/>
                <w:bCs/>
                <w:color w:val="auto"/>
                <w:sz w:val="24"/>
                <w:szCs w:val="24"/>
                <w:highlight w:val="none"/>
              </w:rPr>
              <w:t>分；</w:t>
            </w:r>
          </w:p>
          <w:p w14:paraId="2FFD4E4B">
            <w:pPr>
              <w:pStyle w:val="20"/>
              <w:widowControl w:val="0"/>
              <w:numPr>
                <w:ilvl w:val="0"/>
                <w:numId w:val="0"/>
              </w:numPr>
              <w:spacing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bidi="ar-SA"/>
              </w:rPr>
              <w:t>（3）</w:t>
            </w:r>
            <w:r>
              <w:rPr>
                <w:rFonts w:hint="eastAsia" w:ascii="宋体" w:hAnsi="宋体" w:eastAsia="宋体" w:cs="宋体"/>
                <w:bCs/>
                <w:color w:val="auto"/>
                <w:sz w:val="24"/>
                <w:szCs w:val="24"/>
                <w:highlight w:val="none"/>
              </w:rPr>
              <w:t>服务承诺片面、不能满足本项目实施得</w:t>
            </w:r>
            <w:r>
              <w:rPr>
                <w:rFonts w:hint="eastAsia" w:ascii="宋体" w:hAnsi="宋体" w:eastAsia="宋体" w:cs="宋体"/>
                <w:bCs/>
                <w:color w:val="auto"/>
                <w:sz w:val="24"/>
                <w:szCs w:val="24"/>
                <w:highlight w:val="none"/>
                <w:lang w:val="en-US" w:eastAsia="zh-CN"/>
              </w:rPr>
              <w:t>3</w:t>
            </w:r>
            <w:r>
              <w:rPr>
                <w:rFonts w:hint="eastAsia" w:ascii="宋体" w:hAnsi="宋体" w:eastAsia="宋体" w:cs="宋体"/>
                <w:bCs/>
                <w:color w:val="auto"/>
                <w:sz w:val="24"/>
                <w:szCs w:val="24"/>
                <w:highlight w:val="none"/>
              </w:rPr>
              <w:t>分；</w:t>
            </w:r>
          </w:p>
          <w:p w14:paraId="540C626B">
            <w:pPr>
              <w:keepNext w:val="0"/>
              <w:keepLines w:val="0"/>
              <w:widowControl/>
              <w:suppressLineNumbers w:val="0"/>
              <w:spacing w:line="360" w:lineRule="auto"/>
              <w:ind w:firstLine="0" w:firstLineChars="0"/>
              <w:jc w:val="left"/>
              <w:textAlignment w:val="center"/>
              <w:rPr>
                <w:rFonts w:hint="eastAsia" w:ascii="宋体" w:hAnsi="宋体" w:eastAsia="宋体" w:cs="宋体"/>
                <w:i w:val="0"/>
                <w:iCs w:val="0"/>
                <w:color w:val="auto"/>
                <w:sz w:val="24"/>
                <w:szCs w:val="24"/>
                <w:highlight w:val="none"/>
                <w:u w:val="none"/>
                <w:lang w:val="en-US" w:eastAsia="zh-CN"/>
              </w:rPr>
            </w:pPr>
            <w:r>
              <w:rPr>
                <w:rFonts w:hint="eastAsia" w:ascii="宋体" w:hAnsi="宋体" w:eastAsia="宋体" w:cs="宋体"/>
                <w:bCs/>
                <w:color w:val="auto"/>
                <w:sz w:val="24"/>
                <w:szCs w:val="24"/>
                <w:highlight w:val="none"/>
                <w:lang w:val="en-US" w:eastAsia="zh-CN" w:bidi="ar-SA"/>
              </w:rPr>
              <w:t>（4）</w:t>
            </w:r>
            <w:r>
              <w:rPr>
                <w:rFonts w:hint="eastAsia" w:ascii="宋体" w:hAnsi="宋体" w:eastAsia="宋体" w:cs="宋体"/>
                <w:bCs/>
                <w:color w:val="auto"/>
                <w:sz w:val="24"/>
                <w:szCs w:val="24"/>
                <w:highlight w:val="none"/>
              </w:rPr>
              <w:t>不提供不得分。</w:t>
            </w:r>
          </w:p>
        </w:tc>
        <w:tc>
          <w:tcPr>
            <w:tcW w:w="960" w:type="dxa"/>
            <w:noWrap w:val="0"/>
            <w:vAlign w:val="center"/>
          </w:tcPr>
          <w:p w14:paraId="6948429C">
            <w:pPr>
              <w:keepNext w:val="0"/>
              <w:keepLines w:val="0"/>
              <w:widowControl/>
              <w:suppressLineNumbers w:val="0"/>
              <w:spacing w:line="360" w:lineRule="auto"/>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8分</w:t>
            </w:r>
          </w:p>
        </w:tc>
      </w:tr>
      <w:tr w14:paraId="76740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155" w:type="dxa"/>
            <w:vMerge w:val="continue"/>
            <w:noWrap w:val="0"/>
            <w:vAlign w:val="center"/>
          </w:tcPr>
          <w:p w14:paraId="300FD2EE">
            <w:pPr>
              <w:keepNext w:val="0"/>
              <w:keepLines w:val="0"/>
              <w:pageBreakBefore w:val="0"/>
              <w:widowControl/>
              <w:kinsoku/>
              <w:wordWrap/>
              <w:overflowPunct/>
              <w:topLinePunct w:val="0"/>
              <w:autoSpaceDE/>
              <w:autoSpaceDN/>
              <w:bidi w:val="0"/>
              <w:spacing w:beforeAutospacing="0" w:line="360" w:lineRule="auto"/>
              <w:jc w:val="center"/>
              <w:textAlignment w:val="auto"/>
              <w:rPr>
                <w:rFonts w:hint="eastAsia" w:ascii="宋体" w:hAnsi="宋体" w:eastAsia="宋体" w:cs="宋体"/>
                <w:color w:val="auto"/>
                <w:kern w:val="0"/>
                <w:sz w:val="24"/>
                <w:szCs w:val="24"/>
                <w:highlight w:val="none"/>
              </w:rPr>
            </w:pPr>
          </w:p>
        </w:tc>
        <w:tc>
          <w:tcPr>
            <w:tcW w:w="1302" w:type="dxa"/>
            <w:noWrap w:val="0"/>
            <w:vAlign w:val="center"/>
          </w:tcPr>
          <w:p w14:paraId="23B341C6">
            <w:pPr>
              <w:keepNext w:val="0"/>
              <w:keepLines w:val="0"/>
              <w:widowControl/>
              <w:suppressLineNumbers w:val="0"/>
              <w:spacing w:line="360" w:lineRule="auto"/>
              <w:jc w:val="center"/>
              <w:textAlignment w:val="center"/>
              <w:rPr>
                <w:rFonts w:hint="eastAsia" w:ascii="宋体" w:hAnsi="宋体" w:eastAsia="宋体" w:cs="宋体"/>
                <w:color w:val="auto"/>
                <w:kern w:val="0"/>
                <w:sz w:val="24"/>
                <w:szCs w:val="24"/>
                <w:highlight w:val="none"/>
              </w:rPr>
            </w:pPr>
            <w:r>
              <w:rPr>
                <w:rFonts w:hint="eastAsia" w:ascii="宋体" w:hAnsi="宋体" w:eastAsia="宋体" w:cs="宋体"/>
                <w:i w:val="0"/>
                <w:iCs w:val="0"/>
                <w:color w:val="auto"/>
                <w:sz w:val="24"/>
                <w:szCs w:val="24"/>
                <w:highlight w:val="none"/>
                <w:u w:val="none"/>
                <w:lang w:eastAsia="zh-CN"/>
              </w:rPr>
              <w:t>人员配置</w:t>
            </w:r>
          </w:p>
        </w:tc>
        <w:tc>
          <w:tcPr>
            <w:tcW w:w="6191" w:type="dxa"/>
            <w:noWrap w:val="0"/>
            <w:vAlign w:val="center"/>
          </w:tcPr>
          <w:p w14:paraId="00E02AB8">
            <w:pPr>
              <w:spacing w:line="360" w:lineRule="auto"/>
              <w:ind w:firstLineChars="200"/>
              <w:rPr>
                <w:rFonts w:hint="eastAsia" w:ascii="宋体" w:hAnsi="宋体" w:eastAsia="宋体" w:cs="宋体"/>
                <w:color w:val="auto"/>
                <w:kern w:val="0"/>
                <w:sz w:val="24"/>
                <w:szCs w:val="24"/>
                <w:highlight w:val="none"/>
              </w:rPr>
            </w:pPr>
            <w:r>
              <w:rPr>
                <w:rFonts w:hint="eastAsia" w:ascii="宋体" w:hAnsi="宋体" w:eastAsia="宋体" w:cs="宋体"/>
                <w:i w:val="0"/>
                <w:iCs w:val="0"/>
                <w:color w:val="auto"/>
                <w:sz w:val="24"/>
                <w:szCs w:val="24"/>
                <w:highlight w:val="none"/>
                <w:u w:val="none"/>
                <w:lang w:val="en-US" w:eastAsia="zh-CN"/>
              </w:rPr>
              <w:t>本项目配备人员中具有</w:t>
            </w:r>
            <w:r>
              <w:rPr>
                <w:rFonts w:hint="eastAsia" w:ascii="宋体" w:hAnsi="宋体" w:cs="宋体"/>
                <w:i w:val="0"/>
                <w:iCs w:val="0"/>
                <w:color w:val="auto"/>
                <w:sz w:val="24"/>
                <w:szCs w:val="24"/>
                <w:highlight w:val="none"/>
                <w:u w:val="none"/>
                <w:lang w:val="en-US" w:eastAsia="zh-CN"/>
              </w:rPr>
              <w:t>相关专业高级及以上职称</w:t>
            </w:r>
            <w:r>
              <w:rPr>
                <w:rFonts w:hint="eastAsia" w:ascii="宋体" w:hAnsi="宋体" w:eastAsia="宋体" w:cs="宋体"/>
                <w:i w:val="0"/>
                <w:iCs w:val="0"/>
                <w:color w:val="auto"/>
                <w:sz w:val="24"/>
                <w:szCs w:val="24"/>
                <w:highlight w:val="none"/>
                <w:u w:val="none"/>
                <w:lang w:val="en-US" w:eastAsia="zh-CN"/>
              </w:rPr>
              <w:t>，且在本单位任职，每人得</w:t>
            </w:r>
            <w:r>
              <w:rPr>
                <w:rFonts w:hint="eastAsia" w:ascii="宋体" w:hAnsi="宋体" w:cs="宋体"/>
                <w:i w:val="0"/>
                <w:iCs w:val="0"/>
                <w:color w:val="auto"/>
                <w:sz w:val="24"/>
                <w:szCs w:val="24"/>
                <w:highlight w:val="none"/>
                <w:u w:val="none"/>
                <w:lang w:val="en-US" w:eastAsia="zh-CN"/>
              </w:rPr>
              <w:t>2</w:t>
            </w:r>
            <w:r>
              <w:rPr>
                <w:rFonts w:hint="eastAsia" w:ascii="宋体" w:hAnsi="宋体" w:eastAsia="宋体" w:cs="宋体"/>
                <w:i w:val="0"/>
                <w:iCs w:val="0"/>
                <w:color w:val="auto"/>
                <w:sz w:val="24"/>
                <w:szCs w:val="24"/>
                <w:highlight w:val="none"/>
                <w:u w:val="none"/>
                <w:lang w:val="en-US" w:eastAsia="zh-CN"/>
              </w:rPr>
              <w:t>分，满分12分（并提供劳动合同和近期社保证明，项目负责人不参与评分）；</w:t>
            </w:r>
            <w:bookmarkStart w:id="52" w:name="_GoBack"/>
            <w:bookmarkEnd w:id="52"/>
          </w:p>
        </w:tc>
        <w:tc>
          <w:tcPr>
            <w:tcW w:w="960" w:type="dxa"/>
            <w:noWrap w:val="0"/>
            <w:vAlign w:val="center"/>
          </w:tcPr>
          <w:p w14:paraId="1BDB7305">
            <w:pPr>
              <w:keepNext w:val="0"/>
              <w:keepLines w:val="0"/>
              <w:widowControl/>
              <w:suppressLineNumbers w:val="0"/>
              <w:spacing w:line="360" w:lineRule="auto"/>
              <w:jc w:val="center"/>
              <w:textAlignment w:val="center"/>
              <w:rPr>
                <w:rFonts w:hint="eastAsia" w:ascii="宋体" w:hAnsi="宋体" w:eastAsia="宋体" w:cs="宋体"/>
                <w:color w:val="auto"/>
                <w:sz w:val="24"/>
                <w:szCs w:val="24"/>
                <w:highlight w:val="none"/>
                <w:lang w:val="en-US"/>
              </w:rPr>
            </w:pPr>
            <w:r>
              <w:rPr>
                <w:rFonts w:hint="eastAsia" w:ascii="宋体" w:hAnsi="宋体" w:eastAsia="宋体" w:cs="宋体"/>
                <w:i w:val="0"/>
                <w:iCs w:val="0"/>
                <w:color w:val="auto"/>
                <w:kern w:val="0"/>
                <w:sz w:val="24"/>
                <w:szCs w:val="24"/>
                <w:highlight w:val="none"/>
                <w:u w:val="none"/>
                <w:lang w:val="en-US" w:eastAsia="zh-CN" w:bidi="ar"/>
              </w:rPr>
              <w:t>12分</w:t>
            </w:r>
          </w:p>
        </w:tc>
      </w:tr>
      <w:tr w14:paraId="348FA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9608" w:type="dxa"/>
            <w:gridSpan w:val="4"/>
            <w:noWrap w:val="0"/>
            <w:vAlign w:val="center"/>
          </w:tcPr>
          <w:p w14:paraId="22C8A9E7">
            <w:pPr>
              <w:keepNext w:val="0"/>
              <w:keepLines w:val="0"/>
              <w:pageBreakBefore w:val="0"/>
              <w:widowControl/>
              <w:kinsoku/>
              <w:wordWrap/>
              <w:overflowPunct/>
              <w:topLinePunct w:val="0"/>
              <w:autoSpaceDE/>
              <w:autoSpaceDN/>
              <w:bidi w:val="0"/>
              <w:spacing w:beforeAutospacing="0" w:line="360" w:lineRule="auto"/>
              <w:ind w:firstLine="120" w:firstLineChars="50"/>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以上项目若有缺项的，该项为0分；不缺项的，不低于最低分。</w:t>
            </w:r>
          </w:p>
        </w:tc>
      </w:tr>
    </w:tbl>
    <w:p w14:paraId="7AC6C828">
      <w:pPr>
        <w:spacing w:line="420" w:lineRule="exact"/>
        <w:ind w:firstLine="480" w:firstLineChars="200"/>
        <w:rPr>
          <w:rFonts w:hint="eastAsia" w:ascii="仿宋" w:hAnsi="仿宋" w:eastAsia="仿宋" w:cs="仿宋"/>
          <w:color w:val="auto"/>
          <w:sz w:val="24"/>
          <w:szCs w:val="24"/>
          <w:highlight w:val="none"/>
        </w:rPr>
      </w:pPr>
    </w:p>
    <w:p w14:paraId="1C09FCD0">
      <w:pPr>
        <w:spacing w:line="420" w:lineRule="exact"/>
        <w:ind w:firstLine="480" w:firstLineChars="200"/>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注：评审打分部分按照100分制原则进行，涉及到资格审查、企业业绩等计分部分时，以供应商自行上传到磋商响应文件中的各类相应内容为准。</w:t>
      </w:r>
    </w:p>
    <w:p w14:paraId="1A770875">
      <w:pPr>
        <w:spacing w:line="420" w:lineRule="exac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5.计分办法</w:t>
      </w:r>
    </w:p>
    <w:p w14:paraId="1776EF21">
      <w:pPr>
        <w:spacing w:line="42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5.1计分过程中按四舍五入的法则，取至小数点后2位，磋商响应供应商的最终得分为所有磋商小组打分的算术平均值，最终结果取至小数点后2位。磋商小组将按磋商响应供应商得分高低排序向采购人推荐成交候选供应商，并标明顺序。</w:t>
      </w:r>
    </w:p>
    <w:p w14:paraId="0EFDF187">
      <w:pPr>
        <w:pStyle w:val="2"/>
        <w:keepNext w:val="0"/>
        <w:keepLines w:val="0"/>
        <w:spacing w:before="0" w:after="0" w:line="500" w:lineRule="exact"/>
        <w:ind w:firstLine="2570" w:firstLineChars="800"/>
        <w:rPr>
          <w:rFonts w:hint="eastAsia" w:ascii="仿宋" w:hAnsi="仿宋" w:eastAsia="仿宋" w:cs="仿宋"/>
          <w:color w:val="auto"/>
          <w:highlight w:val="none"/>
        </w:rPr>
      </w:pPr>
      <w:r>
        <w:rPr>
          <w:rFonts w:hint="eastAsia" w:ascii="仿宋" w:hAnsi="仿宋" w:eastAsia="仿宋" w:cs="仿宋"/>
          <w:color w:val="auto"/>
          <w:szCs w:val="32"/>
          <w:highlight w:val="none"/>
        </w:rPr>
        <w:br w:type="page"/>
      </w:r>
      <w:bookmarkStart w:id="35" w:name="_Toc24968"/>
      <w:r>
        <w:rPr>
          <w:rFonts w:hint="eastAsia" w:ascii="仿宋" w:hAnsi="仿宋" w:eastAsia="仿宋" w:cs="仿宋"/>
          <w:color w:val="auto"/>
          <w:highlight w:val="none"/>
        </w:rPr>
        <w:t>第五章</w:t>
      </w:r>
      <w:bookmarkStart w:id="36" w:name="_Toc7902"/>
      <w:bookmarkEnd w:id="36"/>
      <w:bookmarkStart w:id="37" w:name="_Toc331669567"/>
      <w:bookmarkEnd w:id="37"/>
      <w:bookmarkStart w:id="38" w:name="_Toc269828235"/>
      <w:bookmarkEnd w:id="38"/>
      <w:bookmarkStart w:id="39" w:name="_Toc269828236"/>
      <w:r>
        <w:rPr>
          <w:rFonts w:hint="eastAsia" w:ascii="仿宋" w:hAnsi="仿宋" w:eastAsia="仿宋" w:cs="仿宋"/>
          <w:color w:val="auto"/>
          <w:highlight w:val="none"/>
        </w:rPr>
        <w:t xml:space="preserve"> 合同主要条款</w:t>
      </w:r>
      <w:bookmarkEnd w:id="39"/>
      <w:r>
        <w:rPr>
          <w:rFonts w:hint="eastAsia" w:ascii="仿宋" w:hAnsi="仿宋" w:eastAsia="仿宋" w:cs="仿宋"/>
          <w:color w:val="auto"/>
          <w:highlight w:val="none"/>
        </w:rPr>
        <w:t>及格式</w:t>
      </w:r>
      <w:bookmarkEnd w:id="35"/>
    </w:p>
    <w:p w14:paraId="0ED01017">
      <w:pPr>
        <w:rPr>
          <w:rFonts w:hint="eastAsia" w:ascii="仿宋" w:hAnsi="仿宋" w:eastAsia="仿宋" w:cs="仿宋"/>
          <w:color w:val="auto"/>
          <w:highlight w:val="none"/>
        </w:rPr>
      </w:pPr>
    </w:p>
    <w:p w14:paraId="6C057D7D">
      <w:pPr>
        <w:spacing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（此格式仅供参考）</w:t>
      </w:r>
    </w:p>
    <w:p w14:paraId="36601A17">
      <w:pPr>
        <w:widowControl/>
        <w:spacing w:line="360" w:lineRule="auto"/>
        <w:ind w:firstLine="470" w:firstLineChars="196"/>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根据《中华人民共和国民法典》和有关法律法规及具体工作需要，经双方协商一致，签订本合同，共同执行。</w:t>
      </w:r>
    </w:p>
    <w:p w14:paraId="7938A740">
      <w:pPr>
        <w:widowControl/>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第一条  本项目的名称、范围及内容</w:t>
      </w:r>
    </w:p>
    <w:p w14:paraId="70449E65">
      <w:pPr>
        <w:widowControl/>
        <w:spacing w:line="360" w:lineRule="auto"/>
        <w:ind w:firstLine="480" w:firstLineChars="200"/>
        <w:rPr>
          <w:rFonts w:hint="eastAsia" w:ascii="宋体" w:hAnsi="宋体" w:eastAsia="宋体" w:cs="宋体"/>
          <w:color w:val="auto"/>
          <w:kern w:val="0"/>
          <w:sz w:val="24"/>
          <w:szCs w:val="24"/>
          <w:highlight w:val="none"/>
          <w:u w:val="single"/>
        </w:rPr>
      </w:pPr>
      <w:r>
        <w:rPr>
          <w:rFonts w:hint="eastAsia" w:ascii="宋体" w:hAnsi="宋体" w:eastAsia="宋体" w:cs="宋体"/>
          <w:color w:val="auto"/>
          <w:kern w:val="0"/>
          <w:sz w:val="24"/>
          <w:szCs w:val="24"/>
          <w:highlight w:val="none"/>
        </w:rPr>
        <w:t>1.1项目名称：</w:t>
      </w:r>
    </w:p>
    <w:p w14:paraId="26F8DC18">
      <w:pPr>
        <w:widowControl/>
        <w:spacing w:line="360" w:lineRule="auto"/>
        <w:ind w:firstLine="480" w:firstLineChars="200"/>
        <w:rPr>
          <w:rFonts w:hint="eastAsia" w:ascii="宋体" w:hAnsi="宋体" w:eastAsia="宋体" w:cs="宋体"/>
          <w:color w:val="auto"/>
          <w:kern w:val="0"/>
          <w:sz w:val="24"/>
          <w:szCs w:val="24"/>
          <w:highlight w:val="none"/>
          <w:u w:val="single"/>
        </w:rPr>
      </w:pPr>
      <w:r>
        <w:rPr>
          <w:rFonts w:hint="eastAsia" w:ascii="宋体" w:hAnsi="宋体" w:eastAsia="宋体" w:cs="宋体"/>
          <w:color w:val="auto"/>
          <w:kern w:val="0"/>
          <w:sz w:val="24"/>
          <w:szCs w:val="24"/>
          <w:highlight w:val="none"/>
        </w:rPr>
        <w:t>1.2项目范围：</w:t>
      </w:r>
    </w:p>
    <w:p w14:paraId="5AE68AC5">
      <w:pPr>
        <w:widowControl/>
        <w:spacing w:line="360" w:lineRule="auto"/>
        <w:ind w:firstLine="480" w:firstLineChars="200"/>
        <w:rPr>
          <w:rFonts w:hint="eastAsia" w:ascii="宋体" w:hAnsi="宋体" w:eastAsia="宋体" w:cs="宋体"/>
          <w:color w:val="auto"/>
          <w:kern w:val="0"/>
          <w:sz w:val="24"/>
          <w:szCs w:val="24"/>
          <w:highlight w:val="none"/>
          <w:u w:val="single"/>
        </w:rPr>
      </w:pPr>
      <w:r>
        <w:rPr>
          <w:rFonts w:hint="eastAsia" w:ascii="宋体" w:hAnsi="宋体" w:eastAsia="宋体" w:cs="宋体"/>
          <w:color w:val="auto"/>
          <w:kern w:val="0"/>
          <w:sz w:val="24"/>
          <w:szCs w:val="24"/>
          <w:highlight w:val="none"/>
        </w:rPr>
        <w:t>1.3项目内容：</w:t>
      </w:r>
    </w:p>
    <w:p w14:paraId="2026FD14">
      <w:pPr>
        <w:widowControl/>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第二条  技术标准及编制依据</w:t>
      </w:r>
    </w:p>
    <w:p w14:paraId="27E2DB4E">
      <w:pPr>
        <w:widowControl/>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执行国家现行最新的有关标准、规范、规程、规定</w:t>
      </w:r>
    </w:p>
    <w:p w14:paraId="1E1AFDDB">
      <w:pPr>
        <w:widowControl/>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第三条  甲方提交的有关资料</w:t>
      </w:r>
    </w:p>
    <w:p w14:paraId="528603A7">
      <w:pPr>
        <w:widowControl/>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第四条  甲方责任义务</w:t>
      </w:r>
    </w:p>
    <w:p w14:paraId="699810B7">
      <w:pPr>
        <w:widowControl/>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4.1甲方变更委托项目内容或因其它甲方原因，导致乙方工作返工的，双方应另行协商签订补充协议。</w:t>
      </w:r>
    </w:p>
    <w:p w14:paraId="105E6491">
      <w:pPr>
        <w:widowControl/>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4.2甲方应按本合同约定的金额和日期向乙方支付费用。</w:t>
      </w:r>
    </w:p>
    <w:p w14:paraId="412BC5CF">
      <w:pPr>
        <w:widowControl/>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4.3甲方按本合同第三条规定的内容，向乙方提交基础资料及文件。</w:t>
      </w:r>
    </w:p>
    <w:p w14:paraId="3AC369E8">
      <w:pPr>
        <w:widowControl/>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4.4甲方为乙方开展现场工作与项目所在地有关部门协调。</w:t>
      </w:r>
    </w:p>
    <w:p w14:paraId="1E74913D">
      <w:pPr>
        <w:widowControl/>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4.5甲方组织项目成果审查，并有权要求乙方根据审查意见修改成果。</w:t>
      </w:r>
    </w:p>
    <w:p w14:paraId="3B86682E">
      <w:pPr>
        <w:widowControl/>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第五条  乙方责任义务</w:t>
      </w:r>
    </w:p>
    <w:p w14:paraId="4DA14253">
      <w:pPr>
        <w:widowControl/>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5.1乙方应按国家规定和合同约定的技术规范、标准进行编制，按本合同规定的内容、时间及份数向甲方交付成果，并对提交的成果的质量负责。</w:t>
      </w:r>
    </w:p>
    <w:p w14:paraId="4820641A">
      <w:pPr>
        <w:widowControl/>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5.2乙方交付成果后，应参加有关部门的审查，并根据审查意见作必要的修改和完善。</w:t>
      </w:r>
    </w:p>
    <w:p w14:paraId="6EBBD9A2">
      <w:pPr>
        <w:widowControl/>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第六条  乙方交付的成果</w:t>
      </w:r>
    </w:p>
    <w:p w14:paraId="178D4EAC">
      <w:pPr>
        <w:widowControl/>
        <w:spacing w:line="360" w:lineRule="auto"/>
        <w:ind w:firstLine="480" w:firstLineChars="200"/>
        <w:rPr>
          <w:rFonts w:hint="eastAsia" w:ascii="宋体" w:hAnsi="宋体" w:eastAsia="宋体" w:cs="宋体"/>
          <w:color w:val="auto"/>
          <w:kern w:val="0"/>
          <w:sz w:val="24"/>
          <w:szCs w:val="24"/>
          <w:highlight w:val="none"/>
          <w:u w:val="single"/>
        </w:rPr>
      </w:pPr>
      <w:r>
        <w:rPr>
          <w:rFonts w:hint="eastAsia" w:ascii="宋体" w:hAnsi="宋体" w:eastAsia="宋体" w:cs="宋体"/>
          <w:color w:val="auto"/>
          <w:kern w:val="0"/>
          <w:sz w:val="24"/>
          <w:szCs w:val="24"/>
          <w:highlight w:val="none"/>
        </w:rPr>
        <w:t>6.1交付的成果：</w:t>
      </w:r>
      <w:r>
        <w:rPr>
          <w:rFonts w:hint="eastAsia" w:ascii="宋体" w:hAnsi="宋体" w:eastAsia="宋体" w:cs="宋体"/>
          <w:color w:val="auto"/>
          <w:kern w:val="0"/>
          <w:sz w:val="24"/>
          <w:szCs w:val="24"/>
          <w:highlight w:val="none"/>
          <w:u w:val="single"/>
        </w:rPr>
        <w:t xml:space="preserve">                       。</w:t>
      </w:r>
    </w:p>
    <w:p w14:paraId="1401089F">
      <w:pPr>
        <w:widowControl/>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6.2成果要求：</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 xml:space="preserve"> </w:t>
      </w:r>
    </w:p>
    <w:p w14:paraId="20164627">
      <w:pPr>
        <w:widowControl/>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6.3</w:t>
      </w:r>
      <w:r>
        <w:rPr>
          <w:rFonts w:hint="eastAsia" w:ascii="宋体" w:hAnsi="宋体" w:eastAsia="宋体" w:cs="宋体"/>
          <w:color w:val="auto"/>
          <w:sz w:val="24"/>
          <w:szCs w:val="24"/>
          <w:highlight w:val="none"/>
        </w:rPr>
        <w:t>论证报告</w:t>
      </w:r>
      <w:r>
        <w:rPr>
          <w:rFonts w:hint="eastAsia" w:ascii="宋体" w:hAnsi="宋体" w:eastAsia="宋体" w:cs="宋体"/>
          <w:color w:val="auto"/>
          <w:spacing w:val="6"/>
          <w:kern w:val="0"/>
          <w:sz w:val="24"/>
          <w:szCs w:val="24"/>
          <w:highlight w:val="none"/>
        </w:rPr>
        <w:t>内容通过评审后,按项目进度支付编制费用。</w:t>
      </w:r>
    </w:p>
    <w:p w14:paraId="230CF42F">
      <w:pPr>
        <w:widowControl/>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第七条  合同金额及合同形式</w:t>
      </w:r>
    </w:p>
    <w:p w14:paraId="5E442425">
      <w:pPr>
        <w:widowControl/>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1.按中标价金额作为项目总费用支付乙方，即本合同总计金额为</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元（合大写：    元整）。</w:t>
      </w:r>
    </w:p>
    <w:p w14:paraId="4691944D">
      <w:pPr>
        <w:widowControl/>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2.合同形式：固定总价合同</w:t>
      </w:r>
    </w:p>
    <w:p w14:paraId="1E7D1741">
      <w:pPr>
        <w:widowControl/>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第八条  乙方帐户</w:t>
      </w:r>
    </w:p>
    <w:p w14:paraId="019D8375">
      <w:pPr>
        <w:widowControl/>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8.1乙方帐户</w:t>
      </w:r>
    </w:p>
    <w:p w14:paraId="1135D2C4">
      <w:pPr>
        <w:widowControl/>
        <w:spacing w:line="360" w:lineRule="auto"/>
        <w:ind w:firstLine="480" w:firstLineChars="200"/>
        <w:rPr>
          <w:rFonts w:hint="eastAsia" w:ascii="宋体" w:hAnsi="宋体" w:eastAsia="宋体" w:cs="宋体"/>
          <w:color w:val="auto"/>
          <w:kern w:val="0"/>
          <w:sz w:val="24"/>
          <w:szCs w:val="24"/>
          <w:highlight w:val="none"/>
          <w:u w:val="single"/>
        </w:rPr>
      </w:pPr>
      <w:r>
        <w:rPr>
          <w:rFonts w:hint="eastAsia" w:ascii="宋体" w:hAnsi="宋体" w:eastAsia="宋体" w:cs="宋体"/>
          <w:color w:val="auto"/>
          <w:kern w:val="0"/>
          <w:sz w:val="24"/>
          <w:szCs w:val="24"/>
          <w:highlight w:val="none"/>
        </w:rPr>
        <w:t>乙方单位名称：</w:t>
      </w:r>
    </w:p>
    <w:p w14:paraId="6CAFE456">
      <w:pPr>
        <w:widowControl/>
        <w:spacing w:line="360" w:lineRule="auto"/>
        <w:ind w:firstLine="480" w:firstLineChars="200"/>
        <w:rPr>
          <w:rFonts w:hint="eastAsia" w:ascii="宋体" w:hAnsi="宋体" w:eastAsia="宋体" w:cs="宋体"/>
          <w:color w:val="auto"/>
          <w:kern w:val="0"/>
          <w:sz w:val="24"/>
          <w:szCs w:val="24"/>
          <w:highlight w:val="none"/>
          <w:u w:val="single"/>
        </w:rPr>
      </w:pPr>
      <w:r>
        <w:rPr>
          <w:rFonts w:hint="eastAsia" w:ascii="宋体" w:hAnsi="宋体" w:eastAsia="宋体" w:cs="宋体"/>
          <w:color w:val="auto"/>
          <w:kern w:val="0"/>
          <w:sz w:val="24"/>
          <w:szCs w:val="24"/>
          <w:highlight w:val="none"/>
        </w:rPr>
        <w:t>乙方开户银行：</w:t>
      </w:r>
    </w:p>
    <w:p w14:paraId="74F893F9">
      <w:pPr>
        <w:widowControl/>
        <w:spacing w:line="360" w:lineRule="auto"/>
        <w:ind w:firstLine="480" w:firstLineChars="200"/>
        <w:rPr>
          <w:rFonts w:hint="eastAsia" w:ascii="宋体" w:hAnsi="宋体" w:eastAsia="宋体" w:cs="宋体"/>
          <w:color w:val="auto"/>
          <w:kern w:val="0"/>
          <w:sz w:val="24"/>
          <w:szCs w:val="24"/>
          <w:highlight w:val="none"/>
          <w:u w:val="single"/>
        </w:rPr>
      </w:pPr>
      <w:r>
        <w:rPr>
          <w:rFonts w:hint="eastAsia" w:ascii="宋体" w:hAnsi="宋体" w:eastAsia="宋体" w:cs="宋体"/>
          <w:color w:val="auto"/>
          <w:kern w:val="0"/>
          <w:sz w:val="24"/>
          <w:szCs w:val="24"/>
          <w:highlight w:val="none"/>
        </w:rPr>
        <w:t>乙 方 帐 号 ：</w:t>
      </w:r>
    </w:p>
    <w:p w14:paraId="32206026">
      <w:pPr>
        <w:widowControl/>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第九条  违约责任</w:t>
      </w:r>
    </w:p>
    <w:p w14:paraId="582C8180">
      <w:pPr>
        <w:widowControl/>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9.1本合同签定后，任意一方违约将承担合同价款</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的违约金。</w:t>
      </w:r>
    </w:p>
    <w:p w14:paraId="54001946">
      <w:pPr>
        <w:widowControl/>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9.2由于乙方原因造成的设计任务质量不合格、不能满足技术要求时，其返工费由乙方承担。</w:t>
      </w:r>
    </w:p>
    <w:p w14:paraId="7D8DA242">
      <w:pPr>
        <w:widowControl/>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第十条  争议解决</w:t>
      </w:r>
    </w:p>
    <w:p w14:paraId="06E92FB8">
      <w:pPr>
        <w:widowControl/>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合同履行过程发生争议，甲乙双方及时协商解决。双方未达成一致的，可向人民法院起诉。</w:t>
      </w:r>
    </w:p>
    <w:p w14:paraId="551EF20B">
      <w:pPr>
        <w:widowControl/>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第十一条  合同生效及其他</w:t>
      </w:r>
    </w:p>
    <w:p w14:paraId="77F45891">
      <w:pPr>
        <w:widowControl/>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11.1本合同签约，双方签字盖章即生效，一式  份，甲方 份，乙方 份， </w:t>
      </w:r>
    </w:p>
    <w:p w14:paraId="1F0410FF">
      <w:pPr>
        <w:widowControl/>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11.2由于不可抗力因素致使合同无法履行时，双方应及时协商解决。</w:t>
      </w:r>
    </w:p>
    <w:p w14:paraId="3C01884B">
      <w:pPr>
        <w:widowControl/>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11.3未尽事宜，经双方协商一致，签订补充协议，补充协议与本合同具有同等效力。</w:t>
      </w:r>
    </w:p>
    <w:p w14:paraId="3C251A33">
      <w:pPr>
        <w:widowControl/>
        <w:spacing w:line="360" w:lineRule="auto"/>
        <w:ind w:firstLine="480" w:firstLineChars="200"/>
        <w:rPr>
          <w:rFonts w:hint="eastAsia" w:ascii="宋体" w:hAnsi="宋体" w:eastAsia="宋体" w:cs="宋体"/>
          <w:color w:val="auto"/>
          <w:kern w:val="0"/>
          <w:sz w:val="24"/>
          <w:szCs w:val="24"/>
          <w:highlight w:val="none"/>
        </w:rPr>
      </w:pPr>
    </w:p>
    <w:p w14:paraId="0FE32B17">
      <w:pPr>
        <w:widowControl/>
        <w:spacing w:line="360" w:lineRule="auto"/>
        <w:ind w:firstLine="480" w:firstLineChars="200"/>
        <w:rPr>
          <w:rFonts w:hint="eastAsia" w:ascii="宋体" w:hAnsi="宋体" w:eastAsia="宋体" w:cs="宋体"/>
          <w:color w:val="auto"/>
          <w:kern w:val="0"/>
          <w:sz w:val="24"/>
          <w:szCs w:val="24"/>
          <w:highlight w:val="none"/>
          <w:u w:val="single"/>
        </w:rPr>
      </w:pPr>
      <w:r>
        <w:rPr>
          <w:rFonts w:hint="eastAsia" w:ascii="宋体" w:hAnsi="宋体" w:eastAsia="宋体" w:cs="宋体"/>
          <w:color w:val="auto"/>
          <w:kern w:val="0"/>
          <w:sz w:val="24"/>
          <w:szCs w:val="24"/>
          <w:highlight w:val="none"/>
        </w:rPr>
        <w:t>甲方：                                 乙方：</w:t>
      </w:r>
    </w:p>
    <w:p w14:paraId="2E8DAF61">
      <w:pPr>
        <w:widowControl/>
        <w:spacing w:line="360" w:lineRule="auto"/>
        <w:ind w:firstLine="480" w:firstLineChars="200"/>
        <w:rPr>
          <w:rFonts w:hint="eastAsia" w:ascii="宋体" w:hAnsi="宋体" w:eastAsia="宋体" w:cs="宋体"/>
          <w:color w:val="auto"/>
          <w:kern w:val="0"/>
          <w:sz w:val="24"/>
          <w:szCs w:val="24"/>
          <w:highlight w:val="none"/>
          <w:u w:val="single"/>
        </w:rPr>
      </w:pPr>
      <w:r>
        <w:rPr>
          <w:rFonts w:hint="eastAsia" w:ascii="宋体" w:hAnsi="宋体" w:eastAsia="宋体" w:cs="宋体"/>
          <w:color w:val="auto"/>
          <w:kern w:val="0"/>
          <w:sz w:val="24"/>
          <w:szCs w:val="24"/>
          <w:highlight w:val="none"/>
        </w:rPr>
        <w:t>单位负责人（签字）：                   单位负责人（签字）：</w:t>
      </w:r>
    </w:p>
    <w:p w14:paraId="4A4CB799">
      <w:pPr>
        <w:widowControl/>
        <w:spacing w:line="360" w:lineRule="auto"/>
        <w:ind w:firstLine="480" w:firstLineChars="200"/>
        <w:rPr>
          <w:rFonts w:hint="eastAsia" w:ascii="宋体" w:hAnsi="宋体" w:eastAsia="宋体" w:cs="宋体"/>
          <w:color w:val="auto"/>
          <w:kern w:val="0"/>
          <w:sz w:val="24"/>
          <w:szCs w:val="24"/>
          <w:highlight w:val="none"/>
          <w:u w:val="single"/>
        </w:rPr>
      </w:pPr>
      <w:r>
        <w:rPr>
          <w:rFonts w:hint="eastAsia" w:ascii="宋体" w:hAnsi="宋体" w:eastAsia="宋体" w:cs="宋体"/>
          <w:color w:val="auto"/>
          <w:kern w:val="0"/>
          <w:sz w:val="24"/>
          <w:szCs w:val="24"/>
          <w:highlight w:val="none"/>
        </w:rPr>
        <w:t>电  话</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 xml:space="preserve">                 电   话：</w:t>
      </w:r>
    </w:p>
    <w:p w14:paraId="444A9B70">
      <w:pPr>
        <w:widowControl/>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年    月    日                         年    月    日</w:t>
      </w:r>
    </w:p>
    <w:p w14:paraId="056FDD82">
      <w:pPr>
        <w:spacing w:line="360" w:lineRule="auto"/>
        <w:ind w:firstLine="360" w:firstLineChars="150"/>
        <w:rPr>
          <w:rFonts w:hint="eastAsia" w:ascii="宋体" w:hAnsi="宋体" w:eastAsia="宋体" w:cs="宋体"/>
          <w:color w:val="auto"/>
          <w:sz w:val="24"/>
          <w:szCs w:val="24"/>
          <w:highlight w:val="none"/>
        </w:rPr>
      </w:pPr>
    </w:p>
    <w:p w14:paraId="1D72BAF3">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按《三门峡市财政局关于市本级政府采购合同备案管理工作的通知》（三财购[2021]9号）文要求，集中采购目录以外政府采购项目，原则上自中标通知书发出之日起2个工作日内与中标（成交）供应商按照采购文件确定的事项与供应商签订政府采购合同。</w:t>
      </w:r>
    </w:p>
    <w:p w14:paraId="79DD1F67">
      <w:pPr>
        <w:rPr>
          <w:rFonts w:hint="eastAsia" w:ascii="仿宋" w:hAnsi="仿宋" w:eastAsia="仿宋" w:cs="仿宋"/>
          <w:color w:val="auto"/>
          <w:highlight w:val="none"/>
        </w:rPr>
      </w:pPr>
      <w:bookmarkStart w:id="40" w:name="_Toc2534"/>
      <w:r>
        <w:rPr>
          <w:rFonts w:hint="eastAsia" w:ascii="仿宋" w:hAnsi="仿宋" w:eastAsia="仿宋" w:cs="仿宋"/>
          <w:color w:val="auto"/>
          <w:highlight w:val="none"/>
        </w:rPr>
        <w:br w:type="page"/>
      </w:r>
    </w:p>
    <w:p w14:paraId="0470B28B">
      <w:pPr>
        <w:pStyle w:val="2"/>
        <w:jc w:val="center"/>
        <w:rPr>
          <w:rFonts w:hint="eastAsia" w:ascii="仿宋" w:hAnsi="仿宋" w:eastAsia="仿宋" w:cs="仿宋"/>
          <w:color w:val="auto"/>
          <w:highlight w:val="none"/>
        </w:rPr>
      </w:pPr>
      <w:r>
        <w:rPr>
          <w:rFonts w:hint="eastAsia" w:ascii="仿宋" w:hAnsi="仿宋" w:eastAsia="仿宋" w:cs="仿宋"/>
          <w:color w:val="auto"/>
          <w:highlight w:val="none"/>
        </w:rPr>
        <w:t>第六章  电子化响应文件内容及格式</w:t>
      </w:r>
      <w:bookmarkEnd w:id="40"/>
    </w:p>
    <w:p w14:paraId="0720118E">
      <w:pPr>
        <w:widowControl/>
        <w:shd w:val="clear" w:color="auto" w:fill="FFFFFF"/>
        <w:spacing w:line="360" w:lineRule="auto"/>
        <w:jc w:val="center"/>
        <w:rPr>
          <w:rFonts w:hint="eastAsia" w:ascii="仿宋" w:hAnsi="仿宋" w:eastAsia="仿宋" w:cs="仿宋"/>
          <w:b/>
          <w:bCs/>
          <w:color w:val="auto"/>
          <w:kern w:val="0"/>
          <w:sz w:val="24"/>
          <w:szCs w:val="24"/>
          <w:highlight w:val="none"/>
          <w:shd w:val="clear" w:color="auto" w:fill="FFFFFF"/>
        </w:rPr>
      </w:pPr>
      <w:r>
        <w:rPr>
          <w:rFonts w:hint="eastAsia" w:ascii="仿宋" w:hAnsi="仿宋" w:eastAsia="仿宋" w:cs="仿宋"/>
          <w:b/>
          <w:bCs/>
          <w:color w:val="auto"/>
          <w:kern w:val="0"/>
          <w:sz w:val="24"/>
          <w:szCs w:val="24"/>
          <w:highlight w:val="none"/>
          <w:shd w:val="clear" w:color="auto" w:fill="FFFFFF"/>
        </w:rPr>
        <w:t>（此格式仅供参考）</w:t>
      </w:r>
    </w:p>
    <w:p w14:paraId="5450DC87">
      <w:pPr>
        <w:spacing w:line="360" w:lineRule="auto"/>
        <w:jc w:val="center"/>
        <w:rPr>
          <w:rFonts w:hint="eastAsia" w:ascii="仿宋" w:hAnsi="仿宋" w:eastAsia="仿宋" w:cs="仿宋"/>
          <w:color w:val="auto"/>
          <w:sz w:val="44"/>
          <w:szCs w:val="44"/>
          <w:highlight w:val="none"/>
        </w:rPr>
      </w:pPr>
    </w:p>
    <w:p w14:paraId="6D164720">
      <w:pPr>
        <w:pStyle w:val="16"/>
        <w:ind w:left="0" w:leftChars="0" w:firstLine="0"/>
        <w:jc w:val="center"/>
        <w:rPr>
          <w:rFonts w:hint="default" w:ascii="仿宋" w:hAnsi="仿宋" w:eastAsia="仿宋" w:cs="仿宋"/>
          <w:b/>
          <w:color w:val="auto"/>
          <w:kern w:val="2"/>
          <w:sz w:val="44"/>
          <w:szCs w:val="44"/>
          <w:highlight w:val="none"/>
          <w:lang w:val="en-US" w:eastAsia="zh-CN"/>
        </w:rPr>
      </w:pPr>
      <w:r>
        <w:rPr>
          <w:rFonts w:hint="eastAsia" w:ascii="仿宋" w:hAnsi="仿宋" w:eastAsia="仿宋" w:cs="仿宋"/>
          <w:b/>
          <w:color w:val="auto"/>
          <w:kern w:val="2"/>
          <w:sz w:val="44"/>
          <w:szCs w:val="44"/>
          <w:highlight w:val="none"/>
          <w:lang w:eastAsia="zh-CN"/>
        </w:rPr>
        <w:t>灵宝市应急管理局灵宝市非煤矿山安全生产会诊服务项目</w:t>
      </w:r>
    </w:p>
    <w:p w14:paraId="5FD08BF6">
      <w:pPr>
        <w:pStyle w:val="21"/>
        <w:ind w:firstLine="0"/>
        <w:jc w:val="both"/>
        <w:rPr>
          <w:rFonts w:hint="eastAsia" w:ascii="仿宋" w:hAnsi="仿宋" w:eastAsia="仿宋" w:cs="仿宋"/>
          <w:b/>
          <w:color w:val="auto"/>
          <w:sz w:val="44"/>
          <w:szCs w:val="44"/>
          <w:highlight w:val="none"/>
        </w:rPr>
      </w:pPr>
    </w:p>
    <w:p w14:paraId="0BEB4378">
      <w:pPr>
        <w:pStyle w:val="21"/>
        <w:rPr>
          <w:rFonts w:hint="eastAsia" w:ascii="仿宋" w:hAnsi="仿宋" w:eastAsia="仿宋" w:cs="仿宋"/>
          <w:b/>
          <w:color w:val="auto"/>
          <w:sz w:val="18"/>
          <w:szCs w:val="18"/>
          <w:highlight w:val="none"/>
        </w:rPr>
      </w:pPr>
    </w:p>
    <w:p w14:paraId="6FB840E2">
      <w:pPr>
        <w:spacing w:line="360" w:lineRule="auto"/>
        <w:jc w:val="center"/>
        <w:rPr>
          <w:rFonts w:hint="eastAsia" w:ascii="仿宋" w:hAnsi="仿宋" w:eastAsia="仿宋" w:cs="仿宋"/>
          <w:b/>
          <w:color w:val="auto"/>
          <w:sz w:val="72"/>
          <w:szCs w:val="72"/>
          <w:highlight w:val="none"/>
        </w:rPr>
      </w:pPr>
      <w:r>
        <w:rPr>
          <w:rFonts w:hint="eastAsia" w:ascii="仿宋" w:hAnsi="仿宋" w:eastAsia="仿宋" w:cs="仿宋"/>
          <w:b/>
          <w:color w:val="auto"/>
          <w:sz w:val="72"/>
          <w:szCs w:val="72"/>
          <w:highlight w:val="none"/>
        </w:rPr>
        <w:t>竞争性磋商响应文件</w:t>
      </w:r>
    </w:p>
    <w:p w14:paraId="66D68D45">
      <w:pPr>
        <w:widowControl/>
        <w:spacing w:line="360" w:lineRule="auto"/>
        <w:rPr>
          <w:rFonts w:hint="eastAsia" w:ascii="仿宋" w:hAnsi="仿宋" w:eastAsia="仿宋" w:cs="仿宋"/>
          <w:b/>
          <w:bCs/>
          <w:color w:val="auto"/>
          <w:kern w:val="0"/>
          <w:sz w:val="30"/>
          <w:szCs w:val="30"/>
          <w:highlight w:val="none"/>
        </w:rPr>
      </w:pPr>
    </w:p>
    <w:p w14:paraId="7EC6FCA2">
      <w:pPr>
        <w:jc w:val="center"/>
        <w:rPr>
          <w:rFonts w:hint="eastAsia" w:ascii="仿宋" w:hAnsi="仿宋" w:eastAsia="仿宋" w:cs="仿宋"/>
          <w:color w:val="auto"/>
          <w:highlight w:val="none"/>
          <w:lang w:eastAsia="zh-CN"/>
        </w:rPr>
      </w:pPr>
      <w:r>
        <w:rPr>
          <w:rFonts w:hint="eastAsia" w:ascii="仿宋" w:hAnsi="仿宋" w:eastAsia="仿宋" w:cs="仿宋"/>
          <w:b/>
          <w:color w:val="auto"/>
          <w:sz w:val="30"/>
          <w:szCs w:val="30"/>
          <w:highlight w:val="none"/>
        </w:rPr>
        <w:t>项目编号：</w:t>
      </w:r>
    </w:p>
    <w:p w14:paraId="67B50665">
      <w:pPr>
        <w:spacing w:line="360" w:lineRule="auto"/>
        <w:rPr>
          <w:rFonts w:hint="eastAsia" w:ascii="仿宋" w:hAnsi="仿宋" w:eastAsia="仿宋" w:cs="仿宋"/>
          <w:color w:val="auto"/>
          <w:kern w:val="0"/>
          <w:sz w:val="28"/>
          <w:szCs w:val="28"/>
          <w:highlight w:val="none"/>
        </w:rPr>
      </w:pPr>
    </w:p>
    <w:p w14:paraId="697F2F5F">
      <w:pPr>
        <w:pStyle w:val="10"/>
        <w:rPr>
          <w:rFonts w:hint="eastAsia" w:ascii="仿宋" w:hAnsi="仿宋" w:eastAsia="仿宋" w:cs="仿宋"/>
          <w:color w:val="auto"/>
          <w:highlight w:val="none"/>
        </w:rPr>
      </w:pPr>
    </w:p>
    <w:p w14:paraId="4ADDB208">
      <w:pPr>
        <w:pStyle w:val="10"/>
        <w:rPr>
          <w:rFonts w:hint="eastAsia" w:ascii="仿宋" w:hAnsi="仿宋" w:eastAsia="仿宋" w:cs="仿宋"/>
          <w:color w:val="auto"/>
          <w:highlight w:val="none"/>
        </w:rPr>
      </w:pPr>
    </w:p>
    <w:p w14:paraId="4A7CEBBA">
      <w:pPr>
        <w:pStyle w:val="10"/>
        <w:rPr>
          <w:rFonts w:hint="eastAsia" w:ascii="仿宋" w:hAnsi="仿宋" w:eastAsia="仿宋" w:cs="仿宋"/>
          <w:color w:val="auto"/>
          <w:highlight w:val="none"/>
        </w:rPr>
      </w:pPr>
    </w:p>
    <w:p w14:paraId="480E8A2E">
      <w:pPr>
        <w:pStyle w:val="10"/>
        <w:rPr>
          <w:rFonts w:hint="eastAsia" w:ascii="仿宋" w:hAnsi="仿宋" w:eastAsia="仿宋" w:cs="仿宋"/>
          <w:color w:val="auto"/>
          <w:highlight w:val="none"/>
        </w:rPr>
      </w:pPr>
    </w:p>
    <w:p w14:paraId="1D314D09">
      <w:pPr>
        <w:pStyle w:val="10"/>
        <w:rPr>
          <w:rFonts w:hint="eastAsia" w:ascii="仿宋" w:hAnsi="仿宋" w:eastAsia="仿宋" w:cs="仿宋"/>
          <w:color w:val="auto"/>
          <w:highlight w:val="none"/>
        </w:rPr>
      </w:pPr>
    </w:p>
    <w:p w14:paraId="47FF2AF3">
      <w:pPr>
        <w:widowControl/>
        <w:adjustRightInd w:val="0"/>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供应商：</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rPr>
        <w:t>（电子签章）</w:t>
      </w:r>
    </w:p>
    <w:p w14:paraId="2A2D65E1">
      <w:pPr>
        <w:widowControl/>
        <w:adjustRightInd w:val="0"/>
        <w:spacing w:line="360" w:lineRule="auto"/>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法定代表人或其委托代理人：</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rPr>
        <w:t>（电子签章）</w:t>
      </w:r>
    </w:p>
    <w:p w14:paraId="2AC51C51">
      <w:pPr>
        <w:widowControl/>
        <w:adjustRightInd w:val="0"/>
        <w:spacing w:line="360" w:lineRule="auto"/>
        <w:jc w:val="center"/>
        <w:rPr>
          <w:rFonts w:ascii="宋体" w:hAnsi="宋体" w:cs="宋体"/>
          <w:color w:val="auto"/>
          <w:kern w:val="0"/>
          <w:sz w:val="22"/>
          <w:szCs w:val="22"/>
          <w:highlight w:val="none"/>
        </w:rPr>
      </w:pPr>
      <w:r>
        <w:rPr>
          <w:rFonts w:hint="eastAsia" w:ascii="宋体" w:hAnsi="宋体" w:cs="宋体"/>
          <w:color w:val="auto"/>
          <w:kern w:val="0"/>
          <w:sz w:val="24"/>
          <w:szCs w:val="24"/>
          <w:highlight w:val="none"/>
        </w:rPr>
        <w:t>日期：</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rPr>
        <w:t>年</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rPr>
        <w:t>月</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rPr>
        <w:t>日</w:t>
      </w:r>
    </w:p>
    <w:p w14:paraId="6E0A6657">
      <w:pPr>
        <w:widowControl/>
        <w:spacing w:line="360" w:lineRule="auto"/>
        <w:ind w:firstLine="480"/>
        <w:jc w:val="center"/>
        <w:rPr>
          <w:rFonts w:hint="eastAsia" w:ascii="仿宋" w:hAnsi="仿宋" w:eastAsia="仿宋" w:cs="仿宋"/>
          <w:color w:val="auto"/>
          <w:kern w:val="0"/>
          <w:sz w:val="48"/>
          <w:szCs w:val="48"/>
          <w:highlight w:val="none"/>
        </w:rPr>
      </w:pPr>
      <w:r>
        <w:rPr>
          <w:rFonts w:hint="eastAsia" w:ascii="仿宋" w:hAnsi="仿宋" w:eastAsia="仿宋" w:cs="仿宋"/>
          <w:color w:val="auto"/>
          <w:kern w:val="0"/>
          <w:sz w:val="48"/>
          <w:szCs w:val="48"/>
          <w:highlight w:val="none"/>
        </w:rPr>
        <w:br w:type="page"/>
      </w:r>
      <w:r>
        <w:rPr>
          <w:rFonts w:hint="eastAsia" w:ascii="仿宋" w:hAnsi="仿宋" w:eastAsia="仿宋" w:cs="仿宋"/>
          <w:color w:val="auto"/>
          <w:kern w:val="0"/>
          <w:sz w:val="48"/>
          <w:szCs w:val="48"/>
          <w:highlight w:val="none"/>
        </w:rPr>
        <w:t>目  录</w:t>
      </w:r>
    </w:p>
    <w:p w14:paraId="17F69336">
      <w:pPr>
        <w:widowControl/>
        <w:spacing w:line="360" w:lineRule="auto"/>
        <w:jc w:val="center"/>
        <w:rPr>
          <w:rFonts w:hint="eastAsia" w:ascii="仿宋" w:hAnsi="仿宋" w:eastAsia="仿宋" w:cs="仿宋"/>
          <w:color w:val="auto"/>
          <w:kern w:val="0"/>
          <w:sz w:val="24"/>
          <w:szCs w:val="24"/>
          <w:highlight w:val="none"/>
        </w:rPr>
      </w:pPr>
    </w:p>
    <w:p w14:paraId="48C7EC05">
      <w:pPr>
        <w:spacing w:line="360" w:lineRule="auto"/>
        <w:ind w:firstLine="612"/>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格式自拟</w:t>
      </w:r>
    </w:p>
    <w:p w14:paraId="21F22344">
      <w:pPr>
        <w:spacing w:line="240" w:lineRule="auto"/>
        <w:jc w:val="center"/>
        <w:rPr>
          <w:rFonts w:hint="eastAsia" w:ascii="宋体" w:hAnsi="宋体" w:eastAsia="宋体" w:cs="宋体"/>
          <w:bCs/>
          <w:color w:val="auto"/>
          <w:sz w:val="28"/>
          <w:szCs w:val="28"/>
          <w:highlight w:val="none"/>
        </w:rPr>
      </w:pPr>
      <w:r>
        <w:rPr>
          <w:rFonts w:hint="eastAsia" w:ascii="仿宋" w:hAnsi="仿宋" w:eastAsia="仿宋" w:cs="仿宋"/>
          <w:color w:val="auto"/>
          <w:sz w:val="24"/>
          <w:szCs w:val="24"/>
          <w:highlight w:val="none"/>
        </w:rPr>
        <w:br w:type="page"/>
      </w:r>
      <w:r>
        <w:rPr>
          <w:rFonts w:hint="eastAsia" w:ascii="宋体" w:hAnsi="宋体" w:eastAsia="宋体" w:cs="宋体"/>
          <w:color w:val="auto"/>
          <w:sz w:val="28"/>
          <w:szCs w:val="28"/>
          <w:highlight w:val="none"/>
          <w:lang w:val="en-US"/>
        </w:rPr>
        <w:t>一、磋商响应函</w:t>
      </w:r>
    </w:p>
    <w:p w14:paraId="6B5167CE">
      <w:pPr>
        <w:spacing w:line="360" w:lineRule="auto"/>
        <w:jc w:val="left"/>
        <w:rPr>
          <w:rFonts w:hint="eastAsia" w:ascii="宋体" w:hAnsi="宋体" w:eastAsia="宋体" w:cs="宋体"/>
          <w:color w:val="auto"/>
          <w:spacing w:val="24"/>
          <w:sz w:val="24"/>
          <w:szCs w:val="24"/>
          <w:highlight w:val="none"/>
        </w:rPr>
      </w:pPr>
      <w:r>
        <w:rPr>
          <w:rFonts w:hint="eastAsia" w:ascii="宋体" w:hAnsi="宋体" w:eastAsia="宋体" w:cs="宋体"/>
          <w:color w:val="auto"/>
          <w:spacing w:val="24"/>
          <w:sz w:val="24"/>
          <w:szCs w:val="24"/>
          <w:highlight w:val="none"/>
        </w:rPr>
        <w:t>致</w:t>
      </w:r>
      <w:r>
        <w:rPr>
          <w:rFonts w:hint="eastAsia" w:ascii="宋体" w:hAnsi="宋体" w:eastAsia="宋体" w:cs="宋体"/>
          <w:color w:val="auto"/>
          <w:spacing w:val="24"/>
          <w:sz w:val="24"/>
          <w:szCs w:val="24"/>
          <w:highlight w:val="none"/>
          <w:u w:val="single"/>
        </w:rPr>
        <w:t>（采购人）</w:t>
      </w:r>
      <w:r>
        <w:rPr>
          <w:rFonts w:hint="eastAsia" w:ascii="宋体" w:hAnsi="宋体" w:eastAsia="宋体" w:cs="宋体"/>
          <w:color w:val="auto"/>
          <w:spacing w:val="24"/>
          <w:sz w:val="24"/>
          <w:szCs w:val="24"/>
          <w:highlight w:val="none"/>
        </w:rPr>
        <w:t>：</w:t>
      </w:r>
    </w:p>
    <w:p w14:paraId="6E0C3B06">
      <w:pPr>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根据已收到贵方的</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eastAsia="zh-CN"/>
        </w:rPr>
        <w:t>项目名称</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（项目编号）的竞争性磋商文件，遵照《中华人民共和国政府采购法》等有关规定，我单位经研究上述竞争性磋商文件的磋商须知、合同条款、</w:t>
      </w:r>
      <w:r>
        <w:rPr>
          <w:rFonts w:hint="eastAsia" w:ascii="宋体" w:hAnsi="宋体" w:eastAsia="宋体" w:cs="宋体"/>
          <w:color w:val="auto"/>
          <w:sz w:val="24"/>
          <w:szCs w:val="24"/>
          <w:highlight w:val="none"/>
          <w:lang w:eastAsia="zh-CN"/>
        </w:rPr>
        <w:t>服务内容</w:t>
      </w:r>
      <w:r>
        <w:rPr>
          <w:rFonts w:hint="eastAsia" w:ascii="宋体" w:hAnsi="宋体" w:eastAsia="宋体" w:cs="宋体"/>
          <w:color w:val="auto"/>
          <w:sz w:val="24"/>
          <w:szCs w:val="24"/>
          <w:highlight w:val="none"/>
        </w:rPr>
        <w:t>及其它有关文件后，我方愿以人民币（大写）：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元（小写：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元）的磋商报价，质量要求：</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，服务期限：</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，承包上述项目</w:t>
      </w:r>
      <w:r>
        <w:rPr>
          <w:rFonts w:hint="eastAsia" w:ascii="宋体" w:hAnsi="宋体" w:eastAsia="宋体" w:cs="宋体"/>
          <w:color w:val="auto"/>
          <w:sz w:val="24"/>
          <w:szCs w:val="24"/>
          <w:highlight w:val="none"/>
          <w:shd w:val="clear" w:color="auto" w:fill="FFFFFF"/>
        </w:rPr>
        <w:t>。</w:t>
      </w:r>
    </w:p>
    <w:p w14:paraId="5E53EB62">
      <w:pPr>
        <w:spacing w:line="360" w:lineRule="auto"/>
        <w:ind w:firstLine="480" w:firstLineChars="2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rPr>
        <w:t>1.我方已详细审核全部竞争性磋商文件，包括修改文件（如有）及有关附件，已充分理解并掌握了本磋商项目的全部有关情况，认为竞争性磋商文件符合法律、法规的要求，充分体现了公开、公平、公正和诚实信用原则，我方对竞争性磋商文件没有任何异议。同意接受竞争性磋商文件的全部内容和条件。</w:t>
      </w:r>
    </w:p>
    <w:p w14:paraId="0FB29922">
      <w:pPr>
        <w:spacing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rPr>
        <w:t>2.如我方确定为成交供应商，我方承诺在收到成交通知书后，在成交通知书规定的期限内，根据竞争性磋商文件、我方的磋商响应文件及有关澄清承诺书的要求，与采购人订立书面合同，并按照合同约定承担完成合同的责任和义务。</w:t>
      </w:r>
    </w:p>
    <w:p w14:paraId="3030F345">
      <w:pPr>
        <w:spacing w:line="360" w:lineRule="auto"/>
        <w:ind w:firstLine="480" w:firstLineChars="200"/>
        <w:rPr>
          <w:rFonts w:hint="eastAsia" w:ascii="宋体" w:hAnsi="宋体" w:eastAsia="宋体" w:cs="宋体"/>
          <w:color w:val="auto"/>
          <w:kern w:val="0"/>
          <w:sz w:val="24"/>
          <w:szCs w:val="24"/>
          <w:highlight w:val="none"/>
          <w:u w:val="single"/>
        </w:rPr>
      </w:pPr>
      <w:r>
        <w:rPr>
          <w:rFonts w:hint="eastAsia" w:ascii="宋体" w:hAnsi="宋体" w:eastAsia="宋体" w:cs="宋体"/>
          <w:color w:val="auto"/>
          <w:sz w:val="24"/>
          <w:szCs w:val="24"/>
          <w:highlight w:val="none"/>
          <w:u w:val="single"/>
        </w:rPr>
        <w:t>3.</w:t>
      </w:r>
      <w:r>
        <w:rPr>
          <w:rFonts w:hint="eastAsia" w:ascii="宋体" w:hAnsi="宋体" w:cs="宋体"/>
          <w:color w:val="auto"/>
          <w:kern w:val="0"/>
          <w:sz w:val="24"/>
          <w:szCs w:val="24"/>
          <w:highlight w:val="none"/>
          <w:u w:val="single"/>
        </w:rPr>
        <w:t>我方承诺在磋商有效期 日历天（从响应文件递交截止时间起）内不修改、撤销响应文件</w:t>
      </w:r>
      <w:r>
        <w:rPr>
          <w:rFonts w:hint="eastAsia" w:ascii="宋体" w:hAnsi="宋体" w:eastAsia="宋体" w:cs="宋体"/>
          <w:color w:val="auto"/>
          <w:kern w:val="0"/>
          <w:sz w:val="24"/>
          <w:szCs w:val="24"/>
          <w:highlight w:val="none"/>
          <w:u w:val="single"/>
        </w:rPr>
        <w:t>。</w:t>
      </w:r>
    </w:p>
    <w:p w14:paraId="03468853">
      <w:pPr>
        <w:spacing w:line="360" w:lineRule="auto"/>
        <w:ind w:firstLine="480" w:firstLineChars="200"/>
        <w:rPr>
          <w:rFonts w:hint="eastAsia" w:ascii="宋体" w:hAnsi="宋体" w:eastAsia="宋体" w:cs="宋体"/>
          <w:color w:val="auto"/>
          <w:kern w:val="0"/>
          <w:sz w:val="24"/>
          <w:szCs w:val="24"/>
          <w:highlight w:val="none"/>
          <w:u w:val="single"/>
        </w:rPr>
      </w:pPr>
      <w:r>
        <w:rPr>
          <w:rFonts w:hint="eastAsia" w:ascii="宋体" w:hAnsi="宋体" w:eastAsia="宋体" w:cs="宋体"/>
          <w:color w:val="auto"/>
          <w:sz w:val="24"/>
          <w:szCs w:val="24"/>
          <w:highlight w:val="none"/>
          <w:u w:val="single"/>
        </w:rPr>
        <w:t>4.</w:t>
      </w:r>
      <w:r>
        <w:rPr>
          <w:rFonts w:hint="eastAsia" w:ascii="宋体" w:hAnsi="宋体" w:eastAsia="宋体" w:cs="宋体"/>
          <w:color w:val="auto"/>
          <w:kern w:val="0"/>
          <w:sz w:val="24"/>
          <w:szCs w:val="24"/>
          <w:highlight w:val="none"/>
          <w:u w:val="single"/>
        </w:rPr>
        <w:t>我方完全理解贵方不一定接受磋商报价最低的供应商为成交供应商的行为。</w:t>
      </w:r>
    </w:p>
    <w:p w14:paraId="1DD202B5">
      <w:pPr>
        <w:spacing w:line="360" w:lineRule="auto"/>
        <w:ind w:firstLine="480" w:firstLineChars="200"/>
        <w:rPr>
          <w:rFonts w:hint="eastAsia" w:ascii="宋体" w:hAnsi="宋体" w:eastAsia="宋体" w:cs="宋体"/>
          <w:color w:val="auto"/>
          <w:kern w:val="0"/>
          <w:sz w:val="24"/>
          <w:szCs w:val="24"/>
          <w:highlight w:val="none"/>
          <w:u w:val="single"/>
        </w:rPr>
      </w:pPr>
      <w:r>
        <w:rPr>
          <w:rFonts w:hint="eastAsia" w:ascii="宋体" w:hAnsi="宋体" w:eastAsia="宋体" w:cs="宋体"/>
          <w:color w:val="auto"/>
          <w:sz w:val="24"/>
          <w:szCs w:val="24"/>
          <w:highlight w:val="none"/>
          <w:u w:val="single"/>
        </w:rPr>
        <w:t>5.</w:t>
      </w:r>
      <w:r>
        <w:rPr>
          <w:rFonts w:hint="eastAsia" w:ascii="宋体" w:hAnsi="宋体" w:eastAsia="宋体" w:cs="宋体"/>
          <w:color w:val="auto"/>
          <w:kern w:val="0"/>
          <w:sz w:val="24"/>
          <w:szCs w:val="24"/>
          <w:highlight w:val="none"/>
          <w:u w:val="single"/>
        </w:rPr>
        <w:t>我方在此声明，所递交的磋商响应文件及有关资料内容完整、真实和准确。</w:t>
      </w:r>
    </w:p>
    <w:p w14:paraId="2EDFFFDF">
      <w:pPr>
        <w:pageBreakBefore w:val="0"/>
        <w:widowControl w:val="0"/>
        <w:shd w:val="clear"/>
        <w:kinsoku/>
        <w:wordWrap/>
        <w:overflowPunct/>
        <w:topLinePunct w:val="0"/>
        <w:autoSpaceDE/>
        <w:autoSpaceDN/>
        <w:bidi w:val="0"/>
        <w:adjustRightInd w:val="0"/>
        <w:snapToGrid w:val="0"/>
        <w:spacing w:beforeAutospacing="0" w:afterAutospacing="0" w:line="360" w:lineRule="auto"/>
        <w:ind w:left="0" w:leftChars="0" w:right="0" w:firstLine="2880" w:firstLineChars="1200"/>
        <w:textAlignment w:val="auto"/>
        <w:rPr>
          <w:rFonts w:hint="eastAsia" w:ascii="宋体" w:hAnsi="宋体" w:eastAsia="宋体" w:cs="宋体"/>
          <w:color w:val="auto"/>
          <w:sz w:val="24"/>
          <w:highlight w:val="none"/>
        </w:rPr>
      </w:pPr>
    </w:p>
    <w:p w14:paraId="348B59B0">
      <w:pPr>
        <w:pageBreakBefore w:val="0"/>
        <w:widowControl w:val="0"/>
        <w:shd w:val="clear"/>
        <w:kinsoku/>
        <w:wordWrap/>
        <w:overflowPunct/>
        <w:topLinePunct w:val="0"/>
        <w:autoSpaceDE/>
        <w:autoSpaceDN/>
        <w:bidi w:val="0"/>
        <w:adjustRightInd w:val="0"/>
        <w:snapToGrid w:val="0"/>
        <w:spacing w:beforeAutospacing="0" w:afterAutospacing="0" w:line="360" w:lineRule="auto"/>
        <w:ind w:right="0"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（盖单位章）</w:t>
      </w:r>
    </w:p>
    <w:p w14:paraId="25305F77">
      <w:pPr>
        <w:pageBreakBefore w:val="0"/>
        <w:widowControl w:val="0"/>
        <w:shd w:val="clear"/>
        <w:kinsoku/>
        <w:wordWrap/>
        <w:overflowPunct/>
        <w:topLinePunct w:val="0"/>
        <w:autoSpaceDE/>
        <w:autoSpaceDN/>
        <w:bidi w:val="0"/>
        <w:adjustRightInd w:val="0"/>
        <w:snapToGrid w:val="0"/>
        <w:spacing w:beforeAutospacing="0" w:afterAutospacing="0" w:line="360" w:lineRule="auto"/>
        <w:ind w:left="0" w:leftChars="0" w:right="0"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（电子签章）</w:t>
      </w:r>
    </w:p>
    <w:p w14:paraId="76A4AF1D">
      <w:pPr>
        <w:pageBreakBefore w:val="0"/>
        <w:widowControl w:val="0"/>
        <w:shd w:val="clear"/>
        <w:kinsoku/>
        <w:wordWrap/>
        <w:overflowPunct/>
        <w:topLinePunct w:val="0"/>
        <w:autoSpaceDE/>
        <w:autoSpaceDN/>
        <w:bidi w:val="0"/>
        <w:adjustRightInd w:val="0"/>
        <w:snapToGrid w:val="0"/>
        <w:spacing w:beforeAutospacing="0" w:afterAutospacing="0" w:line="360" w:lineRule="auto"/>
        <w:ind w:left="0" w:leftChars="0" w:right="0" w:firstLine="480" w:firstLineChars="200"/>
        <w:textAlignment w:val="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地  址：</w:t>
      </w:r>
      <w:r>
        <w:rPr>
          <w:rFonts w:hint="eastAsia" w:ascii="宋体" w:hAnsi="宋体" w:eastAsia="宋体" w:cs="宋体"/>
          <w:color w:val="auto"/>
          <w:sz w:val="24"/>
          <w:highlight w:val="none"/>
          <w:u w:val="single"/>
        </w:rPr>
        <w:t xml:space="preserve">                                 </w:t>
      </w:r>
    </w:p>
    <w:p w14:paraId="37D258C1">
      <w:pPr>
        <w:pStyle w:val="6"/>
        <w:pageBreakBefore w:val="0"/>
        <w:widowControl w:val="0"/>
        <w:shd w:val="clear"/>
        <w:kinsoku/>
        <w:wordWrap/>
        <w:overflowPunct/>
        <w:topLinePunct w:val="0"/>
        <w:autoSpaceDE/>
        <w:autoSpaceDN/>
        <w:bidi w:val="0"/>
        <w:adjustRightInd w:val="0"/>
        <w:snapToGrid w:val="0"/>
        <w:spacing w:beforeAutospacing="0" w:after="0" w:afterAutospacing="0" w:line="360" w:lineRule="auto"/>
        <w:ind w:left="0" w:leftChars="0" w:right="0" w:firstLine="480" w:firstLineChars="200"/>
        <w:textAlignment w:val="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电  话：</w:t>
      </w:r>
      <w:r>
        <w:rPr>
          <w:rFonts w:hint="eastAsia" w:ascii="宋体" w:hAnsi="宋体" w:cs="宋体"/>
          <w:i/>
          <w:iCs/>
          <w:color w:val="auto"/>
          <w:sz w:val="24"/>
          <w:szCs w:val="24"/>
          <w:highlight w:val="none"/>
          <w:u w:val="single"/>
        </w:rPr>
        <w:t>（填写能联系到的电话号码，方便通知二次报价</w:t>
      </w:r>
      <w:r>
        <w:rPr>
          <w:rFonts w:hint="eastAsia" w:ascii="宋体" w:hAnsi="宋体" w:cs="宋体"/>
          <w:i/>
          <w:iCs/>
          <w:color w:val="auto"/>
          <w:sz w:val="24"/>
          <w:szCs w:val="24"/>
          <w:highlight w:val="none"/>
          <w:u w:val="single"/>
          <w:lang w:eastAsia="zh-CN"/>
        </w:rPr>
        <w:t>，</w:t>
      </w:r>
      <w:r>
        <w:rPr>
          <w:rFonts w:hint="eastAsia" w:ascii="宋体" w:hAnsi="宋体" w:cs="宋体"/>
          <w:i/>
          <w:iCs/>
          <w:color w:val="auto"/>
          <w:sz w:val="24"/>
          <w:szCs w:val="24"/>
          <w:highlight w:val="none"/>
          <w:u w:val="single"/>
          <w:lang w:val="en-US" w:eastAsia="zh-CN"/>
        </w:rPr>
        <w:t>本描述可删除</w:t>
      </w:r>
      <w:r>
        <w:rPr>
          <w:rFonts w:hint="eastAsia" w:ascii="宋体" w:hAnsi="宋体" w:cs="宋体"/>
          <w:i/>
          <w:iCs/>
          <w:color w:val="auto"/>
          <w:sz w:val="24"/>
          <w:szCs w:val="24"/>
          <w:highlight w:val="none"/>
          <w:u w:val="single"/>
        </w:rPr>
        <w:t>）</w:t>
      </w:r>
    </w:p>
    <w:p w14:paraId="28ADF1DE">
      <w:pPr>
        <w:pStyle w:val="6"/>
        <w:pageBreakBefore w:val="0"/>
        <w:widowControl w:val="0"/>
        <w:shd w:val="clear"/>
        <w:kinsoku/>
        <w:wordWrap/>
        <w:overflowPunct/>
        <w:topLinePunct w:val="0"/>
        <w:autoSpaceDE/>
        <w:autoSpaceDN/>
        <w:bidi w:val="0"/>
        <w:adjustRightInd w:val="0"/>
        <w:snapToGrid w:val="0"/>
        <w:spacing w:beforeAutospacing="0" w:after="0" w:afterAutospacing="0" w:line="360" w:lineRule="auto"/>
        <w:ind w:left="0" w:leftChars="0" w:right="0" w:firstLine="480" w:firstLineChars="200"/>
        <w:textAlignment w:val="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邮  箱：</w:t>
      </w:r>
      <w:r>
        <w:rPr>
          <w:rFonts w:hint="eastAsia" w:ascii="宋体" w:hAnsi="宋体" w:eastAsia="宋体" w:cs="宋体"/>
          <w:color w:val="auto"/>
          <w:sz w:val="24"/>
          <w:highlight w:val="none"/>
          <w:u w:val="single"/>
        </w:rPr>
        <w:t xml:space="preserve">                                </w:t>
      </w:r>
    </w:p>
    <w:p w14:paraId="0CEFBB6E">
      <w:pPr>
        <w:pageBreakBefore w:val="0"/>
        <w:widowControl w:val="0"/>
        <w:shd w:val="clear"/>
        <w:kinsoku/>
        <w:wordWrap/>
        <w:overflowPunct/>
        <w:topLinePunct w:val="0"/>
        <w:autoSpaceDE/>
        <w:autoSpaceDN/>
        <w:bidi w:val="0"/>
        <w:adjustRightInd w:val="0"/>
        <w:snapToGrid w:val="0"/>
        <w:spacing w:beforeAutospacing="0" w:afterAutospacing="0" w:line="360" w:lineRule="auto"/>
        <w:ind w:left="0" w:leftChars="0" w:right="0" w:firstLine="480" w:firstLineChars="200"/>
        <w:textAlignment w:val="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日  期：</w:t>
      </w:r>
      <w:r>
        <w:rPr>
          <w:rFonts w:hint="eastAsia" w:ascii="宋体" w:hAnsi="宋体" w:eastAsia="宋体" w:cs="宋体"/>
          <w:color w:val="auto"/>
          <w:sz w:val="24"/>
          <w:highlight w:val="none"/>
          <w:u w:val="single"/>
        </w:rPr>
        <w:t xml:space="preserve">         年</w:t>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 xml:space="preserve">    月</w:t>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 xml:space="preserve">      日</w:t>
      </w:r>
    </w:p>
    <w:p w14:paraId="20D126E4">
      <w:pPr>
        <w:spacing w:line="240" w:lineRule="auto"/>
        <w:jc w:val="center"/>
        <w:rPr>
          <w:rFonts w:hint="eastAsia" w:ascii="宋体" w:hAnsi="宋体" w:eastAsia="宋体" w:cs="宋体"/>
          <w:color w:val="auto"/>
          <w:sz w:val="28"/>
          <w:szCs w:val="28"/>
          <w:highlight w:val="none"/>
        </w:rPr>
      </w:pPr>
    </w:p>
    <w:p w14:paraId="024D75A5">
      <w:pPr>
        <w:spacing w:line="240" w:lineRule="auto"/>
        <w:jc w:val="center"/>
        <w:rPr>
          <w:rFonts w:hint="eastAsia" w:ascii="宋体" w:hAnsi="宋体" w:eastAsia="宋体" w:cs="宋体"/>
          <w:bCs/>
          <w:color w:val="auto"/>
          <w:kern w:val="0"/>
          <w:sz w:val="28"/>
          <w:szCs w:val="28"/>
          <w:highlight w:val="none"/>
        </w:rPr>
      </w:pPr>
      <w:r>
        <w:rPr>
          <w:rFonts w:hint="eastAsia" w:ascii="宋体" w:hAnsi="宋体" w:eastAsia="宋体" w:cs="宋体"/>
          <w:color w:val="auto"/>
          <w:sz w:val="28"/>
          <w:szCs w:val="28"/>
          <w:highlight w:val="none"/>
          <w:lang w:val="en-US"/>
        </w:rPr>
        <w:br w:type="page"/>
      </w:r>
      <w:r>
        <w:rPr>
          <w:rFonts w:hint="eastAsia" w:ascii="宋体" w:hAnsi="宋体" w:eastAsia="宋体" w:cs="宋体"/>
          <w:color w:val="auto"/>
          <w:sz w:val="28"/>
          <w:szCs w:val="28"/>
          <w:highlight w:val="none"/>
          <w:lang w:val="en-US" w:eastAsia="zh-CN"/>
        </w:rPr>
        <w:t>二、</w:t>
      </w:r>
      <w:r>
        <w:rPr>
          <w:rFonts w:hint="eastAsia" w:ascii="宋体" w:hAnsi="宋体" w:eastAsia="宋体" w:cs="宋体"/>
          <w:bCs/>
          <w:color w:val="auto"/>
          <w:kern w:val="0"/>
          <w:sz w:val="28"/>
          <w:szCs w:val="28"/>
          <w:highlight w:val="none"/>
        </w:rPr>
        <w:t>首次报价一览表</w:t>
      </w:r>
    </w:p>
    <w:tbl>
      <w:tblPr>
        <w:tblStyle w:val="17"/>
        <w:tblW w:w="0" w:type="auto"/>
        <w:jc w:val="center"/>
        <w:tblLayout w:type="fixed"/>
        <w:tblCellMar>
          <w:top w:w="0" w:type="dxa"/>
          <w:left w:w="0" w:type="dxa"/>
          <w:bottom w:w="0" w:type="dxa"/>
          <w:right w:w="0" w:type="dxa"/>
        </w:tblCellMar>
      </w:tblPr>
      <w:tblGrid>
        <w:gridCol w:w="2166"/>
        <w:gridCol w:w="6313"/>
      </w:tblGrid>
      <w:tr w14:paraId="0B566116">
        <w:tblPrEx>
          <w:tblCellMar>
            <w:top w:w="0" w:type="dxa"/>
            <w:left w:w="0" w:type="dxa"/>
            <w:bottom w:w="0" w:type="dxa"/>
            <w:right w:w="0" w:type="dxa"/>
          </w:tblCellMar>
        </w:tblPrEx>
        <w:trPr>
          <w:trHeight w:val="1193" w:hRule="atLeast"/>
          <w:jc w:val="center"/>
        </w:trPr>
        <w:tc>
          <w:tcPr>
            <w:tcW w:w="2166" w:type="dxa"/>
            <w:tcBorders>
              <w:top w:val="single" w:color="auto" w:sz="4" w:space="0"/>
              <w:left w:val="single" w:color="auto" w:sz="4" w:space="0"/>
              <w:bottom w:val="single" w:color="auto" w:sz="4" w:space="0"/>
              <w:right w:val="single" w:color="auto" w:sz="4" w:space="0"/>
            </w:tcBorders>
            <w:noWrap w:val="0"/>
            <w:vAlign w:val="center"/>
          </w:tcPr>
          <w:p w14:paraId="7C0A9C91">
            <w:pPr>
              <w:autoSpaceDE w:val="0"/>
              <w:autoSpaceDN w:val="0"/>
              <w:spacing w:line="240" w:lineRule="auto"/>
              <w:jc w:val="center"/>
              <w:rPr>
                <w:rFonts w:hint="eastAsia" w:ascii="宋体" w:hAnsi="宋体" w:eastAsia="宋体" w:cs="宋体"/>
                <w:color w:val="auto"/>
                <w:kern w:val="0"/>
                <w:sz w:val="24"/>
                <w:szCs w:val="24"/>
                <w:highlight w:val="none"/>
                <w:lang w:val="en-US" w:eastAsia="zh-CN"/>
              </w:rPr>
            </w:pPr>
            <w:bookmarkStart w:id="41" w:name="_Toc365647229"/>
            <w:r>
              <w:rPr>
                <w:rFonts w:hint="eastAsia" w:ascii="宋体" w:hAnsi="宋体" w:eastAsia="宋体" w:cs="宋体"/>
                <w:color w:val="auto"/>
                <w:kern w:val="0"/>
                <w:sz w:val="24"/>
                <w:szCs w:val="24"/>
                <w:highlight w:val="none"/>
                <w:lang w:val="en-US" w:eastAsia="zh-CN"/>
              </w:rPr>
              <w:t>项目名称</w:t>
            </w:r>
            <w:bookmarkEnd w:id="41"/>
          </w:p>
        </w:tc>
        <w:tc>
          <w:tcPr>
            <w:tcW w:w="6313" w:type="dxa"/>
            <w:tcBorders>
              <w:top w:val="single" w:color="auto" w:sz="4" w:space="0"/>
              <w:left w:val="nil"/>
              <w:bottom w:val="single" w:color="auto" w:sz="4" w:space="0"/>
              <w:right w:val="single" w:color="auto" w:sz="4" w:space="0"/>
            </w:tcBorders>
            <w:noWrap w:val="0"/>
            <w:vAlign w:val="center"/>
          </w:tcPr>
          <w:p w14:paraId="20DF004B">
            <w:pPr>
              <w:autoSpaceDE w:val="0"/>
              <w:autoSpaceDN w:val="0"/>
              <w:spacing w:line="240" w:lineRule="auto"/>
              <w:jc w:val="center"/>
              <w:rPr>
                <w:rFonts w:hint="eastAsia" w:ascii="宋体" w:hAnsi="宋体" w:eastAsia="宋体" w:cs="宋体"/>
                <w:color w:val="auto"/>
                <w:kern w:val="0"/>
                <w:sz w:val="24"/>
                <w:szCs w:val="24"/>
                <w:highlight w:val="none"/>
              </w:rPr>
            </w:pPr>
          </w:p>
        </w:tc>
      </w:tr>
      <w:tr w14:paraId="132FEDC2">
        <w:tblPrEx>
          <w:tblCellMar>
            <w:top w:w="0" w:type="dxa"/>
            <w:left w:w="0" w:type="dxa"/>
            <w:bottom w:w="0" w:type="dxa"/>
            <w:right w:w="0" w:type="dxa"/>
          </w:tblCellMar>
        </w:tblPrEx>
        <w:trPr>
          <w:trHeight w:val="1193" w:hRule="atLeast"/>
          <w:jc w:val="center"/>
        </w:trPr>
        <w:tc>
          <w:tcPr>
            <w:tcW w:w="2166" w:type="dxa"/>
            <w:tcBorders>
              <w:top w:val="single" w:color="auto" w:sz="4" w:space="0"/>
              <w:left w:val="single" w:color="auto" w:sz="4" w:space="0"/>
              <w:bottom w:val="single" w:color="auto" w:sz="4" w:space="0"/>
              <w:right w:val="single" w:color="auto" w:sz="4" w:space="0"/>
            </w:tcBorders>
            <w:noWrap w:val="0"/>
            <w:vAlign w:val="center"/>
          </w:tcPr>
          <w:p w14:paraId="562FB3DF">
            <w:pPr>
              <w:autoSpaceDE w:val="0"/>
              <w:autoSpaceDN w:val="0"/>
              <w:spacing w:line="240" w:lineRule="auto"/>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磋商响应供应商</w:t>
            </w:r>
          </w:p>
        </w:tc>
        <w:tc>
          <w:tcPr>
            <w:tcW w:w="6313" w:type="dxa"/>
            <w:tcBorders>
              <w:top w:val="single" w:color="auto" w:sz="4" w:space="0"/>
              <w:left w:val="nil"/>
              <w:bottom w:val="single" w:color="auto" w:sz="4" w:space="0"/>
              <w:right w:val="single" w:color="auto" w:sz="4" w:space="0"/>
            </w:tcBorders>
            <w:noWrap w:val="0"/>
            <w:vAlign w:val="center"/>
          </w:tcPr>
          <w:p w14:paraId="280839EA">
            <w:pPr>
              <w:autoSpaceDE w:val="0"/>
              <w:autoSpaceDN w:val="0"/>
              <w:spacing w:line="240" w:lineRule="auto"/>
              <w:jc w:val="center"/>
              <w:rPr>
                <w:rFonts w:hint="eastAsia" w:ascii="宋体" w:hAnsi="宋体" w:eastAsia="宋体" w:cs="宋体"/>
                <w:color w:val="auto"/>
                <w:kern w:val="0"/>
                <w:sz w:val="24"/>
                <w:szCs w:val="24"/>
                <w:highlight w:val="none"/>
              </w:rPr>
            </w:pPr>
          </w:p>
        </w:tc>
      </w:tr>
      <w:tr w14:paraId="2BB36950">
        <w:tblPrEx>
          <w:tblCellMar>
            <w:top w:w="0" w:type="dxa"/>
            <w:left w:w="0" w:type="dxa"/>
            <w:bottom w:w="0" w:type="dxa"/>
            <w:right w:w="0" w:type="dxa"/>
          </w:tblCellMar>
        </w:tblPrEx>
        <w:trPr>
          <w:trHeight w:val="1193" w:hRule="atLeast"/>
          <w:jc w:val="center"/>
        </w:trPr>
        <w:tc>
          <w:tcPr>
            <w:tcW w:w="2166" w:type="dxa"/>
            <w:tcBorders>
              <w:top w:val="single" w:color="auto" w:sz="4" w:space="0"/>
              <w:left w:val="single" w:color="auto" w:sz="4" w:space="0"/>
              <w:bottom w:val="single" w:color="auto" w:sz="4" w:space="0"/>
              <w:right w:val="single" w:color="auto" w:sz="4" w:space="0"/>
            </w:tcBorders>
            <w:noWrap w:val="0"/>
            <w:vAlign w:val="center"/>
          </w:tcPr>
          <w:p w14:paraId="3FD14B1F">
            <w:pPr>
              <w:autoSpaceDE w:val="0"/>
              <w:autoSpaceDN w:val="0"/>
              <w:spacing w:line="240" w:lineRule="auto"/>
              <w:jc w:val="center"/>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项目负责人</w:t>
            </w:r>
            <w:r>
              <w:rPr>
                <w:rFonts w:hint="eastAsia" w:ascii="宋体" w:hAnsi="宋体" w:cs="宋体"/>
                <w:color w:val="auto"/>
                <w:kern w:val="0"/>
                <w:sz w:val="24"/>
                <w:szCs w:val="24"/>
                <w:highlight w:val="none"/>
                <w:lang w:val="en-US" w:eastAsia="zh-CN"/>
              </w:rPr>
              <w:t>及证书编号</w:t>
            </w:r>
          </w:p>
        </w:tc>
        <w:tc>
          <w:tcPr>
            <w:tcW w:w="6313" w:type="dxa"/>
            <w:tcBorders>
              <w:top w:val="single" w:color="auto" w:sz="4" w:space="0"/>
              <w:left w:val="nil"/>
              <w:bottom w:val="single" w:color="auto" w:sz="4" w:space="0"/>
              <w:right w:val="single" w:color="auto" w:sz="4" w:space="0"/>
            </w:tcBorders>
            <w:noWrap w:val="0"/>
            <w:vAlign w:val="center"/>
          </w:tcPr>
          <w:p w14:paraId="12D39EAA">
            <w:pPr>
              <w:autoSpaceDE w:val="0"/>
              <w:autoSpaceDN w:val="0"/>
              <w:spacing w:line="240" w:lineRule="auto"/>
              <w:jc w:val="center"/>
              <w:rPr>
                <w:rFonts w:hint="eastAsia" w:ascii="宋体" w:hAnsi="宋体" w:eastAsia="宋体" w:cs="宋体"/>
                <w:color w:val="auto"/>
                <w:kern w:val="0"/>
                <w:sz w:val="24"/>
                <w:szCs w:val="24"/>
                <w:highlight w:val="none"/>
              </w:rPr>
            </w:pPr>
          </w:p>
        </w:tc>
      </w:tr>
      <w:tr w14:paraId="55210912">
        <w:tblPrEx>
          <w:tblCellMar>
            <w:top w:w="0" w:type="dxa"/>
            <w:left w:w="0" w:type="dxa"/>
            <w:bottom w:w="0" w:type="dxa"/>
            <w:right w:w="0" w:type="dxa"/>
          </w:tblCellMar>
        </w:tblPrEx>
        <w:trPr>
          <w:trHeight w:val="1193" w:hRule="atLeast"/>
          <w:jc w:val="center"/>
        </w:trPr>
        <w:tc>
          <w:tcPr>
            <w:tcW w:w="2166" w:type="dxa"/>
            <w:tcBorders>
              <w:top w:val="single" w:color="auto" w:sz="4" w:space="0"/>
              <w:left w:val="single" w:color="auto" w:sz="4" w:space="0"/>
              <w:bottom w:val="single" w:color="auto" w:sz="4" w:space="0"/>
              <w:right w:val="single" w:color="auto" w:sz="4" w:space="0"/>
            </w:tcBorders>
            <w:noWrap w:val="0"/>
            <w:vAlign w:val="center"/>
          </w:tcPr>
          <w:p w14:paraId="19C33D0A">
            <w:pPr>
              <w:autoSpaceDE w:val="0"/>
              <w:autoSpaceDN w:val="0"/>
              <w:spacing w:line="240" w:lineRule="auto"/>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磋商报价</w:t>
            </w:r>
          </w:p>
        </w:tc>
        <w:tc>
          <w:tcPr>
            <w:tcW w:w="6313" w:type="dxa"/>
            <w:tcBorders>
              <w:top w:val="single" w:color="auto" w:sz="4" w:space="0"/>
              <w:left w:val="nil"/>
              <w:bottom w:val="single" w:color="auto" w:sz="4" w:space="0"/>
              <w:right w:val="single" w:color="auto" w:sz="4" w:space="0"/>
            </w:tcBorders>
            <w:noWrap w:val="0"/>
            <w:vAlign w:val="center"/>
          </w:tcPr>
          <w:p w14:paraId="28F7104A">
            <w:pPr>
              <w:autoSpaceDE w:val="0"/>
              <w:autoSpaceDN w:val="0"/>
              <w:spacing w:line="24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人民币（大写）：</w:t>
            </w:r>
            <w:r>
              <w:rPr>
                <w:rFonts w:hint="eastAsia" w:ascii="宋体" w:hAnsi="宋体" w:eastAsia="宋体" w:cs="宋体"/>
                <w:color w:val="auto"/>
                <w:kern w:val="0"/>
                <w:sz w:val="24"/>
                <w:szCs w:val="24"/>
                <w:highlight w:val="none"/>
                <w:u w:val="single"/>
              </w:rPr>
              <w:t xml:space="preserve">     </w:t>
            </w:r>
          </w:p>
          <w:p w14:paraId="5E0EACB5">
            <w:pPr>
              <w:autoSpaceDE w:val="0"/>
              <w:autoSpaceDN w:val="0"/>
              <w:spacing w:line="240" w:lineRule="auto"/>
              <w:ind w:firstLine="720" w:firstLineChars="300"/>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（小写）：</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元</w:t>
            </w:r>
          </w:p>
        </w:tc>
      </w:tr>
      <w:tr w14:paraId="35BE5F21">
        <w:tblPrEx>
          <w:tblCellMar>
            <w:top w:w="0" w:type="dxa"/>
            <w:left w:w="0" w:type="dxa"/>
            <w:bottom w:w="0" w:type="dxa"/>
            <w:right w:w="0" w:type="dxa"/>
          </w:tblCellMar>
        </w:tblPrEx>
        <w:trPr>
          <w:trHeight w:val="1193" w:hRule="atLeast"/>
          <w:jc w:val="center"/>
        </w:trPr>
        <w:tc>
          <w:tcPr>
            <w:tcW w:w="2166" w:type="dxa"/>
            <w:tcBorders>
              <w:top w:val="single" w:color="auto" w:sz="4" w:space="0"/>
              <w:left w:val="single" w:color="auto" w:sz="4" w:space="0"/>
              <w:bottom w:val="single" w:color="auto" w:sz="4" w:space="0"/>
              <w:right w:val="single" w:color="auto" w:sz="4" w:space="0"/>
            </w:tcBorders>
            <w:noWrap w:val="0"/>
            <w:vAlign w:val="center"/>
          </w:tcPr>
          <w:p w14:paraId="0BF69016">
            <w:pPr>
              <w:autoSpaceDE w:val="0"/>
              <w:autoSpaceDN w:val="0"/>
              <w:spacing w:line="240" w:lineRule="auto"/>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质量要求</w:t>
            </w:r>
          </w:p>
        </w:tc>
        <w:tc>
          <w:tcPr>
            <w:tcW w:w="6313" w:type="dxa"/>
            <w:tcBorders>
              <w:top w:val="single" w:color="auto" w:sz="4" w:space="0"/>
              <w:left w:val="nil"/>
              <w:bottom w:val="single" w:color="auto" w:sz="4" w:space="0"/>
              <w:right w:val="single" w:color="auto" w:sz="4" w:space="0"/>
            </w:tcBorders>
            <w:noWrap w:val="0"/>
            <w:vAlign w:val="center"/>
          </w:tcPr>
          <w:p w14:paraId="3DF8B84B">
            <w:pPr>
              <w:autoSpaceDE w:val="0"/>
              <w:autoSpaceDN w:val="0"/>
              <w:spacing w:line="240" w:lineRule="auto"/>
              <w:ind w:firstLine="120" w:firstLineChars="50"/>
              <w:rPr>
                <w:rFonts w:hint="eastAsia" w:ascii="宋体" w:hAnsi="宋体" w:eastAsia="宋体" w:cs="宋体"/>
                <w:color w:val="auto"/>
                <w:kern w:val="0"/>
                <w:sz w:val="24"/>
                <w:szCs w:val="24"/>
                <w:highlight w:val="none"/>
              </w:rPr>
            </w:pPr>
          </w:p>
        </w:tc>
      </w:tr>
      <w:tr w14:paraId="33C81048">
        <w:tblPrEx>
          <w:tblCellMar>
            <w:top w:w="0" w:type="dxa"/>
            <w:left w:w="0" w:type="dxa"/>
            <w:bottom w:w="0" w:type="dxa"/>
            <w:right w:w="0" w:type="dxa"/>
          </w:tblCellMar>
        </w:tblPrEx>
        <w:trPr>
          <w:trHeight w:val="1193" w:hRule="atLeast"/>
          <w:jc w:val="center"/>
        </w:trPr>
        <w:tc>
          <w:tcPr>
            <w:tcW w:w="2166" w:type="dxa"/>
            <w:tcBorders>
              <w:top w:val="single" w:color="auto" w:sz="4" w:space="0"/>
              <w:left w:val="single" w:color="auto" w:sz="4" w:space="0"/>
              <w:bottom w:val="single" w:color="auto" w:sz="4" w:space="0"/>
              <w:right w:val="single" w:color="auto" w:sz="4" w:space="0"/>
            </w:tcBorders>
            <w:noWrap w:val="0"/>
            <w:vAlign w:val="center"/>
          </w:tcPr>
          <w:p w14:paraId="0C0487D9">
            <w:pPr>
              <w:autoSpaceDE w:val="0"/>
              <w:autoSpaceDN w:val="0"/>
              <w:spacing w:line="240"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服务期限</w:t>
            </w:r>
          </w:p>
        </w:tc>
        <w:tc>
          <w:tcPr>
            <w:tcW w:w="6313" w:type="dxa"/>
            <w:tcBorders>
              <w:top w:val="single" w:color="auto" w:sz="4" w:space="0"/>
              <w:left w:val="nil"/>
              <w:bottom w:val="single" w:color="auto" w:sz="4" w:space="0"/>
              <w:right w:val="single" w:color="auto" w:sz="4" w:space="0"/>
            </w:tcBorders>
            <w:noWrap w:val="0"/>
            <w:vAlign w:val="center"/>
          </w:tcPr>
          <w:p w14:paraId="42E8BE3E">
            <w:pPr>
              <w:autoSpaceDE w:val="0"/>
              <w:autoSpaceDN w:val="0"/>
              <w:spacing w:line="240" w:lineRule="auto"/>
              <w:jc w:val="center"/>
              <w:rPr>
                <w:rFonts w:hint="eastAsia" w:ascii="宋体" w:hAnsi="宋体" w:eastAsia="宋体" w:cs="宋体"/>
                <w:color w:val="auto"/>
                <w:kern w:val="0"/>
                <w:sz w:val="24"/>
                <w:szCs w:val="24"/>
                <w:highlight w:val="none"/>
              </w:rPr>
            </w:pPr>
          </w:p>
        </w:tc>
      </w:tr>
      <w:tr w14:paraId="593B6020">
        <w:tblPrEx>
          <w:tblCellMar>
            <w:top w:w="0" w:type="dxa"/>
            <w:left w:w="0" w:type="dxa"/>
            <w:bottom w:w="0" w:type="dxa"/>
            <w:right w:w="0" w:type="dxa"/>
          </w:tblCellMar>
        </w:tblPrEx>
        <w:trPr>
          <w:trHeight w:val="1207" w:hRule="atLeast"/>
          <w:jc w:val="center"/>
        </w:trPr>
        <w:tc>
          <w:tcPr>
            <w:tcW w:w="2166" w:type="dxa"/>
            <w:tcBorders>
              <w:top w:val="single" w:color="auto" w:sz="4" w:space="0"/>
              <w:left w:val="single" w:color="auto" w:sz="4" w:space="0"/>
              <w:bottom w:val="single" w:color="auto" w:sz="4" w:space="0"/>
              <w:right w:val="single" w:color="auto" w:sz="4" w:space="0"/>
            </w:tcBorders>
            <w:noWrap w:val="0"/>
            <w:vAlign w:val="center"/>
          </w:tcPr>
          <w:p w14:paraId="46D9A244">
            <w:pPr>
              <w:autoSpaceDE w:val="0"/>
              <w:autoSpaceDN w:val="0"/>
              <w:spacing w:line="240"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备注</w:t>
            </w:r>
          </w:p>
        </w:tc>
        <w:tc>
          <w:tcPr>
            <w:tcW w:w="6313" w:type="dxa"/>
            <w:tcBorders>
              <w:top w:val="single" w:color="auto" w:sz="4" w:space="0"/>
              <w:left w:val="nil"/>
              <w:bottom w:val="single" w:color="auto" w:sz="4" w:space="0"/>
              <w:right w:val="single" w:color="auto" w:sz="4" w:space="0"/>
            </w:tcBorders>
            <w:noWrap w:val="0"/>
            <w:vAlign w:val="center"/>
          </w:tcPr>
          <w:p w14:paraId="6680167A">
            <w:pPr>
              <w:autoSpaceDE w:val="0"/>
              <w:autoSpaceDN w:val="0"/>
              <w:spacing w:line="240" w:lineRule="auto"/>
              <w:jc w:val="center"/>
              <w:rPr>
                <w:rFonts w:hint="eastAsia" w:ascii="宋体" w:hAnsi="宋体" w:eastAsia="宋体" w:cs="宋体"/>
                <w:color w:val="auto"/>
                <w:kern w:val="0"/>
                <w:sz w:val="24"/>
                <w:szCs w:val="24"/>
                <w:highlight w:val="none"/>
              </w:rPr>
            </w:pPr>
          </w:p>
        </w:tc>
      </w:tr>
    </w:tbl>
    <w:p w14:paraId="3F2AE8DA">
      <w:pPr>
        <w:spacing w:line="24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注：1、投标报价仅且只有一个有效报价，不得出现两个及以上报价，否则作废标处理。</w:t>
      </w:r>
    </w:p>
    <w:p w14:paraId="37952C4E">
      <w:pPr>
        <w:spacing w:line="240" w:lineRule="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2、此处为第一轮报价供磋商小组在评审时参考比较，此时的最低报价并不是成交的条件。</w:t>
      </w:r>
    </w:p>
    <w:p w14:paraId="6064A479">
      <w:pPr>
        <w:autoSpaceDE w:val="0"/>
        <w:autoSpaceDN w:val="0"/>
        <w:adjustRightInd w:val="0"/>
        <w:spacing w:line="240" w:lineRule="auto"/>
        <w:rPr>
          <w:rFonts w:hint="eastAsia" w:ascii="宋体" w:hAnsi="宋体" w:eastAsia="宋体" w:cs="宋体"/>
          <w:color w:val="auto"/>
          <w:kern w:val="0"/>
          <w:sz w:val="28"/>
          <w:szCs w:val="28"/>
          <w:highlight w:val="none"/>
        </w:rPr>
      </w:pPr>
    </w:p>
    <w:p w14:paraId="69A3BCA6">
      <w:pPr>
        <w:widowControl/>
        <w:adjustRightInd w:val="0"/>
        <w:spacing w:line="360" w:lineRule="auto"/>
        <w:jc w:val="both"/>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（电子签章）</w:t>
      </w:r>
    </w:p>
    <w:p w14:paraId="151DF218">
      <w:pPr>
        <w:widowControl/>
        <w:adjustRightInd w:val="0"/>
        <w:spacing w:line="360" w:lineRule="auto"/>
        <w:jc w:val="both"/>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法定代表人或其委托代理人：</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（电子签章）</w:t>
      </w:r>
    </w:p>
    <w:p w14:paraId="4FA0DFE1">
      <w:pPr>
        <w:widowControl/>
        <w:adjustRightInd w:val="0"/>
        <w:spacing w:line="360" w:lineRule="auto"/>
        <w:jc w:val="both"/>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日期：</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月</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日</w:t>
      </w:r>
    </w:p>
    <w:p w14:paraId="29900B04">
      <w:pPr>
        <w:pStyle w:val="22"/>
        <w:spacing w:line="240" w:lineRule="auto"/>
        <w:ind w:left="0"/>
        <w:jc w:val="center"/>
        <w:outlineLvl w:val="0"/>
        <w:rPr>
          <w:rFonts w:hint="eastAsia" w:ascii="宋体" w:hAnsi="宋体" w:eastAsia="宋体" w:cs="宋体"/>
          <w:color w:val="auto"/>
          <w:szCs w:val="28"/>
          <w:highlight w:val="none"/>
        </w:rPr>
      </w:pPr>
      <w:r>
        <w:rPr>
          <w:rFonts w:hint="eastAsia" w:ascii="宋体" w:hAnsi="宋体" w:eastAsia="宋体" w:cs="宋体"/>
          <w:color w:val="auto"/>
          <w:sz w:val="28"/>
          <w:szCs w:val="28"/>
          <w:highlight w:val="none"/>
        </w:rPr>
        <w:br w:type="page"/>
      </w:r>
      <w:bookmarkStart w:id="42" w:name="_Toc77586970"/>
      <w:bookmarkStart w:id="43" w:name="_Toc77586872"/>
      <w:bookmarkStart w:id="44" w:name="_Toc1781"/>
      <w:r>
        <w:rPr>
          <w:rFonts w:hint="eastAsia" w:ascii="宋体" w:hAnsi="宋体" w:eastAsia="宋体" w:cs="宋体"/>
          <w:color w:val="auto"/>
          <w:highlight w:val="none"/>
        </w:rPr>
        <w:t>三、</w:t>
      </w:r>
      <w:bookmarkEnd w:id="42"/>
      <w:bookmarkEnd w:id="43"/>
      <w:r>
        <w:rPr>
          <w:rFonts w:hint="eastAsia" w:ascii="宋体" w:hAnsi="宋体" w:eastAsia="宋体" w:cs="宋体"/>
          <w:color w:val="auto"/>
          <w:highlight w:val="none"/>
        </w:rPr>
        <w:t>法定代表人身份证明及授权委托书</w:t>
      </w:r>
      <w:bookmarkEnd w:id="44"/>
    </w:p>
    <w:p w14:paraId="6A98CF27">
      <w:pPr>
        <w:spacing w:line="360" w:lineRule="auto"/>
        <w:ind w:firstLine="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（一）法定代表人身份证明</w:t>
      </w:r>
    </w:p>
    <w:p w14:paraId="52AE8012">
      <w:pPr>
        <w:spacing w:line="440" w:lineRule="exact"/>
        <w:rPr>
          <w:rFonts w:hint="eastAsia" w:ascii="宋体" w:hAnsi="宋体" w:eastAsia="宋体" w:cs="宋体"/>
          <w:color w:val="auto"/>
          <w:sz w:val="24"/>
          <w:szCs w:val="24"/>
          <w:highlight w:val="none"/>
        </w:rPr>
      </w:pPr>
    </w:p>
    <w:p w14:paraId="731CDFEB">
      <w:pPr>
        <w:spacing w:line="440" w:lineRule="exact"/>
        <w:ind w:left="424" w:left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投标人名称：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0A7CF85E">
      <w:pPr>
        <w:spacing w:line="440" w:lineRule="exact"/>
        <w:ind w:left="424" w:left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单位性质：</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6894A588">
      <w:pPr>
        <w:spacing w:line="440" w:lineRule="exact"/>
        <w:ind w:left="424" w:left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r>
        <w:rPr>
          <w:rFonts w:hint="eastAsia" w:ascii="宋体" w:hAnsi="宋体" w:eastAsia="宋体" w:cs="宋体"/>
          <w:color w:val="auto"/>
          <w:sz w:val="24"/>
          <w:szCs w:val="24"/>
          <w:highlight w:val="none"/>
          <w:u w:val="single"/>
        </w:rPr>
        <w:t xml:space="preserve">                                   </w:t>
      </w:r>
    </w:p>
    <w:p w14:paraId="73211A86">
      <w:pPr>
        <w:spacing w:line="440" w:lineRule="exact"/>
        <w:ind w:left="424" w:left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成立时间：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0137744D">
      <w:pPr>
        <w:spacing w:line="440" w:lineRule="exact"/>
        <w:ind w:left="424" w:left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经营期限：</w:t>
      </w:r>
      <w:r>
        <w:rPr>
          <w:rFonts w:hint="eastAsia" w:ascii="宋体" w:hAnsi="宋体" w:eastAsia="宋体" w:cs="宋体"/>
          <w:color w:val="auto"/>
          <w:sz w:val="24"/>
          <w:szCs w:val="24"/>
          <w:highlight w:val="none"/>
          <w:u w:val="single"/>
        </w:rPr>
        <w:t xml:space="preserve">                               </w:t>
      </w:r>
    </w:p>
    <w:p w14:paraId="45E340C4">
      <w:pPr>
        <w:spacing w:line="440" w:lineRule="exact"/>
        <w:ind w:left="424" w:left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姓名：</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性别：</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年龄：</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职务：</w:t>
      </w:r>
      <w:r>
        <w:rPr>
          <w:rFonts w:hint="eastAsia" w:ascii="宋体" w:hAnsi="宋体" w:eastAsia="宋体" w:cs="宋体"/>
          <w:color w:val="auto"/>
          <w:sz w:val="24"/>
          <w:szCs w:val="24"/>
          <w:highlight w:val="none"/>
          <w:u w:val="single"/>
        </w:rPr>
        <w:t xml:space="preserve">        </w:t>
      </w:r>
    </w:p>
    <w:p w14:paraId="25DAF28C">
      <w:pPr>
        <w:spacing w:line="440" w:lineRule="exact"/>
        <w:ind w:left="424" w:leftChars="2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系</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（投标人名称）的法定代表人。</w:t>
      </w:r>
    </w:p>
    <w:p w14:paraId="51853A0C">
      <w:pPr>
        <w:spacing w:line="440" w:lineRule="exact"/>
        <w:ind w:left="424" w:leftChars="202" w:firstLine="480" w:firstLineChars="200"/>
        <w:rPr>
          <w:rFonts w:hint="eastAsia" w:ascii="宋体" w:hAnsi="宋体" w:eastAsia="宋体" w:cs="宋体"/>
          <w:color w:val="auto"/>
          <w:sz w:val="24"/>
          <w:szCs w:val="24"/>
          <w:highlight w:val="none"/>
        </w:rPr>
      </w:pPr>
    </w:p>
    <w:p w14:paraId="5C2B965E">
      <w:pPr>
        <w:spacing w:line="440" w:lineRule="exact"/>
        <w:ind w:left="424" w:leftChars="202"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特此证明。</w:t>
      </w:r>
    </w:p>
    <w:p w14:paraId="460E1DC2">
      <w:pPr>
        <w:rPr>
          <w:rFonts w:hint="eastAsia" w:ascii="宋体" w:hAnsi="宋体" w:eastAsia="宋体" w:cs="宋体"/>
          <w:color w:val="auto"/>
          <w:highlight w:val="none"/>
        </w:rPr>
      </w:pPr>
    </w:p>
    <w:p w14:paraId="3E9E6C51">
      <w:pPr>
        <w:snapToGrid w:val="0"/>
        <w:rPr>
          <w:rFonts w:hint="eastAsia" w:ascii="宋体" w:hAnsi="宋体" w:eastAsia="宋体" w:cs="宋体"/>
          <w:b/>
          <w:color w:val="auto"/>
          <w:kern w:val="10"/>
          <w:sz w:val="24"/>
          <w:szCs w:val="24"/>
          <w:highlight w:val="none"/>
        </w:rPr>
      </w:pPr>
      <w:r>
        <w:rPr>
          <w:rFonts w:hint="eastAsia" w:ascii="宋体" w:hAnsi="宋体" w:eastAsia="宋体" w:cs="宋体"/>
          <w:b/>
          <w:color w:val="auto"/>
          <w:kern w:val="10"/>
          <w:sz w:val="24"/>
          <w:szCs w:val="24"/>
          <w:highlight w:val="none"/>
        </w:rPr>
        <w:t>附：（法定代表人身份证正反面原件扫描件）</w:t>
      </w:r>
    </w:p>
    <w:p w14:paraId="396FAD66">
      <w:pPr>
        <w:spacing w:line="440" w:lineRule="exact"/>
        <w:rPr>
          <w:rFonts w:hint="eastAsia" w:ascii="宋体" w:hAnsi="宋体" w:eastAsia="宋体" w:cs="宋体"/>
          <w:color w:val="auto"/>
          <w:sz w:val="24"/>
          <w:szCs w:val="24"/>
          <w:highlight w:val="none"/>
        </w:rPr>
      </w:pPr>
    </w:p>
    <w:p w14:paraId="7B3A963B">
      <w:pPr>
        <w:spacing w:line="440" w:lineRule="exact"/>
        <w:rPr>
          <w:rFonts w:hint="eastAsia" w:ascii="宋体" w:hAnsi="宋体" w:eastAsia="宋体" w:cs="宋体"/>
          <w:color w:val="auto"/>
          <w:sz w:val="24"/>
          <w:szCs w:val="24"/>
          <w:highlight w:val="none"/>
        </w:rPr>
      </w:pPr>
    </w:p>
    <w:p w14:paraId="775327F6">
      <w:pPr>
        <w:spacing w:line="48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（电子签章）</w:t>
      </w:r>
    </w:p>
    <w:p w14:paraId="01FAA983">
      <w:pPr>
        <w:spacing w:line="48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日    </w:t>
      </w:r>
    </w:p>
    <w:p w14:paraId="75F6E903">
      <w:pPr>
        <w:spacing w:line="360" w:lineRule="auto"/>
        <w:jc w:val="center"/>
        <w:rPr>
          <w:rFonts w:hint="eastAsia" w:ascii="宋体" w:hAnsi="宋体" w:eastAsia="宋体" w:cs="宋体"/>
          <w:color w:val="auto"/>
          <w:highlight w:val="none"/>
        </w:rPr>
      </w:pPr>
      <w:r>
        <w:rPr>
          <w:rFonts w:hint="eastAsia" w:ascii="宋体" w:hAnsi="宋体" w:eastAsia="宋体" w:cs="宋体"/>
          <w:bCs/>
          <w:color w:val="auto"/>
          <w:sz w:val="32"/>
          <w:szCs w:val="28"/>
          <w:highlight w:val="none"/>
        </w:rPr>
        <w:br w:type="page"/>
      </w:r>
      <w:r>
        <w:rPr>
          <w:rFonts w:hint="eastAsia" w:ascii="宋体" w:hAnsi="宋体" w:eastAsia="宋体" w:cs="宋体"/>
          <w:b/>
          <w:bCs/>
          <w:color w:val="auto"/>
          <w:kern w:val="44"/>
          <w:sz w:val="24"/>
          <w:szCs w:val="24"/>
          <w:highlight w:val="none"/>
        </w:rPr>
        <w:t>（二）授权委托书</w:t>
      </w:r>
    </w:p>
    <w:p w14:paraId="196B1B08">
      <w:pPr>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（姓名）系</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（投标人名称）的法定代表人，现委托</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（姓名）为我方代理人。代理人根据授权，以我方名义签署、澄清、说明、补正、递交、撤回、修改</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（项目名称）投标文件、签订合同和处理有关事宜，其法律后果由我方承担。</w:t>
      </w:r>
    </w:p>
    <w:p w14:paraId="4D74738E">
      <w:pPr>
        <w:pStyle w:val="15"/>
        <w:rPr>
          <w:rFonts w:hint="eastAsia" w:ascii="宋体" w:hAnsi="宋体" w:eastAsia="宋体" w:cs="宋体"/>
          <w:color w:val="auto"/>
          <w:highlight w:val="none"/>
        </w:rPr>
      </w:pPr>
    </w:p>
    <w:p w14:paraId="5F9E6C3A">
      <w:pPr>
        <w:pStyle w:val="15"/>
        <w:rPr>
          <w:rFonts w:hint="eastAsia" w:ascii="宋体" w:hAnsi="宋体" w:eastAsia="宋体" w:cs="宋体"/>
          <w:color w:val="auto"/>
          <w:highlight w:val="none"/>
        </w:rPr>
      </w:pPr>
      <w:r>
        <w:rPr>
          <w:rFonts w:hint="eastAsia" w:ascii="宋体" w:hAnsi="宋体" w:eastAsia="宋体" w:cs="宋体"/>
          <w:color w:val="auto"/>
          <w:sz w:val="24"/>
          <w:szCs w:val="24"/>
          <w:highlight w:val="none"/>
        </w:rPr>
        <w:t>委托期限：</w:t>
      </w:r>
      <w:r>
        <w:rPr>
          <w:rFonts w:hint="eastAsia" w:ascii="宋体" w:hAnsi="宋体" w:eastAsia="宋体" w:cs="宋体"/>
          <w:color w:val="auto"/>
          <w:sz w:val="24"/>
          <w:szCs w:val="24"/>
          <w:highlight w:val="none"/>
          <w:u w:val="single"/>
        </w:rPr>
        <w:t xml:space="preserve">                       。</w:t>
      </w:r>
    </w:p>
    <w:p w14:paraId="49791D86">
      <w:pPr>
        <w:spacing w:before="312" w:beforeLines="100" w:after="312" w:afterLines="10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代理人无转委托权。</w:t>
      </w:r>
    </w:p>
    <w:p w14:paraId="4FDC3BF6">
      <w:pPr>
        <w:spacing w:after="312" w:afterLines="10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附：法定代表人身份证及授权委托代理人身份证正反面原件扫描件</w:t>
      </w:r>
    </w:p>
    <w:p w14:paraId="30ECEA1F">
      <w:pPr>
        <w:spacing w:line="48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147E793C">
      <w:pPr>
        <w:spacing w:line="440" w:lineRule="exact"/>
        <w:ind w:firstLine="2700" w:firstLineChars="1125"/>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（电子签章）</w:t>
      </w:r>
    </w:p>
    <w:p w14:paraId="18800D40">
      <w:pPr>
        <w:spacing w:line="440" w:lineRule="exact"/>
        <w:ind w:firstLine="2700" w:firstLineChars="112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511EFFCD">
      <w:pPr>
        <w:spacing w:line="440" w:lineRule="exact"/>
        <w:ind w:firstLine="2700" w:firstLineChars="112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kern w:val="0"/>
          <w:sz w:val="22"/>
          <w:szCs w:val="22"/>
          <w:highlight w:val="none"/>
        </w:rPr>
        <w:t>电子签章</w:t>
      </w:r>
      <w:r>
        <w:rPr>
          <w:rFonts w:hint="eastAsia" w:ascii="宋体" w:hAnsi="宋体" w:eastAsia="宋体" w:cs="宋体"/>
          <w:color w:val="auto"/>
          <w:sz w:val="24"/>
          <w:szCs w:val="24"/>
          <w:highlight w:val="none"/>
        </w:rPr>
        <w:t>）</w:t>
      </w:r>
    </w:p>
    <w:p w14:paraId="3172A65B">
      <w:pPr>
        <w:spacing w:line="440" w:lineRule="exact"/>
        <w:ind w:firstLine="2700" w:firstLineChars="112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381938CF">
      <w:pPr>
        <w:spacing w:line="440" w:lineRule="exact"/>
        <w:ind w:firstLine="2700" w:firstLineChars="112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委托代理人：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kern w:val="0"/>
          <w:sz w:val="22"/>
          <w:szCs w:val="22"/>
          <w:highlight w:val="none"/>
        </w:rPr>
        <w:t>（</w:t>
      </w:r>
      <w:r>
        <w:rPr>
          <w:rFonts w:hint="eastAsia" w:ascii="宋体" w:hAnsi="宋体" w:eastAsia="宋体" w:cs="宋体"/>
          <w:color w:val="auto"/>
          <w:kern w:val="0"/>
          <w:sz w:val="22"/>
          <w:szCs w:val="22"/>
          <w:highlight w:val="none"/>
          <w:lang w:val="en-US" w:eastAsia="zh-CN"/>
        </w:rPr>
        <w:t>签字或盖章</w:t>
      </w:r>
      <w:r>
        <w:rPr>
          <w:rFonts w:hint="eastAsia" w:ascii="宋体" w:hAnsi="宋体" w:eastAsia="宋体" w:cs="宋体"/>
          <w:color w:val="auto"/>
          <w:kern w:val="0"/>
          <w:sz w:val="22"/>
          <w:szCs w:val="22"/>
          <w:highlight w:val="none"/>
        </w:rPr>
        <w:t>）</w:t>
      </w:r>
    </w:p>
    <w:p w14:paraId="6539B2FC">
      <w:pPr>
        <w:spacing w:line="440" w:lineRule="exact"/>
        <w:ind w:firstLine="2700" w:firstLineChars="112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1BF66FB6">
      <w:pPr>
        <w:spacing w:line="440" w:lineRule="exact"/>
        <w:ind w:firstLine="2700" w:firstLineChars="112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u w:val="single"/>
        </w:rPr>
        <w:t xml:space="preserve">                  </w:t>
      </w:r>
    </w:p>
    <w:p w14:paraId="7C5BACC5">
      <w:pPr>
        <w:spacing w:line="440" w:lineRule="exact"/>
        <w:ind w:firstLine="2700" w:firstLineChars="1125"/>
        <w:rPr>
          <w:rFonts w:hint="eastAsia" w:ascii="宋体" w:hAnsi="宋体" w:eastAsia="宋体" w:cs="宋体"/>
          <w:color w:val="auto"/>
          <w:sz w:val="24"/>
          <w:szCs w:val="24"/>
          <w:highlight w:val="none"/>
        </w:rPr>
      </w:pPr>
    </w:p>
    <w:p w14:paraId="0F5206E1">
      <w:pPr>
        <w:spacing w:line="440" w:lineRule="exact"/>
        <w:ind w:firstLine="2700" w:firstLineChars="112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2BE1541E">
      <w:pPr>
        <w:spacing w:line="48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注：因投标文件中授权委托书授权代理人无法手写签字及盖章，可以以印刷体代替（印刷体为电脑打出的字体）。</w:t>
      </w:r>
    </w:p>
    <w:p w14:paraId="58268EAC">
      <w:pPr>
        <w:pStyle w:val="4"/>
        <w:spacing w:line="240" w:lineRule="auto"/>
        <w:ind w:left="892" w:right="909"/>
        <w:jc w:val="center"/>
        <w:rPr>
          <w:rFonts w:hint="eastAsia" w:ascii="宋体" w:hAnsi="宋体" w:eastAsia="宋体" w:cs="宋体"/>
          <w:color w:val="auto"/>
          <w:sz w:val="28"/>
          <w:szCs w:val="28"/>
          <w:highlight w:val="none"/>
        </w:rPr>
      </w:pPr>
    </w:p>
    <w:p w14:paraId="309F7251">
      <w:pPr>
        <w:spacing w:line="240" w:lineRule="auto"/>
        <w:ind w:firstLine="0" w:firstLineChars="0"/>
        <w:jc w:val="center"/>
        <w:rPr>
          <w:rFonts w:hint="eastAsia" w:ascii="宋体" w:hAnsi="宋体" w:eastAsia="宋体" w:cs="宋体"/>
          <w:bCs/>
          <w:color w:val="auto"/>
          <w:kern w:val="0"/>
          <w:sz w:val="28"/>
          <w:szCs w:val="28"/>
          <w:highlight w:val="none"/>
        </w:rPr>
      </w:pPr>
      <w:r>
        <w:rPr>
          <w:rFonts w:hint="eastAsia" w:ascii="宋体" w:hAnsi="宋体" w:eastAsia="宋体" w:cs="宋体"/>
          <w:bCs/>
          <w:color w:val="auto"/>
          <w:sz w:val="28"/>
          <w:szCs w:val="28"/>
          <w:highlight w:val="none"/>
        </w:rPr>
        <w:br w:type="page"/>
      </w:r>
      <w:r>
        <w:rPr>
          <w:rFonts w:hint="eastAsia" w:ascii="宋体" w:hAnsi="宋体" w:eastAsia="宋体" w:cs="宋体"/>
          <w:color w:val="auto"/>
          <w:sz w:val="28"/>
          <w:szCs w:val="28"/>
          <w:highlight w:val="none"/>
        </w:rPr>
        <w:t>四、投标承诺函</w:t>
      </w:r>
    </w:p>
    <w:p w14:paraId="70ABD951">
      <w:pPr>
        <w:spacing w:line="360" w:lineRule="auto"/>
        <w:rPr>
          <w:rFonts w:hint="eastAsia" w:ascii="宋体" w:hAnsi="宋体" w:eastAsia="宋体" w:cs="宋体"/>
          <w:color w:val="auto"/>
          <w:sz w:val="24"/>
          <w:szCs w:val="24"/>
          <w:highlight w:val="none"/>
        </w:rPr>
      </w:pPr>
    </w:p>
    <w:p w14:paraId="105F21FE">
      <w:pPr>
        <w:spacing w:line="360" w:lineRule="auto"/>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u w:val="single"/>
        </w:rPr>
        <w:t>（采购人名称/代理机构名称）</w:t>
      </w:r>
      <w:r>
        <w:rPr>
          <w:rFonts w:hint="eastAsia" w:ascii="宋体" w:hAnsi="宋体" w:eastAsia="宋体" w:cs="宋体"/>
          <w:b/>
          <w:color w:val="auto"/>
          <w:sz w:val="24"/>
          <w:szCs w:val="24"/>
          <w:highlight w:val="none"/>
          <w:u w:val="single"/>
        </w:rPr>
        <w:t xml:space="preserve">  </w:t>
      </w:r>
    </w:p>
    <w:p w14:paraId="028DD382">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我公司在参加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项目的磋商活动中，郑重承诺如下：：</w:t>
      </w:r>
    </w:p>
    <w:p w14:paraId="071B31D1">
      <w:pPr>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1.我方完全接受和满足本项目竞争性磋商文件中规定的实质性要求，不存在对竞争性磋商文件有异议的同时参加本次采购活动。</w:t>
      </w:r>
    </w:p>
    <w:p w14:paraId="71BD4FAB">
      <w:pPr>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2.参加本次采购活动，不存在与单位负责人为同一人或者存在直接控股、管理关系的其他供应商参与同一合同项下的政府采购活动的行为。</w:t>
      </w:r>
    </w:p>
    <w:p w14:paraId="57866F3E">
      <w:pPr>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3.我方参加政府采购活动无商业贿赂和不正当竞争行为。</w:t>
      </w:r>
    </w:p>
    <w:p w14:paraId="279F9743">
      <w:pPr>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4.存在以下行为之一的愿意接受相关部门的处理：</w:t>
      </w:r>
    </w:p>
    <w:p w14:paraId="5F84AB15">
      <w:pPr>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（1）磋商有效期内撤回投标文件的；</w:t>
      </w:r>
    </w:p>
    <w:p w14:paraId="0AD3901B">
      <w:pPr>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（2）在采购人确定成交供应商以前放弃成交候选资格的；</w:t>
      </w:r>
    </w:p>
    <w:p w14:paraId="1CF6E132">
      <w:pPr>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（3）除不可抗力的因素外，由于成交供应商的原因未能按照竞争性磋商文件的规定与采购人签订合同；</w:t>
      </w:r>
    </w:p>
    <w:p w14:paraId="219A6937">
      <w:pPr>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（4）在竞争性磋商文件中提供虚假材料谋取成交；</w:t>
      </w:r>
    </w:p>
    <w:p w14:paraId="0685C88F">
      <w:pPr>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（5）与采购人、其他供应商或者采购代理机构恶意串通的；</w:t>
      </w:r>
    </w:p>
    <w:p w14:paraId="6B2205D7">
      <w:pPr>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（6）投标有效期内，磋商响应供应商在政府采购活动中有违法、违规、违纪行为。</w:t>
      </w:r>
    </w:p>
    <w:p w14:paraId="40AAC0A9">
      <w:pPr>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由此产生的一切法律后果和责任由我公司承担。我公司声明放弃对此提出任何异议和追索的权利。</w:t>
      </w:r>
    </w:p>
    <w:p w14:paraId="414F62D0">
      <w:pPr>
        <w:spacing w:line="360" w:lineRule="auto"/>
        <w:ind w:firstLine="480"/>
        <w:rPr>
          <w:rFonts w:hint="eastAsia" w:ascii="宋体" w:hAnsi="宋体" w:eastAsia="宋体" w:cs="宋体"/>
          <w:b/>
          <w:bCs/>
          <w:color w:val="auto"/>
          <w:kern w:val="0"/>
          <w:sz w:val="24"/>
          <w:szCs w:val="24"/>
          <w:highlight w:val="none"/>
          <w:shd w:val="clear" w:color="auto" w:fill="FFFFFF"/>
        </w:rPr>
      </w:pPr>
      <w:r>
        <w:rPr>
          <w:rFonts w:hint="eastAsia" w:ascii="宋体" w:hAnsi="宋体" w:eastAsia="宋体" w:cs="宋体"/>
          <w:color w:val="auto"/>
          <w:sz w:val="24"/>
          <w:szCs w:val="24"/>
          <w:highlight w:val="none"/>
        </w:rPr>
        <w:t>本公司对上述承诺的内容事项真实性负责。如经查实上述承诺的内容事项存在虚假，我公司愿意接受以提供虚假材料谋取成交追究法律责任。</w:t>
      </w:r>
    </w:p>
    <w:p w14:paraId="4791D6D7">
      <w:pPr>
        <w:spacing w:line="360" w:lineRule="auto"/>
        <w:jc w:val="center"/>
        <w:rPr>
          <w:rFonts w:hint="eastAsia" w:ascii="宋体" w:hAnsi="宋体" w:eastAsia="宋体" w:cs="宋体"/>
          <w:b/>
          <w:bCs/>
          <w:color w:val="auto"/>
          <w:sz w:val="24"/>
          <w:szCs w:val="24"/>
          <w:highlight w:val="none"/>
        </w:rPr>
      </w:pPr>
    </w:p>
    <w:p w14:paraId="31715494">
      <w:pPr>
        <w:widowControl/>
        <w:adjustRightInd w:val="0"/>
        <w:spacing w:line="360" w:lineRule="auto"/>
        <w:jc w:val="both"/>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（电子签章）</w:t>
      </w:r>
    </w:p>
    <w:p w14:paraId="0FEA913C">
      <w:pPr>
        <w:widowControl/>
        <w:adjustRightInd w:val="0"/>
        <w:spacing w:line="360" w:lineRule="auto"/>
        <w:jc w:val="both"/>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法定代表人或其委托代理人：</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（电子签章）</w:t>
      </w:r>
    </w:p>
    <w:p w14:paraId="11AF1B90">
      <w:pPr>
        <w:widowControl/>
        <w:adjustRightInd w:val="0"/>
        <w:spacing w:line="360" w:lineRule="auto"/>
        <w:jc w:val="both"/>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日期：</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月</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日</w:t>
      </w:r>
    </w:p>
    <w:p w14:paraId="34D1C94D">
      <w:pPr>
        <w:pStyle w:val="22"/>
        <w:numPr>
          <w:ilvl w:val="0"/>
          <w:numId w:val="5"/>
        </w:numPr>
        <w:spacing w:line="360" w:lineRule="auto"/>
        <w:ind w:left="0"/>
        <w:jc w:val="center"/>
        <w:outlineLvl w:val="0"/>
        <w:rPr>
          <w:rFonts w:hint="eastAsia" w:ascii="宋体" w:hAnsi="宋体" w:eastAsia="宋体" w:cs="宋体"/>
          <w:color w:val="auto"/>
          <w:szCs w:val="28"/>
          <w:highlight w:val="none"/>
        </w:rPr>
      </w:pPr>
      <w:r>
        <w:rPr>
          <w:rFonts w:hint="eastAsia" w:ascii="宋体" w:hAnsi="宋体" w:eastAsia="宋体" w:cs="宋体"/>
          <w:bCs/>
          <w:color w:val="auto"/>
          <w:sz w:val="24"/>
          <w:szCs w:val="24"/>
          <w:highlight w:val="none"/>
        </w:rPr>
        <w:br w:type="page"/>
      </w:r>
      <w:bookmarkStart w:id="45" w:name="_Toc25743"/>
      <w:bookmarkStart w:id="46" w:name="_Toc4328_WPSOffice_Level1"/>
      <w:bookmarkStart w:id="47" w:name="_Toc30303"/>
      <w:r>
        <w:rPr>
          <w:rFonts w:hint="eastAsia" w:ascii="宋体" w:hAnsi="宋体" w:eastAsia="宋体" w:cs="宋体"/>
          <w:color w:val="auto"/>
          <w:szCs w:val="28"/>
          <w:highlight w:val="none"/>
        </w:rPr>
        <w:t>资格审查资料</w:t>
      </w:r>
      <w:bookmarkEnd w:id="45"/>
      <w:bookmarkEnd w:id="46"/>
      <w:bookmarkEnd w:id="47"/>
    </w:p>
    <w:p w14:paraId="094D4DAC">
      <w:pPr>
        <w:spacing w:line="240" w:lineRule="auto"/>
        <w:jc w:val="both"/>
        <w:rPr>
          <w:rFonts w:hint="eastAsia" w:ascii="宋体" w:hAnsi="宋体" w:eastAsia="宋体" w:cs="宋体"/>
          <w:color w:val="auto"/>
          <w:sz w:val="24"/>
          <w:szCs w:val="24"/>
          <w:highlight w:val="none"/>
        </w:rPr>
      </w:pPr>
      <w:bookmarkStart w:id="48" w:name="_Toc10295_WPSOffice_Level2"/>
      <w:r>
        <w:rPr>
          <w:rFonts w:hint="eastAsia" w:ascii="宋体" w:hAnsi="宋体" w:eastAsia="宋体" w:cs="宋体"/>
          <w:color w:val="auto"/>
          <w:sz w:val="24"/>
          <w:szCs w:val="24"/>
          <w:highlight w:val="none"/>
        </w:rPr>
        <w:t>（一）供应商基本情况表</w:t>
      </w:r>
      <w:bookmarkEnd w:id="48"/>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1"/>
        <w:gridCol w:w="973"/>
        <w:gridCol w:w="1551"/>
        <w:gridCol w:w="1119"/>
        <w:gridCol w:w="1132"/>
        <w:gridCol w:w="235"/>
        <w:gridCol w:w="1679"/>
      </w:tblGrid>
      <w:tr w14:paraId="55CE2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1731" w:type="dxa"/>
            <w:tcBorders>
              <w:top w:val="single" w:color="auto" w:sz="4" w:space="0"/>
              <w:left w:val="single" w:color="auto" w:sz="4" w:space="0"/>
              <w:bottom w:val="single" w:color="auto" w:sz="4" w:space="0"/>
              <w:right w:val="single" w:color="auto" w:sz="4" w:space="0"/>
            </w:tcBorders>
            <w:noWrap/>
            <w:vAlign w:val="center"/>
          </w:tcPr>
          <w:p w14:paraId="09FC2169">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w:t>
            </w:r>
          </w:p>
        </w:tc>
        <w:tc>
          <w:tcPr>
            <w:tcW w:w="6689" w:type="dxa"/>
            <w:gridSpan w:val="6"/>
            <w:tcBorders>
              <w:top w:val="single" w:color="auto" w:sz="4" w:space="0"/>
              <w:left w:val="single" w:color="auto" w:sz="4" w:space="0"/>
              <w:bottom w:val="single" w:color="auto" w:sz="4" w:space="0"/>
              <w:right w:val="single" w:color="auto" w:sz="4" w:space="0"/>
            </w:tcBorders>
            <w:noWrap/>
            <w:vAlign w:val="center"/>
          </w:tcPr>
          <w:p w14:paraId="2C954AED">
            <w:pPr>
              <w:spacing w:line="240" w:lineRule="auto"/>
              <w:rPr>
                <w:rFonts w:hint="eastAsia" w:ascii="宋体" w:hAnsi="宋体" w:eastAsia="宋体" w:cs="宋体"/>
                <w:color w:val="auto"/>
                <w:sz w:val="24"/>
                <w:szCs w:val="24"/>
                <w:highlight w:val="none"/>
              </w:rPr>
            </w:pPr>
          </w:p>
        </w:tc>
      </w:tr>
      <w:tr w14:paraId="65E94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731" w:type="dxa"/>
            <w:tcBorders>
              <w:top w:val="single" w:color="auto" w:sz="4" w:space="0"/>
              <w:left w:val="single" w:color="auto" w:sz="4" w:space="0"/>
              <w:bottom w:val="single" w:color="auto" w:sz="4" w:space="0"/>
              <w:right w:val="single" w:color="auto" w:sz="4" w:space="0"/>
            </w:tcBorders>
            <w:noWrap/>
            <w:vAlign w:val="center"/>
          </w:tcPr>
          <w:p w14:paraId="70B84333">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注册地址</w:t>
            </w:r>
          </w:p>
        </w:tc>
        <w:tc>
          <w:tcPr>
            <w:tcW w:w="3643" w:type="dxa"/>
            <w:gridSpan w:val="3"/>
            <w:tcBorders>
              <w:top w:val="single" w:color="auto" w:sz="4" w:space="0"/>
              <w:left w:val="single" w:color="auto" w:sz="4" w:space="0"/>
              <w:bottom w:val="single" w:color="auto" w:sz="4" w:space="0"/>
              <w:right w:val="single" w:color="auto" w:sz="4" w:space="0"/>
            </w:tcBorders>
            <w:noWrap/>
            <w:vAlign w:val="center"/>
          </w:tcPr>
          <w:p w14:paraId="33BE1BCB">
            <w:pPr>
              <w:spacing w:line="240" w:lineRule="auto"/>
              <w:rPr>
                <w:rFonts w:hint="eastAsia" w:ascii="宋体" w:hAnsi="宋体" w:eastAsia="宋体" w:cs="宋体"/>
                <w:color w:val="auto"/>
                <w:sz w:val="24"/>
                <w:szCs w:val="24"/>
                <w:highlight w:val="none"/>
              </w:rPr>
            </w:pPr>
          </w:p>
        </w:tc>
        <w:tc>
          <w:tcPr>
            <w:tcW w:w="1367" w:type="dxa"/>
            <w:gridSpan w:val="2"/>
            <w:tcBorders>
              <w:top w:val="single" w:color="auto" w:sz="4" w:space="0"/>
              <w:left w:val="single" w:color="auto" w:sz="4" w:space="0"/>
              <w:bottom w:val="single" w:color="auto" w:sz="4" w:space="0"/>
              <w:right w:val="single" w:color="auto" w:sz="4" w:space="0"/>
            </w:tcBorders>
            <w:noWrap/>
            <w:vAlign w:val="center"/>
          </w:tcPr>
          <w:p w14:paraId="54C7BD5A">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邮政编码</w:t>
            </w:r>
          </w:p>
        </w:tc>
        <w:tc>
          <w:tcPr>
            <w:tcW w:w="1679" w:type="dxa"/>
            <w:tcBorders>
              <w:top w:val="single" w:color="auto" w:sz="4" w:space="0"/>
              <w:left w:val="single" w:color="auto" w:sz="4" w:space="0"/>
              <w:bottom w:val="single" w:color="auto" w:sz="4" w:space="0"/>
              <w:right w:val="single" w:color="auto" w:sz="4" w:space="0"/>
            </w:tcBorders>
            <w:noWrap/>
            <w:vAlign w:val="center"/>
          </w:tcPr>
          <w:p w14:paraId="529B543C">
            <w:pPr>
              <w:spacing w:line="240" w:lineRule="auto"/>
              <w:rPr>
                <w:rFonts w:hint="eastAsia" w:ascii="宋体" w:hAnsi="宋体" w:eastAsia="宋体" w:cs="宋体"/>
                <w:color w:val="auto"/>
                <w:sz w:val="24"/>
                <w:szCs w:val="24"/>
                <w:highlight w:val="none"/>
              </w:rPr>
            </w:pPr>
          </w:p>
        </w:tc>
      </w:tr>
      <w:tr w14:paraId="23AD2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1731" w:type="dxa"/>
            <w:vMerge w:val="restart"/>
            <w:tcBorders>
              <w:top w:val="single" w:color="auto" w:sz="4" w:space="0"/>
              <w:left w:val="single" w:color="auto" w:sz="4" w:space="0"/>
              <w:bottom w:val="single" w:color="auto" w:sz="4" w:space="0"/>
              <w:right w:val="single" w:color="auto" w:sz="4" w:space="0"/>
            </w:tcBorders>
            <w:noWrap/>
            <w:vAlign w:val="center"/>
          </w:tcPr>
          <w:p w14:paraId="6CE51BD9">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联系方式</w:t>
            </w:r>
          </w:p>
        </w:tc>
        <w:tc>
          <w:tcPr>
            <w:tcW w:w="973" w:type="dxa"/>
            <w:tcBorders>
              <w:top w:val="single" w:color="auto" w:sz="4" w:space="0"/>
              <w:left w:val="single" w:color="auto" w:sz="4" w:space="0"/>
              <w:bottom w:val="single" w:color="auto" w:sz="4" w:space="0"/>
              <w:right w:val="single" w:color="auto" w:sz="4" w:space="0"/>
            </w:tcBorders>
            <w:noWrap/>
            <w:vAlign w:val="center"/>
          </w:tcPr>
          <w:p w14:paraId="4E3B4140">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联系人</w:t>
            </w:r>
          </w:p>
        </w:tc>
        <w:tc>
          <w:tcPr>
            <w:tcW w:w="2670" w:type="dxa"/>
            <w:gridSpan w:val="2"/>
            <w:tcBorders>
              <w:top w:val="single" w:color="auto" w:sz="4" w:space="0"/>
              <w:left w:val="single" w:color="auto" w:sz="4" w:space="0"/>
              <w:bottom w:val="single" w:color="auto" w:sz="4" w:space="0"/>
              <w:right w:val="single" w:color="auto" w:sz="4" w:space="0"/>
            </w:tcBorders>
            <w:noWrap/>
            <w:vAlign w:val="center"/>
          </w:tcPr>
          <w:p w14:paraId="59806A90">
            <w:pPr>
              <w:spacing w:line="240" w:lineRule="auto"/>
              <w:rPr>
                <w:rFonts w:hint="eastAsia" w:ascii="宋体" w:hAnsi="宋体" w:eastAsia="宋体" w:cs="宋体"/>
                <w:color w:val="auto"/>
                <w:sz w:val="24"/>
                <w:szCs w:val="24"/>
                <w:highlight w:val="none"/>
              </w:rPr>
            </w:pPr>
          </w:p>
        </w:tc>
        <w:tc>
          <w:tcPr>
            <w:tcW w:w="1367" w:type="dxa"/>
            <w:gridSpan w:val="2"/>
            <w:tcBorders>
              <w:top w:val="single" w:color="auto" w:sz="4" w:space="0"/>
              <w:left w:val="single" w:color="auto" w:sz="4" w:space="0"/>
              <w:bottom w:val="single" w:color="auto" w:sz="4" w:space="0"/>
              <w:right w:val="single" w:color="auto" w:sz="4" w:space="0"/>
            </w:tcBorders>
            <w:noWrap/>
            <w:vAlign w:val="center"/>
          </w:tcPr>
          <w:p w14:paraId="08B9105C">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电话</w:t>
            </w:r>
          </w:p>
        </w:tc>
        <w:tc>
          <w:tcPr>
            <w:tcW w:w="1679" w:type="dxa"/>
            <w:tcBorders>
              <w:top w:val="single" w:color="auto" w:sz="4" w:space="0"/>
              <w:left w:val="single" w:color="auto" w:sz="4" w:space="0"/>
              <w:bottom w:val="single" w:color="auto" w:sz="4" w:space="0"/>
              <w:right w:val="single" w:color="auto" w:sz="4" w:space="0"/>
            </w:tcBorders>
            <w:noWrap/>
            <w:vAlign w:val="center"/>
          </w:tcPr>
          <w:p w14:paraId="04F82ED8">
            <w:pPr>
              <w:spacing w:line="240" w:lineRule="auto"/>
              <w:rPr>
                <w:rFonts w:hint="eastAsia" w:ascii="宋体" w:hAnsi="宋体" w:eastAsia="宋体" w:cs="宋体"/>
                <w:color w:val="auto"/>
                <w:sz w:val="24"/>
                <w:szCs w:val="24"/>
                <w:highlight w:val="none"/>
              </w:rPr>
            </w:pPr>
          </w:p>
        </w:tc>
      </w:tr>
      <w:tr w14:paraId="70788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1731" w:type="dxa"/>
            <w:vMerge w:val="continue"/>
            <w:tcBorders>
              <w:top w:val="single" w:color="auto" w:sz="4" w:space="0"/>
              <w:left w:val="single" w:color="auto" w:sz="4" w:space="0"/>
              <w:bottom w:val="single" w:color="auto" w:sz="4" w:space="0"/>
              <w:right w:val="single" w:color="auto" w:sz="4" w:space="0"/>
            </w:tcBorders>
            <w:noWrap/>
            <w:vAlign w:val="center"/>
          </w:tcPr>
          <w:p w14:paraId="2A6FDE79">
            <w:pPr>
              <w:spacing w:line="240" w:lineRule="auto"/>
              <w:rPr>
                <w:rFonts w:hint="eastAsia" w:ascii="宋体" w:hAnsi="宋体" w:eastAsia="宋体" w:cs="宋体"/>
                <w:color w:val="auto"/>
                <w:sz w:val="24"/>
                <w:szCs w:val="24"/>
                <w:highlight w:val="none"/>
              </w:rPr>
            </w:pPr>
          </w:p>
        </w:tc>
        <w:tc>
          <w:tcPr>
            <w:tcW w:w="973" w:type="dxa"/>
            <w:tcBorders>
              <w:top w:val="single" w:color="auto" w:sz="4" w:space="0"/>
              <w:left w:val="single" w:color="auto" w:sz="4" w:space="0"/>
              <w:bottom w:val="single" w:color="auto" w:sz="4" w:space="0"/>
              <w:right w:val="single" w:color="auto" w:sz="4" w:space="0"/>
            </w:tcBorders>
            <w:noWrap/>
            <w:vAlign w:val="center"/>
          </w:tcPr>
          <w:p w14:paraId="5F58A635">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传真</w:t>
            </w:r>
          </w:p>
        </w:tc>
        <w:tc>
          <w:tcPr>
            <w:tcW w:w="2670" w:type="dxa"/>
            <w:gridSpan w:val="2"/>
            <w:tcBorders>
              <w:top w:val="single" w:color="auto" w:sz="4" w:space="0"/>
              <w:left w:val="single" w:color="auto" w:sz="4" w:space="0"/>
              <w:bottom w:val="single" w:color="auto" w:sz="4" w:space="0"/>
              <w:right w:val="single" w:color="auto" w:sz="4" w:space="0"/>
            </w:tcBorders>
            <w:noWrap/>
            <w:vAlign w:val="center"/>
          </w:tcPr>
          <w:p w14:paraId="5CCA1EBE">
            <w:pPr>
              <w:spacing w:line="240" w:lineRule="auto"/>
              <w:rPr>
                <w:rFonts w:hint="eastAsia" w:ascii="宋体" w:hAnsi="宋体" w:eastAsia="宋体" w:cs="宋体"/>
                <w:color w:val="auto"/>
                <w:sz w:val="24"/>
                <w:szCs w:val="24"/>
                <w:highlight w:val="none"/>
              </w:rPr>
            </w:pPr>
          </w:p>
        </w:tc>
        <w:tc>
          <w:tcPr>
            <w:tcW w:w="1367" w:type="dxa"/>
            <w:gridSpan w:val="2"/>
            <w:tcBorders>
              <w:top w:val="single" w:color="auto" w:sz="4" w:space="0"/>
              <w:left w:val="single" w:color="auto" w:sz="4" w:space="0"/>
              <w:bottom w:val="single" w:color="auto" w:sz="4" w:space="0"/>
              <w:right w:val="single" w:color="auto" w:sz="4" w:space="0"/>
            </w:tcBorders>
            <w:noWrap/>
            <w:vAlign w:val="center"/>
          </w:tcPr>
          <w:p w14:paraId="0FD66903">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网址</w:t>
            </w:r>
          </w:p>
        </w:tc>
        <w:tc>
          <w:tcPr>
            <w:tcW w:w="1679" w:type="dxa"/>
            <w:tcBorders>
              <w:top w:val="single" w:color="auto" w:sz="4" w:space="0"/>
              <w:left w:val="single" w:color="auto" w:sz="4" w:space="0"/>
              <w:bottom w:val="single" w:color="auto" w:sz="4" w:space="0"/>
              <w:right w:val="single" w:color="auto" w:sz="4" w:space="0"/>
            </w:tcBorders>
            <w:noWrap/>
            <w:vAlign w:val="center"/>
          </w:tcPr>
          <w:p w14:paraId="3A51B2ED">
            <w:pPr>
              <w:spacing w:line="240" w:lineRule="auto"/>
              <w:rPr>
                <w:rFonts w:hint="eastAsia" w:ascii="宋体" w:hAnsi="宋体" w:eastAsia="宋体" w:cs="宋体"/>
                <w:color w:val="auto"/>
                <w:sz w:val="24"/>
                <w:szCs w:val="24"/>
                <w:highlight w:val="none"/>
              </w:rPr>
            </w:pPr>
          </w:p>
        </w:tc>
      </w:tr>
      <w:tr w14:paraId="7D3E8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1731" w:type="dxa"/>
            <w:tcBorders>
              <w:top w:val="single" w:color="auto" w:sz="4" w:space="0"/>
              <w:left w:val="single" w:color="auto" w:sz="4" w:space="0"/>
              <w:bottom w:val="single" w:color="auto" w:sz="4" w:space="0"/>
              <w:right w:val="single" w:color="auto" w:sz="4" w:space="0"/>
            </w:tcBorders>
            <w:noWrap/>
            <w:vAlign w:val="center"/>
          </w:tcPr>
          <w:p w14:paraId="1A0B87E7">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p>
        </w:tc>
        <w:tc>
          <w:tcPr>
            <w:tcW w:w="973" w:type="dxa"/>
            <w:tcBorders>
              <w:top w:val="single" w:color="auto" w:sz="4" w:space="0"/>
              <w:left w:val="single" w:color="auto" w:sz="4" w:space="0"/>
              <w:bottom w:val="single" w:color="auto" w:sz="4" w:space="0"/>
              <w:right w:val="single" w:color="auto" w:sz="4" w:space="0"/>
            </w:tcBorders>
            <w:noWrap/>
            <w:vAlign w:val="center"/>
          </w:tcPr>
          <w:p w14:paraId="7794CC50">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姓名</w:t>
            </w:r>
          </w:p>
        </w:tc>
        <w:tc>
          <w:tcPr>
            <w:tcW w:w="2670" w:type="dxa"/>
            <w:gridSpan w:val="2"/>
            <w:tcBorders>
              <w:top w:val="single" w:color="auto" w:sz="4" w:space="0"/>
              <w:left w:val="single" w:color="auto" w:sz="4" w:space="0"/>
              <w:bottom w:val="single" w:color="auto" w:sz="4" w:space="0"/>
              <w:right w:val="single" w:color="auto" w:sz="4" w:space="0"/>
            </w:tcBorders>
            <w:noWrap/>
            <w:vAlign w:val="center"/>
          </w:tcPr>
          <w:p w14:paraId="1E5B87AD">
            <w:pPr>
              <w:spacing w:line="240" w:lineRule="auto"/>
              <w:rPr>
                <w:rFonts w:hint="eastAsia" w:ascii="宋体" w:hAnsi="宋体" w:eastAsia="宋体" w:cs="宋体"/>
                <w:color w:val="auto"/>
                <w:sz w:val="24"/>
                <w:szCs w:val="24"/>
                <w:highlight w:val="none"/>
              </w:rPr>
            </w:pPr>
          </w:p>
        </w:tc>
        <w:tc>
          <w:tcPr>
            <w:tcW w:w="1132" w:type="dxa"/>
            <w:tcBorders>
              <w:top w:val="single" w:color="auto" w:sz="4" w:space="0"/>
              <w:left w:val="single" w:color="auto" w:sz="4" w:space="0"/>
              <w:bottom w:val="single" w:color="auto" w:sz="4" w:space="0"/>
              <w:right w:val="single" w:color="auto" w:sz="4" w:space="0"/>
            </w:tcBorders>
            <w:noWrap/>
            <w:vAlign w:val="center"/>
          </w:tcPr>
          <w:p w14:paraId="1E5234DA">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电话</w:t>
            </w:r>
          </w:p>
        </w:tc>
        <w:tc>
          <w:tcPr>
            <w:tcW w:w="1914" w:type="dxa"/>
            <w:gridSpan w:val="2"/>
            <w:tcBorders>
              <w:top w:val="single" w:color="auto" w:sz="4" w:space="0"/>
              <w:left w:val="single" w:color="auto" w:sz="4" w:space="0"/>
              <w:bottom w:val="single" w:color="auto" w:sz="4" w:space="0"/>
              <w:right w:val="single" w:color="auto" w:sz="4" w:space="0"/>
            </w:tcBorders>
            <w:noWrap/>
            <w:vAlign w:val="center"/>
          </w:tcPr>
          <w:p w14:paraId="12A85DB8">
            <w:pPr>
              <w:spacing w:line="240" w:lineRule="auto"/>
              <w:rPr>
                <w:rFonts w:hint="eastAsia" w:ascii="宋体" w:hAnsi="宋体" w:eastAsia="宋体" w:cs="宋体"/>
                <w:color w:val="auto"/>
                <w:sz w:val="24"/>
                <w:szCs w:val="24"/>
                <w:highlight w:val="none"/>
              </w:rPr>
            </w:pPr>
          </w:p>
        </w:tc>
      </w:tr>
      <w:tr w14:paraId="62658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1731" w:type="dxa"/>
            <w:tcBorders>
              <w:top w:val="single" w:color="auto" w:sz="4" w:space="0"/>
              <w:left w:val="single" w:color="auto" w:sz="4" w:space="0"/>
              <w:bottom w:val="single" w:color="auto" w:sz="4" w:space="0"/>
              <w:right w:val="single" w:color="auto" w:sz="4" w:space="0"/>
            </w:tcBorders>
            <w:noWrap/>
            <w:vAlign w:val="center"/>
          </w:tcPr>
          <w:p w14:paraId="7455A700">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成立时间</w:t>
            </w:r>
          </w:p>
        </w:tc>
        <w:tc>
          <w:tcPr>
            <w:tcW w:w="2524" w:type="dxa"/>
            <w:gridSpan w:val="2"/>
            <w:tcBorders>
              <w:top w:val="single" w:color="auto" w:sz="4" w:space="0"/>
              <w:left w:val="single" w:color="auto" w:sz="4" w:space="0"/>
              <w:bottom w:val="single" w:color="auto" w:sz="4" w:space="0"/>
              <w:right w:val="single" w:color="auto" w:sz="4" w:space="0"/>
            </w:tcBorders>
            <w:noWrap/>
            <w:vAlign w:val="center"/>
          </w:tcPr>
          <w:p w14:paraId="72B19F8B">
            <w:pPr>
              <w:spacing w:line="240" w:lineRule="auto"/>
              <w:rPr>
                <w:rFonts w:hint="eastAsia" w:ascii="宋体" w:hAnsi="宋体" w:eastAsia="宋体" w:cs="宋体"/>
                <w:color w:val="auto"/>
                <w:sz w:val="24"/>
                <w:szCs w:val="24"/>
                <w:highlight w:val="none"/>
              </w:rPr>
            </w:pPr>
          </w:p>
        </w:tc>
        <w:tc>
          <w:tcPr>
            <w:tcW w:w="4165" w:type="dxa"/>
            <w:gridSpan w:val="4"/>
            <w:tcBorders>
              <w:top w:val="single" w:color="auto" w:sz="4" w:space="0"/>
              <w:left w:val="single" w:color="auto" w:sz="4" w:space="0"/>
              <w:bottom w:val="single" w:color="auto" w:sz="4" w:space="0"/>
              <w:right w:val="single" w:color="auto" w:sz="4" w:space="0"/>
            </w:tcBorders>
            <w:noWrap/>
            <w:vAlign w:val="center"/>
          </w:tcPr>
          <w:p w14:paraId="507392CD">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员工总人数：</w:t>
            </w:r>
          </w:p>
        </w:tc>
      </w:tr>
      <w:tr w14:paraId="0FA2D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1731" w:type="dxa"/>
            <w:tcBorders>
              <w:top w:val="single" w:color="auto" w:sz="4" w:space="0"/>
              <w:left w:val="single" w:color="auto" w:sz="4" w:space="0"/>
              <w:bottom w:val="single" w:color="auto" w:sz="4" w:space="0"/>
              <w:right w:val="single" w:color="auto" w:sz="4" w:space="0"/>
            </w:tcBorders>
            <w:noWrap/>
            <w:vAlign w:val="center"/>
          </w:tcPr>
          <w:p w14:paraId="33EA4A6E">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营业执照号</w:t>
            </w:r>
          </w:p>
        </w:tc>
        <w:tc>
          <w:tcPr>
            <w:tcW w:w="6689" w:type="dxa"/>
            <w:gridSpan w:val="6"/>
            <w:tcBorders>
              <w:top w:val="single" w:color="auto" w:sz="4" w:space="0"/>
              <w:left w:val="single" w:color="auto" w:sz="4" w:space="0"/>
              <w:bottom w:val="single" w:color="auto" w:sz="4" w:space="0"/>
              <w:right w:val="single" w:color="auto" w:sz="4" w:space="0"/>
            </w:tcBorders>
            <w:noWrap/>
            <w:vAlign w:val="center"/>
          </w:tcPr>
          <w:p w14:paraId="6180B593">
            <w:pPr>
              <w:spacing w:line="240" w:lineRule="auto"/>
              <w:rPr>
                <w:rFonts w:hint="eastAsia" w:ascii="宋体" w:hAnsi="宋体" w:eastAsia="宋体" w:cs="宋体"/>
                <w:color w:val="auto"/>
                <w:sz w:val="24"/>
                <w:szCs w:val="24"/>
                <w:highlight w:val="none"/>
              </w:rPr>
            </w:pPr>
          </w:p>
        </w:tc>
      </w:tr>
      <w:tr w14:paraId="3673D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1731" w:type="dxa"/>
            <w:tcBorders>
              <w:top w:val="single" w:color="auto" w:sz="4" w:space="0"/>
              <w:left w:val="single" w:color="auto" w:sz="4" w:space="0"/>
              <w:bottom w:val="single" w:color="auto" w:sz="4" w:space="0"/>
              <w:right w:val="single" w:color="auto" w:sz="4" w:space="0"/>
            </w:tcBorders>
            <w:noWrap/>
            <w:vAlign w:val="center"/>
          </w:tcPr>
          <w:p w14:paraId="1113E1BA">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注册资金</w:t>
            </w:r>
          </w:p>
        </w:tc>
        <w:tc>
          <w:tcPr>
            <w:tcW w:w="2524" w:type="dxa"/>
            <w:gridSpan w:val="2"/>
            <w:tcBorders>
              <w:top w:val="single" w:color="auto" w:sz="4" w:space="0"/>
              <w:left w:val="single" w:color="auto" w:sz="4" w:space="0"/>
              <w:bottom w:val="single" w:color="auto" w:sz="4" w:space="0"/>
              <w:right w:val="single" w:color="auto" w:sz="4" w:space="0"/>
            </w:tcBorders>
            <w:noWrap/>
            <w:vAlign w:val="center"/>
          </w:tcPr>
          <w:p w14:paraId="2E303F5D">
            <w:pPr>
              <w:spacing w:line="240" w:lineRule="auto"/>
              <w:rPr>
                <w:rFonts w:hint="eastAsia" w:ascii="宋体" w:hAnsi="宋体" w:eastAsia="宋体" w:cs="宋体"/>
                <w:color w:val="auto"/>
                <w:sz w:val="24"/>
                <w:szCs w:val="24"/>
                <w:highlight w:val="none"/>
              </w:rPr>
            </w:pPr>
          </w:p>
        </w:tc>
        <w:tc>
          <w:tcPr>
            <w:tcW w:w="2251" w:type="dxa"/>
            <w:gridSpan w:val="2"/>
            <w:tcBorders>
              <w:top w:val="single" w:color="auto" w:sz="4" w:space="0"/>
              <w:left w:val="single" w:color="auto" w:sz="4" w:space="0"/>
              <w:bottom w:val="single" w:color="auto" w:sz="4" w:space="0"/>
              <w:right w:val="single" w:color="auto" w:sz="4" w:space="0"/>
            </w:tcBorders>
            <w:noWrap/>
            <w:vAlign w:val="center"/>
          </w:tcPr>
          <w:p w14:paraId="079F36BE">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开户银行</w:t>
            </w:r>
          </w:p>
        </w:tc>
        <w:tc>
          <w:tcPr>
            <w:tcW w:w="1914" w:type="dxa"/>
            <w:gridSpan w:val="2"/>
            <w:tcBorders>
              <w:top w:val="single" w:color="auto" w:sz="4" w:space="0"/>
              <w:left w:val="single" w:color="auto" w:sz="4" w:space="0"/>
              <w:bottom w:val="single" w:color="auto" w:sz="4" w:space="0"/>
              <w:right w:val="single" w:color="auto" w:sz="4" w:space="0"/>
            </w:tcBorders>
            <w:noWrap/>
            <w:vAlign w:val="center"/>
          </w:tcPr>
          <w:p w14:paraId="217B40B2">
            <w:pPr>
              <w:spacing w:line="240" w:lineRule="auto"/>
              <w:rPr>
                <w:rFonts w:hint="eastAsia" w:ascii="宋体" w:hAnsi="宋体" w:eastAsia="宋体" w:cs="宋体"/>
                <w:color w:val="auto"/>
                <w:sz w:val="24"/>
                <w:szCs w:val="24"/>
                <w:highlight w:val="none"/>
              </w:rPr>
            </w:pPr>
          </w:p>
        </w:tc>
      </w:tr>
      <w:tr w14:paraId="35E2A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1731" w:type="dxa"/>
            <w:tcBorders>
              <w:top w:val="single" w:color="auto" w:sz="4" w:space="0"/>
              <w:left w:val="single" w:color="auto" w:sz="4" w:space="0"/>
              <w:bottom w:val="single" w:color="auto" w:sz="4" w:space="0"/>
              <w:right w:val="single" w:color="auto" w:sz="4" w:space="0"/>
            </w:tcBorders>
            <w:noWrap/>
            <w:vAlign w:val="center"/>
          </w:tcPr>
          <w:p w14:paraId="17D12651">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账号</w:t>
            </w:r>
          </w:p>
        </w:tc>
        <w:tc>
          <w:tcPr>
            <w:tcW w:w="6689" w:type="dxa"/>
            <w:gridSpan w:val="6"/>
            <w:tcBorders>
              <w:top w:val="single" w:color="auto" w:sz="4" w:space="0"/>
              <w:left w:val="single" w:color="auto" w:sz="4" w:space="0"/>
              <w:bottom w:val="single" w:color="auto" w:sz="4" w:space="0"/>
              <w:right w:val="single" w:color="auto" w:sz="4" w:space="0"/>
            </w:tcBorders>
            <w:noWrap/>
            <w:vAlign w:val="center"/>
          </w:tcPr>
          <w:p w14:paraId="6C76DF36">
            <w:pPr>
              <w:spacing w:line="240" w:lineRule="auto"/>
              <w:rPr>
                <w:rFonts w:hint="eastAsia" w:ascii="宋体" w:hAnsi="宋体" w:eastAsia="宋体" w:cs="宋体"/>
                <w:color w:val="auto"/>
                <w:sz w:val="24"/>
                <w:szCs w:val="24"/>
                <w:highlight w:val="none"/>
              </w:rPr>
            </w:pPr>
          </w:p>
        </w:tc>
      </w:tr>
      <w:tr w14:paraId="3AE2C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1" w:hRule="atLeast"/>
          <w:jc w:val="center"/>
        </w:trPr>
        <w:tc>
          <w:tcPr>
            <w:tcW w:w="1731" w:type="dxa"/>
            <w:tcBorders>
              <w:top w:val="single" w:color="auto" w:sz="4" w:space="0"/>
              <w:left w:val="single" w:color="auto" w:sz="4" w:space="0"/>
              <w:bottom w:val="single" w:color="auto" w:sz="4" w:space="0"/>
              <w:right w:val="single" w:color="auto" w:sz="4" w:space="0"/>
            </w:tcBorders>
            <w:noWrap/>
            <w:vAlign w:val="center"/>
          </w:tcPr>
          <w:p w14:paraId="5F6FC9DC">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经营范围备注</w:t>
            </w:r>
          </w:p>
        </w:tc>
        <w:tc>
          <w:tcPr>
            <w:tcW w:w="6689" w:type="dxa"/>
            <w:gridSpan w:val="6"/>
            <w:tcBorders>
              <w:top w:val="single" w:color="auto" w:sz="4" w:space="0"/>
              <w:left w:val="single" w:color="auto" w:sz="4" w:space="0"/>
              <w:bottom w:val="single" w:color="auto" w:sz="4" w:space="0"/>
              <w:right w:val="single" w:color="auto" w:sz="4" w:space="0"/>
            </w:tcBorders>
            <w:noWrap/>
            <w:vAlign w:val="center"/>
          </w:tcPr>
          <w:p w14:paraId="15DB5AAC">
            <w:pPr>
              <w:spacing w:line="240" w:lineRule="auto"/>
              <w:rPr>
                <w:rFonts w:hint="eastAsia" w:ascii="宋体" w:hAnsi="宋体" w:eastAsia="宋体" w:cs="宋体"/>
                <w:color w:val="auto"/>
                <w:sz w:val="24"/>
                <w:szCs w:val="24"/>
                <w:highlight w:val="none"/>
              </w:rPr>
            </w:pPr>
          </w:p>
        </w:tc>
      </w:tr>
    </w:tbl>
    <w:p w14:paraId="0A07BB84">
      <w:pPr>
        <w:spacing w:line="240" w:lineRule="auto"/>
        <w:ind w:firstLine="480" w:firstLineChars="200"/>
        <w:rPr>
          <w:rFonts w:hint="eastAsia" w:ascii="宋体" w:hAnsi="宋体" w:eastAsia="宋体" w:cs="宋体"/>
          <w:color w:val="auto"/>
          <w:sz w:val="24"/>
          <w:szCs w:val="24"/>
          <w:highlight w:val="none"/>
        </w:rPr>
      </w:pPr>
      <w:bookmarkStart w:id="49" w:name="_Toc15473_WPSOffice_Level3"/>
      <w:r>
        <w:rPr>
          <w:rFonts w:hint="eastAsia" w:ascii="宋体" w:hAnsi="宋体" w:eastAsia="宋体" w:cs="宋体"/>
          <w:color w:val="auto"/>
          <w:sz w:val="24"/>
          <w:szCs w:val="24"/>
          <w:highlight w:val="none"/>
        </w:rPr>
        <w:t>附：1、营业执照、税务登记证、组织机构代码证等相关证件的扫描件</w:t>
      </w:r>
      <w:bookmarkEnd w:id="49"/>
    </w:p>
    <w:p w14:paraId="5A38D7DD">
      <w:pPr>
        <w:rPr>
          <w:rFonts w:hint="eastAsia" w:ascii="宋体" w:hAnsi="宋体" w:eastAsia="宋体" w:cs="宋体"/>
          <w:color w:val="auto"/>
          <w:highlight w:val="none"/>
        </w:rPr>
      </w:pPr>
    </w:p>
    <w:p w14:paraId="180FA2BC">
      <w:pPr>
        <w:spacing w:line="240" w:lineRule="auto"/>
        <w:jc w:val="center"/>
        <w:rPr>
          <w:rFonts w:hint="eastAsia" w:ascii="宋体" w:hAnsi="宋体" w:eastAsia="宋体" w:cs="宋体"/>
          <w:b/>
          <w:bCs/>
          <w:color w:val="auto"/>
          <w:sz w:val="28"/>
          <w:szCs w:val="28"/>
          <w:highlight w:val="none"/>
        </w:rPr>
      </w:pPr>
    </w:p>
    <w:p w14:paraId="3F806B69">
      <w:pPr>
        <w:widowControl/>
        <w:adjustRightInd w:val="0"/>
        <w:spacing w:line="360" w:lineRule="auto"/>
        <w:jc w:val="both"/>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（电子签章）</w:t>
      </w:r>
    </w:p>
    <w:p w14:paraId="356FECD1">
      <w:pPr>
        <w:widowControl/>
        <w:adjustRightInd w:val="0"/>
        <w:spacing w:line="360" w:lineRule="auto"/>
        <w:jc w:val="both"/>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法定代表人或其委托代理人：</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（电子签章）</w:t>
      </w:r>
    </w:p>
    <w:p w14:paraId="2DB3858C">
      <w:pPr>
        <w:widowControl/>
        <w:adjustRightInd w:val="0"/>
        <w:spacing w:line="360" w:lineRule="auto"/>
        <w:jc w:val="both"/>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日期：</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月</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日</w:t>
      </w:r>
    </w:p>
    <w:p w14:paraId="700F53EB">
      <w:pPr>
        <w:spacing w:line="240" w:lineRule="auto"/>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br w:type="page"/>
      </w:r>
      <w:r>
        <w:rPr>
          <w:rFonts w:hint="eastAsia" w:ascii="宋体" w:hAnsi="宋体" w:eastAsia="宋体" w:cs="宋体"/>
          <w:b/>
          <w:bCs/>
          <w:color w:val="auto"/>
          <w:sz w:val="28"/>
          <w:szCs w:val="28"/>
          <w:highlight w:val="none"/>
        </w:rPr>
        <w:t>供应商承诺书（格式）</w:t>
      </w:r>
    </w:p>
    <w:p w14:paraId="05074343">
      <w:pPr>
        <w:spacing w:line="360" w:lineRule="auto"/>
        <w:rPr>
          <w:rFonts w:hint="eastAsia" w:ascii="宋体" w:hAnsi="宋体" w:eastAsia="宋体" w:cs="宋体"/>
          <w:color w:val="auto"/>
          <w:sz w:val="24"/>
          <w:szCs w:val="24"/>
          <w:highlight w:val="none"/>
        </w:rPr>
      </w:pPr>
    </w:p>
    <w:p w14:paraId="25CC3D7C">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u w:val="single"/>
        </w:rPr>
        <w:t>（采购人名称/代理机构名称）：</w:t>
      </w:r>
    </w:p>
    <w:p w14:paraId="537AE94D">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我方承诺，我方满足 《中华人民共和国政府采购法》第二十二条的所有规定。</w:t>
      </w:r>
    </w:p>
    <w:p w14:paraId="2B7628B5">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(一)具有独立承担民事责任的能力；</w:t>
      </w:r>
    </w:p>
    <w:p w14:paraId="7801C95C">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(二)具有良好的商业信誉和健全的财务会计制度；</w:t>
      </w:r>
    </w:p>
    <w:p w14:paraId="0BCD2B27">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(三)具有履行合同所必需的设备和专业技术能力；</w:t>
      </w:r>
    </w:p>
    <w:p w14:paraId="4FF9D51E">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(四)有依法缴纳税收和社会保障资金的良好记录；</w:t>
      </w:r>
    </w:p>
    <w:p w14:paraId="16B04E11">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(五)参加政府采购活动前三年内，在经营活动中没有重大违法记录；</w:t>
      </w:r>
    </w:p>
    <w:p w14:paraId="3DC52492">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(六)法律、行政法规规定的其他条件。</w:t>
      </w:r>
    </w:p>
    <w:p w14:paraId="22E869DE">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我方保证上述信息的真实和准确，并愿意承担因我方就此弄虚作假所引起的一切法律后果。</w:t>
      </w:r>
    </w:p>
    <w:p w14:paraId="3E77D61E">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特此承诺。</w:t>
      </w:r>
    </w:p>
    <w:p w14:paraId="48B29FD8">
      <w:pPr>
        <w:widowControl/>
        <w:kinsoku w:val="0"/>
        <w:autoSpaceDE w:val="0"/>
        <w:autoSpaceDN w:val="0"/>
        <w:adjustRightInd w:val="0"/>
        <w:snapToGrid w:val="0"/>
        <w:spacing w:line="360" w:lineRule="auto"/>
        <w:jc w:val="left"/>
        <w:textAlignment w:val="baseline"/>
        <w:rPr>
          <w:rFonts w:hint="eastAsia" w:ascii="宋体" w:hAnsi="宋体" w:eastAsia="宋体" w:cs="宋体"/>
          <w:snapToGrid w:val="0"/>
          <w:color w:val="auto"/>
          <w:kern w:val="0"/>
          <w:sz w:val="24"/>
          <w:szCs w:val="24"/>
          <w:highlight w:val="none"/>
        </w:rPr>
      </w:pPr>
    </w:p>
    <w:p w14:paraId="7EA77168">
      <w:pPr>
        <w:widowControl/>
        <w:kinsoku w:val="0"/>
        <w:autoSpaceDE w:val="0"/>
        <w:autoSpaceDN w:val="0"/>
        <w:adjustRightInd w:val="0"/>
        <w:snapToGrid w:val="0"/>
        <w:spacing w:line="360" w:lineRule="auto"/>
        <w:jc w:val="left"/>
        <w:textAlignment w:val="baseline"/>
        <w:rPr>
          <w:rFonts w:hint="eastAsia" w:ascii="宋体" w:hAnsi="宋体" w:eastAsia="宋体" w:cs="宋体"/>
          <w:snapToGrid w:val="0"/>
          <w:color w:val="auto"/>
          <w:kern w:val="0"/>
          <w:sz w:val="24"/>
          <w:szCs w:val="24"/>
          <w:highlight w:val="none"/>
        </w:rPr>
      </w:pPr>
    </w:p>
    <w:p w14:paraId="55BAA283">
      <w:pPr>
        <w:widowControl/>
        <w:kinsoku w:val="0"/>
        <w:autoSpaceDE w:val="0"/>
        <w:autoSpaceDN w:val="0"/>
        <w:adjustRightInd w:val="0"/>
        <w:snapToGrid w:val="0"/>
        <w:spacing w:line="360" w:lineRule="auto"/>
        <w:jc w:val="left"/>
        <w:textAlignment w:val="baseline"/>
        <w:rPr>
          <w:rFonts w:hint="eastAsia" w:ascii="宋体" w:hAnsi="宋体" w:eastAsia="宋体" w:cs="宋体"/>
          <w:snapToGrid w:val="0"/>
          <w:color w:val="auto"/>
          <w:kern w:val="0"/>
          <w:sz w:val="24"/>
          <w:szCs w:val="24"/>
          <w:highlight w:val="none"/>
        </w:rPr>
      </w:pPr>
    </w:p>
    <w:p w14:paraId="7C4F46E2">
      <w:pPr>
        <w:widowControl/>
        <w:adjustRightInd w:val="0"/>
        <w:spacing w:line="360" w:lineRule="auto"/>
        <w:jc w:val="both"/>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（电子签章）</w:t>
      </w:r>
    </w:p>
    <w:p w14:paraId="00483A78">
      <w:pPr>
        <w:widowControl/>
        <w:adjustRightInd w:val="0"/>
        <w:spacing w:line="360" w:lineRule="auto"/>
        <w:jc w:val="both"/>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法定代表人或其委托代理人：</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（电子签章）</w:t>
      </w:r>
    </w:p>
    <w:p w14:paraId="765B3BFB">
      <w:pPr>
        <w:widowControl/>
        <w:adjustRightInd w:val="0"/>
        <w:spacing w:line="360" w:lineRule="auto"/>
        <w:jc w:val="both"/>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日期：</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月</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日</w:t>
      </w:r>
    </w:p>
    <w:p w14:paraId="0EB63259">
      <w:pPr>
        <w:pStyle w:val="10"/>
        <w:spacing w:line="360" w:lineRule="auto"/>
        <w:rPr>
          <w:rFonts w:hint="eastAsia" w:ascii="宋体" w:hAnsi="宋体" w:eastAsia="宋体" w:cs="宋体"/>
          <w:color w:val="auto"/>
          <w:sz w:val="24"/>
          <w:szCs w:val="24"/>
          <w:highlight w:val="none"/>
        </w:rPr>
      </w:pPr>
    </w:p>
    <w:p w14:paraId="09F34775">
      <w:pPr>
        <w:spacing w:line="24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br w:type="page"/>
      </w:r>
      <w:bookmarkStart w:id="50" w:name="_Toc13068_WPSOffice_Level2"/>
      <w:r>
        <w:rPr>
          <w:rFonts w:hint="eastAsia" w:ascii="宋体" w:hAnsi="宋体" w:eastAsia="宋体" w:cs="宋体"/>
          <w:color w:val="auto"/>
          <w:sz w:val="28"/>
          <w:szCs w:val="28"/>
          <w:highlight w:val="none"/>
        </w:rPr>
        <w:t>（二）竞争性磋商文件规定的资格审查资料</w:t>
      </w:r>
      <w:bookmarkEnd w:id="50"/>
    </w:p>
    <w:p w14:paraId="7BA44B76">
      <w:pPr>
        <w:keepNext/>
        <w:keepLines/>
        <w:spacing w:line="240" w:lineRule="auto"/>
        <w:jc w:val="center"/>
        <w:textAlignment w:val="baseline"/>
        <w:outlineLvl w:val="1"/>
        <w:rPr>
          <w:rFonts w:hint="eastAsia" w:ascii="宋体" w:hAnsi="宋体" w:eastAsia="宋体" w:cs="宋体"/>
          <w:b/>
          <w:color w:val="auto"/>
          <w:sz w:val="28"/>
          <w:szCs w:val="28"/>
          <w:highlight w:val="none"/>
        </w:rPr>
      </w:pPr>
      <w:r>
        <w:rPr>
          <w:rFonts w:hint="eastAsia" w:ascii="宋体" w:hAnsi="宋体" w:eastAsia="宋体" w:cs="宋体"/>
          <w:color w:val="auto"/>
          <w:sz w:val="28"/>
          <w:szCs w:val="28"/>
          <w:highlight w:val="none"/>
          <w:lang w:val="en-US"/>
        </w:rPr>
        <w:br w:type="page"/>
      </w:r>
      <w:r>
        <w:rPr>
          <w:rFonts w:hint="eastAsia" w:ascii="宋体" w:hAnsi="宋体" w:eastAsia="宋体" w:cs="宋体"/>
          <w:b/>
          <w:color w:val="auto"/>
          <w:sz w:val="28"/>
          <w:szCs w:val="28"/>
          <w:highlight w:val="none"/>
        </w:rPr>
        <w:t>（</w:t>
      </w:r>
      <w:r>
        <w:rPr>
          <w:rFonts w:hint="eastAsia" w:ascii="宋体" w:hAnsi="宋体" w:eastAsia="宋体" w:cs="宋体"/>
          <w:b/>
          <w:color w:val="auto"/>
          <w:sz w:val="28"/>
          <w:szCs w:val="28"/>
          <w:highlight w:val="none"/>
          <w:lang w:val="en-US" w:eastAsia="zh-CN"/>
        </w:rPr>
        <w:t>三</w:t>
      </w:r>
      <w:r>
        <w:rPr>
          <w:rFonts w:hint="eastAsia" w:ascii="宋体" w:hAnsi="宋体" w:eastAsia="宋体" w:cs="宋体"/>
          <w:b/>
          <w:color w:val="auto"/>
          <w:sz w:val="28"/>
          <w:szCs w:val="28"/>
          <w:highlight w:val="none"/>
        </w:rPr>
        <w:t>）拟投入项目管理机构人员表</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2"/>
        <w:gridCol w:w="989"/>
        <w:gridCol w:w="1050"/>
        <w:gridCol w:w="1773"/>
        <w:gridCol w:w="1575"/>
        <w:gridCol w:w="1787"/>
        <w:gridCol w:w="1329"/>
      </w:tblGrid>
      <w:tr w14:paraId="3B586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902" w:type="dxa"/>
            <w:vMerge w:val="restart"/>
            <w:noWrap w:val="0"/>
            <w:vAlign w:val="center"/>
          </w:tcPr>
          <w:p w14:paraId="3DBDD47A">
            <w:pPr>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职务</w:t>
            </w:r>
          </w:p>
        </w:tc>
        <w:tc>
          <w:tcPr>
            <w:tcW w:w="989" w:type="dxa"/>
            <w:vMerge w:val="restart"/>
            <w:noWrap w:val="0"/>
            <w:vAlign w:val="center"/>
          </w:tcPr>
          <w:p w14:paraId="299A0228">
            <w:pPr>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姓名</w:t>
            </w:r>
          </w:p>
        </w:tc>
        <w:tc>
          <w:tcPr>
            <w:tcW w:w="1050" w:type="dxa"/>
            <w:vMerge w:val="restart"/>
            <w:noWrap w:val="0"/>
            <w:vAlign w:val="center"/>
          </w:tcPr>
          <w:p w14:paraId="035D838A">
            <w:pPr>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职称</w:t>
            </w:r>
          </w:p>
        </w:tc>
        <w:tc>
          <w:tcPr>
            <w:tcW w:w="5135" w:type="dxa"/>
            <w:gridSpan w:val="3"/>
            <w:noWrap w:val="0"/>
            <w:vAlign w:val="center"/>
          </w:tcPr>
          <w:p w14:paraId="481DD100">
            <w:pPr>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执业或职业资格证明</w:t>
            </w:r>
          </w:p>
        </w:tc>
        <w:tc>
          <w:tcPr>
            <w:tcW w:w="1329" w:type="dxa"/>
            <w:noWrap w:val="0"/>
            <w:vAlign w:val="center"/>
          </w:tcPr>
          <w:p w14:paraId="1A998F8D">
            <w:pPr>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备注</w:t>
            </w:r>
          </w:p>
        </w:tc>
      </w:tr>
      <w:tr w14:paraId="6E3FC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902" w:type="dxa"/>
            <w:vMerge w:val="continue"/>
            <w:noWrap w:val="0"/>
            <w:vAlign w:val="top"/>
          </w:tcPr>
          <w:p w14:paraId="771D9D00">
            <w:pPr>
              <w:spacing w:line="240" w:lineRule="auto"/>
              <w:rPr>
                <w:rFonts w:hint="eastAsia" w:ascii="宋体" w:hAnsi="宋体" w:eastAsia="宋体" w:cs="宋体"/>
                <w:color w:val="auto"/>
                <w:sz w:val="24"/>
                <w:szCs w:val="24"/>
                <w:highlight w:val="none"/>
              </w:rPr>
            </w:pPr>
          </w:p>
        </w:tc>
        <w:tc>
          <w:tcPr>
            <w:tcW w:w="989" w:type="dxa"/>
            <w:vMerge w:val="continue"/>
            <w:noWrap w:val="0"/>
            <w:vAlign w:val="top"/>
          </w:tcPr>
          <w:p w14:paraId="52D2C917">
            <w:pPr>
              <w:spacing w:line="240" w:lineRule="auto"/>
              <w:rPr>
                <w:rFonts w:hint="eastAsia" w:ascii="宋体" w:hAnsi="宋体" w:eastAsia="宋体" w:cs="宋体"/>
                <w:color w:val="auto"/>
                <w:sz w:val="24"/>
                <w:szCs w:val="24"/>
                <w:highlight w:val="none"/>
              </w:rPr>
            </w:pPr>
          </w:p>
        </w:tc>
        <w:tc>
          <w:tcPr>
            <w:tcW w:w="1050" w:type="dxa"/>
            <w:vMerge w:val="continue"/>
            <w:noWrap w:val="0"/>
            <w:vAlign w:val="top"/>
          </w:tcPr>
          <w:p w14:paraId="6896EC17">
            <w:pPr>
              <w:spacing w:line="240" w:lineRule="auto"/>
              <w:rPr>
                <w:rFonts w:hint="eastAsia" w:ascii="宋体" w:hAnsi="宋体" w:eastAsia="宋体" w:cs="宋体"/>
                <w:color w:val="auto"/>
                <w:sz w:val="24"/>
                <w:szCs w:val="24"/>
                <w:highlight w:val="none"/>
              </w:rPr>
            </w:pPr>
          </w:p>
        </w:tc>
        <w:tc>
          <w:tcPr>
            <w:tcW w:w="1773" w:type="dxa"/>
            <w:noWrap w:val="0"/>
            <w:vAlign w:val="center"/>
          </w:tcPr>
          <w:p w14:paraId="76AA603F">
            <w:pPr>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证书名称</w:t>
            </w:r>
          </w:p>
        </w:tc>
        <w:tc>
          <w:tcPr>
            <w:tcW w:w="1575" w:type="dxa"/>
            <w:noWrap w:val="0"/>
            <w:vAlign w:val="center"/>
          </w:tcPr>
          <w:p w14:paraId="1A0099FC">
            <w:pPr>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级别</w:t>
            </w:r>
          </w:p>
        </w:tc>
        <w:tc>
          <w:tcPr>
            <w:tcW w:w="1787" w:type="dxa"/>
            <w:noWrap w:val="0"/>
            <w:vAlign w:val="center"/>
          </w:tcPr>
          <w:p w14:paraId="5498D1F4">
            <w:pPr>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专业</w:t>
            </w:r>
          </w:p>
        </w:tc>
        <w:tc>
          <w:tcPr>
            <w:tcW w:w="1329" w:type="dxa"/>
            <w:noWrap w:val="0"/>
            <w:vAlign w:val="center"/>
          </w:tcPr>
          <w:p w14:paraId="25C1DB93">
            <w:pPr>
              <w:spacing w:line="240" w:lineRule="auto"/>
              <w:rPr>
                <w:rFonts w:hint="eastAsia" w:ascii="宋体" w:hAnsi="宋体" w:eastAsia="宋体" w:cs="宋体"/>
                <w:color w:val="auto"/>
                <w:sz w:val="24"/>
                <w:szCs w:val="24"/>
                <w:highlight w:val="none"/>
              </w:rPr>
            </w:pPr>
          </w:p>
        </w:tc>
      </w:tr>
      <w:tr w14:paraId="0150A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902" w:type="dxa"/>
            <w:noWrap w:val="0"/>
            <w:vAlign w:val="top"/>
          </w:tcPr>
          <w:p w14:paraId="2CA451B5">
            <w:pPr>
              <w:spacing w:line="240" w:lineRule="auto"/>
              <w:rPr>
                <w:rFonts w:hint="eastAsia" w:ascii="宋体" w:hAnsi="宋体" w:eastAsia="宋体" w:cs="宋体"/>
                <w:color w:val="auto"/>
                <w:sz w:val="24"/>
                <w:szCs w:val="24"/>
                <w:highlight w:val="none"/>
              </w:rPr>
            </w:pPr>
          </w:p>
        </w:tc>
        <w:tc>
          <w:tcPr>
            <w:tcW w:w="989" w:type="dxa"/>
            <w:noWrap w:val="0"/>
            <w:vAlign w:val="top"/>
          </w:tcPr>
          <w:p w14:paraId="34F193C8">
            <w:pPr>
              <w:spacing w:line="240" w:lineRule="auto"/>
              <w:rPr>
                <w:rFonts w:hint="eastAsia" w:ascii="宋体" w:hAnsi="宋体" w:eastAsia="宋体" w:cs="宋体"/>
                <w:color w:val="auto"/>
                <w:sz w:val="24"/>
                <w:szCs w:val="24"/>
                <w:highlight w:val="none"/>
              </w:rPr>
            </w:pPr>
          </w:p>
        </w:tc>
        <w:tc>
          <w:tcPr>
            <w:tcW w:w="1050" w:type="dxa"/>
            <w:noWrap w:val="0"/>
            <w:vAlign w:val="top"/>
          </w:tcPr>
          <w:p w14:paraId="4BAC34CD">
            <w:pPr>
              <w:spacing w:line="240" w:lineRule="auto"/>
              <w:rPr>
                <w:rFonts w:hint="eastAsia" w:ascii="宋体" w:hAnsi="宋体" w:eastAsia="宋体" w:cs="宋体"/>
                <w:color w:val="auto"/>
                <w:sz w:val="24"/>
                <w:szCs w:val="24"/>
                <w:highlight w:val="none"/>
              </w:rPr>
            </w:pPr>
          </w:p>
        </w:tc>
        <w:tc>
          <w:tcPr>
            <w:tcW w:w="1773" w:type="dxa"/>
            <w:noWrap w:val="0"/>
            <w:vAlign w:val="top"/>
          </w:tcPr>
          <w:p w14:paraId="21059E53">
            <w:pPr>
              <w:spacing w:line="240" w:lineRule="auto"/>
              <w:rPr>
                <w:rFonts w:hint="eastAsia" w:ascii="宋体" w:hAnsi="宋体" w:eastAsia="宋体" w:cs="宋体"/>
                <w:color w:val="auto"/>
                <w:sz w:val="24"/>
                <w:szCs w:val="24"/>
                <w:highlight w:val="none"/>
              </w:rPr>
            </w:pPr>
          </w:p>
        </w:tc>
        <w:tc>
          <w:tcPr>
            <w:tcW w:w="1575" w:type="dxa"/>
            <w:noWrap w:val="0"/>
            <w:vAlign w:val="top"/>
          </w:tcPr>
          <w:p w14:paraId="6CFA359C">
            <w:pPr>
              <w:spacing w:line="240" w:lineRule="auto"/>
              <w:rPr>
                <w:rFonts w:hint="eastAsia" w:ascii="宋体" w:hAnsi="宋体" w:eastAsia="宋体" w:cs="宋体"/>
                <w:color w:val="auto"/>
                <w:sz w:val="24"/>
                <w:szCs w:val="24"/>
                <w:highlight w:val="none"/>
              </w:rPr>
            </w:pPr>
          </w:p>
        </w:tc>
        <w:tc>
          <w:tcPr>
            <w:tcW w:w="1787" w:type="dxa"/>
            <w:noWrap w:val="0"/>
            <w:vAlign w:val="top"/>
          </w:tcPr>
          <w:p w14:paraId="040FB361">
            <w:pPr>
              <w:spacing w:line="240" w:lineRule="auto"/>
              <w:rPr>
                <w:rFonts w:hint="eastAsia" w:ascii="宋体" w:hAnsi="宋体" w:eastAsia="宋体" w:cs="宋体"/>
                <w:color w:val="auto"/>
                <w:sz w:val="24"/>
                <w:szCs w:val="24"/>
                <w:highlight w:val="none"/>
              </w:rPr>
            </w:pPr>
          </w:p>
        </w:tc>
        <w:tc>
          <w:tcPr>
            <w:tcW w:w="1329" w:type="dxa"/>
            <w:noWrap w:val="0"/>
            <w:vAlign w:val="top"/>
          </w:tcPr>
          <w:p w14:paraId="3D0DDFBB">
            <w:pPr>
              <w:spacing w:line="240" w:lineRule="auto"/>
              <w:rPr>
                <w:rFonts w:hint="eastAsia" w:ascii="宋体" w:hAnsi="宋体" w:eastAsia="宋体" w:cs="宋体"/>
                <w:color w:val="auto"/>
                <w:sz w:val="24"/>
                <w:szCs w:val="24"/>
                <w:highlight w:val="none"/>
              </w:rPr>
            </w:pPr>
          </w:p>
        </w:tc>
      </w:tr>
      <w:tr w14:paraId="4EE03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902" w:type="dxa"/>
            <w:noWrap w:val="0"/>
            <w:vAlign w:val="top"/>
          </w:tcPr>
          <w:p w14:paraId="1910505D">
            <w:pPr>
              <w:spacing w:line="240" w:lineRule="auto"/>
              <w:rPr>
                <w:rFonts w:hint="eastAsia" w:ascii="宋体" w:hAnsi="宋体" w:eastAsia="宋体" w:cs="宋体"/>
                <w:color w:val="auto"/>
                <w:sz w:val="24"/>
                <w:szCs w:val="24"/>
                <w:highlight w:val="none"/>
              </w:rPr>
            </w:pPr>
          </w:p>
        </w:tc>
        <w:tc>
          <w:tcPr>
            <w:tcW w:w="989" w:type="dxa"/>
            <w:noWrap w:val="0"/>
            <w:vAlign w:val="top"/>
          </w:tcPr>
          <w:p w14:paraId="28157484">
            <w:pPr>
              <w:spacing w:line="240" w:lineRule="auto"/>
              <w:rPr>
                <w:rFonts w:hint="eastAsia" w:ascii="宋体" w:hAnsi="宋体" w:eastAsia="宋体" w:cs="宋体"/>
                <w:color w:val="auto"/>
                <w:sz w:val="24"/>
                <w:szCs w:val="24"/>
                <w:highlight w:val="none"/>
              </w:rPr>
            </w:pPr>
          </w:p>
        </w:tc>
        <w:tc>
          <w:tcPr>
            <w:tcW w:w="1050" w:type="dxa"/>
            <w:noWrap w:val="0"/>
            <w:vAlign w:val="top"/>
          </w:tcPr>
          <w:p w14:paraId="11B19006">
            <w:pPr>
              <w:spacing w:line="240" w:lineRule="auto"/>
              <w:rPr>
                <w:rFonts w:hint="eastAsia" w:ascii="宋体" w:hAnsi="宋体" w:eastAsia="宋体" w:cs="宋体"/>
                <w:color w:val="auto"/>
                <w:sz w:val="24"/>
                <w:szCs w:val="24"/>
                <w:highlight w:val="none"/>
              </w:rPr>
            </w:pPr>
          </w:p>
        </w:tc>
        <w:tc>
          <w:tcPr>
            <w:tcW w:w="1773" w:type="dxa"/>
            <w:noWrap w:val="0"/>
            <w:vAlign w:val="top"/>
          </w:tcPr>
          <w:p w14:paraId="737F8F8A">
            <w:pPr>
              <w:spacing w:line="240" w:lineRule="auto"/>
              <w:rPr>
                <w:rFonts w:hint="eastAsia" w:ascii="宋体" w:hAnsi="宋体" w:eastAsia="宋体" w:cs="宋体"/>
                <w:color w:val="auto"/>
                <w:sz w:val="24"/>
                <w:szCs w:val="24"/>
                <w:highlight w:val="none"/>
              </w:rPr>
            </w:pPr>
          </w:p>
        </w:tc>
        <w:tc>
          <w:tcPr>
            <w:tcW w:w="1575" w:type="dxa"/>
            <w:noWrap w:val="0"/>
            <w:vAlign w:val="top"/>
          </w:tcPr>
          <w:p w14:paraId="47AB3CCE">
            <w:pPr>
              <w:spacing w:line="240" w:lineRule="auto"/>
              <w:rPr>
                <w:rFonts w:hint="eastAsia" w:ascii="宋体" w:hAnsi="宋体" w:eastAsia="宋体" w:cs="宋体"/>
                <w:color w:val="auto"/>
                <w:sz w:val="24"/>
                <w:szCs w:val="24"/>
                <w:highlight w:val="none"/>
              </w:rPr>
            </w:pPr>
          </w:p>
        </w:tc>
        <w:tc>
          <w:tcPr>
            <w:tcW w:w="1787" w:type="dxa"/>
            <w:noWrap w:val="0"/>
            <w:vAlign w:val="top"/>
          </w:tcPr>
          <w:p w14:paraId="3B8F44FC">
            <w:pPr>
              <w:spacing w:line="240" w:lineRule="auto"/>
              <w:rPr>
                <w:rFonts w:hint="eastAsia" w:ascii="宋体" w:hAnsi="宋体" w:eastAsia="宋体" w:cs="宋体"/>
                <w:color w:val="auto"/>
                <w:sz w:val="24"/>
                <w:szCs w:val="24"/>
                <w:highlight w:val="none"/>
              </w:rPr>
            </w:pPr>
          </w:p>
        </w:tc>
        <w:tc>
          <w:tcPr>
            <w:tcW w:w="1329" w:type="dxa"/>
            <w:noWrap w:val="0"/>
            <w:vAlign w:val="top"/>
          </w:tcPr>
          <w:p w14:paraId="373FFD66">
            <w:pPr>
              <w:spacing w:line="240" w:lineRule="auto"/>
              <w:rPr>
                <w:rFonts w:hint="eastAsia" w:ascii="宋体" w:hAnsi="宋体" w:eastAsia="宋体" w:cs="宋体"/>
                <w:color w:val="auto"/>
                <w:sz w:val="24"/>
                <w:szCs w:val="24"/>
                <w:highlight w:val="none"/>
              </w:rPr>
            </w:pPr>
          </w:p>
        </w:tc>
      </w:tr>
      <w:tr w14:paraId="167BC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902" w:type="dxa"/>
            <w:noWrap w:val="0"/>
            <w:vAlign w:val="top"/>
          </w:tcPr>
          <w:p w14:paraId="5A0D1C69">
            <w:pPr>
              <w:spacing w:line="240" w:lineRule="auto"/>
              <w:rPr>
                <w:rFonts w:hint="eastAsia" w:ascii="宋体" w:hAnsi="宋体" w:eastAsia="宋体" w:cs="宋体"/>
                <w:color w:val="auto"/>
                <w:sz w:val="24"/>
                <w:szCs w:val="24"/>
                <w:highlight w:val="none"/>
              </w:rPr>
            </w:pPr>
          </w:p>
        </w:tc>
        <w:tc>
          <w:tcPr>
            <w:tcW w:w="989" w:type="dxa"/>
            <w:noWrap w:val="0"/>
            <w:vAlign w:val="top"/>
          </w:tcPr>
          <w:p w14:paraId="3001DE46">
            <w:pPr>
              <w:spacing w:line="240" w:lineRule="auto"/>
              <w:rPr>
                <w:rFonts w:hint="eastAsia" w:ascii="宋体" w:hAnsi="宋体" w:eastAsia="宋体" w:cs="宋体"/>
                <w:color w:val="auto"/>
                <w:sz w:val="24"/>
                <w:szCs w:val="24"/>
                <w:highlight w:val="none"/>
              </w:rPr>
            </w:pPr>
          </w:p>
        </w:tc>
        <w:tc>
          <w:tcPr>
            <w:tcW w:w="1050" w:type="dxa"/>
            <w:noWrap w:val="0"/>
            <w:vAlign w:val="top"/>
          </w:tcPr>
          <w:p w14:paraId="6A462341">
            <w:pPr>
              <w:spacing w:line="240" w:lineRule="auto"/>
              <w:rPr>
                <w:rFonts w:hint="eastAsia" w:ascii="宋体" w:hAnsi="宋体" w:eastAsia="宋体" w:cs="宋体"/>
                <w:color w:val="auto"/>
                <w:sz w:val="24"/>
                <w:szCs w:val="24"/>
                <w:highlight w:val="none"/>
              </w:rPr>
            </w:pPr>
          </w:p>
        </w:tc>
        <w:tc>
          <w:tcPr>
            <w:tcW w:w="1773" w:type="dxa"/>
            <w:noWrap w:val="0"/>
            <w:vAlign w:val="top"/>
          </w:tcPr>
          <w:p w14:paraId="4F36AC31">
            <w:pPr>
              <w:spacing w:line="240" w:lineRule="auto"/>
              <w:rPr>
                <w:rFonts w:hint="eastAsia" w:ascii="宋体" w:hAnsi="宋体" w:eastAsia="宋体" w:cs="宋体"/>
                <w:color w:val="auto"/>
                <w:sz w:val="24"/>
                <w:szCs w:val="24"/>
                <w:highlight w:val="none"/>
              </w:rPr>
            </w:pPr>
          </w:p>
        </w:tc>
        <w:tc>
          <w:tcPr>
            <w:tcW w:w="1575" w:type="dxa"/>
            <w:noWrap w:val="0"/>
            <w:vAlign w:val="top"/>
          </w:tcPr>
          <w:p w14:paraId="107C8221">
            <w:pPr>
              <w:spacing w:line="240" w:lineRule="auto"/>
              <w:rPr>
                <w:rFonts w:hint="eastAsia" w:ascii="宋体" w:hAnsi="宋体" w:eastAsia="宋体" w:cs="宋体"/>
                <w:color w:val="auto"/>
                <w:sz w:val="24"/>
                <w:szCs w:val="24"/>
                <w:highlight w:val="none"/>
              </w:rPr>
            </w:pPr>
          </w:p>
        </w:tc>
        <w:tc>
          <w:tcPr>
            <w:tcW w:w="1787" w:type="dxa"/>
            <w:noWrap w:val="0"/>
            <w:vAlign w:val="top"/>
          </w:tcPr>
          <w:p w14:paraId="0B80A024">
            <w:pPr>
              <w:spacing w:line="240" w:lineRule="auto"/>
              <w:rPr>
                <w:rFonts w:hint="eastAsia" w:ascii="宋体" w:hAnsi="宋体" w:eastAsia="宋体" w:cs="宋体"/>
                <w:color w:val="auto"/>
                <w:sz w:val="24"/>
                <w:szCs w:val="24"/>
                <w:highlight w:val="none"/>
              </w:rPr>
            </w:pPr>
          </w:p>
        </w:tc>
        <w:tc>
          <w:tcPr>
            <w:tcW w:w="1329" w:type="dxa"/>
            <w:noWrap w:val="0"/>
            <w:vAlign w:val="top"/>
          </w:tcPr>
          <w:p w14:paraId="315F7880">
            <w:pPr>
              <w:spacing w:line="240" w:lineRule="auto"/>
              <w:rPr>
                <w:rFonts w:hint="eastAsia" w:ascii="宋体" w:hAnsi="宋体" w:eastAsia="宋体" w:cs="宋体"/>
                <w:color w:val="auto"/>
                <w:sz w:val="24"/>
                <w:szCs w:val="24"/>
                <w:highlight w:val="none"/>
              </w:rPr>
            </w:pPr>
          </w:p>
        </w:tc>
      </w:tr>
      <w:tr w14:paraId="14123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902" w:type="dxa"/>
            <w:noWrap w:val="0"/>
            <w:vAlign w:val="top"/>
          </w:tcPr>
          <w:p w14:paraId="4CD1F299">
            <w:pPr>
              <w:spacing w:line="240" w:lineRule="auto"/>
              <w:rPr>
                <w:rFonts w:hint="eastAsia" w:ascii="宋体" w:hAnsi="宋体" w:eastAsia="宋体" w:cs="宋体"/>
                <w:color w:val="auto"/>
                <w:sz w:val="24"/>
                <w:szCs w:val="24"/>
                <w:highlight w:val="none"/>
              </w:rPr>
            </w:pPr>
          </w:p>
        </w:tc>
        <w:tc>
          <w:tcPr>
            <w:tcW w:w="989" w:type="dxa"/>
            <w:noWrap w:val="0"/>
            <w:vAlign w:val="top"/>
          </w:tcPr>
          <w:p w14:paraId="78250C14">
            <w:pPr>
              <w:spacing w:line="240" w:lineRule="auto"/>
              <w:rPr>
                <w:rFonts w:hint="eastAsia" w:ascii="宋体" w:hAnsi="宋体" w:eastAsia="宋体" w:cs="宋体"/>
                <w:color w:val="auto"/>
                <w:sz w:val="24"/>
                <w:szCs w:val="24"/>
                <w:highlight w:val="none"/>
              </w:rPr>
            </w:pPr>
          </w:p>
        </w:tc>
        <w:tc>
          <w:tcPr>
            <w:tcW w:w="1050" w:type="dxa"/>
            <w:noWrap w:val="0"/>
            <w:vAlign w:val="top"/>
          </w:tcPr>
          <w:p w14:paraId="6D3E2DBB">
            <w:pPr>
              <w:spacing w:line="240" w:lineRule="auto"/>
              <w:rPr>
                <w:rFonts w:hint="eastAsia" w:ascii="宋体" w:hAnsi="宋体" w:eastAsia="宋体" w:cs="宋体"/>
                <w:color w:val="auto"/>
                <w:sz w:val="24"/>
                <w:szCs w:val="24"/>
                <w:highlight w:val="none"/>
              </w:rPr>
            </w:pPr>
          </w:p>
        </w:tc>
        <w:tc>
          <w:tcPr>
            <w:tcW w:w="1773" w:type="dxa"/>
            <w:noWrap w:val="0"/>
            <w:vAlign w:val="top"/>
          </w:tcPr>
          <w:p w14:paraId="5B362699">
            <w:pPr>
              <w:spacing w:line="240" w:lineRule="auto"/>
              <w:rPr>
                <w:rFonts w:hint="eastAsia" w:ascii="宋体" w:hAnsi="宋体" w:eastAsia="宋体" w:cs="宋体"/>
                <w:color w:val="auto"/>
                <w:sz w:val="24"/>
                <w:szCs w:val="24"/>
                <w:highlight w:val="none"/>
              </w:rPr>
            </w:pPr>
          </w:p>
        </w:tc>
        <w:tc>
          <w:tcPr>
            <w:tcW w:w="1575" w:type="dxa"/>
            <w:noWrap w:val="0"/>
            <w:vAlign w:val="top"/>
          </w:tcPr>
          <w:p w14:paraId="630AC69E">
            <w:pPr>
              <w:spacing w:line="240" w:lineRule="auto"/>
              <w:rPr>
                <w:rFonts w:hint="eastAsia" w:ascii="宋体" w:hAnsi="宋体" w:eastAsia="宋体" w:cs="宋体"/>
                <w:color w:val="auto"/>
                <w:sz w:val="24"/>
                <w:szCs w:val="24"/>
                <w:highlight w:val="none"/>
              </w:rPr>
            </w:pPr>
          </w:p>
        </w:tc>
        <w:tc>
          <w:tcPr>
            <w:tcW w:w="1787" w:type="dxa"/>
            <w:noWrap w:val="0"/>
            <w:vAlign w:val="top"/>
          </w:tcPr>
          <w:p w14:paraId="45380A7E">
            <w:pPr>
              <w:spacing w:line="240" w:lineRule="auto"/>
              <w:rPr>
                <w:rFonts w:hint="eastAsia" w:ascii="宋体" w:hAnsi="宋体" w:eastAsia="宋体" w:cs="宋体"/>
                <w:color w:val="auto"/>
                <w:sz w:val="24"/>
                <w:szCs w:val="24"/>
                <w:highlight w:val="none"/>
              </w:rPr>
            </w:pPr>
          </w:p>
        </w:tc>
        <w:tc>
          <w:tcPr>
            <w:tcW w:w="1329" w:type="dxa"/>
            <w:noWrap w:val="0"/>
            <w:vAlign w:val="top"/>
          </w:tcPr>
          <w:p w14:paraId="7081DC28">
            <w:pPr>
              <w:spacing w:line="240" w:lineRule="auto"/>
              <w:rPr>
                <w:rFonts w:hint="eastAsia" w:ascii="宋体" w:hAnsi="宋体" w:eastAsia="宋体" w:cs="宋体"/>
                <w:color w:val="auto"/>
                <w:sz w:val="24"/>
                <w:szCs w:val="24"/>
                <w:highlight w:val="none"/>
              </w:rPr>
            </w:pPr>
          </w:p>
        </w:tc>
      </w:tr>
      <w:tr w14:paraId="397FF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902" w:type="dxa"/>
            <w:noWrap w:val="0"/>
            <w:vAlign w:val="top"/>
          </w:tcPr>
          <w:p w14:paraId="7EFBA405">
            <w:pPr>
              <w:spacing w:line="240" w:lineRule="auto"/>
              <w:rPr>
                <w:rFonts w:hint="eastAsia" w:ascii="宋体" w:hAnsi="宋体" w:eastAsia="宋体" w:cs="宋体"/>
                <w:color w:val="auto"/>
                <w:sz w:val="24"/>
                <w:szCs w:val="24"/>
                <w:highlight w:val="none"/>
              </w:rPr>
            </w:pPr>
          </w:p>
        </w:tc>
        <w:tc>
          <w:tcPr>
            <w:tcW w:w="989" w:type="dxa"/>
            <w:noWrap w:val="0"/>
            <w:vAlign w:val="top"/>
          </w:tcPr>
          <w:p w14:paraId="076B9127">
            <w:pPr>
              <w:spacing w:line="240" w:lineRule="auto"/>
              <w:rPr>
                <w:rFonts w:hint="eastAsia" w:ascii="宋体" w:hAnsi="宋体" w:eastAsia="宋体" w:cs="宋体"/>
                <w:color w:val="auto"/>
                <w:sz w:val="24"/>
                <w:szCs w:val="24"/>
                <w:highlight w:val="none"/>
              </w:rPr>
            </w:pPr>
          </w:p>
        </w:tc>
        <w:tc>
          <w:tcPr>
            <w:tcW w:w="1050" w:type="dxa"/>
            <w:noWrap w:val="0"/>
            <w:vAlign w:val="top"/>
          </w:tcPr>
          <w:p w14:paraId="18F77E7F">
            <w:pPr>
              <w:spacing w:line="240" w:lineRule="auto"/>
              <w:rPr>
                <w:rFonts w:hint="eastAsia" w:ascii="宋体" w:hAnsi="宋体" w:eastAsia="宋体" w:cs="宋体"/>
                <w:color w:val="auto"/>
                <w:sz w:val="24"/>
                <w:szCs w:val="24"/>
                <w:highlight w:val="none"/>
              </w:rPr>
            </w:pPr>
          </w:p>
        </w:tc>
        <w:tc>
          <w:tcPr>
            <w:tcW w:w="1773" w:type="dxa"/>
            <w:noWrap w:val="0"/>
            <w:vAlign w:val="top"/>
          </w:tcPr>
          <w:p w14:paraId="4229710A">
            <w:pPr>
              <w:spacing w:line="240" w:lineRule="auto"/>
              <w:rPr>
                <w:rFonts w:hint="eastAsia" w:ascii="宋体" w:hAnsi="宋体" w:eastAsia="宋体" w:cs="宋体"/>
                <w:color w:val="auto"/>
                <w:sz w:val="24"/>
                <w:szCs w:val="24"/>
                <w:highlight w:val="none"/>
              </w:rPr>
            </w:pPr>
          </w:p>
        </w:tc>
        <w:tc>
          <w:tcPr>
            <w:tcW w:w="1575" w:type="dxa"/>
            <w:noWrap w:val="0"/>
            <w:vAlign w:val="top"/>
          </w:tcPr>
          <w:p w14:paraId="60A8D671">
            <w:pPr>
              <w:spacing w:line="240" w:lineRule="auto"/>
              <w:rPr>
                <w:rFonts w:hint="eastAsia" w:ascii="宋体" w:hAnsi="宋体" w:eastAsia="宋体" w:cs="宋体"/>
                <w:color w:val="auto"/>
                <w:sz w:val="24"/>
                <w:szCs w:val="24"/>
                <w:highlight w:val="none"/>
              </w:rPr>
            </w:pPr>
          </w:p>
        </w:tc>
        <w:tc>
          <w:tcPr>
            <w:tcW w:w="1787" w:type="dxa"/>
            <w:noWrap w:val="0"/>
            <w:vAlign w:val="top"/>
          </w:tcPr>
          <w:p w14:paraId="446ADA88">
            <w:pPr>
              <w:spacing w:line="240" w:lineRule="auto"/>
              <w:rPr>
                <w:rFonts w:hint="eastAsia" w:ascii="宋体" w:hAnsi="宋体" w:eastAsia="宋体" w:cs="宋体"/>
                <w:color w:val="auto"/>
                <w:sz w:val="24"/>
                <w:szCs w:val="24"/>
                <w:highlight w:val="none"/>
              </w:rPr>
            </w:pPr>
          </w:p>
        </w:tc>
        <w:tc>
          <w:tcPr>
            <w:tcW w:w="1329" w:type="dxa"/>
            <w:noWrap w:val="0"/>
            <w:vAlign w:val="top"/>
          </w:tcPr>
          <w:p w14:paraId="60BC1DD9">
            <w:pPr>
              <w:spacing w:line="240" w:lineRule="auto"/>
              <w:rPr>
                <w:rFonts w:hint="eastAsia" w:ascii="宋体" w:hAnsi="宋体" w:eastAsia="宋体" w:cs="宋体"/>
                <w:color w:val="auto"/>
                <w:sz w:val="24"/>
                <w:szCs w:val="24"/>
                <w:highlight w:val="none"/>
              </w:rPr>
            </w:pPr>
          </w:p>
        </w:tc>
      </w:tr>
      <w:tr w14:paraId="5AE43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902" w:type="dxa"/>
            <w:noWrap w:val="0"/>
            <w:vAlign w:val="top"/>
          </w:tcPr>
          <w:p w14:paraId="4EB31660">
            <w:pPr>
              <w:spacing w:line="240" w:lineRule="auto"/>
              <w:rPr>
                <w:rFonts w:hint="eastAsia" w:ascii="宋体" w:hAnsi="宋体" w:eastAsia="宋体" w:cs="宋体"/>
                <w:color w:val="auto"/>
                <w:sz w:val="24"/>
                <w:szCs w:val="24"/>
                <w:highlight w:val="none"/>
              </w:rPr>
            </w:pPr>
          </w:p>
        </w:tc>
        <w:tc>
          <w:tcPr>
            <w:tcW w:w="989" w:type="dxa"/>
            <w:noWrap w:val="0"/>
            <w:vAlign w:val="top"/>
          </w:tcPr>
          <w:p w14:paraId="3DC440D6">
            <w:pPr>
              <w:spacing w:line="240" w:lineRule="auto"/>
              <w:rPr>
                <w:rFonts w:hint="eastAsia" w:ascii="宋体" w:hAnsi="宋体" w:eastAsia="宋体" w:cs="宋体"/>
                <w:color w:val="auto"/>
                <w:sz w:val="24"/>
                <w:szCs w:val="24"/>
                <w:highlight w:val="none"/>
              </w:rPr>
            </w:pPr>
          </w:p>
        </w:tc>
        <w:tc>
          <w:tcPr>
            <w:tcW w:w="1050" w:type="dxa"/>
            <w:noWrap w:val="0"/>
            <w:vAlign w:val="top"/>
          </w:tcPr>
          <w:p w14:paraId="21EEA90B">
            <w:pPr>
              <w:spacing w:line="240" w:lineRule="auto"/>
              <w:rPr>
                <w:rFonts w:hint="eastAsia" w:ascii="宋体" w:hAnsi="宋体" w:eastAsia="宋体" w:cs="宋体"/>
                <w:color w:val="auto"/>
                <w:sz w:val="24"/>
                <w:szCs w:val="24"/>
                <w:highlight w:val="none"/>
              </w:rPr>
            </w:pPr>
          </w:p>
        </w:tc>
        <w:tc>
          <w:tcPr>
            <w:tcW w:w="1773" w:type="dxa"/>
            <w:noWrap w:val="0"/>
            <w:vAlign w:val="top"/>
          </w:tcPr>
          <w:p w14:paraId="018F2CC8">
            <w:pPr>
              <w:spacing w:line="240" w:lineRule="auto"/>
              <w:rPr>
                <w:rFonts w:hint="eastAsia" w:ascii="宋体" w:hAnsi="宋体" w:eastAsia="宋体" w:cs="宋体"/>
                <w:color w:val="auto"/>
                <w:sz w:val="24"/>
                <w:szCs w:val="24"/>
                <w:highlight w:val="none"/>
              </w:rPr>
            </w:pPr>
          </w:p>
        </w:tc>
        <w:tc>
          <w:tcPr>
            <w:tcW w:w="1575" w:type="dxa"/>
            <w:noWrap w:val="0"/>
            <w:vAlign w:val="top"/>
          </w:tcPr>
          <w:p w14:paraId="3C740C09">
            <w:pPr>
              <w:spacing w:line="240" w:lineRule="auto"/>
              <w:rPr>
                <w:rFonts w:hint="eastAsia" w:ascii="宋体" w:hAnsi="宋体" w:eastAsia="宋体" w:cs="宋体"/>
                <w:color w:val="auto"/>
                <w:sz w:val="24"/>
                <w:szCs w:val="24"/>
                <w:highlight w:val="none"/>
              </w:rPr>
            </w:pPr>
          </w:p>
        </w:tc>
        <w:tc>
          <w:tcPr>
            <w:tcW w:w="1787" w:type="dxa"/>
            <w:noWrap w:val="0"/>
            <w:vAlign w:val="top"/>
          </w:tcPr>
          <w:p w14:paraId="1C6129A0">
            <w:pPr>
              <w:spacing w:line="240" w:lineRule="auto"/>
              <w:rPr>
                <w:rFonts w:hint="eastAsia" w:ascii="宋体" w:hAnsi="宋体" w:eastAsia="宋体" w:cs="宋体"/>
                <w:color w:val="auto"/>
                <w:sz w:val="24"/>
                <w:szCs w:val="24"/>
                <w:highlight w:val="none"/>
              </w:rPr>
            </w:pPr>
          </w:p>
        </w:tc>
        <w:tc>
          <w:tcPr>
            <w:tcW w:w="1329" w:type="dxa"/>
            <w:noWrap w:val="0"/>
            <w:vAlign w:val="top"/>
          </w:tcPr>
          <w:p w14:paraId="26EAA68E">
            <w:pPr>
              <w:spacing w:line="240" w:lineRule="auto"/>
              <w:rPr>
                <w:rFonts w:hint="eastAsia" w:ascii="宋体" w:hAnsi="宋体" w:eastAsia="宋体" w:cs="宋体"/>
                <w:color w:val="auto"/>
                <w:sz w:val="24"/>
                <w:szCs w:val="24"/>
                <w:highlight w:val="none"/>
              </w:rPr>
            </w:pPr>
          </w:p>
        </w:tc>
      </w:tr>
      <w:tr w14:paraId="60B06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902" w:type="dxa"/>
            <w:noWrap w:val="0"/>
            <w:vAlign w:val="top"/>
          </w:tcPr>
          <w:p w14:paraId="24AA54B7">
            <w:pPr>
              <w:spacing w:line="240" w:lineRule="auto"/>
              <w:rPr>
                <w:rFonts w:hint="eastAsia" w:ascii="宋体" w:hAnsi="宋体" w:eastAsia="宋体" w:cs="宋体"/>
                <w:color w:val="auto"/>
                <w:sz w:val="24"/>
                <w:szCs w:val="24"/>
                <w:highlight w:val="none"/>
              </w:rPr>
            </w:pPr>
          </w:p>
        </w:tc>
        <w:tc>
          <w:tcPr>
            <w:tcW w:w="989" w:type="dxa"/>
            <w:noWrap w:val="0"/>
            <w:vAlign w:val="top"/>
          </w:tcPr>
          <w:p w14:paraId="1ADD09B6">
            <w:pPr>
              <w:spacing w:line="240" w:lineRule="auto"/>
              <w:rPr>
                <w:rFonts w:hint="eastAsia" w:ascii="宋体" w:hAnsi="宋体" w:eastAsia="宋体" w:cs="宋体"/>
                <w:color w:val="auto"/>
                <w:sz w:val="24"/>
                <w:szCs w:val="24"/>
                <w:highlight w:val="none"/>
              </w:rPr>
            </w:pPr>
          </w:p>
        </w:tc>
        <w:tc>
          <w:tcPr>
            <w:tcW w:w="1050" w:type="dxa"/>
            <w:noWrap w:val="0"/>
            <w:vAlign w:val="top"/>
          </w:tcPr>
          <w:p w14:paraId="4CB4DF1D">
            <w:pPr>
              <w:spacing w:line="240" w:lineRule="auto"/>
              <w:rPr>
                <w:rFonts w:hint="eastAsia" w:ascii="宋体" w:hAnsi="宋体" w:eastAsia="宋体" w:cs="宋体"/>
                <w:color w:val="auto"/>
                <w:sz w:val="24"/>
                <w:szCs w:val="24"/>
                <w:highlight w:val="none"/>
              </w:rPr>
            </w:pPr>
          </w:p>
        </w:tc>
        <w:tc>
          <w:tcPr>
            <w:tcW w:w="1773" w:type="dxa"/>
            <w:noWrap w:val="0"/>
            <w:vAlign w:val="top"/>
          </w:tcPr>
          <w:p w14:paraId="75686CA5">
            <w:pPr>
              <w:spacing w:line="240" w:lineRule="auto"/>
              <w:rPr>
                <w:rFonts w:hint="eastAsia" w:ascii="宋体" w:hAnsi="宋体" w:eastAsia="宋体" w:cs="宋体"/>
                <w:color w:val="auto"/>
                <w:sz w:val="24"/>
                <w:szCs w:val="24"/>
                <w:highlight w:val="none"/>
              </w:rPr>
            </w:pPr>
          </w:p>
        </w:tc>
        <w:tc>
          <w:tcPr>
            <w:tcW w:w="1575" w:type="dxa"/>
            <w:noWrap w:val="0"/>
            <w:vAlign w:val="top"/>
          </w:tcPr>
          <w:p w14:paraId="12CC034E">
            <w:pPr>
              <w:spacing w:line="240" w:lineRule="auto"/>
              <w:rPr>
                <w:rFonts w:hint="eastAsia" w:ascii="宋体" w:hAnsi="宋体" w:eastAsia="宋体" w:cs="宋体"/>
                <w:color w:val="auto"/>
                <w:sz w:val="24"/>
                <w:szCs w:val="24"/>
                <w:highlight w:val="none"/>
              </w:rPr>
            </w:pPr>
          </w:p>
        </w:tc>
        <w:tc>
          <w:tcPr>
            <w:tcW w:w="1787" w:type="dxa"/>
            <w:noWrap w:val="0"/>
            <w:vAlign w:val="top"/>
          </w:tcPr>
          <w:p w14:paraId="04D6C3F6">
            <w:pPr>
              <w:spacing w:line="240" w:lineRule="auto"/>
              <w:rPr>
                <w:rFonts w:hint="eastAsia" w:ascii="宋体" w:hAnsi="宋体" w:eastAsia="宋体" w:cs="宋体"/>
                <w:color w:val="auto"/>
                <w:sz w:val="24"/>
                <w:szCs w:val="24"/>
                <w:highlight w:val="none"/>
              </w:rPr>
            </w:pPr>
          </w:p>
        </w:tc>
        <w:tc>
          <w:tcPr>
            <w:tcW w:w="1329" w:type="dxa"/>
            <w:noWrap w:val="0"/>
            <w:vAlign w:val="top"/>
          </w:tcPr>
          <w:p w14:paraId="1CAA693E">
            <w:pPr>
              <w:spacing w:line="240" w:lineRule="auto"/>
              <w:rPr>
                <w:rFonts w:hint="eastAsia" w:ascii="宋体" w:hAnsi="宋体" w:eastAsia="宋体" w:cs="宋体"/>
                <w:color w:val="auto"/>
                <w:sz w:val="24"/>
                <w:szCs w:val="24"/>
                <w:highlight w:val="none"/>
              </w:rPr>
            </w:pPr>
          </w:p>
        </w:tc>
      </w:tr>
      <w:tr w14:paraId="0A70C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902" w:type="dxa"/>
            <w:noWrap w:val="0"/>
            <w:vAlign w:val="top"/>
          </w:tcPr>
          <w:p w14:paraId="63116FCE">
            <w:pPr>
              <w:spacing w:line="240" w:lineRule="auto"/>
              <w:rPr>
                <w:rFonts w:hint="eastAsia" w:ascii="宋体" w:hAnsi="宋体" w:eastAsia="宋体" w:cs="宋体"/>
                <w:color w:val="auto"/>
                <w:sz w:val="24"/>
                <w:szCs w:val="24"/>
                <w:highlight w:val="none"/>
              </w:rPr>
            </w:pPr>
          </w:p>
        </w:tc>
        <w:tc>
          <w:tcPr>
            <w:tcW w:w="989" w:type="dxa"/>
            <w:noWrap w:val="0"/>
            <w:vAlign w:val="top"/>
          </w:tcPr>
          <w:p w14:paraId="712DC393">
            <w:pPr>
              <w:spacing w:line="240" w:lineRule="auto"/>
              <w:rPr>
                <w:rFonts w:hint="eastAsia" w:ascii="宋体" w:hAnsi="宋体" w:eastAsia="宋体" w:cs="宋体"/>
                <w:color w:val="auto"/>
                <w:sz w:val="24"/>
                <w:szCs w:val="24"/>
                <w:highlight w:val="none"/>
              </w:rPr>
            </w:pPr>
          </w:p>
        </w:tc>
        <w:tc>
          <w:tcPr>
            <w:tcW w:w="1050" w:type="dxa"/>
            <w:noWrap w:val="0"/>
            <w:vAlign w:val="top"/>
          </w:tcPr>
          <w:p w14:paraId="34EF459B">
            <w:pPr>
              <w:spacing w:line="240" w:lineRule="auto"/>
              <w:rPr>
                <w:rFonts w:hint="eastAsia" w:ascii="宋体" w:hAnsi="宋体" w:eastAsia="宋体" w:cs="宋体"/>
                <w:color w:val="auto"/>
                <w:sz w:val="24"/>
                <w:szCs w:val="24"/>
                <w:highlight w:val="none"/>
              </w:rPr>
            </w:pPr>
          </w:p>
        </w:tc>
        <w:tc>
          <w:tcPr>
            <w:tcW w:w="1773" w:type="dxa"/>
            <w:noWrap w:val="0"/>
            <w:vAlign w:val="top"/>
          </w:tcPr>
          <w:p w14:paraId="731C4AD0">
            <w:pPr>
              <w:spacing w:line="240" w:lineRule="auto"/>
              <w:rPr>
                <w:rFonts w:hint="eastAsia" w:ascii="宋体" w:hAnsi="宋体" w:eastAsia="宋体" w:cs="宋体"/>
                <w:color w:val="auto"/>
                <w:sz w:val="24"/>
                <w:szCs w:val="24"/>
                <w:highlight w:val="none"/>
              </w:rPr>
            </w:pPr>
          </w:p>
        </w:tc>
        <w:tc>
          <w:tcPr>
            <w:tcW w:w="1575" w:type="dxa"/>
            <w:noWrap w:val="0"/>
            <w:vAlign w:val="top"/>
          </w:tcPr>
          <w:p w14:paraId="1AA6FF47">
            <w:pPr>
              <w:spacing w:line="240" w:lineRule="auto"/>
              <w:rPr>
                <w:rFonts w:hint="eastAsia" w:ascii="宋体" w:hAnsi="宋体" w:eastAsia="宋体" w:cs="宋体"/>
                <w:color w:val="auto"/>
                <w:sz w:val="24"/>
                <w:szCs w:val="24"/>
                <w:highlight w:val="none"/>
              </w:rPr>
            </w:pPr>
          </w:p>
        </w:tc>
        <w:tc>
          <w:tcPr>
            <w:tcW w:w="1787" w:type="dxa"/>
            <w:noWrap w:val="0"/>
            <w:vAlign w:val="top"/>
          </w:tcPr>
          <w:p w14:paraId="0DD3EBE0">
            <w:pPr>
              <w:spacing w:line="240" w:lineRule="auto"/>
              <w:rPr>
                <w:rFonts w:hint="eastAsia" w:ascii="宋体" w:hAnsi="宋体" w:eastAsia="宋体" w:cs="宋体"/>
                <w:color w:val="auto"/>
                <w:sz w:val="24"/>
                <w:szCs w:val="24"/>
                <w:highlight w:val="none"/>
              </w:rPr>
            </w:pPr>
          </w:p>
        </w:tc>
        <w:tc>
          <w:tcPr>
            <w:tcW w:w="1329" w:type="dxa"/>
            <w:noWrap w:val="0"/>
            <w:vAlign w:val="top"/>
          </w:tcPr>
          <w:p w14:paraId="41DE91A0">
            <w:pPr>
              <w:spacing w:line="240" w:lineRule="auto"/>
              <w:rPr>
                <w:rFonts w:hint="eastAsia" w:ascii="宋体" w:hAnsi="宋体" w:eastAsia="宋体" w:cs="宋体"/>
                <w:color w:val="auto"/>
                <w:sz w:val="24"/>
                <w:szCs w:val="24"/>
                <w:highlight w:val="none"/>
              </w:rPr>
            </w:pPr>
          </w:p>
        </w:tc>
      </w:tr>
      <w:tr w14:paraId="4D240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902" w:type="dxa"/>
            <w:noWrap w:val="0"/>
            <w:vAlign w:val="top"/>
          </w:tcPr>
          <w:p w14:paraId="4351E8F2">
            <w:pPr>
              <w:spacing w:line="240" w:lineRule="auto"/>
              <w:rPr>
                <w:rFonts w:hint="eastAsia" w:ascii="宋体" w:hAnsi="宋体" w:eastAsia="宋体" w:cs="宋体"/>
                <w:color w:val="auto"/>
                <w:sz w:val="24"/>
                <w:szCs w:val="24"/>
                <w:highlight w:val="none"/>
              </w:rPr>
            </w:pPr>
          </w:p>
        </w:tc>
        <w:tc>
          <w:tcPr>
            <w:tcW w:w="989" w:type="dxa"/>
            <w:noWrap w:val="0"/>
            <w:vAlign w:val="top"/>
          </w:tcPr>
          <w:p w14:paraId="03012195">
            <w:pPr>
              <w:spacing w:line="240" w:lineRule="auto"/>
              <w:rPr>
                <w:rFonts w:hint="eastAsia" w:ascii="宋体" w:hAnsi="宋体" w:eastAsia="宋体" w:cs="宋体"/>
                <w:color w:val="auto"/>
                <w:sz w:val="24"/>
                <w:szCs w:val="24"/>
                <w:highlight w:val="none"/>
              </w:rPr>
            </w:pPr>
          </w:p>
        </w:tc>
        <w:tc>
          <w:tcPr>
            <w:tcW w:w="1050" w:type="dxa"/>
            <w:noWrap w:val="0"/>
            <w:vAlign w:val="top"/>
          </w:tcPr>
          <w:p w14:paraId="4C5DD1D5">
            <w:pPr>
              <w:spacing w:line="240" w:lineRule="auto"/>
              <w:rPr>
                <w:rFonts w:hint="eastAsia" w:ascii="宋体" w:hAnsi="宋体" w:eastAsia="宋体" w:cs="宋体"/>
                <w:color w:val="auto"/>
                <w:sz w:val="24"/>
                <w:szCs w:val="24"/>
                <w:highlight w:val="none"/>
              </w:rPr>
            </w:pPr>
          </w:p>
        </w:tc>
        <w:tc>
          <w:tcPr>
            <w:tcW w:w="1773" w:type="dxa"/>
            <w:noWrap w:val="0"/>
            <w:vAlign w:val="top"/>
          </w:tcPr>
          <w:p w14:paraId="36D4B888">
            <w:pPr>
              <w:spacing w:line="240" w:lineRule="auto"/>
              <w:rPr>
                <w:rFonts w:hint="eastAsia" w:ascii="宋体" w:hAnsi="宋体" w:eastAsia="宋体" w:cs="宋体"/>
                <w:color w:val="auto"/>
                <w:sz w:val="24"/>
                <w:szCs w:val="24"/>
                <w:highlight w:val="none"/>
              </w:rPr>
            </w:pPr>
          </w:p>
        </w:tc>
        <w:tc>
          <w:tcPr>
            <w:tcW w:w="1575" w:type="dxa"/>
            <w:noWrap w:val="0"/>
            <w:vAlign w:val="top"/>
          </w:tcPr>
          <w:p w14:paraId="0377DB57">
            <w:pPr>
              <w:spacing w:line="240" w:lineRule="auto"/>
              <w:rPr>
                <w:rFonts w:hint="eastAsia" w:ascii="宋体" w:hAnsi="宋体" w:eastAsia="宋体" w:cs="宋体"/>
                <w:color w:val="auto"/>
                <w:sz w:val="24"/>
                <w:szCs w:val="24"/>
                <w:highlight w:val="none"/>
              </w:rPr>
            </w:pPr>
          </w:p>
        </w:tc>
        <w:tc>
          <w:tcPr>
            <w:tcW w:w="1787" w:type="dxa"/>
            <w:noWrap w:val="0"/>
            <w:vAlign w:val="top"/>
          </w:tcPr>
          <w:p w14:paraId="1D4D8D9A">
            <w:pPr>
              <w:spacing w:line="240" w:lineRule="auto"/>
              <w:rPr>
                <w:rFonts w:hint="eastAsia" w:ascii="宋体" w:hAnsi="宋体" w:eastAsia="宋体" w:cs="宋体"/>
                <w:color w:val="auto"/>
                <w:sz w:val="24"/>
                <w:szCs w:val="24"/>
                <w:highlight w:val="none"/>
              </w:rPr>
            </w:pPr>
          </w:p>
        </w:tc>
        <w:tc>
          <w:tcPr>
            <w:tcW w:w="1329" w:type="dxa"/>
            <w:noWrap w:val="0"/>
            <w:vAlign w:val="top"/>
          </w:tcPr>
          <w:p w14:paraId="6AC282EE">
            <w:pPr>
              <w:spacing w:line="240" w:lineRule="auto"/>
              <w:rPr>
                <w:rFonts w:hint="eastAsia" w:ascii="宋体" w:hAnsi="宋体" w:eastAsia="宋体" w:cs="宋体"/>
                <w:color w:val="auto"/>
                <w:sz w:val="24"/>
                <w:szCs w:val="24"/>
                <w:highlight w:val="none"/>
              </w:rPr>
            </w:pPr>
          </w:p>
        </w:tc>
      </w:tr>
      <w:tr w14:paraId="51BBD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902" w:type="dxa"/>
            <w:noWrap w:val="0"/>
            <w:vAlign w:val="top"/>
          </w:tcPr>
          <w:p w14:paraId="40489C9C">
            <w:pPr>
              <w:spacing w:line="240" w:lineRule="auto"/>
              <w:rPr>
                <w:rFonts w:hint="eastAsia" w:ascii="宋体" w:hAnsi="宋体" w:eastAsia="宋体" w:cs="宋体"/>
                <w:color w:val="auto"/>
                <w:sz w:val="24"/>
                <w:szCs w:val="24"/>
                <w:highlight w:val="none"/>
              </w:rPr>
            </w:pPr>
          </w:p>
        </w:tc>
        <w:tc>
          <w:tcPr>
            <w:tcW w:w="989" w:type="dxa"/>
            <w:noWrap w:val="0"/>
            <w:vAlign w:val="top"/>
          </w:tcPr>
          <w:p w14:paraId="1B804A0C">
            <w:pPr>
              <w:spacing w:line="240" w:lineRule="auto"/>
              <w:rPr>
                <w:rFonts w:hint="eastAsia" w:ascii="宋体" w:hAnsi="宋体" w:eastAsia="宋体" w:cs="宋体"/>
                <w:color w:val="auto"/>
                <w:sz w:val="24"/>
                <w:szCs w:val="24"/>
                <w:highlight w:val="none"/>
              </w:rPr>
            </w:pPr>
          </w:p>
        </w:tc>
        <w:tc>
          <w:tcPr>
            <w:tcW w:w="1050" w:type="dxa"/>
            <w:noWrap w:val="0"/>
            <w:vAlign w:val="top"/>
          </w:tcPr>
          <w:p w14:paraId="3A5125EF">
            <w:pPr>
              <w:spacing w:line="240" w:lineRule="auto"/>
              <w:rPr>
                <w:rFonts w:hint="eastAsia" w:ascii="宋体" w:hAnsi="宋体" w:eastAsia="宋体" w:cs="宋体"/>
                <w:color w:val="auto"/>
                <w:sz w:val="24"/>
                <w:szCs w:val="24"/>
                <w:highlight w:val="none"/>
              </w:rPr>
            </w:pPr>
          </w:p>
        </w:tc>
        <w:tc>
          <w:tcPr>
            <w:tcW w:w="1773" w:type="dxa"/>
            <w:noWrap w:val="0"/>
            <w:vAlign w:val="top"/>
          </w:tcPr>
          <w:p w14:paraId="46C285A8">
            <w:pPr>
              <w:spacing w:line="240" w:lineRule="auto"/>
              <w:rPr>
                <w:rFonts w:hint="eastAsia" w:ascii="宋体" w:hAnsi="宋体" w:eastAsia="宋体" w:cs="宋体"/>
                <w:color w:val="auto"/>
                <w:sz w:val="24"/>
                <w:szCs w:val="24"/>
                <w:highlight w:val="none"/>
              </w:rPr>
            </w:pPr>
          </w:p>
        </w:tc>
        <w:tc>
          <w:tcPr>
            <w:tcW w:w="1575" w:type="dxa"/>
            <w:noWrap w:val="0"/>
            <w:vAlign w:val="top"/>
          </w:tcPr>
          <w:p w14:paraId="76168884">
            <w:pPr>
              <w:spacing w:line="240" w:lineRule="auto"/>
              <w:rPr>
                <w:rFonts w:hint="eastAsia" w:ascii="宋体" w:hAnsi="宋体" w:eastAsia="宋体" w:cs="宋体"/>
                <w:color w:val="auto"/>
                <w:sz w:val="24"/>
                <w:szCs w:val="24"/>
                <w:highlight w:val="none"/>
              </w:rPr>
            </w:pPr>
          </w:p>
        </w:tc>
        <w:tc>
          <w:tcPr>
            <w:tcW w:w="1787" w:type="dxa"/>
            <w:noWrap w:val="0"/>
            <w:vAlign w:val="top"/>
          </w:tcPr>
          <w:p w14:paraId="1096F89F">
            <w:pPr>
              <w:spacing w:line="240" w:lineRule="auto"/>
              <w:rPr>
                <w:rFonts w:hint="eastAsia" w:ascii="宋体" w:hAnsi="宋体" w:eastAsia="宋体" w:cs="宋体"/>
                <w:color w:val="auto"/>
                <w:sz w:val="24"/>
                <w:szCs w:val="24"/>
                <w:highlight w:val="none"/>
              </w:rPr>
            </w:pPr>
          </w:p>
        </w:tc>
        <w:tc>
          <w:tcPr>
            <w:tcW w:w="1329" w:type="dxa"/>
            <w:noWrap w:val="0"/>
            <w:vAlign w:val="top"/>
          </w:tcPr>
          <w:p w14:paraId="3E5DFE03">
            <w:pPr>
              <w:spacing w:line="240" w:lineRule="auto"/>
              <w:rPr>
                <w:rFonts w:hint="eastAsia" w:ascii="宋体" w:hAnsi="宋体" w:eastAsia="宋体" w:cs="宋体"/>
                <w:color w:val="auto"/>
                <w:sz w:val="24"/>
                <w:szCs w:val="24"/>
                <w:highlight w:val="none"/>
              </w:rPr>
            </w:pPr>
          </w:p>
        </w:tc>
      </w:tr>
      <w:tr w14:paraId="002EE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902" w:type="dxa"/>
            <w:noWrap w:val="0"/>
            <w:vAlign w:val="top"/>
          </w:tcPr>
          <w:p w14:paraId="64833D6E">
            <w:pPr>
              <w:spacing w:line="240" w:lineRule="auto"/>
              <w:rPr>
                <w:rFonts w:hint="eastAsia" w:ascii="宋体" w:hAnsi="宋体" w:eastAsia="宋体" w:cs="宋体"/>
                <w:color w:val="auto"/>
                <w:sz w:val="24"/>
                <w:szCs w:val="24"/>
                <w:highlight w:val="none"/>
              </w:rPr>
            </w:pPr>
          </w:p>
        </w:tc>
        <w:tc>
          <w:tcPr>
            <w:tcW w:w="989" w:type="dxa"/>
            <w:noWrap w:val="0"/>
            <w:vAlign w:val="top"/>
          </w:tcPr>
          <w:p w14:paraId="2AEA0477">
            <w:pPr>
              <w:spacing w:line="240" w:lineRule="auto"/>
              <w:rPr>
                <w:rFonts w:hint="eastAsia" w:ascii="宋体" w:hAnsi="宋体" w:eastAsia="宋体" w:cs="宋体"/>
                <w:color w:val="auto"/>
                <w:sz w:val="24"/>
                <w:szCs w:val="24"/>
                <w:highlight w:val="none"/>
              </w:rPr>
            </w:pPr>
          </w:p>
        </w:tc>
        <w:tc>
          <w:tcPr>
            <w:tcW w:w="1050" w:type="dxa"/>
            <w:noWrap w:val="0"/>
            <w:vAlign w:val="top"/>
          </w:tcPr>
          <w:p w14:paraId="1FB4B3F5">
            <w:pPr>
              <w:spacing w:line="240" w:lineRule="auto"/>
              <w:rPr>
                <w:rFonts w:hint="eastAsia" w:ascii="宋体" w:hAnsi="宋体" w:eastAsia="宋体" w:cs="宋体"/>
                <w:color w:val="auto"/>
                <w:sz w:val="24"/>
                <w:szCs w:val="24"/>
                <w:highlight w:val="none"/>
              </w:rPr>
            </w:pPr>
          </w:p>
        </w:tc>
        <w:tc>
          <w:tcPr>
            <w:tcW w:w="1773" w:type="dxa"/>
            <w:noWrap w:val="0"/>
            <w:vAlign w:val="top"/>
          </w:tcPr>
          <w:p w14:paraId="77EF0A06">
            <w:pPr>
              <w:spacing w:line="240" w:lineRule="auto"/>
              <w:rPr>
                <w:rFonts w:hint="eastAsia" w:ascii="宋体" w:hAnsi="宋体" w:eastAsia="宋体" w:cs="宋体"/>
                <w:color w:val="auto"/>
                <w:sz w:val="24"/>
                <w:szCs w:val="24"/>
                <w:highlight w:val="none"/>
              </w:rPr>
            </w:pPr>
          </w:p>
        </w:tc>
        <w:tc>
          <w:tcPr>
            <w:tcW w:w="1575" w:type="dxa"/>
            <w:noWrap w:val="0"/>
            <w:vAlign w:val="top"/>
          </w:tcPr>
          <w:p w14:paraId="663B508E">
            <w:pPr>
              <w:spacing w:line="240" w:lineRule="auto"/>
              <w:rPr>
                <w:rFonts w:hint="eastAsia" w:ascii="宋体" w:hAnsi="宋体" w:eastAsia="宋体" w:cs="宋体"/>
                <w:color w:val="auto"/>
                <w:sz w:val="24"/>
                <w:szCs w:val="24"/>
                <w:highlight w:val="none"/>
              </w:rPr>
            </w:pPr>
          </w:p>
        </w:tc>
        <w:tc>
          <w:tcPr>
            <w:tcW w:w="1787" w:type="dxa"/>
            <w:noWrap w:val="0"/>
            <w:vAlign w:val="top"/>
          </w:tcPr>
          <w:p w14:paraId="487F428D">
            <w:pPr>
              <w:spacing w:line="240" w:lineRule="auto"/>
              <w:rPr>
                <w:rFonts w:hint="eastAsia" w:ascii="宋体" w:hAnsi="宋体" w:eastAsia="宋体" w:cs="宋体"/>
                <w:color w:val="auto"/>
                <w:sz w:val="24"/>
                <w:szCs w:val="24"/>
                <w:highlight w:val="none"/>
              </w:rPr>
            </w:pPr>
          </w:p>
        </w:tc>
        <w:tc>
          <w:tcPr>
            <w:tcW w:w="1329" w:type="dxa"/>
            <w:noWrap w:val="0"/>
            <w:vAlign w:val="top"/>
          </w:tcPr>
          <w:p w14:paraId="57A0CCE5">
            <w:pPr>
              <w:spacing w:line="240" w:lineRule="auto"/>
              <w:rPr>
                <w:rFonts w:hint="eastAsia" w:ascii="宋体" w:hAnsi="宋体" w:eastAsia="宋体" w:cs="宋体"/>
                <w:color w:val="auto"/>
                <w:sz w:val="24"/>
                <w:szCs w:val="24"/>
                <w:highlight w:val="none"/>
              </w:rPr>
            </w:pPr>
          </w:p>
        </w:tc>
      </w:tr>
      <w:tr w14:paraId="35AD8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902" w:type="dxa"/>
            <w:noWrap w:val="0"/>
            <w:vAlign w:val="top"/>
          </w:tcPr>
          <w:p w14:paraId="048A0D11">
            <w:pPr>
              <w:spacing w:line="240" w:lineRule="auto"/>
              <w:rPr>
                <w:rFonts w:hint="eastAsia" w:ascii="宋体" w:hAnsi="宋体" w:eastAsia="宋体" w:cs="宋体"/>
                <w:color w:val="auto"/>
                <w:sz w:val="24"/>
                <w:szCs w:val="24"/>
                <w:highlight w:val="none"/>
              </w:rPr>
            </w:pPr>
          </w:p>
        </w:tc>
        <w:tc>
          <w:tcPr>
            <w:tcW w:w="989" w:type="dxa"/>
            <w:noWrap w:val="0"/>
            <w:vAlign w:val="top"/>
          </w:tcPr>
          <w:p w14:paraId="020CEA00">
            <w:pPr>
              <w:spacing w:line="240" w:lineRule="auto"/>
              <w:rPr>
                <w:rFonts w:hint="eastAsia" w:ascii="宋体" w:hAnsi="宋体" w:eastAsia="宋体" w:cs="宋体"/>
                <w:color w:val="auto"/>
                <w:sz w:val="24"/>
                <w:szCs w:val="24"/>
                <w:highlight w:val="none"/>
              </w:rPr>
            </w:pPr>
          </w:p>
        </w:tc>
        <w:tc>
          <w:tcPr>
            <w:tcW w:w="1050" w:type="dxa"/>
            <w:noWrap w:val="0"/>
            <w:vAlign w:val="top"/>
          </w:tcPr>
          <w:p w14:paraId="6D32C2A4">
            <w:pPr>
              <w:spacing w:line="240" w:lineRule="auto"/>
              <w:rPr>
                <w:rFonts w:hint="eastAsia" w:ascii="宋体" w:hAnsi="宋体" w:eastAsia="宋体" w:cs="宋体"/>
                <w:color w:val="auto"/>
                <w:sz w:val="24"/>
                <w:szCs w:val="24"/>
                <w:highlight w:val="none"/>
              </w:rPr>
            </w:pPr>
          </w:p>
        </w:tc>
        <w:tc>
          <w:tcPr>
            <w:tcW w:w="1773" w:type="dxa"/>
            <w:noWrap w:val="0"/>
            <w:vAlign w:val="top"/>
          </w:tcPr>
          <w:p w14:paraId="2380AD7D">
            <w:pPr>
              <w:spacing w:line="240" w:lineRule="auto"/>
              <w:rPr>
                <w:rFonts w:hint="eastAsia" w:ascii="宋体" w:hAnsi="宋体" w:eastAsia="宋体" w:cs="宋体"/>
                <w:color w:val="auto"/>
                <w:sz w:val="24"/>
                <w:szCs w:val="24"/>
                <w:highlight w:val="none"/>
              </w:rPr>
            </w:pPr>
          </w:p>
        </w:tc>
        <w:tc>
          <w:tcPr>
            <w:tcW w:w="1575" w:type="dxa"/>
            <w:noWrap w:val="0"/>
            <w:vAlign w:val="top"/>
          </w:tcPr>
          <w:p w14:paraId="79C9FC90">
            <w:pPr>
              <w:spacing w:line="240" w:lineRule="auto"/>
              <w:rPr>
                <w:rFonts w:hint="eastAsia" w:ascii="宋体" w:hAnsi="宋体" w:eastAsia="宋体" w:cs="宋体"/>
                <w:color w:val="auto"/>
                <w:sz w:val="24"/>
                <w:szCs w:val="24"/>
                <w:highlight w:val="none"/>
              </w:rPr>
            </w:pPr>
          </w:p>
        </w:tc>
        <w:tc>
          <w:tcPr>
            <w:tcW w:w="1787" w:type="dxa"/>
            <w:noWrap w:val="0"/>
            <w:vAlign w:val="top"/>
          </w:tcPr>
          <w:p w14:paraId="0D3933BF">
            <w:pPr>
              <w:spacing w:line="240" w:lineRule="auto"/>
              <w:rPr>
                <w:rFonts w:hint="eastAsia" w:ascii="宋体" w:hAnsi="宋体" w:eastAsia="宋体" w:cs="宋体"/>
                <w:color w:val="auto"/>
                <w:sz w:val="24"/>
                <w:szCs w:val="24"/>
                <w:highlight w:val="none"/>
              </w:rPr>
            </w:pPr>
          </w:p>
        </w:tc>
        <w:tc>
          <w:tcPr>
            <w:tcW w:w="1329" w:type="dxa"/>
            <w:noWrap w:val="0"/>
            <w:vAlign w:val="top"/>
          </w:tcPr>
          <w:p w14:paraId="11177189">
            <w:pPr>
              <w:spacing w:line="240" w:lineRule="auto"/>
              <w:rPr>
                <w:rFonts w:hint="eastAsia" w:ascii="宋体" w:hAnsi="宋体" w:eastAsia="宋体" w:cs="宋体"/>
                <w:color w:val="auto"/>
                <w:sz w:val="24"/>
                <w:szCs w:val="24"/>
                <w:highlight w:val="none"/>
              </w:rPr>
            </w:pPr>
          </w:p>
        </w:tc>
      </w:tr>
      <w:tr w14:paraId="69DE0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902" w:type="dxa"/>
            <w:noWrap w:val="0"/>
            <w:vAlign w:val="top"/>
          </w:tcPr>
          <w:p w14:paraId="2DC2EA00">
            <w:pPr>
              <w:spacing w:line="240" w:lineRule="auto"/>
              <w:rPr>
                <w:rFonts w:hint="eastAsia" w:ascii="宋体" w:hAnsi="宋体" w:eastAsia="宋体" w:cs="宋体"/>
                <w:color w:val="auto"/>
                <w:sz w:val="24"/>
                <w:szCs w:val="24"/>
                <w:highlight w:val="none"/>
              </w:rPr>
            </w:pPr>
          </w:p>
        </w:tc>
        <w:tc>
          <w:tcPr>
            <w:tcW w:w="989" w:type="dxa"/>
            <w:noWrap w:val="0"/>
            <w:vAlign w:val="top"/>
          </w:tcPr>
          <w:p w14:paraId="0A766FE8">
            <w:pPr>
              <w:spacing w:line="240" w:lineRule="auto"/>
              <w:rPr>
                <w:rFonts w:hint="eastAsia" w:ascii="宋体" w:hAnsi="宋体" w:eastAsia="宋体" w:cs="宋体"/>
                <w:color w:val="auto"/>
                <w:sz w:val="24"/>
                <w:szCs w:val="24"/>
                <w:highlight w:val="none"/>
              </w:rPr>
            </w:pPr>
          </w:p>
        </w:tc>
        <w:tc>
          <w:tcPr>
            <w:tcW w:w="1050" w:type="dxa"/>
            <w:noWrap w:val="0"/>
            <w:vAlign w:val="top"/>
          </w:tcPr>
          <w:p w14:paraId="272AC26E">
            <w:pPr>
              <w:spacing w:line="240" w:lineRule="auto"/>
              <w:rPr>
                <w:rFonts w:hint="eastAsia" w:ascii="宋体" w:hAnsi="宋体" w:eastAsia="宋体" w:cs="宋体"/>
                <w:color w:val="auto"/>
                <w:sz w:val="24"/>
                <w:szCs w:val="24"/>
                <w:highlight w:val="none"/>
              </w:rPr>
            </w:pPr>
          </w:p>
        </w:tc>
        <w:tc>
          <w:tcPr>
            <w:tcW w:w="1773" w:type="dxa"/>
            <w:noWrap w:val="0"/>
            <w:vAlign w:val="top"/>
          </w:tcPr>
          <w:p w14:paraId="77EB0F11">
            <w:pPr>
              <w:spacing w:line="240" w:lineRule="auto"/>
              <w:rPr>
                <w:rFonts w:hint="eastAsia" w:ascii="宋体" w:hAnsi="宋体" w:eastAsia="宋体" w:cs="宋体"/>
                <w:color w:val="auto"/>
                <w:sz w:val="24"/>
                <w:szCs w:val="24"/>
                <w:highlight w:val="none"/>
              </w:rPr>
            </w:pPr>
          </w:p>
        </w:tc>
        <w:tc>
          <w:tcPr>
            <w:tcW w:w="1575" w:type="dxa"/>
            <w:noWrap w:val="0"/>
            <w:vAlign w:val="top"/>
          </w:tcPr>
          <w:p w14:paraId="3328C004">
            <w:pPr>
              <w:spacing w:line="240" w:lineRule="auto"/>
              <w:rPr>
                <w:rFonts w:hint="eastAsia" w:ascii="宋体" w:hAnsi="宋体" w:eastAsia="宋体" w:cs="宋体"/>
                <w:color w:val="auto"/>
                <w:sz w:val="24"/>
                <w:szCs w:val="24"/>
                <w:highlight w:val="none"/>
              </w:rPr>
            </w:pPr>
          </w:p>
        </w:tc>
        <w:tc>
          <w:tcPr>
            <w:tcW w:w="1787" w:type="dxa"/>
            <w:noWrap w:val="0"/>
            <w:vAlign w:val="top"/>
          </w:tcPr>
          <w:p w14:paraId="1D4F1F30">
            <w:pPr>
              <w:spacing w:line="240" w:lineRule="auto"/>
              <w:rPr>
                <w:rFonts w:hint="eastAsia" w:ascii="宋体" w:hAnsi="宋体" w:eastAsia="宋体" w:cs="宋体"/>
                <w:color w:val="auto"/>
                <w:sz w:val="24"/>
                <w:szCs w:val="24"/>
                <w:highlight w:val="none"/>
              </w:rPr>
            </w:pPr>
          </w:p>
        </w:tc>
        <w:tc>
          <w:tcPr>
            <w:tcW w:w="1329" w:type="dxa"/>
            <w:noWrap w:val="0"/>
            <w:vAlign w:val="top"/>
          </w:tcPr>
          <w:p w14:paraId="357C49B5">
            <w:pPr>
              <w:spacing w:line="240" w:lineRule="auto"/>
              <w:rPr>
                <w:rFonts w:hint="eastAsia" w:ascii="宋体" w:hAnsi="宋体" w:eastAsia="宋体" w:cs="宋体"/>
                <w:color w:val="auto"/>
                <w:sz w:val="24"/>
                <w:szCs w:val="24"/>
                <w:highlight w:val="none"/>
              </w:rPr>
            </w:pPr>
          </w:p>
        </w:tc>
      </w:tr>
      <w:tr w14:paraId="6A810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902" w:type="dxa"/>
            <w:noWrap w:val="0"/>
            <w:vAlign w:val="top"/>
          </w:tcPr>
          <w:p w14:paraId="31FF7FAD">
            <w:pPr>
              <w:spacing w:line="240" w:lineRule="auto"/>
              <w:rPr>
                <w:rFonts w:hint="eastAsia" w:ascii="宋体" w:hAnsi="宋体" w:eastAsia="宋体" w:cs="宋体"/>
                <w:color w:val="auto"/>
                <w:sz w:val="24"/>
                <w:szCs w:val="24"/>
                <w:highlight w:val="none"/>
              </w:rPr>
            </w:pPr>
          </w:p>
        </w:tc>
        <w:tc>
          <w:tcPr>
            <w:tcW w:w="989" w:type="dxa"/>
            <w:noWrap w:val="0"/>
            <w:vAlign w:val="top"/>
          </w:tcPr>
          <w:p w14:paraId="2F7C866F">
            <w:pPr>
              <w:spacing w:line="240" w:lineRule="auto"/>
              <w:rPr>
                <w:rFonts w:hint="eastAsia" w:ascii="宋体" w:hAnsi="宋体" w:eastAsia="宋体" w:cs="宋体"/>
                <w:color w:val="auto"/>
                <w:sz w:val="24"/>
                <w:szCs w:val="24"/>
                <w:highlight w:val="none"/>
              </w:rPr>
            </w:pPr>
          </w:p>
        </w:tc>
        <w:tc>
          <w:tcPr>
            <w:tcW w:w="1050" w:type="dxa"/>
            <w:noWrap w:val="0"/>
            <w:vAlign w:val="top"/>
          </w:tcPr>
          <w:p w14:paraId="4FB832BB">
            <w:pPr>
              <w:spacing w:line="240" w:lineRule="auto"/>
              <w:rPr>
                <w:rFonts w:hint="eastAsia" w:ascii="宋体" w:hAnsi="宋体" w:eastAsia="宋体" w:cs="宋体"/>
                <w:color w:val="auto"/>
                <w:sz w:val="24"/>
                <w:szCs w:val="24"/>
                <w:highlight w:val="none"/>
              </w:rPr>
            </w:pPr>
          </w:p>
        </w:tc>
        <w:tc>
          <w:tcPr>
            <w:tcW w:w="1773" w:type="dxa"/>
            <w:noWrap w:val="0"/>
            <w:vAlign w:val="top"/>
          </w:tcPr>
          <w:p w14:paraId="6E41A40F">
            <w:pPr>
              <w:spacing w:line="240" w:lineRule="auto"/>
              <w:rPr>
                <w:rFonts w:hint="eastAsia" w:ascii="宋体" w:hAnsi="宋体" w:eastAsia="宋体" w:cs="宋体"/>
                <w:color w:val="auto"/>
                <w:sz w:val="24"/>
                <w:szCs w:val="24"/>
                <w:highlight w:val="none"/>
              </w:rPr>
            </w:pPr>
          </w:p>
        </w:tc>
        <w:tc>
          <w:tcPr>
            <w:tcW w:w="1575" w:type="dxa"/>
            <w:noWrap w:val="0"/>
            <w:vAlign w:val="top"/>
          </w:tcPr>
          <w:p w14:paraId="033C973E">
            <w:pPr>
              <w:spacing w:line="240" w:lineRule="auto"/>
              <w:rPr>
                <w:rFonts w:hint="eastAsia" w:ascii="宋体" w:hAnsi="宋体" w:eastAsia="宋体" w:cs="宋体"/>
                <w:color w:val="auto"/>
                <w:sz w:val="24"/>
                <w:szCs w:val="24"/>
                <w:highlight w:val="none"/>
              </w:rPr>
            </w:pPr>
          </w:p>
        </w:tc>
        <w:tc>
          <w:tcPr>
            <w:tcW w:w="1787" w:type="dxa"/>
            <w:noWrap w:val="0"/>
            <w:vAlign w:val="top"/>
          </w:tcPr>
          <w:p w14:paraId="4BA48648">
            <w:pPr>
              <w:spacing w:line="240" w:lineRule="auto"/>
              <w:rPr>
                <w:rFonts w:hint="eastAsia" w:ascii="宋体" w:hAnsi="宋体" w:eastAsia="宋体" w:cs="宋体"/>
                <w:color w:val="auto"/>
                <w:sz w:val="24"/>
                <w:szCs w:val="24"/>
                <w:highlight w:val="none"/>
              </w:rPr>
            </w:pPr>
          </w:p>
        </w:tc>
        <w:tc>
          <w:tcPr>
            <w:tcW w:w="1329" w:type="dxa"/>
            <w:noWrap w:val="0"/>
            <w:vAlign w:val="top"/>
          </w:tcPr>
          <w:p w14:paraId="19A52DCF">
            <w:pPr>
              <w:spacing w:line="240" w:lineRule="auto"/>
              <w:rPr>
                <w:rFonts w:hint="eastAsia" w:ascii="宋体" w:hAnsi="宋体" w:eastAsia="宋体" w:cs="宋体"/>
                <w:color w:val="auto"/>
                <w:sz w:val="24"/>
                <w:szCs w:val="24"/>
                <w:highlight w:val="none"/>
              </w:rPr>
            </w:pPr>
          </w:p>
        </w:tc>
      </w:tr>
    </w:tbl>
    <w:p w14:paraId="41C12D70">
      <w:pPr>
        <w:spacing w:line="240" w:lineRule="auto"/>
        <w:rPr>
          <w:rFonts w:hint="eastAsia" w:ascii="宋体" w:hAnsi="宋体" w:eastAsia="宋体" w:cs="宋体"/>
          <w:color w:val="auto"/>
          <w:sz w:val="24"/>
          <w:szCs w:val="24"/>
          <w:highlight w:val="none"/>
        </w:rPr>
      </w:pPr>
    </w:p>
    <w:p w14:paraId="6C054B06">
      <w:pPr>
        <w:widowControl/>
        <w:adjustRightInd w:val="0"/>
        <w:spacing w:line="360" w:lineRule="auto"/>
        <w:jc w:val="both"/>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（电子签章）</w:t>
      </w:r>
    </w:p>
    <w:p w14:paraId="346BC86E">
      <w:pPr>
        <w:widowControl/>
        <w:adjustRightInd w:val="0"/>
        <w:spacing w:line="360" w:lineRule="auto"/>
        <w:jc w:val="both"/>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法定代表人或其委托代理人：</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（电子签章）</w:t>
      </w:r>
    </w:p>
    <w:p w14:paraId="634533EF">
      <w:pPr>
        <w:widowControl/>
        <w:adjustRightInd w:val="0"/>
        <w:spacing w:line="360" w:lineRule="auto"/>
        <w:jc w:val="both"/>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日期：</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月</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日</w:t>
      </w:r>
    </w:p>
    <w:p w14:paraId="5D422591">
      <w:pPr>
        <w:spacing w:line="240" w:lineRule="auto"/>
        <w:jc w:val="center"/>
        <w:rPr>
          <w:rFonts w:hint="eastAsia" w:ascii="宋体" w:hAnsi="宋体" w:eastAsia="宋体" w:cs="宋体"/>
          <w:color w:val="auto"/>
          <w:sz w:val="24"/>
          <w:szCs w:val="24"/>
          <w:highlight w:val="none"/>
        </w:rPr>
      </w:pPr>
    </w:p>
    <w:p w14:paraId="671A76AB">
      <w:pPr>
        <w:spacing w:line="24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br w:type="page"/>
      </w:r>
      <w:r>
        <w:rPr>
          <w:rFonts w:hint="eastAsia" w:ascii="宋体" w:hAnsi="宋体" w:eastAsia="宋体" w:cs="宋体"/>
          <w:b/>
          <w:color w:val="auto"/>
          <w:sz w:val="28"/>
          <w:szCs w:val="28"/>
          <w:highlight w:val="none"/>
        </w:rPr>
        <w:t>（</w:t>
      </w:r>
      <w:r>
        <w:rPr>
          <w:rFonts w:hint="eastAsia" w:ascii="宋体" w:hAnsi="宋体" w:eastAsia="宋体" w:cs="宋体"/>
          <w:b/>
          <w:color w:val="auto"/>
          <w:sz w:val="28"/>
          <w:szCs w:val="28"/>
          <w:highlight w:val="none"/>
          <w:lang w:val="en-US" w:eastAsia="zh-CN"/>
        </w:rPr>
        <w:t>四</w:t>
      </w:r>
      <w:r>
        <w:rPr>
          <w:rFonts w:hint="eastAsia" w:ascii="宋体" w:hAnsi="宋体" w:eastAsia="宋体" w:cs="宋体"/>
          <w:b/>
          <w:color w:val="auto"/>
          <w:sz w:val="28"/>
          <w:szCs w:val="28"/>
          <w:highlight w:val="none"/>
        </w:rPr>
        <w:t>）</w:t>
      </w:r>
      <w:r>
        <w:rPr>
          <w:rFonts w:hint="eastAsia" w:ascii="宋体" w:hAnsi="宋体" w:eastAsia="宋体" w:cs="宋体"/>
          <w:b/>
          <w:color w:val="auto"/>
          <w:sz w:val="28"/>
          <w:szCs w:val="28"/>
          <w:highlight w:val="none"/>
          <w:lang w:val="en-US" w:eastAsia="zh-CN"/>
        </w:rPr>
        <w:t>近</w:t>
      </w:r>
      <w:r>
        <w:rPr>
          <w:rFonts w:hint="eastAsia" w:ascii="宋体" w:hAnsi="宋体" w:eastAsia="宋体" w:cs="宋体"/>
          <w:b/>
          <w:color w:val="auto"/>
          <w:sz w:val="28"/>
          <w:szCs w:val="28"/>
          <w:highlight w:val="none"/>
        </w:rPr>
        <w:t>年以来完成的类似项目情况表</w:t>
      </w:r>
    </w:p>
    <w:p w14:paraId="0B6AA507">
      <w:pPr>
        <w:spacing w:line="240" w:lineRule="auto"/>
        <w:jc w:val="center"/>
        <w:rPr>
          <w:rFonts w:hint="eastAsia" w:ascii="宋体" w:hAnsi="宋体" w:eastAsia="宋体" w:cs="宋体"/>
          <w:b/>
          <w:color w:val="auto"/>
          <w:sz w:val="28"/>
          <w:szCs w:val="28"/>
          <w:highlight w:val="none"/>
        </w:rPr>
      </w:pPr>
    </w:p>
    <w:tbl>
      <w:tblPr>
        <w:tblStyle w:val="17"/>
        <w:tblW w:w="87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1"/>
        <w:gridCol w:w="2010"/>
        <w:gridCol w:w="1700"/>
        <w:gridCol w:w="1855"/>
        <w:gridCol w:w="1701"/>
        <w:gridCol w:w="749"/>
      </w:tblGrid>
      <w:tr w14:paraId="5DE30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721" w:type="dxa"/>
            <w:noWrap w:val="0"/>
            <w:vAlign w:val="center"/>
          </w:tcPr>
          <w:p w14:paraId="1AAE2839">
            <w:pPr>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2010" w:type="dxa"/>
            <w:noWrap w:val="0"/>
            <w:vAlign w:val="center"/>
          </w:tcPr>
          <w:p w14:paraId="479244E1">
            <w:pPr>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项目名称</w:t>
            </w:r>
          </w:p>
        </w:tc>
        <w:tc>
          <w:tcPr>
            <w:tcW w:w="1700" w:type="dxa"/>
            <w:noWrap w:val="0"/>
            <w:vAlign w:val="center"/>
          </w:tcPr>
          <w:p w14:paraId="42C3B73C">
            <w:pPr>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发包人名称</w:t>
            </w:r>
          </w:p>
        </w:tc>
        <w:tc>
          <w:tcPr>
            <w:tcW w:w="1855" w:type="dxa"/>
            <w:noWrap w:val="0"/>
            <w:vAlign w:val="center"/>
          </w:tcPr>
          <w:p w14:paraId="6B5867A2">
            <w:pPr>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合同金额</w:t>
            </w:r>
          </w:p>
        </w:tc>
        <w:tc>
          <w:tcPr>
            <w:tcW w:w="1701" w:type="dxa"/>
            <w:noWrap w:val="0"/>
            <w:vAlign w:val="center"/>
          </w:tcPr>
          <w:p w14:paraId="267D538E">
            <w:pPr>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合同日期</w:t>
            </w:r>
          </w:p>
        </w:tc>
        <w:tc>
          <w:tcPr>
            <w:tcW w:w="749" w:type="dxa"/>
            <w:noWrap w:val="0"/>
            <w:vAlign w:val="center"/>
          </w:tcPr>
          <w:p w14:paraId="162A7A54">
            <w:pPr>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备注</w:t>
            </w:r>
          </w:p>
        </w:tc>
      </w:tr>
      <w:tr w14:paraId="5FAA0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721" w:type="dxa"/>
            <w:noWrap w:val="0"/>
            <w:vAlign w:val="center"/>
          </w:tcPr>
          <w:p w14:paraId="674F4FBD">
            <w:pPr>
              <w:spacing w:line="240" w:lineRule="auto"/>
              <w:jc w:val="center"/>
              <w:rPr>
                <w:rFonts w:hint="eastAsia" w:ascii="宋体" w:hAnsi="宋体" w:eastAsia="宋体" w:cs="宋体"/>
                <w:color w:val="auto"/>
                <w:sz w:val="24"/>
                <w:szCs w:val="24"/>
                <w:highlight w:val="none"/>
              </w:rPr>
            </w:pPr>
          </w:p>
        </w:tc>
        <w:tc>
          <w:tcPr>
            <w:tcW w:w="2010" w:type="dxa"/>
            <w:noWrap w:val="0"/>
            <w:vAlign w:val="center"/>
          </w:tcPr>
          <w:p w14:paraId="1D2A98CC">
            <w:pPr>
              <w:spacing w:line="240" w:lineRule="auto"/>
              <w:jc w:val="center"/>
              <w:rPr>
                <w:rFonts w:hint="eastAsia" w:ascii="宋体" w:hAnsi="宋体" w:eastAsia="宋体" w:cs="宋体"/>
                <w:color w:val="auto"/>
                <w:sz w:val="24"/>
                <w:szCs w:val="24"/>
                <w:highlight w:val="none"/>
              </w:rPr>
            </w:pPr>
          </w:p>
        </w:tc>
        <w:tc>
          <w:tcPr>
            <w:tcW w:w="1700" w:type="dxa"/>
            <w:noWrap w:val="0"/>
            <w:vAlign w:val="center"/>
          </w:tcPr>
          <w:p w14:paraId="4BF0D4DE">
            <w:pPr>
              <w:spacing w:line="240" w:lineRule="auto"/>
              <w:jc w:val="center"/>
              <w:rPr>
                <w:rFonts w:hint="eastAsia" w:ascii="宋体" w:hAnsi="宋体" w:eastAsia="宋体" w:cs="宋体"/>
                <w:color w:val="auto"/>
                <w:sz w:val="24"/>
                <w:szCs w:val="24"/>
                <w:highlight w:val="none"/>
              </w:rPr>
            </w:pPr>
          </w:p>
        </w:tc>
        <w:tc>
          <w:tcPr>
            <w:tcW w:w="1855" w:type="dxa"/>
            <w:noWrap w:val="0"/>
            <w:vAlign w:val="center"/>
          </w:tcPr>
          <w:p w14:paraId="302E5CAF">
            <w:pPr>
              <w:spacing w:line="240" w:lineRule="auto"/>
              <w:jc w:val="center"/>
              <w:rPr>
                <w:rFonts w:hint="eastAsia" w:ascii="宋体" w:hAnsi="宋体" w:eastAsia="宋体" w:cs="宋体"/>
                <w:color w:val="auto"/>
                <w:sz w:val="24"/>
                <w:szCs w:val="24"/>
                <w:highlight w:val="none"/>
              </w:rPr>
            </w:pPr>
          </w:p>
        </w:tc>
        <w:tc>
          <w:tcPr>
            <w:tcW w:w="1701" w:type="dxa"/>
            <w:noWrap w:val="0"/>
            <w:vAlign w:val="center"/>
          </w:tcPr>
          <w:p w14:paraId="38EE76CF">
            <w:pPr>
              <w:spacing w:line="240" w:lineRule="auto"/>
              <w:jc w:val="center"/>
              <w:rPr>
                <w:rFonts w:hint="eastAsia" w:ascii="宋体" w:hAnsi="宋体" w:eastAsia="宋体" w:cs="宋体"/>
                <w:color w:val="auto"/>
                <w:sz w:val="24"/>
                <w:szCs w:val="24"/>
                <w:highlight w:val="none"/>
              </w:rPr>
            </w:pPr>
          </w:p>
        </w:tc>
        <w:tc>
          <w:tcPr>
            <w:tcW w:w="749" w:type="dxa"/>
            <w:noWrap w:val="0"/>
            <w:vAlign w:val="center"/>
          </w:tcPr>
          <w:p w14:paraId="44DF2FE9">
            <w:pPr>
              <w:spacing w:line="240" w:lineRule="auto"/>
              <w:jc w:val="center"/>
              <w:rPr>
                <w:rFonts w:hint="eastAsia" w:ascii="宋体" w:hAnsi="宋体" w:eastAsia="宋体" w:cs="宋体"/>
                <w:color w:val="auto"/>
                <w:sz w:val="24"/>
                <w:szCs w:val="24"/>
                <w:highlight w:val="none"/>
              </w:rPr>
            </w:pPr>
          </w:p>
        </w:tc>
      </w:tr>
      <w:tr w14:paraId="3325E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721" w:type="dxa"/>
            <w:noWrap w:val="0"/>
            <w:vAlign w:val="center"/>
          </w:tcPr>
          <w:p w14:paraId="54CA8B23">
            <w:pPr>
              <w:spacing w:line="240" w:lineRule="auto"/>
              <w:jc w:val="center"/>
              <w:rPr>
                <w:rFonts w:hint="eastAsia" w:ascii="宋体" w:hAnsi="宋体" w:eastAsia="宋体" w:cs="宋体"/>
                <w:color w:val="auto"/>
                <w:sz w:val="24"/>
                <w:szCs w:val="24"/>
                <w:highlight w:val="none"/>
              </w:rPr>
            </w:pPr>
          </w:p>
        </w:tc>
        <w:tc>
          <w:tcPr>
            <w:tcW w:w="2010" w:type="dxa"/>
            <w:noWrap w:val="0"/>
            <w:vAlign w:val="center"/>
          </w:tcPr>
          <w:p w14:paraId="60EDF852">
            <w:pPr>
              <w:spacing w:line="240" w:lineRule="auto"/>
              <w:jc w:val="center"/>
              <w:rPr>
                <w:rFonts w:hint="eastAsia" w:ascii="宋体" w:hAnsi="宋体" w:eastAsia="宋体" w:cs="宋体"/>
                <w:color w:val="auto"/>
                <w:sz w:val="24"/>
                <w:szCs w:val="24"/>
                <w:highlight w:val="none"/>
              </w:rPr>
            </w:pPr>
          </w:p>
        </w:tc>
        <w:tc>
          <w:tcPr>
            <w:tcW w:w="1700" w:type="dxa"/>
            <w:noWrap w:val="0"/>
            <w:vAlign w:val="center"/>
          </w:tcPr>
          <w:p w14:paraId="6EE3770C">
            <w:pPr>
              <w:spacing w:line="240" w:lineRule="auto"/>
              <w:jc w:val="center"/>
              <w:rPr>
                <w:rFonts w:hint="eastAsia" w:ascii="宋体" w:hAnsi="宋体" w:eastAsia="宋体" w:cs="宋体"/>
                <w:color w:val="auto"/>
                <w:sz w:val="24"/>
                <w:szCs w:val="24"/>
                <w:highlight w:val="none"/>
              </w:rPr>
            </w:pPr>
          </w:p>
        </w:tc>
        <w:tc>
          <w:tcPr>
            <w:tcW w:w="1855" w:type="dxa"/>
            <w:noWrap w:val="0"/>
            <w:vAlign w:val="center"/>
          </w:tcPr>
          <w:p w14:paraId="039B6E55">
            <w:pPr>
              <w:spacing w:line="240" w:lineRule="auto"/>
              <w:jc w:val="center"/>
              <w:rPr>
                <w:rFonts w:hint="eastAsia" w:ascii="宋体" w:hAnsi="宋体" w:eastAsia="宋体" w:cs="宋体"/>
                <w:color w:val="auto"/>
                <w:sz w:val="24"/>
                <w:szCs w:val="24"/>
                <w:highlight w:val="none"/>
              </w:rPr>
            </w:pPr>
          </w:p>
        </w:tc>
        <w:tc>
          <w:tcPr>
            <w:tcW w:w="1701" w:type="dxa"/>
            <w:noWrap w:val="0"/>
            <w:vAlign w:val="center"/>
          </w:tcPr>
          <w:p w14:paraId="6684CA6F">
            <w:pPr>
              <w:spacing w:line="240" w:lineRule="auto"/>
              <w:jc w:val="center"/>
              <w:rPr>
                <w:rFonts w:hint="eastAsia" w:ascii="宋体" w:hAnsi="宋体" w:eastAsia="宋体" w:cs="宋体"/>
                <w:color w:val="auto"/>
                <w:sz w:val="24"/>
                <w:szCs w:val="24"/>
                <w:highlight w:val="none"/>
              </w:rPr>
            </w:pPr>
          </w:p>
        </w:tc>
        <w:tc>
          <w:tcPr>
            <w:tcW w:w="749" w:type="dxa"/>
            <w:noWrap w:val="0"/>
            <w:vAlign w:val="center"/>
          </w:tcPr>
          <w:p w14:paraId="757A0A6E">
            <w:pPr>
              <w:spacing w:line="240" w:lineRule="auto"/>
              <w:jc w:val="center"/>
              <w:rPr>
                <w:rFonts w:hint="eastAsia" w:ascii="宋体" w:hAnsi="宋体" w:eastAsia="宋体" w:cs="宋体"/>
                <w:color w:val="auto"/>
                <w:sz w:val="24"/>
                <w:szCs w:val="24"/>
                <w:highlight w:val="none"/>
              </w:rPr>
            </w:pPr>
          </w:p>
        </w:tc>
      </w:tr>
      <w:tr w14:paraId="3A152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721" w:type="dxa"/>
            <w:noWrap w:val="0"/>
            <w:vAlign w:val="center"/>
          </w:tcPr>
          <w:p w14:paraId="61269E26">
            <w:pPr>
              <w:spacing w:line="240" w:lineRule="auto"/>
              <w:jc w:val="center"/>
              <w:rPr>
                <w:rFonts w:hint="eastAsia" w:ascii="宋体" w:hAnsi="宋体" w:eastAsia="宋体" w:cs="宋体"/>
                <w:color w:val="auto"/>
                <w:sz w:val="24"/>
                <w:szCs w:val="24"/>
                <w:highlight w:val="none"/>
              </w:rPr>
            </w:pPr>
          </w:p>
        </w:tc>
        <w:tc>
          <w:tcPr>
            <w:tcW w:w="2010" w:type="dxa"/>
            <w:noWrap w:val="0"/>
            <w:vAlign w:val="center"/>
          </w:tcPr>
          <w:p w14:paraId="55A859F2">
            <w:pPr>
              <w:spacing w:line="240" w:lineRule="auto"/>
              <w:jc w:val="center"/>
              <w:rPr>
                <w:rFonts w:hint="eastAsia" w:ascii="宋体" w:hAnsi="宋体" w:eastAsia="宋体" w:cs="宋体"/>
                <w:color w:val="auto"/>
                <w:sz w:val="24"/>
                <w:szCs w:val="24"/>
                <w:highlight w:val="none"/>
              </w:rPr>
            </w:pPr>
          </w:p>
        </w:tc>
        <w:tc>
          <w:tcPr>
            <w:tcW w:w="1700" w:type="dxa"/>
            <w:noWrap w:val="0"/>
            <w:vAlign w:val="center"/>
          </w:tcPr>
          <w:p w14:paraId="080D7303">
            <w:pPr>
              <w:spacing w:line="240" w:lineRule="auto"/>
              <w:jc w:val="center"/>
              <w:rPr>
                <w:rFonts w:hint="eastAsia" w:ascii="宋体" w:hAnsi="宋体" w:eastAsia="宋体" w:cs="宋体"/>
                <w:color w:val="auto"/>
                <w:sz w:val="24"/>
                <w:szCs w:val="24"/>
                <w:highlight w:val="none"/>
              </w:rPr>
            </w:pPr>
          </w:p>
        </w:tc>
        <w:tc>
          <w:tcPr>
            <w:tcW w:w="1855" w:type="dxa"/>
            <w:noWrap w:val="0"/>
            <w:vAlign w:val="center"/>
          </w:tcPr>
          <w:p w14:paraId="30BF8FAB">
            <w:pPr>
              <w:spacing w:line="240" w:lineRule="auto"/>
              <w:jc w:val="center"/>
              <w:rPr>
                <w:rFonts w:hint="eastAsia" w:ascii="宋体" w:hAnsi="宋体" w:eastAsia="宋体" w:cs="宋体"/>
                <w:color w:val="auto"/>
                <w:sz w:val="24"/>
                <w:szCs w:val="24"/>
                <w:highlight w:val="none"/>
              </w:rPr>
            </w:pPr>
          </w:p>
        </w:tc>
        <w:tc>
          <w:tcPr>
            <w:tcW w:w="1701" w:type="dxa"/>
            <w:noWrap w:val="0"/>
            <w:vAlign w:val="center"/>
          </w:tcPr>
          <w:p w14:paraId="7B7CC960">
            <w:pPr>
              <w:spacing w:line="240" w:lineRule="auto"/>
              <w:jc w:val="center"/>
              <w:rPr>
                <w:rFonts w:hint="eastAsia" w:ascii="宋体" w:hAnsi="宋体" w:eastAsia="宋体" w:cs="宋体"/>
                <w:color w:val="auto"/>
                <w:sz w:val="24"/>
                <w:szCs w:val="24"/>
                <w:highlight w:val="none"/>
              </w:rPr>
            </w:pPr>
          </w:p>
        </w:tc>
        <w:tc>
          <w:tcPr>
            <w:tcW w:w="749" w:type="dxa"/>
            <w:noWrap w:val="0"/>
            <w:vAlign w:val="center"/>
          </w:tcPr>
          <w:p w14:paraId="16BECF2E">
            <w:pPr>
              <w:spacing w:line="240" w:lineRule="auto"/>
              <w:jc w:val="center"/>
              <w:rPr>
                <w:rFonts w:hint="eastAsia" w:ascii="宋体" w:hAnsi="宋体" w:eastAsia="宋体" w:cs="宋体"/>
                <w:color w:val="auto"/>
                <w:sz w:val="24"/>
                <w:szCs w:val="24"/>
                <w:highlight w:val="none"/>
              </w:rPr>
            </w:pPr>
          </w:p>
        </w:tc>
      </w:tr>
      <w:tr w14:paraId="73CE7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721" w:type="dxa"/>
            <w:noWrap w:val="0"/>
            <w:vAlign w:val="center"/>
          </w:tcPr>
          <w:p w14:paraId="2ECE967D">
            <w:pPr>
              <w:spacing w:line="240" w:lineRule="auto"/>
              <w:jc w:val="center"/>
              <w:rPr>
                <w:rFonts w:hint="eastAsia" w:ascii="宋体" w:hAnsi="宋体" w:eastAsia="宋体" w:cs="宋体"/>
                <w:color w:val="auto"/>
                <w:sz w:val="24"/>
                <w:szCs w:val="24"/>
                <w:highlight w:val="none"/>
              </w:rPr>
            </w:pPr>
          </w:p>
        </w:tc>
        <w:tc>
          <w:tcPr>
            <w:tcW w:w="2010" w:type="dxa"/>
            <w:noWrap w:val="0"/>
            <w:vAlign w:val="center"/>
          </w:tcPr>
          <w:p w14:paraId="0AF70863">
            <w:pPr>
              <w:spacing w:line="240" w:lineRule="auto"/>
              <w:jc w:val="center"/>
              <w:rPr>
                <w:rFonts w:hint="eastAsia" w:ascii="宋体" w:hAnsi="宋体" w:eastAsia="宋体" w:cs="宋体"/>
                <w:color w:val="auto"/>
                <w:sz w:val="24"/>
                <w:szCs w:val="24"/>
                <w:highlight w:val="none"/>
              </w:rPr>
            </w:pPr>
          </w:p>
        </w:tc>
        <w:tc>
          <w:tcPr>
            <w:tcW w:w="1700" w:type="dxa"/>
            <w:noWrap w:val="0"/>
            <w:vAlign w:val="center"/>
          </w:tcPr>
          <w:p w14:paraId="674EF366">
            <w:pPr>
              <w:spacing w:line="240" w:lineRule="auto"/>
              <w:jc w:val="center"/>
              <w:rPr>
                <w:rFonts w:hint="eastAsia" w:ascii="宋体" w:hAnsi="宋体" w:eastAsia="宋体" w:cs="宋体"/>
                <w:color w:val="auto"/>
                <w:sz w:val="24"/>
                <w:szCs w:val="24"/>
                <w:highlight w:val="none"/>
              </w:rPr>
            </w:pPr>
          </w:p>
        </w:tc>
        <w:tc>
          <w:tcPr>
            <w:tcW w:w="1855" w:type="dxa"/>
            <w:noWrap w:val="0"/>
            <w:vAlign w:val="center"/>
          </w:tcPr>
          <w:p w14:paraId="758A1255">
            <w:pPr>
              <w:spacing w:line="240" w:lineRule="auto"/>
              <w:jc w:val="center"/>
              <w:rPr>
                <w:rFonts w:hint="eastAsia" w:ascii="宋体" w:hAnsi="宋体" w:eastAsia="宋体" w:cs="宋体"/>
                <w:color w:val="auto"/>
                <w:sz w:val="24"/>
                <w:szCs w:val="24"/>
                <w:highlight w:val="none"/>
              </w:rPr>
            </w:pPr>
          </w:p>
        </w:tc>
        <w:tc>
          <w:tcPr>
            <w:tcW w:w="1701" w:type="dxa"/>
            <w:noWrap w:val="0"/>
            <w:vAlign w:val="center"/>
          </w:tcPr>
          <w:p w14:paraId="199978C9">
            <w:pPr>
              <w:spacing w:line="240" w:lineRule="auto"/>
              <w:jc w:val="center"/>
              <w:rPr>
                <w:rFonts w:hint="eastAsia" w:ascii="宋体" w:hAnsi="宋体" w:eastAsia="宋体" w:cs="宋体"/>
                <w:color w:val="auto"/>
                <w:sz w:val="24"/>
                <w:szCs w:val="24"/>
                <w:highlight w:val="none"/>
              </w:rPr>
            </w:pPr>
          </w:p>
        </w:tc>
        <w:tc>
          <w:tcPr>
            <w:tcW w:w="749" w:type="dxa"/>
            <w:noWrap w:val="0"/>
            <w:vAlign w:val="center"/>
          </w:tcPr>
          <w:p w14:paraId="560ED3BE">
            <w:pPr>
              <w:spacing w:line="240" w:lineRule="auto"/>
              <w:jc w:val="center"/>
              <w:rPr>
                <w:rFonts w:hint="eastAsia" w:ascii="宋体" w:hAnsi="宋体" w:eastAsia="宋体" w:cs="宋体"/>
                <w:color w:val="auto"/>
                <w:sz w:val="24"/>
                <w:szCs w:val="24"/>
                <w:highlight w:val="none"/>
              </w:rPr>
            </w:pPr>
          </w:p>
        </w:tc>
      </w:tr>
      <w:tr w14:paraId="34C55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721" w:type="dxa"/>
            <w:noWrap w:val="0"/>
            <w:vAlign w:val="center"/>
          </w:tcPr>
          <w:p w14:paraId="1FFAFE7E">
            <w:pPr>
              <w:spacing w:line="240" w:lineRule="auto"/>
              <w:jc w:val="center"/>
              <w:rPr>
                <w:rFonts w:hint="eastAsia" w:ascii="宋体" w:hAnsi="宋体" w:eastAsia="宋体" w:cs="宋体"/>
                <w:color w:val="auto"/>
                <w:sz w:val="24"/>
                <w:szCs w:val="24"/>
                <w:highlight w:val="none"/>
              </w:rPr>
            </w:pPr>
          </w:p>
        </w:tc>
        <w:tc>
          <w:tcPr>
            <w:tcW w:w="2010" w:type="dxa"/>
            <w:noWrap w:val="0"/>
            <w:vAlign w:val="center"/>
          </w:tcPr>
          <w:p w14:paraId="55985178">
            <w:pPr>
              <w:spacing w:line="240" w:lineRule="auto"/>
              <w:jc w:val="center"/>
              <w:rPr>
                <w:rFonts w:hint="eastAsia" w:ascii="宋体" w:hAnsi="宋体" w:eastAsia="宋体" w:cs="宋体"/>
                <w:color w:val="auto"/>
                <w:sz w:val="24"/>
                <w:szCs w:val="24"/>
                <w:highlight w:val="none"/>
              </w:rPr>
            </w:pPr>
          </w:p>
        </w:tc>
        <w:tc>
          <w:tcPr>
            <w:tcW w:w="1700" w:type="dxa"/>
            <w:noWrap w:val="0"/>
            <w:vAlign w:val="center"/>
          </w:tcPr>
          <w:p w14:paraId="2CB15374">
            <w:pPr>
              <w:spacing w:line="240" w:lineRule="auto"/>
              <w:jc w:val="center"/>
              <w:rPr>
                <w:rFonts w:hint="eastAsia" w:ascii="宋体" w:hAnsi="宋体" w:eastAsia="宋体" w:cs="宋体"/>
                <w:color w:val="auto"/>
                <w:sz w:val="24"/>
                <w:szCs w:val="24"/>
                <w:highlight w:val="none"/>
              </w:rPr>
            </w:pPr>
          </w:p>
        </w:tc>
        <w:tc>
          <w:tcPr>
            <w:tcW w:w="1855" w:type="dxa"/>
            <w:noWrap w:val="0"/>
            <w:vAlign w:val="center"/>
          </w:tcPr>
          <w:p w14:paraId="59AD858B">
            <w:pPr>
              <w:spacing w:line="240" w:lineRule="auto"/>
              <w:jc w:val="center"/>
              <w:rPr>
                <w:rFonts w:hint="eastAsia" w:ascii="宋体" w:hAnsi="宋体" w:eastAsia="宋体" w:cs="宋体"/>
                <w:color w:val="auto"/>
                <w:sz w:val="24"/>
                <w:szCs w:val="24"/>
                <w:highlight w:val="none"/>
              </w:rPr>
            </w:pPr>
          </w:p>
        </w:tc>
        <w:tc>
          <w:tcPr>
            <w:tcW w:w="1701" w:type="dxa"/>
            <w:noWrap w:val="0"/>
            <w:vAlign w:val="center"/>
          </w:tcPr>
          <w:p w14:paraId="71CC68C8">
            <w:pPr>
              <w:spacing w:line="240" w:lineRule="auto"/>
              <w:jc w:val="center"/>
              <w:rPr>
                <w:rFonts w:hint="eastAsia" w:ascii="宋体" w:hAnsi="宋体" w:eastAsia="宋体" w:cs="宋体"/>
                <w:color w:val="auto"/>
                <w:sz w:val="24"/>
                <w:szCs w:val="24"/>
                <w:highlight w:val="none"/>
              </w:rPr>
            </w:pPr>
          </w:p>
        </w:tc>
        <w:tc>
          <w:tcPr>
            <w:tcW w:w="749" w:type="dxa"/>
            <w:noWrap w:val="0"/>
            <w:vAlign w:val="center"/>
          </w:tcPr>
          <w:p w14:paraId="7D9C7E38">
            <w:pPr>
              <w:spacing w:line="240" w:lineRule="auto"/>
              <w:jc w:val="center"/>
              <w:rPr>
                <w:rFonts w:hint="eastAsia" w:ascii="宋体" w:hAnsi="宋体" w:eastAsia="宋体" w:cs="宋体"/>
                <w:color w:val="auto"/>
                <w:sz w:val="24"/>
                <w:szCs w:val="24"/>
                <w:highlight w:val="none"/>
              </w:rPr>
            </w:pPr>
          </w:p>
        </w:tc>
      </w:tr>
      <w:tr w14:paraId="53619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721" w:type="dxa"/>
            <w:noWrap w:val="0"/>
            <w:vAlign w:val="center"/>
          </w:tcPr>
          <w:p w14:paraId="62AAEBEA">
            <w:pPr>
              <w:spacing w:line="240" w:lineRule="auto"/>
              <w:jc w:val="center"/>
              <w:rPr>
                <w:rFonts w:hint="eastAsia" w:ascii="宋体" w:hAnsi="宋体" w:eastAsia="宋体" w:cs="宋体"/>
                <w:color w:val="auto"/>
                <w:sz w:val="24"/>
                <w:szCs w:val="24"/>
                <w:highlight w:val="none"/>
              </w:rPr>
            </w:pPr>
          </w:p>
        </w:tc>
        <w:tc>
          <w:tcPr>
            <w:tcW w:w="2010" w:type="dxa"/>
            <w:noWrap w:val="0"/>
            <w:vAlign w:val="center"/>
          </w:tcPr>
          <w:p w14:paraId="084552CE">
            <w:pPr>
              <w:spacing w:line="240" w:lineRule="auto"/>
              <w:jc w:val="center"/>
              <w:rPr>
                <w:rFonts w:hint="eastAsia" w:ascii="宋体" w:hAnsi="宋体" w:eastAsia="宋体" w:cs="宋体"/>
                <w:color w:val="auto"/>
                <w:sz w:val="24"/>
                <w:szCs w:val="24"/>
                <w:highlight w:val="none"/>
              </w:rPr>
            </w:pPr>
          </w:p>
        </w:tc>
        <w:tc>
          <w:tcPr>
            <w:tcW w:w="1700" w:type="dxa"/>
            <w:noWrap w:val="0"/>
            <w:vAlign w:val="center"/>
          </w:tcPr>
          <w:p w14:paraId="45C1FD9C">
            <w:pPr>
              <w:spacing w:line="240" w:lineRule="auto"/>
              <w:jc w:val="center"/>
              <w:rPr>
                <w:rFonts w:hint="eastAsia" w:ascii="宋体" w:hAnsi="宋体" w:eastAsia="宋体" w:cs="宋体"/>
                <w:color w:val="auto"/>
                <w:sz w:val="24"/>
                <w:szCs w:val="24"/>
                <w:highlight w:val="none"/>
              </w:rPr>
            </w:pPr>
          </w:p>
        </w:tc>
        <w:tc>
          <w:tcPr>
            <w:tcW w:w="1855" w:type="dxa"/>
            <w:noWrap w:val="0"/>
            <w:vAlign w:val="center"/>
          </w:tcPr>
          <w:p w14:paraId="4113E22C">
            <w:pPr>
              <w:spacing w:line="240" w:lineRule="auto"/>
              <w:jc w:val="center"/>
              <w:rPr>
                <w:rFonts w:hint="eastAsia" w:ascii="宋体" w:hAnsi="宋体" w:eastAsia="宋体" w:cs="宋体"/>
                <w:color w:val="auto"/>
                <w:sz w:val="24"/>
                <w:szCs w:val="24"/>
                <w:highlight w:val="none"/>
              </w:rPr>
            </w:pPr>
          </w:p>
        </w:tc>
        <w:tc>
          <w:tcPr>
            <w:tcW w:w="1701" w:type="dxa"/>
            <w:noWrap w:val="0"/>
            <w:vAlign w:val="center"/>
          </w:tcPr>
          <w:p w14:paraId="3D39966E">
            <w:pPr>
              <w:spacing w:line="240" w:lineRule="auto"/>
              <w:jc w:val="center"/>
              <w:rPr>
                <w:rFonts w:hint="eastAsia" w:ascii="宋体" w:hAnsi="宋体" w:eastAsia="宋体" w:cs="宋体"/>
                <w:color w:val="auto"/>
                <w:sz w:val="24"/>
                <w:szCs w:val="24"/>
                <w:highlight w:val="none"/>
              </w:rPr>
            </w:pPr>
          </w:p>
        </w:tc>
        <w:tc>
          <w:tcPr>
            <w:tcW w:w="749" w:type="dxa"/>
            <w:noWrap w:val="0"/>
            <w:vAlign w:val="center"/>
          </w:tcPr>
          <w:p w14:paraId="56B48B44">
            <w:pPr>
              <w:spacing w:line="240" w:lineRule="auto"/>
              <w:jc w:val="center"/>
              <w:rPr>
                <w:rFonts w:hint="eastAsia" w:ascii="宋体" w:hAnsi="宋体" w:eastAsia="宋体" w:cs="宋体"/>
                <w:color w:val="auto"/>
                <w:sz w:val="24"/>
                <w:szCs w:val="24"/>
                <w:highlight w:val="none"/>
              </w:rPr>
            </w:pPr>
          </w:p>
        </w:tc>
      </w:tr>
      <w:tr w14:paraId="666EB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721" w:type="dxa"/>
            <w:noWrap w:val="0"/>
            <w:vAlign w:val="center"/>
          </w:tcPr>
          <w:p w14:paraId="0B0B42C5">
            <w:pPr>
              <w:spacing w:line="240" w:lineRule="auto"/>
              <w:jc w:val="center"/>
              <w:rPr>
                <w:rFonts w:hint="eastAsia" w:ascii="宋体" w:hAnsi="宋体" w:eastAsia="宋体" w:cs="宋体"/>
                <w:color w:val="auto"/>
                <w:sz w:val="24"/>
                <w:szCs w:val="24"/>
                <w:highlight w:val="none"/>
              </w:rPr>
            </w:pPr>
          </w:p>
        </w:tc>
        <w:tc>
          <w:tcPr>
            <w:tcW w:w="2010" w:type="dxa"/>
            <w:noWrap w:val="0"/>
            <w:vAlign w:val="center"/>
          </w:tcPr>
          <w:p w14:paraId="3E4C644D">
            <w:pPr>
              <w:spacing w:line="240" w:lineRule="auto"/>
              <w:jc w:val="center"/>
              <w:rPr>
                <w:rFonts w:hint="eastAsia" w:ascii="宋体" w:hAnsi="宋体" w:eastAsia="宋体" w:cs="宋体"/>
                <w:color w:val="auto"/>
                <w:sz w:val="24"/>
                <w:szCs w:val="24"/>
                <w:highlight w:val="none"/>
              </w:rPr>
            </w:pPr>
          </w:p>
        </w:tc>
        <w:tc>
          <w:tcPr>
            <w:tcW w:w="1700" w:type="dxa"/>
            <w:noWrap w:val="0"/>
            <w:vAlign w:val="center"/>
          </w:tcPr>
          <w:p w14:paraId="58F44192">
            <w:pPr>
              <w:spacing w:line="240" w:lineRule="auto"/>
              <w:jc w:val="center"/>
              <w:rPr>
                <w:rFonts w:hint="eastAsia" w:ascii="宋体" w:hAnsi="宋体" w:eastAsia="宋体" w:cs="宋体"/>
                <w:color w:val="auto"/>
                <w:sz w:val="24"/>
                <w:szCs w:val="24"/>
                <w:highlight w:val="none"/>
              </w:rPr>
            </w:pPr>
          </w:p>
        </w:tc>
        <w:tc>
          <w:tcPr>
            <w:tcW w:w="1855" w:type="dxa"/>
            <w:noWrap w:val="0"/>
            <w:vAlign w:val="center"/>
          </w:tcPr>
          <w:p w14:paraId="7AB5C543">
            <w:pPr>
              <w:spacing w:line="240" w:lineRule="auto"/>
              <w:jc w:val="center"/>
              <w:rPr>
                <w:rFonts w:hint="eastAsia" w:ascii="宋体" w:hAnsi="宋体" w:eastAsia="宋体" w:cs="宋体"/>
                <w:color w:val="auto"/>
                <w:sz w:val="24"/>
                <w:szCs w:val="24"/>
                <w:highlight w:val="none"/>
              </w:rPr>
            </w:pPr>
          </w:p>
        </w:tc>
        <w:tc>
          <w:tcPr>
            <w:tcW w:w="1701" w:type="dxa"/>
            <w:noWrap w:val="0"/>
            <w:vAlign w:val="center"/>
          </w:tcPr>
          <w:p w14:paraId="33915DD4">
            <w:pPr>
              <w:spacing w:line="240" w:lineRule="auto"/>
              <w:jc w:val="center"/>
              <w:rPr>
                <w:rFonts w:hint="eastAsia" w:ascii="宋体" w:hAnsi="宋体" w:eastAsia="宋体" w:cs="宋体"/>
                <w:color w:val="auto"/>
                <w:sz w:val="24"/>
                <w:szCs w:val="24"/>
                <w:highlight w:val="none"/>
              </w:rPr>
            </w:pPr>
          </w:p>
        </w:tc>
        <w:tc>
          <w:tcPr>
            <w:tcW w:w="749" w:type="dxa"/>
            <w:noWrap w:val="0"/>
            <w:vAlign w:val="center"/>
          </w:tcPr>
          <w:p w14:paraId="5430D206">
            <w:pPr>
              <w:spacing w:line="240" w:lineRule="auto"/>
              <w:jc w:val="center"/>
              <w:rPr>
                <w:rFonts w:hint="eastAsia" w:ascii="宋体" w:hAnsi="宋体" w:eastAsia="宋体" w:cs="宋体"/>
                <w:color w:val="auto"/>
                <w:sz w:val="24"/>
                <w:szCs w:val="24"/>
                <w:highlight w:val="none"/>
              </w:rPr>
            </w:pPr>
          </w:p>
        </w:tc>
      </w:tr>
      <w:tr w14:paraId="03554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721" w:type="dxa"/>
            <w:noWrap w:val="0"/>
            <w:vAlign w:val="center"/>
          </w:tcPr>
          <w:p w14:paraId="63BE6555">
            <w:pPr>
              <w:spacing w:line="240" w:lineRule="auto"/>
              <w:jc w:val="center"/>
              <w:rPr>
                <w:rFonts w:hint="eastAsia" w:ascii="宋体" w:hAnsi="宋体" w:eastAsia="宋体" w:cs="宋体"/>
                <w:color w:val="auto"/>
                <w:sz w:val="24"/>
                <w:szCs w:val="24"/>
                <w:highlight w:val="none"/>
              </w:rPr>
            </w:pPr>
          </w:p>
        </w:tc>
        <w:tc>
          <w:tcPr>
            <w:tcW w:w="2010" w:type="dxa"/>
            <w:noWrap w:val="0"/>
            <w:vAlign w:val="center"/>
          </w:tcPr>
          <w:p w14:paraId="35D70E88">
            <w:pPr>
              <w:spacing w:line="240" w:lineRule="auto"/>
              <w:jc w:val="center"/>
              <w:rPr>
                <w:rFonts w:hint="eastAsia" w:ascii="宋体" w:hAnsi="宋体" w:eastAsia="宋体" w:cs="宋体"/>
                <w:color w:val="auto"/>
                <w:sz w:val="24"/>
                <w:szCs w:val="24"/>
                <w:highlight w:val="none"/>
              </w:rPr>
            </w:pPr>
          </w:p>
        </w:tc>
        <w:tc>
          <w:tcPr>
            <w:tcW w:w="1700" w:type="dxa"/>
            <w:noWrap w:val="0"/>
            <w:vAlign w:val="center"/>
          </w:tcPr>
          <w:p w14:paraId="68D952F7">
            <w:pPr>
              <w:spacing w:line="240" w:lineRule="auto"/>
              <w:jc w:val="center"/>
              <w:rPr>
                <w:rFonts w:hint="eastAsia" w:ascii="宋体" w:hAnsi="宋体" w:eastAsia="宋体" w:cs="宋体"/>
                <w:color w:val="auto"/>
                <w:sz w:val="24"/>
                <w:szCs w:val="24"/>
                <w:highlight w:val="none"/>
              </w:rPr>
            </w:pPr>
          </w:p>
        </w:tc>
        <w:tc>
          <w:tcPr>
            <w:tcW w:w="1855" w:type="dxa"/>
            <w:noWrap w:val="0"/>
            <w:vAlign w:val="center"/>
          </w:tcPr>
          <w:p w14:paraId="1F833482">
            <w:pPr>
              <w:spacing w:line="240" w:lineRule="auto"/>
              <w:jc w:val="center"/>
              <w:rPr>
                <w:rFonts w:hint="eastAsia" w:ascii="宋体" w:hAnsi="宋体" w:eastAsia="宋体" w:cs="宋体"/>
                <w:color w:val="auto"/>
                <w:sz w:val="24"/>
                <w:szCs w:val="24"/>
                <w:highlight w:val="none"/>
              </w:rPr>
            </w:pPr>
          </w:p>
        </w:tc>
        <w:tc>
          <w:tcPr>
            <w:tcW w:w="1701" w:type="dxa"/>
            <w:noWrap w:val="0"/>
            <w:vAlign w:val="center"/>
          </w:tcPr>
          <w:p w14:paraId="5279AE3B">
            <w:pPr>
              <w:spacing w:line="240" w:lineRule="auto"/>
              <w:jc w:val="center"/>
              <w:rPr>
                <w:rFonts w:hint="eastAsia" w:ascii="宋体" w:hAnsi="宋体" w:eastAsia="宋体" w:cs="宋体"/>
                <w:color w:val="auto"/>
                <w:sz w:val="24"/>
                <w:szCs w:val="24"/>
                <w:highlight w:val="none"/>
              </w:rPr>
            </w:pPr>
          </w:p>
        </w:tc>
        <w:tc>
          <w:tcPr>
            <w:tcW w:w="749" w:type="dxa"/>
            <w:noWrap w:val="0"/>
            <w:vAlign w:val="center"/>
          </w:tcPr>
          <w:p w14:paraId="60DB791C">
            <w:pPr>
              <w:spacing w:line="240" w:lineRule="auto"/>
              <w:jc w:val="center"/>
              <w:rPr>
                <w:rFonts w:hint="eastAsia" w:ascii="宋体" w:hAnsi="宋体" w:eastAsia="宋体" w:cs="宋体"/>
                <w:color w:val="auto"/>
                <w:sz w:val="24"/>
                <w:szCs w:val="24"/>
                <w:highlight w:val="none"/>
              </w:rPr>
            </w:pPr>
          </w:p>
        </w:tc>
      </w:tr>
      <w:tr w14:paraId="04A5B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721" w:type="dxa"/>
            <w:noWrap w:val="0"/>
            <w:vAlign w:val="center"/>
          </w:tcPr>
          <w:p w14:paraId="51D3BBA2">
            <w:pPr>
              <w:spacing w:line="240" w:lineRule="auto"/>
              <w:jc w:val="center"/>
              <w:rPr>
                <w:rFonts w:hint="eastAsia" w:ascii="宋体" w:hAnsi="宋体" w:eastAsia="宋体" w:cs="宋体"/>
                <w:color w:val="auto"/>
                <w:sz w:val="24"/>
                <w:szCs w:val="24"/>
                <w:highlight w:val="none"/>
              </w:rPr>
            </w:pPr>
          </w:p>
        </w:tc>
        <w:tc>
          <w:tcPr>
            <w:tcW w:w="2010" w:type="dxa"/>
            <w:noWrap w:val="0"/>
            <w:vAlign w:val="center"/>
          </w:tcPr>
          <w:p w14:paraId="27944890">
            <w:pPr>
              <w:spacing w:line="240" w:lineRule="auto"/>
              <w:jc w:val="center"/>
              <w:rPr>
                <w:rFonts w:hint="eastAsia" w:ascii="宋体" w:hAnsi="宋体" w:eastAsia="宋体" w:cs="宋体"/>
                <w:color w:val="auto"/>
                <w:sz w:val="24"/>
                <w:szCs w:val="24"/>
                <w:highlight w:val="none"/>
              </w:rPr>
            </w:pPr>
          </w:p>
        </w:tc>
        <w:tc>
          <w:tcPr>
            <w:tcW w:w="1700" w:type="dxa"/>
            <w:noWrap w:val="0"/>
            <w:vAlign w:val="center"/>
          </w:tcPr>
          <w:p w14:paraId="53A70D35">
            <w:pPr>
              <w:spacing w:line="240" w:lineRule="auto"/>
              <w:jc w:val="center"/>
              <w:rPr>
                <w:rFonts w:hint="eastAsia" w:ascii="宋体" w:hAnsi="宋体" w:eastAsia="宋体" w:cs="宋体"/>
                <w:color w:val="auto"/>
                <w:sz w:val="24"/>
                <w:szCs w:val="24"/>
                <w:highlight w:val="none"/>
              </w:rPr>
            </w:pPr>
          </w:p>
        </w:tc>
        <w:tc>
          <w:tcPr>
            <w:tcW w:w="1855" w:type="dxa"/>
            <w:noWrap w:val="0"/>
            <w:vAlign w:val="center"/>
          </w:tcPr>
          <w:p w14:paraId="69048E7A">
            <w:pPr>
              <w:spacing w:line="240" w:lineRule="auto"/>
              <w:jc w:val="center"/>
              <w:rPr>
                <w:rFonts w:hint="eastAsia" w:ascii="宋体" w:hAnsi="宋体" w:eastAsia="宋体" w:cs="宋体"/>
                <w:color w:val="auto"/>
                <w:sz w:val="24"/>
                <w:szCs w:val="24"/>
                <w:highlight w:val="none"/>
              </w:rPr>
            </w:pPr>
          </w:p>
        </w:tc>
        <w:tc>
          <w:tcPr>
            <w:tcW w:w="1701" w:type="dxa"/>
            <w:noWrap w:val="0"/>
            <w:vAlign w:val="center"/>
          </w:tcPr>
          <w:p w14:paraId="589A5BAB">
            <w:pPr>
              <w:spacing w:line="240" w:lineRule="auto"/>
              <w:jc w:val="center"/>
              <w:rPr>
                <w:rFonts w:hint="eastAsia" w:ascii="宋体" w:hAnsi="宋体" w:eastAsia="宋体" w:cs="宋体"/>
                <w:color w:val="auto"/>
                <w:sz w:val="24"/>
                <w:szCs w:val="24"/>
                <w:highlight w:val="none"/>
              </w:rPr>
            </w:pPr>
          </w:p>
        </w:tc>
        <w:tc>
          <w:tcPr>
            <w:tcW w:w="749" w:type="dxa"/>
            <w:noWrap w:val="0"/>
            <w:vAlign w:val="center"/>
          </w:tcPr>
          <w:p w14:paraId="598F3BE6">
            <w:pPr>
              <w:spacing w:line="240" w:lineRule="auto"/>
              <w:jc w:val="center"/>
              <w:rPr>
                <w:rFonts w:hint="eastAsia" w:ascii="宋体" w:hAnsi="宋体" w:eastAsia="宋体" w:cs="宋体"/>
                <w:color w:val="auto"/>
                <w:sz w:val="24"/>
                <w:szCs w:val="24"/>
                <w:highlight w:val="none"/>
              </w:rPr>
            </w:pPr>
          </w:p>
        </w:tc>
      </w:tr>
      <w:tr w14:paraId="09CC9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721" w:type="dxa"/>
            <w:noWrap w:val="0"/>
            <w:vAlign w:val="center"/>
          </w:tcPr>
          <w:p w14:paraId="5A973CF7">
            <w:pPr>
              <w:spacing w:line="240" w:lineRule="auto"/>
              <w:jc w:val="center"/>
              <w:rPr>
                <w:rFonts w:hint="eastAsia" w:ascii="宋体" w:hAnsi="宋体" w:eastAsia="宋体" w:cs="宋体"/>
                <w:color w:val="auto"/>
                <w:sz w:val="24"/>
                <w:szCs w:val="24"/>
                <w:highlight w:val="none"/>
              </w:rPr>
            </w:pPr>
          </w:p>
        </w:tc>
        <w:tc>
          <w:tcPr>
            <w:tcW w:w="2010" w:type="dxa"/>
            <w:noWrap w:val="0"/>
            <w:vAlign w:val="center"/>
          </w:tcPr>
          <w:p w14:paraId="769AF25A">
            <w:pPr>
              <w:spacing w:line="240" w:lineRule="auto"/>
              <w:jc w:val="center"/>
              <w:rPr>
                <w:rFonts w:hint="eastAsia" w:ascii="宋体" w:hAnsi="宋体" w:eastAsia="宋体" w:cs="宋体"/>
                <w:color w:val="auto"/>
                <w:sz w:val="24"/>
                <w:szCs w:val="24"/>
                <w:highlight w:val="none"/>
              </w:rPr>
            </w:pPr>
          </w:p>
        </w:tc>
        <w:tc>
          <w:tcPr>
            <w:tcW w:w="1700" w:type="dxa"/>
            <w:noWrap w:val="0"/>
            <w:vAlign w:val="center"/>
          </w:tcPr>
          <w:p w14:paraId="03B6E2AD">
            <w:pPr>
              <w:spacing w:line="240" w:lineRule="auto"/>
              <w:jc w:val="center"/>
              <w:rPr>
                <w:rFonts w:hint="eastAsia" w:ascii="宋体" w:hAnsi="宋体" w:eastAsia="宋体" w:cs="宋体"/>
                <w:color w:val="auto"/>
                <w:sz w:val="24"/>
                <w:szCs w:val="24"/>
                <w:highlight w:val="none"/>
              </w:rPr>
            </w:pPr>
          </w:p>
        </w:tc>
        <w:tc>
          <w:tcPr>
            <w:tcW w:w="1855" w:type="dxa"/>
            <w:noWrap w:val="0"/>
            <w:vAlign w:val="center"/>
          </w:tcPr>
          <w:p w14:paraId="6E9B1997">
            <w:pPr>
              <w:spacing w:line="240" w:lineRule="auto"/>
              <w:jc w:val="center"/>
              <w:rPr>
                <w:rFonts w:hint="eastAsia" w:ascii="宋体" w:hAnsi="宋体" w:eastAsia="宋体" w:cs="宋体"/>
                <w:color w:val="auto"/>
                <w:sz w:val="24"/>
                <w:szCs w:val="24"/>
                <w:highlight w:val="none"/>
              </w:rPr>
            </w:pPr>
          </w:p>
        </w:tc>
        <w:tc>
          <w:tcPr>
            <w:tcW w:w="1701" w:type="dxa"/>
            <w:noWrap w:val="0"/>
            <w:vAlign w:val="center"/>
          </w:tcPr>
          <w:p w14:paraId="21A86EB6">
            <w:pPr>
              <w:spacing w:line="240" w:lineRule="auto"/>
              <w:jc w:val="center"/>
              <w:rPr>
                <w:rFonts w:hint="eastAsia" w:ascii="宋体" w:hAnsi="宋体" w:eastAsia="宋体" w:cs="宋体"/>
                <w:color w:val="auto"/>
                <w:sz w:val="24"/>
                <w:szCs w:val="24"/>
                <w:highlight w:val="none"/>
              </w:rPr>
            </w:pPr>
          </w:p>
        </w:tc>
        <w:tc>
          <w:tcPr>
            <w:tcW w:w="749" w:type="dxa"/>
            <w:noWrap w:val="0"/>
            <w:vAlign w:val="center"/>
          </w:tcPr>
          <w:p w14:paraId="14C528D2">
            <w:pPr>
              <w:spacing w:line="240" w:lineRule="auto"/>
              <w:jc w:val="center"/>
              <w:rPr>
                <w:rFonts w:hint="eastAsia" w:ascii="宋体" w:hAnsi="宋体" w:eastAsia="宋体" w:cs="宋体"/>
                <w:color w:val="auto"/>
                <w:sz w:val="24"/>
                <w:szCs w:val="24"/>
                <w:highlight w:val="none"/>
              </w:rPr>
            </w:pPr>
          </w:p>
        </w:tc>
      </w:tr>
      <w:tr w14:paraId="2BAA6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721" w:type="dxa"/>
            <w:noWrap w:val="0"/>
            <w:vAlign w:val="center"/>
          </w:tcPr>
          <w:p w14:paraId="5ADD4CC2">
            <w:pPr>
              <w:spacing w:line="240" w:lineRule="auto"/>
              <w:jc w:val="center"/>
              <w:rPr>
                <w:rFonts w:hint="eastAsia" w:ascii="宋体" w:hAnsi="宋体" w:eastAsia="宋体" w:cs="宋体"/>
                <w:color w:val="auto"/>
                <w:sz w:val="24"/>
                <w:szCs w:val="24"/>
                <w:highlight w:val="none"/>
              </w:rPr>
            </w:pPr>
          </w:p>
        </w:tc>
        <w:tc>
          <w:tcPr>
            <w:tcW w:w="2010" w:type="dxa"/>
            <w:noWrap w:val="0"/>
            <w:vAlign w:val="center"/>
          </w:tcPr>
          <w:p w14:paraId="02064E35">
            <w:pPr>
              <w:spacing w:line="240" w:lineRule="auto"/>
              <w:jc w:val="center"/>
              <w:rPr>
                <w:rFonts w:hint="eastAsia" w:ascii="宋体" w:hAnsi="宋体" w:eastAsia="宋体" w:cs="宋体"/>
                <w:color w:val="auto"/>
                <w:sz w:val="24"/>
                <w:szCs w:val="24"/>
                <w:highlight w:val="none"/>
              </w:rPr>
            </w:pPr>
          </w:p>
        </w:tc>
        <w:tc>
          <w:tcPr>
            <w:tcW w:w="1700" w:type="dxa"/>
            <w:noWrap w:val="0"/>
            <w:vAlign w:val="center"/>
          </w:tcPr>
          <w:p w14:paraId="0DBFB1A4">
            <w:pPr>
              <w:spacing w:line="240" w:lineRule="auto"/>
              <w:jc w:val="center"/>
              <w:rPr>
                <w:rFonts w:hint="eastAsia" w:ascii="宋体" w:hAnsi="宋体" w:eastAsia="宋体" w:cs="宋体"/>
                <w:color w:val="auto"/>
                <w:sz w:val="24"/>
                <w:szCs w:val="24"/>
                <w:highlight w:val="none"/>
              </w:rPr>
            </w:pPr>
          </w:p>
        </w:tc>
        <w:tc>
          <w:tcPr>
            <w:tcW w:w="1855" w:type="dxa"/>
            <w:noWrap w:val="0"/>
            <w:vAlign w:val="center"/>
          </w:tcPr>
          <w:p w14:paraId="6BB4EB8D">
            <w:pPr>
              <w:spacing w:line="240" w:lineRule="auto"/>
              <w:jc w:val="center"/>
              <w:rPr>
                <w:rFonts w:hint="eastAsia" w:ascii="宋体" w:hAnsi="宋体" w:eastAsia="宋体" w:cs="宋体"/>
                <w:color w:val="auto"/>
                <w:sz w:val="24"/>
                <w:szCs w:val="24"/>
                <w:highlight w:val="none"/>
              </w:rPr>
            </w:pPr>
          </w:p>
        </w:tc>
        <w:tc>
          <w:tcPr>
            <w:tcW w:w="1701" w:type="dxa"/>
            <w:noWrap w:val="0"/>
            <w:vAlign w:val="center"/>
          </w:tcPr>
          <w:p w14:paraId="3632D73D">
            <w:pPr>
              <w:spacing w:line="240" w:lineRule="auto"/>
              <w:jc w:val="center"/>
              <w:rPr>
                <w:rFonts w:hint="eastAsia" w:ascii="宋体" w:hAnsi="宋体" w:eastAsia="宋体" w:cs="宋体"/>
                <w:color w:val="auto"/>
                <w:sz w:val="24"/>
                <w:szCs w:val="24"/>
                <w:highlight w:val="none"/>
              </w:rPr>
            </w:pPr>
          </w:p>
        </w:tc>
        <w:tc>
          <w:tcPr>
            <w:tcW w:w="749" w:type="dxa"/>
            <w:noWrap w:val="0"/>
            <w:vAlign w:val="center"/>
          </w:tcPr>
          <w:p w14:paraId="316B54AE">
            <w:pPr>
              <w:spacing w:line="240" w:lineRule="auto"/>
              <w:jc w:val="center"/>
              <w:rPr>
                <w:rFonts w:hint="eastAsia" w:ascii="宋体" w:hAnsi="宋体" w:eastAsia="宋体" w:cs="宋体"/>
                <w:color w:val="auto"/>
                <w:sz w:val="24"/>
                <w:szCs w:val="24"/>
                <w:highlight w:val="none"/>
              </w:rPr>
            </w:pPr>
          </w:p>
        </w:tc>
      </w:tr>
    </w:tbl>
    <w:p w14:paraId="0D299D7C">
      <w:pPr>
        <w:spacing w:line="240" w:lineRule="auto"/>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注：</w:t>
      </w:r>
      <w:r>
        <w:rPr>
          <w:rFonts w:hint="eastAsia" w:ascii="宋体" w:hAnsi="宋体" w:eastAsia="宋体" w:cs="宋体"/>
          <w:color w:val="auto"/>
          <w:sz w:val="24"/>
          <w:szCs w:val="24"/>
          <w:highlight w:val="none"/>
        </w:rPr>
        <w:t>业绩证明材料需提供合同、成果文件关键页</w:t>
      </w:r>
    </w:p>
    <w:p w14:paraId="3567051F">
      <w:pPr>
        <w:spacing w:line="240" w:lineRule="auto"/>
        <w:rPr>
          <w:rFonts w:hint="eastAsia" w:ascii="宋体" w:hAnsi="宋体" w:eastAsia="宋体" w:cs="宋体"/>
          <w:color w:val="auto"/>
          <w:sz w:val="24"/>
          <w:szCs w:val="24"/>
          <w:highlight w:val="none"/>
        </w:rPr>
      </w:pPr>
    </w:p>
    <w:p w14:paraId="672B1788">
      <w:pPr>
        <w:spacing w:line="240" w:lineRule="auto"/>
        <w:rPr>
          <w:rFonts w:hint="eastAsia" w:ascii="宋体" w:hAnsi="宋体" w:eastAsia="宋体" w:cs="宋体"/>
          <w:color w:val="auto"/>
          <w:sz w:val="24"/>
          <w:szCs w:val="24"/>
          <w:highlight w:val="none"/>
        </w:rPr>
      </w:pPr>
    </w:p>
    <w:p w14:paraId="3C7ED94C">
      <w:pPr>
        <w:widowControl/>
        <w:adjustRightInd w:val="0"/>
        <w:spacing w:line="360" w:lineRule="auto"/>
        <w:jc w:val="both"/>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（电子签章）</w:t>
      </w:r>
    </w:p>
    <w:p w14:paraId="43381122">
      <w:pPr>
        <w:widowControl/>
        <w:adjustRightInd w:val="0"/>
        <w:spacing w:line="360" w:lineRule="auto"/>
        <w:jc w:val="both"/>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法定代表人或其委托代理人：</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（电子签章）</w:t>
      </w:r>
    </w:p>
    <w:p w14:paraId="4E5789AF">
      <w:pPr>
        <w:widowControl/>
        <w:adjustRightInd w:val="0"/>
        <w:spacing w:line="360" w:lineRule="auto"/>
        <w:jc w:val="both"/>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日期：</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月</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日</w:t>
      </w:r>
    </w:p>
    <w:p w14:paraId="68CA8D70">
      <w:pPr>
        <w:spacing w:line="240" w:lineRule="auto"/>
        <w:jc w:val="center"/>
        <w:rPr>
          <w:rFonts w:hint="eastAsia" w:ascii="宋体" w:hAnsi="宋体" w:eastAsia="宋体" w:cs="宋体"/>
          <w:color w:val="auto"/>
          <w:sz w:val="24"/>
          <w:szCs w:val="24"/>
          <w:highlight w:val="none"/>
        </w:rPr>
      </w:pPr>
    </w:p>
    <w:p w14:paraId="44BF3F68">
      <w:pPr>
        <w:pStyle w:val="22"/>
        <w:numPr>
          <w:ilvl w:val="0"/>
          <w:numId w:val="5"/>
        </w:numPr>
        <w:spacing w:line="240" w:lineRule="auto"/>
        <w:ind w:left="0"/>
        <w:jc w:val="center"/>
        <w:outlineLvl w:val="0"/>
        <w:rPr>
          <w:rFonts w:hint="eastAsia" w:ascii="宋体" w:hAnsi="宋体" w:eastAsia="宋体" w:cs="宋体"/>
          <w:color w:val="auto"/>
          <w:szCs w:val="28"/>
          <w:highlight w:val="none"/>
          <w:lang w:val="en-US"/>
        </w:rPr>
      </w:pPr>
      <w:r>
        <w:rPr>
          <w:rFonts w:hint="eastAsia" w:ascii="宋体" w:hAnsi="宋体" w:eastAsia="宋体" w:cs="宋体"/>
          <w:color w:val="auto"/>
          <w:szCs w:val="28"/>
          <w:highlight w:val="none"/>
          <w:lang w:val="en-US"/>
        </w:rPr>
        <w:br w:type="page"/>
      </w:r>
      <w:r>
        <w:rPr>
          <w:rFonts w:hint="eastAsia" w:ascii="宋体" w:hAnsi="宋体" w:eastAsia="宋体" w:cs="宋体"/>
          <w:color w:val="auto"/>
          <w:szCs w:val="28"/>
          <w:highlight w:val="none"/>
          <w:lang w:val="en-US"/>
        </w:rPr>
        <w:t>技术标</w:t>
      </w:r>
    </w:p>
    <w:p w14:paraId="55AD6517">
      <w:pPr>
        <w:spacing w:line="240" w:lineRule="auto"/>
        <w:jc w:val="center"/>
        <w:rPr>
          <w:rFonts w:hint="eastAsia" w:ascii="宋体" w:hAnsi="宋体" w:eastAsia="宋体" w:cs="宋体"/>
          <w:color w:val="auto"/>
          <w:kern w:val="0"/>
          <w:sz w:val="28"/>
          <w:szCs w:val="28"/>
          <w:highlight w:val="none"/>
          <w:lang w:eastAsia="zh-CN"/>
        </w:rPr>
      </w:pPr>
      <w:r>
        <w:rPr>
          <w:rFonts w:hint="eastAsia" w:ascii="宋体" w:hAnsi="宋体" w:eastAsia="宋体" w:cs="宋体"/>
          <w:b w:val="0"/>
          <w:bCs w:val="0"/>
          <w:color w:val="auto"/>
          <w:sz w:val="28"/>
          <w:szCs w:val="28"/>
          <w:highlight w:val="none"/>
          <w:lang w:eastAsia="zh-CN"/>
        </w:rPr>
        <w:t>（格式自拟，应逐页加盖</w:t>
      </w:r>
      <w:r>
        <w:rPr>
          <w:rFonts w:hint="eastAsia" w:ascii="宋体" w:hAnsi="宋体" w:eastAsia="宋体" w:cs="宋体"/>
          <w:b w:val="0"/>
          <w:bCs w:val="0"/>
          <w:color w:val="auto"/>
          <w:sz w:val="28"/>
          <w:szCs w:val="28"/>
          <w:highlight w:val="none"/>
          <w:lang w:val="en-US" w:eastAsia="zh-CN"/>
        </w:rPr>
        <w:t>企业电子签章</w:t>
      </w:r>
      <w:r>
        <w:rPr>
          <w:rFonts w:hint="eastAsia" w:ascii="宋体" w:hAnsi="宋体" w:eastAsia="宋体" w:cs="宋体"/>
          <w:color w:val="auto"/>
          <w:sz w:val="28"/>
          <w:szCs w:val="28"/>
          <w:highlight w:val="none"/>
        </w:rPr>
        <w:t>，内容应包括但不限制于评分办法提到的内容。</w:t>
      </w:r>
      <w:r>
        <w:rPr>
          <w:rFonts w:hint="eastAsia" w:ascii="宋体" w:hAnsi="宋体" w:eastAsia="宋体" w:cs="宋体"/>
          <w:color w:val="auto"/>
          <w:sz w:val="28"/>
          <w:szCs w:val="28"/>
          <w:highlight w:val="none"/>
          <w:lang w:eastAsia="zh-CN"/>
        </w:rPr>
        <w:t>）</w:t>
      </w:r>
    </w:p>
    <w:p w14:paraId="6A315F9C">
      <w:pPr>
        <w:pStyle w:val="22"/>
        <w:spacing w:line="240" w:lineRule="auto"/>
        <w:ind w:left="0"/>
        <w:jc w:val="center"/>
        <w:outlineLvl w:val="0"/>
        <w:rPr>
          <w:rFonts w:hint="eastAsia" w:ascii="宋体" w:hAnsi="宋体" w:eastAsia="宋体" w:cs="宋体"/>
          <w:color w:val="auto"/>
          <w:szCs w:val="28"/>
          <w:highlight w:val="none"/>
          <w:lang w:val="en-US"/>
        </w:rPr>
      </w:pPr>
    </w:p>
    <w:p w14:paraId="0D7E5046">
      <w:pPr>
        <w:pStyle w:val="22"/>
        <w:spacing w:line="240" w:lineRule="auto"/>
        <w:ind w:left="0"/>
        <w:jc w:val="center"/>
        <w:outlineLvl w:val="0"/>
        <w:rPr>
          <w:rFonts w:hint="eastAsia" w:ascii="宋体" w:hAnsi="宋体" w:eastAsia="宋体" w:cs="宋体"/>
          <w:color w:val="auto"/>
          <w:szCs w:val="28"/>
          <w:highlight w:val="none"/>
          <w:lang w:val="en-US"/>
        </w:rPr>
      </w:pPr>
    </w:p>
    <w:p w14:paraId="353FD59A">
      <w:pPr>
        <w:pStyle w:val="22"/>
        <w:spacing w:line="240" w:lineRule="auto"/>
        <w:ind w:left="0"/>
        <w:jc w:val="center"/>
        <w:outlineLvl w:val="0"/>
        <w:rPr>
          <w:rFonts w:hint="eastAsia" w:ascii="宋体" w:hAnsi="宋体" w:eastAsia="宋体" w:cs="宋体"/>
          <w:color w:val="auto"/>
          <w:szCs w:val="28"/>
          <w:highlight w:val="none"/>
          <w:lang w:val="en-US"/>
        </w:rPr>
      </w:pPr>
    </w:p>
    <w:p w14:paraId="5F931FDD">
      <w:pPr>
        <w:pStyle w:val="22"/>
        <w:spacing w:line="240" w:lineRule="auto"/>
        <w:ind w:left="0"/>
        <w:jc w:val="center"/>
        <w:outlineLvl w:val="0"/>
        <w:rPr>
          <w:rFonts w:hint="eastAsia" w:ascii="宋体" w:hAnsi="宋体" w:eastAsia="宋体" w:cs="宋体"/>
          <w:color w:val="auto"/>
          <w:szCs w:val="28"/>
          <w:highlight w:val="none"/>
          <w:lang w:val="en-US"/>
        </w:rPr>
      </w:pPr>
    </w:p>
    <w:p w14:paraId="52BA3959">
      <w:pPr>
        <w:pStyle w:val="22"/>
        <w:numPr>
          <w:ilvl w:val="0"/>
          <w:numId w:val="5"/>
        </w:numPr>
        <w:spacing w:line="240" w:lineRule="auto"/>
        <w:ind w:left="0"/>
        <w:jc w:val="center"/>
        <w:rPr>
          <w:rFonts w:hint="eastAsia" w:ascii="宋体" w:hAnsi="宋体" w:eastAsia="宋体" w:cs="宋体"/>
          <w:color w:val="auto"/>
          <w:szCs w:val="28"/>
          <w:highlight w:val="none"/>
          <w:lang w:val="en-US"/>
        </w:rPr>
      </w:pPr>
      <w:bookmarkStart w:id="51" w:name="5、资格审查资料"/>
      <w:bookmarkEnd w:id="51"/>
      <w:r>
        <w:rPr>
          <w:rFonts w:hint="eastAsia" w:ascii="宋体" w:hAnsi="宋体" w:eastAsia="宋体" w:cs="宋体"/>
          <w:color w:val="auto"/>
          <w:szCs w:val="28"/>
          <w:highlight w:val="none"/>
          <w:lang w:val="en-US"/>
        </w:rPr>
        <w:br w:type="page"/>
      </w:r>
      <w:r>
        <w:rPr>
          <w:rFonts w:hint="eastAsia" w:ascii="宋体" w:hAnsi="宋体" w:eastAsia="宋体" w:cs="宋体"/>
          <w:color w:val="auto"/>
          <w:szCs w:val="28"/>
          <w:highlight w:val="none"/>
          <w:lang w:val="en-US"/>
        </w:rPr>
        <w:t>商务标</w:t>
      </w:r>
    </w:p>
    <w:p w14:paraId="3574C524">
      <w:pPr>
        <w:spacing w:line="240" w:lineRule="auto"/>
        <w:jc w:val="center"/>
        <w:rPr>
          <w:rFonts w:hint="eastAsia" w:ascii="宋体" w:hAnsi="宋体" w:eastAsia="宋体" w:cs="宋体"/>
          <w:color w:val="auto"/>
          <w:kern w:val="0"/>
          <w:sz w:val="28"/>
          <w:szCs w:val="28"/>
          <w:highlight w:val="none"/>
          <w:lang w:eastAsia="zh-CN"/>
        </w:rPr>
      </w:pPr>
      <w:r>
        <w:rPr>
          <w:rFonts w:hint="eastAsia" w:ascii="宋体" w:hAnsi="宋体" w:eastAsia="宋体" w:cs="宋体"/>
          <w:b w:val="0"/>
          <w:bCs w:val="0"/>
          <w:color w:val="auto"/>
          <w:sz w:val="28"/>
          <w:szCs w:val="28"/>
          <w:highlight w:val="none"/>
          <w:lang w:eastAsia="zh-CN"/>
        </w:rPr>
        <w:t>（格式自拟，应逐页加盖</w:t>
      </w:r>
      <w:r>
        <w:rPr>
          <w:rFonts w:hint="eastAsia" w:ascii="宋体" w:hAnsi="宋体" w:eastAsia="宋体" w:cs="宋体"/>
          <w:b w:val="0"/>
          <w:bCs w:val="0"/>
          <w:color w:val="auto"/>
          <w:sz w:val="28"/>
          <w:szCs w:val="28"/>
          <w:highlight w:val="none"/>
          <w:lang w:val="en-US" w:eastAsia="zh-CN"/>
        </w:rPr>
        <w:t>企业电子签章</w:t>
      </w:r>
      <w:r>
        <w:rPr>
          <w:rFonts w:hint="eastAsia" w:ascii="宋体" w:hAnsi="宋体" w:eastAsia="宋体" w:cs="宋体"/>
          <w:color w:val="auto"/>
          <w:sz w:val="28"/>
          <w:szCs w:val="28"/>
          <w:highlight w:val="none"/>
        </w:rPr>
        <w:t>，内容应包括但不限制于评分办法提到的内容。</w:t>
      </w:r>
      <w:r>
        <w:rPr>
          <w:rFonts w:hint="eastAsia" w:ascii="宋体" w:hAnsi="宋体" w:eastAsia="宋体" w:cs="宋体"/>
          <w:color w:val="auto"/>
          <w:sz w:val="28"/>
          <w:szCs w:val="28"/>
          <w:highlight w:val="none"/>
          <w:lang w:eastAsia="zh-CN"/>
        </w:rPr>
        <w:t>）</w:t>
      </w:r>
    </w:p>
    <w:p w14:paraId="79ADAA98">
      <w:pPr>
        <w:pStyle w:val="22"/>
        <w:spacing w:line="240" w:lineRule="auto"/>
        <w:ind w:left="0"/>
        <w:jc w:val="both"/>
        <w:rPr>
          <w:rFonts w:hint="eastAsia" w:ascii="宋体" w:hAnsi="宋体" w:eastAsia="宋体" w:cs="宋体"/>
          <w:color w:val="auto"/>
          <w:szCs w:val="28"/>
          <w:highlight w:val="none"/>
        </w:rPr>
      </w:pPr>
    </w:p>
    <w:p w14:paraId="731082F6">
      <w:pPr>
        <w:pStyle w:val="22"/>
        <w:spacing w:line="240" w:lineRule="auto"/>
        <w:ind w:left="0"/>
        <w:jc w:val="both"/>
        <w:rPr>
          <w:rFonts w:hint="eastAsia" w:ascii="宋体" w:hAnsi="宋体" w:eastAsia="宋体" w:cs="宋体"/>
          <w:color w:val="auto"/>
          <w:szCs w:val="28"/>
          <w:highlight w:val="none"/>
        </w:rPr>
      </w:pPr>
    </w:p>
    <w:p w14:paraId="0B33896C">
      <w:pPr>
        <w:pStyle w:val="22"/>
        <w:spacing w:line="240" w:lineRule="auto"/>
        <w:ind w:left="0"/>
        <w:jc w:val="both"/>
        <w:rPr>
          <w:rFonts w:hint="eastAsia" w:ascii="宋体" w:hAnsi="宋体" w:eastAsia="宋体" w:cs="宋体"/>
          <w:color w:val="auto"/>
          <w:szCs w:val="28"/>
          <w:highlight w:val="none"/>
        </w:rPr>
      </w:pPr>
    </w:p>
    <w:p w14:paraId="661E8923">
      <w:pPr>
        <w:pStyle w:val="22"/>
        <w:spacing w:line="240" w:lineRule="auto"/>
        <w:ind w:left="0"/>
        <w:jc w:val="both"/>
        <w:rPr>
          <w:rFonts w:hint="eastAsia" w:ascii="宋体" w:hAnsi="宋体" w:eastAsia="宋体" w:cs="宋体"/>
          <w:color w:val="auto"/>
          <w:szCs w:val="28"/>
          <w:highlight w:val="none"/>
        </w:rPr>
      </w:pPr>
    </w:p>
    <w:p w14:paraId="13803AF5">
      <w:pPr>
        <w:pStyle w:val="22"/>
        <w:numPr>
          <w:ilvl w:val="0"/>
          <w:numId w:val="5"/>
        </w:numPr>
        <w:spacing w:line="240" w:lineRule="auto"/>
        <w:ind w:left="0"/>
        <w:jc w:val="center"/>
        <w:rPr>
          <w:rFonts w:hint="eastAsia" w:ascii="宋体" w:hAnsi="宋体" w:eastAsia="宋体" w:cs="宋体"/>
          <w:color w:val="auto"/>
          <w:szCs w:val="28"/>
          <w:highlight w:val="none"/>
        </w:rPr>
      </w:pPr>
      <w:r>
        <w:rPr>
          <w:rFonts w:hint="eastAsia" w:ascii="宋体" w:hAnsi="宋体" w:eastAsia="宋体" w:cs="宋体"/>
          <w:color w:val="auto"/>
          <w:szCs w:val="28"/>
          <w:highlight w:val="none"/>
        </w:rPr>
        <w:br w:type="page"/>
      </w:r>
      <w:r>
        <w:rPr>
          <w:rFonts w:hint="eastAsia" w:ascii="宋体" w:hAnsi="宋体" w:eastAsia="宋体" w:cs="宋体"/>
          <w:color w:val="auto"/>
          <w:szCs w:val="28"/>
          <w:highlight w:val="none"/>
        </w:rPr>
        <w:t>供应商认为需要提供的其他资料</w:t>
      </w:r>
    </w:p>
    <w:p w14:paraId="5FF821B1">
      <w:pPr>
        <w:pStyle w:val="22"/>
        <w:ind w:left="0"/>
        <w:jc w:val="center"/>
        <w:rPr>
          <w:rFonts w:hint="eastAsia" w:ascii="宋体" w:hAnsi="宋体" w:eastAsia="宋体" w:cs="宋体"/>
          <w:color w:val="auto"/>
          <w:highlight w:val="none"/>
        </w:rPr>
      </w:pPr>
    </w:p>
    <w:p w14:paraId="733DE444">
      <w:pPr>
        <w:pStyle w:val="16"/>
        <w:ind w:left="0"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8"/>
          <w:szCs w:val="20"/>
          <w:highlight w:val="none"/>
        </w:rPr>
        <w:br w:type="page"/>
      </w:r>
      <w:r>
        <w:rPr>
          <w:rFonts w:hint="eastAsia" w:ascii="宋体" w:hAnsi="宋体" w:eastAsia="宋体" w:cs="宋体"/>
          <w:color w:val="auto"/>
          <w:sz w:val="24"/>
          <w:szCs w:val="24"/>
          <w:highlight w:val="none"/>
        </w:rPr>
        <w:t>附件</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w:t>
      </w:r>
    </w:p>
    <w:p w14:paraId="3B9709B7">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中小企业声明函</w:t>
      </w:r>
    </w:p>
    <w:p w14:paraId="58AAA257">
      <w:pPr>
        <w:jc w:val="center"/>
        <w:rPr>
          <w:rFonts w:hint="eastAsia" w:ascii="宋体" w:hAnsi="宋体" w:eastAsia="宋体" w:cs="宋体"/>
          <w:b/>
          <w:bCs/>
          <w:iCs/>
          <w:color w:val="auto"/>
          <w:sz w:val="24"/>
          <w:szCs w:val="24"/>
          <w:highlight w:val="none"/>
        </w:rPr>
      </w:pPr>
      <w:r>
        <w:rPr>
          <w:rFonts w:hint="eastAsia" w:ascii="宋体" w:hAnsi="宋体" w:eastAsia="宋体" w:cs="宋体"/>
          <w:b/>
          <w:bCs/>
          <w:iCs/>
          <w:color w:val="auto"/>
          <w:sz w:val="24"/>
          <w:szCs w:val="24"/>
          <w:highlight w:val="none"/>
        </w:rPr>
        <w:t>（属于中小微企业的填写，不属于的无需填写此项内容）</w:t>
      </w:r>
    </w:p>
    <w:p w14:paraId="5E3EDA11">
      <w:pPr>
        <w:spacing w:line="360" w:lineRule="auto"/>
        <w:ind w:firstLine="480" w:firstLineChars="200"/>
        <w:rPr>
          <w:rFonts w:hint="eastAsia" w:ascii="宋体" w:hAnsi="宋体" w:eastAsia="宋体" w:cs="宋体"/>
          <w:color w:val="auto"/>
          <w:sz w:val="24"/>
          <w:szCs w:val="24"/>
          <w:highlight w:val="none"/>
        </w:rPr>
      </w:pPr>
    </w:p>
    <w:p w14:paraId="7A0185E0">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本公司（联合体） 郑重声明， 根据《政府采购促进中小企业发展管理办法》（财库﹝ 2020﹞ 46 号） 的规定， 本公司</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（联合体） 参加</w:t>
      </w:r>
      <w:r>
        <w:rPr>
          <w:rFonts w:hint="eastAsia" w:ascii="宋体" w:hAnsi="宋体" w:eastAsia="宋体" w:cs="宋体"/>
          <w:color w:val="auto"/>
          <w:sz w:val="24"/>
          <w:szCs w:val="24"/>
          <w:highlight w:val="none"/>
          <w:u w:val="single"/>
        </w:rPr>
        <w:t>（单位名称）</w:t>
      </w:r>
      <w:r>
        <w:rPr>
          <w:rFonts w:hint="eastAsia" w:ascii="宋体" w:hAnsi="宋体" w:eastAsia="宋体" w:cs="宋体"/>
          <w:color w:val="auto"/>
          <w:sz w:val="24"/>
          <w:szCs w:val="24"/>
          <w:highlight w:val="none"/>
        </w:rPr>
        <w:t xml:space="preserve"> 的</w:t>
      </w:r>
      <w:r>
        <w:rPr>
          <w:rFonts w:hint="eastAsia" w:ascii="宋体" w:hAnsi="宋体" w:eastAsia="宋体" w:cs="宋体"/>
          <w:color w:val="auto"/>
          <w:sz w:val="24"/>
          <w:szCs w:val="24"/>
          <w:highlight w:val="none"/>
          <w:u w:val="single"/>
        </w:rPr>
        <w:t>（项目名称）</w:t>
      </w:r>
      <w:r>
        <w:rPr>
          <w:rFonts w:hint="eastAsia" w:ascii="宋体" w:hAnsi="宋体" w:eastAsia="宋体" w:cs="宋体"/>
          <w:color w:val="auto"/>
          <w:sz w:val="24"/>
          <w:szCs w:val="24"/>
          <w:highlight w:val="none"/>
        </w:rPr>
        <w:t xml:space="preserve"> 采购活动，</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工程的施工单位全部为符合政策要求的中小企业（或者：服务全部由符合政策要求的中小企业承接）。相关企业（含联合体中的中小企业、签订分包意向协议的中小企业）的具体情况如下：</w:t>
      </w:r>
    </w:p>
    <w:p w14:paraId="2FF0F843">
      <w:pPr>
        <w:spacing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（标的名称）</w:t>
      </w:r>
      <w:r>
        <w:rPr>
          <w:rFonts w:hint="eastAsia" w:ascii="宋体" w:hAnsi="宋体" w:eastAsia="宋体" w:cs="宋体"/>
          <w:color w:val="auto"/>
          <w:sz w:val="24"/>
          <w:szCs w:val="24"/>
          <w:highlight w:val="none"/>
        </w:rPr>
        <w:t xml:space="preserve"> ， 属于</w:t>
      </w:r>
      <w:r>
        <w:rPr>
          <w:rFonts w:hint="eastAsia" w:ascii="宋体" w:hAnsi="宋体" w:eastAsia="宋体" w:cs="宋体"/>
          <w:color w:val="auto"/>
          <w:sz w:val="24"/>
          <w:szCs w:val="24"/>
          <w:highlight w:val="none"/>
          <w:u w:val="single"/>
        </w:rPr>
        <w:t>（采购文件中明确的所属行业）</w:t>
      </w:r>
      <w:r>
        <w:rPr>
          <w:rFonts w:hint="eastAsia" w:ascii="宋体" w:hAnsi="宋体" w:eastAsia="宋体" w:cs="宋体"/>
          <w:color w:val="auto"/>
          <w:sz w:val="24"/>
          <w:szCs w:val="24"/>
          <w:highlight w:val="none"/>
        </w:rPr>
        <w:t>； 承建（承接）企业为</w:t>
      </w:r>
      <w:r>
        <w:rPr>
          <w:rFonts w:hint="eastAsia" w:ascii="宋体" w:hAnsi="宋体" w:eastAsia="宋体" w:cs="宋体"/>
          <w:color w:val="auto"/>
          <w:sz w:val="24"/>
          <w:szCs w:val="24"/>
          <w:highlight w:val="none"/>
          <w:u w:val="single"/>
        </w:rPr>
        <w:t>（ 企业名称）</w:t>
      </w:r>
      <w:r>
        <w:rPr>
          <w:rFonts w:hint="eastAsia" w:ascii="宋体" w:hAnsi="宋体" w:eastAsia="宋体" w:cs="宋体"/>
          <w:color w:val="auto"/>
          <w:sz w:val="24"/>
          <w:szCs w:val="24"/>
          <w:highlight w:val="none"/>
        </w:rPr>
        <w:t>， 从业人员</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人， 营业收入为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万元， 资产总额为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万元， 属于</w:t>
      </w:r>
      <w:r>
        <w:rPr>
          <w:rFonts w:hint="eastAsia" w:ascii="宋体" w:hAnsi="宋体" w:eastAsia="宋体" w:cs="宋体"/>
          <w:color w:val="auto"/>
          <w:sz w:val="24"/>
          <w:szCs w:val="24"/>
          <w:highlight w:val="none"/>
          <w:u w:val="single"/>
        </w:rPr>
        <w:t>（中型企业、 小型企业、 微型企业）</w:t>
      </w:r>
      <w:r>
        <w:rPr>
          <w:rFonts w:hint="eastAsia" w:ascii="宋体" w:hAnsi="宋体" w:eastAsia="宋体" w:cs="宋体"/>
          <w:color w:val="auto"/>
          <w:sz w:val="24"/>
          <w:szCs w:val="24"/>
          <w:highlight w:val="none"/>
        </w:rPr>
        <w:t>；</w:t>
      </w:r>
    </w:p>
    <w:p w14:paraId="06A2C943">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p w14:paraId="58EDBC57">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以上企业， 不属于大企业的分支机构， 不存在控股股东为大企业的情形， 也不存在与大企业的负责人为同一人的情形。</w:t>
      </w:r>
    </w:p>
    <w:p w14:paraId="0C59E3B1">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本企业对上述声明内容的真实性负责。 如有虚假， 将依法承担相应责任。</w:t>
      </w:r>
    </w:p>
    <w:p w14:paraId="696382C6">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企业名称（盖章）：</w:t>
      </w:r>
    </w:p>
    <w:p w14:paraId="0AF6033E">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 期：</w:t>
      </w:r>
    </w:p>
    <w:p w14:paraId="6E985FA4">
      <w:pPr>
        <w:spacing w:line="360" w:lineRule="auto"/>
        <w:ind w:firstLine="480" w:firstLineChars="200"/>
        <w:rPr>
          <w:rFonts w:hint="eastAsia" w:ascii="宋体" w:hAnsi="宋体" w:eastAsia="宋体" w:cs="宋体"/>
          <w:iCs/>
          <w:color w:val="auto"/>
          <w:sz w:val="24"/>
          <w:szCs w:val="24"/>
          <w:highlight w:val="none"/>
        </w:rPr>
      </w:pPr>
      <w:r>
        <w:rPr>
          <w:rFonts w:hint="eastAsia" w:ascii="宋体" w:hAnsi="宋体" w:eastAsia="宋体" w:cs="宋体"/>
          <w:color w:val="auto"/>
          <w:sz w:val="24"/>
          <w:szCs w:val="24"/>
          <w:highlight w:val="none"/>
        </w:rPr>
        <w:t>注：从业人员、 营业收入、 资产总额填报上一年度数据， 无上一年度数据的新成立企业可不填报。</w:t>
      </w:r>
    </w:p>
    <w:p w14:paraId="6E42682E">
      <w:pPr>
        <w:spacing w:before="160" w:after="160" w:line="240" w:lineRule="atLeast"/>
        <w:ind w:left="851" w:firstLine="482" w:firstLineChars="200"/>
        <w:jc w:val="center"/>
        <w:textAlignment w:val="baseline"/>
        <w:outlineLvl w:val="1"/>
        <w:rPr>
          <w:rFonts w:hint="eastAsia" w:ascii="宋体" w:hAnsi="宋体" w:eastAsia="宋体" w:cs="宋体"/>
          <w:b/>
          <w:color w:val="auto"/>
          <w:kern w:val="0"/>
          <w:sz w:val="24"/>
          <w:szCs w:val="24"/>
          <w:highlight w:val="none"/>
        </w:rPr>
      </w:pPr>
    </w:p>
    <w:p w14:paraId="2633B4F0">
      <w:pPr>
        <w:pStyle w:val="10"/>
        <w:rPr>
          <w:rFonts w:hint="eastAsia" w:ascii="宋体" w:hAnsi="宋体" w:eastAsia="宋体" w:cs="宋体"/>
          <w:color w:val="auto"/>
          <w:sz w:val="24"/>
          <w:szCs w:val="24"/>
          <w:highlight w:val="none"/>
        </w:rPr>
      </w:pPr>
    </w:p>
    <w:p w14:paraId="46BF4F35">
      <w:pPr>
        <w:pStyle w:val="10"/>
        <w:rPr>
          <w:rFonts w:hint="eastAsia" w:ascii="宋体" w:hAnsi="宋体" w:eastAsia="宋体" w:cs="宋体"/>
          <w:color w:val="auto"/>
          <w:sz w:val="24"/>
          <w:szCs w:val="24"/>
          <w:highlight w:val="none"/>
        </w:rPr>
      </w:pPr>
    </w:p>
    <w:p w14:paraId="0F00C606">
      <w:pPr>
        <w:spacing w:line="360" w:lineRule="auto"/>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br w:type="page"/>
      </w:r>
      <w:r>
        <w:rPr>
          <w:rFonts w:hint="eastAsia" w:ascii="宋体" w:hAnsi="宋体" w:eastAsia="宋体" w:cs="宋体"/>
          <w:bCs/>
          <w:color w:val="auto"/>
          <w:sz w:val="24"/>
          <w:szCs w:val="24"/>
          <w:highlight w:val="none"/>
        </w:rPr>
        <w:t>残疾人福利性单位声明函</w:t>
      </w:r>
    </w:p>
    <w:p w14:paraId="60E82704">
      <w:pPr>
        <w:jc w:val="center"/>
        <w:rPr>
          <w:rFonts w:hint="eastAsia" w:ascii="宋体" w:hAnsi="宋体" w:eastAsia="宋体" w:cs="宋体"/>
          <w:b/>
          <w:bCs/>
          <w:iCs/>
          <w:color w:val="auto"/>
          <w:sz w:val="24"/>
          <w:szCs w:val="24"/>
          <w:highlight w:val="none"/>
        </w:rPr>
      </w:pPr>
      <w:r>
        <w:rPr>
          <w:rFonts w:hint="eastAsia" w:ascii="宋体" w:hAnsi="宋体" w:eastAsia="宋体" w:cs="宋体"/>
          <w:b/>
          <w:bCs/>
          <w:iCs/>
          <w:color w:val="auto"/>
          <w:sz w:val="24"/>
          <w:szCs w:val="24"/>
          <w:highlight w:val="none"/>
        </w:rPr>
        <w:t>（属于残疾人福利性单位的填写，不属于的无需填写此项内容）</w:t>
      </w:r>
    </w:p>
    <w:p w14:paraId="1576794F">
      <w:pPr>
        <w:spacing w:line="360" w:lineRule="auto"/>
        <w:jc w:val="center"/>
        <w:rPr>
          <w:rFonts w:hint="eastAsia" w:ascii="宋体" w:hAnsi="宋体" w:eastAsia="宋体" w:cs="宋体"/>
          <w:b/>
          <w:bCs/>
          <w:color w:val="auto"/>
          <w:sz w:val="24"/>
          <w:szCs w:val="24"/>
          <w:highlight w:val="none"/>
        </w:rPr>
      </w:pPr>
    </w:p>
    <w:p w14:paraId="150C8721">
      <w:pPr>
        <w:snapToGrid w:val="0"/>
        <w:spacing w:line="520" w:lineRule="exact"/>
        <w:ind w:left="845" w:leftChars="-72" w:right="84" w:rightChars="40" w:hanging="996" w:hangingChars="415"/>
        <w:jc w:val="center"/>
        <w:rPr>
          <w:rFonts w:hint="eastAsia" w:ascii="宋体" w:hAnsi="宋体" w:eastAsia="宋体" w:cs="宋体"/>
          <w:color w:val="auto"/>
          <w:sz w:val="24"/>
          <w:szCs w:val="24"/>
          <w:highlight w:val="none"/>
        </w:rPr>
      </w:pPr>
    </w:p>
    <w:p w14:paraId="6D2C864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单位郑重声明，根据《财政部民政部中国残疾人联合会关于促进残疾人就业政府采购政策的通知》（财库〔2017〕141号）的规定，本单位为符合条件的残疾人福利性单位，且本单位参加______单位的______项目采购活动，提供本单位制造的货物，或者提供其他残疾人福利性单位制造的货物（不包括使用非残疾人福利性单位注册商标的货物）。</w:t>
      </w:r>
    </w:p>
    <w:p w14:paraId="6F3E6465">
      <w:pPr>
        <w:spacing w:line="360" w:lineRule="auto"/>
        <w:ind w:firstLine="480" w:firstLineChars="200"/>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本单位对上述声明的真实性负责。如有虚假，将依法承担相应责任。</w:t>
      </w:r>
    </w:p>
    <w:p w14:paraId="7AB24284">
      <w:pPr>
        <w:spacing w:line="360" w:lineRule="auto"/>
        <w:jc w:val="center"/>
        <w:rPr>
          <w:rFonts w:hint="eastAsia" w:ascii="宋体" w:hAnsi="宋体" w:eastAsia="宋体" w:cs="宋体"/>
          <w:b/>
          <w:bCs/>
          <w:color w:val="auto"/>
          <w:sz w:val="24"/>
          <w:szCs w:val="24"/>
          <w:highlight w:val="none"/>
        </w:rPr>
      </w:pPr>
    </w:p>
    <w:p w14:paraId="3B43785B">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企业名称（盖章）：</w:t>
      </w:r>
    </w:p>
    <w:p w14:paraId="1F7C25F3">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p>
    <w:p w14:paraId="1CC34D5B">
      <w:pPr>
        <w:spacing w:line="360" w:lineRule="auto"/>
        <w:jc w:val="center"/>
        <w:rPr>
          <w:rFonts w:hint="eastAsia" w:ascii="宋体" w:hAnsi="宋体" w:eastAsia="宋体" w:cs="宋体"/>
          <w:b/>
          <w:bCs/>
          <w:color w:val="auto"/>
          <w:sz w:val="24"/>
          <w:szCs w:val="24"/>
          <w:highlight w:val="none"/>
        </w:rPr>
      </w:pPr>
    </w:p>
    <w:p w14:paraId="3C88DC94">
      <w:pPr>
        <w:spacing w:line="360" w:lineRule="auto"/>
        <w:rPr>
          <w:rFonts w:hint="eastAsia" w:ascii="宋体" w:hAnsi="宋体" w:eastAsia="宋体" w:cs="宋体"/>
          <w:b/>
          <w:bCs/>
          <w:color w:val="auto"/>
          <w:sz w:val="24"/>
          <w:szCs w:val="24"/>
          <w:highlight w:val="none"/>
        </w:rPr>
      </w:pPr>
    </w:p>
    <w:p w14:paraId="01CB50F8">
      <w:pPr>
        <w:spacing w:line="360" w:lineRule="auto"/>
        <w:rPr>
          <w:rFonts w:hint="eastAsia" w:ascii="宋体" w:hAnsi="宋体" w:eastAsia="宋体" w:cs="宋体"/>
          <w:b/>
          <w:bCs/>
          <w:color w:val="auto"/>
          <w:sz w:val="24"/>
          <w:szCs w:val="24"/>
          <w:highlight w:val="none"/>
        </w:rPr>
      </w:pPr>
    </w:p>
    <w:p w14:paraId="76615CEC">
      <w:pPr>
        <w:spacing w:line="360" w:lineRule="auto"/>
        <w:rPr>
          <w:rFonts w:hint="eastAsia" w:ascii="宋体" w:hAnsi="宋体" w:eastAsia="宋体" w:cs="宋体"/>
          <w:b/>
          <w:bCs/>
          <w:color w:val="auto"/>
          <w:sz w:val="24"/>
          <w:szCs w:val="24"/>
          <w:highlight w:val="none"/>
        </w:rPr>
      </w:pPr>
    </w:p>
    <w:p w14:paraId="63D56F6D">
      <w:pPr>
        <w:spacing w:line="360" w:lineRule="auto"/>
        <w:rPr>
          <w:rFonts w:hint="eastAsia" w:ascii="宋体" w:hAnsi="宋体" w:eastAsia="宋体" w:cs="宋体"/>
          <w:b/>
          <w:bCs/>
          <w:color w:val="auto"/>
          <w:sz w:val="24"/>
          <w:szCs w:val="24"/>
          <w:highlight w:val="none"/>
        </w:rPr>
      </w:pPr>
    </w:p>
    <w:p w14:paraId="3C88FB1C">
      <w:pPr>
        <w:spacing w:line="360" w:lineRule="auto"/>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br w:type="page"/>
      </w:r>
      <w:r>
        <w:rPr>
          <w:rFonts w:hint="eastAsia" w:ascii="宋体" w:hAnsi="宋体" w:eastAsia="宋体" w:cs="宋体"/>
          <w:bCs/>
          <w:color w:val="auto"/>
          <w:sz w:val="24"/>
          <w:szCs w:val="24"/>
          <w:highlight w:val="none"/>
        </w:rPr>
        <w:t>监狱企业证明文件</w:t>
      </w:r>
    </w:p>
    <w:p w14:paraId="6B93413D">
      <w:pPr>
        <w:jc w:val="center"/>
        <w:rPr>
          <w:rFonts w:hint="eastAsia" w:ascii="宋体" w:hAnsi="宋体" w:eastAsia="宋体" w:cs="宋体"/>
          <w:b/>
          <w:bCs/>
          <w:iCs/>
          <w:color w:val="auto"/>
          <w:sz w:val="24"/>
          <w:szCs w:val="24"/>
          <w:highlight w:val="none"/>
        </w:rPr>
      </w:pPr>
      <w:r>
        <w:rPr>
          <w:rFonts w:hint="eastAsia" w:ascii="宋体" w:hAnsi="宋体" w:eastAsia="宋体" w:cs="宋体"/>
          <w:b/>
          <w:bCs/>
          <w:iCs/>
          <w:color w:val="auto"/>
          <w:sz w:val="24"/>
          <w:szCs w:val="24"/>
          <w:highlight w:val="none"/>
        </w:rPr>
        <w:t>（属于监狱企业的提供，不属于的无需提供此项内容）</w:t>
      </w:r>
    </w:p>
    <w:p w14:paraId="5D47FF6D">
      <w:pPr>
        <w:spacing w:line="360" w:lineRule="auto"/>
        <w:rPr>
          <w:rFonts w:hint="eastAsia" w:ascii="宋体" w:hAnsi="宋体" w:eastAsia="宋体" w:cs="宋体"/>
          <w:b/>
          <w:bCs/>
          <w:color w:val="auto"/>
          <w:sz w:val="24"/>
          <w:szCs w:val="24"/>
          <w:highlight w:val="none"/>
        </w:rPr>
      </w:pPr>
    </w:p>
    <w:p w14:paraId="47288B20">
      <w:pPr>
        <w:spacing w:line="360" w:lineRule="auto"/>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（监狱企业参加政府采购活动时，应当提供由省级以上监狱管理局、戒毒管理局(含新疆生产建设兵团)出具的属于监狱企业的证明文件。</w:t>
      </w:r>
    </w:p>
    <w:p w14:paraId="088DCBE6">
      <w:pPr>
        <w:spacing w:line="360" w:lineRule="auto"/>
        <w:ind w:firstLine="720" w:firstLineChars="300"/>
        <w:jc w:val="left"/>
        <w:rPr>
          <w:rFonts w:hint="eastAsia" w:ascii="宋体" w:hAnsi="宋体" w:eastAsia="宋体" w:cs="宋体"/>
          <w:bCs/>
          <w:color w:val="auto"/>
          <w:sz w:val="24"/>
          <w:szCs w:val="24"/>
          <w:highlight w:val="none"/>
        </w:rPr>
      </w:pPr>
    </w:p>
    <w:p w14:paraId="45A650FE">
      <w:pPr>
        <w:spacing w:line="360" w:lineRule="auto"/>
        <w:ind w:firstLine="720" w:firstLineChars="3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注：在磋商响应文件中附扫描件。</w:t>
      </w:r>
    </w:p>
    <w:p w14:paraId="699F3790">
      <w:pPr>
        <w:spacing w:after="156" w:afterLines="50" w:line="520" w:lineRule="exact"/>
        <w:jc w:val="center"/>
        <w:rPr>
          <w:rFonts w:hint="eastAsia" w:ascii="宋体" w:hAnsi="宋体" w:eastAsia="宋体" w:cs="宋体"/>
          <w:b/>
          <w:bCs/>
          <w:color w:val="auto"/>
          <w:sz w:val="24"/>
          <w:szCs w:val="24"/>
          <w:highlight w:val="none"/>
        </w:rPr>
      </w:pPr>
    </w:p>
    <w:p w14:paraId="46E3A81D">
      <w:pPr>
        <w:pStyle w:val="15"/>
        <w:rPr>
          <w:rFonts w:hint="eastAsia" w:ascii="宋体" w:hAnsi="宋体" w:eastAsia="宋体" w:cs="宋体"/>
          <w:b/>
          <w:bCs/>
          <w:color w:val="auto"/>
          <w:sz w:val="24"/>
          <w:szCs w:val="24"/>
          <w:highlight w:val="none"/>
        </w:rPr>
      </w:pPr>
    </w:p>
    <w:p w14:paraId="738AB55E">
      <w:pPr>
        <w:pStyle w:val="16"/>
        <w:rPr>
          <w:rFonts w:hint="eastAsia" w:ascii="宋体" w:hAnsi="宋体" w:eastAsia="宋体" w:cs="宋体"/>
          <w:b/>
          <w:bCs/>
          <w:color w:val="auto"/>
          <w:sz w:val="24"/>
          <w:szCs w:val="24"/>
          <w:highlight w:val="none"/>
        </w:rPr>
      </w:pPr>
    </w:p>
    <w:p w14:paraId="000553B9">
      <w:pPr>
        <w:rPr>
          <w:rFonts w:hint="eastAsia" w:ascii="宋体" w:hAnsi="宋体" w:eastAsia="宋体" w:cs="宋体"/>
          <w:b/>
          <w:bCs/>
          <w:color w:val="auto"/>
          <w:sz w:val="24"/>
          <w:szCs w:val="24"/>
          <w:highlight w:val="none"/>
        </w:rPr>
      </w:pPr>
    </w:p>
    <w:p w14:paraId="70585841">
      <w:pPr>
        <w:rPr>
          <w:rFonts w:hint="eastAsia" w:ascii="宋体" w:hAnsi="宋体" w:eastAsia="宋体" w:cs="宋体"/>
          <w:color w:val="auto"/>
          <w:sz w:val="24"/>
          <w:szCs w:val="24"/>
          <w:highlight w:val="none"/>
        </w:rPr>
      </w:pPr>
    </w:p>
    <w:p w14:paraId="4B21F2C1">
      <w:pPr>
        <w:rPr>
          <w:rFonts w:hint="eastAsia" w:ascii="宋体" w:hAnsi="宋体" w:eastAsia="宋体" w:cs="宋体"/>
          <w:color w:val="auto"/>
          <w:sz w:val="24"/>
          <w:szCs w:val="24"/>
          <w:highlight w:val="none"/>
        </w:rPr>
      </w:pPr>
    </w:p>
    <w:p w14:paraId="151ADD87">
      <w:pPr>
        <w:rPr>
          <w:rFonts w:hint="eastAsia" w:ascii="宋体" w:hAnsi="宋体" w:eastAsia="宋体" w:cs="宋体"/>
          <w:color w:val="auto"/>
          <w:sz w:val="24"/>
          <w:szCs w:val="24"/>
          <w:highlight w:val="none"/>
        </w:rPr>
      </w:pPr>
    </w:p>
    <w:p w14:paraId="1C2CE0FD">
      <w:pPr>
        <w:rPr>
          <w:color w:val="auto"/>
          <w:highlight w:val="none"/>
        </w:rPr>
      </w:pPr>
    </w:p>
    <w:sectPr>
      <w:footerReference r:id="rId4" w:type="default"/>
      <w:pgSz w:w="11906" w:h="16838"/>
      <w:pgMar w:top="1361" w:right="1361" w:bottom="1361" w:left="136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Arial Unicode MS">
    <w:altName w:val="宋体"/>
    <w:panose1 w:val="020B0604020202020204"/>
    <w:charset w:val="86"/>
    <w:family w:val="roman"/>
    <w:pitch w:val="default"/>
    <w:sig w:usb0="00000000" w:usb1="00000000" w:usb2="0000003F" w:usb3="00000000" w:csb0="603F01FF" w:csb1="FFFF0000"/>
  </w:font>
  <w:font w:name="FangSong_GB2312">
    <w:altName w:val="仿宋"/>
    <w:panose1 w:val="02010609060101010101"/>
    <w:charset w:val="86"/>
    <w:family w:val="modern"/>
    <w:pitch w:val="default"/>
    <w:sig w:usb0="00000000" w:usb1="00000000" w:usb2="0000001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89714E">
    <w:pPr>
      <w:widowControl/>
      <w:kinsoku w:val="0"/>
      <w:autoSpaceDE w:val="0"/>
      <w:autoSpaceDN w:val="0"/>
      <w:adjustRightInd w:val="0"/>
      <w:snapToGrid w:val="0"/>
      <w:spacing w:line="178" w:lineRule="auto"/>
      <w:ind w:left="4611"/>
      <w:jc w:val="left"/>
      <w:textAlignment w:val="baseline"/>
      <w:rPr>
        <w:rFonts w:ascii="Calibri" w:hAnsi="Calibri" w:eastAsia="Calibri" w:cs="Calibri"/>
        <w:snapToGrid w:val="0"/>
        <w:color w:val="000000"/>
        <w:kern w:val="0"/>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5D6B15">
                          <w:pPr>
                            <w:pStyle w:val="11"/>
                          </w:pPr>
                          <w:r>
                            <w:fldChar w:fldCharType="begin"/>
                          </w:r>
                          <w:r>
                            <w:instrText xml:space="preserve"> PAGE  \* MERGEFORMAT </w:instrText>
                          </w:r>
                          <w:r>
                            <w:fldChar w:fldCharType="separate"/>
                          </w:r>
                          <w:r>
                            <w:t>49</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685D6B15">
                    <w:pPr>
                      <w:pStyle w:val="11"/>
                    </w:pPr>
                    <w:r>
                      <w:fldChar w:fldCharType="begin"/>
                    </w:r>
                    <w:r>
                      <w:instrText xml:space="preserve"> PAGE  \* MERGEFORMAT </w:instrText>
                    </w:r>
                    <w:r>
                      <w:fldChar w:fldCharType="separate"/>
                    </w:r>
                    <w:r>
                      <w:t>49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AB6A02">
    <w:pPr>
      <w:pStyle w:val="12"/>
      <w:pBdr>
        <w:bottom w:val="none" w:color="auto" w:sz="0"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8700D7"/>
    <w:multiLevelType w:val="singleLevel"/>
    <w:tmpl w:val="B78700D7"/>
    <w:lvl w:ilvl="0" w:tentative="0">
      <w:start w:val="5"/>
      <w:numFmt w:val="chineseCounting"/>
      <w:suff w:val="nothing"/>
      <w:lvlText w:val="%1、"/>
      <w:lvlJc w:val="left"/>
      <w:rPr>
        <w:rFonts w:hint="eastAsia"/>
      </w:rPr>
    </w:lvl>
  </w:abstractNum>
  <w:abstractNum w:abstractNumId="1">
    <w:nsid w:val="0AE7AB8A"/>
    <w:multiLevelType w:val="singleLevel"/>
    <w:tmpl w:val="0AE7AB8A"/>
    <w:lvl w:ilvl="0" w:tentative="0">
      <w:start w:val="1"/>
      <w:numFmt w:val="decimal"/>
      <w:lvlText w:val="%1."/>
      <w:lvlJc w:val="left"/>
      <w:pPr>
        <w:ind w:left="425" w:hanging="425"/>
      </w:pPr>
      <w:rPr>
        <w:rFonts w:hint="default"/>
      </w:rPr>
    </w:lvl>
  </w:abstractNum>
  <w:abstractNum w:abstractNumId="2">
    <w:nsid w:val="0FACA99A"/>
    <w:multiLevelType w:val="singleLevel"/>
    <w:tmpl w:val="0FACA99A"/>
    <w:lvl w:ilvl="0" w:tentative="0">
      <w:start w:val="1"/>
      <w:numFmt w:val="chineseCounting"/>
      <w:suff w:val="nothing"/>
      <w:lvlText w:val="%1、"/>
      <w:lvlJc w:val="left"/>
      <w:pPr>
        <w:ind w:left="0" w:firstLine="0"/>
      </w:pPr>
    </w:lvl>
  </w:abstractNum>
  <w:abstractNum w:abstractNumId="3">
    <w:nsid w:val="2C13728E"/>
    <w:multiLevelType w:val="singleLevel"/>
    <w:tmpl w:val="2C13728E"/>
    <w:lvl w:ilvl="0" w:tentative="0">
      <w:start w:val="1"/>
      <w:numFmt w:val="decimal"/>
      <w:suff w:val="nothing"/>
      <w:lvlText w:val="%1、"/>
      <w:lvlJc w:val="left"/>
    </w:lvl>
  </w:abstractNum>
  <w:abstractNum w:abstractNumId="4">
    <w:nsid w:val="2EEC4B40"/>
    <w:multiLevelType w:val="singleLevel"/>
    <w:tmpl w:val="2EEC4B40"/>
    <w:lvl w:ilvl="0" w:tentative="0">
      <w:start w:val="1"/>
      <w:numFmt w:val="decimal"/>
      <w:suff w:val="nothing"/>
      <w:lvlText w:val="%1、"/>
      <w:lvlJc w:val="left"/>
      <w:pPr>
        <w:ind w:left="0" w:firstLine="0"/>
      </w:pPr>
    </w:lvl>
  </w:abstractNum>
  <w:num w:numId="1">
    <w:abstractNumId w:val="1"/>
  </w:num>
  <w:num w:numId="2">
    <w:abstractNumId w:val="3"/>
  </w:num>
  <w:num w:numId="3">
    <w:abstractNumId w:val="2"/>
    <w:lvlOverride w:ilvl="0">
      <w:startOverride w:val="1"/>
    </w:lvlOverride>
  </w:num>
  <w:num w:numId="4">
    <w:abstractNumId w:val="4"/>
    <w:lvlOverride w:ilvl="0">
      <w:startOverride w:val="1"/>
    </w:lvlOverride>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2B1173"/>
    <w:rsid w:val="108A1444"/>
    <w:rsid w:val="194B54E8"/>
    <w:rsid w:val="1D7C4601"/>
    <w:rsid w:val="2970346A"/>
    <w:rsid w:val="29D55086"/>
    <w:rsid w:val="2ABE5B1A"/>
    <w:rsid w:val="2E1C2A2B"/>
    <w:rsid w:val="304D7D3F"/>
    <w:rsid w:val="3297404E"/>
    <w:rsid w:val="34C613FB"/>
    <w:rsid w:val="3CDF0448"/>
    <w:rsid w:val="3D600024"/>
    <w:rsid w:val="44D81992"/>
    <w:rsid w:val="478E6C7B"/>
    <w:rsid w:val="588D419D"/>
    <w:rsid w:val="5B4C3ADA"/>
    <w:rsid w:val="5D573A29"/>
    <w:rsid w:val="5ED846F5"/>
    <w:rsid w:val="61F53810"/>
    <w:rsid w:val="63C359F6"/>
    <w:rsid w:val="64113771"/>
    <w:rsid w:val="67141BCD"/>
    <w:rsid w:val="6A813E93"/>
    <w:rsid w:val="6D89122F"/>
    <w:rsid w:val="6DE60F2E"/>
    <w:rsid w:val="702A6D7B"/>
    <w:rsid w:val="71467BE4"/>
    <w:rsid w:val="77B64950"/>
    <w:rsid w:val="787E7C64"/>
    <w:rsid w:val="78EF259F"/>
    <w:rsid w:val="7F7B5B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qFormat/>
    <w:uiPriority w:val="0"/>
    <w:pPr>
      <w:keepNext/>
      <w:keepLines/>
      <w:spacing w:before="340" w:after="330" w:line="576" w:lineRule="auto"/>
      <w:outlineLvl w:val="0"/>
    </w:pPr>
    <w:rPr>
      <w:rFonts w:ascii="Calibri" w:hAnsi="Calibri" w:eastAsia="仿宋"/>
      <w:b/>
      <w:bCs/>
      <w:kern w:val="44"/>
      <w:sz w:val="32"/>
      <w:szCs w:val="44"/>
    </w:rPr>
  </w:style>
  <w:style w:type="paragraph" w:styleId="3">
    <w:name w:val="heading 2"/>
    <w:basedOn w:val="1"/>
    <w:next w:val="1"/>
    <w:qFormat/>
    <w:uiPriority w:val="9"/>
    <w:pPr>
      <w:keepNext/>
      <w:keepLines/>
      <w:spacing w:before="160" w:after="160" w:line="240" w:lineRule="atLeast"/>
      <w:ind w:left="851" w:hanging="284"/>
      <w:textAlignment w:val="baseline"/>
      <w:outlineLvl w:val="1"/>
    </w:pPr>
    <w:rPr>
      <w:rFonts w:ascii="黑体" w:hAnsi="Arial" w:eastAsia="黑体"/>
      <w:kern w:val="0"/>
      <w:sz w:val="28"/>
      <w:szCs w:val="28"/>
    </w:rPr>
  </w:style>
  <w:style w:type="paragraph" w:styleId="4">
    <w:name w:val="heading 3"/>
    <w:basedOn w:val="1"/>
    <w:next w:val="1"/>
    <w:qFormat/>
    <w:uiPriority w:val="9"/>
    <w:pPr>
      <w:keepNext/>
      <w:keepLines/>
      <w:spacing w:before="260" w:after="260" w:line="415" w:lineRule="auto"/>
      <w:outlineLvl w:val="2"/>
    </w:pPr>
    <w:rPr>
      <w:rFonts w:ascii="Calibri" w:hAnsi="Calibri"/>
      <w:b/>
      <w:bCs/>
      <w:kern w:val="0"/>
      <w:sz w:val="32"/>
      <w:szCs w:val="32"/>
    </w:rPr>
  </w:style>
  <w:style w:type="character" w:default="1" w:styleId="19">
    <w:name w:val="Default Paragraph Font"/>
    <w:semiHidden/>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5">
    <w:name w:val="Normal Indent"/>
    <w:basedOn w:val="1"/>
    <w:next w:val="1"/>
    <w:unhideWhenUsed/>
    <w:qFormat/>
    <w:uiPriority w:val="99"/>
    <w:pPr>
      <w:ind w:firstLine="420"/>
    </w:pPr>
    <w:rPr>
      <w:sz w:val="28"/>
      <w:szCs w:val="28"/>
    </w:rPr>
  </w:style>
  <w:style w:type="paragraph" w:styleId="6">
    <w:name w:val="Body Text"/>
    <w:basedOn w:val="1"/>
    <w:unhideWhenUsed/>
    <w:qFormat/>
    <w:uiPriority w:val="99"/>
    <w:pPr>
      <w:spacing w:after="120"/>
    </w:pPr>
    <w:rPr>
      <w:rFonts w:ascii="Calibri" w:hAnsi="Calibri"/>
      <w:kern w:val="0"/>
      <w:sz w:val="20"/>
    </w:rPr>
  </w:style>
  <w:style w:type="paragraph" w:styleId="7">
    <w:name w:val="Body Text Indent"/>
    <w:basedOn w:val="1"/>
    <w:next w:val="8"/>
    <w:unhideWhenUsed/>
    <w:qFormat/>
    <w:uiPriority w:val="99"/>
    <w:pPr>
      <w:spacing w:after="120"/>
      <w:ind w:left="420" w:leftChars="200"/>
    </w:pPr>
    <w:rPr>
      <w:rFonts w:ascii="Calibri" w:hAnsi="Calibri"/>
      <w:kern w:val="0"/>
      <w:sz w:val="20"/>
    </w:rPr>
  </w:style>
  <w:style w:type="paragraph" w:styleId="8">
    <w:name w:val="envelope return"/>
    <w:basedOn w:val="1"/>
    <w:qFormat/>
    <w:uiPriority w:val="0"/>
    <w:pPr>
      <w:widowControl w:val="0"/>
      <w:snapToGrid w:val="0"/>
      <w:jc w:val="both"/>
    </w:pPr>
    <w:rPr>
      <w:rFonts w:ascii="Arial" w:hAnsi="Arial" w:eastAsia="宋体" w:cs="Times New Roman"/>
      <w:kern w:val="2"/>
      <w:sz w:val="21"/>
      <w:szCs w:val="24"/>
      <w:lang w:val="en-US" w:eastAsia="zh-CN" w:bidi="ar-SA"/>
    </w:rPr>
  </w:style>
  <w:style w:type="paragraph" w:styleId="9">
    <w:name w:val="Plain Text"/>
    <w:basedOn w:val="1"/>
    <w:next w:val="1"/>
    <w:qFormat/>
    <w:uiPriority w:val="0"/>
    <w:rPr>
      <w:rFonts w:ascii="Courier New" w:hAnsi="Courier New"/>
      <w:szCs w:val="20"/>
    </w:rPr>
  </w:style>
  <w:style w:type="paragraph" w:styleId="10">
    <w:name w:val="Body Text Indent 2"/>
    <w:basedOn w:val="1"/>
    <w:qFormat/>
    <w:uiPriority w:val="0"/>
    <w:pPr>
      <w:spacing w:line="360" w:lineRule="auto"/>
      <w:ind w:firstLine="420"/>
    </w:pPr>
    <w:rPr>
      <w:rFonts w:ascii="宋体" w:hAnsi="宋体" w:cs="宋体"/>
      <w:b/>
      <w:kern w:val="1"/>
      <w:sz w:val="24"/>
    </w:rPr>
  </w:style>
  <w:style w:type="paragraph" w:styleId="11">
    <w:name w:val="footer"/>
    <w:basedOn w:val="1"/>
    <w:qFormat/>
    <w:uiPriority w:val="0"/>
    <w:pPr>
      <w:tabs>
        <w:tab w:val="center" w:pos="4153"/>
        <w:tab w:val="right" w:pos="8306"/>
      </w:tabs>
      <w:snapToGrid w:val="0"/>
      <w:jc w:val="left"/>
    </w:pPr>
    <w:rPr>
      <w:rFonts w:ascii="Calibri" w:hAnsi="Calibri"/>
      <w:kern w:val="0"/>
      <w:sz w:val="18"/>
    </w:rPr>
  </w:style>
  <w:style w:type="paragraph" w:styleId="12">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style>
  <w:style w:type="paragraph" w:styleId="14">
    <w:name w:val="Normal (Web)"/>
    <w:basedOn w:val="1"/>
    <w:uiPriority w:val="0"/>
    <w:pPr>
      <w:spacing w:before="0" w:beforeAutospacing="1" w:after="0" w:afterAutospacing="1"/>
      <w:ind w:left="0" w:right="0"/>
      <w:jc w:val="left"/>
    </w:pPr>
    <w:rPr>
      <w:kern w:val="0"/>
      <w:sz w:val="24"/>
      <w:lang w:val="en-US" w:eastAsia="zh-CN" w:bidi="ar"/>
    </w:rPr>
  </w:style>
  <w:style w:type="paragraph" w:styleId="15">
    <w:name w:val="Body Text First Indent"/>
    <w:basedOn w:val="1"/>
    <w:next w:val="16"/>
    <w:qFormat/>
    <w:uiPriority w:val="99"/>
    <w:pPr>
      <w:spacing w:line="360" w:lineRule="auto"/>
      <w:ind w:firstLine="420"/>
    </w:pPr>
    <w:rPr>
      <w:rFonts w:ascii="Calibri" w:hAnsi="Calibri" w:eastAsia="Arial Unicode MS"/>
      <w:color w:val="000000"/>
      <w:kern w:val="0"/>
      <w:sz w:val="28"/>
      <w:szCs w:val="28"/>
    </w:rPr>
  </w:style>
  <w:style w:type="paragraph" w:styleId="16">
    <w:name w:val="Body Text First Indent 2"/>
    <w:basedOn w:val="7"/>
    <w:next w:val="1"/>
    <w:semiHidden/>
    <w:qFormat/>
    <w:uiPriority w:val="0"/>
    <w:pPr>
      <w:spacing w:before="100" w:beforeAutospacing="1" w:after="120" w:line="360" w:lineRule="auto"/>
      <w:ind w:left="420" w:firstLine="420"/>
    </w:pPr>
    <w:rPr>
      <w:rFonts w:ascii="Calibri" w:hAnsi="Calibri" w:eastAsia="Arial Unicode MS"/>
      <w:color w:val="000000"/>
      <w:kern w:val="0"/>
      <w:sz w:val="20"/>
    </w:rPr>
  </w:style>
  <w:style w:type="table" w:styleId="18">
    <w:name w:val="Table Grid"/>
    <w:basedOn w:val="17"/>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0">
    <w:name w:val="Normal_2"/>
    <w:qFormat/>
    <w:uiPriority w:val="0"/>
    <w:rPr>
      <w:rFonts w:ascii="Times New Roman" w:hAnsi="Times New Roman" w:eastAsia="宋体" w:cs="Times New Roman"/>
      <w:sz w:val="24"/>
      <w:szCs w:val="24"/>
      <w:lang w:val="en-US" w:eastAsia="zh-CN" w:bidi="ar-SA"/>
    </w:rPr>
  </w:style>
  <w:style w:type="paragraph" w:customStyle="1" w:styleId="21">
    <w:name w:val="文档正文"/>
    <w:basedOn w:val="1"/>
    <w:qFormat/>
    <w:uiPriority w:val="0"/>
    <w:pPr>
      <w:spacing w:line="480" w:lineRule="atLeast"/>
      <w:ind w:firstLine="567"/>
      <w:textAlignment w:val="baseline"/>
    </w:pPr>
    <w:rPr>
      <w:rFonts w:ascii="FangSong_GB2312" w:hAnsi="FangSong_GB2312" w:cs="宋体"/>
      <w:sz w:val="28"/>
      <w:szCs w:val="28"/>
    </w:rPr>
  </w:style>
  <w:style w:type="paragraph" w:customStyle="1" w:styleId="22">
    <w:name w:val="样式 标题 2 + Times New Roman 四号 非加粗 段前: 5 磅 段后: 0 磅 行距: 固定值 20..."/>
    <w:basedOn w:val="3"/>
    <w:qFormat/>
    <w:uiPriority w:val="0"/>
    <w:pPr>
      <w:spacing w:before="100" w:line="400" w:lineRule="exact"/>
    </w:pPr>
    <w:rPr>
      <w:rFonts w:ascii="Times New Roman" w:hAnsi="Times New Roman"/>
      <w:sz w:val="28"/>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61</Pages>
  <Words>19564</Words>
  <Characters>21782</Characters>
  <Lines>0</Lines>
  <Paragraphs>0</Paragraphs>
  <TotalTime>10</TotalTime>
  <ScaleCrop>false</ScaleCrop>
  <LinksUpToDate>false</LinksUpToDate>
  <CharactersWithSpaces>21836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2026-08-13T00:05:00Z</dcterms:created>
  <dc:creator>Administrator</dc:creator>
  <cp:lastModifiedBy>三门峡</cp:lastModifiedBy>
  <dcterms:modified xsi:type="dcterms:W3CDTF">2026-08-14T12:52:59Z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eyJoZGlkIjoiODliMDE0NzQ5NjA0NmQ2ZmZiZmZiMDNkN2EwZDE3NDciLCJ1c2VySWQiOiIxOTcyOTQ0NSJ9</vt:lpwstr>
  </property>
  <property fmtid="{D5CDD505-2E9C-101B-9397-08002B2CF9AE}" pid="4" name="ICV">
    <vt:lpwstr>F8D2669C77D7448EB5AE6DB78B714495_12</vt:lpwstr>
  </property>
</Properties>
</file>