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BAE0B">
      <w:pPr>
        <w:spacing w:line="240" w:lineRule="auto"/>
        <w:ind w:firstLine="0" w:firstLineChars="0"/>
        <w:jc w:val="center"/>
        <w:rPr>
          <w:rFonts w:hint="eastAsia"/>
          <w:b/>
          <w:sz w:val="52"/>
          <w:szCs w:val="52"/>
          <w:lang w:val="en-US" w:eastAsia="en-US" w:bidi="ar"/>
        </w:rPr>
      </w:pPr>
    </w:p>
    <w:p w14:paraId="61003931">
      <w:pPr>
        <w:keepNext w:val="0"/>
        <w:keepLines w:val="0"/>
        <w:pageBreakBefore w:val="0"/>
        <w:widowControl w:val="0"/>
        <w:kinsoku/>
        <w:wordWrap/>
        <w:overflowPunct/>
        <w:topLinePunct w:val="0"/>
        <w:autoSpaceDE/>
        <w:autoSpaceDN/>
        <w:bidi w:val="0"/>
        <w:adjustRightInd/>
        <w:snapToGrid/>
        <w:spacing w:line="1200" w:lineRule="auto"/>
        <w:ind w:firstLine="0" w:firstLineChars="0"/>
        <w:jc w:val="center"/>
        <w:textAlignment w:val="auto"/>
        <w:rPr>
          <w:rFonts w:hint="eastAsia"/>
          <w:b/>
          <w:sz w:val="52"/>
          <w:szCs w:val="52"/>
          <w:lang w:val="en-US" w:eastAsia="en-US" w:bidi="ar"/>
        </w:rPr>
      </w:pPr>
      <w:r>
        <w:rPr>
          <w:rFonts w:hint="eastAsia"/>
          <w:b/>
          <w:sz w:val="52"/>
          <w:szCs w:val="52"/>
          <w:lang w:val="en-US" w:eastAsia="en-US" w:bidi="ar"/>
        </w:rPr>
        <w:t>农产品冷藏仓储货架采购项目</w:t>
      </w:r>
    </w:p>
    <w:p w14:paraId="59461E7D">
      <w:pPr>
        <w:keepNext w:val="0"/>
        <w:keepLines w:val="0"/>
        <w:pageBreakBefore w:val="0"/>
        <w:widowControl w:val="0"/>
        <w:kinsoku/>
        <w:wordWrap/>
        <w:overflowPunct/>
        <w:topLinePunct w:val="0"/>
        <w:autoSpaceDE/>
        <w:autoSpaceDN/>
        <w:bidi w:val="0"/>
        <w:adjustRightInd/>
        <w:snapToGrid/>
        <w:spacing w:line="1200" w:lineRule="auto"/>
        <w:ind w:firstLine="0" w:firstLineChars="0"/>
        <w:jc w:val="center"/>
        <w:textAlignment w:val="auto"/>
        <w:rPr>
          <w:rFonts w:hint="eastAsia" w:eastAsiaTheme="minorEastAsia"/>
          <w:b/>
          <w:sz w:val="24"/>
          <w:szCs w:val="24"/>
          <w:lang w:val="en-US" w:eastAsia="zh-CN"/>
        </w:rPr>
      </w:pPr>
      <w:r>
        <w:rPr>
          <w:rFonts w:hint="eastAsia"/>
          <w:b/>
          <w:sz w:val="52"/>
          <w:szCs w:val="52"/>
          <w:lang w:bidi="ar"/>
        </w:rPr>
        <w:t>竞争性磋商文件</w:t>
      </w:r>
    </w:p>
    <w:p w14:paraId="1562BF34">
      <w:pPr>
        <w:spacing w:line="360" w:lineRule="auto"/>
        <w:jc w:val="both"/>
        <w:rPr>
          <w:rFonts w:hint="eastAsia"/>
          <w:b/>
          <w:sz w:val="24"/>
          <w:szCs w:val="24"/>
          <w:lang w:eastAsia="zh-CN"/>
        </w:rPr>
      </w:pPr>
    </w:p>
    <w:p w14:paraId="3D273EB9">
      <w:pPr>
        <w:spacing w:line="360" w:lineRule="auto"/>
        <w:jc w:val="center"/>
        <w:rPr>
          <w:rFonts w:hint="eastAsia" w:ascii="宋体" w:hAnsi="宋体" w:eastAsia="宋体" w:cs="宋体"/>
          <w:b/>
          <w:sz w:val="28"/>
          <w:szCs w:val="28"/>
          <w:highlight w:val="yellow"/>
        </w:rPr>
      </w:pPr>
      <w:r>
        <w:rPr>
          <w:rFonts w:hint="eastAsia"/>
          <w:b/>
          <w:sz w:val="28"/>
          <w:szCs w:val="28"/>
        </w:rPr>
        <w:t>项目编号</w:t>
      </w:r>
      <w:r>
        <w:rPr>
          <w:rFonts w:hint="eastAsia" w:ascii="宋体" w:hAnsi="宋体" w:eastAsia="宋体" w:cs="宋体"/>
          <w:b/>
          <w:sz w:val="28"/>
          <w:szCs w:val="28"/>
        </w:rPr>
        <w:t>：SGZ[2026]251-ZC177</w:t>
      </w:r>
      <w:r>
        <w:rPr>
          <w:rFonts w:hint="eastAsia" w:ascii="宋体" w:hAnsi="宋体" w:eastAsia="宋体" w:cs="宋体"/>
          <w:b/>
          <w:sz w:val="28"/>
          <w:szCs w:val="28"/>
          <w:highlight w:val="none"/>
        </w:rPr>
        <w:t> </w:t>
      </w:r>
    </w:p>
    <w:p w14:paraId="7E8BAFD0">
      <w:pPr>
        <w:spacing w:line="360" w:lineRule="auto"/>
        <w:jc w:val="center"/>
        <w:rPr>
          <w:rFonts w:hint="eastAsia"/>
          <w:b/>
          <w:sz w:val="28"/>
          <w:szCs w:val="28"/>
          <w:highlight w:val="none"/>
          <w:lang w:val="en-US" w:eastAsia="zh-CN"/>
        </w:rPr>
      </w:pPr>
      <w:r>
        <w:rPr>
          <w:rFonts w:hint="eastAsia" w:ascii="宋体" w:hAnsi="宋体" w:eastAsia="宋体" w:cs="宋体"/>
          <w:b/>
          <w:sz w:val="28"/>
          <w:szCs w:val="28"/>
          <w:highlight w:val="none"/>
          <w:lang w:val="en-US" w:eastAsia="zh-CN"/>
        </w:rPr>
        <w:t xml:space="preserve">         示范竞磋采购-2026-18  </w:t>
      </w:r>
      <w:r>
        <w:rPr>
          <w:rFonts w:hint="eastAsia"/>
          <w:b/>
          <w:sz w:val="28"/>
          <w:szCs w:val="28"/>
          <w:highlight w:val="none"/>
          <w:lang w:val="en-US" w:eastAsia="zh-CN"/>
        </w:rPr>
        <w:t xml:space="preserve">   </w:t>
      </w:r>
    </w:p>
    <w:p w14:paraId="40F474B5">
      <w:pPr>
        <w:spacing w:line="360" w:lineRule="auto"/>
        <w:jc w:val="center"/>
        <w:rPr>
          <w:b/>
          <w:sz w:val="28"/>
          <w:szCs w:val="28"/>
        </w:rPr>
      </w:pPr>
      <w:r>
        <w:rPr>
          <w:rFonts w:ascii="宋体" w:hAnsi="宋体" w:eastAsia="宋体" w:cs="宋体"/>
          <w:b/>
          <w:bCs/>
          <w:kern w:val="0"/>
          <w:sz w:val="24"/>
          <w:szCs w:val="24"/>
          <w:lang w:val="zh-CN" w:eastAsia="zh-CN"/>
        </w:rPr>
        <w:drawing>
          <wp:anchor distT="0" distB="0" distL="114300" distR="114300" simplePos="0" relativeHeight="251660288" behindDoc="0" locked="0" layoutInCell="1" allowOverlap="1">
            <wp:simplePos x="0" y="0"/>
            <wp:positionH relativeFrom="column">
              <wp:posOffset>1962150</wp:posOffset>
            </wp:positionH>
            <wp:positionV relativeFrom="page">
              <wp:posOffset>5196205</wp:posOffset>
            </wp:positionV>
            <wp:extent cx="1752600" cy="1663065"/>
            <wp:effectExtent l="0" t="0" r="0" b="13335"/>
            <wp:wrapTopAndBottom/>
            <wp:docPr id="2" name="图片 1" descr="7df79bcb97b92a7c95cce616fc3fa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7df79bcb97b92a7c95cce616fc3fa065"/>
                    <pic:cNvPicPr>
                      <a:picLocks noChangeAspect="1"/>
                    </pic:cNvPicPr>
                  </pic:nvPicPr>
                  <pic:blipFill>
                    <a:blip r:embed="rId8"/>
                    <a:stretch>
                      <a:fillRect/>
                    </a:stretch>
                  </pic:blipFill>
                  <pic:spPr>
                    <a:xfrm>
                      <a:off x="0" y="0"/>
                      <a:ext cx="1752600" cy="1663065"/>
                    </a:xfrm>
                    <a:prstGeom prst="rect">
                      <a:avLst/>
                    </a:prstGeom>
                    <a:noFill/>
                    <a:ln>
                      <a:noFill/>
                    </a:ln>
                  </pic:spPr>
                </pic:pic>
              </a:graphicData>
            </a:graphic>
          </wp:anchor>
        </w:drawing>
      </w:r>
      <w:r>
        <w:rPr>
          <w:rFonts w:hint="eastAsia"/>
          <w:b/>
          <w:sz w:val="28"/>
          <w:szCs w:val="28"/>
          <w:lang w:val="en-US" w:eastAsia="zh-CN"/>
        </w:rPr>
        <w:t xml:space="preserve">          </w:t>
      </w:r>
    </w:p>
    <w:p w14:paraId="41C4370C">
      <w:pPr>
        <w:spacing w:line="360" w:lineRule="auto"/>
        <w:rPr>
          <w:rFonts w:hint="eastAsia" w:eastAsiaTheme="minorEastAsia"/>
          <w:b/>
          <w:sz w:val="24"/>
          <w:szCs w:val="24"/>
          <w:lang w:val="en-US" w:eastAsia="zh-CN"/>
        </w:rPr>
      </w:pPr>
      <w:r>
        <w:rPr>
          <w:rFonts w:hint="eastAsia"/>
          <w:b/>
          <w:sz w:val="24"/>
          <w:szCs w:val="24"/>
          <w:lang w:val="en-US" w:eastAsia="zh-CN"/>
        </w:rPr>
        <w:t xml:space="preserve">  </w:t>
      </w:r>
    </w:p>
    <w:p w14:paraId="7B0A49B5">
      <w:pPr>
        <w:spacing w:line="360" w:lineRule="auto"/>
        <w:rPr>
          <w:b/>
          <w:sz w:val="24"/>
          <w:szCs w:val="24"/>
        </w:rPr>
      </w:pPr>
    </w:p>
    <w:p w14:paraId="47DC44DD">
      <w:pPr>
        <w:spacing w:line="360" w:lineRule="auto"/>
        <w:rPr>
          <w:b/>
          <w:sz w:val="24"/>
          <w:szCs w:val="24"/>
        </w:rPr>
      </w:pPr>
      <w:r>
        <w:rPr>
          <w:rFonts w:hint="eastAsia"/>
          <w:b/>
          <w:sz w:val="24"/>
          <w:szCs w:val="24"/>
          <w:lang w:val="en-US" w:eastAsia="zh-CN"/>
        </w:rPr>
        <w:t xml:space="preserve">                </w:t>
      </w:r>
    </w:p>
    <w:p w14:paraId="62D964D3">
      <w:pPr>
        <w:spacing w:line="420" w:lineRule="exact"/>
        <w:ind w:firstLine="1687" w:firstLineChars="600"/>
        <w:rPr>
          <w:b/>
          <w:sz w:val="28"/>
          <w:szCs w:val="28"/>
          <w:lang w:bidi="ar"/>
        </w:rPr>
      </w:pPr>
    </w:p>
    <w:p w14:paraId="05EFC7CB">
      <w:pPr>
        <w:spacing w:line="420" w:lineRule="exact"/>
        <w:ind w:firstLine="1687" w:firstLineChars="600"/>
        <w:rPr>
          <w:b/>
          <w:sz w:val="28"/>
          <w:szCs w:val="28"/>
          <w:lang w:bidi="ar"/>
        </w:rPr>
      </w:pPr>
    </w:p>
    <w:p w14:paraId="14D02BE5">
      <w:pPr>
        <w:spacing w:line="360" w:lineRule="auto"/>
        <w:jc w:val="both"/>
        <w:rPr>
          <w:rFonts w:hint="eastAsia"/>
          <w:b/>
          <w:sz w:val="28"/>
          <w:szCs w:val="28"/>
          <w:lang w:eastAsia="zh-CN" w:bidi="ar"/>
        </w:rPr>
      </w:pPr>
    </w:p>
    <w:p w14:paraId="16483FCE">
      <w:pPr>
        <w:spacing w:line="360" w:lineRule="auto"/>
        <w:ind w:firstLine="1405" w:firstLineChars="500"/>
        <w:jc w:val="both"/>
        <w:rPr>
          <w:rFonts w:hint="eastAsia"/>
          <w:b/>
          <w:sz w:val="28"/>
          <w:szCs w:val="28"/>
          <w:lang w:eastAsia="zh-CN" w:bidi="ar"/>
        </w:rPr>
      </w:pPr>
      <w:r>
        <w:rPr>
          <w:rFonts w:hint="eastAsia"/>
          <w:b/>
          <w:sz w:val="28"/>
          <w:szCs w:val="28"/>
          <w:lang w:eastAsia="zh-CN" w:bidi="ar"/>
        </w:rPr>
        <w:t>采 购 人：</w:t>
      </w:r>
      <w:r>
        <w:rPr>
          <w:rFonts w:hint="eastAsia"/>
          <w:b/>
          <w:spacing w:val="0"/>
          <w:w w:val="72"/>
          <w:kern w:val="0"/>
          <w:sz w:val="28"/>
          <w:szCs w:val="28"/>
          <w:fitText w:val="5040" w:id="1920887772"/>
          <w:lang w:eastAsia="zh-CN" w:bidi="ar"/>
        </w:rPr>
        <w:t>三门峡市城乡一体化示范区管理委员会禹王路街道办事</w:t>
      </w:r>
      <w:r>
        <w:rPr>
          <w:rFonts w:hint="eastAsia"/>
          <w:b/>
          <w:spacing w:val="-13"/>
          <w:w w:val="72"/>
          <w:kern w:val="0"/>
          <w:sz w:val="28"/>
          <w:szCs w:val="28"/>
          <w:fitText w:val="5040" w:id="1920887772"/>
          <w:lang w:eastAsia="zh-CN" w:bidi="ar"/>
        </w:rPr>
        <w:t>处</w:t>
      </w:r>
    </w:p>
    <w:p w14:paraId="47154EAA">
      <w:pPr>
        <w:spacing w:line="360" w:lineRule="auto"/>
        <w:ind w:firstLine="1405" w:firstLineChars="500"/>
        <w:jc w:val="both"/>
        <w:rPr>
          <w:rFonts w:hint="eastAsia"/>
          <w:b/>
          <w:sz w:val="28"/>
          <w:szCs w:val="28"/>
          <w:lang w:eastAsia="zh-CN" w:bidi="ar"/>
        </w:rPr>
      </w:pPr>
      <w:r>
        <w:rPr>
          <w:rFonts w:hint="eastAsia"/>
          <w:b/>
          <w:sz w:val="28"/>
          <w:szCs w:val="28"/>
          <w:lang w:eastAsia="zh-CN" w:bidi="ar"/>
        </w:rPr>
        <w:t>代理机构：</w:t>
      </w:r>
      <w:r>
        <w:rPr>
          <w:rFonts w:hint="eastAsia" w:ascii="宋体" w:hAnsi="宋体"/>
          <w:b/>
          <w:sz w:val="32"/>
          <w:szCs w:val="32"/>
          <w:lang w:val="en-US" w:eastAsia="zh-CN"/>
        </w:rPr>
        <w:t>河南康基项目管理有限公司</w:t>
      </w:r>
    </w:p>
    <w:p w14:paraId="726E215D">
      <w:pPr>
        <w:spacing w:line="360" w:lineRule="auto"/>
        <w:ind w:firstLine="1405" w:firstLineChars="500"/>
        <w:jc w:val="both"/>
        <w:rPr>
          <w:rFonts w:hint="eastAsia"/>
          <w:b/>
          <w:sz w:val="28"/>
          <w:szCs w:val="28"/>
          <w:lang w:eastAsia="zh-CN" w:bidi="ar"/>
        </w:rPr>
      </w:pPr>
      <w:r>
        <w:rPr>
          <w:rFonts w:hint="eastAsia"/>
          <w:b/>
          <w:sz w:val="28"/>
          <w:szCs w:val="28"/>
          <w:lang w:eastAsia="zh-CN" w:bidi="ar"/>
        </w:rPr>
        <w:t>日    期：二零二</w:t>
      </w:r>
      <w:r>
        <w:rPr>
          <w:rFonts w:hint="eastAsia"/>
          <w:b/>
          <w:sz w:val="28"/>
          <w:szCs w:val="28"/>
          <w:lang w:val="en-US" w:eastAsia="zh-CN" w:bidi="ar"/>
        </w:rPr>
        <w:t>六</w:t>
      </w:r>
      <w:r>
        <w:rPr>
          <w:rFonts w:hint="eastAsia"/>
          <w:b/>
          <w:sz w:val="28"/>
          <w:szCs w:val="28"/>
          <w:lang w:eastAsia="zh-CN" w:bidi="ar"/>
        </w:rPr>
        <w:t>年</w:t>
      </w:r>
      <w:r>
        <w:rPr>
          <w:rFonts w:hint="eastAsia"/>
          <w:b/>
          <w:sz w:val="28"/>
          <w:szCs w:val="28"/>
          <w:lang w:val="en-US" w:eastAsia="zh-CN" w:bidi="ar"/>
        </w:rPr>
        <w:t>八</w:t>
      </w:r>
      <w:r>
        <w:rPr>
          <w:rFonts w:hint="eastAsia"/>
          <w:b/>
          <w:sz w:val="28"/>
          <w:szCs w:val="28"/>
          <w:lang w:eastAsia="zh-CN" w:bidi="ar"/>
        </w:rPr>
        <w:t>月</w:t>
      </w:r>
    </w:p>
    <w:p w14:paraId="7712AA86">
      <w:pPr>
        <w:keepNext w:val="0"/>
        <w:keepLines w:val="0"/>
        <w:pageBreakBefore w:val="0"/>
        <w:kinsoku/>
        <w:wordWrap/>
        <w:overflowPunct/>
        <w:topLinePunct w:val="0"/>
        <w:autoSpaceDE/>
        <w:autoSpaceDN/>
        <w:bidi w:val="0"/>
        <w:adjustRightInd/>
        <w:snapToGrid/>
        <w:spacing w:line="480" w:lineRule="auto"/>
        <w:jc w:val="center"/>
        <w:textAlignment w:val="auto"/>
        <w:rPr>
          <w:rFonts w:hint="eastAsia" w:ascii="宋体" w:hAnsi="宋体" w:eastAsia="宋体" w:cs="宋体"/>
          <w:bCs/>
          <w:sz w:val="28"/>
          <w:szCs w:val="28"/>
          <w:highlight w:val="none"/>
        </w:rPr>
      </w:pPr>
    </w:p>
    <w:p w14:paraId="0B60F781">
      <w:pPr>
        <w:keepNext w:val="0"/>
        <w:keepLines w:val="0"/>
        <w:pageBreakBefore w:val="0"/>
        <w:kinsoku/>
        <w:wordWrap/>
        <w:overflowPunct/>
        <w:topLinePunct w:val="0"/>
        <w:autoSpaceDE/>
        <w:autoSpaceDN/>
        <w:bidi w:val="0"/>
        <w:adjustRightInd/>
        <w:snapToGrid/>
        <w:spacing w:line="480" w:lineRule="auto"/>
        <w:jc w:val="center"/>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目  录</w:t>
      </w:r>
    </w:p>
    <w:sdt>
      <w:sdtPr>
        <w:rPr>
          <w:rFonts w:hint="eastAsia" w:ascii="宋体" w:hAnsi="宋体" w:eastAsia="宋体" w:cs="宋体"/>
          <w:kern w:val="2"/>
          <w:sz w:val="28"/>
          <w:szCs w:val="28"/>
          <w:lang w:val="en-US" w:eastAsia="zh-CN" w:bidi="ar-SA"/>
        </w:rPr>
        <w:id w:val="147481077"/>
        <w15:color w:val="DBDBDB"/>
        <w:docPartObj>
          <w:docPartGallery w:val="Table of Contents"/>
          <w:docPartUnique/>
        </w:docPartObj>
      </w:sdtPr>
      <w:sdtEndPr>
        <w:rPr>
          <w:rFonts w:hint="eastAsia" w:ascii="Times New Roman" w:hAnsi="Times New Roman" w:eastAsia="宋体" w:cs="Times New Roman"/>
          <w:kern w:val="0"/>
          <w:sz w:val="21"/>
          <w:szCs w:val="20"/>
          <w:lang w:val="en-US" w:eastAsia="zh-CN" w:bidi="ar-SA"/>
        </w:rPr>
      </w:sdtEndPr>
      <w:sdtContent>
        <w:p w14:paraId="0D6DEDAA">
          <w:pPr>
            <w:keepNext w:val="0"/>
            <w:keepLines w:val="0"/>
            <w:pageBreakBefore w:val="0"/>
            <w:kinsoku/>
            <w:wordWrap/>
            <w:overflowPunct/>
            <w:topLinePunct w:val="0"/>
            <w:autoSpaceDE/>
            <w:autoSpaceDN/>
            <w:bidi w:val="0"/>
            <w:adjustRightInd/>
            <w:snapToGrid/>
            <w:spacing w:before="0" w:beforeLines="0" w:after="0" w:afterLines="0" w:line="480" w:lineRule="auto"/>
            <w:ind w:left="0" w:leftChars="0" w:right="0" w:rightChars="0" w:firstLine="0" w:firstLineChars="0"/>
            <w:jc w:val="center"/>
            <w:textAlignment w:val="auto"/>
            <w:rPr>
              <w:rFonts w:hint="eastAsia" w:ascii="宋体" w:hAnsi="宋体" w:eastAsia="宋体" w:cs="宋体"/>
              <w:sz w:val="28"/>
              <w:szCs w:val="28"/>
            </w:rPr>
          </w:pPr>
        </w:p>
        <w:p w14:paraId="20DEA73E">
          <w:pPr>
            <w:pStyle w:val="7"/>
            <w:keepNext w:val="0"/>
            <w:keepLines w:val="0"/>
            <w:pageBreakBefore w:val="0"/>
            <w:tabs>
              <w:tab w:val="right" w:leader="dot" w:pos="9072"/>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kern w:val="0"/>
              <w:sz w:val="28"/>
              <w:szCs w:val="28"/>
            </w:rPr>
            <w:fldChar w:fldCharType="begin"/>
          </w:r>
          <w:r>
            <w:rPr>
              <w:rFonts w:hint="eastAsia" w:ascii="宋体" w:hAnsi="宋体" w:eastAsia="宋体" w:cs="宋体"/>
              <w:kern w:val="0"/>
              <w:sz w:val="28"/>
              <w:szCs w:val="28"/>
            </w:rPr>
            <w:instrText xml:space="preserve">TOC \o "1-1" \h \u </w:instrText>
          </w:r>
          <w:r>
            <w:rPr>
              <w:rFonts w:hint="eastAsia" w:ascii="宋体" w:hAnsi="宋体" w:eastAsia="宋体" w:cs="宋体"/>
              <w:kern w:val="0"/>
              <w:sz w:val="28"/>
              <w:szCs w:val="28"/>
            </w:rPr>
            <w:fldChar w:fldCharType="separate"/>
          </w:r>
          <w:r>
            <w:rPr>
              <w:rFonts w:hint="eastAsia" w:ascii="宋体" w:hAnsi="宋体" w:eastAsia="宋体" w:cs="宋体"/>
              <w:kern w:val="0"/>
              <w:sz w:val="28"/>
              <w:szCs w:val="28"/>
            </w:rPr>
            <w:fldChar w:fldCharType="begin"/>
          </w:r>
          <w:r>
            <w:rPr>
              <w:rFonts w:hint="eastAsia" w:ascii="宋体" w:hAnsi="宋体" w:eastAsia="宋体" w:cs="宋体"/>
              <w:kern w:val="0"/>
              <w:sz w:val="28"/>
              <w:szCs w:val="28"/>
            </w:rPr>
            <w:instrText xml:space="preserve"> HYPERLINK \l _Toc26534 </w:instrText>
          </w:r>
          <w:r>
            <w:rPr>
              <w:rFonts w:hint="eastAsia" w:ascii="宋体" w:hAnsi="宋体" w:eastAsia="宋体" w:cs="宋体"/>
              <w:kern w:val="0"/>
              <w:sz w:val="28"/>
              <w:szCs w:val="28"/>
            </w:rPr>
            <w:fldChar w:fldCharType="separate"/>
          </w:r>
          <w:r>
            <w:rPr>
              <w:rFonts w:hint="eastAsia" w:ascii="宋体" w:hAnsi="宋体" w:eastAsia="宋体" w:cs="宋体"/>
              <w:bCs/>
              <w:kern w:val="28"/>
              <w:sz w:val="28"/>
              <w:szCs w:val="28"/>
            </w:rPr>
            <w:t>第一章</w:t>
          </w:r>
          <w:r>
            <w:rPr>
              <w:rFonts w:hint="eastAsia" w:ascii="宋体" w:hAnsi="宋体" w:eastAsia="宋体" w:cs="宋体"/>
              <w:bCs/>
              <w:kern w:val="28"/>
              <w:sz w:val="28"/>
              <w:szCs w:val="28"/>
              <w:lang w:val="en-US" w:eastAsia="zh-CN"/>
            </w:rPr>
            <w:t xml:space="preserve">  </w:t>
          </w:r>
          <w:r>
            <w:rPr>
              <w:rFonts w:hint="eastAsia" w:ascii="宋体" w:hAnsi="宋体" w:eastAsia="宋体" w:cs="宋体"/>
              <w:bCs/>
              <w:kern w:val="28"/>
              <w:sz w:val="28"/>
              <w:szCs w:val="28"/>
            </w:rPr>
            <w:t>竞争性磋商公告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_Toc26534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kern w:val="0"/>
              <w:sz w:val="28"/>
              <w:szCs w:val="28"/>
            </w:rPr>
            <w:fldChar w:fldCharType="end"/>
          </w:r>
        </w:p>
        <w:p w14:paraId="2E908F53">
          <w:pPr>
            <w:pStyle w:val="7"/>
            <w:keepNext w:val="0"/>
            <w:keepLines w:val="0"/>
            <w:pageBreakBefore w:val="0"/>
            <w:tabs>
              <w:tab w:val="right" w:leader="dot" w:pos="9072"/>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kern w:val="0"/>
              <w:sz w:val="28"/>
              <w:szCs w:val="28"/>
            </w:rPr>
            <w:fldChar w:fldCharType="begin"/>
          </w:r>
          <w:r>
            <w:rPr>
              <w:rFonts w:hint="eastAsia" w:ascii="宋体" w:hAnsi="宋体" w:eastAsia="宋体" w:cs="宋体"/>
              <w:kern w:val="0"/>
              <w:sz w:val="28"/>
              <w:szCs w:val="28"/>
            </w:rPr>
            <w:instrText xml:space="preserve"> HYPERLINK \l _Toc20974 </w:instrText>
          </w:r>
          <w:r>
            <w:rPr>
              <w:rFonts w:hint="eastAsia" w:ascii="宋体" w:hAnsi="宋体" w:eastAsia="宋体" w:cs="宋体"/>
              <w:kern w:val="0"/>
              <w:sz w:val="28"/>
              <w:szCs w:val="28"/>
            </w:rPr>
            <w:fldChar w:fldCharType="separate"/>
          </w:r>
          <w:r>
            <w:rPr>
              <w:rFonts w:hint="eastAsia" w:ascii="宋体" w:hAnsi="宋体" w:eastAsia="宋体" w:cs="宋体"/>
              <w:bCs/>
              <w:kern w:val="28"/>
              <w:sz w:val="28"/>
              <w:szCs w:val="28"/>
            </w:rPr>
            <w:t>第二章  供应商须知及前附表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_Toc20974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kern w:val="0"/>
              <w:sz w:val="28"/>
              <w:szCs w:val="28"/>
            </w:rPr>
            <w:fldChar w:fldCharType="end"/>
          </w:r>
        </w:p>
        <w:p w14:paraId="57A4941C">
          <w:pPr>
            <w:pStyle w:val="7"/>
            <w:keepNext w:val="0"/>
            <w:keepLines w:val="0"/>
            <w:pageBreakBefore w:val="0"/>
            <w:tabs>
              <w:tab w:val="right" w:leader="dot" w:pos="9072"/>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kern w:val="0"/>
              <w:sz w:val="28"/>
              <w:szCs w:val="28"/>
            </w:rPr>
            <w:fldChar w:fldCharType="begin"/>
          </w:r>
          <w:r>
            <w:rPr>
              <w:rFonts w:hint="eastAsia" w:ascii="宋体" w:hAnsi="宋体" w:eastAsia="宋体" w:cs="宋体"/>
              <w:kern w:val="0"/>
              <w:sz w:val="28"/>
              <w:szCs w:val="28"/>
            </w:rPr>
            <w:instrText xml:space="preserve"> HYPERLINK \l _Toc2288 </w:instrText>
          </w:r>
          <w:r>
            <w:rPr>
              <w:rFonts w:hint="eastAsia" w:ascii="宋体" w:hAnsi="宋体" w:eastAsia="宋体" w:cs="宋体"/>
              <w:kern w:val="0"/>
              <w:sz w:val="28"/>
              <w:szCs w:val="28"/>
            </w:rPr>
            <w:fldChar w:fldCharType="separate"/>
          </w:r>
          <w:r>
            <w:rPr>
              <w:rFonts w:hint="eastAsia" w:ascii="宋体" w:hAnsi="宋体" w:eastAsia="宋体" w:cs="宋体"/>
              <w:bCs/>
              <w:kern w:val="28"/>
              <w:sz w:val="28"/>
              <w:szCs w:val="28"/>
              <w:lang w:eastAsia="zh-CN"/>
            </w:rPr>
            <w:t>第三章</w:t>
          </w:r>
          <w:r>
            <w:rPr>
              <w:rFonts w:hint="eastAsia" w:ascii="宋体" w:hAnsi="宋体" w:eastAsia="宋体" w:cs="宋体"/>
              <w:bCs/>
              <w:kern w:val="28"/>
              <w:sz w:val="28"/>
              <w:szCs w:val="28"/>
              <w:lang w:val="en-US" w:eastAsia="zh-CN"/>
            </w:rPr>
            <w:t xml:space="preserve">  </w:t>
          </w:r>
          <w:r>
            <w:rPr>
              <w:rFonts w:hint="eastAsia" w:ascii="宋体" w:hAnsi="宋体" w:eastAsia="宋体" w:cs="宋体"/>
              <w:bCs/>
              <w:kern w:val="28"/>
              <w:sz w:val="28"/>
              <w:szCs w:val="28"/>
            </w:rPr>
            <w:t>评审标准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_Toc2288 \h </w:instrText>
          </w:r>
          <w:r>
            <w:rPr>
              <w:rFonts w:hint="eastAsia" w:ascii="宋体" w:hAnsi="宋体" w:eastAsia="宋体" w:cs="宋体"/>
              <w:sz w:val="28"/>
              <w:szCs w:val="28"/>
            </w:rPr>
            <w:fldChar w:fldCharType="separate"/>
          </w:r>
          <w:r>
            <w:rPr>
              <w:rFonts w:hint="eastAsia" w:ascii="宋体" w:hAnsi="宋体" w:eastAsia="宋体" w:cs="宋体"/>
              <w:sz w:val="28"/>
              <w:szCs w:val="28"/>
            </w:rPr>
            <w:t>25</w:t>
          </w:r>
          <w:r>
            <w:rPr>
              <w:rFonts w:hint="eastAsia" w:ascii="宋体" w:hAnsi="宋体" w:eastAsia="宋体" w:cs="宋体"/>
              <w:sz w:val="28"/>
              <w:szCs w:val="28"/>
            </w:rPr>
            <w:fldChar w:fldCharType="end"/>
          </w:r>
          <w:r>
            <w:rPr>
              <w:rFonts w:hint="eastAsia" w:ascii="宋体" w:hAnsi="宋体" w:eastAsia="宋体" w:cs="宋体"/>
              <w:kern w:val="0"/>
              <w:sz w:val="28"/>
              <w:szCs w:val="28"/>
            </w:rPr>
            <w:fldChar w:fldCharType="end"/>
          </w:r>
        </w:p>
        <w:p w14:paraId="685AEF1C">
          <w:pPr>
            <w:pStyle w:val="7"/>
            <w:keepNext w:val="0"/>
            <w:keepLines w:val="0"/>
            <w:pageBreakBefore w:val="0"/>
            <w:tabs>
              <w:tab w:val="right" w:leader="dot" w:pos="9072"/>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kern w:val="0"/>
              <w:sz w:val="28"/>
              <w:szCs w:val="28"/>
            </w:rPr>
            <w:fldChar w:fldCharType="begin"/>
          </w:r>
          <w:r>
            <w:rPr>
              <w:rFonts w:hint="eastAsia" w:ascii="宋体" w:hAnsi="宋体" w:eastAsia="宋体" w:cs="宋体"/>
              <w:kern w:val="0"/>
              <w:sz w:val="28"/>
              <w:szCs w:val="28"/>
            </w:rPr>
            <w:instrText xml:space="preserve"> HYPERLINK \l _Toc17223 </w:instrText>
          </w:r>
          <w:r>
            <w:rPr>
              <w:rFonts w:hint="eastAsia" w:ascii="宋体" w:hAnsi="宋体" w:eastAsia="宋体" w:cs="宋体"/>
              <w:kern w:val="0"/>
              <w:sz w:val="28"/>
              <w:szCs w:val="28"/>
            </w:rPr>
            <w:fldChar w:fldCharType="separate"/>
          </w:r>
          <w:r>
            <w:rPr>
              <w:rFonts w:hint="eastAsia" w:ascii="宋体" w:hAnsi="宋体" w:eastAsia="宋体" w:cs="宋体"/>
              <w:bCs/>
              <w:kern w:val="28"/>
              <w:sz w:val="28"/>
              <w:szCs w:val="28"/>
              <w:lang w:val="en-US" w:eastAsia="zh-CN"/>
            </w:rPr>
            <w:t xml:space="preserve">第四章  </w:t>
          </w:r>
          <w:r>
            <w:rPr>
              <w:rFonts w:hint="eastAsia" w:ascii="宋体" w:hAnsi="宋体" w:eastAsia="宋体" w:cs="宋体"/>
              <w:bCs/>
              <w:kern w:val="28"/>
              <w:sz w:val="28"/>
              <w:szCs w:val="28"/>
              <w:lang w:eastAsia="zh-CN"/>
            </w:rPr>
            <w:t>合同主要条款及格式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_Toc17223 \h </w:instrText>
          </w:r>
          <w:r>
            <w:rPr>
              <w:rFonts w:hint="eastAsia" w:ascii="宋体" w:hAnsi="宋体" w:eastAsia="宋体" w:cs="宋体"/>
              <w:sz w:val="28"/>
              <w:szCs w:val="28"/>
            </w:rPr>
            <w:fldChar w:fldCharType="separate"/>
          </w:r>
          <w:r>
            <w:rPr>
              <w:rFonts w:hint="eastAsia" w:ascii="宋体" w:hAnsi="宋体" w:eastAsia="宋体" w:cs="宋体"/>
              <w:sz w:val="28"/>
              <w:szCs w:val="28"/>
            </w:rPr>
            <w:t>32</w:t>
          </w:r>
          <w:r>
            <w:rPr>
              <w:rFonts w:hint="eastAsia" w:ascii="宋体" w:hAnsi="宋体" w:eastAsia="宋体" w:cs="宋体"/>
              <w:sz w:val="28"/>
              <w:szCs w:val="28"/>
            </w:rPr>
            <w:fldChar w:fldCharType="end"/>
          </w:r>
          <w:r>
            <w:rPr>
              <w:rFonts w:hint="eastAsia" w:ascii="宋体" w:hAnsi="宋体" w:eastAsia="宋体" w:cs="宋体"/>
              <w:kern w:val="0"/>
              <w:sz w:val="28"/>
              <w:szCs w:val="28"/>
            </w:rPr>
            <w:fldChar w:fldCharType="end"/>
          </w:r>
        </w:p>
        <w:p w14:paraId="39592F1C">
          <w:pPr>
            <w:pStyle w:val="7"/>
            <w:keepNext w:val="0"/>
            <w:keepLines w:val="0"/>
            <w:pageBreakBefore w:val="0"/>
            <w:tabs>
              <w:tab w:val="right" w:leader="dot" w:pos="9072"/>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kern w:val="0"/>
              <w:sz w:val="28"/>
              <w:szCs w:val="28"/>
            </w:rPr>
            <w:fldChar w:fldCharType="begin"/>
          </w:r>
          <w:r>
            <w:rPr>
              <w:rFonts w:hint="eastAsia" w:ascii="宋体" w:hAnsi="宋体" w:eastAsia="宋体" w:cs="宋体"/>
              <w:kern w:val="0"/>
              <w:sz w:val="28"/>
              <w:szCs w:val="28"/>
            </w:rPr>
            <w:instrText xml:space="preserve"> HYPERLINK \l _Toc29530 </w:instrText>
          </w:r>
          <w:r>
            <w:rPr>
              <w:rFonts w:hint="eastAsia" w:ascii="宋体" w:hAnsi="宋体" w:eastAsia="宋体" w:cs="宋体"/>
              <w:kern w:val="0"/>
              <w:sz w:val="28"/>
              <w:szCs w:val="28"/>
            </w:rPr>
            <w:fldChar w:fldCharType="separate"/>
          </w:r>
          <w:r>
            <w:rPr>
              <w:rFonts w:hint="eastAsia" w:ascii="宋体" w:hAnsi="宋体" w:eastAsia="宋体" w:cs="宋体"/>
              <w:bCs/>
              <w:kern w:val="28"/>
              <w:sz w:val="28"/>
              <w:szCs w:val="28"/>
              <w:lang w:val="en-US" w:eastAsia="zh-CN"/>
            </w:rPr>
            <w:t>第五章  采购内容及技术要求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_Toc29530 \h </w:instrText>
          </w:r>
          <w:r>
            <w:rPr>
              <w:rFonts w:hint="eastAsia" w:ascii="宋体" w:hAnsi="宋体" w:eastAsia="宋体" w:cs="宋体"/>
              <w:sz w:val="28"/>
              <w:szCs w:val="28"/>
            </w:rPr>
            <w:fldChar w:fldCharType="separate"/>
          </w:r>
          <w:r>
            <w:rPr>
              <w:rFonts w:hint="eastAsia" w:ascii="宋体" w:hAnsi="宋体" w:eastAsia="宋体" w:cs="宋体"/>
              <w:sz w:val="28"/>
              <w:szCs w:val="28"/>
            </w:rPr>
            <w:t>35</w:t>
          </w:r>
          <w:r>
            <w:rPr>
              <w:rFonts w:hint="eastAsia" w:ascii="宋体" w:hAnsi="宋体" w:eastAsia="宋体" w:cs="宋体"/>
              <w:sz w:val="28"/>
              <w:szCs w:val="28"/>
            </w:rPr>
            <w:fldChar w:fldCharType="end"/>
          </w:r>
          <w:r>
            <w:rPr>
              <w:rFonts w:hint="eastAsia" w:ascii="宋体" w:hAnsi="宋体" w:eastAsia="宋体" w:cs="宋体"/>
              <w:kern w:val="0"/>
              <w:sz w:val="28"/>
              <w:szCs w:val="28"/>
            </w:rPr>
            <w:fldChar w:fldCharType="end"/>
          </w:r>
        </w:p>
        <w:p w14:paraId="5874235C">
          <w:pPr>
            <w:pStyle w:val="7"/>
            <w:keepNext w:val="0"/>
            <w:keepLines w:val="0"/>
            <w:pageBreakBefore w:val="0"/>
            <w:tabs>
              <w:tab w:val="right" w:leader="dot" w:pos="9072"/>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r>
            <w:rPr>
              <w:rFonts w:hint="eastAsia" w:ascii="宋体" w:hAnsi="宋体" w:eastAsia="宋体" w:cs="宋体"/>
              <w:kern w:val="0"/>
              <w:sz w:val="28"/>
              <w:szCs w:val="28"/>
            </w:rPr>
            <w:fldChar w:fldCharType="begin"/>
          </w:r>
          <w:r>
            <w:rPr>
              <w:rFonts w:hint="eastAsia" w:ascii="宋体" w:hAnsi="宋体" w:eastAsia="宋体" w:cs="宋体"/>
              <w:kern w:val="0"/>
              <w:sz w:val="28"/>
              <w:szCs w:val="28"/>
            </w:rPr>
            <w:instrText xml:space="preserve"> HYPERLINK \l _Toc3659 </w:instrText>
          </w:r>
          <w:r>
            <w:rPr>
              <w:rFonts w:hint="eastAsia" w:ascii="宋体" w:hAnsi="宋体" w:eastAsia="宋体" w:cs="宋体"/>
              <w:kern w:val="0"/>
              <w:sz w:val="28"/>
              <w:szCs w:val="28"/>
            </w:rPr>
            <w:fldChar w:fldCharType="separate"/>
          </w:r>
          <w:r>
            <w:rPr>
              <w:rFonts w:hint="eastAsia" w:ascii="宋体" w:hAnsi="宋体" w:eastAsia="宋体" w:cs="宋体"/>
              <w:bCs/>
              <w:kern w:val="28"/>
              <w:sz w:val="28"/>
              <w:szCs w:val="28"/>
              <w:lang w:val="en-US" w:eastAsia="zh-CN"/>
            </w:rPr>
            <w:t>第六章  响应文件格式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_Toc3659 \h </w:instrText>
          </w:r>
          <w:r>
            <w:rPr>
              <w:rFonts w:hint="eastAsia" w:ascii="宋体" w:hAnsi="宋体" w:eastAsia="宋体" w:cs="宋体"/>
              <w:sz w:val="28"/>
              <w:szCs w:val="28"/>
            </w:rPr>
            <w:fldChar w:fldCharType="separate"/>
          </w:r>
          <w:r>
            <w:rPr>
              <w:rFonts w:hint="eastAsia" w:ascii="宋体" w:hAnsi="宋体" w:eastAsia="宋体" w:cs="宋体"/>
              <w:sz w:val="28"/>
              <w:szCs w:val="28"/>
            </w:rPr>
            <w:t>36</w:t>
          </w:r>
          <w:r>
            <w:rPr>
              <w:rFonts w:hint="eastAsia" w:ascii="宋体" w:hAnsi="宋体" w:eastAsia="宋体" w:cs="宋体"/>
              <w:sz w:val="28"/>
              <w:szCs w:val="28"/>
            </w:rPr>
            <w:fldChar w:fldCharType="end"/>
          </w:r>
          <w:r>
            <w:rPr>
              <w:rFonts w:hint="eastAsia" w:ascii="宋体" w:hAnsi="宋体" w:eastAsia="宋体" w:cs="宋体"/>
              <w:kern w:val="0"/>
              <w:sz w:val="28"/>
              <w:szCs w:val="28"/>
            </w:rPr>
            <w:fldChar w:fldCharType="end"/>
          </w:r>
        </w:p>
        <w:p w14:paraId="527697E4">
          <w:pPr>
            <w:keepNext w:val="0"/>
            <w:keepLines w:val="0"/>
            <w:pageBreakBefore w:val="0"/>
            <w:widowControl/>
            <w:tabs>
              <w:tab w:val="right" w:leader="dot" w:pos="8306"/>
            </w:tabs>
            <w:kinsoku/>
            <w:wordWrap/>
            <w:overflowPunct/>
            <w:topLinePunct w:val="0"/>
            <w:autoSpaceDE/>
            <w:autoSpaceDN/>
            <w:bidi w:val="0"/>
            <w:adjustRightInd/>
            <w:snapToGrid/>
            <w:spacing w:line="480" w:lineRule="auto"/>
            <w:jc w:val="left"/>
            <w:textAlignment w:val="auto"/>
            <w:rPr>
              <w:rFonts w:ascii="Times New Roman" w:hAnsi="Times New Roman" w:eastAsia="宋体" w:cs="Times New Roman"/>
              <w:kern w:val="0"/>
              <w:sz w:val="21"/>
              <w:szCs w:val="20"/>
              <w:lang w:val="en-US" w:eastAsia="zh-CN" w:bidi="ar-SA"/>
            </w:rPr>
          </w:pPr>
          <w:r>
            <w:rPr>
              <w:rFonts w:hint="eastAsia" w:ascii="宋体" w:hAnsi="宋体" w:eastAsia="宋体" w:cs="宋体"/>
              <w:kern w:val="0"/>
              <w:sz w:val="28"/>
              <w:szCs w:val="28"/>
            </w:rPr>
            <w:fldChar w:fldCharType="end"/>
          </w:r>
        </w:p>
      </w:sdtContent>
    </w:sdt>
    <w:p w14:paraId="6C08EBF5">
      <w:pPr>
        <w:widowControl/>
        <w:tabs>
          <w:tab w:val="right" w:leader="dot" w:pos="8306"/>
        </w:tabs>
        <w:jc w:val="left"/>
        <w:rPr>
          <w:rFonts w:ascii="Times New Roman" w:hAnsi="Times New Roman" w:eastAsia="宋体" w:cs="Times New Roman"/>
          <w:kern w:val="0"/>
          <w:sz w:val="21"/>
          <w:szCs w:val="20"/>
          <w:lang w:val="en-US" w:eastAsia="zh-CN" w:bidi="ar-SA"/>
        </w:rPr>
      </w:pPr>
    </w:p>
    <w:p w14:paraId="12603FE4">
      <w:pPr>
        <w:widowControl/>
        <w:tabs>
          <w:tab w:val="right" w:leader="dot" w:pos="8306"/>
        </w:tabs>
        <w:spacing w:line="480" w:lineRule="auto"/>
        <w:rPr>
          <w:rFonts w:hint="default" w:ascii="宋体" w:hAnsi="宋体" w:eastAsia="宋体" w:cs="宋体"/>
          <w:kern w:val="0"/>
          <w:sz w:val="28"/>
          <w:szCs w:val="28"/>
          <w:lang w:val="en-US" w:eastAsia="zh-CN"/>
        </w:rPr>
      </w:pPr>
    </w:p>
    <w:p w14:paraId="6407EE8B">
      <w:pPr>
        <w:spacing w:before="240" w:after="60" w:line="312" w:lineRule="auto"/>
        <w:jc w:val="center"/>
        <w:outlineLvl w:val="0"/>
        <w:rPr>
          <w:rFonts w:hint="eastAsia" w:eastAsia="宋体" w:asciiTheme="majorHAnsi" w:hAnsiTheme="majorHAnsi" w:cstheme="majorBidi"/>
          <w:b/>
          <w:bCs/>
          <w:kern w:val="28"/>
          <w:sz w:val="32"/>
          <w:szCs w:val="32"/>
        </w:rPr>
        <w:sectPr>
          <w:headerReference r:id="rId3" w:type="default"/>
          <w:footerReference r:id="rId4" w:type="default"/>
          <w:pgSz w:w="11906" w:h="16838"/>
          <w:pgMar w:top="1134" w:right="1417" w:bottom="1134" w:left="1417" w:header="851" w:footer="992" w:gutter="0"/>
          <w:pgBorders>
            <w:top w:val="none" w:sz="0" w:space="0"/>
            <w:left w:val="none" w:sz="0" w:space="0"/>
            <w:bottom w:val="none" w:sz="0" w:space="0"/>
            <w:right w:val="none" w:sz="0" w:space="0"/>
          </w:pgBorders>
          <w:lnNumType w:countBy="0" w:restart="continuous"/>
          <w:pgNumType w:fmt="decimal" w:start="1"/>
          <w:cols w:space="425" w:num="1"/>
          <w:docGrid w:type="lines" w:linePitch="312" w:charSpace="0"/>
        </w:sectPr>
      </w:pPr>
    </w:p>
    <w:p w14:paraId="202DA468">
      <w:pPr>
        <w:keepNext w:val="0"/>
        <w:keepLines w:val="0"/>
        <w:pageBreakBefore w:val="0"/>
        <w:widowControl w:val="0"/>
        <w:kinsoku/>
        <w:wordWrap/>
        <w:overflowPunct/>
        <w:topLinePunct w:val="0"/>
        <w:autoSpaceDE/>
        <w:autoSpaceDN/>
        <w:bidi w:val="0"/>
        <w:adjustRightInd/>
        <w:snapToGrid/>
        <w:spacing w:before="240" w:after="60" w:line="360" w:lineRule="auto"/>
        <w:jc w:val="center"/>
        <w:textAlignment w:val="auto"/>
        <w:outlineLvl w:val="0"/>
        <w:rPr>
          <w:rFonts w:eastAsia="宋体" w:asciiTheme="majorHAnsi" w:hAnsiTheme="majorHAnsi" w:cstheme="majorBidi"/>
          <w:b/>
          <w:bCs/>
          <w:kern w:val="28"/>
          <w:sz w:val="32"/>
          <w:szCs w:val="32"/>
        </w:rPr>
      </w:pPr>
      <w:bookmarkStart w:id="0" w:name="_Toc26534"/>
      <w:r>
        <w:rPr>
          <w:rFonts w:hint="eastAsia" w:eastAsia="宋体" w:asciiTheme="majorHAnsi" w:hAnsiTheme="majorHAnsi" w:cstheme="majorBidi"/>
          <w:b/>
          <w:bCs/>
          <w:kern w:val="28"/>
          <w:sz w:val="32"/>
          <w:szCs w:val="32"/>
        </w:rPr>
        <w:t>第一章</w:t>
      </w:r>
      <w:bookmarkStart w:id="1" w:name="_Hlk136547488"/>
      <w:r>
        <w:rPr>
          <w:rFonts w:hint="eastAsia" w:eastAsia="宋体" w:asciiTheme="majorHAnsi" w:hAnsiTheme="majorHAnsi" w:cstheme="majorBidi"/>
          <w:b/>
          <w:bCs/>
          <w:kern w:val="28"/>
          <w:sz w:val="32"/>
          <w:szCs w:val="32"/>
          <w:lang w:val="en-US" w:eastAsia="zh-CN"/>
        </w:rPr>
        <w:t xml:space="preserve">  </w:t>
      </w:r>
      <w:r>
        <w:rPr>
          <w:rFonts w:hint="eastAsia" w:eastAsia="宋体" w:asciiTheme="majorHAnsi" w:hAnsiTheme="majorHAnsi" w:cstheme="majorBidi"/>
          <w:b/>
          <w:bCs/>
          <w:kern w:val="28"/>
          <w:sz w:val="32"/>
          <w:szCs w:val="32"/>
        </w:rPr>
        <w:t>竞争性磋商公告</w:t>
      </w:r>
      <w:bookmarkEnd w:id="0"/>
      <w:bookmarkEnd w:id="1"/>
    </w:p>
    <w:p w14:paraId="617D99AD">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bookmarkStart w:id="2" w:name="_Toc15597"/>
      <w:bookmarkStart w:id="3" w:name="_Toc22953455"/>
      <w:bookmarkStart w:id="4" w:name="_Toc22724013"/>
      <w:bookmarkStart w:id="5" w:name="_Toc22568845"/>
      <w:bookmarkStart w:id="6" w:name="_Toc498982406"/>
      <w:bookmarkStart w:id="7" w:name="_Toc22804133"/>
      <w:bookmarkStart w:id="8" w:name="_Toc22570552"/>
      <w:r>
        <w:rPr>
          <w:rFonts w:hint="eastAsia" w:ascii="宋体" w:hAnsi="宋体" w:eastAsia="宋体" w:cs="宋体"/>
          <w:sz w:val="24"/>
          <w:szCs w:val="24"/>
          <w:lang w:val="en-US" w:eastAsia="zh-CN"/>
        </w:rPr>
        <w:t>项目概况</w:t>
      </w:r>
    </w:p>
    <w:p w14:paraId="15DAB9C8">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农产品冷藏仓储货架采购项目</w:t>
      </w:r>
      <w:r>
        <w:rPr>
          <w:rFonts w:hint="eastAsia" w:ascii="宋体" w:hAnsi="宋体" w:eastAsia="宋体" w:cs="宋体"/>
          <w:sz w:val="24"/>
          <w:szCs w:val="24"/>
        </w:rPr>
        <w:t>的潜在</w:t>
      </w:r>
      <w:r>
        <w:rPr>
          <w:rFonts w:hint="eastAsia" w:ascii="宋体" w:hAnsi="宋体" w:eastAsia="宋体" w:cs="宋体"/>
          <w:sz w:val="24"/>
          <w:szCs w:val="24"/>
          <w:lang w:val="en-US" w:eastAsia="zh-CN"/>
        </w:rPr>
        <w:t>投标人</w:t>
      </w:r>
      <w:r>
        <w:rPr>
          <w:rFonts w:hint="eastAsia" w:ascii="宋体" w:hAnsi="宋体" w:eastAsia="宋体" w:cs="宋体"/>
          <w:sz w:val="24"/>
          <w:szCs w:val="24"/>
        </w:rPr>
        <w:t>应在三门峡市公共资源交易中心网获取竞争性磋商文件，并于202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lang w:val="en-US" w:eastAsia="zh-CN"/>
        </w:rPr>
        <w:t>28</w:t>
      </w:r>
      <w:r>
        <w:rPr>
          <w:rFonts w:hint="eastAsia" w:ascii="宋体" w:hAnsi="宋体" w:eastAsia="宋体" w:cs="宋体"/>
          <w:sz w:val="24"/>
          <w:szCs w:val="24"/>
        </w:rPr>
        <w:t>日</w:t>
      </w:r>
      <w:r>
        <w:rPr>
          <w:rFonts w:hint="eastAsia" w:ascii="宋体" w:hAnsi="宋体" w:eastAsia="宋体" w:cs="宋体"/>
          <w:sz w:val="24"/>
          <w:szCs w:val="24"/>
          <w:lang w:val="en-US" w:eastAsia="zh-CN"/>
        </w:rPr>
        <w:t>09</w:t>
      </w:r>
      <w:r>
        <w:rPr>
          <w:rFonts w:hint="eastAsia" w:ascii="宋体" w:hAnsi="宋体" w:eastAsia="宋体" w:cs="宋体"/>
          <w:sz w:val="24"/>
          <w:szCs w:val="24"/>
        </w:rPr>
        <w:t>时</w:t>
      </w:r>
      <w:r>
        <w:rPr>
          <w:rFonts w:hint="eastAsia" w:ascii="宋体" w:hAnsi="宋体" w:eastAsia="宋体" w:cs="宋体"/>
          <w:sz w:val="24"/>
          <w:szCs w:val="24"/>
          <w:lang w:val="en-US" w:eastAsia="zh-CN"/>
        </w:rPr>
        <w:t>00</w:t>
      </w:r>
      <w:r>
        <w:rPr>
          <w:rFonts w:hint="eastAsia" w:ascii="宋体" w:hAnsi="宋体" w:eastAsia="宋体" w:cs="宋体"/>
          <w:sz w:val="24"/>
          <w:szCs w:val="24"/>
        </w:rPr>
        <w:t>分</w:t>
      </w:r>
      <w:r>
        <w:rPr>
          <w:rFonts w:hint="eastAsia" w:ascii="宋体" w:hAnsi="宋体" w:eastAsia="宋体" w:cs="宋体"/>
          <w:sz w:val="24"/>
          <w:szCs w:val="24"/>
          <w:highlight w:val="none"/>
        </w:rPr>
        <w:t>（北</w:t>
      </w:r>
      <w:r>
        <w:rPr>
          <w:rFonts w:hint="eastAsia" w:ascii="宋体" w:hAnsi="宋体" w:eastAsia="宋体" w:cs="宋体"/>
          <w:sz w:val="24"/>
          <w:szCs w:val="24"/>
        </w:rPr>
        <w:t>京时间）前递交</w:t>
      </w:r>
      <w:r>
        <w:rPr>
          <w:rFonts w:hint="eastAsia" w:ascii="宋体" w:hAnsi="宋体" w:eastAsia="宋体" w:cs="宋体"/>
          <w:sz w:val="24"/>
          <w:szCs w:val="24"/>
          <w:lang w:val="en-US" w:eastAsia="zh-CN"/>
        </w:rPr>
        <w:t>响应文件</w:t>
      </w:r>
      <w:r>
        <w:rPr>
          <w:rFonts w:hint="eastAsia" w:ascii="宋体" w:hAnsi="宋体" w:eastAsia="宋体" w:cs="宋体"/>
          <w:sz w:val="24"/>
          <w:szCs w:val="24"/>
        </w:rPr>
        <w:t>。</w:t>
      </w:r>
    </w:p>
    <w:p w14:paraId="061B4F44">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一、项目基本情况 </w:t>
      </w:r>
    </w:p>
    <w:p w14:paraId="027747F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1.采购项目编号：</w:t>
      </w:r>
      <w:r>
        <w:rPr>
          <w:rFonts w:hint="eastAsia" w:ascii="宋体" w:hAnsi="宋体" w:eastAsia="宋体" w:cs="宋体"/>
          <w:sz w:val="24"/>
          <w:szCs w:val="24"/>
          <w:lang w:val="en-US" w:eastAsia="zh-CN"/>
        </w:rPr>
        <w:t>SGZ[2026]251-ZC177、示范竞磋采购-2026-18</w:t>
      </w:r>
      <w:r>
        <w:rPr>
          <w:rFonts w:hint="eastAsia" w:ascii="宋体" w:hAnsi="宋体" w:eastAsia="宋体" w:cs="宋体"/>
          <w:sz w:val="24"/>
          <w:szCs w:val="24"/>
          <w:lang w:val="en-US" w:eastAsia="zh-CN"/>
        </w:rPr>
        <w:t xml:space="preserve"> </w:t>
      </w:r>
    </w:p>
    <w:p w14:paraId="69C03ED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2.采购项目名称：</w:t>
      </w:r>
      <w:r>
        <w:rPr>
          <w:rFonts w:hint="eastAsia" w:ascii="宋体" w:hAnsi="宋体" w:eastAsia="宋体" w:cs="宋体"/>
          <w:sz w:val="24"/>
          <w:szCs w:val="24"/>
          <w:lang w:val="en-US" w:eastAsia="zh-CN"/>
        </w:rPr>
        <w:t>农产品冷藏仓储货架采购项目</w:t>
      </w:r>
      <w:r>
        <w:rPr>
          <w:rFonts w:hint="eastAsia" w:ascii="宋体" w:hAnsi="宋体" w:eastAsia="宋体" w:cs="宋体"/>
          <w:sz w:val="24"/>
          <w:szCs w:val="24"/>
          <w:lang w:eastAsia="zh-CN"/>
        </w:rPr>
        <w:t xml:space="preserve"> </w:t>
      </w:r>
    </w:p>
    <w:p w14:paraId="0457BCCC">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3.采购方式：竞争性磋商</w:t>
      </w:r>
    </w:p>
    <w:p w14:paraId="4B59F7B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4.预算金额：</w:t>
      </w:r>
      <w:r>
        <w:rPr>
          <w:rFonts w:hint="eastAsia" w:ascii="宋体" w:hAnsi="宋体" w:eastAsia="宋体" w:cs="宋体"/>
          <w:sz w:val="24"/>
          <w:szCs w:val="24"/>
          <w:lang w:val="en-US" w:eastAsia="zh-CN"/>
        </w:rPr>
        <w:t>1095000.00</w:t>
      </w:r>
      <w:r>
        <w:rPr>
          <w:rFonts w:hint="eastAsia" w:ascii="宋体" w:hAnsi="宋体" w:eastAsia="宋体" w:cs="宋体"/>
          <w:sz w:val="24"/>
          <w:szCs w:val="24"/>
          <w:lang w:eastAsia="zh-CN"/>
        </w:rPr>
        <w:t>元</w:t>
      </w:r>
    </w:p>
    <w:p w14:paraId="04DF8B2F">
      <w:pPr>
        <w:keepNext w:val="0"/>
        <w:keepLines w:val="0"/>
        <w:pageBreakBefore w:val="0"/>
        <w:widowControl w:val="0"/>
        <w:kinsoku/>
        <w:overflowPunct/>
        <w:topLinePunct w:val="0"/>
        <w:autoSpaceDE/>
        <w:autoSpaceDN/>
        <w:bidi w:val="0"/>
        <w:adjustRightInd/>
        <w:snapToGrid/>
        <w:spacing w:line="360" w:lineRule="auto"/>
        <w:ind w:firstLine="720" w:firstLineChars="3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最高限价：</w:t>
      </w:r>
      <w:r>
        <w:rPr>
          <w:rFonts w:hint="eastAsia" w:ascii="宋体" w:hAnsi="宋体" w:eastAsia="宋体" w:cs="宋体"/>
          <w:sz w:val="24"/>
          <w:szCs w:val="24"/>
          <w:lang w:val="en-US" w:eastAsia="zh-CN"/>
        </w:rPr>
        <w:t>1095000.00</w:t>
      </w:r>
      <w:r>
        <w:rPr>
          <w:rFonts w:hint="eastAsia" w:ascii="宋体" w:hAnsi="宋体" w:eastAsia="宋体" w:cs="宋体"/>
          <w:sz w:val="24"/>
          <w:szCs w:val="24"/>
          <w:lang w:eastAsia="zh-CN"/>
        </w:rPr>
        <w:t>元</w:t>
      </w:r>
    </w:p>
    <w:tbl>
      <w:tblPr>
        <w:tblStyle w:val="11"/>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98"/>
        <w:gridCol w:w="3051"/>
        <w:gridCol w:w="1843"/>
        <w:gridCol w:w="1896"/>
      </w:tblGrid>
      <w:tr w14:paraId="5785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center"/>
          </w:tcPr>
          <w:p w14:paraId="1D2B9975">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898" w:type="dxa"/>
            <w:noWrap w:val="0"/>
            <w:vAlign w:val="center"/>
          </w:tcPr>
          <w:p w14:paraId="2DD5442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包号</w:t>
            </w:r>
          </w:p>
        </w:tc>
        <w:tc>
          <w:tcPr>
            <w:tcW w:w="3051" w:type="dxa"/>
            <w:noWrap w:val="0"/>
            <w:vAlign w:val="center"/>
          </w:tcPr>
          <w:p w14:paraId="6AA5A0E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包名称</w:t>
            </w:r>
          </w:p>
        </w:tc>
        <w:tc>
          <w:tcPr>
            <w:tcW w:w="1843" w:type="dxa"/>
            <w:noWrap w:val="0"/>
            <w:vAlign w:val="center"/>
          </w:tcPr>
          <w:p w14:paraId="51B3CFAB">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包预算（元）</w:t>
            </w:r>
          </w:p>
        </w:tc>
        <w:tc>
          <w:tcPr>
            <w:tcW w:w="1896" w:type="dxa"/>
            <w:noWrap w:val="0"/>
            <w:vAlign w:val="center"/>
          </w:tcPr>
          <w:p w14:paraId="73248F10">
            <w:pPr>
              <w:keepNext w:val="0"/>
              <w:keepLines w:val="0"/>
              <w:pageBreakBefore w:val="0"/>
              <w:widowControl w:val="0"/>
              <w:kinsoku/>
              <w:wordWrap w:val="0"/>
              <w:overflowPunct/>
              <w:topLinePunct w:val="0"/>
              <w:autoSpaceDE/>
              <w:autoSpaceDN/>
              <w:bidi w:val="0"/>
              <w:adjustRightInd/>
              <w:snapToGrid/>
              <w:spacing w:line="360" w:lineRule="auto"/>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包最高限价（元）</w:t>
            </w:r>
          </w:p>
        </w:tc>
      </w:tr>
      <w:tr w14:paraId="553A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50" w:type="dxa"/>
            <w:noWrap w:val="0"/>
            <w:vAlign w:val="center"/>
          </w:tcPr>
          <w:p w14:paraId="5D0A419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898" w:type="dxa"/>
            <w:noWrap w:val="0"/>
            <w:vAlign w:val="center"/>
          </w:tcPr>
          <w:p w14:paraId="4BA3C824">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SGZ[2026]251-ZC177-1</w:t>
            </w:r>
          </w:p>
        </w:tc>
        <w:tc>
          <w:tcPr>
            <w:tcW w:w="3051" w:type="dxa"/>
            <w:noWrap w:val="0"/>
            <w:vAlign w:val="center"/>
          </w:tcPr>
          <w:p w14:paraId="4738451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农产品冷藏仓储货架采购项目</w:t>
            </w:r>
          </w:p>
        </w:tc>
        <w:tc>
          <w:tcPr>
            <w:tcW w:w="1843" w:type="dxa"/>
            <w:noWrap w:val="0"/>
            <w:vAlign w:val="center"/>
          </w:tcPr>
          <w:p w14:paraId="51911A3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1095000.00</w:t>
            </w:r>
          </w:p>
        </w:tc>
        <w:tc>
          <w:tcPr>
            <w:tcW w:w="1896" w:type="dxa"/>
            <w:noWrap w:val="0"/>
            <w:vAlign w:val="center"/>
          </w:tcPr>
          <w:p w14:paraId="615BF005">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1095000.00</w:t>
            </w:r>
          </w:p>
        </w:tc>
      </w:tr>
    </w:tbl>
    <w:p w14:paraId="517F0E46">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采购需求（包括但不限于标的的名称、数量、简要技术需求或服务要求等）</w:t>
      </w:r>
    </w:p>
    <w:p w14:paraId="5E927134">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lang w:val="en-US"/>
        </w:rPr>
      </w:pPr>
      <w:r>
        <w:rPr>
          <w:rFonts w:hint="eastAsia" w:ascii="宋体" w:hAnsi="宋体" w:eastAsia="宋体" w:cs="宋体"/>
          <w:sz w:val="24"/>
          <w:szCs w:val="24"/>
          <w:highlight w:val="none"/>
        </w:rPr>
        <w:t>5.</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采购内容：</w:t>
      </w:r>
      <w:r>
        <w:rPr>
          <w:rFonts w:hint="eastAsia" w:ascii="宋体" w:hAnsi="宋体" w:eastAsia="宋体" w:cs="宋体"/>
          <w:sz w:val="24"/>
          <w:szCs w:val="24"/>
          <w:highlight w:val="none"/>
          <w:lang w:val="en-US" w:eastAsia="zh-CN"/>
        </w:rPr>
        <w:t xml:space="preserve">采购农产品冷藏仓储货架约3000个；（具体采购内容及要求详见竞争性磋商文件）    </w:t>
      </w:r>
    </w:p>
    <w:p w14:paraId="06BC9F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5.2资金来源：财政资金，已落实；</w:t>
      </w:r>
    </w:p>
    <w:p w14:paraId="43EF79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5.3</w:t>
      </w:r>
      <w:r>
        <w:rPr>
          <w:rFonts w:hint="eastAsia" w:ascii="宋体" w:hAnsi="宋体" w:eastAsia="宋体" w:cs="宋体"/>
          <w:sz w:val="24"/>
          <w:szCs w:val="24"/>
          <w:lang w:eastAsia="zh-CN"/>
        </w:rPr>
        <w:t xml:space="preserve"> </w:t>
      </w:r>
      <w:r>
        <w:rPr>
          <w:rFonts w:hint="eastAsia" w:ascii="宋体" w:hAnsi="宋体" w:eastAsia="宋体" w:cs="宋体"/>
          <w:color w:val="auto"/>
          <w:sz w:val="24"/>
          <w:szCs w:val="24"/>
          <w:highlight w:val="none"/>
          <w:lang w:val="en-US" w:eastAsia="zh-CN"/>
        </w:rPr>
        <w:t>磋商范围：本项目竞争性磋商文件、采购内容及技术要求等列明的所有内容；</w:t>
      </w:r>
    </w:p>
    <w:p w14:paraId="74E9E6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yellow"/>
          <w:lang w:eastAsia="zh-CN"/>
        </w:rPr>
      </w:pPr>
      <w:r>
        <w:rPr>
          <w:rFonts w:hint="eastAsia" w:ascii="宋体" w:hAnsi="宋体" w:eastAsia="宋体" w:cs="宋体"/>
          <w:sz w:val="24"/>
          <w:szCs w:val="24"/>
          <w:highlight w:val="none"/>
          <w:lang w:val="en-US" w:eastAsia="zh-CN"/>
        </w:rPr>
        <w:t>5.4</w:t>
      </w:r>
      <w:r>
        <w:rPr>
          <w:rFonts w:hint="eastAsia" w:ascii="宋体" w:hAnsi="宋体" w:eastAsia="宋体" w:cs="宋体"/>
          <w:color w:val="auto"/>
          <w:sz w:val="24"/>
          <w:szCs w:val="24"/>
          <w:highlight w:val="none"/>
          <w:lang w:val="en-US" w:eastAsia="zh-CN"/>
        </w:rPr>
        <w:t>供货期：自合同签订之日起20日历天内；</w:t>
      </w:r>
    </w:p>
    <w:p w14:paraId="59FD7E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5.5</w:t>
      </w:r>
      <w:r>
        <w:rPr>
          <w:rFonts w:hint="eastAsia" w:ascii="宋体" w:hAnsi="宋体" w:eastAsia="宋体" w:cs="宋体"/>
          <w:sz w:val="24"/>
          <w:szCs w:val="24"/>
        </w:rPr>
        <w:t>质量要求：符合国家及行业标准并满足采购人使用要求</w:t>
      </w:r>
      <w:r>
        <w:rPr>
          <w:rFonts w:hint="eastAsia" w:ascii="宋体" w:hAnsi="宋体" w:eastAsia="宋体" w:cs="宋体"/>
          <w:sz w:val="24"/>
          <w:szCs w:val="24"/>
          <w:lang w:eastAsia="zh-CN"/>
        </w:rPr>
        <w:t>；</w:t>
      </w:r>
    </w:p>
    <w:p w14:paraId="4F99D2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5.6</w:t>
      </w:r>
      <w:r>
        <w:rPr>
          <w:rFonts w:hint="eastAsia" w:ascii="宋体" w:hAnsi="宋体" w:eastAsia="宋体" w:cs="宋体"/>
          <w:sz w:val="24"/>
          <w:szCs w:val="24"/>
          <w:lang w:eastAsia="zh-CN"/>
        </w:rPr>
        <w:t>质保期：一年；</w:t>
      </w:r>
    </w:p>
    <w:p w14:paraId="1A1480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5.7</w:t>
      </w:r>
      <w:r>
        <w:rPr>
          <w:rFonts w:hint="eastAsia" w:ascii="宋体" w:hAnsi="宋体" w:eastAsia="宋体" w:cs="宋体"/>
          <w:sz w:val="24"/>
          <w:szCs w:val="24"/>
        </w:rPr>
        <w:t>交货地点：采购人指定地点</w:t>
      </w:r>
      <w:r>
        <w:rPr>
          <w:rFonts w:hint="eastAsia" w:ascii="宋体" w:hAnsi="宋体" w:eastAsia="宋体" w:cs="宋体"/>
          <w:sz w:val="24"/>
          <w:szCs w:val="24"/>
          <w:lang w:eastAsia="zh-CN"/>
        </w:rPr>
        <w:t>；</w:t>
      </w:r>
    </w:p>
    <w:p w14:paraId="01CB56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rPr>
        <w:t>合同履行期限：</w:t>
      </w:r>
      <w:r>
        <w:rPr>
          <w:rFonts w:hint="eastAsia" w:ascii="宋体" w:hAnsi="宋体" w:eastAsia="宋体" w:cs="宋体"/>
          <w:sz w:val="24"/>
          <w:szCs w:val="24"/>
          <w:lang w:eastAsia="zh-CN"/>
        </w:rPr>
        <w:t>按合同约定执行；</w:t>
      </w:r>
    </w:p>
    <w:p w14:paraId="4074AD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本项目是否接受联合体投标：否</w:t>
      </w:r>
    </w:p>
    <w:p w14:paraId="0C1AD7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.是否接受进口产品：否</w:t>
      </w:r>
    </w:p>
    <w:p w14:paraId="015098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auto"/>
          <w:sz w:val="24"/>
          <w:szCs w:val="24"/>
        </w:rPr>
        <w:t>是否专门面向中小企业：</w:t>
      </w:r>
      <w:r>
        <w:rPr>
          <w:rFonts w:hint="eastAsia" w:ascii="宋体" w:hAnsi="宋体" w:eastAsia="宋体" w:cs="宋体"/>
          <w:color w:val="auto"/>
          <w:sz w:val="24"/>
          <w:szCs w:val="24"/>
          <w:lang w:val="en-US" w:eastAsia="zh-CN"/>
        </w:rPr>
        <w:t>否</w:t>
      </w:r>
    </w:p>
    <w:p w14:paraId="447102FD">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二、供应商资格要求</w:t>
      </w:r>
    </w:p>
    <w:p w14:paraId="4716D3E6">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1.满足《中华人民共和国政府采购法》第二十二条规定</w:t>
      </w:r>
      <w:r>
        <w:rPr>
          <w:rFonts w:hint="eastAsia" w:ascii="宋体" w:hAnsi="宋体" w:eastAsia="宋体" w:cs="宋体"/>
          <w:sz w:val="24"/>
          <w:szCs w:val="24"/>
          <w:lang w:eastAsia="zh-CN"/>
        </w:rPr>
        <w:t>；</w:t>
      </w:r>
    </w:p>
    <w:p w14:paraId="2C26051C">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2.落实政府采购政策满足的资格要求：本项目非专门面向中小微企业采购项目，执行优先采购节能环保、环境标志性产品，促进中小企业（监狱企业、残疾人福利性企业）发展等政府采购政策</w:t>
      </w:r>
      <w:r>
        <w:rPr>
          <w:rFonts w:hint="eastAsia" w:ascii="宋体" w:hAnsi="宋体" w:eastAsia="宋体" w:cs="宋体"/>
          <w:sz w:val="24"/>
          <w:szCs w:val="24"/>
          <w:lang w:eastAsia="zh-CN"/>
        </w:rPr>
        <w:t>；</w:t>
      </w:r>
    </w:p>
    <w:p w14:paraId="5585CA28">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3.本项目的特定资格要求：</w:t>
      </w:r>
    </w:p>
    <w:p w14:paraId="7DF0B4E9">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3.1</w:t>
      </w:r>
      <w:r>
        <w:rPr>
          <w:rFonts w:hint="eastAsia" w:ascii="宋体" w:hAnsi="宋体" w:eastAsia="宋体" w:cs="宋体"/>
          <w:sz w:val="24"/>
          <w:szCs w:val="24"/>
          <w:lang w:val="en-US" w:eastAsia="zh-CN"/>
        </w:rPr>
        <w:t>供应商</w:t>
      </w:r>
      <w:r>
        <w:rPr>
          <w:rFonts w:hint="eastAsia" w:ascii="宋体" w:hAnsi="宋体" w:eastAsia="宋体" w:cs="宋体"/>
          <w:sz w:val="24"/>
          <w:szCs w:val="24"/>
          <w:lang w:eastAsia="zh-CN"/>
        </w:rPr>
        <w:t>须具有独立法人资格，具有符合本项目所必须的合法有效的营业执照、组织机构代码证、税务登记证或三证合一的营业执照；</w:t>
      </w:r>
    </w:p>
    <w:p w14:paraId="5904E029">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3.2供应商需提供无商业贿赂及无不正当竞争行为的承诺书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自行承诺）</w:t>
      </w:r>
      <w:r>
        <w:rPr>
          <w:rFonts w:hint="eastAsia" w:ascii="宋体" w:hAnsi="宋体" w:eastAsia="宋体" w:cs="宋体"/>
          <w:sz w:val="24"/>
          <w:szCs w:val="24"/>
          <w:lang w:eastAsia="zh-CN"/>
        </w:rPr>
        <w:t>；</w:t>
      </w:r>
    </w:p>
    <w:p w14:paraId="1FBD15D0">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3.3供应商出具无行贿犯罪记录，在中国裁判文书网自行查询或自行承诺（查询对象：企业、法定代表人）；</w:t>
      </w:r>
    </w:p>
    <w:p w14:paraId="1C33A1CF">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3.4</w:t>
      </w:r>
      <w:r>
        <w:rPr>
          <w:rFonts w:hint="eastAsia" w:ascii="宋体" w:hAnsi="宋体" w:eastAsia="宋体" w:cs="宋体"/>
          <w:sz w:val="24"/>
          <w:szCs w:val="24"/>
        </w:rPr>
        <w:t>参加政府采购活动前三年内，在经营活动中没有重大违法记录</w:t>
      </w:r>
      <w:r>
        <w:rPr>
          <w:rFonts w:hint="eastAsia" w:ascii="宋体" w:hAnsi="宋体" w:eastAsia="宋体" w:cs="宋体"/>
          <w:sz w:val="24"/>
          <w:szCs w:val="24"/>
          <w:lang w:eastAsia="zh-CN"/>
        </w:rPr>
        <w:t>；</w:t>
      </w:r>
      <w:r>
        <w:rPr>
          <w:rFonts w:hint="eastAsia" w:ascii="宋体" w:hAnsi="宋体" w:eastAsia="宋体" w:cs="宋体"/>
          <w:sz w:val="24"/>
          <w:szCs w:val="24"/>
        </w:rPr>
        <w:t>（提供开标前三年内无重大违法记录的书面声明</w:t>
      </w:r>
      <w:r>
        <w:rPr>
          <w:rFonts w:hint="eastAsia" w:ascii="宋体" w:hAnsi="宋体" w:eastAsia="宋体" w:cs="宋体"/>
          <w:sz w:val="24"/>
          <w:szCs w:val="24"/>
          <w:lang w:eastAsia="zh-CN"/>
        </w:rPr>
        <w:t>）；</w:t>
      </w:r>
    </w:p>
    <w:p w14:paraId="72B7CDC9">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5</w:t>
      </w:r>
      <w:r>
        <w:rPr>
          <w:rFonts w:hint="eastAsia" w:ascii="宋体" w:hAnsi="宋体" w:eastAsia="宋体" w:cs="宋体"/>
          <w:sz w:val="24"/>
          <w:szCs w:val="24"/>
        </w:rPr>
        <w:t>根据《关于在政府采购活动中查询及使用信用记录有关问题的通知》(财库[2016]125号)和豫财购【2016】15号的规定，对列入失信被执行人、重大税收违法失信主体、政府采购严重违法失信行为记录名单的</w:t>
      </w:r>
      <w:r>
        <w:rPr>
          <w:rFonts w:hint="eastAsia" w:ascii="宋体" w:hAnsi="宋体" w:eastAsia="宋体" w:cs="宋体"/>
          <w:sz w:val="24"/>
          <w:szCs w:val="24"/>
          <w:lang w:eastAsia="zh-CN"/>
        </w:rPr>
        <w:t>供应商</w:t>
      </w:r>
      <w:r>
        <w:rPr>
          <w:rFonts w:hint="eastAsia" w:ascii="宋体" w:hAnsi="宋体" w:eastAsia="宋体" w:cs="宋体"/>
          <w:sz w:val="24"/>
          <w:szCs w:val="24"/>
        </w:rPr>
        <w:t>，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提供网站的查询结果截图，截图要显示查询时间，查询时间自本公告发布之日起</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p>
    <w:p w14:paraId="1B2B6DC2">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6</w:t>
      </w:r>
      <w:r>
        <w:rPr>
          <w:rFonts w:hint="eastAsia" w:ascii="宋体" w:hAnsi="宋体" w:eastAsia="宋体" w:cs="宋体"/>
          <w:sz w:val="24"/>
          <w:szCs w:val="24"/>
        </w:rPr>
        <w:t>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p>
    <w:p w14:paraId="766883A2">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本项目不接受联合体投标，提供非联合体投标承诺，格式自拟</w:t>
      </w:r>
      <w:r>
        <w:rPr>
          <w:rFonts w:hint="eastAsia" w:ascii="宋体" w:hAnsi="宋体" w:eastAsia="宋体" w:cs="宋体"/>
          <w:sz w:val="24"/>
          <w:szCs w:val="24"/>
          <w:lang w:eastAsia="zh-CN"/>
        </w:rPr>
        <w:t>；</w:t>
      </w:r>
    </w:p>
    <w:p w14:paraId="0AE74DAF">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bidi="ar"/>
        </w:rPr>
      </w:pPr>
      <w:r>
        <w:rPr>
          <w:rFonts w:hint="eastAsia" w:ascii="宋体" w:hAnsi="宋体" w:eastAsia="宋体" w:cs="宋体"/>
          <w:sz w:val="24"/>
          <w:szCs w:val="24"/>
          <w:lang w:val="en-US" w:eastAsia="zh-CN" w:bidi="ar"/>
        </w:rPr>
        <w:t>5.</w:t>
      </w:r>
      <w:r>
        <w:rPr>
          <w:rFonts w:hint="eastAsia" w:ascii="宋体" w:hAnsi="宋体" w:eastAsia="宋体" w:cs="宋体"/>
          <w:sz w:val="24"/>
          <w:szCs w:val="24"/>
          <w:lang w:bidi="ar"/>
        </w:rPr>
        <w:t>本次采购实行资格后审，资格审查的具体要求见</w:t>
      </w:r>
      <w:r>
        <w:rPr>
          <w:rFonts w:hint="eastAsia" w:ascii="宋体" w:hAnsi="宋体" w:eastAsia="宋体" w:cs="宋体"/>
          <w:sz w:val="24"/>
          <w:szCs w:val="24"/>
          <w:lang w:val="en-US" w:eastAsia="zh-CN" w:bidi="ar"/>
        </w:rPr>
        <w:t>磋商</w:t>
      </w:r>
      <w:r>
        <w:rPr>
          <w:rFonts w:hint="eastAsia" w:ascii="宋体" w:hAnsi="宋体" w:eastAsia="宋体" w:cs="宋体"/>
          <w:sz w:val="24"/>
          <w:szCs w:val="24"/>
          <w:lang w:bidi="ar"/>
        </w:rPr>
        <w:t>文件。</w:t>
      </w:r>
    </w:p>
    <w:p w14:paraId="346A5E40">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三、获取竞争性磋商文件</w:t>
      </w:r>
    </w:p>
    <w:p w14:paraId="1DB5BA8B">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1.时间</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sz w:val="24"/>
          <w:szCs w:val="24"/>
          <w:lang w:eastAsia="zh-CN" w:bidi="ar"/>
        </w:rPr>
        <w:t>202</w:t>
      </w:r>
      <w:r>
        <w:rPr>
          <w:rFonts w:hint="eastAsia" w:ascii="宋体" w:hAnsi="宋体" w:eastAsia="宋体" w:cs="宋体"/>
          <w:sz w:val="24"/>
          <w:szCs w:val="24"/>
          <w:lang w:val="en-US" w:eastAsia="zh-CN" w:bidi="ar"/>
        </w:rPr>
        <w:t>6</w:t>
      </w:r>
      <w:r>
        <w:rPr>
          <w:rFonts w:hint="eastAsia" w:ascii="宋体" w:hAnsi="宋体" w:eastAsia="宋体" w:cs="宋体"/>
          <w:sz w:val="24"/>
          <w:szCs w:val="24"/>
          <w:lang w:eastAsia="zh-CN" w:bidi="ar"/>
        </w:rPr>
        <w:t>年</w:t>
      </w:r>
      <w:r>
        <w:rPr>
          <w:rFonts w:hint="eastAsia" w:ascii="宋体" w:hAnsi="宋体" w:eastAsia="宋体" w:cs="宋体"/>
          <w:sz w:val="24"/>
          <w:szCs w:val="24"/>
          <w:lang w:val="en-US" w:eastAsia="zh-CN" w:bidi="ar"/>
        </w:rPr>
        <w:t>8</w:t>
      </w:r>
      <w:r>
        <w:rPr>
          <w:rFonts w:hint="eastAsia" w:ascii="宋体" w:hAnsi="宋体" w:eastAsia="宋体" w:cs="宋体"/>
          <w:sz w:val="24"/>
          <w:szCs w:val="24"/>
          <w:lang w:eastAsia="zh-CN" w:bidi="ar"/>
        </w:rPr>
        <w:t>月</w:t>
      </w:r>
      <w:r>
        <w:rPr>
          <w:rFonts w:hint="eastAsia" w:ascii="宋体" w:hAnsi="宋体" w:eastAsia="宋体" w:cs="宋体"/>
          <w:sz w:val="24"/>
          <w:szCs w:val="24"/>
          <w:lang w:val="en-US" w:eastAsia="zh-CN" w:bidi="ar"/>
        </w:rPr>
        <w:t>17</w:t>
      </w:r>
      <w:r>
        <w:rPr>
          <w:rFonts w:hint="eastAsia" w:ascii="宋体" w:hAnsi="宋体" w:eastAsia="宋体" w:cs="宋体"/>
          <w:sz w:val="24"/>
          <w:szCs w:val="24"/>
          <w:lang w:eastAsia="zh-CN" w:bidi="ar"/>
        </w:rPr>
        <w:t>日</w:t>
      </w:r>
      <w:r>
        <w:rPr>
          <w:rFonts w:hint="eastAsia" w:ascii="宋体" w:hAnsi="宋体" w:eastAsia="宋体" w:cs="宋体"/>
          <w:sz w:val="24"/>
          <w:szCs w:val="24"/>
          <w:lang w:bidi="ar"/>
        </w:rPr>
        <w:t>至</w:t>
      </w:r>
      <w:r>
        <w:rPr>
          <w:rFonts w:hint="eastAsia" w:ascii="宋体" w:hAnsi="宋体" w:eastAsia="宋体" w:cs="宋体"/>
          <w:sz w:val="24"/>
          <w:szCs w:val="24"/>
          <w:lang w:eastAsia="zh-CN" w:bidi="ar"/>
        </w:rPr>
        <w:t>202</w:t>
      </w:r>
      <w:r>
        <w:rPr>
          <w:rFonts w:hint="eastAsia" w:ascii="宋体" w:hAnsi="宋体" w:eastAsia="宋体" w:cs="宋体"/>
          <w:sz w:val="24"/>
          <w:szCs w:val="24"/>
          <w:lang w:val="en-US" w:eastAsia="zh-CN" w:bidi="ar"/>
        </w:rPr>
        <w:t>6</w:t>
      </w:r>
      <w:r>
        <w:rPr>
          <w:rFonts w:hint="eastAsia" w:ascii="宋体" w:hAnsi="宋体" w:eastAsia="宋体" w:cs="宋体"/>
          <w:sz w:val="24"/>
          <w:szCs w:val="24"/>
          <w:lang w:eastAsia="zh-CN" w:bidi="ar"/>
        </w:rPr>
        <w:t>年</w:t>
      </w:r>
      <w:r>
        <w:rPr>
          <w:rFonts w:hint="eastAsia" w:ascii="宋体" w:hAnsi="宋体" w:eastAsia="宋体" w:cs="宋体"/>
          <w:sz w:val="24"/>
          <w:szCs w:val="24"/>
          <w:lang w:val="en-US" w:eastAsia="zh-CN" w:bidi="ar"/>
        </w:rPr>
        <w:t>8</w:t>
      </w:r>
      <w:r>
        <w:rPr>
          <w:rFonts w:hint="eastAsia" w:ascii="宋体" w:hAnsi="宋体" w:eastAsia="宋体" w:cs="宋体"/>
          <w:sz w:val="24"/>
          <w:szCs w:val="24"/>
          <w:lang w:eastAsia="zh-CN" w:bidi="ar"/>
        </w:rPr>
        <w:t>月</w:t>
      </w:r>
      <w:r>
        <w:rPr>
          <w:rFonts w:hint="eastAsia" w:ascii="宋体" w:hAnsi="宋体" w:eastAsia="宋体" w:cs="宋体"/>
          <w:sz w:val="24"/>
          <w:szCs w:val="24"/>
          <w:lang w:val="en-US" w:eastAsia="zh-CN" w:bidi="ar"/>
        </w:rPr>
        <w:t>27</w:t>
      </w:r>
      <w:r>
        <w:rPr>
          <w:rFonts w:hint="eastAsia" w:ascii="宋体" w:hAnsi="宋体" w:eastAsia="宋体" w:cs="宋体"/>
          <w:sz w:val="24"/>
          <w:szCs w:val="24"/>
          <w:lang w:eastAsia="zh-CN" w:bidi="ar"/>
        </w:rPr>
        <w:t>日</w:t>
      </w:r>
      <w:r>
        <w:rPr>
          <w:rFonts w:hint="eastAsia" w:ascii="宋体" w:hAnsi="宋体" w:eastAsia="宋体" w:cs="宋体"/>
          <w:sz w:val="24"/>
          <w:szCs w:val="24"/>
          <w:lang w:bidi="ar"/>
        </w:rPr>
        <w:t>，</w:t>
      </w:r>
      <w:r>
        <w:rPr>
          <w:rFonts w:hint="eastAsia" w:ascii="宋体" w:hAnsi="宋体" w:eastAsia="宋体" w:cs="宋体"/>
          <w:color w:val="000000" w:themeColor="text1"/>
          <w:sz w:val="24"/>
          <w:szCs w:val="24"/>
          <w:highlight w:val="none"/>
          <w14:textFill>
            <w14:solidFill>
              <w14:schemeClr w14:val="tx1"/>
            </w14:solidFill>
          </w14:textFill>
        </w:rPr>
        <w:t>每天上午00:00至12:00，下午12:00至23:59（北京时间，法定节假日除外。）</w:t>
      </w:r>
    </w:p>
    <w:p w14:paraId="7B6CA7A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2.地点：三门峡市公共资源交易中心网</w:t>
      </w:r>
      <w:r>
        <w:rPr>
          <w:rFonts w:hint="eastAsia" w:ascii="宋体" w:hAnsi="宋体" w:eastAsia="宋体" w:cs="宋体"/>
          <w:color w:val="333333"/>
          <w:kern w:val="0"/>
          <w:sz w:val="24"/>
          <w:szCs w:val="24"/>
          <w:lang w:val="en-US" w:eastAsia="zh-CN" w:bidi="ar"/>
        </w:rPr>
        <w:t>（网址：http://gzjy.smx.gov.cn/）</w:t>
      </w:r>
    </w:p>
    <w:p w14:paraId="4EF0E606">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3.方式：</w:t>
      </w:r>
      <w:r>
        <w:rPr>
          <w:rFonts w:hint="eastAsia" w:ascii="宋体" w:hAnsi="宋体" w:eastAsia="宋体" w:cs="宋体"/>
          <w:sz w:val="24"/>
          <w:szCs w:val="24"/>
          <w:lang w:eastAsia="zh-CN"/>
        </w:rPr>
        <w:t>供应商</w:t>
      </w:r>
      <w:r>
        <w:rPr>
          <w:rFonts w:hint="eastAsia" w:ascii="宋体" w:hAnsi="宋体" w:eastAsia="宋体" w:cs="宋体"/>
          <w:sz w:val="24"/>
          <w:szCs w:val="24"/>
        </w:rPr>
        <w:t>凭CA数字证书通过三门峡市公共资源交易中心网（网址：</w:t>
      </w:r>
      <w:r>
        <w:rPr>
          <w:rFonts w:hint="eastAsia" w:ascii="宋体" w:hAnsi="宋体" w:eastAsia="宋体" w:cs="宋体"/>
          <w:color w:val="333333"/>
          <w:kern w:val="0"/>
          <w:sz w:val="24"/>
          <w:szCs w:val="24"/>
          <w:lang w:val="en-US" w:eastAsia="zh-CN" w:bidi="ar"/>
        </w:rPr>
        <w:t>http://gzjy.smx.gov.cn/</w:t>
      </w:r>
      <w:r>
        <w:rPr>
          <w:rFonts w:hint="eastAsia" w:ascii="宋体" w:hAnsi="宋体" w:eastAsia="宋体" w:cs="宋体"/>
          <w:sz w:val="24"/>
          <w:szCs w:val="24"/>
        </w:rPr>
        <w:t>），点击交易平台选择“市场主体登录”，登陆系统后，点击采购业务-业务管理-竞争性磋商文件领取菜单-点击领取按钮-领取.smxzf格式的电子竞争性磋商文件。</w:t>
      </w:r>
    </w:p>
    <w:p w14:paraId="540BFF37">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办理CA证书链接：</w:t>
      </w:r>
    </w:p>
    <w:p w14:paraId="1B410601">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http://gzjy.smx.gov.cn/bzzx/008001/20231102/4defc9b5-408e-47f2-9e9f-1f376a06ee1f.html</w:t>
      </w:r>
    </w:p>
    <w:p w14:paraId="5CB591F1">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售价：0元。</w:t>
      </w:r>
    </w:p>
    <w:p w14:paraId="6562D1E2">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四、响应文件提交</w:t>
      </w:r>
    </w:p>
    <w:p w14:paraId="2CAC9F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1.截止时间：202</w:t>
      </w:r>
      <w:r>
        <w:rPr>
          <w:rFonts w:hint="eastAsia" w:ascii="宋体" w:hAnsi="宋体" w:eastAsia="宋体" w:cs="宋体"/>
          <w:sz w:val="24"/>
          <w:szCs w:val="24"/>
          <w:lang w:val="en-US" w:eastAsia="zh-CN"/>
        </w:rPr>
        <w:t>6</w:t>
      </w:r>
      <w:r>
        <w:rPr>
          <w:rFonts w:hint="eastAsia" w:ascii="宋体" w:hAnsi="宋体" w:eastAsia="宋体" w:cs="宋体"/>
          <w:sz w:val="24"/>
          <w:szCs w:val="24"/>
          <w:lang w:val="zh-CN" w:eastAsia="zh-CN"/>
        </w:rPr>
        <w:t>年</w:t>
      </w:r>
      <w:r>
        <w:rPr>
          <w:rFonts w:hint="eastAsia" w:ascii="宋体" w:hAnsi="宋体" w:eastAsia="宋体" w:cs="宋体"/>
          <w:sz w:val="24"/>
          <w:szCs w:val="24"/>
          <w:lang w:val="en-US" w:eastAsia="zh-CN"/>
        </w:rPr>
        <w:t>8</w:t>
      </w:r>
      <w:r>
        <w:rPr>
          <w:rFonts w:hint="eastAsia" w:ascii="宋体" w:hAnsi="宋体" w:eastAsia="宋体" w:cs="宋体"/>
          <w:sz w:val="24"/>
          <w:szCs w:val="24"/>
          <w:lang w:val="zh-CN" w:eastAsia="zh-CN"/>
        </w:rPr>
        <w:t>月</w:t>
      </w:r>
      <w:r>
        <w:rPr>
          <w:rFonts w:hint="eastAsia" w:ascii="宋体" w:hAnsi="宋体" w:eastAsia="宋体" w:cs="宋体"/>
          <w:sz w:val="24"/>
          <w:szCs w:val="24"/>
          <w:lang w:val="en-US" w:eastAsia="zh-CN"/>
        </w:rPr>
        <w:t>28</w:t>
      </w:r>
      <w:r>
        <w:rPr>
          <w:rFonts w:hint="eastAsia" w:ascii="宋体" w:hAnsi="宋体" w:eastAsia="宋体" w:cs="宋体"/>
          <w:sz w:val="24"/>
          <w:szCs w:val="24"/>
          <w:lang w:val="zh-CN" w:eastAsia="zh-CN"/>
        </w:rPr>
        <w:t>日</w:t>
      </w:r>
      <w:r>
        <w:rPr>
          <w:rFonts w:hint="eastAsia" w:ascii="宋体" w:hAnsi="宋体" w:eastAsia="宋体" w:cs="宋体"/>
          <w:sz w:val="24"/>
          <w:szCs w:val="24"/>
          <w:lang w:val="en-US" w:eastAsia="zh-CN"/>
        </w:rPr>
        <w:t>09</w:t>
      </w:r>
      <w:r>
        <w:rPr>
          <w:rFonts w:hint="eastAsia" w:ascii="宋体" w:hAnsi="宋体" w:eastAsia="宋体" w:cs="宋体"/>
          <w:sz w:val="24"/>
          <w:szCs w:val="24"/>
          <w:lang w:val="zh-CN" w:eastAsia="zh-CN"/>
        </w:rPr>
        <w:t>时</w:t>
      </w:r>
      <w:r>
        <w:rPr>
          <w:rFonts w:hint="eastAsia" w:ascii="宋体" w:hAnsi="宋体" w:eastAsia="宋体" w:cs="宋体"/>
          <w:sz w:val="24"/>
          <w:szCs w:val="24"/>
          <w:lang w:val="en-US" w:eastAsia="zh-CN"/>
        </w:rPr>
        <w:t>00</w:t>
      </w:r>
      <w:r>
        <w:rPr>
          <w:rFonts w:hint="eastAsia" w:ascii="宋体" w:hAnsi="宋体" w:eastAsia="宋体" w:cs="宋体"/>
          <w:sz w:val="24"/>
          <w:szCs w:val="24"/>
          <w:lang w:val="zh-CN" w:eastAsia="zh-CN"/>
        </w:rPr>
        <w:t>分（</w:t>
      </w:r>
      <w:r>
        <w:rPr>
          <w:rFonts w:hint="eastAsia" w:ascii="宋体" w:hAnsi="宋体" w:eastAsia="宋体" w:cs="宋体"/>
          <w:sz w:val="24"/>
          <w:szCs w:val="24"/>
          <w:lang w:val="zh-CN" w:eastAsia="zh-CN"/>
        </w:rPr>
        <w:t>北京时间）</w:t>
      </w:r>
    </w:p>
    <w:p w14:paraId="593319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2.地点：加密电子响应文件须在响应截止时间前通过“三门峡市公共资源交易中心（</w:t>
      </w:r>
      <w:r>
        <w:rPr>
          <w:rFonts w:hint="eastAsia" w:ascii="宋体" w:hAnsi="宋体" w:eastAsia="宋体" w:cs="宋体"/>
          <w:sz w:val="24"/>
          <w:szCs w:val="24"/>
          <w:lang w:val="en-US" w:eastAsia="zh-CN"/>
        </w:rPr>
        <w:t>http://gzjy.smx.gov.cn/</w:t>
      </w:r>
      <w:r>
        <w:rPr>
          <w:rFonts w:hint="eastAsia" w:ascii="宋体" w:hAnsi="宋体" w:eastAsia="宋体" w:cs="宋体"/>
          <w:sz w:val="24"/>
          <w:szCs w:val="24"/>
          <w:lang w:val="zh-CN" w:eastAsia="zh-CN"/>
        </w:rPr>
        <w:t>）”电子交易平台加密上传。逾期上传的或者未上传指定地点的响应文件，采购人不予受理。</w:t>
      </w:r>
    </w:p>
    <w:p w14:paraId="6F900E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五、响应文件开启</w:t>
      </w:r>
    </w:p>
    <w:p w14:paraId="651A65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1.时间：202</w:t>
      </w:r>
      <w:r>
        <w:rPr>
          <w:rFonts w:hint="eastAsia" w:ascii="宋体" w:hAnsi="宋体" w:eastAsia="宋体" w:cs="宋体"/>
          <w:sz w:val="24"/>
          <w:szCs w:val="24"/>
          <w:lang w:val="en-US" w:eastAsia="zh-CN"/>
        </w:rPr>
        <w:t>6</w:t>
      </w:r>
      <w:r>
        <w:rPr>
          <w:rFonts w:hint="eastAsia" w:ascii="宋体" w:hAnsi="宋体" w:eastAsia="宋体" w:cs="宋体"/>
          <w:sz w:val="24"/>
          <w:szCs w:val="24"/>
          <w:lang w:val="zh-CN" w:eastAsia="zh-CN"/>
        </w:rPr>
        <w:t>年</w:t>
      </w:r>
      <w:r>
        <w:rPr>
          <w:rFonts w:hint="eastAsia" w:ascii="宋体" w:hAnsi="宋体" w:eastAsia="宋体" w:cs="宋体"/>
          <w:sz w:val="24"/>
          <w:szCs w:val="24"/>
          <w:lang w:val="en-US" w:eastAsia="zh-CN"/>
        </w:rPr>
        <w:t>8</w:t>
      </w:r>
      <w:r>
        <w:rPr>
          <w:rFonts w:hint="eastAsia" w:ascii="宋体" w:hAnsi="宋体" w:eastAsia="宋体" w:cs="宋体"/>
          <w:sz w:val="24"/>
          <w:szCs w:val="24"/>
          <w:lang w:val="zh-CN" w:eastAsia="zh-CN"/>
        </w:rPr>
        <w:t>月</w:t>
      </w:r>
      <w:r>
        <w:rPr>
          <w:rFonts w:hint="eastAsia" w:ascii="宋体" w:hAnsi="宋体" w:eastAsia="宋体" w:cs="宋体"/>
          <w:sz w:val="24"/>
          <w:szCs w:val="24"/>
          <w:lang w:val="en-US" w:eastAsia="zh-CN"/>
        </w:rPr>
        <w:t>28</w:t>
      </w:r>
      <w:r>
        <w:rPr>
          <w:rFonts w:hint="eastAsia" w:ascii="宋体" w:hAnsi="宋体" w:eastAsia="宋体" w:cs="宋体"/>
          <w:sz w:val="24"/>
          <w:szCs w:val="24"/>
          <w:lang w:val="zh-CN" w:eastAsia="zh-CN"/>
        </w:rPr>
        <w:t>日</w:t>
      </w:r>
      <w:r>
        <w:rPr>
          <w:rFonts w:hint="eastAsia" w:ascii="宋体" w:hAnsi="宋体" w:eastAsia="宋体" w:cs="宋体"/>
          <w:sz w:val="24"/>
          <w:szCs w:val="24"/>
          <w:lang w:val="en-US" w:eastAsia="zh-CN"/>
        </w:rPr>
        <w:t>09</w:t>
      </w:r>
      <w:r>
        <w:rPr>
          <w:rFonts w:hint="eastAsia" w:ascii="宋体" w:hAnsi="宋体" w:eastAsia="宋体" w:cs="宋体"/>
          <w:sz w:val="24"/>
          <w:szCs w:val="24"/>
          <w:lang w:val="zh-CN" w:eastAsia="zh-CN"/>
        </w:rPr>
        <w:t>时</w:t>
      </w:r>
      <w:r>
        <w:rPr>
          <w:rFonts w:hint="eastAsia" w:ascii="宋体" w:hAnsi="宋体" w:eastAsia="宋体" w:cs="宋体"/>
          <w:sz w:val="24"/>
          <w:szCs w:val="24"/>
          <w:lang w:val="en-US" w:eastAsia="zh-CN"/>
        </w:rPr>
        <w:t>00</w:t>
      </w:r>
      <w:r>
        <w:rPr>
          <w:rFonts w:hint="eastAsia" w:ascii="宋体" w:hAnsi="宋体" w:eastAsia="宋体" w:cs="宋体"/>
          <w:sz w:val="24"/>
          <w:szCs w:val="24"/>
          <w:lang w:val="zh-CN" w:eastAsia="zh-CN"/>
        </w:rPr>
        <w:t>分</w:t>
      </w:r>
      <w:r>
        <w:rPr>
          <w:rFonts w:hint="eastAsia" w:ascii="宋体" w:hAnsi="宋体" w:eastAsia="宋体" w:cs="宋体"/>
          <w:sz w:val="24"/>
          <w:szCs w:val="24"/>
          <w:lang w:val="en-US" w:eastAsia="zh-CN"/>
        </w:rPr>
        <w:t>（北京时间）</w:t>
      </w:r>
    </w:p>
    <w:p w14:paraId="11AD96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zh-CN" w:eastAsia="zh-CN"/>
        </w:rPr>
        <w:t>2.地点：</w:t>
      </w:r>
      <w:r>
        <w:rPr>
          <w:rFonts w:hint="eastAsia" w:ascii="宋体" w:hAnsi="宋体" w:eastAsia="宋体" w:cs="宋体"/>
          <w:sz w:val="24"/>
          <w:szCs w:val="24"/>
          <w:lang w:val="en-US" w:eastAsia="zh-CN"/>
        </w:rPr>
        <w:t>三门峡市公共资源交易中心五楼开标二室</w:t>
      </w:r>
    </w:p>
    <w:p w14:paraId="113E228F">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六、发布公告的媒介</w:t>
      </w:r>
    </w:p>
    <w:p w14:paraId="085C017D">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本次公告在</w:t>
      </w:r>
      <w:r>
        <w:rPr>
          <w:rFonts w:hint="eastAsia" w:ascii="宋体" w:hAnsi="宋体" w:eastAsia="宋体" w:cs="宋体"/>
          <w:sz w:val="24"/>
          <w:szCs w:val="24"/>
          <w:lang w:eastAsia="zh-CN"/>
        </w:rPr>
        <w:t>《河南省政府采购网》、</w:t>
      </w:r>
      <w:r>
        <w:rPr>
          <w:rFonts w:hint="eastAsia" w:ascii="宋体" w:hAnsi="宋体" w:eastAsia="宋体" w:cs="宋体"/>
          <w:sz w:val="24"/>
          <w:szCs w:val="24"/>
          <w:lang w:val="zh-CN" w:eastAsia="zh-CN"/>
        </w:rPr>
        <w:t>《中国招标投标公共服务平台》</w:t>
      </w:r>
      <w:r>
        <w:rPr>
          <w:rFonts w:hint="eastAsia" w:ascii="宋体" w:hAnsi="宋体" w:eastAsia="宋体" w:cs="宋体"/>
          <w:sz w:val="24"/>
          <w:szCs w:val="24"/>
          <w:lang w:eastAsia="zh-CN"/>
        </w:rPr>
        <w:t>、《三门峡市公共资源交易中心网》</w:t>
      </w:r>
      <w:r>
        <w:rPr>
          <w:rFonts w:hint="eastAsia" w:ascii="宋体" w:hAnsi="宋体" w:eastAsia="宋体" w:cs="宋体"/>
          <w:sz w:val="24"/>
          <w:szCs w:val="24"/>
        </w:rPr>
        <w:t>上发布。</w:t>
      </w:r>
    </w:p>
    <w:p w14:paraId="0CAC9FE1">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七、其他补充事宜</w:t>
      </w:r>
    </w:p>
    <w:p w14:paraId="131ABFC7">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1.本项目为不见面开标项目，开标当日，供应商无需到开标现场参加开标会议，供应商应当在投标截止时间前，登陆不见面开标大厅选择登陆三门峡市公共资源电子招投标系统进行登陆（网址为</w:t>
      </w:r>
    </w:p>
    <w:p w14:paraId="77C2E87F">
      <w:pPr>
        <w:keepNext w:val="0"/>
        <w:keepLines w:val="0"/>
        <w:pageBreakBefore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http://120.194.249.36:10094/BidOpening/bidopeninghallaction/hall/login）,在线准时参加开标活动并进行投标文件解密等。每位供应商的解密时间为开标时间起30分钟内完成。因供应商原因未能解密、解密失败或解密超时的将被拒绝。</w:t>
      </w:r>
    </w:p>
    <w:p w14:paraId="6D887C4D">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2.本项目为电子化、无纸化交易项目，开标时不再接受任何纸质资料，为保证您能投标成功，请需仔细阅读</w:t>
      </w:r>
      <w:r>
        <w:rPr>
          <w:rFonts w:hint="eastAsia" w:ascii="宋体" w:hAnsi="宋体" w:eastAsia="宋体" w:cs="宋体"/>
          <w:sz w:val="24"/>
          <w:szCs w:val="24"/>
          <w:lang w:val="en-US" w:eastAsia="zh-CN"/>
        </w:rPr>
        <w:t>磋商</w:t>
      </w:r>
      <w:r>
        <w:rPr>
          <w:rFonts w:hint="eastAsia" w:ascii="宋体" w:hAnsi="宋体" w:eastAsia="宋体" w:cs="宋体"/>
          <w:sz w:val="24"/>
          <w:szCs w:val="24"/>
        </w:rPr>
        <w:t>文件和三门峡市公共资源交易中心官网业务办理指南。</w:t>
      </w:r>
    </w:p>
    <w:p w14:paraId="1A269605">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3.根据《河南省财政厅关于优化政府采购营商环境有关问题的通知》（豫财购【2019】4号）第6条的规定，</w:t>
      </w:r>
      <w:r>
        <w:rPr>
          <w:rFonts w:hint="eastAsia" w:ascii="宋体" w:hAnsi="宋体" w:eastAsia="宋体" w:cs="宋体"/>
          <w:sz w:val="24"/>
          <w:szCs w:val="24"/>
          <w:lang w:val="en-US" w:eastAsia="zh-CN"/>
        </w:rPr>
        <w:t>磋商</w:t>
      </w:r>
      <w:r>
        <w:rPr>
          <w:rFonts w:hint="eastAsia" w:ascii="宋体" w:hAnsi="宋体" w:eastAsia="宋体" w:cs="宋体"/>
          <w:sz w:val="24"/>
          <w:szCs w:val="24"/>
        </w:rPr>
        <w:t>保证金不再收取。</w:t>
      </w:r>
    </w:p>
    <w:p w14:paraId="3020433B">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供应商</w:t>
      </w:r>
      <w:r>
        <w:rPr>
          <w:rFonts w:hint="eastAsia" w:ascii="宋体" w:hAnsi="宋体" w:eastAsia="宋体" w:cs="宋体"/>
          <w:sz w:val="24"/>
          <w:szCs w:val="24"/>
        </w:rPr>
        <w:t>应仔细阅读操作手册，在本公告中要求的磋商截止时间前完成响应文件的上传工作，并充分考虑人为操作等因素，因</w:t>
      </w:r>
      <w:r>
        <w:rPr>
          <w:rFonts w:hint="eastAsia" w:ascii="宋体" w:hAnsi="宋体" w:eastAsia="宋体" w:cs="宋体"/>
          <w:sz w:val="24"/>
          <w:szCs w:val="24"/>
          <w:lang w:eastAsia="zh-CN"/>
        </w:rPr>
        <w:t>供应商</w:t>
      </w:r>
      <w:r>
        <w:rPr>
          <w:rFonts w:hint="eastAsia" w:ascii="宋体" w:hAnsi="宋体" w:eastAsia="宋体" w:cs="宋体"/>
          <w:sz w:val="24"/>
          <w:szCs w:val="24"/>
        </w:rPr>
        <w:t>操作不当造成的无法投标等一切后果，由</w:t>
      </w:r>
      <w:r>
        <w:rPr>
          <w:rFonts w:hint="eastAsia" w:ascii="宋体" w:hAnsi="宋体" w:eastAsia="宋体" w:cs="宋体"/>
          <w:sz w:val="24"/>
          <w:szCs w:val="24"/>
          <w:lang w:eastAsia="zh-CN"/>
        </w:rPr>
        <w:t>供应商</w:t>
      </w:r>
      <w:r>
        <w:rPr>
          <w:rFonts w:hint="eastAsia" w:ascii="宋体" w:hAnsi="宋体" w:eastAsia="宋体" w:cs="宋体"/>
          <w:sz w:val="24"/>
          <w:szCs w:val="24"/>
        </w:rPr>
        <w:t>自行承担。</w:t>
      </w:r>
    </w:p>
    <w:p w14:paraId="5F820658">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Cs/>
          <w:kern w:val="0"/>
          <w:sz w:val="24"/>
          <w:szCs w:val="24"/>
          <w:highlight w:val="none"/>
        </w:rPr>
      </w:pPr>
      <w:r>
        <w:rPr>
          <w:rFonts w:hint="eastAsia" w:ascii="宋体" w:hAnsi="宋体" w:eastAsia="宋体" w:cs="宋体"/>
          <w:sz w:val="24"/>
          <w:szCs w:val="24"/>
        </w:rPr>
        <w:t>5.本项目不组织</w:t>
      </w:r>
      <w:r>
        <w:rPr>
          <w:rFonts w:hint="eastAsia" w:ascii="宋体" w:hAnsi="宋体" w:eastAsia="宋体" w:cs="宋体"/>
          <w:sz w:val="24"/>
          <w:szCs w:val="24"/>
          <w:lang w:eastAsia="zh-CN"/>
        </w:rPr>
        <w:t>供应商</w:t>
      </w:r>
      <w:r>
        <w:rPr>
          <w:rFonts w:hint="eastAsia" w:ascii="宋体" w:hAnsi="宋体" w:eastAsia="宋体" w:cs="宋体"/>
          <w:sz w:val="24"/>
          <w:szCs w:val="24"/>
        </w:rPr>
        <w:t>踏勘现场。</w:t>
      </w:r>
    </w:p>
    <w:p w14:paraId="0053EC0D">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 本项目实行资格后审，审查内容以</w:t>
      </w:r>
      <w:r>
        <w:rPr>
          <w:rFonts w:hint="eastAsia" w:ascii="宋体" w:hAnsi="宋体" w:eastAsia="宋体" w:cs="宋体"/>
          <w:sz w:val="24"/>
          <w:szCs w:val="24"/>
          <w:lang w:val="en-US" w:eastAsia="zh-CN"/>
        </w:rPr>
        <w:t>响应</w:t>
      </w:r>
      <w:r>
        <w:rPr>
          <w:rFonts w:hint="eastAsia" w:ascii="宋体" w:hAnsi="宋体" w:eastAsia="宋体" w:cs="宋体"/>
          <w:sz w:val="24"/>
          <w:szCs w:val="24"/>
        </w:rPr>
        <w:t>文件为准，可使用电子营业执照。其上传资料真实性由供应商自行承担，同时，供应商请完善主体库信息。</w:t>
      </w:r>
    </w:p>
    <w:p w14:paraId="02A00BD9">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.评标打分部分：评标打分部分仍按照100分制原则进行，涉及到资格审查、企业荣誉、企业业绩等计分部分时，以</w:t>
      </w:r>
      <w:r>
        <w:rPr>
          <w:rFonts w:hint="eastAsia" w:ascii="宋体" w:hAnsi="宋体" w:eastAsia="宋体" w:cs="宋体"/>
          <w:sz w:val="24"/>
          <w:szCs w:val="24"/>
          <w:lang w:val="en-US" w:eastAsia="zh-CN"/>
        </w:rPr>
        <w:t>供应商</w:t>
      </w:r>
      <w:r>
        <w:rPr>
          <w:rFonts w:hint="eastAsia" w:ascii="宋体" w:hAnsi="宋体" w:eastAsia="宋体" w:cs="宋体"/>
          <w:sz w:val="24"/>
          <w:szCs w:val="24"/>
        </w:rPr>
        <w:t>自行上传到</w:t>
      </w:r>
      <w:r>
        <w:rPr>
          <w:rFonts w:hint="eastAsia" w:ascii="宋体" w:hAnsi="宋体" w:eastAsia="宋体" w:cs="宋体"/>
          <w:sz w:val="24"/>
          <w:szCs w:val="24"/>
          <w:lang w:val="en-US" w:eastAsia="zh-CN"/>
        </w:rPr>
        <w:t>响应</w:t>
      </w:r>
      <w:r>
        <w:rPr>
          <w:rFonts w:hint="eastAsia" w:ascii="宋体" w:hAnsi="宋体" w:eastAsia="宋体" w:cs="宋体"/>
          <w:sz w:val="24"/>
          <w:szCs w:val="24"/>
        </w:rPr>
        <w:t>文件中的相应内容为准。</w:t>
      </w:r>
    </w:p>
    <w:p w14:paraId="4B5CA631">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.在</w:t>
      </w:r>
      <w:r>
        <w:rPr>
          <w:rFonts w:hint="eastAsia" w:ascii="宋体" w:hAnsi="宋体" w:eastAsia="宋体" w:cs="宋体"/>
          <w:sz w:val="24"/>
          <w:szCs w:val="24"/>
          <w:lang w:val="en-US" w:eastAsia="zh-CN"/>
        </w:rPr>
        <w:t>磋商</w:t>
      </w:r>
      <w:r>
        <w:rPr>
          <w:rFonts w:hint="eastAsia" w:ascii="宋体" w:hAnsi="宋体" w:eastAsia="宋体" w:cs="宋体"/>
          <w:sz w:val="24"/>
          <w:szCs w:val="24"/>
        </w:rPr>
        <w:t>文件中要求供应商按照</w:t>
      </w:r>
      <w:r>
        <w:rPr>
          <w:rFonts w:hint="eastAsia" w:ascii="宋体" w:hAnsi="宋体" w:eastAsia="宋体" w:cs="宋体"/>
          <w:sz w:val="24"/>
          <w:szCs w:val="24"/>
          <w:lang w:val="en-US" w:eastAsia="zh-CN"/>
        </w:rPr>
        <w:t>响应</w:t>
      </w:r>
      <w:r>
        <w:rPr>
          <w:rFonts w:hint="eastAsia" w:ascii="宋体" w:hAnsi="宋体" w:eastAsia="宋体" w:cs="宋体"/>
          <w:sz w:val="24"/>
          <w:szCs w:val="24"/>
        </w:rPr>
        <w:t>文件格式进行</w:t>
      </w:r>
      <w:r>
        <w:rPr>
          <w:rFonts w:hint="eastAsia" w:ascii="宋体" w:hAnsi="宋体" w:eastAsia="宋体" w:cs="宋体"/>
          <w:sz w:val="24"/>
          <w:szCs w:val="24"/>
          <w:lang w:val="en-US" w:eastAsia="zh-CN"/>
        </w:rPr>
        <w:t>响应</w:t>
      </w:r>
      <w:r>
        <w:rPr>
          <w:rFonts w:hint="eastAsia" w:ascii="宋体" w:hAnsi="宋体" w:eastAsia="宋体" w:cs="宋体"/>
          <w:sz w:val="24"/>
          <w:szCs w:val="24"/>
        </w:rPr>
        <w:t>文件编制，在</w:t>
      </w:r>
      <w:r>
        <w:rPr>
          <w:rFonts w:hint="eastAsia" w:ascii="宋体" w:hAnsi="宋体" w:eastAsia="宋体" w:cs="宋体"/>
          <w:sz w:val="24"/>
          <w:szCs w:val="24"/>
          <w:lang w:val="en-US" w:eastAsia="zh-CN"/>
        </w:rPr>
        <w:t>响应</w:t>
      </w:r>
      <w:r>
        <w:rPr>
          <w:rFonts w:hint="eastAsia" w:ascii="宋体" w:hAnsi="宋体" w:eastAsia="宋体" w:cs="宋体"/>
          <w:sz w:val="24"/>
          <w:szCs w:val="24"/>
        </w:rPr>
        <w:t>文件编制时，应明确将供应商企业基本情况、人员情况、财务情况、业绩情况编入</w:t>
      </w:r>
      <w:r>
        <w:rPr>
          <w:rFonts w:hint="eastAsia" w:ascii="宋体" w:hAnsi="宋体" w:eastAsia="宋体" w:cs="宋体"/>
          <w:sz w:val="24"/>
          <w:szCs w:val="24"/>
          <w:lang w:val="en-US" w:eastAsia="zh-CN"/>
        </w:rPr>
        <w:t>响应</w:t>
      </w:r>
      <w:r>
        <w:rPr>
          <w:rFonts w:hint="eastAsia" w:ascii="宋体" w:hAnsi="宋体" w:eastAsia="宋体" w:cs="宋体"/>
          <w:sz w:val="24"/>
          <w:szCs w:val="24"/>
        </w:rPr>
        <w:t>文件，便于进行资格审查及评标打分。</w:t>
      </w:r>
    </w:p>
    <w:p w14:paraId="58B46765">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.我单位（采购人）严格按三财购【2021】9号文要求的时限发布中标结果公告，发出中标通知书，签订采购合同，上传采购合同。</w:t>
      </w:r>
    </w:p>
    <w:p w14:paraId="0C4FF48A">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八、凡对本次招标提出询问，请按照以下方式联系</w:t>
      </w:r>
    </w:p>
    <w:p w14:paraId="1373D1EF">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采购人：</w:t>
      </w:r>
      <w:r>
        <w:rPr>
          <w:rFonts w:hint="eastAsia" w:ascii="宋体" w:hAnsi="宋体" w:eastAsia="宋体" w:cs="宋体"/>
          <w:sz w:val="24"/>
          <w:szCs w:val="24"/>
          <w:lang w:eastAsia="zh-CN"/>
        </w:rPr>
        <w:t>三门峡市城乡一体化示范区管理委员会禹王路街道办事处</w:t>
      </w:r>
    </w:p>
    <w:p w14:paraId="1F1481A2">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地</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址：</w:t>
      </w:r>
      <w:r>
        <w:rPr>
          <w:rFonts w:hint="eastAsia" w:ascii="宋体" w:hAnsi="宋体" w:eastAsia="宋体" w:cs="宋体"/>
          <w:sz w:val="24"/>
          <w:szCs w:val="24"/>
          <w:lang w:eastAsia="zh-CN"/>
        </w:rPr>
        <w:t>三门峡市城乡一体化示范区纬五路与经四路交叉口</w:t>
      </w:r>
    </w:p>
    <w:p w14:paraId="49E28537">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联</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系</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人：</w:t>
      </w:r>
      <w:r>
        <w:rPr>
          <w:rFonts w:hint="eastAsia" w:ascii="宋体" w:hAnsi="宋体" w:eastAsia="宋体" w:cs="宋体"/>
          <w:sz w:val="24"/>
          <w:szCs w:val="24"/>
          <w:lang w:val="en-US" w:eastAsia="zh-CN"/>
        </w:rPr>
        <w:t>张女士</w:t>
      </w:r>
    </w:p>
    <w:p w14:paraId="69E1B238">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电</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话：</w:t>
      </w:r>
      <w:r>
        <w:rPr>
          <w:rFonts w:hint="eastAsia" w:ascii="宋体" w:hAnsi="宋体" w:eastAsia="宋体" w:cs="宋体"/>
          <w:sz w:val="24"/>
          <w:szCs w:val="24"/>
          <w:lang w:val="en-US" w:eastAsia="zh-CN"/>
        </w:rPr>
        <w:t xml:space="preserve">13262090367 </w:t>
      </w:r>
    </w:p>
    <w:p w14:paraId="536AB733">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采购代理机构：</w:t>
      </w:r>
      <w:r>
        <w:rPr>
          <w:rFonts w:hint="eastAsia" w:ascii="宋体" w:hAnsi="宋体" w:eastAsia="宋体" w:cs="宋体"/>
          <w:sz w:val="24"/>
          <w:szCs w:val="24"/>
          <w:lang w:val="en-US" w:eastAsia="zh-CN"/>
        </w:rPr>
        <w:t>河南康基项目管理有限公司</w:t>
      </w:r>
    </w:p>
    <w:p w14:paraId="1D5A4DBE">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sz w:val="24"/>
          <w:szCs w:val="24"/>
          <w:lang w:val="en-US" w:eastAsia="zh-CN"/>
        </w:rPr>
        <w:t>三门峡市湖滨区文明路东段6号</w:t>
      </w:r>
    </w:p>
    <w:p w14:paraId="40ED9A17">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rPr>
      </w:pPr>
      <w:r>
        <w:rPr>
          <w:rFonts w:hint="eastAsia" w:ascii="宋体" w:hAnsi="宋体" w:eastAsia="宋体" w:cs="宋体"/>
          <w:sz w:val="24"/>
          <w:szCs w:val="24"/>
          <w:lang w:val="en-US" w:eastAsia="zh-CN"/>
        </w:rPr>
        <w:t>联 系 人：姚女士</w:t>
      </w:r>
    </w:p>
    <w:p w14:paraId="3045FB6C">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联系方式：</w:t>
      </w:r>
      <w:r>
        <w:rPr>
          <w:rFonts w:hint="eastAsia" w:ascii="宋体" w:hAnsi="宋体" w:eastAsia="宋体" w:cs="宋体"/>
          <w:sz w:val="24"/>
          <w:szCs w:val="24"/>
          <w:lang w:val="en-US" w:eastAsia="zh-CN"/>
        </w:rPr>
        <w:t>18939044748</w:t>
      </w:r>
    </w:p>
    <w:p w14:paraId="459D4175">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项目联系方式</w:t>
      </w:r>
    </w:p>
    <w:p w14:paraId="37C84B5C">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联系人：</w:t>
      </w:r>
      <w:r>
        <w:rPr>
          <w:rFonts w:hint="eastAsia" w:ascii="宋体" w:hAnsi="宋体" w:eastAsia="宋体" w:cs="宋体"/>
          <w:sz w:val="24"/>
          <w:szCs w:val="24"/>
          <w:lang w:val="en-US" w:eastAsia="zh-CN"/>
        </w:rPr>
        <w:t>姚女士</w:t>
      </w:r>
    </w:p>
    <w:p w14:paraId="6C862B44">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联系方式：</w:t>
      </w:r>
      <w:r>
        <w:rPr>
          <w:rFonts w:hint="eastAsia" w:ascii="宋体" w:hAnsi="宋体" w:eastAsia="宋体" w:cs="宋体"/>
          <w:sz w:val="24"/>
          <w:szCs w:val="24"/>
          <w:lang w:val="en-US" w:eastAsia="zh-CN"/>
        </w:rPr>
        <w:t>18939044748</w:t>
      </w:r>
    </w:p>
    <w:p w14:paraId="17D93B11">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4.监督单位：三门峡市城乡一体化示范区财政局</w:t>
      </w:r>
    </w:p>
    <w:p w14:paraId="3572776C">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联系电话：0398-2751080</w:t>
      </w:r>
    </w:p>
    <w:p w14:paraId="47F2B1BD">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p>
    <w:p w14:paraId="6282ACE6">
      <w:pPr>
        <w:keepNext w:val="0"/>
        <w:keepLines w:val="0"/>
        <w:pageBreakBefore w:val="0"/>
        <w:kinsoku/>
        <w:overflowPunct/>
        <w:topLinePunct w:val="0"/>
        <w:autoSpaceDE/>
        <w:autoSpaceDN/>
        <w:bidi w:val="0"/>
        <w:adjustRightInd/>
        <w:snapToGrid/>
        <w:spacing w:line="360" w:lineRule="auto"/>
        <w:ind w:firstLine="4080" w:firstLineChars="17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2026年8月14日</w:t>
      </w:r>
    </w:p>
    <w:p w14:paraId="3885BB06">
      <w:pPr>
        <w:widowControl/>
        <w:autoSpaceDE w:val="0"/>
        <w:autoSpaceDN w:val="0"/>
        <w:adjustRightInd w:val="0"/>
        <w:snapToGrid w:val="0"/>
        <w:spacing w:line="360" w:lineRule="auto"/>
        <w:ind w:firstLine="482" w:firstLineChars="200"/>
        <w:jc w:val="center"/>
        <w:rPr>
          <w:rFonts w:hint="eastAsia" w:eastAsia="宋体" w:asciiTheme="majorHAnsi" w:hAnsiTheme="majorHAnsi" w:cstheme="majorBidi"/>
          <w:b/>
          <w:bCs/>
          <w:kern w:val="28"/>
          <w:sz w:val="32"/>
          <w:szCs w:val="32"/>
        </w:rPr>
      </w:pPr>
      <w:r>
        <w:rPr>
          <w:rFonts w:hint="eastAsia" w:ascii="宋体" w:hAnsi="Calibri" w:eastAsia="宋体" w:cs="Times New Roman"/>
          <w:b/>
          <w:kern w:val="0"/>
          <w:sz w:val="24"/>
        </w:rPr>
        <w:t xml:space="preserve">                              </w:t>
      </w:r>
      <w:bookmarkStart w:id="9" w:name="_Toc18788"/>
      <w:bookmarkStart w:id="10" w:name="_Toc17310"/>
      <w:bookmarkStart w:id="11" w:name="_Toc32032"/>
      <w:bookmarkStart w:id="12" w:name="_Toc43302780"/>
      <w:bookmarkStart w:id="13" w:name="_Toc10227"/>
    </w:p>
    <w:p w14:paraId="06DE69FE">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outlineLvl w:val="0"/>
        <w:rPr>
          <w:rFonts w:hint="eastAsia" w:eastAsia="宋体" w:asciiTheme="majorHAnsi" w:hAnsiTheme="majorHAnsi" w:cstheme="majorBidi"/>
          <w:b/>
          <w:bCs/>
          <w:kern w:val="28"/>
          <w:sz w:val="32"/>
          <w:szCs w:val="32"/>
        </w:rPr>
      </w:pPr>
    </w:p>
    <w:p w14:paraId="1A4E120C">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outlineLvl w:val="0"/>
        <w:rPr>
          <w:rFonts w:hint="eastAsia" w:eastAsia="宋体" w:asciiTheme="majorHAnsi" w:hAnsiTheme="majorHAnsi" w:cstheme="majorBidi"/>
          <w:b/>
          <w:bCs/>
          <w:kern w:val="28"/>
          <w:sz w:val="32"/>
          <w:szCs w:val="32"/>
        </w:rPr>
      </w:pPr>
    </w:p>
    <w:p w14:paraId="69E29FE9">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outlineLvl w:val="0"/>
        <w:rPr>
          <w:rFonts w:hint="eastAsia" w:eastAsia="宋体" w:asciiTheme="majorHAnsi" w:hAnsiTheme="majorHAnsi" w:cstheme="majorBidi"/>
          <w:b/>
          <w:bCs/>
          <w:kern w:val="28"/>
          <w:sz w:val="32"/>
          <w:szCs w:val="32"/>
        </w:rPr>
      </w:pPr>
    </w:p>
    <w:p w14:paraId="5A98E605">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outlineLvl w:val="0"/>
        <w:rPr>
          <w:rFonts w:hint="eastAsia" w:eastAsia="宋体" w:asciiTheme="majorHAnsi" w:hAnsiTheme="majorHAnsi" w:cstheme="majorBidi"/>
          <w:b/>
          <w:bCs/>
          <w:kern w:val="28"/>
          <w:sz w:val="32"/>
          <w:szCs w:val="32"/>
        </w:rPr>
      </w:pPr>
    </w:p>
    <w:p w14:paraId="35D3BD9B">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outlineLvl w:val="0"/>
        <w:rPr>
          <w:rFonts w:hint="eastAsia" w:eastAsia="宋体" w:asciiTheme="majorHAnsi" w:hAnsiTheme="majorHAnsi" w:cstheme="majorBidi"/>
          <w:b/>
          <w:bCs/>
          <w:kern w:val="28"/>
          <w:sz w:val="32"/>
          <w:szCs w:val="32"/>
        </w:rPr>
      </w:pPr>
    </w:p>
    <w:p w14:paraId="70BFCBC2">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outlineLvl w:val="0"/>
        <w:rPr>
          <w:rFonts w:hint="eastAsia" w:eastAsia="宋体" w:asciiTheme="majorHAnsi" w:hAnsiTheme="majorHAnsi" w:cstheme="majorBidi"/>
          <w:b/>
          <w:bCs/>
          <w:kern w:val="28"/>
          <w:sz w:val="32"/>
          <w:szCs w:val="32"/>
        </w:rPr>
      </w:pPr>
    </w:p>
    <w:p w14:paraId="2617A76A">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outlineLvl w:val="0"/>
        <w:rPr>
          <w:rFonts w:hint="eastAsia" w:eastAsia="宋体" w:asciiTheme="majorHAnsi" w:hAnsiTheme="majorHAnsi" w:cstheme="majorBidi"/>
          <w:b/>
          <w:bCs/>
          <w:kern w:val="28"/>
          <w:sz w:val="32"/>
          <w:szCs w:val="32"/>
        </w:rPr>
      </w:pPr>
    </w:p>
    <w:p w14:paraId="52B5AEB2">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outlineLvl w:val="0"/>
        <w:rPr>
          <w:rFonts w:hint="eastAsia" w:eastAsia="宋体" w:asciiTheme="majorHAnsi" w:hAnsiTheme="majorHAnsi" w:cstheme="majorBidi"/>
          <w:b/>
          <w:bCs/>
          <w:kern w:val="28"/>
          <w:sz w:val="32"/>
          <w:szCs w:val="32"/>
        </w:rPr>
      </w:pPr>
    </w:p>
    <w:p w14:paraId="162DE0F7">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outlineLvl w:val="0"/>
        <w:rPr>
          <w:rFonts w:hint="eastAsia" w:eastAsia="宋体" w:asciiTheme="majorHAnsi" w:hAnsiTheme="majorHAnsi" w:cstheme="majorBidi"/>
          <w:b/>
          <w:bCs/>
          <w:kern w:val="28"/>
          <w:sz w:val="32"/>
          <w:szCs w:val="32"/>
        </w:rPr>
      </w:pPr>
    </w:p>
    <w:p w14:paraId="4365B581">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outlineLvl w:val="0"/>
        <w:rPr>
          <w:rFonts w:hint="eastAsia" w:eastAsia="宋体" w:asciiTheme="majorHAnsi" w:hAnsiTheme="majorHAnsi" w:cstheme="majorBidi"/>
          <w:b/>
          <w:bCs/>
          <w:kern w:val="28"/>
          <w:sz w:val="32"/>
          <w:szCs w:val="32"/>
        </w:rPr>
      </w:pPr>
    </w:p>
    <w:p w14:paraId="574E40BB">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outlineLvl w:val="0"/>
        <w:rPr>
          <w:rFonts w:hint="eastAsia" w:eastAsia="宋体" w:asciiTheme="majorHAnsi" w:hAnsiTheme="majorHAnsi" w:cstheme="majorBidi"/>
          <w:b/>
          <w:bCs/>
          <w:kern w:val="28"/>
          <w:sz w:val="32"/>
          <w:szCs w:val="32"/>
        </w:rPr>
      </w:pPr>
    </w:p>
    <w:p w14:paraId="142A0B36">
      <w:pPr>
        <w:keepNext w:val="0"/>
        <w:keepLines w:val="0"/>
        <w:pageBreakBefore w:val="0"/>
        <w:widowControl w:val="0"/>
        <w:kinsoku/>
        <w:wordWrap/>
        <w:overflowPunct/>
        <w:topLinePunct w:val="0"/>
        <w:autoSpaceDE/>
        <w:autoSpaceDN/>
        <w:bidi w:val="0"/>
        <w:adjustRightInd/>
        <w:snapToGrid/>
        <w:spacing w:before="240" w:after="60" w:line="312" w:lineRule="auto"/>
        <w:jc w:val="center"/>
        <w:textAlignment w:val="auto"/>
        <w:outlineLvl w:val="0"/>
        <w:rPr>
          <w:rFonts w:hint="eastAsia" w:eastAsia="宋体" w:asciiTheme="majorHAnsi" w:hAnsiTheme="majorHAnsi" w:cstheme="majorBidi"/>
          <w:b/>
          <w:bCs/>
          <w:kern w:val="28"/>
          <w:sz w:val="32"/>
          <w:szCs w:val="32"/>
        </w:rPr>
      </w:pPr>
    </w:p>
    <w:p w14:paraId="6C9DB9BD">
      <w:pPr>
        <w:keepNext w:val="0"/>
        <w:keepLines w:val="0"/>
        <w:pageBreakBefore w:val="0"/>
        <w:widowControl w:val="0"/>
        <w:kinsoku/>
        <w:wordWrap/>
        <w:overflowPunct/>
        <w:topLinePunct w:val="0"/>
        <w:autoSpaceDE/>
        <w:autoSpaceDN/>
        <w:bidi w:val="0"/>
        <w:adjustRightInd/>
        <w:snapToGrid/>
        <w:spacing w:before="240" w:after="60" w:line="360" w:lineRule="auto"/>
        <w:jc w:val="center"/>
        <w:textAlignment w:val="auto"/>
        <w:outlineLvl w:val="0"/>
        <w:rPr>
          <w:rFonts w:hint="eastAsia" w:eastAsia="宋体" w:asciiTheme="majorHAnsi" w:hAnsiTheme="majorHAnsi" w:cstheme="majorBidi"/>
          <w:b/>
          <w:bCs/>
          <w:kern w:val="28"/>
          <w:sz w:val="32"/>
          <w:szCs w:val="32"/>
        </w:rPr>
      </w:pPr>
      <w:bookmarkStart w:id="14" w:name="_Toc20974"/>
      <w:r>
        <w:rPr>
          <w:rFonts w:hint="eastAsia" w:eastAsia="宋体" w:asciiTheme="majorHAnsi" w:hAnsiTheme="majorHAnsi" w:cstheme="majorBidi"/>
          <w:b/>
          <w:bCs/>
          <w:kern w:val="28"/>
          <w:sz w:val="32"/>
          <w:szCs w:val="32"/>
        </w:rPr>
        <w:t>第二章</w:t>
      </w:r>
      <w:bookmarkEnd w:id="9"/>
      <w:r>
        <w:rPr>
          <w:rFonts w:hint="eastAsia" w:eastAsia="宋体" w:asciiTheme="majorHAnsi" w:hAnsiTheme="majorHAnsi" w:cstheme="majorBidi"/>
          <w:b/>
          <w:bCs/>
          <w:kern w:val="28"/>
          <w:sz w:val="32"/>
          <w:szCs w:val="32"/>
        </w:rPr>
        <w:t xml:space="preserve">  </w:t>
      </w:r>
      <w:bookmarkEnd w:id="10"/>
      <w:bookmarkEnd w:id="11"/>
      <w:bookmarkEnd w:id="12"/>
      <w:bookmarkEnd w:id="13"/>
      <w:r>
        <w:rPr>
          <w:rFonts w:hint="eastAsia" w:eastAsia="宋体" w:asciiTheme="majorHAnsi" w:hAnsiTheme="majorHAnsi" w:cstheme="majorBidi"/>
          <w:b/>
          <w:bCs/>
          <w:kern w:val="28"/>
          <w:sz w:val="32"/>
          <w:szCs w:val="32"/>
        </w:rPr>
        <w:t>供应商须知及前附表</w:t>
      </w:r>
      <w:bookmarkEnd w:id="14"/>
    </w:p>
    <w:p w14:paraId="65831C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8"/>
          <w:szCs w:val="28"/>
        </w:rPr>
      </w:pPr>
      <w:bookmarkStart w:id="15" w:name="_Toc44996337"/>
      <w:bookmarkEnd w:id="15"/>
      <w:r>
        <w:rPr>
          <w:rFonts w:hint="eastAsia"/>
          <w:sz w:val="28"/>
          <w:szCs w:val="28"/>
        </w:rPr>
        <w:t>供应商须知前附表</w:t>
      </w:r>
    </w:p>
    <w:tbl>
      <w:tblPr>
        <w:tblStyle w:val="11"/>
        <w:tblW w:w="10082" w:type="dxa"/>
        <w:jc w:val="center"/>
        <w:tblLayout w:type="fixed"/>
        <w:tblCellMar>
          <w:top w:w="0" w:type="dxa"/>
          <w:left w:w="108" w:type="dxa"/>
          <w:bottom w:w="0" w:type="dxa"/>
          <w:right w:w="108" w:type="dxa"/>
        </w:tblCellMar>
      </w:tblPr>
      <w:tblGrid>
        <w:gridCol w:w="697"/>
        <w:gridCol w:w="1992"/>
        <w:gridCol w:w="7393"/>
      </w:tblGrid>
      <w:tr w14:paraId="1C661F32">
        <w:tblPrEx>
          <w:tblCellMar>
            <w:top w:w="0" w:type="dxa"/>
            <w:left w:w="108" w:type="dxa"/>
            <w:bottom w:w="0" w:type="dxa"/>
            <w:right w:w="108" w:type="dxa"/>
          </w:tblCellMar>
        </w:tblPrEx>
        <w:trPr>
          <w:trHeight w:val="411"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985AE9D">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1992" w:type="dxa"/>
            <w:tcBorders>
              <w:top w:val="single" w:color="auto" w:sz="4" w:space="0"/>
              <w:left w:val="nil"/>
              <w:bottom w:val="single" w:color="auto" w:sz="4" w:space="0"/>
              <w:right w:val="single" w:color="auto" w:sz="4" w:space="0"/>
            </w:tcBorders>
            <w:vAlign w:val="center"/>
          </w:tcPr>
          <w:p w14:paraId="2860F626">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条款名称</w:t>
            </w:r>
          </w:p>
        </w:tc>
        <w:tc>
          <w:tcPr>
            <w:tcW w:w="7393" w:type="dxa"/>
            <w:tcBorders>
              <w:top w:val="single" w:color="auto" w:sz="4" w:space="0"/>
              <w:left w:val="nil"/>
              <w:bottom w:val="single" w:color="auto" w:sz="4" w:space="0"/>
              <w:right w:val="single" w:color="auto" w:sz="4" w:space="0"/>
            </w:tcBorders>
            <w:vAlign w:val="center"/>
          </w:tcPr>
          <w:p w14:paraId="3EF66EEE">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编列内容</w:t>
            </w:r>
          </w:p>
        </w:tc>
      </w:tr>
      <w:tr w14:paraId="728F4492">
        <w:tblPrEx>
          <w:tblCellMar>
            <w:top w:w="0" w:type="dxa"/>
            <w:left w:w="108" w:type="dxa"/>
            <w:bottom w:w="0" w:type="dxa"/>
            <w:right w:w="108" w:type="dxa"/>
          </w:tblCellMar>
        </w:tblPrEx>
        <w:trPr>
          <w:trHeight w:val="184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C43865D">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1992" w:type="dxa"/>
            <w:tcBorders>
              <w:top w:val="single" w:color="auto" w:sz="4" w:space="0"/>
              <w:left w:val="nil"/>
              <w:bottom w:val="single" w:color="auto" w:sz="4" w:space="0"/>
              <w:right w:val="single" w:color="auto" w:sz="4" w:space="0"/>
            </w:tcBorders>
            <w:vAlign w:val="center"/>
          </w:tcPr>
          <w:p w14:paraId="7DDF74FB">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采购人</w:t>
            </w:r>
          </w:p>
        </w:tc>
        <w:tc>
          <w:tcPr>
            <w:tcW w:w="7393" w:type="dxa"/>
            <w:tcBorders>
              <w:top w:val="single" w:color="auto" w:sz="4" w:space="0"/>
              <w:left w:val="nil"/>
              <w:bottom w:val="single" w:color="auto" w:sz="4" w:space="0"/>
              <w:right w:val="single" w:color="auto" w:sz="4" w:space="0"/>
            </w:tcBorders>
            <w:vAlign w:val="center"/>
          </w:tcPr>
          <w:p w14:paraId="46C173A0">
            <w:pPr>
              <w:spacing w:line="42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 购 人：三门峡市城乡一体化示范区管理委员会禹王路街道办事处</w:t>
            </w:r>
          </w:p>
          <w:p w14:paraId="44F275D5">
            <w:pPr>
              <w:spacing w:line="42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    址：三门峡市城乡一体化示范区纬五路与经四路交叉口</w:t>
            </w:r>
          </w:p>
          <w:p w14:paraId="46C0489D">
            <w:pPr>
              <w:spacing w:line="42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 系 人：张女士</w:t>
            </w:r>
          </w:p>
          <w:p w14:paraId="46B72C08">
            <w:pPr>
              <w:spacing w:line="42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    话：13262090367</w:t>
            </w:r>
          </w:p>
        </w:tc>
      </w:tr>
      <w:tr w14:paraId="2A814868">
        <w:tblPrEx>
          <w:tblCellMar>
            <w:top w:w="0" w:type="dxa"/>
            <w:left w:w="108" w:type="dxa"/>
            <w:bottom w:w="0" w:type="dxa"/>
            <w:right w:w="108" w:type="dxa"/>
          </w:tblCellMar>
        </w:tblPrEx>
        <w:trPr>
          <w:trHeight w:val="1841"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215E570">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1992" w:type="dxa"/>
            <w:tcBorders>
              <w:top w:val="single" w:color="auto" w:sz="4" w:space="0"/>
              <w:left w:val="nil"/>
              <w:bottom w:val="single" w:color="auto" w:sz="4" w:space="0"/>
              <w:right w:val="single" w:color="auto" w:sz="4" w:space="0"/>
            </w:tcBorders>
            <w:vAlign w:val="center"/>
          </w:tcPr>
          <w:p w14:paraId="765880C0">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采购代理机构</w:t>
            </w:r>
          </w:p>
        </w:tc>
        <w:tc>
          <w:tcPr>
            <w:tcW w:w="7393" w:type="dxa"/>
            <w:tcBorders>
              <w:top w:val="single" w:color="auto" w:sz="4" w:space="0"/>
              <w:left w:val="nil"/>
              <w:bottom w:val="single" w:color="auto" w:sz="4" w:space="0"/>
              <w:right w:val="single" w:color="auto" w:sz="4" w:space="0"/>
            </w:tcBorders>
            <w:vAlign w:val="center"/>
          </w:tcPr>
          <w:p w14:paraId="3586CFA6">
            <w:pPr>
              <w:spacing w:line="42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代理机构：河南康基项目管理有限公司</w:t>
            </w:r>
          </w:p>
          <w:p w14:paraId="4289F54A">
            <w:pPr>
              <w:spacing w:line="42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    址：三门峡市湖滨区文明路东段6号</w:t>
            </w:r>
          </w:p>
          <w:p w14:paraId="0526BC21">
            <w:pPr>
              <w:spacing w:line="42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 系 人：姚女士</w:t>
            </w:r>
          </w:p>
          <w:p w14:paraId="0817A3CB">
            <w:pPr>
              <w:spacing w:line="42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联系方式：18939044748</w:t>
            </w:r>
          </w:p>
        </w:tc>
      </w:tr>
      <w:tr w14:paraId="3405718B">
        <w:tblPrEx>
          <w:tblCellMar>
            <w:top w:w="0" w:type="dxa"/>
            <w:left w:w="108" w:type="dxa"/>
            <w:bottom w:w="0" w:type="dxa"/>
            <w:right w:w="108" w:type="dxa"/>
          </w:tblCellMar>
        </w:tblPrEx>
        <w:trPr>
          <w:trHeight w:val="52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BE39E82">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992" w:type="dxa"/>
            <w:tcBorders>
              <w:top w:val="single" w:color="auto" w:sz="4" w:space="0"/>
              <w:left w:val="nil"/>
              <w:bottom w:val="single" w:color="auto" w:sz="4" w:space="0"/>
              <w:right w:val="single" w:color="auto" w:sz="4" w:space="0"/>
            </w:tcBorders>
            <w:shd w:val="clear" w:color="auto" w:fill="auto"/>
            <w:vAlign w:val="center"/>
          </w:tcPr>
          <w:p w14:paraId="72520542">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项目名称</w:t>
            </w:r>
          </w:p>
        </w:tc>
        <w:tc>
          <w:tcPr>
            <w:tcW w:w="7393" w:type="dxa"/>
            <w:tcBorders>
              <w:top w:val="single" w:color="auto" w:sz="4" w:space="0"/>
              <w:left w:val="nil"/>
              <w:bottom w:val="single" w:color="auto" w:sz="4" w:space="0"/>
              <w:right w:val="single" w:color="auto" w:sz="4" w:space="0"/>
            </w:tcBorders>
            <w:shd w:val="clear" w:color="auto" w:fill="auto"/>
            <w:vAlign w:val="center"/>
          </w:tcPr>
          <w:p w14:paraId="2E038BBF">
            <w:pPr>
              <w:spacing w:line="420" w:lineRule="exac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农产品冷藏仓储货架采购项目</w:t>
            </w:r>
          </w:p>
        </w:tc>
      </w:tr>
      <w:tr w14:paraId="5FA082C8">
        <w:tblPrEx>
          <w:tblCellMar>
            <w:top w:w="0" w:type="dxa"/>
            <w:left w:w="108" w:type="dxa"/>
            <w:bottom w:w="0" w:type="dxa"/>
            <w:right w:w="108" w:type="dxa"/>
          </w:tblCellMar>
        </w:tblPrEx>
        <w:trPr>
          <w:trHeight w:val="520"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65E35E9E">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4</w:t>
            </w:r>
          </w:p>
        </w:tc>
        <w:tc>
          <w:tcPr>
            <w:tcW w:w="1992" w:type="dxa"/>
            <w:tcBorders>
              <w:top w:val="single" w:color="auto" w:sz="4" w:space="0"/>
              <w:left w:val="nil"/>
              <w:bottom w:val="single" w:color="auto" w:sz="4" w:space="0"/>
              <w:right w:val="single" w:color="auto" w:sz="4" w:space="0"/>
            </w:tcBorders>
            <w:shd w:val="clear" w:color="auto" w:fill="auto"/>
            <w:vAlign w:val="center"/>
          </w:tcPr>
          <w:p w14:paraId="1E1E9FAC">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项目编号</w:t>
            </w:r>
          </w:p>
        </w:tc>
        <w:tc>
          <w:tcPr>
            <w:tcW w:w="7393" w:type="dxa"/>
            <w:tcBorders>
              <w:top w:val="single" w:color="auto" w:sz="4" w:space="0"/>
              <w:left w:val="nil"/>
              <w:bottom w:val="single" w:color="auto" w:sz="4" w:space="0"/>
              <w:right w:val="single" w:color="auto" w:sz="4" w:space="0"/>
            </w:tcBorders>
            <w:shd w:val="clear" w:color="auto" w:fill="auto"/>
            <w:vAlign w:val="center"/>
          </w:tcPr>
          <w:p w14:paraId="15252B7F">
            <w:pPr>
              <w:spacing w:line="420" w:lineRule="exact"/>
              <w:rPr>
                <w:rFonts w:hint="eastAsia" w:ascii="宋体" w:hAnsi="宋体" w:eastAsia="宋体" w:cs="宋体"/>
                <w:kern w:val="2"/>
                <w:sz w:val="24"/>
                <w:szCs w:val="24"/>
                <w:shd w:val="clear" w:color="auto" w:fill="FFFFFF"/>
                <w:lang w:val="en-US" w:eastAsia="en-US" w:bidi="ar-SA"/>
              </w:rPr>
            </w:pPr>
            <w:r>
              <w:rPr>
                <w:rFonts w:hint="eastAsia" w:ascii="宋体" w:hAnsi="宋体" w:eastAsia="宋体" w:cs="宋体"/>
                <w:sz w:val="24"/>
                <w:szCs w:val="24"/>
                <w:lang w:val="en-US" w:eastAsia="zh-CN"/>
              </w:rPr>
              <w:t>SGZ[2026]251-ZC177、示范竞磋采购-2026-18</w:t>
            </w:r>
          </w:p>
        </w:tc>
      </w:tr>
      <w:tr w14:paraId="4237D512">
        <w:tblPrEx>
          <w:tblCellMar>
            <w:top w:w="0" w:type="dxa"/>
            <w:left w:w="108" w:type="dxa"/>
            <w:bottom w:w="0" w:type="dxa"/>
            <w:right w:w="108" w:type="dxa"/>
          </w:tblCellMar>
        </w:tblPrEx>
        <w:trPr>
          <w:trHeight w:val="520"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4E8F918C">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5</w:t>
            </w:r>
          </w:p>
        </w:tc>
        <w:tc>
          <w:tcPr>
            <w:tcW w:w="1992" w:type="dxa"/>
            <w:tcBorders>
              <w:top w:val="single" w:color="auto" w:sz="4" w:space="0"/>
              <w:left w:val="nil"/>
              <w:bottom w:val="single" w:color="auto" w:sz="4" w:space="0"/>
              <w:right w:val="single" w:color="auto" w:sz="4" w:space="0"/>
            </w:tcBorders>
            <w:shd w:val="clear" w:color="auto" w:fill="auto"/>
            <w:vAlign w:val="center"/>
          </w:tcPr>
          <w:p w14:paraId="5127B092">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采购内容及磋商范围</w:t>
            </w:r>
          </w:p>
        </w:tc>
        <w:tc>
          <w:tcPr>
            <w:tcW w:w="7393" w:type="dxa"/>
            <w:tcBorders>
              <w:top w:val="single" w:color="auto" w:sz="4" w:space="0"/>
              <w:left w:val="nil"/>
              <w:bottom w:val="single" w:color="auto" w:sz="4" w:space="0"/>
              <w:right w:val="single" w:color="auto" w:sz="4" w:space="0"/>
            </w:tcBorders>
            <w:shd w:val="clear" w:color="auto" w:fill="auto"/>
            <w:vAlign w:val="center"/>
          </w:tcPr>
          <w:p w14:paraId="5A5030A0">
            <w:pPr>
              <w:spacing w:line="42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采购内容：</w:t>
            </w:r>
            <w:r>
              <w:rPr>
                <w:rFonts w:hint="eastAsia" w:ascii="宋体" w:hAnsi="宋体" w:eastAsia="宋体" w:cs="宋体"/>
                <w:sz w:val="24"/>
                <w:szCs w:val="24"/>
                <w:highlight w:val="none"/>
                <w:lang w:val="en-US" w:eastAsia="zh-CN"/>
              </w:rPr>
              <w:t>采购农产品冷藏仓储货架约3000个；（具体采购内容及要求详见竞争性磋商文件）</w:t>
            </w:r>
          </w:p>
          <w:p w14:paraId="37F48C53">
            <w:pPr>
              <w:spacing w:line="420" w:lineRule="exac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磋商范围：本项目竞争性磋商文件、采购内容及技术要求等列明的所有内容</w:t>
            </w:r>
          </w:p>
        </w:tc>
      </w:tr>
      <w:tr w14:paraId="0B4DBBC2">
        <w:tblPrEx>
          <w:tblCellMar>
            <w:top w:w="0" w:type="dxa"/>
            <w:left w:w="108" w:type="dxa"/>
            <w:bottom w:w="0" w:type="dxa"/>
            <w:right w:w="108" w:type="dxa"/>
          </w:tblCellMar>
        </w:tblPrEx>
        <w:trPr>
          <w:trHeight w:val="570"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4633C90C">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6</w:t>
            </w:r>
          </w:p>
        </w:tc>
        <w:tc>
          <w:tcPr>
            <w:tcW w:w="1992" w:type="dxa"/>
            <w:tcBorders>
              <w:top w:val="single" w:color="auto" w:sz="4" w:space="0"/>
              <w:left w:val="nil"/>
              <w:bottom w:val="single" w:color="auto" w:sz="4" w:space="0"/>
              <w:right w:val="single" w:color="auto" w:sz="4" w:space="0"/>
            </w:tcBorders>
            <w:vAlign w:val="center"/>
          </w:tcPr>
          <w:p w14:paraId="130E746A">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rPr>
              <w:t>资金来源</w:t>
            </w:r>
            <w:r>
              <w:rPr>
                <w:rFonts w:hint="eastAsia" w:ascii="宋体" w:hAnsi="宋体" w:eastAsia="宋体" w:cs="宋体"/>
                <w:sz w:val="24"/>
                <w:szCs w:val="24"/>
                <w:lang w:val="en-US" w:eastAsia="zh-CN"/>
              </w:rPr>
              <w:t>及落实情况</w:t>
            </w:r>
          </w:p>
        </w:tc>
        <w:tc>
          <w:tcPr>
            <w:tcW w:w="7393" w:type="dxa"/>
            <w:tcBorders>
              <w:top w:val="single" w:color="auto" w:sz="4" w:space="0"/>
              <w:left w:val="nil"/>
              <w:bottom w:val="single" w:color="auto" w:sz="4" w:space="0"/>
              <w:right w:val="single" w:color="auto" w:sz="4" w:space="0"/>
            </w:tcBorders>
            <w:vAlign w:val="center"/>
          </w:tcPr>
          <w:p w14:paraId="62F16881">
            <w:pPr>
              <w:spacing w:line="420" w:lineRule="exact"/>
              <w:rPr>
                <w:rFonts w:hint="eastAsia" w:ascii="宋体" w:hAnsi="宋体" w:eastAsia="宋体" w:cs="宋体"/>
                <w:sz w:val="24"/>
                <w:szCs w:val="24"/>
                <w:lang w:val="en-US" w:eastAsia="zh-CN"/>
              </w:rPr>
            </w:pPr>
            <w:r>
              <w:rPr>
                <w:rFonts w:hint="eastAsia" w:ascii="宋体" w:hAnsi="宋体" w:eastAsia="宋体" w:cs="宋体"/>
                <w:sz w:val="24"/>
                <w:szCs w:val="24"/>
                <w:shd w:val="clear" w:color="auto" w:fill="FFFFFF"/>
              </w:rPr>
              <w:t>财政资金</w:t>
            </w:r>
            <w:r>
              <w:rPr>
                <w:rFonts w:hint="eastAsia" w:ascii="宋体" w:hAnsi="宋体" w:eastAsia="宋体" w:cs="宋体"/>
                <w:sz w:val="24"/>
                <w:szCs w:val="24"/>
                <w:shd w:val="clear" w:color="auto" w:fill="FFFFFF"/>
                <w:lang w:eastAsia="zh-CN"/>
              </w:rPr>
              <w:t>，</w:t>
            </w:r>
            <w:r>
              <w:rPr>
                <w:rFonts w:hint="eastAsia" w:ascii="宋体" w:hAnsi="宋体" w:eastAsia="宋体" w:cs="宋体"/>
                <w:sz w:val="24"/>
                <w:szCs w:val="24"/>
                <w:shd w:val="clear" w:color="auto" w:fill="FFFFFF"/>
                <w:lang w:val="en-US" w:eastAsia="zh-CN"/>
              </w:rPr>
              <w:t>已落实</w:t>
            </w:r>
          </w:p>
        </w:tc>
      </w:tr>
      <w:tr w14:paraId="4FC7E816">
        <w:tblPrEx>
          <w:tblCellMar>
            <w:top w:w="0" w:type="dxa"/>
            <w:left w:w="108" w:type="dxa"/>
            <w:bottom w:w="0" w:type="dxa"/>
            <w:right w:w="108" w:type="dxa"/>
          </w:tblCellMar>
        </w:tblPrEx>
        <w:trPr>
          <w:trHeight w:val="62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F07143F">
            <w:pPr>
              <w:spacing w:line="42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1992" w:type="dxa"/>
            <w:tcBorders>
              <w:top w:val="single" w:color="auto" w:sz="4" w:space="0"/>
              <w:left w:val="nil"/>
              <w:bottom w:val="single" w:color="auto" w:sz="4" w:space="0"/>
              <w:right w:val="single" w:color="auto" w:sz="4" w:space="0"/>
            </w:tcBorders>
            <w:vAlign w:val="center"/>
          </w:tcPr>
          <w:p w14:paraId="2346A3D4">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质量要求</w:t>
            </w:r>
          </w:p>
        </w:tc>
        <w:tc>
          <w:tcPr>
            <w:tcW w:w="7393" w:type="dxa"/>
            <w:tcBorders>
              <w:top w:val="single" w:color="auto" w:sz="4" w:space="0"/>
              <w:left w:val="nil"/>
              <w:bottom w:val="single" w:color="auto" w:sz="4" w:space="0"/>
              <w:right w:val="single" w:color="auto" w:sz="4" w:space="0"/>
            </w:tcBorders>
            <w:vAlign w:val="center"/>
          </w:tcPr>
          <w:p w14:paraId="3318E40C">
            <w:pPr>
              <w:spacing w:line="420" w:lineRule="exact"/>
              <w:rPr>
                <w:rFonts w:hint="eastAsia" w:ascii="宋体" w:hAnsi="宋体" w:eastAsia="宋体" w:cs="宋体"/>
                <w:kern w:val="0"/>
                <w:sz w:val="24"/>
                <w:szCs w:val="24"/>
              </w:rPr>
            </w:pPr>
            <w:r>
              <w:rPr>
                <w:rFonts w:hint="eastAsia" w:ascii="宋体" w:hAnsi="宋体" w:eastAsia="宋体" w:cs="宋体"/>
                <w:sz w:val="24"/>
                <w:szCs w:val="24"/>
              </w:rPr>
              <w:t>符合国家及行业标准并满足采购人使用要求</w:t>
            </w:r>
          </w:p>
        </w:tc>
      </w:tr>
      <w:tr w14:paraId="09670ECF">
        <w:tblPrEx>
          <w:tblCellMar>
            <w:top w:w="0" w:type="dxa"/>
            <w:left w:w="108" w:type="dxa"/>
            <w:bottom w:w="0" w:type="dxa"/>
            <w:right w:w="108" w:type="dxa"/>
          </w:tblCellMar>
        </w:tblPrEx>
        <w:trPr>
          <w:trHeight w:val="62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71DE416">
            <w:pPr>
              <w:spacing w:line="42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p>
        </w:tc>
        <w:tc>
          <w:tcPr>
            <w:tcW w:w="1992" w:type="dxa"/>
            <w:tcBorders>
              <w:top w:val="single" w:color="auto" w:sz="4" w:space="0"/>
              <w:left w:val="nil"/>
              <w:bottom w:val="single" w:color="auto" w:sz="4" w:space="0"/>
              <w:right w:val="single" w:color="auto" w:sz="4" w:space="0"/>
            </w:tcBorders>
            <w:vAlign w:val="center"/>
          </w:tcPr>
          <w:p w14:paraId="14C0AD57">
            <w:pPr>
              <w:spacing w:line="420" w:lineRule="exact"/>
              <w:jc w:val="center"/>
              <w:rPr>
                <w:rFonts w:hint="eastAsia" w:ascii="宋体" w:hAnsi="宋体" w:eastAsia="宋体" w:cs="宋体"/>
                <w:kern w:val="0"/>
                <w:sz w:val="24"/>
                <w:szCs w:val="24"/>
              </w:rPr>
            </w:pPr>
            <w:r>
              <w:rPr>
                <w:rFonts w:hint="eastAsia" w:ascii="宋体" w:hAnsi="宋体" w:eastAsia="宋体" w:cs="宋体"/>
                <w:sz w:val="24"/>
                <w:szCs w:val="24"/>
              </w:rPr>
              <w:t>交货地点</w:t>
            </w:r>
          </w:p>
        </w:tc>
        <w:tc>
          <w:tcPr>
            <w:tcW w:w="7393" w:type="dxa"/>
            <w:tcBorders>
              <w:top w:val="single" w:color="auto" w:sz="4" w:space="0"/>
              <w:left w:val="nil"/>
              <w:bottom w:val="single" w:color="auto" w:sz="4" w:space="0"/>
              <w:right w:val="single" w:color="auto" w:sz="4" w:space="0"/>
            </w:tcBorders>
            <w:vAlign w:val="center"/>
          </w:tcPr>
          <w:p w14:paraId="6138E68B">
            <w:pPr>
              <w:spacing w:line="420" w:lineRule="exact"/>
              <w:rPr>
                <w:rFonts w:hint="eastAsia" w:ascii="宋体" w:hAnsi="宋体" w:eastAsia="宋体" w:cs="宋体"/>
                <w:sz w:val="24"/>
                <w:szCs w:val="24"/>
              </w:rPr>
            </w:pPr>
            <w:r>
              <w:rPr>
                <w:rFonts w:hint="eastAsia" w:ascii="宋体" w:hAnsi="宋体" w:eastAsia="宋体" w:cs="宋体"/>
                <w:sz w:val="24"/>
                <w:szCs w:val="24"/>
              </w:rPr>
              <w:t>采购人指定地点</w:t>
            </w:r>
          </w:p>
        </w:tc>
      </w:tr>
      <w:tr w14:paraId="515B8AAB">
        <w:tblPrEx>
          <w:tblCellMar>
            <w:top w:w="0" w:type="dxa"/>
            <w:left w:w="108" w:type="dxa"/>
            <w:bottom w:w="0" w:type="dxa"/>
            <w:right w:w="108" w:type="dxa"/>
          </w:tblCellMar>
        </w:tblPrEx>
        <w:trPr>
          <w:trHeight w:val="573"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8F7CB7C">
            <w:pPr>
              <w:spacing w:line="42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9</w:t>
            </w:r>
          </w:p>
        </w:tc>
        <w:tc>
          <w:tcPr>
            <w:tcW w:w="1992" w:type="dxa"/>
            <w:tcBorders>
              <w:top w:val="single" w:color="auto" w:sz="4" w:space="0"/>
              <w:left w:val="nil"/>
              <w:bottom w:val="single" w:color="auto" w:sz="4" w:space="0"/>
              <w:right w:val="single" w:color="auto" w:sz="4" w:space="0"/>
            </w:tcBorders>
            <w:vAlign w:val="center"/>
          </w:tcPr>
          <w:p w14:paraId="1C33F260">
            <w:pPr>
              <w:spacing w:line="42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供货期</w:t>
            </w:r>
          </w:p>
        </w:tc>
        <w:tc>
          <w:tcPr>
            <w:tcW w:w="7393" w:type="dxa"/>
            <w:tcBorders>
              <w:top w:val="single" w:color="auto" w:sz="4" w:space="0"/>
              <w:left w:val="nil"/>
              <w:bottom w:val="single" w:color="auto" w:sz="4" w:space="0"/>
              <w:right w:val="single" w:color="auto" w:sz="4" w:space="0"/>
            </w:tcBorders>
            <w:vAlign w:val="center"/>
          </w:tcPr>
          <w:p w14:paraId="0621F967">
            <w:pPr>
              <w:spacing w:line="420" w:lineRule="exac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自合同签订之日起</w:t>
            </w:r>
            <w:r>
              <w:rPr>
                <w:rFonts w:hint="eastAsia" w:ascii="宋体" w:hAnsi="宋体" w:eastAsia="宋体" w:cs="宋体"/>
                <w:sz w:val="24"/>
                <w:szCs w:val="24"/>
                <w:highlight w:val="none"/>
                <w:lang w:val="en-US" w:eastAsia="zh-CN"/>
              </w:rPr>
              <w:t>20</w:t>
            </w:r>
            <w:r>
              <w:rPr>
                <w:rFonts w:hint="eastAsia" w:ascii="宋体" w:hAnsi="宋体" w:eastAsia="宋体" w:cs="宋体"/>
                <w:sz w:val="24"/>
                <w:szCs w:val="24"/>
                <w:highlight w:val="none"/>
                <w:lang w:eastAsia="zh-CN"/>
              </w:rPr>
              <w:t>日历天内</w:t>
            </w:r>
          </w:p>
        </w:tc>
      </w:tr>
      <w:tr w14:paraId="16434B7D">
        <w:tblPrEx>
          <w:tblCellMar>
            <w:top w:w="0" w:type="dxa"/>
            <w:left w:w="108" w:type="dxa"/>
            <w:bottom w:w="0" w:type="dxa"/>
            <w:right w:w="108" w:type="dxa"/>
          </w:tblCellMar>
        </w:tblPrEx>
        <w:trPr>
          <w:trHeight w:val="49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4131208">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992" w:type="dxa"/>
            <w:tcBorders>
              <w:top w:val="single" w:color="auto" w:sz="4" w:space="0"/>
              <w:left w:val="nil"/>
              <w:bottom w:val="single" w:color="auto" w:sz="4" w:space="0"/>
              <w:right w:val="single" w:color="auto" w:sz="4" w:space="0"/>
            </w:tcBorders>
            <w:vAlign w:val="center"/>
          </w:tcPr>
          <w:p w14:paraId="5217EAEA">
            <w:pPr>
              <w:spacing w:line="420" w:lineRule="exac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质保期</w:t>
            </w:r>
          </w:p>
        </w:tc>
        <w:tc>
          <w:tcPr>
            <w:tcW w:w="7393" w:type="dxa"/>
            <w:tcBorders>
              <w:top w:val="single" w:color="auto" w:sz="4" w:space="0"/>
              <w:left w:val="nil"/>
              <w:bottom w:val="single" w:color="auto" w:sz="4" w:space="0"/>
              <w:right w:val="single" w:color="auto" w:sz="4" w:space="0"/>
            </w:tcBorders>
            <w:vAlign w:val="center"/>
          </w:tcPr>
          <w:p w14:paraId="572E6DB3">
            <w:pPr>
              <w:spacing w:line="420" w:lineRule="exac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一年</w:t>
            </w:r>
          </w:p>
        </w:tc>
      </w:tr>
      <w:tr w14:paraId="63942045">
        <w:tblPrEx>
          <w:tblCellMar>
            <w:top w:w="0" w:type="dxa"/>
            <w:left w:w="108" w:type="dxa"/>
            <w:bottom w:w="0" w:type="dxa"/>
            <w:right w:w="108" w:type="dxa"/>
          </w:tblCellMar>
        </w:tblPrEx>
        <w:trPr>
          <w:trHeight w:val="52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28D7D44A">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1992" w:type="dxa"/>
            <w:tcBorders>
              <w:top w:val="single" w:color="auto" w:sz="4" w:space="0"/>
              <w:left w:val="nil"/>
              <w:bottom w:val="single" w:color="auto" w:sz="4" w:space="0"/>
              <w:right w:val="single" w:color="auto" w:sz="4" w:space="0"/>
            </w:tcBorders>
            <w:vAlign w:val="center"/>
          </w:tcPr>
          <w:p w14:paraId="4C8B6C22">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供应商资格要求</w:t>
            </w:r>
          </w:p>
        </w:tc>
        <w:tc>
          <w:tcPr>
            <w:tcW w:w="7393" w:type="dxa"/>
            <w:tcBorders>
              <w:top w:val="single" w:color="auto" w:sz="4" w:space="0"/>
              <w:left w:val="nil"/>
              <w:bottom w:val="single" w:color="auto" w:sz="4" w:space="0"/>
              <w:right w:val="single" w:color="auto" w:sz="4" w:space="0"/>
            </w:tcBorders>
            <w:vAlign w:val="center"/>
          </w:tcPr>
          <w:p w14:paraId="050552DE">
            <w:pPr>
              <w:keepNext w:val="0"/>
              <w:keepLines w:val="0"/>
              <w:pageBreakBefore w:val="0"/>
              <w:kinsoku/>
              <w:overflowPunct/>
              <w:topLinePunct w:val="0"/>
              <w:bidi w:val="0"/>
              <w:spacing w:line="360" w:lineRule="auto"/>
              <w:textAlignment w:val="auto"/>
              <w:outlineLvl w:val="9"/>
              <w:rPr>
                <w:rFonts w:hint="eastAsia" w:ascii="宋体" w:hAnsi="宋体" w:eastAsia="宋体" w:cs="宋体"/>
                <w:sz w:val="24"/>
                <w:szCs w:val="24"/>
                <w:lang w:eastAsia="zh-CN" w:bidi="ar"/>
              </w:rPr>
            </w:pPr>
            <w:r>
              <w:rPr>
                <w:rFonts w:hint="eastAsia" w:ascii="宋体" w:hAnsi="宋体" w:eastAsia="宋体" w:cs="宋体"/>
                <w:sz w:val="24"/>
                <w:szCs w:val="24"/>
                <w:lang w:bidi="ar"/>
              </w:rPr>
              <w:t>1.满足《中华人民共和国政府采购法》第二十二条规定</w:t>
            </w:r>
            <w:r>
              <w:rPr>
                <w:rFonts w:hint="eastAsia" w:ascii="宋体" w:hAnsi="宋体" w:eastAsia="宋体" w:cs="宋体"/>
                <w:sz w:val="24"/>
                <w:szCs w:val="24"/>
                <w:lang w:eastAsia="zh-CN" w:bidi="ar"/>
              </w:rPr>
              <w:t>；</w:t>
            </w:r>
          </w:p>
          <w:p w14:paraId="31BC35E9">
            <w:pPr>
              <w:keepNext w:val="0"/>
              <w:keepLines w:val="0"/>
              <w:pageBreakBefore w:val="0"/>
              <w:kinsoku/>
              <w:overflowPunct/>
              <w:topLinePunct w:val="0"/>
              <w:bidi w:val="0"/>
              <w:spacing w:line="360" w:lineRule="auto"/>
              <w:textAlignment w:val="auto"/>
              <w:outlineLvl w:val="9"/>
              <w:rPr>
                <w:rFonts w:hint="eastAsia" w:ascii="宋体" w:hAnsi="宋体" w:eastAsia="宋体" w:cs="宋体"/>
                <w:sz w:val="24"/>
                <w:szCs w:val="24"/>
                <w:lang w:eastAsia="zh-CN" w:bidi="ar"/>
              </w:rPr>
            </w:pPr>
            <w:r>
              <w:rPr>
                <w:rFonts w:hint="eastAsia" w:ascii="宋体" w:hAnsi="宋体" w:eastAsia="宋体" w:cs="宋体"/>
                <w:sz w:val="24"/>
                <w:szCs w:val="24"/>
                <w:lang w:bidi="ar"/>
              </w:rPr>
              <w:t>2.落实政府采购政策满足的资格要求：本项目非专门面向中小微企业采购项目，执行优先采购节能环保、环境标志性产品，促进中小企业（监狱企业、残疾人福利性企业）发展等政府采购政策</w:t>
            </w:r>
            <w:r>
              <w:rPr>
                <w:rFonts w:hint="eastAsia" w:ascii="宋体" w:hAnsi="宋体" w:eastAsia="宋体" w:cs="宋体"/>
                <w:sz w:val="24"/>
                <w:szCs w:val="24"/>
                <w:lang w:eastAsia="zh-CN" w:bidi="ar"/>
              </w:rPr>
              <w:t>；</w:t>
            </w:r>
          </w:p>
          <w:p w14:paraId="42F9AF9B">
            <w:pPr>
              <w:keepNext w:val="0"/>
              <w:keepLines w:val="0"/>
              <w:pageBreakBefore w:val="0"/>
              <w:kinsoku/>
              <w:overflowPunct/>
              <w:topLinePunct w:val="0"/>
              <w:bidi w:val="0"/>
              <w:spacing w:line="360" w:lineRule="auto"/>
              <w:textAlignment w:val="auto"/>
              <w:outlineLvl w:val="9"/>
              <w:rPr>
                <w:rFonts w:hint="eastAsia" w:ascii="宋体" w:hAnsi="宋体" w:eastAsia="宋体" w:cs="宋体"/>
                <w:sz w:val="24"/>
                <w:szCs w:val="24"/>
                <w:lang w:bidi="ar"/>
              </w:rPr>
            </w:pPr>
            <w:r>
              <w:rPr>
                <w:rFonts w:hint="eastAsia" w:ascii="宋体" w:hAnsi="宋体" w:eastAsia="宋体" w:cs="宋体"/>
                <w:sz w:val="24"/>
                <w:szCs w:val="24"/>
                <w:lang w:bidi="ar"/>
              </w:rPr>
              <w:t>3.本项目的特定资格要求：</w:t>
            </w:r>
          </w:p>
          <w:p w14:paraId="029794D5">
            <w:pPr>
              <w:keepNext w:val="0"/>
              <w:keepLines w:val="0"/>
              <w:pageBreakBefore w:val="0"/>
              <w:kinsoku/>
              <w:overflowPunct/>
              <w:topLinePunct w:val="0"/>
              <w:bidi w:val="0"/>
              <w:spacing w:line="360" w:lineRule="auto"/>
              <w:textAlignment w:val="auto"/>
              <w:outlineLvl w:val="9"/>
              <w:rPr>
                <w:rFonts w:hint="eastAsia" w:ascii="宋体" w:hAnsi="宋体" w:eastAsia="宋体" w:cs="宋体"/>
                <w:sz w:val="24"/>
                <w:szCs w:val="24"/>
                <w:lang w:bidi="ar"/>
              </w:rPr>
            </w:pPr>
            <w:r>
              <w:rPr>
                <w:rFonts w:hint="eastAsia" w:ascii="宋体" w:hAnsi="宋体" w:eastAsia="宋体" w:cs="宋体"/>
                <w:sz w:val="24"/>
                <w:szCs w:val="24"/>
                <w:lang w:bidi="ar"/>
              </w:rPr>
              <w:t>3.1</w:t>
            </w:r>
            <w:r>
              <w:rPr>
                <w:rFonts w:hint="eastAsia" w:ascii="宋体" w:hAnsi="宋体" w:eastAsia="宋体" w:cs="宋体"/>
                <w:sz w:val="24"/>
                <w:szCs w:val="24"/>
                <w:lang w:val="en-US" w:eastAsia="zh-CN" w:bidi="ar"/>
              </w:rPr>
              <w:t>供应商</w:t>
            </w:r>
            <w:r>
              <w:rPr>
                <w:rFonts w:hint="eastAsia" w:ascii="宋体" w:hAnsi="宋体" w:eastAsia="宋体" w:cs="宋体"/>
                <w:sz w:val="24"/>
                <w:szCs w:val="24"/>
                <w:lang w:eastAsia="zh-CN" w:bidi="ar"/>
              </w:rPr>
              <w:t>须具有独立法人资格，具有符合本项目所必须的合法有效的营业执照、组织机构代码证、税务登记证或三证合一的营业执照；</w:t>
            </w:r>
          </w:p>
          <w:p w14:paraId="552093DB">
            <w:pPr>
              <w:keepNext w:val="0"/>
              <w:keepLines w:val="0"/>
              <w:pageBreakBefore w:val="0"/>
              <w:kinsoku/>
              <w:overflowPunct/>
              <w:topLinePunct w:val="0"/>
              <w:bidi w:val="0"/>
              <w:spacing w:line="360" w:lineRule="auto"/>
              <w:textAlignment w:val="auto"/>
              <w:outlineLvl w:val="9"/>
              <w:rPr>
                <w:rFonts w:hint="eastAsia" w:ascii="宋体" w:hAnsi="宋体" w:eastAsia="宋体" w:cs="宋体"/>
                <w:sz w:val="24"/>
                <w:szCs w:val="24"/>
                <w:lang w:val="en-US" w:eastAsia="zh-CN" w:bidi="ar"/>
              </w:rPr>
            </w:pPr>
            <w:r>
              <w:rPr>
                <w:rFonts w:hint="eastAsia" w:ascii="宋体" w:hAnsi="宋体" w:eastAsia="宋体" w:cs="宋体"/>
                <w:sz w:val="24"/>
                <w:szCs w:val="24"/>
                <w:lang w:bidi="ar"/>
              </w:rPr>
              <w:t>3.2供应商需提供无商业贿赂及无不正当竞争行为的承诺书</w:t>
            </w:r>
            <w:r>
              <w:rPr>
                <w:rFonts w:hint="eastAsia" w:ascii="宋体" w:hAnsi="宋体" w:eastAsia="宋体" w:cs="宋体"/>
                <w:sz w:val="24"/>
                <w:szCs w:val="24"/>
                <w:lang w:eastAsia="zh-CN" w:bidi="ar"/>
              </w:rPr>
              <w:t>（</w:t>
            </w:r>
            <w:r>
              <w:rPr>
                <w:rFonts w:hint="eastAsia" w:ascii="宋体" w:hAnsi="宋体" w:eastAsia="宋体" w:cs="宋体"/>
                <w:sz w:val="24"/>
                <w:szCs w:val="24"/>
                <w:lang w:val="en-US" w:eastAsia="zh-CN" w:bidi="ar"/>
              </w:rPr>
              <w:t>自行承诺）</w:t>
            </w:r>
            <w:r>
              <w:rPr>
                <w:rFonts w:hint="eastAsia" w:ascii="宋体" w:hAnsi="宋体" w:eastAsia="宋体" w:cs="宋体"/>
                <w:sz w:val="24"/>
                <w:szCs w:val="24"/>
                <w:lang w:eastAsia="zh-CN" w:bidi="ar"/>
              </w:rPr>
              <w:t>；</w:t>
            </w:r>
          </w:p>
          <w:p w14:paraId="43419C9F">
            <w:pPr>
              <w:keepNext w:val="0"/>
              <w:keepLines w:val="0"/>
              <w:pageBreakBefore w:val="0"/>
              <w:kinsoku/>
              <w:overflowPunct/>
              <w:topLinePunct w:val="0"/>
              <w:bidi w:val="0"/>
              <w:spacing w:line="360" w:lineRule="auto"/>
              <w:textAlignment w:val="auto"/>
              <w:outlineLvl w:val="9"/>
              <w:rPr>
                <w:rFonts w:hint="eastAsia" w:ascii="宋体" w:hAnsi="宋体" w:eastAsia="宋体" w:cs="宋体"/>
                <w:sz w:val="24"/>
                <w:szCs w:val="24"/>
                <w:lang w:bidi="ar"/>
              </w:rPr>
            </w:pPr>
            <w:r>
              <w:rPr>
                <w:rFonts w:hint="eastAsia" w:ascii="宋体" w:hAnsi="宋体" w:eastAsia="宋体" w:cs="宋体"/>
                <w:sz w:val="24"/>
                <w:szCs w:val="24"/>
                <w:lang w:bidi="ar"/>
              </w:rPr>
              <w:t>3.3供应商出具无行贿犯罪记录，在中国裁判文书网自行查询或自行承诺（查询对象：企业、法定代表人）；</w:t>
            </w:r>
          </w:p>
          <w:p w14:paraId="62E05FE7">
            <w:pPr>
              <w:keepNext w:val="0"/>
              <w:keepLines w:val="0"/>
              <w:pageBreakBefore w:val="0"/>
              <w:kinsoku/>
              <w:overflowPunct/>
              <w:topLinePunct w:val="0"/>
              <w:bidi w:val="0"/>
              <w:spacing w:line="360" w:lineRule="auto"/>
              <w:textAlignment w:val="auto"/>
              <w:outlineLvl w:val="9"/>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3.4</w:t>
            </w:r>
            <w:r>
              <w:rPr>
                <w:rFonts w:hint="eastAsia" w:ascii="宋体" w:hAnsi="宋体" w:eastAsia="宋体" w:cs="宋体"/>
                <w:sz w:val="24"/>
                <w:szCs w:val="24"/>
                <w:lang w:bidi="ar"/>
              </w:rPr>
              <w:t>参加政府采购活动前三年内，在经营活动中没有重大违法记录</w:t>
            </w:r>
            <w:r>
              <w:rPr>
                <w:rFonts w:hint="eastAsia" w:ascii="宋体" w:hAnsi="宋体" w:eastAsia="宋体" w:cs="宋体"/>
                <w:sz w:val="24"/>
                <w:szCs w:val="24"/>
                <w:lang w:eastAsia="zh-CN" w:bidi="ar"/>
              </w:rPr>
              <w:t>；</w:t>
            </w:r>
            <w:r>
              <w:rPr>
                <w:rFonts w:hint="eastAsia" w:ascii="宋体" w:hAnsi="宋体" w:eastAsia="宋体" w:cs="宋体"/>
                <w:sz w:val="24"/>
                <w:szCs w:val="24"/>
                <w:lang w:bidi="ar"/>
              </w:rPr>
              <w:t>（提供开标前三年内无重大违法记录的书面声明</w:t>
            </w:r>
            <w:r>
              <w:rPr>
                <w:rFonts w:hint="eastAsia" w:ascii="宋体" w:hAnsi="宋体" w:eastAsia="宋体" w:cs="宋体"/>
                <w:sz w:val="24"/>
                <w:szCs w:val="24"/>
                <w:lang w:eastAsia="zh-CN" w:bidi="ar"/>
              </w:rPr>
              <w:t>）；</w:t>
            </w:r>
          </w:p>
          <w:p w14:paraId="34A8E2A6">
            <w:pPr>
              <w:keepNext w:val="0"/>
              <w:keepLines w:val="0"/>
              <w:pageBreakBefore w:val="0"/>
              <w:kinsoku/>
              <w:overflowPunct/>
              <w:topLinePunct w:val="0"/>
              <w:bidi w:val="0"/>
              <w:spacing w:line="360" w:lineRule="auto"/>
              <w:textAlignment w:val="auto"/>
              <w:outlineLvl w:val="9"/>
              <w:rPr>
                <w:rFonts w:hint="eastAsia" w:ascii="宋体" w:hAnsi="宋体" w:eastAsia="宋体" w:cs="宋体"/>
                <w:sz w:val="24"/>
                <w:szCs w:val="24"/>
                <w:lang w:eastAsia="zh-CN" w:bidi="ar"/>
              </w:rPr>
            </w:pPr>
            <w:r>
              <w:rPr>
                <w:rFonts w:hint="eastAsia" w:ascii="宋体" w:hAnsi="宋体" w:eastAsia="宋体" w:cs="宋体"/>
                <w:sz w:val="24"/>
                <w:szCs w:val="24"/>
                <w:lang w:bidi="ar"/>
              </w:rPr>
              <w:t>3.</w:t>
            </w:r>
            <w:r>
              <w:rPr>
                <w:rFonts w:hint="eastAsia" w:ascii="宋体" w:hAnsi="宋体" w:eastAsia="宋体" w:cs="宋体"/>
                <w:sz w:val="24"/>
                <w:szCs w:val="24"/>
                <w:lang w:val="en-US" w:eastAsia="zh-CN" w:bidi="ar"/>
              </w:rPr>
              <w:t>5</w:t>
            </w:r>
            <w:r>
              <w:rPr>
                <w:rFonts w:hint="eastAsia" w:ascii="宋体" w:hAnsi="宋体" w:eastAsia="宋体" w:cs="宋体"/>
                <w:sz w:val="24"/>
                <w:szCs w:val="24"/>
                <w:lang w:bidi="ar"/>
              </w:rPr>
              <w:t>根据《关于在政府采购活动中查询及使用信用记录有关问题的通知》(财库[2016]125号)和豫财购【2016】15号的规定，对列入失信被执行人、重大税收违法失信主体、政府采购严重违法失信行为记录名单的</w:t>
            </w:r>
            <w:r>
              <w:rPr>
                <w:rFonts w:hint="eastAsia" w:ascii="宋体" w:hAnsi="宋体" w:eastAsia="宋体" w:cs="宋体"/>
                <w:sz w:val="24"/>
                <w:szCs w:val="24"/>
                <w:lang w:eastAsia="zh-CN" w:bidi="ar"/>
              </w:rPr>
              <w:t>供应商</w:t>
            </w:r>
            <w:r>
              <w:rPr>
                <w:rFonts w:hint="eastAsia" w:ascii="宋体" w:hAnsi="宋体" w:eastAsia="宋体" w:cs="宋体"/>
                <w:sz w:val="24"/>
                <w:szCs w:val="24"/>
                <w:lang w:bidi="ar"/>
              </w:rPr>
              <w:t>，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提供网站的查询结果截图，截图要显示查询时间，查询时间自本公告发布之日起</w:t>
            </w:r>
            <w:r>
              <w:rPr>
                <w:rFonts w:hint="eastAsia" w:ascii="宋体" w:hAnsi="宋体" w:eastAsia="宋体" w:cs="宋体"/>
                <w:sz w:val="24"/>
                <w:szCs w:val="24"/>
                <w:lang w:eastAsia="zh-CN" w:bidi="ar"/>
              </w:rPr>
              <w:t>；</w:t>
            </w:r>
            <w:r>
              <w:rPr>
                <w:rFonts w:hint="eastAsia" w:ascii="宋体" w:hAnsi="宋体" w:eastAsia="宋体" w:cs="宋体"/>
                <w:sz w:val="24"/>
                <w:szCs w:val="24"/>
                <w:lang w:val="en-US" w:eastAsia="zh-CN" w:bidi="ar"/>
              </w:rPr>
              <w:t xml:space="preserve"> </w:t>
            </w:r>
          </w:p>
          <w:p w14:paraId="5307CC76">
            <w:pPr>
              <w:keepNext w:val="0"/>
              <w:keepLines w:val="0"/>
              <w:pageBreakBefore w:val="0"/>
              <w:kinsoku/>
              <w:overflowPunct/>
              <w:topLinePunct w:val="0"/>
              <w:bidi w:val="0"/>
              <w:spacing w:line="360" w:lineRule="auto"/>
              <w:textAlignment w:val="auto"/>
              <w:outlineLvl w:val="9"/>
              <w:rPr>
                <w:rFonts w:hint="eastAsia" w:ascii="宋体" w:hAnsi="宋体" w:eastAsia="宋体" w:cs="宋体"/>
                <w:sz w:val="24"/>
                <w:szCs w:val="24"/>
                <w:lang w:bidi="ar"/>
              </w:rPr>
            </w:pPr>
            <w:r>
              <w:rPr>
                <w:rFonts w:hint="eastAsia" w:ascii="宋体" w:hAnsi="宋体" w:eastAsia="宋体" w:cs="宋体"/>
                <w:sz w:val="24"/>
                <w:szCs w:val="24"/>
                <w:lang w:bidi="ar"/>
              </w:rPr>
              <w:t>3.</w:t>
            </w:r>
            <w:r>
              <w:rPr>
                <w:rFonts w:hint="eastAsia" w:ascii="宋体" w:hAnsi="宋体" w:eastAsia="宋体" w:cs="宋体"/>
                <w:sz w:val="24"/>
                <w:szCs w:val="24"/>
                <w:lang w:val="en-US" w:eastAsia="zh-CN" w:bidi="ar"/>
              </w:rPr>
              <w:t>6</w:t>
            </w:r>
            <w:r>
              <w:rPr>
                <w:rFonts w:hint="eastAsia" w:ascii="宋体" w:hAnsi="宋体" w:eastAsia="宋体" w:cs="宋体"/>
                <w:sz w:val="24"/>
                <w:szCs w:val="24"/>
                <w:lang w:bidi="ar"/>
              </w:rPr>
              <w:t>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p>
          <w:p w14:paraId="53AE491F">
            <w:pPr>
              <w:keepNext w:val="0"/>
              <w:keepLines w:val="0"/>
              <w:pageBreakBefore w:val="0"/>
              <w:kinsoku/>
              <w:overflowPunct/>
              <w:topLinePunct w:val="0"/>
              <w:bidi w:val="0"/>
              <w:spacing w:line="360" w:lineRule="auto"/>
              <w:textAlignment w:val="auto"/>
              <w:outlineLvl w:val="9"/>
              <w:rPr>
                <w:rFonts w:hint="eastAsia" w:ascii="宋体" w:hAnsi="宋体" w:eastAsia="宋体" w:cs="宋体"/>
                <w:sz w:val="24"/>
                <w:szCs w:val="24"/>
                <w:lang w:eastAsia="zh-CN" w:bidi="ar"/>
              </w:rPr>
            </w:pPr>
            <w:r>
              <w:rPr>
                <w:rFonts w:hint="eastAsia" w:ascii="宋体" w:hAnsi="宋体" w:eastAsia="宋体" w:cs="宋体"/>
                <w:sz w:val="24"/>
                <w:szCs w:val="24"/>
                <w:lang w:val="en-US" w:eastAsia="zh-CN" w:bidi="ar"/>
              </w:rPr>
              <w:t>4.</w:t>
            </w:r>
            <w:r>
              <w:rPr>
                <w:rFonts w:hint="eastAsia" w:ascii="宋体" w:hAnsi="宋体" w:eastAsia="宋体" w:cs="宋体"/>
                <w:sz w:val="24"/>
                <w:szCs w:val="24"/>
                <w:lang w:bidi="ar"/>
              </w:rPr>
              <w:t>本项目不接受联合体投标，提供非联合体投标承诺，格式自拟</w:t>
            </w:r>
            <w:r>
              <w:rPr>
                <w:rFonts w:hint="eastAsia" w:ascii="宋体" w:hAnsi="宋体" w:eastAsia="宋体" w:cs="宋体"/>
                <w:sz w:val="24"/>
                <w:szCs w:val="24"/>
                <w:lang w:eastAsia="zh-CN" w:bidi="ar"/>
              </w:rPr>
              <w:t>；</w:t>
            </w:r>
          </w:p>
          <w:p w14:paraId="5ABE4135">
            <w:pPr>
              <w:keepNext w:val="0"/>
              <w:keepLines w:val="0"/>
              <w:pageBreakBefore w:val="0"/>
              <w:kinsoku/>
              <w:overflowPunct/>
              <w:topLinePunct w:val="0"/>
              <w:bidi w:val="0"/>
              <w:spacing w:line="360" w:lineRule="auto"/>
              <w:textAlignment w:val="auto"/>
              <w:outlineLvl w:val="9"/>
              <w:rPr>
                <w:rFonts w:hint="eastAsia" w:ascii="宋体" w:hAnsi="宋体" w:eastAsia="宋体" w:cs="宋体"/>
                <w:sz w:val="24"/>
                <w:szCs w:val="24"/>
                <w:lang w:bidi="ar"/>
              </w:rPr>
            </w:pPr>
            <w:r>
              <w:rPr>
                <w:rFonts w:hint="eastAsia" w:ascii="宋体" w:hAnsi="宋体" w:eastAsia="宋体" w:cs="宋体"/>
                <w:sz w:val="24"/>
                <w:szCs w:val="24"/>
                <w:lang w:val="en-US" w:eastAsia="zh-CN" w:bidi="ar"/>
              </w:rPr>
              <w:t>5.</w:t>
            </w:r>
            <w:r>
              <w:rPr>
                <w:rFonts w:hint="eastAsia" w:ascii="宋体" w:hAnsi="宋体" w:eastAsia="宋体" w:cs="宋体"/>
                <w:sz w:val="24"/>
                <w:szCs w:val="24"/>
                <w:lang w:bidi="ar"/>
              </w:rPr>
              <w:t>本次采购实行资格后审，资格审查的具体要求见</w:t>
            </w:r>
            <w:r>
              <w:rPr>
                <w:rFonts w:hint="eastAsia" w:ascii="宋体" w:hAnsi="宋体" w:eastAsia="宋体" w:cs="宋体"/>
                <w:sz w:val="24"/>
                <w:szCs w:val="24"/>
                <w:lang w:val="en-US" w:eastAsia="zh-CN" w:bidi="ar"/>
              </w:rPr>
              <w:t>磋商</w:t>
            </w:r>
            <w:r>
              <w:rPr>
                <w:rFonts w:hint="eastAsia" w:ascii="宋体" w:hAnsi="宋体" w:eastAsia="宋体" w:cs="宋体"/>
                <w:sz w:val="24"/>
                <w:szCs w:val="24"/>
                <w:lang w:bidi="ar"/>
              </w:rPr>
              <w:t>文件。</w:t>
            </w:r>
          </w:p>
        </w:tc>
      </w:tr>
      <w:tr w14:paraId="3EE501AD">
        <w:tblPrEx>
          <w:tblCellMar>
            <w:top w:w="0" w:type="dxa"/>
            <w:left w:w="108" w:type="dxa"/>
            <w:bottom w:w="0" w:type="dxa"/>
            <w:right w:w="108" w:type="dxa"/>
          </w:tblCellMar>
        </w:tblPrEx>
        <w:trPr>
          <w:trHeight w:val="52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1418C5B7">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1992" w:type="dxa"/>
            <w:tcBorders>
              <w:top w:val="single" w:color="auto" w:sz="4" w:space="0"/>
              <w:left w:val="nil"/>
              <w:bottom w:val="single" w:color="auto" w:sz="4" w:space="0"/>
              <w:right w:val="single" w:color="auto" w:sz="4" w:space="0"/>
            </w:tcBorders>
            <w:vAlign w:val="center"/>
          </w:tcPr>
          <w:p w14:paraId="186E9F1E">
            <w:pPr>
              <w:keepLines/>
              <w:spacing w:line="360" w:lineRule="auto"/>
              <w:jc w:val="center"/>
              <w:rPr>
                <w:rFonts w:hint="eastAsia" w:ascii="宋体" w:hAnsi="宋体" w:eastAsia="宋体" w:cs="宋体"/>
                <w:sz w:val="24"/>
                <w:szCs w:val="24"/>
              </w:rPr>
            </w:pPr>
            <w:r>
              <w:rPr>
                <w:rFonts w:hint="eastAsia" w:ascii="宋体" w:hAnsi="宋体" w:eastAsia="宋体" w:cs="宋体"/>
                <w:color w:val="auto"/>
                <w:kern w:val="0"/>
                <w:sz w:val="24"/>
                <w:szCs w:val="24"/>
                <w:highlight w:val="none"/>
              </w:rPr>
              <w:t>是否接受联合体投标</w:t>
            </w:r>
          </w:p>
        </w:tc>
        <w:tc>
          <w:tcPr>
            <w:tcW w:w="7393" w:type="dxa"/>
            <w:tcBorders>
              <w:top w:val="single" w:color="auto" w:sz="4" w:space="0"/>
              <w:left w:val="nil"/>
              <w:bottom w:val="single" w:color="auto" w:sz="4" w:space="0"/>
              <w:right w:val="single" w:color="auto" w:sz="4" w:space="0"/>
            </w:tcBorders>
            <w:vAlign w:val="center"/>
          </w:tcPr>
          <w:p w14:paraId="71A6E564">
            <w:pPr>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t>不接受</w:t>
            </w:r>
          </w:p>
        </w:tc>
      </w:tr>
      <w:tr w14:paraId="68DE67A9">
        <w:tblPrEx>
          <w:tblCellMar>
            <w:top w:w="0" w:type="dxa"/>
            <w:left w:w="108" w:type="dxa"/>
            <w:bottom w:w="0" w:type="dxa"/>
            <w:right w:w="108" w:type="dxa"/>
          </w:tblCellMar>
        </w:tblPrEx>
        <w:trPr>
          <w:trHeight w:val="52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53012D1">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1992" w:type="dxa"/>
            <w:tcBorders>
              <w:top w:val="single" w:color="auto" w:sz="4" w:space="0"/>
              <w:left w:val="nil"/>
              <w:bottom w:val="single" w:color="auto" w:sz="4" w:space="0"/>
              <w:right w:val="single" w:color="auto" w:sz="4" w:space="0"/>
            </w:tcBorders>
            <w:shd w:val="clear" w:color="auto" w:fill="auto"/>
            <w:vAlign w:val="center"/>
          </w:tcPr>
          <w:p w14:paraId="367F9304">
            <w:pPr>
              <w:spacing w:line="420" w:lineRule="exact"/>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偏离</w:t>
            </w:r>
          </w:p>
        </w:tc>
        <w:tc>
          <w:tcPr>
            <w:tcW w:w="7393" w:type="dxa"/>
            <w:tcBorders>
              <w:top w:val="single" w:color="auto" w:sz="4" w:space="0"/>
              <w:left w:val="nil"/>
              <w:bottom w:val="single" w:color="auto" w:sz="4" w:space="0"/>
              <w:right w:val="single" w:color="auto" w:sz="4" w:space="0"/>
            </w:tcBorders>
            <w:shd w:val="clear" w:color="auto" w:fill="auto"/>
            <w:vAlign w:val="center"/>
          </w:tcPr>
          <w:p w14:paraId="07549080">
            <w:pPr>
              <w:spacing w:line="42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允许正偏离。</w:t>
            </w:r>
          </w:p>
        </w:tc>
      </w:tr>
      <w:tr w14:paraId="74A543BB">
        <w:tblPrEx>
          <w:tblCellMar>
            <w:top w:w="0" w:type="dxa"/>
            <w:left w:w="108" w:type="dxa"/>
            <w:bottom w:w="0" w:type="dxa"/>
            <w:right w:w="108" w:type="dxa"/>
          </w:tblCellMar>
        </w:tblPrEx>
        <w:trPr>
          <w:trHeight w:val="57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3526765">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1992" w:type="dxa"/>
            <w:tcBorders>
              <w:top w:val="single" w:color="auto" w:sz="4" w:space="0"/>
              <w:left w:val="nil"/>
              <w:bottom w:val="single" w:color="auto" w:sz="4" w:space="0"/>
              <w:right w:val="single" w:color="auto" w:sz="4" w:space="0"/>
            </w:tcBorders>
            <w:shd w:val="clear" w:color="auto" w:fill="auto"/>
            <w:vAlign w:val="center"/>
          </w:tcPr>
          <w:p w14:paraId="0EC5FFCF">
            <w:pPr>
              <w:keepLines w:val="0"/>
              <w:adjustRightInd w:val="0"/>
              <w:spacing w:line="360" w:lineRule="auto"/>
              <w:jc w:val="center"/>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踏勘现场</w:t>
            </w:r>
          </w:p>
        </w:tc>
        <w:tc>
          <w:tcPr>
            <w:tcW w:w="7393" w:type="dxa"/>
            <w:tcBorders>
              <w:top w:val="single" w:color="auto" w:sz="4" w:space="0"/>
              <w:left w:val="nil"/>
              <w:bottom w:val="single" w:color="auto" w:sz="4" w:space="0"/>
              <w:right w:val="single" w:color="auto" w:sz="4" w:space="0"/>
            </w:tcBorders>
            <w:shd w:val="clear" w:color="auto" w:fill="auto"/>
            <w:vAlign w:val="center"/>
          </w:tcPr>
          <w:p w14:paraId="28237063">
            <w:pPr>
              <w:topLinePunct/>
              <w:adjustRightInd w:val="0"/>
              <w:spacing w:line="360" w:lineRule="auto"/>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不组织，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自行踏勘</w:t>
            </w:r>
          </w:p>
        </w:tc>
      </w:tr>
      <w:tr w14:paraId="24E2BF03">
        <w:tblPrEx>
          <w:tblCellMar>
            <w:top w:w="0" w:type="dxa"/>
            <w:left w:w="108" w:type="dxa"/>
            <w:bottom w:w="0" w:type="dxa"/>
            <w:right w:w="108" w:type="dxa"/>
          </w:tblCellMar>
        </w:tblPrEx>
        <w:trPr>
          <w:trHeight w:val="57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A00E4C8">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1992" w:type="dxa"/>
            <w:tcBorders>
              <w:top w:val="single" w:color="auto" w:sz="4" w:space="0"/>
              <w:left w:val="nil"/>
              <w:bottom w:val="single" w:color="auto" w:sz="4" w:space="0"/>
              <w:right w:val="single" w:color="auto" w:sz="4" w:space="0"/>
            </w:tcBorders>
            <w:shd w:val="clear" w:color="auto" w:fill="auto"/>
            <w:vAlign w:val="center"/>
          </w:tcPr>
          <w:p w14:paraId="026DA5FD">
            <w:pPr>
              <w:autoSpaceDE w:val="0"/>
              <w:autoSpaceDN w:val="0"/>
              <w:adjustRightInd w:val="0"/>
              <w:spacing w:line="360" w:lineRule="auto"/>
              <w:ind w:right="-20" w:rightChars="0"/>
              <w:jc w:val="center"/>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rPr>
              <w:t>磋商预备会</w:t>
            </w:r>
          </w:p>
        </w:tc>
        <w:tc>
          <w:tcPr>
            <w:tcW w:w="7393" w:type="dxa"/>
            <w:tcBorders>
              <w:top w:val="single" w:color="auto" w:sz="4" w:space="0"/>
              <w:left w:val="nil"/>
              <w:bottom w:val="single" w:color="auto" w:sz="4" w:space="0"/>
              <w:right w:val="single" w:color="auto" w:sz="4" w:space="0"/>
            </w:tcBorders>
            <w:shd w:val="clear" w:color="auto" w:fill="auto"/>
            <w:vAlign w:val="center"/>
          </w:tcPr>
          <w:p w14:paraId="52CB1CA0">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不召开</w:t>
            </w:r>
          </w:p>
        </w:tc>
      </w:tr>
      <w:tr w14:paraId="67609767">
        <w:tblPrEx>
          <w:tblCellMar>
            <w:top w:w="0" w:type="dxa"/>
            <w:left w:w="108" w:type="dxa"/>
            <w:bottom w:w="0" w:type="dxa"/>
            <w:right w:w="108" w:type="dxa"/>
          </w:tblCellMar>
        </w:tblPrEx>
        <w:trPr>
          <w:trHeight w:val="570"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3EB99BCC">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16</w:t>
            </w:r>
          </w:p>
        </w:tc>
        <w:tc>
          <w:tcPr>
            <w:tcW w:w="1992" w:type="dxa"/>
            <w:tcBorders>
              <w:top w:val="single" w:color="auto" w:sz="4" w:space="0"/>
              <w:left w:val="nil"/>
              <w:bottom w:val="single" w:color="auto" w:sz="4" w:space="0"/>
              <w:right w:val="single" w:color="auto" w:sz="4" w:space="0"/>
            </w:tcBorders>
            <w:vAlign w:val="center"/>
          </w:tcPr>
          <w:p w14:paraId="12DB111D">
            <w:pPr>
              <w:autoSpaceDE/>
              <w:autoSpaceDN/>
              <w:adjustRightInd/>
              <w:spacing w:beforeLines="0" w:afterLines="0" w:line="400" w:lineRule="exact"/>
              <w:ind w:right="0"/>
              <w:jc w:val="center"/>
              <w:outlineLvl w:val="9"/>
              <w:rPr>
                <w:rFonts w:hint="eastAsia" w:ascii="宋体" w:hAnsi="宋体" w:eastAsia="宋体" w:cs="宋体"/>
                <w:kern w:val="0"/>
                <w:sz w:val="24"/>
                <w:szCs w:val="24"/>
              </w:rPr>
            </w:pPr>
            <w:r>
              <w:rPr>
                <w:rFonts w:hint="eastAsia" w:ascii="宋体" w:hAnsi="宋体" w:eastAsia="宋体" w:cs="宋体"/>
                <w:sz w:val="24"/>
                <w:szCs w:val="24"/>
              </w:rPr>
              <w:t>响应人要求澄清竞争性磋商文件的截止时间</w:t>
            </w:r>
          </w:p>
        </w:tc>
        <w:tc>
          <w:tcPr>
            <w:tcW w:w="7393" w:type="dxa"/>
            <w:tcBorders>
              <w:top w:val="single" w:color="auto" w:sz="4" w:space="0"/>
              <w:left w:val="nil"/>
              <w:bottom w:val="single" w:color="auto" w:sz="4" w:space="0"/>
              <w:right w:val="single" w:color="auto" w:sz="4" w:space="0"/>
            </w:tcBorders>
            <w:vAlign w:val="center"/>
          </w:tcPr>
          <w:p w14:paraId="31B114AF">
            <w:pPr>
              <w:spacing w:beforeLines="0" w:afterLines="0" w:line="400" w:lineRule="exact"/>
              <w:ind w:firstLine="0" w:firstLineChars="0"/>
              <w:outlineLvl w:val="9"/>
              <w:rPr>
                <w:rFonts w:hint="eastAsia" w:ascii="宋体" w:hAnsi="宋体" w:eastAsia="宋体" w:cs="宋体"/>
                <w:sz w:val="24"/>
                <w:szCs w:val="24"/>
              </w:rPr>
            </w:pPr>
            <w:r>
              <w:rPr>
                <w:rFonts w:hint="eastAsia" w:ascii="宋体" w:hAnsi="宋体" w:eastAsia="宋体" w:cs="宋体"/>
                <w:sz w:val="24"/>
                <w:szCs w:val="24"/>
              </w:rPr>
              <w:t>响应文件递交截止时间5日前</w:t>
            </w:r>
          </w:p>
        </w:tc>
      </w:tr>
      <w:tr w14:paraId="44876BAD">
        <w:tblPrEx>
          <w:tblCellMar>
            <w:top w:w="0" w:type="dxa"/>
            <w:left w:w="108" w:type="dxa"/>
            <w:bottom w:w="0" w:type="dxa"/>
            <w:right w:w="108" w:type="dxa"/>
          </w:tblCellMar>
        </w:tblPrEx>
        <w:trPr>
          <w:trHeight w:val="570"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58A2BD4F">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17</w:t>
            </w:r>
          </w:p>
        </w:tc>
        <w:tc>
          <w:tcPr>
            <w:tcW w:w="1992" w:type="dxa"/>
            <w:tcBorders>
              <w:top w:val="single" w:color="auto" w:sz="4" w:space="0"/>
              <w:left w:val="nil"/>
              <w:bottom w:val="single" w:color="auto" w:sz="4" w:space="0"/>
              <w:right w:val="single" w:color="auto" w:sz="4" w:space="0"/>
            </w:tcBorders>
            <w:vAlign w:val="center"/>
          </w:tcPr>
          <w:p w14:paraId="0DDF7B6A">
            <w:pPr>
              <w:autoSpaceDE/>
              <w:autoSpaceDN/>
              <w:adjustRightInd/>
              <w:spacing w:beforeLines="0" w:afterLines="0" w:line="400" w:lineRule="exact"/>
              <w:ind w:right="0"/>
              <w:jc w:val="center"/>
              <w:outlineLvl w:val="9"/>
              <w:rPr>
                <w:rFonts w:hint="eastAsia" w:ascii="宋体" w:hAnsi="宋体" w:eastAsia="宋体" w:cs="宋体"/>
                <w:kern w:val="0"/>
                <w:sz w:val="24"/>
                <w:szCs w:val="24"/>
              </w:rPr>
            </w:pPr>
            <w:r>
              <w:rPr>
                <w:rFonts w:hint="eastAsia" w:ascii="宋体" w:hAnsi="宋体" w:eastAsia="宋体" w:cs="宋体"/>
                <w:sz w:val="24"/>
                <w:szCs w:val="24"/>
              </w:rPr>
              <w:t>响应人确认收到竞争性磋商文件澄清的时间</w:t>
            </w:r>
          </w:p>
        </w:tc>
        <w:tc>
          <w:tcPr>
            <w:tcW w:w="7393" w:type="dxa"/>
            <w:tcBorders>
              <w:top w:val="single" w:color="auto" w:sz="4" w:space="0"/>
              <w:left w:val="nil"/>
              <w:bottom w:val="single" w:color="auto" w:sz="4" w:space="0"/>
              <w:right w:val="single" w:color="auto" w:sz="4" w:space="0"/>
            </w:tcBorders>
            <w:vAlign w:val="center"/>
          </w:tcPr>
          <w:p w14:paraId="4EA07788">
            <w:pPr>
              <w:spacing w:beforeLines="0" w:afterLines="0" w:line="400" w:lineRule="exact"/>
              <w:ind w:firstLine="0" w:firstLineChars="0"/>
              <w:outlineLvl w:val="9"/>
              <w:rPr>
                <w:rFonts w:hint="eastAsia" w:ascii="宋体" w:hAnsi="宋体" w:eastAsia="宋体" w:cs="宋体"/>
                <w:sz w:val="24"/>
                <w:szCs w:val="24"/>
              </w:rPr>
            </w:pPr>
            <w:r>
              <w:rPr>
                <w:rFonts w:hint="eastAsia" w:ascii="宋体" w:hAnsi="宋体" w:eastAsia="宋体" w:cs="宋体"/>
                <w:sz w:val="24"/>
                <w:szCs w:val="24"/>
              </w:rPr>
              <w:t>在收到相应澄清文件后</w:t>
            </w:r>
            <w:r>
              <w:rPr>
                <w:rFonts w:hint="eastAsia" w:ascii="宋体" w:hAnsi="宋体" w:eastAsia="宋体" w:cs="宋体"/>
                <w:sz w:val="24"/>
                <w:szCs w:val="24"/>
                <w:u w:val="single"/>
              </w:rPr>
              <w:t xml:space="preserve"> 24 </w:t>
            </w:r>
            <w:r>
              <w:rPr>
                <w:rFonts w:hint="eastAsia" w:ascii="宋体" w:hAnsi="宋体" w:eastAsia="宋体" w:cs="宋体"/>
                <w:sz w:val="24"/>
                <w:szCs w:val="24"/>
              </w:rPr>
              <w:t>小时内</w:t>
            </w:r>
          </w:p>
        </w:tc>
      </w:tr>
      <w:tr w14:paraId="50715D66">
        <w:tblPrEx>
          <w:tblCellMar>
            <w:top w:w="0" w:type="dxa"/>
            <w:left w:w="108" w:type="dxa"/>
            <w:bottom w:w="0" w:type="dxa"/>
            <w:right w:w="108" w:type="dxa"/>
          </w:tblCellMar>
        </w:tblPrEx>
        <w:trPr>
          <w:trHeight w:val="570"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10B1039D">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18</w:t>
            </w:r>
          </w:p>
        </w:tc>
        <w:tc>
          <w:tcPr>
            <w:tcW w:w="1992" w:type="dxa"/>
            <w:tcBorders>
              <w:top w:val="single" w:color="auto" w:sz="4" w:space="0"/>
              <w:left w:val="nil"/>
              <w:bottom w:val="single" w:color="auto" w:sz="4" w:space="0"/>
              <w:right w:val="single" w:color="auto" w:sz="4" w:space="0"/>
            </w:tcBorders>
            <w:vAlign w:val="center"/>
          </w:tcPr>
          <w:p w14:paraId="20217AF8">
            <w:pPr>
              <w:autoSpaceDE/>
              <w:autoSpaceDN/>
              <w:adjustRightInd/>
              <w:spacing w:beforeLines="0" w:afterLines="0" w:line="400" w:lineRule="exact"/>
              <w:ind w:right="0"/>
              <w:jc w:val="center"/>
              <w:outlineLvl w:val="9"/>
              <w:rPr>
                <w:rFonts w:hint="eastAsia" w:ascii="宋体" w:hAnsi="宋体" w:eastAsia="宋体" w:cs="宋体"/>
                <w:kern w:val="0"/>
                <w:sz w:val="24"/>
                <w:szCs w:val="24"/>
              </w:rPr>
            </w:pPr>
            <w:r>
              <w:rPr>
                <w:rFonts w:hint="eastAsia" w:ascii="宋体" w:hAnsi="宋体" w:eastAsia="宋体" w:cs="宋体"/>
                <w:sz w:val="24"/>
                <w:szCs w:val="24"/>
              </w:rPr>
              <w:t>响应人确认收到竞争性磋商文件修改的时间</w:t>
            </w:r>
          </w:p>
        </w:tc>
        <w:tc>
          <w:tcPr>
            <w:tcW w:w="7393" w:type="dxa"/>
            <w:tcBorders>
              <w:top w:val="single" w:color="auto" w:sz="4" w:space="0"/>
              <w:left w:val="nil"/>
              <w:bottom w:val="single" w:color="auto" w:sz="4" w:space="0"/>
              <w:right w:val="single" w:color="auto" w:sz="4" w:space="0"/>
            </w:tcBorders>
            <w:vAlign w:val="center"/>
          </w:tcPr>
          <w:p w14:paraId="000445B8">
            <w:pPr>
              <w:spacing w:beforeLines="0" w:afterLines="0" w:line="400" w:lineRule="exact"/>
              <w:ind w:firstLine="0" w:firstLineChars="0"/>
              <w:outlineLvl w:val="9"/>
              <w:rPr>
                <w:rFonts w:hint="eastAsia" w:ascii="宋体" w:hAnsi="宋体" w:eastAsia="宋体" w:cs="宋体"/>
                <w:sz w:val="24"/>
                <w:szCs w:val="24"/>
              </w:rPr>
            </w:pPr>
            <w:r>
              <w:rPr>
                <w:rFonts w:hint="eastAsia" w:ascii="宋体" w:hAnsi="宋体" w:eastAsia="宋体" w:cs="宋体"/>
                <w:sz w:val="24"/>
                <w:szCs w:val="24"/>
              </w:rPr>
              <w:t>在收到相应修改文件后</w:t>
            </w:r>
            <w:r>
              <w:rPr>
                <w:rFonts w:hint="eastAsia" w:ascii="宋体" w:hAnsi="宋体" w:eastAsia="宋体" w:cs="宋体"/>
                <w:sz w:val="24"/>
                <w:szCs w:val="24"/>
                <w:u w:val="single"/>
              </w:rPr>
              <w:t xml:space="preserve"> 24</w:t>
            </w:r>
            <w:r>
              <w:rPr>
                <w:rFonts w:hint="eastAsia" w:ascii="宋体" w:hAnsi="宋体" w:eastAsia="宋体" w:cs="宋体"/>
                <w:sz w:val="24"/>
                <w:szCs w:val="24"/>
              </w:rPr>
              <w:t>小时内</w:t>
            </w:r>
          </w:p>
        </w:tc>
      </w:tr>
      <w:tr w14:paraId="1A2B77D1">
        <w:tblPrEx>
          <w:tblCellMar>
            <w:top w:w="0" w:type="dxa"/>
            <w:left w:w="108" w:type="dxa"/>
            <w:bottom w:w="0" w:type="dxa"/>
            <w:right w:w="108" w:type="dxa"/>
          </w:tblCellMar>
        </w:tblPrEx>
        <w:trPr>
          <w:trHeight w:val="570"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69C35AF">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19</w:t>
            </w:r>
          </w:p>
        </w:tc>
        <w:tc>
          <w:tcPr>
            <w:tcW w:w="1992" w:type="dxa"/>
            <w:tcBorders>
              <w:top w:val="single" w:color="auto" w:sz="4" w:space="0"/>
              <w:left w:val="nil"/>
              <w:bottom w:val="single" w:color="auto" w:sz="4" w:space="0"/>
              <w:right w:val="single" w:color="auto" w:sz="4" w:space="0"/>
            </w:tcBorders>
            <w:shd w:val="clear" w:color="auto" w:fill="auto"/>
            <w:vAlign w:val="center"/>
          </w:tcPr>
          <w:p w14:paraId="1D83A791">
            <w:pPr>
              <w:spacing w:line="420" w:lineRule="exact"/>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响应性文件递交截止时间及地点</w:t>
            </w:r>
          </w:p>
        </w:tc>
        <w:tc>
          <w:tcPr>
            <w:tcW w:w="7393" w:type="dxa"/>
            <w:tcBorders>
              <w:top w:val="single" w:color="auto" w:sz="4" w:space="0"/>
              <w:left w:val="nil"/>
              <w:bottom w:val="single" w:color="auto" w:sz="4" w:space="0"/>
              <w:right w:val="single" w:color="auto" w:sz="4" w:space="0"/>
            </w:tcBorders>
            <w:shd w:val="clear" w:color="auto" w:fill="auto"/>
            <w:vAlign w:val="center"/>
          </w:tcPr>
          <w:p w14:paraId="1C02AFB7">
            <w:pPr>
              <w:spacing w:beforeLines="0" w:afterLines="0" w:line="400" w:lineRule="exact"/>
              <w:ind w:firstLine="0" w:firstLineChars="0"/>
              <w:outlineLvl w:val="9"/>
              <w:rPr>
                <w:rFonts w:hint="eastAsia" w:ascii="宋体" w:hAnsi="宋体" w:eastAsia="宋体" w:cs="宋体"/>
                <w:sz w:val="24"/>
                <w:szCs w:val="24"/>
              </w:rPr>
            </w:pPr>
            <w:r>
              <w:rPr>
                <w:rFonts w:hint="eastAsia" w:ascii="宋体" w:hAnsi="宋体" w:eastAsia="宋体" w:cs="宋体"/>
                <w:sz w:val="24"/>
                <w:szCs w:val="24"/>
              </w:rPr>
              <w:t>时间：</w:t>
            </w:r>
            <w:r>
              <w:rPr>
                <w:rFonts w:hint="eastAsia" w:ascii="宋体" w:hAnsi="宋体" w:eastAsia="宋体" w:cs="宋体"/>
                <w:sz w:val="24"/>
                <w:szCs w:val="24"/>
                <w:lang w:val="zh-CN" w:eastAsia="zh-CN"/>
              </w:rPr>
              <w:t>202</w:t>
            </w:r>
            <w:r>
              <w:rPr>
                <w:rFonts w:hint="eastAsia" w:ascii="宋体" w:hAnsi="宋体" w:eastAsia="宋体" w:cs="宋体"/>
                <w:sz w:val="24"/>
                <w:szCs w:val="24"/>
                <w:lang w:val="en-US" w:eastAsia="zh-CN"/>
              </w:rPr>
              <w:t>6</w:t>
            </w:r>
            <w:r>
              <w:rPr>
                <w:rFonts w:hint="eastAsia" w:ascii="宋体" w:hAnsi="宋体" w:eastAsia="宋体" w:cs="宋体"/>
                <w:sz w:val="24"/>
                <w:szCs w:val="24"/>
                <w:lang w:val="zh-CN" w:eastAsia="zh-CN"/>
              </w:rPr>
              <w:t>年</w:t>
            </w:r>
            <w:r>
              <w:rPr>
                <w:rFonts w:hint="eastAsia" w:ascii="宋体" w:hAnsi="宋体" w:eastAsia="宋体" w:cs="宋体"/>
                <w:sz w:val="24"/>
                <w:szCs w:val="24"/>
                <w:lang w:val="en-US" w:eastAsia="zh-CN"/>
              </w:rPr>
              <w:t>8</w:t>
            </w:r>
            <w:r>
              <w:rPr>
                <w:rFonts w:hint="eastAsia" w:ascii="宋体" w:hAnsi="宋体" w:eastAsia="宋体" w:cs="宋体"/>
                <w:sz w:val="24"/>
                <w:szCs w:val="24"/>
                <w:lang w:val="zh-CN" w:eastAsia="zh-CN"/>
              </w:rPr>
              <w:t>月</w:t>
            </w:r>
            <w:r>
              <w:rPr>
                <w:rFonts w:hint="eastAsia" w:ascii="宋体" w:hAnsi="宋体" w:eastAsia="宋体" w:cs="宋体"/>
                <w:sz w:val="24"/>
                <w:szCs w:val="24"/>
                <w:lang w:val="en-US" w:eastAsia="zh-CN"/>
              </w:rPr>
              <w:t>28</w:t>
            </w:r>
            <w:r>
              <w:rPr>
                <w:rFonts w:hint="eastAsia" w:ascii="宋体" w:hAnsi="宋体" w:eastAsia="宋体" w:cs="宋体"/>
                <w:sz w:val="24"/>
                <w:szCs w:val="24"/>
                <w:lang w:val="zh-CN" w:eastAsia="zh-CN"/>
              </w:rPr>
              <w:t>日</w:t>
            </w:r>
            <w:r>
              <w:rPr>
                <w:rFonts w:hint="eastAsia" w:ascii="宋体" w:hAnsi="宋体" w:eastAsia="宋体" w:cs="宋体"/>
                <w:sz w:val="24"/>
                <w:szCs w:val="24"/>
                <w:lang w:val="en-US" w:eastAsia="zh-CN"/>
              </w:rPr>
              <w:t>09</w:t>
            </w:r>
            <w:r>
              <w:rPr>
                <w:rFonts w:hint="eastAsia" w:ascii="宋体" w:hAnsi="宋体" w:eastAsia="宋体" w:cs="宋体"/>
                <w:sz w:val="24"/>
                <w:szCs w:val="24"/>
                <w:lang w:val="zh-CN" w:eastAsia="zh-CN"/>
              </w:rPr>
              <w:t>时</w:t>
            </w:r>
            <w:r>
              <w:rPr>
                <w:rFonts w:hint="eastAsia" w:ascii="宋体" w:hAnsi="宋体" w:eastAsia="宋体" w:cs="宋体"/>
                <w:sz w:val="24"/>
                <w:szCs w:val="24"/>
                <w:lang w:val="en-US" w:eastAsia="zh-CN"/>
              </w:rPr>
              <w:t>00</w:t>
            </w:r>
            <w:r>
              <w:rPr>
                <w:rFonts w:hint="eastAsia" w:ascii="宋体" w:hAnsi="宋体" w:eastAsia="宋体" w:cs="宋体"/>
                <w:sz w:val="24"/>
                <w:szCs w:val="24"/>
                <w:lang w:val="zh-CN" w:eastAsia="zh-CN"/>
              </w:rPr>
              <w:t>分（北京时间）</w:t>
            </w:r>
          </w:p>
          <w:p w14:paraId="1ADB5117">
            <w:pPr>
              <w:spacing w:beforeLines="0" w:afterLines="0" w:line="400" w:lineRule="exact"/>
              <w:ind w:firstLine="0" w:firstLine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地点：</w:t>
            </w:r>
            <w:r>
              <w:rPr>
                <w:rFonts w:hint="eastAsia" w:ascii="宋体" w:hAnsi="宋体" w:eastAsia="宋体" w:cs="宋体"/>
                <w:sz w:val="24"/>
                <w:szCs w:val="24"/>
              </w:rPr>
              <w:t>电子竞争性响应文件的电子版用企业和法人CA数字证书在磋商截止时间前上传至“三门峡市公共资源交易中心网站”</w:t>
            </w:r>
          </w:p>
        </w:tc>
      </w:tr>
      <w:tr w14:paraId="5BDD0F1D">
        <w:tblPrEx>
          <w:tblCellMar>
            <w:top w:w="0" w:type="dxa"/>
            <w:left w:w="108" w:type="dxa"/>
            <w:bottom w:w="0" w:type="dxa"/>
            <w:right w:w="108" w:type="dxa"/>
          </w:tblCellMar>
        </w:tblPrEx>
        <w:trPr>
          <w:trHeight w:val="570"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516AD03F">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w:t>
            </w:r>
          </w:p>
        </w:tc>
        <w:tc>
          <w:tcPr>
            <w:tcW w:w="1992" w:type="dxa"/>
            <w:tcBorders>
              <w:top w:val="single" w:color="auto" w:sz="4" w:space="0"/>
              <w:left w:val="nil"/>
              <w:bottom w:val="single" w:color="auto" w:sz="4" w:space="0"/>
              <w:right w:val="single" w:color="auto" w:sz="4" w:space="0"/>
            </w:tcBorders>
            <w:shd w:val="clear" w:color="auto" w:fill="auto"/>
            <w:vAlign w:val="center"/>
          </w:tcPr>
          <w:p w14:paraId="7133C4A3">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磋商</w:t>
            </w:r>
            <w:r>
              <w:rPr>
                <w:rFonts w:hint="eastAsia" w:ascii="宋体" w:hAnsi="宋体" w:eastAsia="宋体" w:cs="宋体"/>
                <w:sz w:val="24"/>
                <w:szCs w:val="24"/>
              </w:rPr>
              <w:t>保证金</w:t>
            </w:r>
          </w:p>
        </w:tc>
        <w:tc>
          <w:tcPr>
            <w:tcW w:w="7393" w:type="dxa"/>
            <w:tcBorders>
              <w:top w:val="single" w:color="auto" w:sz="4" w:space="0"/>
              <w:left w:val="nil"/>
              <w:bottom w:val="single" w:color="auto" w:sz="4" w:space="0"/>
              <w:right w:val="single" w:color="auto" w:sz="4" w:space="0"/>
            </w:tcBorders>
            <w:shd w:val="clear" w:color="auto" w:fill="auto"/>
            <w:vAlign w:val="center"/>
          </w:tcPr>
          <w:p w14:paraId="419C0973">
            <w:pPr>
              <w:spacing w:beforeLines="0" w:afterLines="0" w:line="400" w:lineRule="exact"/>
              <w:ind w:firstLine="0" w:firstLineChars="0"/>
              <w:outlineLvl w:val="9"/>
              <w:rPr>
                <w:rFonts w:hint="eastAsia" w:ascii="宋体" w:hAnsi="宋体" w:eastAsia="宋体" w:cs="宋体"/>
                <w:sz w:val="24"/>
                <w:szCs w:val="24"/>
                <w:lang w:val="en-US" w:eastAsia="zh-CN"/>
              </w:rPr>
            </w:pPr>
            <w:r>
              <w:rPr>
                <w:rFonts w:hint="eastAsia" w:ascii="宋体" w:hAnsi="宋体" w:eastAsia="宋体" w:cs="宋体"/>
                <w:sz w:val="24"/>
                <w:szCs w:val="24"/>
              </w:rPr>
              <w:t>根据《河南省财政厅关于优化政府采购营商环境有关问题的通知》（豫财购【2019】4号）第6条的规定，</w:t>
            </w:r>
            <w:r>
              <w:rPr>
                <w:rFonts w:hint="eastAsia" w:ascii="宋体" w:hAnsi="宋体" w:eastAsia="宋体" w:cs="宋体"/>
                <w:sz w:val="24"/>
                <w:szCs w:val="24"/>
                <w:lang w:val="en-US" w:eastAsia="zh-CN"/>
              </w:rPr>
              <w:t>磋商</w:t>
            </w:r>
            <w:r>
              <w:rPr>
                <w:rFonts w:hint="eastAsia" w:ascii="宋体" w:hAnsi="宋体" w:eastAsia="宋体" w:cs="宋体"/>
                <w:sz w:val="24"/>
                <w:szCs w:val="24"/>
              </w:rPr>
              <w:t>保证金不再收取。</w:t>
            </w:r>
          </w:p>
        </w:tc>
      </w:tr>
      <w:tr w14:paraId="2BC56D26">
        <w:tblPrEx>
          <w:tblCellMar>
            <w:top w:w="0" w:type="dxa"/>
            <w:left w:w="108" w:type="dxa"/>
            <w:bottom w:w="0" w:type="dxa"/>
            <w:right w:w="108" w:type="dxa"/>
          </w:tblCellMar>
        </w:tblPrEx>
        <w:trPr>
          <w:trHeight w:val="1071"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35CA147B">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21</w:t>
            </w:r>
          </w:p>
        </w:tc>
        <w:tc>
          <w:tcPr>
            <w:tcW w:w="1992" w:type="dxa"/>
            <w:tcBorders>
              <w:top w:val="single" w:color="auto" w:sz="4" w:space="0"/>
              <w:left w:val="nil"/>
              <w:bottom w:val="single" w:color="auto" w:sz="4" w:space="0"/>
              <w:right w:val="single" w:color="auto" w:sz="4" w:space="0"/>
            </w:tcBorders>
            <w:shd w:val="clear" w:color="auto" w:fill="auto"/>
            <w:vAlign w:val="center"/>
          </w:tcPr>
          <w:p w14:paraId="462C43A0">
            <w:pPr>
              <w:spacing w:line="420" w:lineRule="exact"/>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开标时间及地点</w:t>
            </w:r>
          </w:p>
        </w:tc>
        <w:tc>
          <w:tcPr>
            <w:tcW w:w="7393" w:type="dxa"/>
            <w:tcBorders>
              <w:top w:val="single" w:color="auto" w:sz="4" w:space="0"/>
              <w:left w:val="nil"/>
              <w:bottom w:val="single" w:color="auto" w:sz="4" w:space="0"/>
              <w:right w:val="single" w:color="auto" w:sz="4" w:space="0"/>
            </w:tcBorders>
            <w:shd w:val="clear" w:color="auto" w:fill="auto"/>
            <w:vAlign w:val="center"/>
          </w:tcPr>
          <w:p w14:paraId="606F561F">
            <w:pPr>
              <w:spacing w:beforeLines="0" w:afterLines="0" w:line="400" w:lineRule="exact"/>
              <w:ind w:firstLine="0" w:firstLineChars="0"/>
              <w:outlineLvl w:val="9"/>
              <w:rPr>
                <w:rFonts w:hint="eastAsia" w:ascii="宋体" w:hAnsi="宋体" w:eastAsia="宋体" w:cs="宋体"/>
                <w:sz w:val="24"/>
                <w:szCs w:val="24"/>
              </w:rPr>
            </w:pPr>
            <w:r>
              <w:rPr>
                <w:rFonts w:hint="eastAsia" w:ascii="宋体" w:hAnsi="宋体" w:eastAsia="宋体" w:cs="宋体"/>
                <w:sz w:val="24"/>
                <w:szCs w:val="24"/>
              </w:rPr>
              <w:t>时间：</w:t>
            </w:r>
            <w:r>
              <w:rPr>
                <w:rFonts w:hint="eastAsia" w:ascii="宋体" w:hAnsi="宋体" w:eastAsia="宋体" w:cs="宋体"/>
                <w:sz w:val="24"/>
                <w:szCs w:val="24"/>
                <w:lang w:val="zh-CN" w:eastAsia="zh-CN"/>
              </w:rPr>
              <w:t>202</w:t>
            </w:r>
            <w:r>
              <w:rPr>
                <w:rFonts w:hint="eastAsia" w:ascii="宋体" w:hAnsi="宋体" w:eastAsia="宋体" w:cs="宋体"/>
                <w:sz w:val="24"/>
                <w:szCs w:val="24"/>
                <w:lang w:val="en-US" w:eastAsia="zh-CN"/>
              </w:rPr>
              <w:t>6</w:t>
            </w:r>
            <w:r>
              <w:rPr>
                <w:rFonts w:hint="eastAsia" w:ascii="宋体" w:hAnsi="宋体" w:eastAsia="宋体" w:cs="宋体"/>
                <w:sz w:val="24"/>
                <w:szCs w:val="24"/>
                <w:lang w:val="zh-CN" w:eastAsia="zh-CN"/>
              </w:rPr>
              <w:t>年</w:t>
            </w:r>
            <w:r>
              <w:rPr>
                <w:rFonts w:hint="eastAsia" w:ascii="宋体" w:hAnsi="宋体" w:eastAsia="宋体" w:cs="宋体"/>
                <w:sz w:val="24"/>
                <w:szCs w:val="24"/>
                <w:lang w:val="en-US" w:eastAsia="zh-CN"/>
              </w:rPr>
              <w:t>8</w:t>
            </w:r>
            <w:r>
              <w:rPr>
                <w:rFonts w:hint="eastAsia" w:ascii="宋体" w:hAnsi="宋体" w:eastAsia="宋体" w:cs="宋体"/>
                <w:sz w:val="24"/>
                <w:szCs w:val="24"/>
                <w:lang w:val="zh-CN" w:eastAsia="zh-CN"/>
              </w:rPr>
              <w:t>月</w:t>
            </w:r>
            <w:r>
              <w:rPr>
                <w:rFonts w:hint="eastAsia" w:ascii="宋体" w:hAnsi="宋体" w:eastAsia="宋体" w:cs="宋体"/>
                <w:sz w:val="24"/>
                <w:szCs w:val="24"/>
                <w:lang w:val="en-US" w:eastAsia="zh-CN"/>
              </w:rPr>
              <w:t>28</w:t>
            </w:r>
            <w:r>
              <w:rPr>
                <w:rFonts w:hint="eastAsia" w:ascii="宋体" w:hAnsi="宋体" w:eastAsia="宋体" w:cs="宋体"/>
                <w:sz w:val="24"/>
                <w:szCs w:val="24"/>
                <w:lang w:val="zh-CN" w:eastAsia="zh-CN"/>
              </w:rPr>
              <w:t>日</w:t>
            </w:r>
            <w:r>
              <w:rPr>
                <w:rFonts w:hint="eastAsia" w:ascii="宋体" w:hAnsi="宋体" w:eastAsia="宋体" w:cs="宋体"/>
                <w:sz w:val="24"/>
                <w:szCs w:val="24"/>
                <w:lang w:val="en-US" w:eastAsia="zh-CN"/>
              </w:rPr>
              <w:t>09</w:t>
            </w:r>
            <w:r>
              <w:rPr>
                <w:rFonts w:hint="eastAsia" w:ascii="宋体" w:hAnsi="宋体" w:eastAsia="宋体" w:cs="宋体"/>
                <w:sz w:val="24"/>
                <w:szCs w:val="24"/>
                <w:lang w:val="zh-CN" w:eastAsia="zh-CN"/>
              </w:rPr>
              <w:t>时</w:t>
            </w:r>
            <w:r>
              <w:rPr>
                <w:rFonts w:hint="eastAsia" w:ascii="宋体" w:hAnsi="宋体" w:eastAsia="宋体" w:cs="宋体"/>
                <w:sz w:val="24"/>
                <w:szCs w:val="24"/>
                <w:lang w:val="en-US" w:eastAsia="zh-CN"/>
              </w:rPr>
              <w:t>00</w:t>
            </w:r>
            <w:r>
              <w:rPr>
                <w:rFonts w:hint="eastAsia" w:ascii="宋体" w:hAnsi="宋体" w:eastAsia="宋体" w:cs="宋体"/>
                <w:sz w:val="24"/>
                <w:szCs w:val="24"/>
                <w:lang w:val="zh-CN" w:eastAsia="zh-CN"/>
              </w:rPr>
              <w:t>分（北京时间）</w:t>
            </w:r>
          </w:p>
          <w:p w14:paraId="5D2FC0AD">
            <w:pPr>
              <w:spacing w:beforeLines="0" w:afterLines="0" w:line="400" w:lineRule="exact"/>
              <w:ind w:firstLine="0" w:firstLine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地点：</w:t>
            </w:r>
            <w:r>
              <w:rPr>
                <w:rFonts w:hint="eastAsia" w:ascii="宋体" w:hAnsi="宋体" w:eastAsia="宋体" w:cs="宋体"/>
                <w:sz w:val="24"/>
                <w:szCs w:val="24"/>
              </w:rPr>
              <w:t>三门峡市公共资源交易中心五楼</w:t>
            </w:r>
            <w:bookmarkStart w:id="117" w:name="_GoBack"/>
            <w:r>
              <w:rPr>
                <w:rFonts w:hint="eastAsia" w:ascii="宋体" w:hAnsi="宋体" w:eastAsia="宋体" w:cs="宋体"/>
                <w:sz w:val="24"/>
                <w:szCs w:val="24"/>
              </w:rPr>
              <w:t>开标</w:t>
            </w:r>
            <w:r>
              <w:rPr>
                <w:rFonts w:hint="eastAsia" w:ascii="宋体" w:hAnsi="宋体" w:eastAsia="宋体" w:cs="宋体"/>
                <w:sz w:val="24"/>
                <w:szCs w:val="24"/>
                <w:lang w:val="en-US" w:eastAsia="zh-CN"/>
              </w:rPr>
              <w:t>二室</w:t>
            </w:r>
            <w:bookmarkEnd w:id="117"/>
          </w:p>
        </w:tc>
      </w:tr>
      <w:tr w14:paraId="71432334">
        <w:tblPrEx>
          <w:tblCellMar>
            <w:top w:w="0" w:type="dxa"/>
            <w:left w:w="108" w:type="dxa"/>
            <w:bottom w:w="0" w:type="dxa"/>
            <w:right w:w="108" w:type="dxa"/>
          </w:tblCellMar>
        </w:tblPrEx>
        <w:trPr>
          <w:trHeight w:val="930"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311F2038">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22</w:t>
            </w:r>
          </w:p>
        </w:tc>
        <w:tc>
          <w:tcPr>
            <w:tcW w:w="1992" w:type="dxa"/>
            <w:tcBorders>
              <w:top w:val="single" w:color="auto" w:sz="4" w:space="0"/>
              <w:left w:val="nil"/>
              <w:bottom w:val="single" w:color="auto" w:sz="4" w:space="0"/>
              <w:right w:val="single" w:color="auto" w:sz="4" w:space="0"/>
            </w:tcBorders>
            <w:shd w:val="clear" w:color="auto" w:fill="auto"/>
            <w:vAlign w:val="center"/>
          </w:tcPr>
          <w:p w14:paraId="677B75E4">
            <w:pPr>
              <w:spacing w:line="420" w:lineRule="exact"/>
              <w:jc w:val="center"/>
              <w:rPr>
                <w:rFonts w:hint="eastAsia" w:ascii="宋体" w:hAnsi="宋体" w:eastAsia="宋体" w:cs="宋体"/>
                <w:b/>
                <w:bCs/>
                <w:kern w:val="2"/>
                <w:sz w:val="24"/>
                <w:szCs w:val="24"/>
                <w:lang w:val="en-US" w:eastAsia="zh-CN" w:bidi="ar-SA"/>
              </w:rPr>
            </w:pPr>
            <w:r>
              <w:rPr>
                <w:rFonts w:hint="eastAsia" w:ascii="宋体" w:hAnsi="宋体" w:eastAsia="宋体" w:cs="宋体"/>
                <w:sz w:val="24"/>
                <w:szCs w:val="24"/>
              </w:rPr>
              <w:t>招标控制价</w:t>
            </w:r>
          </w:p>
        </w:tc>
        <w:tc>
          <w:tcPr>
            <w:tcW w:w="7393" w:type="dxa"/>
            <w:tcBorders>
              <w:top w:val="single" w:color="auto" w:sz="4" w:space="0"/>
              <w:left w:val="nil"/>
              <w:bottom w:val="single" w:color="auto" w:sz="4" w:space="0"/>
              <w:right w:val="single" w:color="auto" w:sz="4" w:space="0"/>
            </w:tcBorders>
            <w:shd w:val="clear" w:color="auto" w:fill="auto"/>
            <w:vAlign w:val="center"/>
          </w:tcPr>
          <w:p w14:paraId="5A9A87A5">
            <w:pPr>
              <w:spacing w:line="420" w:lineRule="exact"/>
              <w:rPr>
                <w:rFonts w:hint="eastAsia" w:ascii="宋体" w:hAnsi="宋体" w:eastAsia="宋体" w:cs="宋体"/>
                <w:sz w:val="24"/>
                <w:szCs w:val="24"/>
                <w:lang w:val="en-US" w:eastAsia="zh-CN"/>
              </w:rPr>
            </w:pPr>
            <w:r>
              <w:rPr>
                <w:rFonts w:hint="eastAsia" w:ascii="宋体" w:hAnsi="宋体" w:eastAsia="宋体" w:cs="宋体"/>
                <w:sz w:val="24"/>
                <w:szCs w:val="24"/>
              </w:rPr>
              <w:t>招标控制价</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1095000.00元</w:t>
            </w:r>
          </w:p>
          <w:p w14:paraId="2FF08D86">
            <w:pPr>
              <w:spacing w:line="420" w:lineRule="exact"/>
              <w:rPr>
                <w:rFonts w:hint="eastAsia" w:ascii="宋体" w:hAnsi="宋体" w:eastAsia="宋体" w:cs="宋体"/>
                <w:kern w:val="2"/>
                <w:sz w:val="24"/>
                <w:szCs w:val="24"/>
                <w:lang w:val="en-US" w:eastAsia="zh-CN" w:bidi="ar-SA"/>
              </w:rPr>
            </w:pPr>
            <w:r>
              <w:rPr>
                <w:rFonts w:hint="eastAsia" w:ascii="宋体" w:hAnsi="宋体" w:eastAsia="宋体" w:cs="宋体"/>
                <w:sz w:val="24"/>
                <w:szCs w:val="24"/>
              </w:rPr>
              <w:t>供应商的投标报价不得超过最高投标限价，否则视为无效报价。</w:t>
            </w:r>
          </w:p>
        </w:tc>
      </w:tr>
      <w:tr w14:paraId="5EAEF92F">
        <w:tblPrEx>
          <w:tblCellMar>
            <w:top w:w="0" w:type="dxa"/>
            <w:left w:w="108" w:type="dxa"/>
            <w:bottom w:w="0" w:type="dxa"/>
            <w:right w:w="108" w:type="dxa"/>
          </w:tblCellMar>
        </w:tblPrEx>
        <w:trPr>
          <w:trHeight w:val="467"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73E8878">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w:t>
            </w:r>
          </w:p>
        </w:tc>
        <w:tc>
          <w:tcPr>
            <w:tcW w:w="1992" w:type="dxa"/>
            <w:tcBorders>
              <w:top w:val="single" w:color="auto" w:sz="4" w:space="0"/>
              <w:left w:val="nil"/>
              <w:bottom w:val="single" w:color="auto" w:sz="4" w:space="0"/>
              <w:right w:val="single" w:color="auto" w:sz="4" w:space="0"/>
            </w:tcBorders>
            <w:shd w:val="clear" w:color="auto" w:fill="auto"/>
            <w:vAlign w:val="center"/>
          </w:tcPr>
          <w:p w14:paraId="64C8B25D">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磋商小组的</w:t>
            </w:r>
          </w:p>
          <w:p w14:paraId="7FFCCBC9">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组建</w:t>
            </w:r>
          </w:p>
        </w:tc>
        <w:tc>
          <w:tcPr>
            <w:tcW w:w="7393" w:type="dxa"/>
            <w:tcBorders>
              <w:top w:val="single" w:color="auto" w:sz="4" w:space="0"/>
              <w:left w:val="nil"/>
              <w:bottom w:val="single" w:color="auto" w:sz="4" w:space="0"/>
              <w:right w:val="single" w:color="auto" w:sz="4" w:space="0"/>
            </w:tcBorders>
            <w:shd w:val="clear" w:color="auto" w:fill="auto"/>
            <w:vAlign w:val="center"/>
          </w:tcPr>
          <w:p w14:paraId="39E79A39">
            <w:pPr>
              <w:spacing w:line="42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磋商小组由采购人代表和评审专家共3人以上单数组成，其中评审专家人数不得少于磋商小组成员总数的2/3。</w:t>
            </w:r>
          </w:p>
          <w:p w14:paraId="6FCD2763">
            <w:pPr>
              <w:spacing w:line="42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磋商小组组建方式：磋商小组成员为3人，采购人代表1人，其余专家2人从河南省政府采购专家库随机抽取。（采购人代表无评审劳务费用）</w:t>
            </w:r>
          </w:p>
        </w:tc>
      </w:tr>
      <w:tr w14:paraId="10964D3C">
        <w:tblPrEx>
          <w:tblCellMar>
            <w:top w:w="0" w:type="dxa"/>
            <w:left w:w="108" w:type="dxa"/>
            <w:bottom w:w="0" w:type="dxa"/>
            <w:right w:w="108" w:type="dxa"/>
          </w:tblCellMar>
        </w:tblPrEx>
        <w:trPr>
          <w:trHeight w:val="467"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9E9F74C">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w:t>
            </w:r>
          </w:p>
        </w:tc>
        <w:tc>
          <w:tcPr>
            <w:tcW w:w="1992" w:type="dxa"/>
            <w:tcBorders>
              <w:top w:val="single" w:color="auto" w:sz="4" w:space="0"/>
              <w:left w:val="nil"/>
              <w:bottom w:val="single" w:color="auto" w:sz="4" w:space="0"/>
              <w:right w:val="single" w:color="auto" w:sz="4" w:space="0"/>
            </w:tcBorders>
            <w:shd w:val="clear" w:color="auto" w:fill="auto"/>
            <w:vAlign w:val="center"/>
          </w:tcPr>
          <w:p w14:paraId="5FDE4F67">
            <w:pPr>
              <w:keepLines/>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color w:val="auto"/>
                <w:kern w:val="0"/>
                <w:sz w:val="24"/>
                <w:szCs w:val="24"/>
                <w:highlight w:val="none"/>
              </w:rPr>
              <w:t>是否授权评标委员会确定中标</w:t>
            </w:r>
            <w:r>
              <w:rPr>
                <w:rFonts w:hint="eastAsia" w:ascii="宋体" w:hAnsi="宋体" w:eastAsia="宋体" w:cs="宋体"/>
                <w:color w:val="auto"/>
                <w:kern w:val="0"/>
                <w:sz w:val="24"/>
                <w:szCs w:val="24"/>
                <w:highlight w:val="none"/>
                <w:lang w:eastAsia="zh-CN"/>
              </w:rPr>
              <w:t>响应人</w:t>
            </w:r>
          </w:p>
        </w:tc>
        <w:tc>
          <w:tcPr>
            <w:tcW w:w="7393" w:type="dxa"/>
            <w:tcBorders>
              <w:top w:val="single" w:color="auto" w:sz="4" w:space="0"/>
              <w:left w:val="nil"/>
              <w:bottom w:val="single" w:color="auto" w:sz="4" w:space="0"/>
              <w:right w:val="single" w:color="auto" w:sz="4" w:space="0"/>
            </w:tcBorders>
            <w:shd w:val="clear" w:color="auto" w:fill="auto"/>
            <w:vAlign w:val="center"/>
          </w:tcPr>
          <w:p w14:paraId="33B5B3F4">
            <w:pPr>
              <w:keepLines/>
              <w:spacing w:line="360" w:lineRule="auto"/>
              <w:ind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color w:val="auto"/>
                <w:kern w:val="0"/>
                <w:sz w:val="24"/>
                <w:szCs w:val="24"/>
                <w:highlight w:val="none"/>
              </w:rPr>
              <w:t>否，按顺序推荐的中标候选人数:</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名。</w:t>
            </w:r>
          </w:p>
        </w:tc>
      </w:tr>
      <w:tr w14:paraId="1EEEDB03">
        <w:tblPrEx>
          <w:tblCellMar>
            <w:top w:w="0" w:type="dxa"/>
            <w:left w:w="108" w:type="dxa"/>
            <w:bottom w:w="0" w:type="dxa"/>
            <w:right w:w="108" w:type="dxa"/>
          </w:tblCellMar>
        </w:tblPrEx>
        <w:trPr>
          <w:trHeight w:val="51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A2C1CF3">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w:t>
            </w:r>
          </w:p>
        </w:tc>
        <w:tc>
          <w:tcPr>
            <w:tcW w:w="1992" w:type="dxa"/>
            <w:tcBorders>
              <w:top w:val="single" w:color="auto" w:sz="4" w:space="0"/>
              <w:left w:val="nil"/>
              <w:bottom w:val="single" w:color="auto" w:sz="4" w:space="0"/>
              <w:right w:val="single" w:color="auto" w:sz="4" w:space="0"/>
            </w:tcBorders>
            <w:shd w:val="clear" w:color="auto" w:fill="auto"/>
            <w:vAlign w:val="center"/>
          </w:tcPr>
          <w:p w14:paraId="398A649F">
            <w:pPr>
              <w:spacing w:line="420" w:lineRule="exact"/>
              <w:ind w:firstLine="240" w:firstLineChars="100"/>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磋商</w:t>
            </w:r>
            <w:r>
              <w:rPr>
                <w:rFonts w:hint="eastAsia" w:ascii="宋体" w:hAnsi="宋体" w:eastAsia="宋体" w:cs="宋体"/>
                <w:sz w:val="24"/>
                <w:szCs w:val="24"/>
              </w:rPr>
              <w:t>有效期</w:t>
            </w:r>
          </w:p>
        </w:tc>
        <w:tc>
          <w:tcPr>
            <w:tcW w:w="7393" w:type="dxa"/>
            <w:tcBorders>
              <w:top w:val="single" w:color="auto" w:sz="4" w:space="0"/>
              <w:left w:val="nil"/>
              <w:bottom w:val="single" w:color="auto" w:sz="4" w:space="0"/>
              <w:right w:val="single" w:color="auto" w:sz="4" w:space="0"/>
            </w:tcBorders>
            <w:shd w:val="clear" w:color="auto" w:fill="auto"/>
            <w:vAlign w:val="center"/>
          </w:tcPr>
          <w:p w14:paraId="1E07DD32">
            <w:pPr>
              <w:spacing w:line="420" w:lineRule="exact"/>
              <w:rPr>
                <w:rFonts w:hint="eastAsia" w:ascii="宋体" w:hAnsi="宋体" w:eastAsia="宋体" w:cs="宋体"/>
                <w:kern w:val="2"/>
                <w:sz w:val="24"/>
                <w:szCs w:val="24"/>
                <w:lang w:val="en-US" w:eastAsia="zh-CN" w:bidi="ar-SA"/>
              </w:rPr>
            </w:pPr>
            <w:r>
              <w:rPr>
                <w:rFonts w:hint="eastAsia" w:ascii="宋体" w:hAnsi="宋体" w:eastAsia="宋体" w:cs="宋体"/>
                <w:sz w:val="24"/>
                <w:szCs w:val="24"/>
              </w:rPr>
              <w:t>自磋商截止之日起60日历天</w:t>
            </w:r>
          </w:p>
        </w:tc>
      </w:tr>
      <w:tr w14:paraId="10F2A85C">
        <w:tblPrEx>
          <w:tblCellMar>
            <w:top w:w="0" w:type="dxa"/>
            <w:left w:w="108" w:type="dxa"/>
            <w:bottom w:w="0" w:type="dxa"/>
            <w:right w:w="108" w:type="dxa"/>
          </w:tblCellMar>
        </w:tblPrEx>
        <w:trPr>
          <w:trHeight w:val="155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674C489">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26</w:t>
            </w:r>
          </w:p>
        </w:tc>
        <w:tc>
          <w:tcPr>
            <w:tcW w:w="1992" w:type="dxa"/>
            <w:tcBorders>
              <w:top w:val="single" w:color="auto" w:sz="4" w:space="0"/>
              <w:left w:val="nil"/>
              <w:bottom w:val="single" w:color="auto" w:sz="4" w:space="0"/>
              <w:right w:val="single" w:color="auto" w:sz="4" w:space="0"/>
            </w:tcBorders>
            <w:shd w:val="clear" w:color="auto" w:fill="auto"/>
            <w:vAlign w:val="center"/>
          </w:tcPr>
          <w:p w14:paraId="23AC270A">
            <w:pPr>
              <w:spacing w:line="42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履约保证金</w:t>
            </w:r>
          </w:p>
        </w:tc>
        <w:tc>
          <w:tcPr>
            <w:tcW w:w="7393" w:type="dxa"/>
            <w:tcBorders>
              <w:top w:val="single" w:color="auto" w:sz="4" w:space="0"/>
              <w:left w:val="nil"/>
              <w:bottom w:val="single" w:color="auto" w:sz="4" w:space="0"/>
              <w:right w:val="single" w:color="auto" w:sz="4" w:space="0"/>
            </w:tcBorders>
            <w:shd w:val="clear" w:color="auto" w:fill="auto"/>
            <w:vAlign w:val="center"/>
          </w:tcPr>
          <w:p w14:paraId="02867B8A">
            <w:pPr>
              <w:spacing w:line="420" w:lineRule="exact"/>
              <w:rPr>
                <w:rFonts w:hint="eastAsia" w:ascii="宋体" w:hAnsi="宋体" w:eastAsia="宋体" w:cs="宋体"/>
                <w:kern w:val="2"/>
                <w:sz w:val="24"/>
                <w:szCs w:val="24"/>
                <w:lang w:val="en-US" w:eastAsia="zh-CN" w:bidi="ar-SA"/>
              </w:rPr>
            </w:pPr>
            <w:r>
              <w:rPr>
                <w:rFonts w:hint="eastAsia" w:ascii="宋体" w:hAnsi="宋体" w:eastAsia="宋体" w:cs="宋体"/>
                <w:sz w:val="24"/>
                <w:szCs w:val="24"/>
              </w:rPr>
              <w:t>本项目不收取履约保证金。如</w:t>
            </w:r>
            <w:r>
              <w:rPr>
                <w:rFonts w:hint="eastAsia" w:ascii="宋体" w:hAnsi="宋体" w:eastAsia="宋体" w:cs="宋体"/>
                <w:sz w:val="24"/>
                <w:szCs w:val="24"/>
                <w:lang w:eastAsia="zh-CN"/>
              </w:rPr>
              <w:t>响应人</w:t>
            </w:r>
            <w:r>
              <w:rPr>
                <w:rFonts w:hint="eastAsia" w:ascii="宋体" w:hAnsi="宋体" w:eastAsia="宋体" w:cs="宋体"/>
                <w:sz w:val="24"/>
                <w:szCs w:val="24"/>
              </w:rPr>
              <w:t>违反政府采购合同约定给采购人造成损失的,采购人按照合同约定,要求</w:t>
            </w:r>
            <w:r>
              <w:rPr>
                <w:rFonts w:hint="eastAsia" w:ascii="宋体" w:hAnsi="宋体" w:eastAsia="宋体" w:cs="宋体"/>
                <w:sz w:val="24"/>
                <w:szCs w:val="24"/>
                <w:lang w:eastAsia="zh-CN"/>
              </w:rPr>
              <w:t>响应人</w:t>
            </w:r>
            <w:r>
              <w:rPr>
                <w:rFonts w:hint="eastAsia" w:ascii="宋体" w:hAnsi="宋体" w:eastAsia="宋体" w:cs="宋体"/>
                <w:sz w:val="24"/>
                <w:szCs w:val="24"/>
              </w:rPr>
              <w:t>承担赔偿责任。</w:t>
            </w:r>
          </w:p>
        </w:tc>
      </w:tr>
      <w:tr w14:paraId="2B4EBA63">
        <w:tblPrEx>
          <w:tblCellMar>
            <w:top w:w="0" w:type="dxa"/>
            <w:left w:w="108" w:type="dxa"/>
            <w:bottom w:w="0" w:type="dxa"/>
            <w:right w:w="108" w:type="dxa"/>
          </w:tblCellMar>
        </w:tblPrEx>
        <w:trPr>
          <w:trHeight w:val="9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8FF8E6E">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27</w:t>
            </w:r>
          </w:p>
        </w:tc>
        <w:tc>
          <w:tcPr>
            <w:tcW w:w="1992" w:type="dxa"/>
            <w:tcBorders>
              <w:top w:val="single" w:color="auto" w:sz="4" w:space="0"/>
              <w:left w:val="nil"/>
              <w:bottom w:val="single" w:color="auto" w:sz="4" w:space="0"/>
              <w:right w:val="single" w:color="auto" w:sz="4" w:space="0"/>
            </w:tcBorders>
            <w:shd w:val="clear" w:color="auto" w:fill="auto"/>
            <w:vAlign w:val="center"/>
          </w:tcPr>
          <w:p w14:paraId="2F2BC0BD">
            <w:pPr>
              <w:autoSpaceDE w:val="0"/>
              <w:autoSpaceDN w:val="0"/>
              <w:adjustRightInd w:val="0"/>
              <w:spacing w:line="360" w:lineRule="auto"/>
              <w:ind w:firstLine="0" w:firstLineChars="0"/>
              <w:jc w:val="center"/>
              <w:rPr>
                <w:rFonts w:hint="eastAsia" w:ascii="宋体" w:hAnsi="宋体" w:eastAsia="宋体" w:cs="宋体"/>
                <w:sz w:val="24"/>
                <w:szCs w:val="24"/>
                <w:lang w:val="en-US" w:eastAsia="zh-CN"/>
              </w:rPr>
            </w:pPr>
            <w:r>
              <w:rPr>
                <w:rFonts w:hint="eastAsia" w:ascii="宋体" w:hAnsi="宋体" w:eastAsia="宋体" w:cs="宋体"/>
                <w:bCs/>
                <w:color w:val="auto"/>
                <w:sz w:val="24"/>
                <w:szCs w:val="24"/>
                <w:highlight w:val="none"/>
              </w:rPr>
              <w:t>投标无效的情形</w:t>
            </w:r>
          </w:p>
        </w:tc>
        <w:tc>
          <w:tcPr>
            <w:tcW w:w="7393" w:type="dxa"/>
            <w:tcBorders>
              <w:top w:val="single" w:color="auto" w:sz="4" w:space="0"/>
              <w:left w:val="nil"/>
              <w:bottom w:val="single" w:color="auto" w:sz="4" w:space="0"/>
              <w:right w:val="single" w:color="auto" w:sz="4" w:space="0"/>
            </w:tcBorders>
            <w:shd w:val="clear" w:color="auto" w:fill="auto"/>
            <w:vAlign w:val="center"/>
          </w:tcPr>
          <w:p w14:paraId="7B8B38C7">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文件未按照</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规定要求签署、盖章的；</w:t>
            </w:r>
          </w:p>
          <w:p w14:paraId="76B5502D">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.电子化投标文件附有采购人不能接受的条件的；</w:t>
            </w:r>
          </w:p>
          <w:p w14:paraId="4A618842">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.以他人的名义投标、串通投标、以行贿手段谋取中标或者以其他弄虚作假方式投标的；</w:t>
            </w:r>
          </w:p>
          <w:p w14:paraId="0ABAC588">
            <w:pPr>
              <w:spacing w:line="360" w:lineRule="auto"/>
              <w:ind w:firstLine="0" w:firstLineChars="0"/>
              <w:rPr>
                <w:rFonts w:hint="eastAsia" w:ascii="宋体" w:hAnsi="宋体" w:eastAsia="宋体" w:cs="宋体"/>
                <w:sz w:val="24"/>
                <w:szCs w:val="24"/>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.采取不正当手段谋取中标的。</w:t>
            </w:r>
          </w:p>
        </w:tc>
      </w:tr>
      <w:tr w14:paraId="105FF440">
        <w:tblPrEx>
          <w:tblCellMar>
            <w:top w:w="0" w:type="dxa"/>
            <w:left w:w="108" w:type="dxa"/>
            <w:bottom w:w="0" w:type="dxa"/>
            <w:right w:w="108" w:type="dxa"/>
          </w:tblCellMar>
        </w:tblPrEx>
        <w:trPr>
          <w:trHeight w:val="1187"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2B645AC7">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28</w:t>
            </w:r>
          </w:p>
        </w:tc>
        <w:tc>
          <w:tcPr>
            <w:tcW w:w="1992" w:type="dxa"/>
            <w:tcBorders>
              <w:top w:val="single" w:color="auto" w:sz="4" w:space="0"/>
              <w:left w:val="nil"/>
              <w:bottom w:val="single" w:color="auto" w:sz="4" w:space="0"/>
              <w:right w:val="single" w:color="auto" w:sz="4" w:space="0"/>
            </w:tcBorders>
            <w:vAlign w:val="center"/>
          </w:tcPr>
          <w:p w14:paraId="60C7AC58">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中标公告媒介及</w:t>
            </w:r>
          </w:p>
          <w:p w14:paraId="2057C06C">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期限</w:t>
            </w:r>
          </w:p>
        </w:tc>
        <w:tc>
          <w:tcPr>
            <w:tcW w:w="7393" w:type="dxa"/>
            <w:tcBorders>
              <w:top w:val="single" w:color="auto" w:sz="4" w:space="0"/>
              <w:left w:val="nil"/>
              <w:bottom w:val="single" w:color="auto" w:sz="4" w:space="0"/>
              <w:right w:val="single" w:color="auto" w:sz="4" w:space="0"/>
            </w:tcBorders>
            <w:vAlign w:val="center"/>
          </w:tcPr>
          <w:p w14:paraId="4DF64006">
            <w:pPr>
              <w:spacing w:line="420" w:lineRule="exact"/>
              <w:rPr>
                <w:rFonts w:hint="eastAsia" w:ascii="宋体" w:hAnsi="宋体" w:eastAsia="宋体" w:cs="宋体"/>
                <w:sz w:val="24"/>
                <w:szCs w:val="24"/>
                <w:lang w:val="zh-CN" w:eastAsia="zh-CN"/>
              </w:rPr>
            </w:pPr>
            <w:r>
              <w:rPr>
                <w:rFonts w:hint="eastAsia" w:ascii="宋体" w:hAnsi="宋体" w:eastAsia="宋体" w:cs="宋体"/>
                <w:sz w:val="24"/>
                <w:szCs w:val="24"/>
              </w:rPr>
              <w:t>1.发布媒介：</w:t>
            </w:r>
            <w:r>
              <w:rPr>
                <w:rFonts w:hint="eastAsia" w:ascii="宋体" w:hAnsi="宋体" w:eastAsia="宋体" w:cs="宋体"/>
                <w:sz w:val="24"/>
                <w:szCs w:val="24"/>
                <w:lang w:val="zh-CN" w:eastAsia="zh-CN"/>
              </w:rPr>
              <w:t>《河南省政府采购网》、《中国招标投标公共服务平台》、《三门峡市公共资源交易中心网》</w:t>
            </w:r>
          </w:p>
          <w:p w14:paraId="2A03EA46">
            <w:pPr>
              <w:rPr>
                <w:rFonts w:hint="eastAsia" w:ascii="宋体" w:hAnsi="宋体" w:eastAsia="宋体" w:cs="宋体"/>
                <w:sz w:val="24"/>
                <w:szCs w:val="24"/>
              </w:rPr>
            </w:pPr>
            <w:r>
              <w:rPr>
                <w:rFonts w:hint="eastAsia" w:ascii="宋体" w:hAnsi="宋体" w:eastAsia="宋体" w:cs="宋体"/>
                <w:sz w:val="24"/>
                <w:szCs w:val="24"/>
              </w:rPr>
              <w:t>2.公告期限：1个工作日</w:t>
            </w:r>
          </w:p>
        </w:tc>
      </w:tr>
      <w:tr w14:paraId="02616017">
        <w:tblPrEx>
          <w:tblCellMar>
            <w:top w:w="0" w:type="dxa"/>
            <w:left w:w="108" w:type="dxa"/>
            <w:bottom w:w="0" w:type="dxa"/>
            <w:right w:w="108" w:type="dxa"/>
          </w:tblCellMar>
        </w:tblPrEx>
        <w:trPr>
          <w:trHeight w:val="492"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2581440A">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29</w:t>
            </w:r>
          </w:p>
        </w:tc>
        <w:tc>
          <w:tcPr>
            <w:tcW w:w="1992" w:type="dxa"/>
            <w:tcBorders>
              <w:top w:val="single" w:color="auto" w:sz="4" w:space="0"/>
              <w:left w:val="nil"/>
              <w:bottom w:val="single" w:color="auto" w:sz="4" w:space="0"/>
              <w:right w:val="single" w:color="auto" w:sz="4" w:space="0"/>
            </w:tcBorders>
            <w:shd w:val="clear" w:color="auto" w:fill="auto"/>
            <w:vAlign w:val="center"/>
          </w:tcPr>
          <w:p w14:paraId="1DC65EE8">
            <w:pPr>
              <w:keepLines/>
              <w:spacing w:line="360" w:lineRule="auto"/>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auto"/>
                <w:sz w:val="24"/>
                <w:szCs w:val="24"/>
                <w:highlight w:val="none"/>
              </w:rPr>
              <w:t>付款方式</w:t>
            </w:r>
          </w:p>
        </w:tc>
        <w:tc>
          <w:tcPr>
            <w:tcW w:w="7393" w:type="dxa"/>
            <w:tcBorders>
              <w:top w:val="single" w:color="auto" w:sz="4" w:space="0"/>
              <w:left w:val="nil"/>
              <w:bottom w:val="single" w:color="auto" w:sz="4" w:space="0"/>
              <w:right w:val="single" w:color="auto" w:sz="4" w:space="0"/>
            </w:tcBorders>
            <w:shd w:val="clear" w:color="auto" w:fill="auto"/>
            <w:vAlign w:val="center"/>
          </w:tcPr>
          <w:p w14:paraId="37A9C479">
            <w:pPr>
              <w:keepLines/>
              <w:spacing w:line="360" w:lineRule="auto"/>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auto"/>
                <w:sz w:val="24"/>
                <w:szCs w:val="24"/>
              </w:rPr>
              <w:t>成交后协商确定，但须符合国家、省、市相关规定。</w:t>
            </w:r>
          </w:p>
        </w:tc>
      </w:tr>
      <w:tr w14:paraId="79FCD552">
        <w:tblPrEx>
          <w:tblCellMar>
            <w:top w:w="0" w:type="dxa"/>
            <w:left w:w="108" w:type="dxa"/>
            <w:bottom w:w="0" w:type="dxa"/>
            <w:right w:w="108" w:type="dxa"/>
          </w:tblCellMar>
        </w:tblPrEx>
        <w:trPr>
          <w:trHeight w:val="357"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55483E4">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w:t>
            </w:r>
          </w:p>
        </w:tc>
        <w:tc>
          <w:tcPr>
            <w:tcW w:w="1992" w:type="dxa"/>
            <w:tcBorders>
              <w:top w:val="single" w:color="auto" w:sz="4" w:space="0"/>
              <w:left w:val="nil"/>
              <w:bottom w:val="single" w:color="auto" w:sz="4" w:space="0"/>
              <w:right w:val="single" w:color="auto" w:sz="4" w:space="0"/>
            </w:tcBorders>
            <w:shd w:val="clear" w:color="auto" w:fill="auto"/>
            <w:vAlign w:val="center"/>
          </w:tcPr>
          <w:p w14:paraId="5DC911C7">
            <w:pPr>
              <w:keepLines/>
              <w:spacing w:line="360" w:lineRule="auto"/>
              <w:ind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本项目对应的中小企业划分标准所属行业</w:t>
            </w:r>
          </w:p>
        </w:tc>
        <w:tc>
          <w:tcPr>
            <w:tcW w:w="7393" w:type="dxa"/>
            <w:tcBorders>
              <w:top w:val="single" w:color="auto" w:sz="4" w:space="0"/>
              <w:left w:val="nil"/>
              <w:bottom w:val="single" w:color="auto" w:sz="4" w:space="0"/>
              <w:right w:val="single" w:color="auto" w:sz="4" w:space="0"/>
            </w:tcBorders>
            <w:shd w:val="clear" w:color="auto" w:fill="auto"/>
            <w:vAlign w:val="center"/>
          </w:tcPr>
          <w:p w14:paraId="2C7419E0">
            <w:pPr>
              <w:keepLines/>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工业</w:t>
            </w:r>
          </w:p>
        </w:tc>
      </w:tr>
      <w:tr w14:paraId="4BD97C25">
        <w:tblPrEx>
          <w:tblCellMar>
            <w:top w:w="0" w:type="dxa"/>
            <w:left w:w="108" w:type="dxa"/>
            <w:bottom w:w="0" w:type="dxa"/>
            <w:right w:w="108" w:type="dxa"/>
          </w:tblCellMar>
        </w:tblPrEx>
        <w:trPr>
          <w:trHeight w:val="357"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AA1C0F4">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w:t>
            </w:r>
          </w:p>
        </w:tc>
        <w:tc>
          <w:tcPr>
            <w:tcW w:w="1992" w:type="dxa"/>
            <w:tcBorders>
              <w:top w:val="single" w:color="auto" w:sz="4" w:space="0"/>
              <w:left w:val="nil"/>
              <w:bottom w:val="single" w:color="auto" w:sz="4" w:space="0"/>
              <w:right w:val="single" w:color="auto" w:sz="4" w:space="0"/>
            </w:tcBorders>
            <w:shd w:val="clear" w:color="auto" w:fill="auto"/>
            <w:vAlign w:val="center"/>
          </w:tcPr>
          <w:p w14:paraId="68963316">
            <w:pPr>
              <w:keepNext w:val="0"/>
              <w:keepLines w:val="0"/>
              <w:pageBreakBefore w:val="0"/>
              <w:kinsoku/>
              <w:wordWrap/>
              <w:overflowPunct/>
              <w:topLinePunct w:val="0"/>
              <w:bidi w:val="0"/>
              <w:adjustRightInd w:val="0"/>
              <w:snapToGrid/>
              <w:spacing w:line="360" w:lineRule="auto"/>
              <w:jc w:val="center"/>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6"/>
                <w:sz w:val="24"/>
                <w:szCs w:val="24"/>
              </w:rPr>
              <w:t>竞争性磋商响应文件份数</w:t>
            </w:r>
          </w:p>
        </w:tc>
        <w:tc>
          <w:tcPr>
            <w:tcW w:w="7393" w:type="dxa"/>
            <w:tcBorders>
              <w:top w:val="single" w:color="auto" w:sz="4" w:space="0"/>
              <w:left w:val="nil"/>
              <w:bottom w:val="single" w:color="auto" w:sz="4" w:space="0"/>
              <w:right w:val="single" w:color="auto" w:sz="4" w:space="0"/>
            </w:tcBorders>
            <w:shd w:val="clear" w:color="auto" w:fill="auto"/>
            <w:vAlign w:val="center"/>
          </w:tcPr>
          <w:p w14:paraId="2A70ECA2">
            <w:pPr>
              <w:keepNext w:val="0"/>
              <w:keepLines w:val="0"/>
              <w:pageBreakBefore w:val="0"/>
              <w:kinsoku/>
              <w:wordWrap/>
              <w:overflowPunct/>
              <w:topLinePunct w:val="0"/>
              <w:bidi w:val="0"/>
              <w:adjustRightInd w:val="0"/>
              <w:snapToGrid/>
              <w:spacing w:line="360" w:lineRule="auto"/>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rPr>
              <w:t>本项目为电子化、无纸化交易项目</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但中标后，中标单位在领取成交通知书时需提交纸质版响应文件（应由电子响应文件导出）3份。</w:t>
            </w:r>
          </w:p>
        </w:tc>
      </w:tr>
      <w:tr w14:paraId="5665722C">
        <w:tblPrEx>
          <w:tblCellMar>
            <w:top w:w="0" w:type="dxa"/>
            <w:left w:w="108" w:type="dxa"/>
            <w:bottom w:w="0" w:type="dxa"/>
            <w:right w:w="108" w:type="dxa"/>
          </w:tblCellMar>
        </w:tblPrEx>
        <w:trPr>
          <w:trHeight w:val="191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8CFD3DD">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w:t>
            </w:r>
          </w:p>
        </w:tc>
        <w:tc>
          <w:tcPr>
            <w:tcW w:w="1992" w:type="dxa"/>
            <w:tcBorders>
              <w:top w:val="single" w:color="auto" w:sz="4" w:space="0"/>
              <w:left w:val="nil"/>
              <w:bottom w:val="single" w:color="auto" w:sz="4" w:space="0"/>
              <w:right w:val="single" w:color="auto" w:sz="4" w:space="0"/>
            </w:tcBorders>
            <w:shd w:val="clear" w:color="auto" w:fill="auto"/>
            <w:vAlign w:val="center"/>
          </w:tcPr>
          <w:p w14:paraId="6B79A491">
            <w:pPr>
              <w:keepLines/>
              <w:widowControl/>
              <w:spacing w:beforeLines="-2147483648" w:afterLines="-2147483648" w:line="360" w:lineRule="auto"/>
              <w:jc w:val="center"/>
              <w:outlineLvl w:val="9"/>
              <w:rPr>
                <w:rFonts w:hint="eastAsia" w:ascii="宋体" w:hAnsi="宋体" w:eastAsia="宋体" w:cs="宋体"/>
                <w:b/>
                <w:bCs/>
                <w:spacing w:val="6"/>
                <w:kern w:val="2"/>
                <w:sz w:val="24"/>
                <w:szCs w:val="24"/>
                <w:lang w:val="en-US" w:eastAsia="zh-CN" w:bidi="ar-SA"/>
              </w:rPr>
            </w:pPr>
            <w:r>
              <w:rPr>
                <w:rFonts w:hint="eastAsia" w:ascii="宋体" w:hAnsi="宋体" w:eastAsia="宋体" w:cs="宋体"/>
                <w:color w:val="auto"/>
                <w:spacing w:val="6"/>
                <w:sz w:val="24"/>
                <w:szCs w:val="24"/>
                <w:lang w:val="en-US" w:eastAsia="zh-CN"/>
              </w:rPr>
              <w:t>招标代理服务费</w:t>
            </w:r>
          </w:p>
        </w:tc>
        <w:tc>
          <w:tcPr>
            <w:tcW w:w="7393" w:type="dxa"/>
            <w:tcBorders>
              <w:top w:val="single" w:color="auto" w:sz="4" w:space="0"/>
              <w:left w:val="nil"/>
              <w:bottom w:val="single" w:color="auto" w:sz="4" w:space="0"/>
              <w:right w:val="single" w:color="auto" w:sz="4" w:space="0"/>
            </w:tcBorders>
            <w:shd w:val="clear" w:color="auto" w:fill="auto"/>
            <w:vAlign w:val="center"/>
          </w:tcPr>
          <w:p w14:paraId="7C5D0233">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right="108" w:rightChars="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代理服务费：</w:t>
            </w:r>
            <w:r>
              <w:rPr>
                <w:rFonts w:hint="eastAsia" w:ascii="宋体" w:hAnsi="宋体" w:eastAsia="宋体" w:cs="宋体"/>
                <w:color w:val="auto"/>
                <w:sz w:val="24"/>
                <w:szCs w:val="24"/>
                <w:highlight w:val="none"/>
                <w:lang w:val="en-US" w:eastAsia="zh-CN"/>
              </w:rPr>
              <w:t>参考河南省招标投标协会关于印发《河南省招标代理服务收费指导意见》豫招协[2023]002号文的收费标准以中标价为基数下浮20%计取。</w:t>
            </w:r>
          </w:p>
          <w:p w14:paraId="309A7BEE">
            <w:pPr>
              <w:keepNext w:val="0"/>
              <w:keepLines w:val="0"/>
              <w:pageBreakBefore w:val="0"/>
              <w:widowControl w:val="0"/>
              <w:kinsoku w:val="0"/>
              <w:wordWrap/>
              <w:overflowPunct/>
              <w:topLinePunct w:val="0"/>
              <w:autoSpaceDE w:val="0"/>
              <w:autoSpaceDN w:val="0"/>
              <w:bidi w:val="0"/>
              <w:adjustRightInd w:val="0"/>
              <w:snapToGrid w:val="0"/>
              <w:spacing w:line="360" w:lineRule="auto"/>
              <w:ind w:right="108"/>
              <w:jc w:val="left"/>
              <w:textAlignment w:val="baseline"/>
              <w:rPr>
                <w:rFonts w:hint="eastAsia" w:ascii="宋体" w:hAnsi="宋体" w:eastAsia="宋体" w:cs="宋体"/>
                <w:kern w:val="2"/>
                <w:sz w:val="24"/>
                <w:szCs w:val="24"/>
                <w:lang w:val="en-US" w:eastAsia="zh-CN" w:bidi="ar-SA"/>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收取方式：由中标单位支付，在领取中标通知书时，以</w:t>
            </w:r>
            <w:r>
              <w:rPr>
                <w:rFonts w:hint="eastAsia" w:ascii="宋体" w:hAnsi="宋体" w:eastAsia="宋体" w:cs="宋体"/>
                <w:color w:val="auto"/>
                <w:sz w:val="24"/>
                <w:szCs w:val="24"/>
                <w:highlight w:val="none"/>
                <w:lang w:val="en-US" w:eastAsia="zh-CN"/>
              </w:rPr>
              <w:t>公对公</w:t>
            </w:r>
            <w:r>
              <w:rPr>
                <w:rFonts w:hint="eastAsia" w:ascii="宋体" w:hAnsi="宋体" w:eastAsia="宋体" w:cs="宋体"/>
                <w:color w:val="auto"/>
                <w:sz w:val="24"/>
                <w:szCs w:val="24"/>
                <w:highlight w:val="none"/>
              </w:rPr>
              <w:t>转账的方式一次性向代理机构缴纳</w:t>
            </w:r>
            <w:r>
              <w:rPr>
                <w:rFonts w:hint="eastAsia" w:ascii="宋体" w:hAnsi="宋体" w:eastAsia="宋体" w:cs="宋体"/>
                <w:color w:val="auto"/>
                <w:sz w:val="24"/>
                <w:szCs w:val="24"/>
                <w:highlight w:val="none"/>
                <w:lang w:eastAsia="zh-CN"/>
              </w:rPr>
              <w:t>费用</w:t>
            </w:r>
            <w:r>
              <w:rPr>
                <w:rFonts w:hint="eastAsia" w:ascii="宋体" w:hAnsi="宋体" w:eastAsia="宋体" w:cs="宋体"/>
                <w:color w:val="auto"/>
                <w:sz w:val="24"/>
                <w:szCs w:val="24"/>
                <w:highlight w:val="none"/>
              </w:rPr>
              <w:t>。</w:t>
            </w:r>
          </w:p>
        </w:tc>
      </w:tr>
      <w:tr w14:paraId="45128174">
        <w:tblPrEx>
          <w:tblCellMar>
            <w:top w:w="0" w:type="dxa"/>
            <w:left w:w="108" w:type="dxa"/>
            <w:bottom w:w="0" w:type="dxa"/>
            <w:right w:w="108" w:type="dxa"/>
          </w:tblCellMar>
        </w:tblPrEx>
        <w:trPr>
          <w:trHeight w:val="442"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FC69BAA">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w:t>
            </w:r>
          </w:p>
        </w:tc>
        <w:tc>
          <w:tcPr>
            <w:tcW w:w="1992" w:type="dxa"/>
            <w:tcBorders>
              <w:top w:val="single" w:color="auto" w:sz="4" w:space="0"/>
              <w:left w:val="nil"/>
              <w:bottom w:val="single" w:color="auto" w:sz="4" w:space="0"/>
              <w:right w:val="single" w:color="auto" w:sz="4" w:space="0"/>
            </w:tcBorders>
            <w:vAlign w:val="center"/>
          </w:tcPr>
          <w:p w14:paraId="4375AE42">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解释权</w:t>
            </w:r>
          </w:p>
        </w:tc>
        <w:tc>
          <w:tcPr>
            <w:tcW w:w="7393" w:type="dxa"/>
            <w:tcBorders>
              <w:top w:val="single" w:color="auto" w:sz="4" w:space="0"/>
              <w:left w:val="nil"/>
              <w:bottom w:val="single" w:color="auto" w:sz="4" w:space="0"/>
              <w:right w:val="single" w:color="auto" w:sz="4" w:space="0"/>
            </w:tcBorders>
            <w:vAlign w:val="center"/>
          </w:tcPr>
          <w:p w14:paraId="68C590D6">
            <w:pPr>
              <w:spacing w:line="420" w:lineRule="exact"/>
              <w:rPr>
                <w:rFonts w:hint="eastAsia" w:ascii="宋体" w:hAnsi="宋体" w:eastAsia="宋体" w:cs="宋体"/>
                <w:sz w:val="24"/>
                <w:szCs w:val="24"/>
              </w:rPr>
            </w:pPr>
            <w:r>
              <w:rPr>
                <w:rFonts w:hint="eastAsia" w:ascii="宋体" w:hAnsi="宋体" w:eastAsia="宋体" w:cs="宋体"/>
                <w:sz w:val="24"/>
                <w:szCs w:val="24"/>
              </w:rPr>
              <w:t>构成本</w:t>
            </w:r>
            <w:r>
              <w:rPr>
                <w:rFonts w:hint="eastAsia" w:ascii="宋体" w:hAnsi="宋体" w:eastAsia="宋体" w:cs="宋体"/>
                <w:sz w:val="24"/>
                <w:szCs w:val="24"/>
                <w:lang w:val="en-US" w:eastAsia="zh-CN"/>
              </w:rPr>
              <w:t>磋商</w:t>
            </w:r>
            <w:r>
              <w:rPr>
                <w:rFonts w:hint="eastAsia" w:ascii="宋体" w:hAnsi="宋体" w:eastAsia="宋体" w:cs="宋体"/>
                <w:sz w:val="24"/>
                <w:szCs w:val="24"/>
              </w:rPr>
              <w:t>文件的各个组成文件应互为解释，互为说明；如有不明确或不一致，构成合同文件组成内容的，以合同文件约定内容为准，且以专用合同条款约定的合同文件优先顺序解释；除</w:t>
            </w:r>
            <w:r>
              <w:rPr>
                <w:rFonts w:hint="eastAsia" w:ascii="宋体" w:hAnsi="宋体" w:eastAsia="宋体" w:cs="宋体"/>
                <w:sz w:val="24"/>
                <w:szCs w:val="24"/>
                <w:lang w:val="en-US" w:eastAsia="zh-CN"/>
              </w:rPr>
              <w:t>磋商</w:t>
            </w:r>
            <w:r>
              <w:rPr>
                <w:rFonts w:hint="eastAsia" w:ascii="宋体" w:hAnsi="宋体" w:eastAsia="宋体" w:cs="宋体"/>
                <w:sz w:val="24"/>
                <w:szCs w:val="24"/>
              </w:rPr>
              <w:t>文件中有特别规定外，仅适用于招标投标阶段的规定，按</w:t>
            </w:r>
            <w:r>
              <w:rPr>
                <w:rFonts w:hint="eastAsia" w:ascii="宋体" w:hAnsi="宋体" w:eastAsia="宋体" w:cs="宋体"/>
                <w:sz w:val="24"/>
                <w:szCs w:val="24"/>
                <w:lang w:val="en-US" w:eastAsia="zh-CN"/>
              </w:rPr>
              <w:t>磋商</w:t>
            </w:r>
            <w:r>
              <w:rPr>
                <w:rFonts w:hint="eastAsia" w:ascii="宋体" w:hAnsi="宋体" w:eastAsia="宋体" w:cs="宋体"/>
                <w:sz w:val="24"/>
                <w:szCs w:val="24"/>
              </w:rPr>
              <w:t>公告、</w:t>
            </w:r>
            <w:r>
              <w:rPr>
                <w:rFonts w:hint="eastAsia" w:ascii="宋体" w:hAnsi="宋体" w:eastAsia="宋体" w:cs="宋体"/>
                <w:sz w:val="24"/>
                <w:szCs w:val="24"/>
                <w:lang w:eastAsia="zh-CN"/>
              </w:rPr>
              <w:t>响应人</w:t>
            </w:r>
            <w:r>
              <w:rPr>
                <w:rFonts w:hint="eastAsia" w:ascii="宋体" w:hAnsi="宋体" w:eastAsia="宋体" w:cs="宋体"/>
                <w:sz w:val="24"/>
                <w:szCs w:val="24"/>
              </w:rPr>
              <w:t>须知、评标办法、</w:t>
            </w:r>
            <w:r>
              <w:rPr>
                <w:rFonts w:hint="eastAsia" w:ascii="宋体" w:hAnsi="宋体" w:eastAsia="宋体" w:cs="宋体"/>
                <w:sz w:val="24"/>
                <w:szCs w:val="24"/>
                <w:lang w:val="en-US" w:eastAsia="zh-CN"/>
              </w:rPr>
              <w:t>磋商</w:t>
            </w:r>
            <w:r>
              <w:rPr>
                <w:rFonts w:hint="eastAsia" w:ascii="宋体" w:hAnsi="宋体" w:eastAsia="宋体" w:cs="宋体"/>
                <w:sz w:val="24"/>
                <w:szCs w:val="24"/>
              </w:rPr>
              <w:t>响应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r>
              <w:rPr>
                <w:rFonts w:hint="eastAsia" w:ascii="宋体" w:hAnsi="宋体" w:eastAsia="宋体" w:cs="宋体"/>
                <w:sz w:val="24"/>
                <w:szCs w:val="24"/>
                <w:lang w:val="en-US" w:eastAsia="zh-CN"/>
              </w:rPr>
              <w:t xml:space="preserve"> </w:t>
            </w:r>
          </w:p>
        </w:tc>
      </w:tr>
      <w:tr w14:paraId="39579FD9">
        <w:tblPrEx>
          <w:tblCellMar>
            <w:top w:w="0" w:type="dxa"/>
            <w:left w:w="108" w:type="dxa"/>
            <w:bottom w:w="0" w:type="dxa"/>
            <w:right w:w="108" w:type="dxa"/>
          </w:tblCellMar>
        </w:tblPrEx>
        <w:trPr>
          <w:trHeight w:val="683"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5507F15">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34</w:t>
            </w:r>
          </w:p>
        </w:tc>
        <w:tc>
          <w:tcPr>
            <w:tcW w:w="1992" w:type="dxa"/>
            <w:tcBorders>
              <w:top w:val="single" w:color="auto" w:sz="4" w:space="0"/>
              <w:left w:val="nil"/>
              <w:bottom w:val="single" w:color="auto" w:sz="4" w:space="0"/>
              <w:right w:val="single" w:color="auto" w:sz="4" w:space="0"/>
            </w:tcBorders>
            <w:vAlign w:val="center"/>
          </w:tcPr>
          <w:p w14:paraId="1A4C0B56">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电子化交易注意事项</w:t>
            </w:r>
          </w:p>
        </w:tc>
        <w:tc>
          <w:tcPr>
            <w:tcW w:w="7393" w:type="dxa"/>
            <w:tcBorders>
              <w:top w:val="single" w:color="auto" w:sz="4" w:space="0"/>
              <w:left w:val="nil"/>
              <w:bottom w:val="single" w:color="auto" w:sz="4" w:space="0"/>
              <w:right w:val="single" w:color="auto" w:sz="4" w:space="0"/>
            </w:tcBorders>
            <w:vAlign w:val="center"/>
          </w:tcPr>
          <w:p w14:paraId="14B1F06C">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具体要求：本项目为电子化、无纸化交易项目，响应文件是响应人、供应商（以下简称“响应人”）通过中心响应文件制作系统制作，并经过签章和加密后生成的电子版响应文件。</w:t>
            </w:r>
          </w:p>
          <w:p w14:paraId="5FE84486">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电子化响应文件具体制作文件请点击</w:t>
            </w:r>
          </w:p>
          <w:p w14:paraId="4F352F99">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https://download.bqpoint.com/download/downloadlist.html?SoftTypeCode=06进行下载。</w:t>
            </w:r>
          </w:p>
          <w:p w14:paraId="58792734">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温馨提示：本项目为电子化、无纸化交易项目，为保证您能投标成功，请需仔细阅读以下条款。</w:t>
            </w:r>
          </w:p>
          <w:p w14:paraId="55F72258">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一、电子化投标</w:t>
            </w:r>
          </w:p>
          <w:p w14:paraId="31018DC2">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（一）电子化响应文件的签章</w:t>
            </w:r>
          </w:p>
          <w:p w14:paraId="738E5B91">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1、响应人在生成电子化响应文件后，应对电子化响应文件进行签章，未进行签章的视为无效投标。</w:t>
            </w:r>
          </w:p>
          <w:p w14:paraId="4017EEE1">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2、竞争性磋商文件中要求法定代表人或授权委托人签字或盖章的，响应人在进行电子化响应文件签章时，以签盖法定代表人签章为准。</w:t>
            </w:r>
          </w:p>
          <w:p w14:paraId="504E045E">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（二）电子化响应文件的格式及上传投标</w:t>
            </w:r>
          </w:p>
          <w:p w14:paraId="2F411B27">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1、响应人所上传的电子化响应文件，应是通过中心响应文件制作系统制作的（响应文件制作工具下载地址：</w:t>
            </w:r>
          </w:p>
          <w:p w14:paraId="6BDF0EB4">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https://download.bqpoint.com/download/downloadlist.html?SoftTypeCode=06），经过签章和加密后生成的电子版响应文件。其中包含用于响应文件上传的主文件（后缀为.smxtf）和用于应急补救的响应文件备份文件（后缀为.nsmxtf）。备份文件主要用于电子化开标出现技术问题后的补救，请投标人随身携带。</w:t>
            </w:r>
          </w:p>
          <w:p w14:paraId="74D06907">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注：响应人投报多个标段的，需要每个标段单独制作电子响应文件。</w:t>
            </w:r>
          </w:p>
          <w:p w14:paraId="256DD725">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2、电子化响应文件应在磋商截止时间前成功上传至三门峡市公共资源电子化交易系统。至磋商截止时间止，仍未上传成功的电子化响应文件将不予接收。</w:t>
            </w:r>
          </w:p>
          <w:p w14:paraId="1793E2CD">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注：如按照电子化投标操作教材制作完成的电子化响应文件无法上传的，响应人应在磋商截止时间前尽早的联系中心技术人员，以便有充分的时间进行处理。响应人应充分考虑到处理技术问题和上传数据等工作所需的时间问题，响应文件未在磋商截止时间前成功上传的，其响应文件不予接收。</w:t>
            </w:r>
          </w:p>
          <w:p w14:paraId="38374493">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技术联系电话：0398-3117095   3117080</w:t>
            </w:r>
          </w:p>
          <w:p w14:paraId="2979198D">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新点客服电话:4009980000</w:t>
            </w:r>
          </w:p>
          <w:p w14:paraId="62218EA9">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（三）电子化项目开标、解密、评标</w:t>
            </w:r>
          </w:p>
          <w:p w14:paraId="4F528EF2">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1、本项目采用电子化、无纸化进行磋商，开标当日，响应人无需到开标现场参加开标会议，响应人应当在磋商截止时间前，登陆不见面开标大厅选择登陆三门峡市公共资源电子招投标系统进行登陆（网址为</w:t>
            </w:r>
          </w:p>
          <w:p w14:paraId="5A81DEB0">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http://122.112.246.33/BidOpening/bidopeninghallaction/hall/login）,在线准时参加开标活动并进行响应文件解密等。</w:t>
            </w:r>
          </w:p>
          <w:p w14:paraId="383396B6">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2、电子化响应文件采用一次加密方式。开标时，由响应人使用CA 证书，在规定时间内对其电子化响应文件进行解密。每位响应人的解密时间为开标时间起30分钟内，如在规定时间内未完成解密的，其响应文件不予开标。</w:t>
            </w:r>
          </w:p>
          <w:p w14:paraId="1A0B5537">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3、电子化响应文件解密异常的处理</w:t>
            </w:r>
          </w:p>
          <w:p w14:paraId="2EF8D7A7">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如出现响应人的电子响应文件无法解密等异常情况，响应人应及时致电中介服务机构说明。响应文件异常，按以下步骤进行处理：</w:t>
            </w:r>
          </w:p>
          <w:p w14:paraId="45575853">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（1）首先由技术人员进行问题排查。</w:t>
            </w:r>
          </w:p>
          <w:p w14:paraId="7682AC40">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（2）经技术人员排查后，是响应人文件自身问题导致响应文件无法解密的，该响应文件将不予接收、解密。开标会议继续进行。</w:t>
            </w:r>
          </w:p>
          <w:p w14:paraId="6F891AA4">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3E1F6141">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4、待所有响应人响应文件解密完成后，由中介服务机构操作，对所有已解密响应文件进行解密。响应人应保证在磋商期间电话、电脑、网络能够正常工作，响应人因停电、电脑病毒、网络堵塞等原因，未在规定的解密时间内对响应文件进行解密的，其响应文件不予接收。</w:t>
            </w:r>
          </w:p>
          <w:p w14:paraId="5AD7DE3B">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5、磋商时响应人可登录到交易系统中在开标解密栏中点击报价一览表查看自己的磋商报价。如对磋商过程有异议的，应在响应人解密成功后10分钟内向中介服务机构电话质疑。中介服务机构应在监督人员的监督下进行免提通话接受投标人的质疑并做好书面记录。响应人未在规定时间内提出质疑的，视为认可磋商过程。</w:t>
            </w:r>
          </w:p>
          <w:p w14:paraId="665E0E8F">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6、评标时，评标委员会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评标委员会。</w:t>
            </w:r>
          </w:p>
          <w:p w14:paraId="20CE948F">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7、如评标委员会对需要回复的响应人连续三次致电未接通的，视为响应人放弃回复，评标委员会将自行对需要回复的内容进行认定。</w:t>
            </w:r>
          </w:p>
          <w:p w14:paraId="7B10D6C4">
            <w:pPr>
              <w:keepNext w:val="0"/>
              <w:keepLines w:val="0"/>
              <w:pageBreakBefore w:val="0"/>
              <w:kinsoku/>
              <w:wordWrap/>
              <w:overflowPunct/>
              <w:topLinePunct w:val="0"/>
              <w:autoSpaceDE w:val="0"/>
              <w:autoSpaceDN w:val="0"/>
              <w:bidi w:val="0"/>
              <w:adjustRightInd w:val="0"/>
              <w:snapToGrid/>
              <w:spacing w:line="360" w:lineRule="auto"/>
              <w:textAlignment w:val="auto"/>
              <w:outlineLvl w:val="9"/>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二、资格审查资料</w:t>
            </w:r>
          </w:p>
          <w:p w14:paraId="19138380">
            <w:pPr>
              <w:spacing w:line="420" w:lineRule="exact"/>
              <w:rPr>
                <w:rFonts w:hint="eastAsia" w:ascii="宋体" w:hAnsi="宋体" w:eastAsia="宋体" w:cs="宋体"/>
                <w:sz w:val="24"/>
                <w:szCs w:val="24"/>
              </w:rPr>
            </w:pPr>
            <w:r>
              <w:rPr>
                <w:rFonts w:hint="eastAsia" w:ascii="宋体" w:hAnsi="宋体" w:eastAsia="宋体" w:cs="宋体"/>
                <w:color w:val="auto"/>
                <w:spacing w:val="6"/>
                <w:sz w:val="24"/>
                <w:szCs w:val="24"/>
              </w:rPr>
              <w:t>本项目实行资格后审，资格评审以响应文件为准，其上传资料真实性由投标人自行承担，同时，投标人要完善主体库。提示：本项目为电子化、无纸化交易项目，为保证您能投标成功，请需仔细阅读以上条款。</w:t>
            </w:r>
          </w:p>
        </w:tc>
      </w:tr>
      <w:tr w14:paraId="3176F1CA">
        <w:tblPrEx>
          <w:tblCellMar>
            <w:top w:w="0" w:type="dxa"/>
            <w:left w:w="108" w:type="dxa"/>
            <w:bottom w:w="0" w:type="dxa"/>
            <w:right w:w="108" w:type="dxa"/>
          </w:tblCellMar>
        </w:tblPrEx>
        <w:trPr>
          <w:trHeight w:val="683"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EB9F18D">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w:t>
            </w:r>
          </w:p>
        </w:tc>
        <w:tc>
          <w:tcPr>
            <w:tcW w:w="1992" w:type="dxa"/>
            <w:tcBorders>
              <w:top w:val="single" w:color="auto" w:sz="4" w:space="0"/>
              <w:left w:val="nil"/>
              <w:bottom w:val="single" w:color="auto" w:sz="4" w:space="0"/>
              <w:right w:val="single" w:color="auto" w:sz="4" w:space="0"/>
            </w:tcBorders>
            <w:vAlign w:val="center"/>
          </w:tcPr>
          <w:p w14:paraId="2ACEF8DA">
            <w:pPr>
              <w:spacing w:line="420" w:lineRule="exact"/>
              <w:jc w:val="center"/>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政府采购合同融资政策</w:t>
            </w:r>
          </w:p>
        </w:tc>
        <w:tc>
          <w:tcPr>
            <w:tcW w:w="7393" w:type="dxa"/>
            <w:tcBorders>
              <w:top w:val="single" w:color="auto" w:sz="4" w:space="0"/>
              <w:left w:val="nil"/>
              <w:bottom w:val="single" w:color="auto" w:sz="4" w:space="0"/>
              <w:right w:val="single" w:color="auto" w:sz="4" w:space="0"/>
            </w:tcBorders>
            <w:vAlign w:val="center"/>
          </w:tcPr>
          <w:p w14:paraId="3937A114">
            <w:pPr>
              <w:spacing w:line="420" w:lineRule="exact"/>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lang w:val="en-US" w:eastAsia="zh-CN"/>
              </w:rPr>
              <w:t>供应商中标后，如需融资，参照《河南省政府采购合同融资工作实施方案》（豫财购〔2017〕10号）执行。</w:t>
            </w:r>
          </w:p>
        </w:tc>
      </w:tr>
      <w:tr w14:paraId="639179A5">
        <w:tblPrEx>
          <w:tblCellMar>
            <w:top w:w="0" w:type="dxa"/>
            <w:left w:w="108" w:type="dxa"/>
            <w:bottom w:w="0" w:type="dxa"/>
            <w:right w:w="108" w:type="dxa"/>
          </w:tblCellMar>
        </w:tblPrEx>
        <w:trPr>
          <w:trHeight w:val="683"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2EF6635">
            <w:pPr>
              <w:spacing w:line="4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36</w:t>
            </w:r>
          </w:p>
        </w:tc>
        <w:tc>
          <w:tcPr>
            <w:tcW w:w="1992" w:type="dxa"/>
            <w:tcBorders>
              <w:top w:val="single" w:color="auto" w:sz="4" w:space="0"/>
              <w:left w:val="nil"/>
              <w:bottom w:val="single" w:color="auto" w:sz="4" w:space="0"/>
              <w:right w:val="single" w:color="auto" w:sz="4" w:space="0"/>
            </w:tcBorders>
            <w:vAlign w:val="center"/>
          </w:tcPr>
          <w:p w14:paraId="2F86C0DC">
            <w:pPr>
              <w:spacing w:line="420" w:lineRule="exact"/>
              <w:jc w:val="center"/>
              <w:rPr>
                <w:rFonts w:hint="eastAsia" w:ascii="宋体" w:hAnsi="宋体" w:eastAsia="宋体" w:cs="宋体"/>
                <w:color w:val="auto"/>
                <w:spacing w:val="6"/>
                <w:sz w:val="24"/>
                <w:szCs w:val="24"/>
              </w:rPr>
            </w:pPr>
            <w:r>
              <w:rPr>
                <w:rFonts w:hint="eastAsia" w:ascii="宋体" w:hAnsi="宋体" w:eastAsia="宋体" w:cs="宋体"/>
                <w:sz w:val="24"/>
                <w:szCs w:val="24"/>
                <w:lang w:val="en-US" w:eastAsia="zh-CN"/>
              </w:rPr>
              <w:t>政府采购政策</w:t>
            </w:r>
          </w:p>
        </w:tc>
        <w:tc>
          <w:tcPr>
            <w:tcW w:w="7393" w:type="dxa"/>
            <w:tcBorders>
              <w:top w:val="single" w:color="auto" w:sz="4" w:space="0"/>
              <w:left w:val="nil"/>
              <w:bottom w:val="single" w:color="auto" w:sz="4" w:space="0"/>
              <w:right w:val="single" w:color="auto" w:sz="4" w:space="0"/>
            </w:tcBorders>
            <w:vAlign w:val="center"/>
          </w:tcPr>
          <w:p w14:paraId="43EB411B">
            <w:pPr>
              <w:widowControl/>
              <w:spacing w:line="46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应优先采购“节能产品政府采购清单”中的产品，供应商应当列明本项目中所投的“节能产品清单”并提供相关有效证明材料,否则不予认可。评标时涉及节能产品的将按《节能产品政府采购实施意见》(财库【2004】185号)的规定执行。“节能产品政府采购清单”在中国政府采购网、中国环境资源信息网、中国节能节水认证网发布，属于清单内的产品，供应商优先采用该产品。</w:t>
            </w:r>
          </w:p>
          <w:p w14:paraId="03C99D2A">
            <w:pPr>
              <w:widowControl/>
              <w:spacing w:line="46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2、关于计算机办公设备，必须执行国家版权局、信息产业部、财政部等部门规定，供应商所投货物必须是国家信息部、版权局、商务部等部门认可的预装正版操作系统软件的计算机产品。</w:t>
            </w:r>
          </w:p>
          <w:p w14:paraId="694A2FA2">
            <w:pPr>
              <w:widowControl/>
              <w:spacing w:line="46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3、优先采购本国产品。采购进口产品应符合《中华人民共和国政府采购法》并依法办理论证、公示、审批手续。</w:t>
            </w:r>
          </w:p>
          <w:p w14:paraId="3706CED1">
            <w:pPr>
              <w:widowControl/>
              <w:spacing w:line="46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供应商应优先采购“环境标志产品政府采购清单”中的产品时，供应商应当列明本项目中所投的“环境标志产品清单”并提供相关有效证明材料，否则不予认可。评标时涉及环境标志产品的将按《环境标志产品政府采购实施意见》(财库【2006】90号）的规定执行。“环境标志产品政府采购清单”在中国政府采购网、中国绿色采购网、国家环境保护总局网发布，属于清单内的产品，供应商优先采用该产品。</w:t>
            </w:r>
          </w:p>
          <w:p w14:paraId="66B3175B">
            <w:pPr>
              <w:widowControl/>
              <w:spacing w:line="460" w:lineRule="exact"/>
              <w:jc w:val="left"/>
              <w:rPr>
                <w:rFonts w:hint="eastAsia" w:ascii="宋体" w:hAnsi="宋体" w:eastAsia="宋体" w:cs="宋体"/>
                <w:color w:val="auto"/>
                <w:spacing w:val="6"/>
                <w:sz w:val="24"/>
                <w:szCs w:val="24"/>
                <w:lang w:val="en-US" w:eastAsia="zh-CN"/>
              </w:rPr>
            </w:pPr>
            <w:r>
              <w:rPr>
                <w:rFonts w:hint="eastAsia" w:ascii="宋体" w:hAnsi="宋体" w:eastAsia="宋体" w:cs="宋体"/>
                <w:sz w:val="24"/>
                <w:szCs w:val="24"/>
                <w:lang w:val="en-US" w:eastAsia="zh-CN"/>
              </w:rPr>
              <w:t>5、落实政府采购政策，对小型、微型企业、监狱企业及残疾人福利性单位产品价格给予20%的扣除（同一供应商，中小微企业产品和监狱企业产品价格扣除优惠只享受一次，不得重复享受），用扣除后的价格参与评审，参加政府采购活动的中小企业应当提供《中小企业声明函》并提供证明材料，未填写中小企业声明函的在评标过程中不予认可；参加政府采购活动的残疾人福利性企业应当提供《残疾人福利性单位声明函》并提供证明材料，未填写残疾人福利性单位声明函的在评标过程中不予认可。中标人如为小型和微型企业的，并在投标时填写了中小企业声明函，若不能提供或提供的材料与投标时做出的声明不符，招标人有权取消该中标人的中标资格，并对因其造成的损失进行追责。</w:t>
            </w:r>
          </w:p>
        </w:tc>
      </w:tr>
    </w:tbl>
    <w:p w14:paraId="0EACA8DF">
      <w:pPr>
        <w:keepNext w:val="0"/>
        <w:keepLines w:val="0"/>
        <w:pageBreakBefore w:val="0"/>
        <w:widowControl w:val="0"/>
        <w:numPr>
          <w:ilvl w:val="0"/>
          <w:numId w:val="0"/>
        </w:numPr>
        <w:kinsoku/>
        <w:wordWrap/>
        <w:overflowPunct/>
        <w:topLinePunct w:val="0"/>
        <w:autoSpaceDN/>
        <w:bidi w:val="0"/>
        <w:snapToGrid/>
        <w:spacing w:line="360" w:lineRule="auto"/>
        <w:outlineLvl w:val="9"/>
        <w:rPr>
          <w:rFonts w:hint="eastAsia" w:ascii="宋体" w:hAnsi="宋体" w:eastAsia="宋体" w:cs="宋体"/>
          <w:b/>
          <w:bCs/>
          <w:kern w:val="0"/>
          <w:sz w:val="24"/>
          <w:szCs w:val="24"/>
        </w:rPr>
      </w:pPr>
      <w:r>
        <w:rPr>
          <w:rFonts w:hint="eastAsia" w:ascii="Times New Roman" w:hAnsi="Times New Roman" w:cs="Times New Roman"/>
          <w:bCs/>
          <w:kern w:val="0"/>
          <w:sz w:val="24"/>
          <w:szCs w:val="24"/>
        </w:rPr>
        <w:br w:type="page"/>
      </w:r>
      <w:bookmarkStart w:id="16" w:name="_Toc513029203"/>
      <w:bookmarkEnd w:id="16"/>
      <w:bookmarkStart w:id="17" w:name="_Toc20823275"/>
      <w:bookmarkEnd w:id="17"/>
      <w:bookmarkStart w:id="18" w:name="_Toc16770549"/>
      <w:bookmarkEnd w:id="18"/>
      <w:bookmarkStart w:id="19" w:name="_Toc16938519"/>
      <w:bookmarkEnd w:id="19"/>
      <w:bookmarkStart w:id="20" w:name="_Toc517178993"/>
      <w:bookmarkEnd w:id="20"/>
      <w:bookmarkStart w:id="21" w:name="_Toc120614214"/>
      <w:bookmarkEnd w:id="21"/>
      <w:bookmarkStart w:id="22" w:name="_Toc24188"/>
      <w:bookmarkStart w:id="23" w:name="_Toc19973"/>
      <w:bookmarkStart w:id="24" w:name="_Toc20553"/>
      <w:r>
        <w:rPr>
          <w:rFonts w:hint="eastAsia" w:ascii="宋体" w:hAnsi="宋体" w:eastAsia="宋体" w:cs="宋体"/>
          <w:b/>
          <w:bCs/>
          <w:kern w:val="0"/>
          <w:sz w:val="24"/>
          <w:szCs w:val="24"/>
        </w:rPr>
        <w:t>1</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总则</w:t>
      </w:r>
      <w:bookmarkEnd w:id="22"/>
      <w:bookmarkEnd w:id="23"/>
      <w:bookmarkEnd w:id="24"/>
    </w:p>
    <w:p w14:paraId="70B3C445">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1.1项目概况</w:t>
      </w:r>
    </w:p>
    <w:p w14:paraId="1174E216">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1.1.1根据《中华人民共和国政府采购法》等有关法律、法规和规章的规定，本</w:t>
      </w:r>
      <w:r>
        <w:rPr>
          <w:rFonts w:hint="eastAsia" w:ascii="宋体" w:hAnsi="宋体" w:eastAsia="宋体" w:cs="宋体"/>
          <w:sz w:val="24"/>
          <w:szCs w:val="24"/>
          <w:lang w:eastAsia="zh-CN"/>
        </w:rPr>
        <w:t>项目</w:t>
      </w:r>
      <w:r>
        <w:rPr>
          <w:rFonts w:hint="eastAsia" w:ascii="宋体" w:hAnsi="宋体" w:eastAsia="宋体" w:cs="宋体"/>
          <w:sz w:val="24"/>
          <w:szCs w:val="24"/>
        </w:rPr>
        <w:t>已具备</w:t>
      </w:r>
      <w:r>
        <w:rPr>
          <w:rFonts w:hint="eastAsia" w:ascii="宋体" w:hAnsi="宋体" w:eastAsia="宋体" w:cs="宋体"/>
          <w:kern w:val="0"/>
          <w:sz w:val="24"/>
          <w:szCs w:val="24"/>
        </w:rPr>
        <w:t>磋商</w:t>
      </w:r>
      <w:r>
        <w:rPr>
          <w:rFonts w:hint="eastAsia" w:ascii="宋体" w:hAnsi="宋体" w:eastAsia="宋体" w:cs="宋体"/>
          <w:sz w:val="24"/>
          <w:szCs w:val="24"/>
        </w:rPr>
        <w:t>条件，现对本项目进行</w:t>
      </w:r>
      <w:r>
        <w:rPr>
          <w:rFonts w:hint="eastAsia" w:ascii="宋体" w:hAnsi="宋体" w:eastAsia="宋体" w:cs="宋体"/>
          <w:kern w:val="0"/>
          <w:sz w:val="24"/>
          <w:szCs w:val="24"/>
        </w:rPr>
        <w:t>竞争性磋商</w:t>
      </w:r>
      <w:r>
        <w:rPr>
          <w:rFonts w:hint="eastAsia" w:ascii="宋体" w:hAnsi="宋体" w:eastAsia="宋体" w:cs="宋体"/>
          <w:sz w:val="24"/>
          <w:szCs w:val="24"/>
        </w:rPr>
        <w:t>。</w:t>
      </w:r>
    </w:p>
    <w:p w14:paraId="16ED1171">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1.1.2本</w:t>
      </w:r>
      <w:r>
        <w:rPr>
          <w:rFonts w:hint="eastAsia" w:ascii="宋体" w:hAnsi="宋体" w:eastAsia="宋体" w:cs="宋体"/>
          <w:sz w:val="24"/>
          <w:szCs w:val="24"/>
          <w:lang w:eastAsia="zh-CN"/>
        </w:rPr>
        <w:t>采购项目</w:t>
      </w:r>
      <w:r>
        <w:rPr>
          <w:rFonts w:hint="eastAsia" w:ascii="宋体" w:hAnsi="宋体" w:eastAsia="宋体" w:cs="宋体"/>
          <w:sz w:val="24"/>
          <w:szCs w:val="24"/>
        </w:rPr>
        <w:t>采购人：见供应商须知前附表。</w:t>
      </w:r>
    </w:p>
    <w:p w14:paraId="0AA1D508">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1.1.3本项目采购代理机构：见供应商须知前附表。</w:t>
      </w:r>
    </w:p>
    <w:p w14:paraId="2DC70C60">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1.1.4本</w:t>
      </w:r>
      <w:r>
        <w:rPr>
          <w:rFonts w:hint="eastAsia" w:ascii="宋体" w:hAnsi="宋体" w:eastAsia="宋体" w:cs="宋体"/>
          <w:sz w:val="24"/>
          <w:szCs w:val="24"/>
          <w:lang w:eastAsia="zh-CN"/>
        </w:rPr>
        <w:t>采购项目</w:t>
      </w:r>
      <w:r>
        <w:rPr>
          <w:rFonts w:hint="eastAsia" w:ascii="宋体" w:hAnsi="宋体" w:eastAsia="宋体" w:cs="宋体"/>
          <w:sz w:val="24"/>
          <w:szCs w:val="24"/>
        </w:rPr>
        <w:t>名称：见供应商须知前附表。</w:t>
      </w:r>
    </w:p>
    <w:p w14:paraId="74AFB4B6">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1.1.5本项目交货地点：见供应商须知前附表。</w:t>
      </w:r>
    </w:p>
    <w:p w14:paraId="6060F6DC">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1.2采购内容、供货期限和质量要求</w:t>
      </w:r>
    </w:p>
    <w:p w14:paraId="57DCBB45">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1.2.1本次采购内容：见供应商须知前附表。</w:t>
      </w:r>
    </w:p>
    <w:p w14:paraId="58742E52">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1.2.2</w:t>
      </w:r>
      <w:r>
        <w:rPr>
          <w:rFonts w:hint="eastAsia" w:ascii="宋体" w:hAnsi="宋体" w:eastAsia="宋体" w:cs="宋体"/>
          <w:kern w:val="0"/>
          <w:sz w:val="24"/>
          <w:szCs w:val="24"/>
        </w:rPr>
        <w:t>本次项目</w:t>
      </w:r>
      <w:r>
        <w:rPr>
          <w:rFonts w:hint="eastAsia" w:ascii="宋体" w:hAnsi="宋体" w:eastAsia="宋体" w:cs="宋体"/>
          <w:kern w:val="0"/>
          <w:sz w:val="24"/>
          <w:szCs w:val="24"/>
          <w:lang w:val="en-US" w:eastAsia="zh-CN"/>
        </w:rPr>
        <w:t>磋商范围：</w:t>
      </w:r>
      <w:r>
        <w:rPr>
          <w:rFonts w:hint="eastAsia" w:ascii="宋体" w:hAnsi="宋体" w:eastAsia="宋体" w:cs="宋体"/>
          <w:kern w:val="0"/>
          <w:sz w:val="24"/>
          <w:szCs w:val="24"/>
        </w:rPr>
        <w:t>见供应商须知前附表</w:t>
      </w:r>
      <w:r>
        <w:rPr>
          <w:rFonts w:hint="eastAsia" w:ascii="宋体" w:hAnsi="宋体" w:eastAsia="宋体" w:cs="宋体"/>
          <w:kern w:val="0"/>
          <w:sz w:val="24"/>
          <w:szCs w:val="24"/>
          <w:lang w:eastAsia="zh-CN"/>
        </w:rPr>
        <w:t>。</w:t>
      </w:r>
    </w:p>
    <w:p w14:paraId="6485F101">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lang w:val="en-US" w:eastAsia="zh-CN"/>
        </w:rPr>
        <w:t>1.2.3</w:t>
      </w:r>
      <w:r>
        <w:rPr>
          <w:rFonts w:hint="eastAsia" w:ascii="宋体" w:hAnsi="宋体" w:eastAsia="宋体" w:cs="宋体"/>
          <w:sz w:val="24"/>
          <w:szCs w:val="24"/>
        </w:rPr>
        <w:t>本项目的</w:t>
      </w:r>
      <w:r>
        <w:rPr>
          <w:rFonts w:hint="eastAsia" w:ascii="宋体" w:hAnsi="宋体" w:eastAsia="宋体" w:cs="宋体"/>
          <w:sz w:val="24"/>
          <w:szCs w:val="24"/>
          <w:lang w:val="en-US" w:eastAsia="zh-CN"/>
        </w:rPr>
        <w:t>供</w:t>
      </w:r>
      <w:r>
        <w:rPr>
          <w:rFonts w:hint="eastAsia" w:ascii="宋体" w:hAnsi="宋体" w:eastAsia="宋体" w:cs="宋体"/>
          <w:sz w:val="24"/>
          <w:szCs w:val="24"/>
        </w:rPr>
        <w:t>货期：见供应商前附表。</w:t>
      </w:r>
    </w:p>
    <w:p w14:paraId="00BEA1DB">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1.2.</w:t>
      </w:r>
      <w:r>
        <w:rPr>
          <w:rFonts w:hint="eastAsia" w:ascii="宋体" w:hAnsi="宋体" w:eastAsia="宋体" w:cs="宋体"/>
          <w:sz w:val="24"/>
          <w:szCs w:val="24"/>
          <w:lang w:val="en-US" w:eastAsia="zh-CN"/>
        </w:rPr>
        <w:t>4</w:t>
      </w:r>
      <w:r>
        <w:rPr>
          <w:rFonts w:hint="eastAsia" w:ascii="宋体" w:hAnsi="宋体" w:eastAsia="宋体" w:cs="宋体"/>
          <w:sz w:val="24"/>
          <w:szCs w:val="24"/>
        </w:rPr>
        <w:t>本项目的质量要求：见供应商须知前附表。</w:t>
      </w:r>
    </w:p>
    <w:p w14:paraId="498FC5C1">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1.3供货商资格要求</w:t>
      </w:r>
    </w:p>
    <w:p w14:paraId="02979CEC">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1.3.1供货商应具备承担本项目的资格要求：详见供应商须知前附表；</w:t>
      </w:r>
    </w:p>
    <w:p w14:paraId="01C1F8A3">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1.3.2本次采购不接受联合体投标。</w:t>
      </w:r>
    </w:p>
    <w:p w14:paraId="52B1FB87">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保密</w:t>
      </w:r>
    </w:p>
    <w:p w14:paraId="2ABC67F5">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参与招标投标活动的各方应对</w:t>
      </w:r>
      <w:r>
        <w:rPr>
          <w:rFonts w:hint="eastAsia" w:ascii="宋体" w:hAnsi="宋体" w:eastAsia="宋体" w:cs="宋体"/>
          <w:sz w:val="24"/>
          <w:szCs w:val="24"/>
          <w:lang w:eastAsia="zh-CN"/>
        </w:rPr>
        <w:t>磋商文件</w:t>
      </w:r>
      <w:r>
        <w:rPr>
          <w:rFonts w:hint="eastAsia" w:ascii="宋体" w:hAnsi="宋体" w:eastAsia="宋体" w:cs="宋体"/>
          <w:sz w:val="24"/>
          <w:szCs w:val="24"/>
        </w:rPr>
        <w:t>和</w:t>
      </w:r>
      <w:r>
        <w:rPr>
          <w:rFonts w:hint="eastAsia" w:ascii="宋体" w:hAnsi="宋体" w:eastAsia="宋体" w:cs="宋体"/>
          <w:sz w:val="24"/>
          <w:szCs w:val="24"/>
          <w:lang w:eastAsia="zh-CN"/>
        </w:rPr>
        <w:t>响应文件</w:t>
      </w:r>
      <w:r>
        <w:rPr>
          <w:rFonts w:hint="eastAsia" w:ascii="宋体" w:hAnsi="宋体" w:eastAsia="宋体" w:cs="宋体"/>
          <w:sz w:val="24"/>
          <w:szCs w:val="24"/>
        </w:rPr>
        <w:t>中的商业和技术等秘密保密，违者应对由此造成的后果承担法律责任。</w:t>
      </w:r>
    </w:p>
    <w:p w14:paraId="62B410C9">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语言文字</w:t>
      </w:r>
    </w:p>
    <w:p w14:paraId="12AB436B">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除专用术语外，与招标投标有关的语言均使用中文。必要时专用术语应附有中文注释。</w:t>
      </w:r>
    </w:p>
    <w:p w14:paraId="7EF5FFB2">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val="en-US" w:eastAsia="zh-CN"/>
        </w:rPr>
        <w:t>6</w:t>
      </w:r>
      <w:r>
        <w:rPr>
          <w:rFonts w:hint="eastAsia" w:ascii="宋体" w:hAnsi="宋体" w:eastAsia="宋体" w:cs="宋体"/>
          <w:b/>
          <w:bCs/>
          <w:sz w:val="24"/>
          <w:szCs w:val="24"/>
        </w:rPr>
        <w:t>计量单位</w:t>
      </w:r>
    </w:p>
    <w:p w14:paraId="0668293B">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所有计量均采用中华人民共和国法定计量单位。</w:t>
      </w:r>
    </w:p>
    <w:p w14:paraId="77B692BB">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val="en-US" w:eastAsia="zh-CN"/>
        </w:rPr>
        <w:t>7</w:t>
      </w:r>
      <w:r>
        <w:rPr>
          <w:rFonts w:hint="eastAsia" w:ascii="宋体" w:hAnsi="宋体" w:eastAsia="宋体" w:cs="宋体"/>
          <w:b/>
          <w:bCs/>
          <w:sz w:val="24"/>
          <w:szCs w:val="24"/>
        </w:rPr>
        <w:t>踏勘现场</w:t>
      </w:r>
    </w:p>
    <w:p w14:paraId="16DDDE29">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不组织</w:t>
      </w:r>
    </w:p>
    <w:p w14:paraId="2139D409">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投标预备会</w:t>
      </w:r>
    </w:p>
    <w:p w14:paraId="73F2F45B">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不再组织</w:t>
      </w:r>
    </w:p>
    <w:p w14:paraId="1B87B069">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分包</w:t>
      </w:r>
    </w:p>
    <w:p w14:paraId="7E9BD823">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不允许</w:t>
      </w:r>
    </w:p>
    <w:p w14:paraId="503C9E3A">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费用</w:t>
      </w:r>
    </w:p>
    <w:p w14:paraId="400201BC">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.1磋商响应供应商应自行承担参加磋商活动有关的全部费用，采购人在任何情况下均无义务和责任承担上述费用。</w:t>
      </w:r>
    </w:p>
    <w:p w14:paraId="0D5B5082">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4、竞争性磋商文件的构成</w:t>
      </w:r>
    </w:p>
    <w:p w14:paraId="5ABB1C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竞争性磋商公告</w:t>
      </w:r>
    </w:p>
    <w:p w14:paraId="6F13036E">
      <w:pPr>
        <w:keepNext w:val="0"/>
        <w:keepLines w:val="0"/>
        <w:pageBreakBefore w:val="0"/>
        <w:widowControl w:val="0"/>
        <w:kinsoku/>
        <w:wordWrap/>
        <w:overflowPunct/>
        <w:topLinePunct w:val="0"/>
        <w:autoSpaceDN/>
        <w:bidi w:val="0"/>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供应商须知及前附表</w:t>
      </w:r>
    </w:p>
    <w:p w14:paraId="17D7A196">
      <w:pPr>
        <w:keepNext w:val="0"/>
        <w:keepLines w:val="0"/>
        <w:pageBreakBefore w:val="0"/>
        <w:widowControl w:val="0"/>
        <w:kinsoku/>
        <w:wordWrap/>
        <w:overflowPunct/>
        <w:topLinePunct w:val="0"/>
        <w:autoSpaceDN/>
        <w:bidi w:val="0"/>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评标</w:t>
      </w:r>
      <w:r>
        <w:rPr>
          <w:rFonts w:hint="eastAsia" w:ascii="宋体" w:hAnsi="宋体" w:eastAsia="宋体" w:cs="宋体"/>
          <w:sz w:val="24"/>
          <w:szCs w:val="24"/>
          <w:highlight w:val="none"/>
          <w:lang w:val="en-US" w:eastAsia="zh-CN"/>
        </w:rPr>
        <w:t>标准</w:t>
      </w:r>
    </w:p>
    <w:p w14:paraId="0C0455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合同主要条款及格式</w:t>
      </w:r>
    </w:p>
    <w:p w14:paraId="379863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采购</w:t>
      </w:r>
      <w:r>
        <w:rPr>
          <w:rFonts w:hint="eastAsia" w:ascii="宋体" w:hAnsi="宋体" w:eastAsia="宋体" w:cs="宋体"/>
          <w:sz w:val="24"/>
          <w:szCs w:val="24"/>
          <w:highlight w:val="none"/>
          <w:lang w:val="en-US" w:eastAsia="zh-CN"/>
        </w:rPr>
        <w:t>内容及技术要求</w:t>
      </w:r>
    </w:p>
    <w:p w14:paraId="436C28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6</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响应文件</w:t>
      </w:r>
      <w:r>
        <w:rPr>
          <w:rFonts w:hint="eastAsia" w:ascii="宋体" w:hAnsi="宋体" w:eastAsia="宋体" w:cs="宋体"/>
          <w:sz w:val="24"/>
          <w:szCs w:val="24"/>
          <w:highlight w:val="none"/>
        </w:rPr>
        <w:t>格式</w:t>
      </w:r>
    </w:p>
    <w:p w14:paraId="0FAAE2FA">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bookmarkStart w:id="25" w:name="_Toc513029211"/>
      <w:bookmarkEnd w:id="25"/>
      <w:bookmarkStart w:id="26" w:name="_Toc20823283"/>
      <w:bookmarkEnd w:id="26"/>
      <w:bookmarkStart w:id="27" w:name="_Toc462564070"/>
      <w:bookmarkEnd w:id="27"/>
      <w:bookmarkStart w:id="28" w:name="_Toc16938527"/>
      <w:bookmarkEnd w:id="28"/>
      <w:r>
        <w:rPr>
          <w:rFonts w:hint="eastAsia" w:ascii="宋体" w:hAnsi="宋体" w:eastAsia="宋体" w:cs="宋体"/>
          <w:b/>
          <w:bCs/>
          <w:sz w:val="24"/>
          <w:szCs w:val="24"/>
        </w:rPr>
        <w:t>5、竞争性磋商文件的澄清</w:t>
      </w:r>
    </w:p>
    <w:p w14:paraId="0759C36E">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5.1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798902D6">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6、竞争性磋商文件的修改</w:t>
      </w:r>
    </w:p>
    <w:p w14:paraId="640D72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6.1竞争性磋商文件的修改书将构成磋商响应文件的一部分，对所有磋商响应供应商均有约束力。</w:t>
      </w:r>
    </w:p>
    <w:p w14:paraId="0B3A1E4D">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7、要求</w:t>
      </w:r>
    </w:p>
    <w:p w14:paraId="2CF5937D">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7.1磋商响应供应商应仔细阅读竞争性磋商文件的所有内容，按竞争性磋商文件的要求提供磋商响应文件，并保证所提供资料的真实性，以使其磋商响应文件对竞争性磋商文件作出实质性响应，否则，其磋商响应文件不予接受。</w:t>
      </w:r>
    </w:p>
    <w:p w14:paraId="4157C49F">
      <w:pPr>
        <w:keepNext w:val="0"/>
        <w:keepLines w:val="0"/>
        <w:pageBreakBefore w:val="0"/>
        <w:widowControl w:val="0"/>
        <w:numPr>
          <w:ilvl w:val="0"/>
          <w:numId w:val="0"/>
        </w:numPr>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kern w:val="2"/>
          <w:sz w:val="24"/>
          <w:szCs w:val="24"/>
          <w:lang w:val="en-US" w:eastAsia="zh-CN" w:bidi="ar-SA"/>
        </w:rPr>
        <w:t>8、</w:t>
      </w:r>
      <w:r>
        <w:rPr>
          <w:rFonts w:hint="eastAsia" w:ascii="宋体" w:hAnsi="宋体" w:eastAsia="宋体" w:cs="宋体"/>
          <w:b/>
          <w:bCs/>
          <w:sz w:val="24"/>
          <w:szCs w:val="24"/>
        </w:rPr>
        <w:t>响应文件的组成</w:t>
      </w:r>
    </w:p>
    <w:p w14:paraId="40AABBF0">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响应文件的组成详见第六章“响应文件格式”</w:t>
      </w:r>
    </w:p>
    <w:p w14:paraId="408C9019">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9、响应文件的格式</w:t>
      </w:r>
    </w:p>
    <w:p w14:paraId="5DB0A2F7">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9.1供应商所上传的电子化磋商响应文件，应是通过中心磋商响应文件制作系统制作的（磋商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w:t>
      </w:r>
    </w:p>
    <w:p w14:paraId="7C343B39">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sz w:val="24"/>
          <w:szCs w:val="24"/>
        </w:rPr>
      </w:pPr>
      <w:r>
        <w:rPr>
          <w:rFonts w:hint="eastAsia" w:ascii="宋体" w:hAnsi="宋体" w:eastAsia="宋体" w:cs="宋体"/>
          <w:b/>
          <w:bCs/>
          <w:sz w:val="24"/>
          <w:szCs w:val="24"/>
        </w:rPr>
        <w:t>10、响应文件的签署</w:t>
      </w:r>
    </w:p>
    <w:p w14:paraId="444B70AF">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10.1磋商响应供应商在进行电子化磋商响应文件签章时，竞争性磋商文件中要求磋商响应供应商盖章的，以签盖单位章为准；要求法定代表人或授权代理人签章的，以签盖法定代表人签章为准。</w:t>
      </w:r>
    </w:p>
    <w:p w14:paraId="09FBD967">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11、响应文件的上传</w:t>
      </w:r>
    </w:p>
    <w:p w14:paraId="08EED2F0">
      <w:pPr>
        <w:keepNext w:val="0"/>
        <w:keepLines w:val="0"/>
        <w:pageBreakBefore w:val="0"/>
        <w:widowControl w:val="0"/>
        <w:kinsoku/>
        <w:wordWrap/>
        <w:overflowPunct/>
        <w:topLinePunct w:val="0"/>
        <w:autoSpaceDN/>
        <w:bidi w:val="0"/>
        <w:snapToGrid/>
        <w:spacing w:line="360" w:lineRule="auto"/>
        <w:ind w:firstLine="422" w:firstLineChars="176"/>
        <w:jc w:val="left"/>
        <w:outlineLvl w:val="9"/>
        <w:rPr>
          <w:rFonts w:hint="eastAsia" w:ascii="宋体" w:hAnsi="宋体" w:eastAsia="宋体" w:cs="宋体"/>
          <w:kern w:val="0"/>
          <w:sz w:val="24"/>
          <w:szCs w:val="24"/>
        </w:rPr>
      </w:pPr>
      <w:r>
        <w:rPr>
          <w:rFonts w:hint="eastAsia" w:ascii="宋体" w:hAnsi="宋体" w:eastAsia="宋体" w:cs="宋体"/>
          <w:sz w:val="24"/>
          <w:szCs w:val="24"/>
        </w:rPr>
        <w:t>11.1</w:t>
      </w:r>
      <w:r>
        <w:rPr>
          <w:rFonts w:hint="eastAsia" w:ascii="宋体" w:hAnsi="宋体" w:eastAsia="宋体" w:cs="宋体"/>
          <w:kern w:val="0"/>
          <w:sz w:val="24"/>
          <w:szCs w:val="24"/>
        </w:rPr>
        <w:t>电子化磋商响应文件应在投标截止时间前成功上传至三门峡市公共资源电子化交易系统。至投标截止时间止，仍未上传成功的电子化磋商响应文件将不予接收。</w:t>
      </w:r>
    </w:p>
    <w:p w14:paraId="0E0F815A">
      <w:pPr>
        <w:keepNext w:val="0"/>
        <w:keepLines w:val="0"/>
        <w:pageBreakBefore w:val="0"/>
        <w:widowControl w:val="0"/>
        <w:kinsoku/>
        <w:wordWrap/>
        <w:overflowPunct/>
        <w:topLinePunct w:val="0"/>
        <w:autoSpaceDN/>
        <w:bidi w:val="0"/>
        <w:snapToGrid/>
        <w:spacing w:line="360" w:lineRule="auto"/>
        <w:ind w:firstLine="422" w:firstLineChars="176"/>
        <w:jc w:val="left"/>
        <w:outlineLvl w:val="9"/>
        <w:rPr>
          <w:rFonts w:hint="eastAsia" w:ascii="宋体" w:hAnsi="宋体" w:eastAsia="宋体" w:cs="宋体"/>
          <w:kern w:val="0"/>
          <w:sz w:val="24"/>
          <w:szCs w:val="24"/>
        </w:rPr>
      </w:pPr>
      <w:r>
        <w:rPr>
          <w:rFonts w:hint="eastAsia" w:ascii="宋体" w:hAnsi="宋体" w:eastAsia="宋体" w:cs="宋体"/>
          <w:kern w:val="0"/>
          <w:sz w:val="24"/>
          <w:szCs w:val="24"/>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w:t>
      </w:r>
    </w:p>
    <w:p w14:paraId="14C51531">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12、磋商截止时间</w:t>
      </w:r>
    </w:p>
    <w:p w14:paraId="40FBE4AC">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12.1电子化磋商响应文件的截止时间见本须知前附表规定。</w:t>
      </w:r>
    </w:p>
    <w:p w14:paraId="695210E4">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sz w:val="24"/>
          <w:szCs w:val="24"/>
        </w:rPr>
      </w:pPr>
      <w:r>
        <w:rPr>
          <w:rFonts w:hint="eastAsia" w:ascii="宋体" w:hAnsi="宋体" w:eastAsia="宋体" w:cs="宋体"/>
          <w:b/>
          <w:bCs/>
          <w:sz w:val="24"/>
          <w:szCs w:val="24"/>
        </w:rPr>
        <w:t>13、响应文件的补充、修改与撤回</w:t>
      </w:r>
    </w:p>
    <w:p w14:paraId="43BEFF13">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13.1在磋商截止时间之后，磋商响应供应商不得补充、修改电子化磋商响应文件。</w:t>
      </w:r>
    </w:p>
    <w:p w14:paraId="6F23A4D8">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sz w:val="24"/>
          <w:szCs w:val="24"/>
        </w:rPr>
      </w:pPr>
      <w:r>
        <w:rPr>
          <w:rFonts w:hint="eastAsia" w:ascii="宋体" w:hAnsi="宋体" w:eastAsia="宋体" w:cs="宋体"/>
          <w:b/>
          <w:bCs/>
          <w:sz w:val="24"/>
          <w:szCs w:val="24"/>
        </w:rPr>
        <w:t>14、磋商报价</w:t>
      </w:r>
    </w:p>
    <w:p w14:paraId="2BD7E984">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14.1本次磋商采购的</w:t>
      </w:r>
      <w:r>
        <w:rPr>
          <w:rFonts w:hint="eastAsia" w:ascii="宋体" w:hAnsi="宋体" w:eastAsia="宋体" w:cs="宋体"/>
          <w:sz w:val="24"/>
          <w:szCs w:val="24"/>
          <w:lang w:val="en-US" w:eastAsia="zh-CN"/>
        </w:rPr>
        <w:t>报价</w:t>
      </w:r>
      <w:r>
        <w:rPr>
          <w:rFonts w:hint="eastAsia" w:ascii="宋体" w:hAnsi="宋体" w:eastAsia="宋体" w:cs="宋体"/>
          <w:sz w:val="24"/>
          <w:szCs w:val="24"/>
        </w:rPr>
        <w:t>均须以人民币为计算单位。</w:t>
      </w:r>
    </w:p>
    <w:p w14:paraId="1D673450">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14.2磋商响应供应商应报出货到交货地点价。其中包括项目实施所需的人工费、服务费、运输费、安装调试费、设备价款、备品备件费、检验费、包装费、装卸费、税金（含关税、增值税）、施工费、检测验收费、培训费等各项与此项目有关的一切费用。</w:t>
      </w:r>
    </w:p>
    <w:p w14:paraId="31FE236D">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14.3磋商响应供应商应充分考虑市场风险和国家政策性风险系数，根据企业具体情况在合理的范围内自主报价，但不得低于企业实际成本。</w:t>
      </w:r>
    </w:p>
    <w:p w14:paraId="5046A114">
      <w:pPr>
        <w:keepNext w:val="0"/>
        <w:keepLines w:val="0"/>
        <w:pageBreakBefore w:val="0"/>
        <w:widowControl w:val="0"/>
        <w:kinsoku/>
        <w:wordWrap/>
        <w:overflowPunct/>
        <w:topLinePunct w:val="0"/>
        <w:autoSpaceDN/>
        <w:bidi w:val="0"/>
        <w:snapToGrid/>
        <w:spacing w:after="120" w:line="360" w:lineRule="auto"/>
        <w:ind w:firstLine="422" w:firstLineChars="176"/>
        <w:outlineLvl w:val="9"/>
        <w:rPr>
          <w:rFonts w:hint="eastAsia" w:ascii="宋体" w:hAnsi="宋体" w:eastAsia="宋体" w:cs="宋体"/>
          <w:kern w:val="0"/>
          <w:sz w:val="24"/>
          <w:szCs w:val="24"/>
        </w:rPr>
      </w:pPr>
      <w:r>
        <w:rPr>
          <w:rFonts w:hint="eastAsia" w:ascii="宋体" w:hAnsi="宋体" w:eastAsia="宋体" w:cs="宋体"/>
          <w:kern w:val="0"/>
          <w:sz w:val="24"/>
          <w:szCs w:val="24"/>
        </w:rPr>
        <w:t>14.4磋商响应供应商只能提出一个报价，采购人不接受任何有选择的报价，最后报价不得超过项目招标控制价。</w:t>
      </w:r>
    </w:p>
    <w:p w14:paraId="431F85AC">
      <w:pPr>
        <w:keepNext w:val="0"/>
        <w:keepLines w:val="0"/>
        <w:pageBreakBefore w:val="0"/>
        <w:widowControl w:val="0"/>
        <w:kinsoku/>
        <w:wordWrap/>
        <w:overflowPunct/>
        <w:topLinePunct w:val="0"/>
        <w:autoSpaceDN/>
        <w:bidi w:val="0"/>
        <w:snapToGrid/>
        <w:spacing w:after="120"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14.5</w:t>
      </w:r>
      <w:r>
        <w:rPr>
          <w:rFonts w:hint="eastAsia" w:ascii="宋体" w:hAnsi="宋体" w:eastAsia="宋体" w:cs="宋体"/>
          <w:sz w:val="24"/>
          <w:szCs w:val="24"/>
          <w:lang w:val="en-US" w:eastAsia="zh-CN"/>
        </w:rPr>
        <w:t>供应商报价不得低于成本价：评标委员会认为供应商的报价明显低于其他通过初步审查供应商的报价，有可能影响产品质量或者不能诚信履约的，应当要求其在合理的时间内提供供应商和其法定代表人签章的PDF格式文件及相关证明材料，并通过电子化交易系统提交至磋商小组；供应商不能证明其报价合理性的，磋商小组应当将其作为无效标处理。</w:t>
      </w:r>
    </w:p>
    <w:p w14:paraId="66BD24E2">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14.6本次采购为竞争性磋商采购，允许二次报价。</w:t>
      </w:r>
    </w:p>
    <w:p w14:paraId="7682CDD7">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15、磋商响应供应商资格的证明文件</w:t>
      </w:r>
      <w:r>
        <w:rPr>
          <w:rFonts w:hint="eastAsia" w:ascii="宋体" w:hAnsi="宋体" w:eastAsia="宋体" w:cs="宋体"/>
          <w:b/>
          <w:bCs/>
          <w:sz w:val="24"/>
          <w:szCs w:val="24"/>
          <w:highlight w:val="none"/>
        </w:rPr>
        <w:tab/>
      </w:r>
    </w:p>
    <w:p w14:paraId="6BA2B13C">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15.1证明磋商响应供应商是有资格参加</w:t>
      </w:r>
      <w:r>
        <w:rPr>
          <w:rFonts w:hint="eastAsia" w:ascii="宋体" w:hAnsi="宋体" w:eastAsia="宋体" w:cs="宋体"/>
          <w:kern w:val="0"/>
          <w:sz w:val="24"/>
          <w:szCs w:val="24"/>
          <w:highlight w:val="none"/>
        </w:rPr>
        <w:t>磋商</w:t>
      </w:r>
      <w:r>
        <w:rPr>
          <w:rFonts w:hint="eastAsia" w:ascii="宋体" w:hAnsi="宋体" w:eastAsia="宋体" w:cs="宋体"/>
          <w:sz w:val="24"/>
          <w:szCs w:val="24"/>
          <w:highlight w:val="none"/>
        </w:rPr>
        <w:t>的。</w:t>
      </w:r>
    </w:p>
    <w:p w14:paraId="701D96B7">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15.2证明磋商响应供应商有能力履行竞争性磋商文件中合同条款和技术要求规定的由磋商响应供应商提供的服务等义务。</w:t>
      </w:r>
    </w:p>
    <w:p w14:paraId="1D6D681F">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16、磋商响应文件有效期</w:t>
      </w:r>
    </w:p>
    <w:p w14:paraId="3899AE59">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16.1响应性文件从首次递交竞争性磋商响应文件截止时间之日起开始生效，磋商有效期为60日历天，有效期短于此规定的响应文件将被视为无效文件。</w:t>
      </w:r>
    </w:p>
    <w:p w14:paraId="24CCAA08">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16.2特殊情况下，采购人可于磋商响应文件有效期满之前要求磋商响应供应商同意延长有效期，要求与答复均为书面形式。磋商响应供应商可以拒绝上述要求，对于同意该要求的磋商响应供应商，不允许其修改磋商响应文件。</w:t>
      </w:r>
    </w:p>
    <w:p w14:paraId="0C5A0486">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17、磋商</w:t>
      </w:r>
    </w:p>
    <w:p w14:paraId="74CE3271">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17.1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w:t>
      </w:r>
    </w:p>
    <w:p w14:paraId="6B74E0DE">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17.2电子化磋商响应文件采用一次加密方式。开标时，由供应商使用CA证书，在规定时间内对其电子化磋商响应文件进行解密。每位供应商的解密时间为开标时间起30分钟内，如在规定时间内未完成解密的，其磋商响应文件不予开标、唱标。每位供应商的解密时间为开标时间起30分钟内完成。</w:t>
      </w:r>
    </w:p>
    <w:p w14:paraId="3BB0F673">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17.3电子化磋商响应文件解密异常的处理</w:t>
      </w:r>
    </w:p>
    <w:p w14:paraId="52D5AD9D">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如出现供应商的电子磋商响应文件无法解密等异常情况，供应商应及时致电中介服务机构说明。磋商响应文件异常，按以下步骤进行处理：</w:t>
      </w:r>
    </w:p>
    <w:p w14:paraId="4E1EBB9B">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（1）首先由技术人员进行问题排查。</w:t>
      </w:r>
    </w:p>
    <w:p w14:paraId="1EFECC34">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（2）经技术人员排查后，是供应商文件自身问题导致磋商响应文件无法解密的，该磋商响应文件将不予接收、解密和唱标。开标会议继续进行。</w:t>
      </w:r>
    </w:p>
    <w:p w14:paraId="10BC74BE">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5EC527D0">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17.4待所有供应商磋商响应文件解密完成后，由中介服务机构操作，对所有已解密磋商响应文件进行唱标。</w:t>
      </w:r>
    </w:p>
    <w:p w14:paraId="6EED03D9">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供应商应保证在开标期间电话、电脑、网络能够正常工作，供应商因停电、电脑病毒、网络堵塞等原因，未在规定的解密时间内对磋商响应文件进行解密的，其磋商响应文件不予接收、唱标。</w:t>
      </w:r>
    </w:p>
    <w:p w14:paraId="57F80E50">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17.5开标时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33266778">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18、磋商小组</w:t>
      </w:r>
    </w:p>
    <w:p w14:paraId="75AE277E">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18.1磋商小组由3人构成：采购人代表1人，其他专家2人，在磋商会议开始前从</w:t>
      </w:r>
      <w:r>
        <w:rPr>
          <w:rFonts w:hint="eastAsia" w:ascii="宋体" w:hAnsi="宋体" w:eastAsia="宋体" w:cs="宋体"/>
          <w:sz w:val="24"/>
          <w:szCs w:val="24"/>
          <w:highlight w:val="none"/>
        </w:rPr>
        <w:t>从河南省政府采购专家库</w:t>
      </w:r>
      <w:r>
        <w:rPr>
          <w:rFonts w:hint="eastAsia" w:ascii="宋体" w:hAnsi="宋体" w:eastAsia="宋体" w:cs="宋体"/>
          <w:sz w:val="24"/>
          <w:szCs w:val="24"/>
        </w:rPr>
        <w:t>中随机抽取。</w:t>
      </w:r>
    </w:p>
    <w:p w14:paraId="732EEE31">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18.2磋商小组对所有磋商响应供应商的磋商响应文件进行评审，按评审后得分由高到低顺序排列，递交给采购人。</w:t>
      </w:r>
    </w:p>
    <w:p w14:paraId="5249FF9F">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18.3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073AA447">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18.4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供应商确定后，磋商小组不得修改评审结果或者要求重新评审，但因资格性审查认定错误或价格计算错误需依法重新评审的除外。应在评审报告中明确记载。</w:t>
      </w:r>
    </w:p>
    <w:p w14:paraId="5888999E">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19、磋商程序</w:t>
      </w:r>
    </w:p>
    <w:p w14:paraId="33757FD6">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b/>
          <w:bCs/>
          <w:sz w:val="24"/>
          <w:szCs w:val="24"/>
        </w:rPr>
      </w:pPr>
      <w:r>
        <w:rPr>
          <w:rFonts w:hint="eastAsia" w:ascii="宋体" w:hAnsi="宋体" w:eastAsia="宋体" w:cs="宋体"/>
          <w:sz w:val="24"/>
          <w:szCs w:val="24"/>
        </w:rPr>
        <w:t>19.1磋商小组所有成员集中评审磋商响应文件及集中与磋商响应供应商分别进行磋商。</w:t>
      </w:r>
    </w:p>
    <w:p w14:paraId="2C8DB10C">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19.2磋商小组首先对所有磋商响应文件进行资格性和符合性审查。资格性审查是指：磋商小组按照竞争性磋商文件第二章供应商须知前附表第</w:t>
      </w:r>
      <w:r>
        <w:rPr>
          <w:rFonts w:hint="eastAsia" w:ascii="宋体" w:hAnsi="宋体" w:eastAsia="宋体" w:cs="宋体"/>
          <w:sz w:val="24"/>
          <w:szCs w:val="24"/>
          <w:lang w:val="en-US" w:eastAsia="zh-CN"/>
        </w:rPr>
        <w:t>11</w:t>
      </w:r>
      <w:r>
        <w:rPr>
          <w:rFonts w:hint="eastAsia" w:ascii="宋体" w:hAnsi="宋体" w:eastAsia="宋体" w:cs="宋体"/>
          <w:sz w:val="24"/>
          <w:szCs w:val="24"/>
        </w:rPr>
        <w:t>项的要求，对响应供应商进行审查，有一项不符合的，视为未通过资格审查，不得进入下一评审过程。符合性审查是指：磋商小组按照竞争性磋商文件本须知19.3条的要求，对磋商响应供应商进行审查，有一项不符合的，视为未通过符合性审查。未通过资格性和符合性审查的磋商响应文件按无效响应处理，磋商小组应当告知提交磋商响应文件的磋商响应供应商。</w:t>
      </w:r>
    </w:p>
    <w:p w14:paraId="2CA0CBA9">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19.2.1磋商小组判断磋商响应文件的响应性仅基于磋商响应文件本身内容而不靠外部证据。</w:t>
      </w:r>
    </w:p>
    <w:p w14:paraId="5794AAAF">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19.2.2实质性未响应磋商文件要求的响应将被拒绝，磋商响应供应商不得通过修正或撤消不符之处而使其响应成为实质性响应。</w:t>
      </w:r>
    </w:p>
    <w:p w14:paraId="00D69A04">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19.2.3实质性未响应是指磋商响应文件中提出了超出磋商文件中采购标的、规格型号、招标控制价、采购数量、交货期、技术和服务要求等内容。</w:t>
      </w:r>
    </w:p>
    <w:p w14:paraId="2E739B02">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19.3有下列情形之一的，其磋商响应文件将会被拒绝：</w:t>
      </w:r>
    </w:p>
    <w:p w14:paraId="04BF6901">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（1）磋商响应供应商名称与营业执照不一致；</w:t>
      </w:r>
    </w:p>
    <w:p w14:paraId="22222DAF">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（2）磋商报价超过竞争性磋商文件规定的招标控制价的；</w:t>
      </w:r>
    </w:p>
    <w:p w14:paraId="0F3BCDB7">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（3）以他人的名义磋商、串通磋商、以行贿手段谋取成交或者以其他弄虚作假方式磋商的；</w:t>
      </w:r>
    </w:p>
    <w:p w14:paraId="170B4BD5">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（4）采取不正当手段谋取成交的。</w:t>
      </w:r>
    </w:p>
    <w:p w14:paraId="2F28FC60">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20、对磋商响应供应商的评价</w:t>
      </w:r>
    </w:p>
    <w:p w14:paraId="63954D1A">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20.1磋商小组只对已判定为实质性响应且通过资格审查的磋商响应文件进行详细评价和比较。</w:t>
      </w:r>
    </w:p>
    <w:p w14:paraId="3AF22BE1">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20.2磋商小组所有成员应当集中与单一磋商响应供应商分别进行磋商，并给予所有参加磋商的磋商响应供应商平等的磋商机会。磋商完成后，要求其在规定时间内提交最后报价，提交最后报价的供应商不少于三家。</w:t>
      </w:r>
    </w:p>
    <w:p w14:paraId="640CE2DB">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20.3经磋商确定最终采购需求和提交最后报价的磋商响应供应商后，磋商小组采用综合评分法对提交最后报价的磋商响应供应商的磋商响应文件和最后报价进行综合评分。</w:t>
      </w:r>
    </w:p>
    <w:p w14:paraId="6F96A427">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20.4磋商小组根据综合评分情况，按评审得分由高到低的顺序确定三名成交候选供应商，并编写评审报告。评审得分相同的，按照最后报价由低到高的顺序确定，评审得分且最后报价相同的，按照技术指标优劣顺序确定成交候选供应商。评审报告由磋商小组全体人员签字。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1E39992">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20.5如果第一名供应商放弃成交资格或因不可抗力提出不能履行合同、竞争性磋商文件规定应当提交履约担保而在规定的期限内未能提交的，采购人将依序确定排名第二名的成交候选供应商为成交供应商，也可以重新开展政府采购活动。</w:t>
      </w:r>
    </w:p>
    <w:p w14:paraId="5F4BBDD2">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21、磋商响应文件的澄清</w:t>
      </w:r>
    </w:p>
    <w:p w14:paraId="27562579">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21.1为了有助于对磋商响应文件进行审查、评估和比较，磋商小组有权向磋商响应供应商质疑。请磋商响应供应商澄清其</w:t>
      </w:r>
      <w:r>
        <w:rPr>
          <w:rFonts w:hint="eastAsia" w:ascii="宋体" w:hAnsi="宋体" w:eastAsia="宋体" w:cs="宋体"/>
          <w:kern w:val="0"/>
          <w:sz w:val="24"/>
          <w:szCs w:val="24"/>
        </w:rPr>
        <w:t>磋商</w:t>
      </w:r>
      <w:r>
        <w:rPr>
          <w:rFonts w:hint="eastAsia" w:ascii="宋体" w:hAnsi="宋体" w:eastAsia="宋体" w:cs="宋体"/>
          <w:sz w:val="24"/>
          <w:szCs w:val="24"/>
        </w:rPr>
        <w:t>内容。磋商响应供应商有责任按照磋商小组通知的时间、地点、方式指派委托代理人进行答疑和澄清。</w:t>
      </w:r>
    </w:p>
    <w:p w14:paraId="170C8CB5">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21.2重要澄清的答复应是书面的，并由法定代表人或其委托代理人签字。</w:t>
      </w:r>
    </w:p>
    <w:p w14:paraId="20D812CD">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21.3磋商响应供应商的澄清文件是磋商响应文件的组成部分，并取代磋商响应文件中被澄清的部分。</w:t>
      </w:r>
    </w:p>
    <w:p w14:paraId="763C7548">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21.4磋商响应文件澄清部分不得对磋商内容进行实质性修改。</w:t>
      </w:r>
    </w:p>
    <w:p w14:paraId="24CDD8B3">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22、磋商原则和方法</w:t>
      </w:r>
    </w:p>
    <w:p w14:paraId="2123CDD1">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22.1坚持公开、公平、公正的原则。</w:t>
      </w:r>
    </w:p>
    <w:p w14:paraId="37581DB3">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22.2磋商在磋商小组应当集中与单一磋商响应供应商分别进行磋商，磋商小组将遵照磋商原则，公正、平等地对待所有磋商响应供应商。</w:t>
      </w:r>
    </w:p>
    <w:p w14:paraId="68123A50">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22.3评审方法</w:t>
      </w:r>
    </w:p>
    <w:p w14:paraId="273FC1EF">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22.3.1初步评审（是否响应竞争性磋商文件的要求），确定合格的磋商响应供应商。</w:t>
      </w:r>
    </w:p>
    <w:p w14:paraId="0F5FE67E">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22.3.2各磋商响应供应商依据各自情况进行最后报价。</w:t>
      </w:r>
    </w:p>
    <w:p w14:paraId="6C43DAA3">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22.3.3经磋商确定最终采购需求和提交最后报价的磋商响应供应商，由磋商小组采用综合评分法对提交最后报价的磋商响应供应商的响应文件和最后报价进行综合评分。</w:t>
      </w:r>
    </w:p>
    <w:p w14:paraId="106E8F93">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23、确定成交供应商</w:t>
      </w:r>
    </w:p>
    <w:p w14:paraId="5DF6A400">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23.1磋商小组应当根据综合评分情况，按照评审</w:t>
      </w:r>
      <w:r>
        <w:rPr>
          <w:rFonts w:hint="eastAsia" w:ascii="宋体" w:hAnsi="宋体" w:eastAsia="宋体" w:cs="宋体"/>
          <w:sz w:val="24"/>
          <w:szCs w:val="24"/>
          <w:lang w:val="en-US" w:eastAsia="zh-CN"/>
        </w:rPr>
        <w:t>由</w:t>
      </w:r>
      <w:r>
        <w:rPr>
          <w:rFonts w:hint="eastAsia" w:ascii="宋体" w:hAnsi="宋体" w:eastAsia="宋体" w:cs="宋体"/>
          <w:sz w:val="24"/>
          <w:szCs w:val="24"/>
        </w:rPr>
        <w:t>高到低的顺序推荐成交候选供应商，并向采购人提供书面评审报告。</w:t>
      </w:r>
    </w:p>
    <w:p w14:paraId="25A015C9">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24、保密及其它注意事项</w:t>
      </w:r>
    </w:p>
    <w:p w14:paraId="3507A8BC">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24.1评审工作是磋商工作的重要环节，评审工作在磋商小组内独立进行。</w:t>
      </w:r>
    </w:p>
    <w:p w14:paraId="7DAC3931">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24.2在评审期间，磋商响应供应商不得向磋商小组成员询问评审情况，不得进行影响评审结果的活动。否则其响应将会被拒绝。</w:t>
      </w:r>
    </w:p>
    <w:p w14:paraId="4C311317">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24.3为保证评审的公正性，磋商开始后直至授予成交供应商合同，磋商小组成员不得与供应商私下交换意见。</w:t>
      </w:r>
    </w:p>
    <w:p w14:paraId="07833B35">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24.4在评审工作结束后，凡与评审情况有接触的任何人不得擅自将评审情况扩散出评审人员之外。</w:t>
      </w:r>
    </w:p>
    <w:p w14:paraId="4EEFEE5D">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25、成交通知</w:t>
      </w:r>
      <w:r>
        <w:rPr>
          <w:rFonts w:hint="eastAsia" w:ascii="宋体" w:hAnsi="宋体" w:eastAsia="宋体" w:cs="宋体"/>
          <w:b/>
          <w:bCs/>
          <w:sz w:val="24"/>
          <w:szCs w:val="24"/>
        </w:rPr>
        <w:tab/>
      </w:r>
    </w:p>
    <w:p w14:paraId="036E12E3">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25.1成交供应商确定后，采购人向成交供应商签发《成交通知书》，并将成交结果通知所有未成交的磋商响应供应商。</w:t>
      </w:r>
    </w:p>
    <w:p w14:paraId="49AB7D33">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25.2《成交通知书》作为签订合同的依据，对采购人和成交供应商均具有法律效力，成交通知书发出后，采购人改变成交结果或者成交供应商放弃项目，应依法承担法律责任。</w:t>
      </w:r>
    </w:p>
    <w:p w14:paraId="46EF2756">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26、授予合同时变更数量的权力</w:t>
      </w:r>
    </w:p>
    <w:p w14:paraId="625C8E78">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26.1采购人在授予合同时，保留对货物数量予以适当增减的权利。成交供应商不得在此情况下对磋商响应文件做出修改，如价格、技术参数、服务承诺等。</w:t>
      </w:r>
    </w:p>
    <w:p w14:paraId="0F67B831">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27、签订合同</w:t>
      </w:r>
    </w:p>
    <w:p w14:paraId="15FF9B33">
      <w:pPr>
        <w:keepNext w:val="0"/>
        <w:keepLines w:val="0"/>
        <w:pageBreakBefore w:val="0"/>
        <w:widowControl w:val="0"/>
        <w:kinsoku/>
        <w:wordWrap/>
        <w:overflowPunct/>
        <w:topLinePunct w:val="0"/>
        <w:autoSpaceDN/>
        <w:bidi w:val="0"/>
        <w:adjustRightInd w:val="0"/>
        <w:snapToGrid/>
        <w:spacing w:line="360" w:lineRule="auto"/>
        <w:ind w:firstLine="422" w:firstLineChars="176"/>
        <w:jc w:val="left"/>
        <w:outlineLvl w:val="9"/>
        <w:rPr>
          <w:rFonts w:hint="eastAsia" w:ascii="宋体" w:hAnsi="宋体" w:eastAsia="宋体" w:cs="宋体"/>
          <w:sz w:val="24"/>
          <w:szCs w:val="24"/>
        </w:rPr>
      </w:pPr>
      <w:r>
        <w:rPr>
          <w:rFonts w:hint="eastAsia" w:ascii="宋体" w:hAnsi="宋体" w:eastAsia="宋体" w:cs="宋体"/>
          <w:sz w:val="24"/>
          <w:szCs w:val="24"/>
        </w:rPr>
        <w:t>27.1</w:t>
      </w:r>
      <w:r>
        <w:rPr>
          <w:rFonts w:hint="eastAsia" w:ascii="宋体" w:hAnsi="宋体" w:eastAsia="宋体" w:cs="宋体"/>
          <w:b/>
          <w:bCs/>
          <w:color w:val="auto"/>
          <w:spacing w:val="-4"/>
          <w:kern w:val="0"/>
          <w:sz w:val="24"/>
          <w:szCs w:val="24"/>
          <w:highlight w:val="none"/>
          <w:lang w:val="en-US" w:eastAsia="zh-CN"/>
        </w:rPr>
        <w:t>按《三门峡市财政局关于市本级政府采购合同备案管理工作的通知》（三财购[2021]9号）文要求，集中采购目录以外政府采购项目，原则上自中标通知书发出之日起2个工作日内与中标（成交）供应商按照采购文件确定的事项与供应商签订政府采购合同</w:t>
      </w:r>
      <w:r>
        <w:rPr>
          <w:rFonts w:hint="eastAsia" w:ascii="宋体" w:hAnsi="宋体" w:eastAsia="宋体" w:cs="宋体"/>
          <w:spacing w:val="-20"/>
          <w:sz w:val="24"/>
          <w:szCs w:val="24"/>
        </w:rPr>
        <w:t>。</w:t>
      </w:r>
    </w:p>
    <w:p w14:paraId="3C508DD2">
      <w:pPr>
        <w:keepNext w:val="0"/>
        <w:keepLines w:val="0"/>
        <w:pageBreakBefore w:val="0"/>
        <w:widowControl w:val="0"/>
        <w:kinsoku/>
        <w:wordWrap/>
        <w:overflowPunct/>
        <w:topLinePunct w:val="0"/>
        <w:autoSpaceDN/>
        <w:bidi w:val="0"/>
        <w:adjustRightInd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27.2采购人签发的成交通知书、竞争性磋商文件、成交供应商的磋商响应文件及其澄清文件等，均为签订合同的依据。</w:t>
      </w:r>
    </w:p>
    <w:p w14:paraId="6F8AF685">
      <w:pPr>
        <w:keepNext w:val="0"/>
        <w:keepLines w:val="0"/>
        <w:pageBreakBefore w:val="0"/>
        <w:widowControl w:val="0"/>
        <w:kinsoku/>
        <w:wordWrap/>
        <w:overflowPunct/>
        <w:topLinePunct w:val="0"/>
        <w:autoSpaceDN/>
        <w:bidi w:val="0"/>
        <w:snapToGrid/>
        <w:spacing w:line="360" w:lineRule="auto"/>
        <w:ind w:firstLine="424" w:firstLineChars="176"/>
        <w:outlineLvl w:val="9"/>
        <w:rPr>
          <w:rFonts w:hint="eastAsia" w:ascii="宋体" w:hAnsi="宋体" w:eastAsia="宋体" w:cs="宋体"/>
          <w:b/>
          <w:sz w:val="24"/>
          <w:szCs w:val="24"/>
        </w:rPr>
      </w:pPr>
      <w:r>
        <w:rPr>
          <w:rFonts w:hint="eastAsia" w:ascii="宋体" w:hAnsi="宋体" w:eastAsia="宋体" w:cs="宋体"/>
          <w:b/>
          <w:sz w:val="24"/>
          <w:szCs w:val="24"/>
        </w:rPr>
        <w:t>28．特别注意事项：</w:t>
      </w:r>
    </w:p>
    <w:p w14:paraId="63C1AE39">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28.1磋商响应供应商出现下列情形之一的，磋商小组可取消其磋商资格：</w:t>
      </w:r>
    </w:p>
    <w:p w14:paraId="28B59721">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（1）未按磋商文件要求和规定提交实质性响应材料的；</w:t>
      </w:r>
    </w:p>
    <w:p w14:paraId="2978EF18">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（2）相互串通磋商的（有下列情形之一的，视为磋商响应供应商相互串通磋商）；</w:t>
      </w:r>
    </w:p>
    <w:p w14:paraId="214B404F">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A、不同磋商响应供应商的响应文件由同一单位或者个人编制</w:t>
      </w:r>
    </w:p>
    <w:p w14:paraId="3C06CAC3">
      <w:pPr>
        <w:keepNext w:val="0"/>
        <w:keepLines w:val="0"/>
        <w:pageBreakBefore w:val="0"/>
        <w:widowControl w:val="0"/>
        <w:kinsoku/>
        <w:wordWrap/>
        <w:overflowPunct/>
        <w:topLinePunct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B、不同磋商响应供应商的响应文件载明的项目管理成员为同一人</w:t>
      </w:r>
    </w:p>
    <w:p w14:paraId="1C2C6F86">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C、不同磋商响应供应商的响应文件异常一致或者磋商报价呈规律性差异</w:t>
      </w:r>
    </w:p>
    <w:p w14:paraId="378FABEC">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D、不同磋商响应供应商的响应文件相互混放</w:t>
      </w:r>
    </w:p>
    <w:p w14:paraId="6BA5E2D6">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28.2磋商响应供应商出现下列情形之一的，将被视为非实质性响应磋商文件要求：</w:t>
      </w:r>
    </w:p>
    <w:p w14:paraId="2B847F3B">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(1)交货（完成）期限不确切或不符合磋商文件要求的；</w:t>
      </w:r>
    </w:p>
    <w:p w14:paraId="65E3707D">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(2)最后报价有选择性的；</w:t>
      </w:r>
    </w:p>
    <w:p w14:paraId="1156D06C">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(3)最后报价超过招标控制价的；</w:t>
      </w:r>
    </w:p>
    <w:p w14:paraId="676E2A06">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(4)被磋商小组认定存在重大负偏离的；</w:t>
      </w:r>
    </w:p>
    <w:p w14:paraId="589B462A">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注：所谓重大负偏离是指磋商响应供应商对磋商文件的响应在范围、质量、数量和交货（完成）期限、技术规格要求等方面明显不能满足采购需求的。重大负偏离的认定须经磋商小组三分之二以上同意。</w:t>
      </w:r>
    </w:p>
    <w:p w14:paraId="38E54FBE">
      <w:pPr>
        <w:keepNext w:val="0"/>
        <w:keepLines w:val="0"/>
        <w:pageBreakBefore w:val="0"/>
        <w:widowControl w:val="0"/>
        <w:kinsoku/>
        <w:wordWrap/>
        <w:overflowPunct/>
        <w:topLinePunct w:val="0"/>
        <w:autoSpaceDE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29．询问</w:t>
      </w:r>
    </w:p>
    <w:p w14:paraId="20F508FA">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29.1磋商响应供应商对采购事项有疑问，可以按照《政府采购法》的相关规定向采购人或采购代理机构提出询问。</w:t>
      </w:r>
    </w:p>
    <w:p w14:paraId="18935E60">
      <w:pPr>
        <w:keepNext w:val="0"/>
        <w:keepLines w:val="0"/>
        <w:pageBreakBefore w:val="0"/>
        <w:widowControl w:val="0"/>
        <w:kinsoku/>
        <w:wordWrap/>
        <w:overflowPunct/>
        <w:topLinePunct w:val="0"/>
        <w:autoSpaceDE w:val="0"/>
        <w:autoSpaceDN/>
        <w:bidi w:val="0"/>
        <w:snapToGrid/>
        <w:spacing w:line="360" w:lineRule="auto"/>
        <w:ind w:firstLine="424" w:firstLineChars="176"/>
        <w:outlineLvl w:val="9"/>
        <w:rPr>
          <w:rFonts w:hint="eastAsia" w:ascii="宋体" w:hAnsi="宋体" w:eastAsia="宋体" w:cs="宋体"/>
          <w:b/>
          <w:bCs/>
          <w:sz w:val="24"/>
          <w:szCs w:val="24"/>
        </w:rPr>
      </w:pPr>
      <w:r>
        <w:rPr>
          <w:rFonts w:hint="eastAsia" w:ascii="宋体" w:hAnsi="宋体" w:eastAsia="宋体" w:cs="宋体"/>
          <w:b/>
          <w:bCs/>
          <w:sz w:val="24"/>
          <w:szCs w:val="24"/>
        </w:rPr>
        <w:t>30.质疑程序及处理</w:t>
      </w:r>
    </w:p>
    <w:p w14:paraId="62EBE381">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30.1若竞争性磋商响应人认为其磋商未获公平评审或磋商文件、采购过程和成交结果使自己的合法权益受到损害，可以在知道或者应知其权益受到损害之日起7个工作日内，将质疑书原件送达采购人或采购代理机构。提出质疑期限的计算，依照下列规定办理：</w:t>
      </w:r>
    </w:p>
    <w:p w14:paraId="36D4896A">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（一）对可以质疑的磋商文件提出质疑的，为收到磋商文件之日或者磋商文件公告期限届满之日；</w:t>
      </w:r>
    </w:p>
    <w:p w14:paraId="254473B1">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（二）对采购过程提出质疑的，为各采购程序环节结束之日；</w:t>
      </w:r>
    </w:p>
    <w:p w14:paraId="11EC1DC0">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（三）对成交结果提出质疑的，为成交结果公告期限届满之日。</w:t>
      </w:r>
    </w:p>
    <w:p w14:paraId="4F5FFEF7">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30.2质疑书应当包括下列主要内容，并按照“谁主张、谁举证”的原则，附上相关证明材料。否则，采购人不予受理：</w:t>
      </w:r>
    </w:p>
    <w:p w14:paraId="12944F4F">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（一）质疑磋商响应供应商全称、地址、法定代表人、联系人及联系电话、邮政编码等；</w:t>
      </w:r>
    </w:p>
    <w:p w14:paraId="0E4D8EFC">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（二）被质疑采购项目的名称、编号；</w:t>
      </w:r>
    </w:p>
    <w:p w14:paraId="22CBF536">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（三）质疑的具体事项、明确的请求和主张；</w:t>
      </w:r>
    </w:p>
    <w:p w14:paraId="060C3ADC">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（四）质疑所依据的法律依据（具体条款）、具体事实和具体理由。质疑书依据理由部分只有主观陈述、推理、猜测等，而没有提供客观事实依据、法律依据的；</w:t>
      </w:r>
    </w:p>
    <w:p w14:paraId="40359707">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五）质疑事项按照有关法律、法规和规章规定及竞争性磋商文件要求属于保密或者处于保密阶段的事项，磋商响应供应商必须提供正常的信息来源或有效证据，磋商响应供应商不能提供或者拒绝提供合法的信息来源或有效证据的；</w:t>
      </w:r>
    </w:p>
    <w:p w14:paraId="5246BDDD">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（六）充足有效的相关证明材料；如果涉及到产品功能或技术指标的，应出具相关制造商的证明文件；</w:t>
      </w:r>
    </w:p>
    <w:p w14:paraId="1AEA5F82">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（七）质疑材料中有外文资料的，应一并附上中文译本，并以中文译本为准。</w:t>
      </w:r>
    </w:p>
    <w:p w14:paraId="6A3D0C47">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（八）提起质疑的日期</w:t>
      </w:r>
    </w:p>
    <w:p w14:paraId="461E9A77">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30.3磋商响应供应商质疑实行实名制并须在质疑书上署名。磋商响应供应商不得进行虚假、恶意质疑，不得以质疑为手段获取不当得利、实现非法目的。磋商响应供应商为自然人的，应当由本人签字；磋商响应供应商为法人的，应当由法定代表人签字或盖章并加盖公章；磋商响应供应商为其他组织的，应当由主要负责人签字或盖章并加盖公章。磋商响应供应商其他工作人员或代理人员在质疑书上的署名不具有法律效力。</w:t>
      </w:r>
    </w:p>
    <w:p w14:paraId="52D451E0">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30.4磋商响应供应商委托代理人办理质疑事宜，应当提交授权委托书，并载明委托代理的具体权限和事项。授权委托书应当由委托人签字并加盖单位公章。</w:t>
      </w:r>
    </w:p>
    <w:p w14:paraId="602B89C4">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30.5提交质疑书时，磋商响应供应商应同时提交本人身份证，委托他人代理质疑事宜的，还应提交被委托人的身份证。磋商响应供应商是法人的，应一并提交法人营业执照和法定代表人身份证；磋商响应供应商是其他组织的，应一并提交其他组织经营许可证和主要负责人身份证。磋商响应供应商应当提供上述证明材料的原件及复印件，原件经采购人核对无误后返还。</w:t>
      </w:r>
    </w:p>
    <w:p w14:paraId="5790BCC7">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30.6质疑书提交方式。磋商响应供应商或者其委托代理人应当当面提交质疑书及相关证明材料。磋商响应供应商以电子邮件、传真等其他方式提交质疑书及相关证明材料的，或者不是磋商响应供应商或者其委托代理人提交质疑书及相关证明材料的，采购人或采购机构可以拒收。</w:t>
      </w:r>
    </w:p>
    <w:p w14:paraId="410445B0">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30.7磋商响应供应商不得虚假质疑和恶意质疑，并对质疑内容的真实性承担责任。磋商响应供应商或者其他利害关系人通过捏造事实、伪造证明材料等方式提出异议或投诉，阻碍招磋商活动正常进行的，属于严重不良行为，采购人将提请财政部门将其列入不良行为记录名单，并依法予以处罚。</w:t>
      </w:r>
    </w:p>
    <w:p w14:paraId="45CD026C">
      <w:pPr>
        <w:keepNext w:val="0"/>
        <w:keepLines w:val="0"/>
        <w:pageBreakBefore w:val="0"/>
        <w:widowControl w:val="0"/>
        <w:kinsoku/>
        <w:wordWrap/>
        <w:overflowPunct/>
        <w:topLinePunct w:val="0"/>
        <w:autoSpaceDE w:val="0"/>
        <w:autoSpaceDN/>
        <w:bidi w:val="0"/>
        <w:snapToGrid/>
        <w:spacing w:line="360" w:lineRule="auto"/>
        <w:ind w:firstLine="422" w:firstLineChars="176"/>
        <w:outlineLvl w:val="9"/>
        <w:rPr>
          <w:rFonts w:hint="eastAsia" w:ascii="宋体" w:hAnsi="宋体" w:eastAsia="宋体" w:cs="宋体"/>
          <w:sz w:val="24"/>
          <w:szCs w:val="24"/>
        </w:rPr>
      </w:pPr>
      <w:r>
        <w:rPr>
          <w:rFonts w:hint="eastAsia" w:ascii="宋体" w:hAnsi="宋体" w:eastAsia="宋体" w:cs="宋体"/>
          <w:sz w:val="24"/>
          <w:szCs w:val="24"/>
        </w:rPr>
        <w:t>30.8采购人将在收到符合上述条件的书面质疑后7个工作日内审查质疑事项，作出答复或相关处理决定，并以书面形式通知质疑磋商响应供应商和其他有关磋商响应供应商，但答复的内容不涉及商业秘密。若质疑涉及磋商制度或程序，将被转交政府采购的管理部门审查。采购人遵循“谁过错谁负担”的原则，有过错的一方承担调查论证费用。</w:t>
      </w:r>
    </w:p>
    <w:p w14:paraId="4FE1B2DC">
      <w:pPr>
        <w:pStyle w:val="2"/>
        <w:keepNext w:val="0"/>
        <w:keepLines w:val="0"/>
        <w:pageBreakBefore w:val="0"/>
        <w:widowControl w:val="0"/>
        <w:kinsoku/>
        <w:wordWrap/>
        <w:overflowPunct/>
        <w:topLinePunct w:val="0"/>
        <w:autoSpaceDN/>
        <w:bidi w:val="0"/>
        <w:snapToGrid/>
        <w:spacing w:line="360" w:lineRule="auto"/>
        <w:outlineLvl w:val="9"/>
        <w:rPr>
          <w:rFonts w:hint="eastAsia" w:ascii="宋体" w:hAnsi="宋体" w:eastAsia="宋体" w:cs="宋体"/>
          <w:sz w:val="24"/>
          <w:szCs w:val="24"/>
        </w:rPr>
      </w:pPr>
      <w:r>
        <w:rPr>
          <w:rFonts w:hint="eastAsia" w:ascii="宋体" w:hAnsi="宋体" w:eastAsia="宋体" w:cs="宋体"/>
          <w:sz w:val="24"/>
          <w:szCs w:val="24"/>
        </w:rPr>
        <w:t>30.9质疑供应商对采购人的答复不满意以及采购人未在规定的时间内做出答复的，可以在答复期满后15个工作日内向财政部门投诉。</w:t>
      </w:r>
    </w:p>
    <w:p w14:paraId="056B709F">
      <w:pPr>
        <w:keepNext w:val="0"/>
        <w:keepLines w:val="0"/>
        <w:pageBreakBefore w:val="0"/>
        <w:widowControl w:val="0"/>
        <w:kinsoku/>
        <w:wordWrap/>
        <w:overflowPunct/>
        <w:topLinePunct w:val="0"/>
        <w:autoSpaceDN/>
        <w:bidi w:val="0"/>
        <w:snapToGrid/>
        <w:spacing w:line="360" w:lineRule="auto"/>
        <w:ind w:firstLine="480" w:firstLineChars="200"/>
        <w:textAlignment w:val="auto"/>
        <w:outlineLvl w:val="9"/>
        <w:rPr>
          <w:rFonts w:hint="eastAsia" w:ascii="宋体" w:hAnsi="宋体" w:eastAsia="宋体" w:cs="宋体"/>
          <w:sz w:val="24"/>
          <w:szCs w:val="24"/>
        </w:rPr>
      </w:pPr>
      <w:bookmarkStart w:id="29" w:name="_Toc517178995"/>
      <w:bookmarkEnd w:id="29"/>
      <w:bookmarkStart w:id="30" w:name="_Toc505350555"/>
      <w:bookmarkEnd w:id="30"/>
      <w:bookmarkStart w:id="31" w:name="_Toc504491969"/>
      <w:bookmarkEnd w:id="31"/>
      <w:bookmarkStart w:id="32" w:name="_Toc20823285"/>
      <w:bookmarkEnd w:id="32"/>
      <w:bookmarkStart w:id="33" w:name="_Toc528078015"/>
      <w:bookmarkEnd w:id="33"/>
      <w:bookmarkStart w:id="34" w:name="_Toc16938529"/>
      <w:bookmarkEnd w:id="34"/>
      <w:bookmarkStart w:id="35" w:name="_Toc403987207"/>
      <w:bookmarkEnd w:id="35"/>
      <w:bookmarkStart w:id="36" w:name="_Toc462564072"/>
      <w:bookmarkEnd w:id="36"/>
      <w:bookmarkStart w:id="37" w:name="_Toc120614216"/>
      <w:bookmarkEnd w:id="37"/>
      <w:bookmarkStart w:id="38" w:name="_Toc528078016"/>
      <w:bookmarkEnd w:id="38"/>
    </w:p>
    <w:p w14:paraId="56979A72">
      <w:pPr>
        <w:keepNext w:val="0"/>
        <w:keepLines w:val="0"/>
        <w:pageBreakBefore w:val="0"/>
        <w:widowControl w:val="0"/>
        <w:kinsoku/>
        <w:wordWrap/>
        <w:overflowPunct/>
        <w:topLinePunct w:val="0"/>
        <w:autoSpaceDN/>
        <w:bidi w:val="0"/>
        <w:snapToGrid/>
        <w:spacing w:line="360" w:lineRule="auto"/>
        <w:ind w:firstLine="482" w:firstLineChars="200"/>
        <w:textAlignment w:val="auto"/>
        <w:outlineLvl w:val="9"/>
        <w:rPr>
          <w:rFonts w:hint="eastAsia" w:ascii="宋体" w:hAnsi="宋体" w:eastAsia="宋体" w:cs="宋体"/>
          <w:b/>
          <w:bCs/>
          <w:sz w:val="24"/>
          <w:szCs w:val="24"/>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eastAsia" w:ascii="宋体" w:hAnsi="宋体" w:eastAsia="宋体" w:cs="宋体"/>
          <w:b/>
          <w:bCs/>
          <w:sz w:val="24"/>
          <w:szCs w:val="24"/>
        </w:rPr>
        <w:t>本磋商文件未尽事宜执行国家、省、市相关规定</w:t>
      </w:r>
    </w:p>
    <w:p w14:paraId="57527A85">
      <w:pPr>
        <w:keepNext w:val="0"/>
        <w:keepLines w:val="0"/>
        <w:pageBreakBefore w:val="0"/>
        <w:widowControl w:val="0"/>
        <w:kinsoku/>
        <w:wordWrap/>
        <w:overflowPunct/>
        <w:topLinePunct w:val="0"/>
        <w:autoSpaceDE/>
        <w:autoSpaceDN/>
        <w:bidi w:val="0"/>
        <w:adjustRightInd/>
        <w:snapToGrid/>
        <w:spacing w:before="240" w:after="60" w:line="360" w:lineRule="auto"/>
        <w:jc w:val="center"/>
        <w:textAlignment w:val="auto"/>
        <w:outlineLvl w:val="0"/>
        <w:rPr>
          <w:rFonts w:hint="eastAsia" w:eastAsia="宋体" w:asciiTheme="majorHAnsi" w:hAnsiTheme="majorHAnsi" w:cstheme="majorBidi"/>
          <w:b/>
          <w:bCs/>
          <w:kern w:val="28"/>
          <w:sz w:val="32"/>
          <w:szCs w:val="32"/>
        </w:rPr>
      </w:pPr>
      <w:bookmarkStart w:id="39" w:name="_Toc2288"/>
      <w:r>
        <w:rPr>
          <w:rFonts w:hint="eastAsia" w:eastAsia="宋体" w:asciiTheme="majorHAnsi" w:hAnsiTheme="majorHAnsi" w:cstheme="majorBidi"/>
          <w:b/>
          <w:bCs/>
          <w:kern w:val="28"/>
          <w:sz w:val="32"/>
          <w:szCs w:val="32"/>
          <w:lang w:eastAsia="zh-CN"/>
        </w:rPr>
        <w:t>第三章</w:t>
      </w:r>
      <w:r>
        <w:rPr>
          <w:rFonts w:hint="eastAsia" w:eastAsia="宋体" w:asciiTheme="majorHAnsi" w:hAnsiTheme="majorHAnsi" w:cstheme="majorBidi"/>
          <w:b/>
          <w:bCs/>
          <w:kern w:val="28"/>
          <w:sz w:val="32"/>
          <w:szCs w:val="32"/>
          <w:lang w:val="en-US" w:eastAsia="zh-CN"/>
        </w:rPr>
        <w:t xml:space="preserve">  </w:t>
      </w:r>
      <w:r>
        <w:rPr>
          <w:rFonts w:hint="eastAsia" w:eastAsia="宋体" w:asciiTheme="majorHAnsi" w:hAnsiTheme="majorHAnsi" w:cstheme="majorBidi"/>
          <w:b/>
          <w:bCs/>
          <w:kern w:val="28"/>
          <w:sz w:val="32"/>
          <w:szCs w:val="32"/>
        </w:rPr>
        <w:t>评审标准</w:t>
      </w:r>
      <w:bookmarkEnd w:id="39"/>
      <w:bookmarkStart w:id="40" w:name="_Toc466566794"/>
      <w:bookmarkEnd w:id="40"/>
      <w:bookmarkStart w:id="41" w:name="_Toc152045600"/>
      <w:bookmarkEnd w:id="41"/>
      <w:bookmarkStart w:id="42" w:name="_Toc466566705"/>
      <w:bookmarkEnd w:id="42"/>
      <w:bookmarkStart w:id="43" w:name="_Toc375053347"/>
      <w:bookmarkEnd w:id="43"/>
      <w:bookmarkStart w:id="44" w:name="_Toc144974567"/>
      <w:bookmarkEnd w:id="44"/>
      <w:bookmarkStart w:id="45" w:name="_Toc179632618"/>
      <w:bookmarkEnd w:id="45"/>
      <w:bookmarkStart w:id="46" w:name="OLE_LINK1"/>
    </w:p>
    <w:p w14:paraId="0E3533DB">
      <w:pPr>
        <w:keepNext/>
        <w:keepLines/>
        <w:pageBreakBefore w:val="0"/>
        <w:widowControl w:val="0"/>
        <w:numPr>
          <w:ilvl w:val="0"/>
          <w:numId w:val="0"/>
        </w:numPr>
        <w:kinsoku/>
        <w:wordWrap/>
        <w:overflowPunct/>
        <w:topLinePunct w:val="0"/>
        <w:autoSpaceDE/>
        <w:autoSpaceDN/>
        <w:bidi w:val="0"/>
        <w:adjustRightInd/>
        <w:snapToGrid/>
        <w:spacing w:before="260" w:after="260" w:line="360" w:lineRule="auto"/>
        <w:ind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本次项目的评审分为初步审查和详细审查。详细审查采用综合评分法，总分为100分。</w:t>
      </w:r>
      <w:bookmarkEnd w:id="46"/>
      <w:r>
        <w:rPr>
          <w:rFonts w:hint="eastAsia" w:ascii="宋体" w:hAnsi="宋体" w:eastAsia="宋体" w:cs="宋体"/>
          <w:sz w:val="24"/>
          <w:szCs w:val="24"/>
        </w:rPr>
        <w:t>评审因素如下：</w:t>
      </w:r>
    </w:p>
    <w:p w14:paraId="7AFD09E4">
      <w:pPr>
        <w:keepNext/>
        <w:keepLines/>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一、初步审查</w:t>
      </w:r>
    </w:p>
    <w:tbl>
      <w:tblPr>
        <w:tblStyle w:val="11"/>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987"/>
        <w:gridCol w:w="2551"/>
        <w:gridCol w:w="5398"/>
      </w:tblGrid>
      <w:tr w14:paraId="14B9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13" w:type="dxa"/>
            <w:gridSpan w:val="2"/>
            <w:tcBorders>
              <w:top w:val="single" w:color="auto" w:sz="4" w:space="0"/>
              <w:left w:val="single" w:color="auto" w:sz="4" w:space="0"/>
              <w:bottom w:val="single" w:color="auto" w:sz="4" w:space="0"/>
              <w:right w:val="single" w:color="auto" w:sz="4" w:space="0"/>
            </w:tcBorders>
            <w:vAlign w:val="center"/>
          </w:tcPr>
          <w:p w14:paraId="2A5C8751">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条款号</w:t>
            </w:r>
          </w:p>
        </w:tc>
        <w:tc>
          <w:tcPr>
            <w:tcW w:w="2551" w:type="dxa"/>
            <w:tcBorders>
              <w:top w:val="single" w:color="auto" w:sz="4" w:space="0"/>
              <w:left w:val="nil"/>
              <w:bottom w:val="single" w:color="auto" w:sz="4" w:space="0"/>
              <w:right w:val="single" w:color="auto" w:sz="4" w:space="0"/>
            </w:tcBorders>
            <w:vAlign w:val="center"/>
          </w:tcPr>
          <w:p w14:paraId="23A7E137">
            <w:pPr>
              <w:pageBreakBefore w:val="0"/>
              <w:widowControl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评审因素</w:t>
            </w:r>
          </w:p>
        </w:tc>
        <w:tc>
          <w:tcPr>
            <w:tcW w:w="5398" w:type="dxa"/>
            <w:tcBorders>
              <w:top w:val="single" w:color="auto" w:sz="4" w:space="0"/>
              <w:left w:val="nil"/>
              <w:bottom w:val="single" w:color="auto" w:sz="4" w:space="0"/>
              <w:right w:val="single" w:color="auto" w:sz="4" w:space="0"/>
            </w:tcBorders>
            <w:vAlign w:val="center"/>
          </w:tcPr>
          <w:p w14:paraId="2C1DC700">
            <w:pPr>
              <w:pageBreakBefore w:val="0"/>
              <w:widowControl w:val="0"/>
              <w:kinsoku/>
              <w:overflowPunct/>
              <w:topLinePunct w:val="0"/>
              <w:autoSpaceDE/>
              <w:autoSpaceDN/>
              <w:bidi w:val="0"/>
              <w:adjustRightInd/>
              <w:snapToGrid/>
              <w:spacing w:line="360" w:lineRule="auto"/>
              <w:ind w:firstLine="2160" w:firstLineChars="900"/>
              <w:textAlignment w:val="auto"/>
              <w:outlineLvl w:val="9"/>
              <w:rPr>
                <w:rFonts w:hint="eastAsia" w:ascii="宋体" w:hAnsi="宋体" w:eastAsia="宋体" w:cs="宋体"/>
                <w:sz w:val="24"/>
                <w:szCs w:val="24"/>
              </w:rPr>
            </w:pPr>
            <w:r>
              <w:rPr>
                <w:rFonts w:hint="eastAsia" w:ascii="宋体" w:hAnsi="宋体" w:eastAsia="宋体" w:cs="宋体"/>
                <w:sz w:val="24"/>
                <w:szCs w:val="24"/>
              </w:rPr>
              <w:t>评审标准</w:t>
            </w:r>
          </w:p>
        </w:tc>
      </w:tr>
      <w:tr w14:paraId="3FAE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526" w:type="dxa"/>
            <w:vMerge w:val="restart"/>
            <w:tcBorders>
              <w:top w:val="nil"/>
              <w:left w:val="single" w:color="auto" w:sz="4" w:space="0"/>
              <w:right w:val="single" w:color="auto" w:sz="4" w:space="0"/>
            </w:tcBorders>
            <w:vAlign w:val="center"/>
          </w:tcPr>
          <w:p w14:paraId="1F137F92">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初</w:t>
            </w:r>
          </w:p>
          <w:p w14:paraId="0B3EA44E">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步</w:t>
            </w:r>
          </w:p>
          <w:p w14:paraId="15491701">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评</w:t>
            </w:r>
          </w:p>
          <w:p w14:paraId="3F9BE055">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审</w:t>
            </w:r>
          </w:p>
        </w:tc>
        <w:tc>
          <w:tcPr>
            <w:tcW w:w="987" w:type="dxa"/>
            <w:vMerge w:val="restart"/>
            <w:tcBorders>
              <w:top w:val="nil"/>
              <w:left w:val="nil"/>
              <w:bottom w:val="single" w:color="auto" w:sz="4" w:space="0"/>
              <w:right w:val="single" w:color="auto" w:sz="4" w:space="0"/>
            </w:tcBorders>
            <w:vAlign w:val="center"/>
          </w:tcPr>
          <w:p w14:paraId="64C38A5E">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符合性</w:t>
            </w:r>
          </w:p>
          <w:p w14:paraId="68A96BEF">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评审</w:t>
            </w:r>
          </w:p>
          <w:p w14:paraId="5040BF1C">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标准</w:t>
            </w:r>
          </w:p>
        </w:tc>
        <w:tc>
          <w:tcPr>
            <w:tcW w:w="2551" w:type="dxa"/>
            <w:tcBorders>
              <w:top w:val="single" w:color="auto" w:sz="4" w:space="0"/>
              <w:left w:val="nil"/>
              <w:bottom w:val="single" w:color="auto" w:sz="4" w:space="0"/>
              <w:right w:val="single" w:color="auto" w:sz="4" w:space="0"/>
            </w:tcBorders>
            <w:vAlign w:val="center"/>
          </w:tcPr>
          <w:p w14:paraId="41F87B81">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供应商名称</w:t>
            </w:r>
          </w:p>
        </w:tc>
        <w:tc>
          <w:tcPr>
            <w:tcW w:w="5398" w:type="dxa"/>
            <w:tcBorders>
              <w:top w:val="single" w:color="auto" w:sz="4" w:space="0"/>
              <w:left w:val="nil"/>
              <w:bottom w:val="single" w:color="auto" w:sz="4" w:space="0"/>
              <w:right w:val="single" w:color="auto" w:sz="4" w:space="0"/>
            </w:tcBorders>
            <w:vAlign w:val="center"/>
          </w:tcPr>
          <w:p w14:paraId="1A65A9A3">
            <w:pPr>
              <w:pageBreakBefore w:val="0"/>
              <w:widowControl w:val="0"/>
              <w:kinsoku/>
              <w:overflowPunct/>
              <w:topLinePunct w:val="0"/>
              <w:autoSpaceDE/>
              <w:autoSpaceDN/>
              <w:bidi w:val="0"/>
              <w:adjustRightInd/>
              <w:snapToGrid/>
              <w:spacing w:line="360" w:lineRule="auto"/>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与营业执照一致</w:t>
            </w:r>
          </w:p>
        </w:tc>
      </w:tr>
      <w:tr w14:paraId="0BF1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26" w:type="dxa"/>
            <w:vMerge w:val="continue"/>
            <w:tcBorders>
              <w:left w:val="single" w:color="auto" w:sz="4" w:space="0"/>
              <w:right w:val="single" w:color="auto" w:sz="4" w:space="0"/>
            </w:tcBorders>
            <w:vAlign w:val="center"/>
          </w:tcPr>
          <w:p w14:paraId="22810159">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continue"/>
            <w:tcBorders>
              <w:top w:val="nil"/>
              <w:left w:val="nil"/>
              <w:bottom w:val="single" w:color="auto" w:sz="4" w:space="0"/>
              <w:right w:val="single" w:color="auto" w:sz="4" w:space="0"/>
            </w:tcBorders>
            <w:vAlign w:val="center"/>
          </w:tcPr>
          <w:p w14:paraId="77E1D00B">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p>
        </w:tc>
        <w:tc>
          <w:tcPr>
            <w:tcW w:w="2551" w:type="dxa"/>
            <w:tcBorders>
              <w:top w:val="single" w:color="auto" w:sz="4" w:space="0"/>
              <w:left w:val="nil"/>
              <w:bottom w:val="single" w:color="auto" w:sz="4" w:space="0"/>
              <w:right w:val="single" w:color="auto" w:sz="4" w:space="0"/>
            </w:tcBorders>
            <w:vAlign w:val="center"/>
          </w:tcPr>
          <w:p w14:paraId="4F16A5F4">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签字盖章</w:t>
            </w:r>
          </w:p>
        </w:tc>
        <w:tc>
          <w:tcPr>
            <w:tcW w:w="5398" w:type="dxa"/>
            <w:tcBorders>
              <w:top w:val="single" w:color="auto" w:sz="4" w:space="0"/>
              <w:left w:val="nil"/>
              <w:bottom w:val="single" w:color="auto" w:sz="4" w:space="0"/>
              <w:right w:val="single" w:color="auto" w:sz="4" w:space="0"/>
            </w:tcBorders>
            <w:vAlign w:val="center"/>
          </w:tcPr>
          <w:p w14:paraId="65A03B87">
            <w:pPr>
              <w:pageBreakBefore w:val="0"/>
              <w:widowControl w:val="0"/>
              <w:kinsoku/>
              <w:overflowPunct/>
              <w:topLinePunct w:val="0"/>
              <w:autoSpaceDE/>
              <w:autoSpaceDN/>
              <w:bidi w:val="0"/>
              <w:adjustRightInd/>
              <w:snapToGrid/>
              <w:spacing w:line="360" w:lineRule="auto"/>
              <w:jc w:val="left"/>
              <w:textAlignment w:val="auto"/>
              <w:outlineLvl w:val="9"/>
              <w:rPr>
                <w:rFonts w:hint="eastAsia" w:ascii="宋体" w:hAnsi="宋体" w:eastAsia="宋体" w:cs="宋体"/>
                <w:sz w:val="24"/>
                <w:szCs w:val="24"/>
              </w:rPr>
            </w:pPr>
            <w:r>
              <w:rPr>
                <w:rFonts w:hint="eastAsia" w:ascii="宋体" w:hAnsi="宋体" w:eastAsia="宋体" w:cs="宋体"/>
                <w:color w:val="auto"/>
                <w:sz w:val="24"/>
                <w:szCs w:val="24"/>
              </w:rPr>
              <w:t>符合竞争性磋商文件要求的签字、盖章</w:t>
            </w:r>
          </w:p>
        </w:tc>
      </w:tr>
      <w:tr w14:paraId="54CF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6" w:type="dxa"/>
            <w:vMerge w:val="continue"/>
            <w:tcBorders>
              <w:left w:val="single" w:color="auto" w:sz="4" w:space="0"/>
              <w:right w:val="single" w:color="auto" w:sz="4" w:space="0"/>
            </w:tcBorders>
            <w:vAlign w:val="center"/>
          </w:tcPr>
          <w:p w14:paraId="0D68C374">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continue"/>
            <w:tcBorders>
              <w:top w:val="nil"/>
              <w:left w:val="nil"/>
              <w:bottom w:val="single" w:color="auto" w:sz="4" w:space="0"/>
              <w:right w:val="single" w:color="auto" w:sz="4" w:space="0"/>
            </w:tcBorders>
            <w:vAlign w:val="center"/>
          </w:tcPr>
          <w:p w14:paraId="256CAAF0">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p>
        </w:tc>
        <w:tc>
          <w:tcPr>
            <w:tcW w:w="2551" w:type="dxa"/>
            <w:tcBorders>
              <w:top w:val="single" w:color="auto" w:sz="4" w:space="0"/>
              <w:left w:val="nil"/>
              <w:bottom w:val="single" w:color="auto" w:sz="4" w:space="0"/>
              <w:right w:val="single" w:color="auto" w:sz="4" w:space="0"/>
            </w:tcBorders>
            <w:vAlign w:val="center"/>
          </w:tcPr>
          <w:p w14:paraId="156350EE">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报价唯一</w:t>
            </w:r>
          </w:p>
        </w:tc>
        <w:tc>
          <w:tcPr>
            <w:tcW w:w="5398" w:type="dxa"/>
            <w:tcBorders>
              <w:top w:val="single" w:color="auto" w:sz="4" w:space="0"/>
              <w:left w:val="nil"/>
              <w:bottom w:val="single" w:color="auto" w:sz="4" w:space="0"/>
              <w:right w:val="single" w:color="auto" w:sz="4" w:space="0"/>
            </w:tcBorders>
            <w:vAlign w:val="center"/>
          </w:tcPr>
          <w:p w14:paraId="3FF77B83">
            <w:pPr>
              <w:pageBreakBefore w:val="0"/>
              <w:widowControl w:val="0"/>
              <w:kinsoku/>
              <w:overflowPunct/>
              <w:topLinePunct w:val="0"/>
              <w:autoSpaceDE/>
              <w:autoSpaceDN/>
              <w:bidi w:val="0"/>
              <w:adjustRightInd/>
              <w:snapToGrid/>
              <w:spacing w:line="360" w:lineRule="auto"/>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只能有一个有效报价，且不超过控制价</w:t>
            </w:r>
          </w:p>
        </w:tc>
      </w:tr>
      <w:tr w14:paraId="26BE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526" w:type="dxa"/>
            <w:vMerge w:val="continue"/>
            <w:tcBorders>
              <w:left w:val="single" w:color="auto" w:sz="4" w:space="0"/>
              <w:right w:val="single" w:color="auto" w:sz="4" w:space="0"/>
            </w:tcBorders>
            <w:vAlign w:val="center"/>
          </w:tcPr>
          <w:p w14:paraId="6A8BF8B7">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restart"/>
            <w:tcBorders>
              <w:top w:val="nil"/>
              <w:left w:val="nil"/>
              <w:right w:val="single" w:color="auto" w:sz="4" w:space="0"/>
            </w:tcBorders>
            <w:vAlign w:val="center"/>
          </w:tcPr>
          <w:p w14:paraId="72809372">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资格</w:t>
            </w:r>
            <w:r>
              <w:rPr>
                <w:rFonts w:hint="eastAsia" w:ascii="宋体" w:hAnsi="宋体" w:eastAsia="宋体" w:cs="宋体"/>
                <w:sz w:val="24"/>
                <w:szCs w:val="24"/>
                <w:lang w:val="en-US" w:eastAsia="zh-CN"/>
              </w:rPr>
              <w:t>性</w:t>
            </w:r>
          </w:p>
          <w:p w14:paraId="7F59D124">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评审</w:t>
            </w:r>
          </w:p>
          <w:p w14:paraId="3E664946">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标准</w:t>
            </w:r>
          </w:p>
        </w:tc>
        <w:tc>
          <w:tcPr>
            <w:tcW w:w="2551" w:type="dxa"/>
            <w:tcBorders>
              <w:top w:val="single" w:color="auto" w:sz="4" w:space="0"/>
              <w:left w:val="nil"/>
              <w:bottom w:val="single" w:color="auto" w:sz="4" w:space="0"/>
              <w:right w:val="single" w:color="auto" w:sz="4" w:space="0"/>
            </w:tcBorders>
            <w:shd w:val="clear" w:color="auto" w:fill="auto"/>
            <w:vAlign w:val="center"/>
          </w:tcPr>
          <w:p w14:paraId="3050D1D8">
            <w:pPr>
              <w:pStyle w:val="27"/>
              <w:pageBreakBefore w:val="0"/>
              <w:widowControl w:val="0"/>
              <w:kinsoku/>
              <w:overflowPunct/>
              <w:topLinePunct w:val="0"/>
              <w:autoSpaceDE/>
              <w:autoSpaceDN/>
              <w:bidi w:val="0"/>
              <w:adjustRightInd/>
              <w:snapToGrid/>
              <w:spacing w:before="57" w:line="360" w:lineRule="auto"/>
              <w:ind w:left="0" w:leftChars="0" w:right="2" w:rightChars="0"/>
              <w:jc w:val="center"/>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满足《中华人民共和国政府采购法》第二十二条规定</w:t>
            </w:r>
          </w:p>
        </w:tc>
        <w:tc>
          <w:tcPr>
            <w:tcW w:w="5398" w:type="dxa"/>
            <w:tcBorders>
              <w:top w:val="single" w:color="auto" w:sz="4" w:space="0"/>
              <w:left w:val="nil"/>
              <w:bottom w:val="single" w:color="auto" w:sz="4" w:space="0"/>
              <w:right w:val="single" w:color="auto" w:sz="4" w:space="0"/>
            </w:tcBorders>
            <w:shd w:val="clear" w:color="auto" w:fill="auto"/>
            <w:vAlign w:val="center"/>
          </w:tcPr>
          <w:p w14:paraId="50922153">
            <w:pPr>
              <w:keepNext w:val="0"/>
              <w:keepLines w:val="0"/>
              <w:pageBreakBefore w:val="0"/>
              <w:widowControl w:val="0"/>
              <w:kinsoku/>
              <w:wordWrap w:val="0"/>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供应商满足《中华人民共和国政府采购法》第二十二条规定条件（提供相关证明资料或承诺书）</w:t>
            </w:r>
          </w:p>
        </w:tc>
      </w:tr>
      <w:tr w14:paraId="36B2A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526" w:type="dxa"/>
            <w:vMerge w:val="continue"/>
            <w:tcBorders>
              <w:left w:val="single" w:color="auto" w:sz="4" w:space="0"/>
              <w:right w:val="single" w:color="auto" w:sz="4" w:space="0"/>
            </w:tcBorders>
            <w:vAlign w:val="center"/>
          </w:tcPr>
          <w:p w14:paraId="430BDD4A">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continue"/>
            <w:tcBorders>
              <w:left w:val="nil"/>
              <w:right w:val="single" w:color="auto" w:sz="4" w:space="0"/>
            </w:tcBorders>
            <w:vAlign w:val="center"/>
          </w:tcPr>
          <w:p w14:paraId="36DD66A9">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2551" w:type="dxa"/>
            <w:tcBorders>
              <w:top w:val="single" w:color="auto" w:sz="4" w:space="0"/>
              <w:left w:val="nil"/>
              <w:bottom w:val="single" w:color="auto" w:sz="4" w:space="0"/>
              <w:right w:val="single" w:color="auto" w:sz="4" w:space="0"/>
            </w:tcBorders>
            <w:vAlign w:val="center"/>
          </w:tcPr>
          <w:p w14:paraId="2DA9F5CF">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营业执照</w:t>
            </w:r>
          </w:p>
        </w:tc>
        <w:tc>
          <w:tcPr>
            <w:tcW w:w="5398" w:type="dxa"/>
            <w:tcBorders>
              <w:top w:val="single" w:color="auto" w:sz="4" w:space="0"/>
              <w:left w:val="nil"/>
              <w:bottom w:val="single" w:color="auto" w:sz="4" w:space="0"/>
              <w:right w:val="single" w:color="auto" w:sz="4" w:space="0"/>
            </w:tcBorders>
            <w:vAlign w:val="center"/>
          </w:tcPr>
          <w:p w14:paraId="267F4CF6">
            <w:pPr>
              <w:pageBreakBefore w:val="0"/>
              <w:widowControl w:val="0"/>
              <w:kinsoku/>
              <w:overflowPunct/>
              <w:topLinePunct w:val="0"/>
              <w:autoSpaceDE/>
              <w:autoSpaceDN/>
              <w:bidi w:val="0"/>
              <w:adjustRightInd/>
              <w:snapToGrid/>
              <w:spacing w:line="360" w:lineRule="auto"/>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供应商</w:t>
            </w:r>
            <w:r>
              <w:rPr>
                <w:rFonts w:hint="eastAsia" w:ascii="宋体" w:hAnsi="宋体" w:eastAsia="宋体" w:cs="宋体"/>
                <w:sz w:val="24"/>
                <w:szCs w:val="24"/>
                <w:lang w:eastAsia="zh-CN"/>
              </w:rPr>
              <w:t>须具有独立法人资格，具有符合本项目所必须的合法有效的营业执照、组织机构代码证、税务登记证或三证合一的营业执照；</w:t>
            </w:r>
          </w:p>
        </w:tc>
      </w:tr>
      <w:tr w14:paraId="5BF9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526" w:type="dxa"/>
            <w:vMerge w:val="continue"/>
            <w:tcBorders>
              <w:left w:val="single" w:color="auto" w:sz="4" w:space="0"/>
              <w:right w:val="single" w:color="auto" w:sz="4" w:space="0"/>
            </w:tcBorders>
            <w:vAlign w:val="center"/>
          </w:tcPr>
          <w:p w14:paraId="74CD6D5C">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continue"/>
            <w:tcBorders>
              <w:left w:val="nil"/>
              <w:right w:val="single" w:color="auto" w:sz="4" w:space="0"/>
            </w:tcBorders>
            <w:vAlign w:val="center"/>
          </w:tcPr>
          <w:p w14:paraId="3F9F6149">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2551" w:type="dxa"/>
            <w:tcBorders>
              <w:top w:val="single" w:color="auto" w:sz="4" w:space="0"/>
              <w:left w:val="nil"/>
              <w:bottom w:val="single" w:color="auto" w:sz="4" w:space="0"/>
              <w:right w:val="single" w:color="auto" w:sz="4" w:space="0"/>
            </w:tcBorders>
            <w:vAlign w:val="center"/>
          </w:tcPr>
          <w:p w14:paraId="622B217E">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无商业贿赂及无不正当竞争行为</w:t>
            </w:r>
          </w:p>
        </w:tc>
        <w:tc>
          <w:tcPr>
            <w:tcW w:w="5398" w:type="dxa"/>
            <w:tcBorders>
              <w:top w:val="single" w:color="auto" w:sz="4" w:space="0"/>
              <w:left w:val="nil"/>
              <w:bottom w:val="single" w:color="auto" w:sz="4" w:space="0"/>
              <w:right w:val="single" w:color="auto" w:sz="4" w:space="0"/>
            </w:tcBorders>
            <w:vAlign w:val="center"/>
          </w:tcPr>
          <w:p w14:paraId="60E0B55C">
            <w:pPr>
              <w:pageBreakBefore w:val="0"/>
              <w:widowControl w:val="0"/>
              <w:kinsoku/>
              <w:overflowPunct/>
              <w:topLinePunct w:val="0"/>
              <w:autoSpaceDE/>
              <w:autoSpaceDN/>
              <w:bidi w:val="0"/>
              <w:adjustRightInd/>
              <w:snapToGrid/>
              <w:spacing w:line="360" w:lineRule="auto"/>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供应商需提供无商业贿赂及无不正当竞争行为的承诺书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自行承诺）</w:t>
            </w:r>
            <w:r>
              <w:rPr>
                <w:rFonts w:hint="eastAsia" w:ascii="宋体" w:hAnsi="宋体" w:eastAsia="宋体" w:cs="宋体"/>
                <w:sz w:val="24"/>
                <w:szCs w:val="24"/>
                <w:lang w:eastAsia="zh-CN"/>
              </w:rPr>
              <w:t>；</w:t>
            </w:r>
          </w:p>
        </w:tc>
      </w:tr>
      <w:tr w14:paraId="2E97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526" w:type="dxa"/>
            <w:vMerge w:val="continue"/>
            <w:tcBorders>
              <w:left w:val="single" w:color="auto" w:sz="4" w:space="0"/>
              <w:right w:val="single" w:color="auto" w:sz="4" w:space="0"/>
            </w:tcBorders>
            <w:vAlign w:val="center"/>
          </w:tcPr>
          <w:p w14:paraId="5928DCFE">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continue"/>
            <w:tcBorders>
              <w:left w:val="nil"/>
              <w:right w:val="single" w:color="auto" w:sz="4" w:space="0"/>
            </w:tcBorders>
            <w:vAlign w:val="center"/>
          </w:tcPr>
          <w:p w14:paraId="490F0514">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2551" w:type="dxa"/>
            <w:tcBorders>
              <w:top w:val="single" w:color="auto" w:sz="4" w:space="0"/>
              <w:left w:val="nil"/>
              <w:bottom w:val="single" w:color="auto" w:sz="4" w:space="0"/>
              <w:right w:val="single" w:color="auto" w:sz="4" w:space="0"/>
            </w:tcBorders>
            <w:vAlign w:val="center"/>
          </w:tcPr>
          <w:p w14:paraId="0463608E">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无行贿犯罪记录</w:t>
            </w:r>
          </w:p>
        </w:tc>
        <w:tc>
          <w:tcPr>
            <w:tcW w:w="5398" w:type="dxa"/>
            <w:tcBorders>
              <w:top w:val="single" w:color="auto" w:sz="4" w:space="0"/>
              <w:left w:val="nil"/>
              <w:bottom w:val="single" w:color="auto" w:sz="4" w:space="0"/>
              <w:right w:val="single" w:color="auto" w:sz="4" w:space="0"/>
            </w:tcBorders>
            <w:vAlign w:val="center"/>
          </w:tcPr>
          <w:p w14:paraId="67BC81B5">
            <w:pPr>
              <w:pageBreakBefore w:val="0"/>
              <w:widowControl w:val="0"/>
              <w:kinsoku/>
              <w:overflowPunct/>
              <w:topLinePunct w:val="0"/>
              <w:autoSpaceDE/>
              <w:autoSpaceDN/>
              <w:bidi w:val="0"/>
              <w:adjustRightInd/>
              <w:snapToGrid/>
              <w:spacing w:line="360" w:lineRule="auto"/>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供应商出具无行贿犯罪记录，在中国裁判文书网自行查询或自行承诺（查询对象：企业、法定代表人）；</w:t>
            </w:r>
          </w:p>
        </w:tc>
      </w:tr>
      <w:tr w14:paraId="72B5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526" w:type="dxa"/>
            <w:vMerge w:val="continue"/>
            <w:tcBorders>
              <w:left w:val="single" w:color="auto" w:sz="4" w:space="0"/>
              <w:right w:val="single" w:color="auto" w:sz="4" w:space="0"/>
            </w:tcBorders>
            <w:vAlign w:val="center"/>
          </w:tcPr>
          <w:p w14:paraId="38355E43">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continue"/>
            <w:tcBorders>
              <w:left w:val="nil"/>
              <w:right w:val="single" w:color="auto" w:sz="4" w:space="0"/>
            </w:tcBorders>
            <w:vAlign w:val="center"/>
          </w:tcPr>
          <w:p w14:paraId="255FF2CC">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2551" w:type="dxa"/>
            <w:tcBorders>
              <w:top w:val="single" w:color="auto" w:sz="4" w:space="0"/>
              <w:left w:val="nil"/>
              <w:bottom w:val="single" w:color="auto" w:sz="4" w:space="0"/>
              <w:right w:val="single" w:color="auto" w:sz="4" w:space="0"/>
            </w:tcBorders>
            <w:vAlign w:val="center"/>
          </w:tcPr>
          <w:p w14:paraId="1E100A99">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无</w:t>
            </w:r>
            <w:r>
              <w:rPr>
                <w:rFonts w:hint="eastAsia" w:ascii="宋体" w:hAnsi="宋体" w:eastAsia="宋体" w:cs="宋体"/>
                <w:sz w:val="24"/>
                <w:szCs w:val="24"/>
                <w:lang w:val="zh-CN"/>
              </w:rPr>
              <w:t>重大违法记录</w:t>
            </w:r>
          </w:p>
        </w:tc>
        <w:tc>
          <w:tcPr>
            <w:tcW w:w="5398" w:type="dxa"/>
            <w:tcBorders>
              <w:top w:val="single" w:color="auto" w:sz="4" w:space="0"/>
              <w:left w:val="nil"/>
              <w:bottom w:val="single" w:color="auto" w:sz="4" w:space="0"/>
              <w:right w:val="single" w:color="auto" w:sz="4" w:space="0"/>
            </w:tcBorders>
            <w:vAlign w:val="center"/>
          </w:tcPr>
          <w:p w14:paraId="329145A3">
            <w:pPr>
              <w:pageBreakBefore w:val="0"/>
              <w:widowControl w:val="0"/>
              <w:kinsoku/>
              <w:overflowPunct/>
              <w:topLinePunct w:val="0"/>
              <w:autoSpaceDE/>
              <w:autoSpaceDN/>
              <w:bidi w:val="0"/>
              <w:adjustRightInd/>
              <w:snapToGrid/>
              <w:spacing w:line="360" w:lineRule="auto"/>
              <w:jc w:val="left"/>
              <w:textAlignment w:val="auto"/>
              <w:outlineLvl w:val="9"/>
              <w:rPr>
                <w:rFonts w:hint="eastAsia" w:ascii="宋体" w:hAnsi="宋体" w:eastAsia="宋体" w:cs="宋体"/>
                <w:sz w:val="24"/>
                <w:szCs w:val="24"/>
                <w:lang w:val="zh-CN"/>
              </w:rPr>
            </w:pPr>
            <w:r>
              <w:rPr>
                <w:rFonts w:hint="eastAsia" w:ascii="宋体" w:hAnsi="宋体" w:eastAsia="宋体" w:cs="宋体"/>
                <w:sz w:val="24"/>
                <w:szCs w:val="24"/>
              </w:rPr>
              <w:t>参加政府采购活动前三年内，在经营活动中没有重大违法记录</w:t>
            </w:r>
            <w:r>
              <w:rPr>
                <w:rFonts w:hint="eastAsia" w:ascii="宋体" w:hAnsi="宋体" w:eastAsia="宋体" w:cs="宋体"/>
                <w:sz w:val="24"/>
                <w:szCs w:val="24"/>
                <w:lang w:eastAsia="zh-CN"/>
              </w:rPr>
              <w:t>；</w:t>
            </w:r>
            <w:r>
              <w:rPr>
                <w:rFonts w:hint="eastAsia" w:ascii="宋体" w:hAnsi="宋体" w:eastAsia="宋体" w:cs="宋体"/>
                <w:sz w:val="24"/>
                <w:szCs w:val="24"/>
              </w:rPr>
              <w:t>（提供开标前三年内无重大违法记录的书面声明</w:t>
            </w:r>
            <w:r>
              <w:rPr>
                <w:rFonts w:hint="eastAsia" w:ascii="宋体" w:hAnsi="宋体" w:eastAsia="宋体" w:cs="宋体"/>
                <w:sz w:val="24"/>
                <w:szCs w:val="24"/>
                <w:lang w:eastAsia="zh-CN"/>
              </w:rPr>
              <w:t>）</w:t>
            </w:r>
          </w:p>
        </w:tc>
      </w:tr>
      <w:tr w14:paraId="5975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526" w:type="dxa"/>
            <w:vMerge w:val="continue"/>
            <w:tcBorders>
              <w:left w:val="single" w:color="auto" w:sz="4" w:space="0"/>
              <w:right w:val="single" w:color="auto" w:sz="4" w:space="0"/>
            </w:tcBorders>
            <w:vAlign w:val="center"/>
          </w:tcPr>
          <w:p w14:paraId="50E9D984">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continue"/>
            <w:tcBorders>
              <w:left w:val="nil"/>
              <w:bottom w:val="single" w:color="auto" w:sz="4" w:space="0"/>
              <w:right w:val="single" w:color="auto" w:sz="4" w:space="0"/>
            </w:tcBorders>
            <w:vAlign w:val="center"/>
          </w:tcPr>
          <w:p w14:paraId="569DB4B2">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2551" w:type="dxa"/>
            <w:tcBorders>
              <w:top w:val="single" w:color="auto" w:sz="4" w:space="0"/>
              <w:left w:val="nil"/>
              <w:bottom w:val="single" w:color="auto" w:sz="4" w:space="0"/>
              <w:right w:val="single" w:color="auto" w:sz="4" w:space="0"/>
            </w:tcBorders>
            <w:vAlign w:val="center"/>
          </w:tcPr>
          <w:p w14:paraId="1E99A5B7">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信用查询</w:t>
            </w:r>
          </w:p>
        </w:tc>
        <w:tc>
          <w:tcPr>
            <w:tcW w:w="5398" w:type="dxa"/>
            <w:tcBorders>
              <w:top w:val="single" w:color="auto" w:sz="4" w:space="0"/>
              <w:left w:val="nil"/>
              <w:bottom w:val="single" w:color="auto" w:sz="4" w:space="0"/>
              <w:right w:val="single" w:color="auto" w:sz="4" w:space="0"/>
            </w:tcBorders>
            <w:vAlign w:val="center"/>
          </w:tcPr>
          <w:p w14:paraId="5C7AE235">
            <w:pPr>
              <w:pageBreakBefore w:val="0"/>
              <w:widowControl w:val="0"/>
              <w:kinsoku/>
              <w:overflowPunct/>
              <w:topLinePunct w:val="0"/>
              <w:autoSpaceDE/>
              <w:autoSpaceDN/>
              <w:bidi w:val="0"/>
              <w:adjustRightInd/>
              <w:snapToGrid/>
              <w:spacing w:line="360" w:lineRule="auto"/>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根据《关于在政府采购活动中查询及使用信用记录有关问题的通知》(财库[2016]125号)和豫财购【2016】15号的规定，对列入失信被执行人、重大税收违法失信主体、政府采购严重违法失信行为记录名单的</w:t>
            </w:r>
            <w:r>
              <w:rPr>
                <w:rFonts w:hint="eastAsia" w:ascii="宋体" w:hAnsi="宋体" w:eastAsia="宋体" w:cs="宋体"/>
                <w:sz w:val="24"/>
                <w:szCs w:val="24"/>
                <w:lang w:eastAsia="zh-CN"/>
              </w:rPr>
              <w:t>供应商</w:t>
            </w:r>
            <w:r>
              <w:rPr>
                <w:rFonts w:hint="eastAsia" w:ascii="宋体" w:hAnsi="宋体" w:eastAsia="宋体" w:cs="宋体"/>
                <w:sz w:val="24"/>
                <w:szCs w:val="24"/>
              </w:rPr>
              <w:t>，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提供网站的查询结果截图，截图要显示查询时间，查询时间自本公告发布之日起</w:t>
            </w:r>
            <w:r>
              <w:rPr>
                <w:rFonts w:hint="eastAsia" w:ascii="宋体" w:hAnsi="宋体" w:eastAsia="宋体" w:cs="宋体"/>
                <w:sz w:val="24"/>
                <w:szCs w:val="24"/>
                <w:lang w:eastAsia="zh-CN"/>
              </w:rPr>
              <w:t>；</w:t>
            </w:r>
          </w:p>
        </w:tc>
      </w:tr>
      <w:tr w14:paraId="7FBB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526" w:type="dxa"/>
            <w:vMerge w:val="continue"/>
            <w:tcBorders>
              <w:left w:val="single" w:color="auto" w:sz="4" w:space="0"/>
              <w:right w:val="single" w:color="auto" w:sz="4" w:space="0"/>
            </w:tcBorders>
            <w:vAlign w:val="center"/>
          </w:tcPr>
          <w:p w14:paraId="2E91ABFC">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continue"/>
            <w:tcBorders>
              <w:left w:val="nil"/>
              <w:bottom w:val="single" w:color="auto" w:sz="4" w:space="0"/>
              <w:right w:val="single" w:color="auto" w:sz="4" w:space="0"/>
            </w:tcBorders>
            <w:vAlign w:val="center"/>
          </w:tcPr>
          <w:p w14:paraId="6BFBA505">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2551" w:type="dxa"/>
            <w:tcBorders>
              <w:top w:val="single" w:color="auto" w:sz="4" w:space="0"/>
              <w:left w:val="nil"/>
              <w:bottom w:val="single" w:color="auto" w:sz="4" w:space="0"/>
              <w:right w:val="single" w:color="auto" w:sz="4" w:space="0"/>
            </w:tcBorders>
            <w:shd w:val="clear" w:color="auto" w:fill="auto"/>
            <w:vAlign w:val="center"/>
          </w:tcPr>
          <w:p w14:paraId="1E628CED">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rPr>
              <w:t>“国家企业信用信息公示系统”查询结果</w:t>
            </w:r>
          </w:p>
        </w:tc>
        <w:tc>
          <w:tcPr>
            <w:tcW w:w="5398" w:type="dxa"/>
            <w:tcBorders>
              <w:top w:val="single" w:color="auto" w:sz="4" w:space="0"/>
              <w:left w:val="nil"/>
              <w:bottom w:val="single" w:color="auto" w:sz="4" w:space="0"/>
              <w:right w:val="single" w:color="auto" w:sz="4" w:space="0"/>
            </w:tcBorders>
            <w:shd w:val="clear" w:color="auto" w:fill="auto"/>
            <w:vAlign w:val="center"/>
          </w:tcPr>
          <w:p w14:paraId="7779140F">
            <w:pPr>
              <w:pageBreakBefore w:val="0"/>
              <w:widowControl w:val="0"/>
              <w:kinsoku/>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rPr>
              <w:t>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r>
              <w:rPr>
                <w:rFonts w:hint="eastAsia" w:ascii="宋体" w:hAnsi="宋体" w:eastAsia="宋体" w:cs="宋体"/>
                <w:sz w:val="24"/>
                <w:szCs w:val="24"/>
                <w:lang w:eastAsia="zh-CN"/>
              </w:rPr>
              <w:t>；</w:t>
            </w:r>
          </w:p>
        </w:tc>
      </w:tr>
      <w:tr w14:paraId="1791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526" w:type="dxa"/>
            <w:vMerge w:val="continue"/>
            <w:tcBorders>
              <w:left w:val="single" w:color="auto" w:sz="4" w:space="0"/>
              <w:right w:val="single" w:color="auto" w:sz="4" w:space="0"/>
            </w:tcBorders>
            <w:vAlign w:val="center"/>
          </w:tcPr>
          <w:p w14:paraId="053EBAB6">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continue"/>
            <w:tcBorders>
              <w:left w:val="nil"/>
              <w:bottom w:val="single" w:color="auto" w:sz="4" w:space="0"/>
              <w:right w:val="single" w:color="auto" w:sz="4" w:space="0"/>
            </w:tcBorders>
            <w:vAlign w:val="center"/>
          </w:tcPr>
          <w:p w14:paraId="0650BF8D">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2551" w:type="dxa"/>
            <w:tcBorders>
              <w:top w:val="single" w:color="auto" w:sz="4" w:space="0"/>
              <w:left w:val="nil"/>
              <w:bottom w:val="single" w:color="auto" w:sz="4" w:space="0"/>
              <w:right w:val="single" w:color="auto" w:sz="4" w:space="0"/>
            </w:tcBorders>
            <w:shd w:val="clear" w:color="auto" w:fill="auto"/>
            <w:vAlign w:val="center"/>
          </w:tcPr>
          <w:p w14:paraId="11DBA3B3">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其它</w:t>
            </w:r>
          </w:p>
        </w:tc>
        <w:tc>
          <w:tcPr>
            <w:tcW w:w="5398" w:type="dxa"/>
            <w:tcBorders>
              <w:top w:val="single" w:color="auto" w:sz="4" w:space="0"/>
              <w:left w:val="nil"/>
              <w:bottom w:val="single" w:color="auto" w:sz="4" w:space="0"/>
              <w:right w:val="single" w:color="auto" w:sz="4" w:space="0"/>
            </w:tcBorders>
            <w:shd w:val="clear" w:color="auto" w:fill="auto"/>
            <w:vAlign w:val="center"/>
          </w:tcPr>
          <w:p w14:paraId="52FBD758">
            <w:pPr>
              <w:pageBreakBefore w:val="0"/>
              <w:widowControl w:val="0"/>
              <w:kinsoku/>
              <w:overflowPunct/>
              <w:topLinePunct w:val="0"/>
              <w:autoSpaceDE/>
              <w:autoSpaceDN/>
              <w:bidi w:val="0"/>
              <w:adjustRightInd/>
              <w:snapToGrid/>
              <w:spacing w:line="360" w:lineRule="auto"/>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rPr>
              <w:t>本项目不接受联合体投标，提供非联合体投标承诺，格式自拟。</w:t>
            </w:r>
          </w:p>
        </w:tc>
      </w:tr>
      <w:tr w14:paraId="147D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526" w:type="dxa"/>
            <w:vMerge w:val="continue"/>
            <w:tcBorders>
              <w:left w:val="single" w:color="auto" w:sz="4" w:space="0"/>
              <w:right w:val="single" w:color="auto" w:sz="4" w:space="0"/>
            </w:tcBorders>
            <w:vAlign w:val="center"/>
          </w:tcPr>
          <w:p w14:paraId="71CD1CD9">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8936" w:type="dxa"/>
            <w:gridSpan w:val="3"/>
            <w:tcBorders>
              <w:top w:val="nil"/>
              <w:left w:val="nil"/>
              <w:bottom w:val="single" w:color="auto" w:sz="4" w:space="0"/>
              <w:right w:val="single" w:color="auto" w:sz="4" w:space="0"/>
            </w:tcBorders>
            <w:vAlign w:val="center"/>
          </w:tcPr>
          <w:p w14:paraId="6ABF816B">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资格</w:t>
            </w:r>
            <w:r>
              <w:rPr>
                <w:rFonts w:hint="eastAsia" w:ascii="宋体" w:hAnsi="宋体" w:eastAsia="宋体" w:cs="宋体"/>
                <w:sz w:val="24"/>
                <w:szCs w:val="24"/>
                <w:lang w:val="en-US" w:eastAsia="zh-CN"/>
              </w:rPr>
              <w:t>性</w:t>
            </w:r>
            <w:r>
              <w:rPr>
                <w:rFonts w:hint="eastAsia" w:ascii="宋体" w:hAnsi="宋体" w:eastAsia="宋体" w:cs="宋体"/>
                <w:sz w:val="24"/>
                <w:szCs w:val="24"/>
              </w:rPr>
              <w:t>评审以响应文件为准，其上传资料真实性由</w:t>
            </w:r>
            <w:r>
              <w:rPr>
                <w:rFonts w:hint="eastAsia" w:ascii="宋体" w:hAnsi="宋体" w:eastAsia="宋体" w:cs="宋体"/>
                <w:sz w:val="24"/>
                <w:szCs w:val="24"/>
                <w:lang w:val="en-US" w:eastAsia="zh-CN"/>
              </w:rPr>
              <w:t>供应商</w:t>
            </w:r>
            <w:r>
              <w:rPr>
                <w:rFonts w:hint="eastAsia" w:ascii="宋体" w:hAnsi="宋体" w:eastAsia="宋体" w:cs="宋体"/>
                <w:sz w:val="24"/>
                <w:szCs w:val="24"/>
              </w:rPr>
              <w:t>自行承担，同时，</w:t>
            </w:r>
            <w:r>
              <w:rPr>
                <w:rFonts w:hint="eastAsia" w:ascii="宋体" w:hAnsi="宋体" w:eastAsia="宋体" w:cs="宋体"/>
                <w:sz w:val="24"/>
                <w:szCs w:val="24"/>
                <w:lang w:val="en-US" w:eastAsia="zh-CN"/>
              </w:rPr>
              <w:t>供应商</w:t>
            </w:r>
            <w:r>
              <w:rPr>
                <w:rFonts w:hint="eastAsia" w:ascii="宋体" w:hAnsi="宋体" w:eastAsia="宋体" w:cs="宋体"/>
                <w:sz w:val="24"/>
                <w:szCs w:val="24"/>
              </w:rPr>
              <w:t>要完善主体库。</w:t>
            </w:r>
          </w:p>
        </w:tc>
      </w:tr>
      <w:tr w14:paraId="7480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26" w:type="dxa"/>
            <w:vMerge w:val="continue"/>
            <w:tcBorders>
              <w:left w:val="single" w:color="auto" w:sz="4" w:space="0"/>
              <w:right w:val="single" w:color="auto" w:sz="4" w:space="0"/>
            </w:tcBorders>
            <w:vAlign w:val="center"/>
          </w:tcPr>
          <w:p w14:paraId="7D184983">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restart"/>
            <w:tcBorders>
              <w:top w:val="nil"/>
              <w:left w:val="nil"/>
              <w:right w:val="single" w:color="auto" w:sz="4" w:space="0"/>
            </w:tcBorders>
            <w:vAlign w:val="center"/>
          </w:tcPr>
          <w:p w14:paraId="5FA73710">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实质性</w:t>
            </w:r>
            <w:r>
              <w:rPr>
                <w:rFonts w:hint="eastAsia" w:ascii="宋体" w:hAnsi="宋体" w:eastAsia="宋体" w:cs="宋体"/>
                <w:sz w:val="24"/>
                <w:szCs w:val="24"/>
              </w:rPr>
              <w:t>响应</w:t>
            </w:r>
          </w:p>
          <w:p w14:paraId="413DAA4B">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评审</w:t>
            </w:r>
          </w:p>
          <w:p w14:paraId="6E445085">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标准</w:t>
            </w:r>
          </w:p>
        </w:tc>
        <w:tc>
          <w:tcPr>
            <w:tcW w:w="2551" w:type="dxa"/>
            <w:tcBorders>
              <w:top w:val="single" w:color="auto" w:sz="4" w:space="0"/>
              <w:left w:val="nil"/>
              <w:bottom w:val="single" w:color="auto" w:sz="4" w:space="0"/>
              <w:right w:val="single" w:color="auto" w:sz="4" w:space="0"/>
            </w:tcBorders>
            <w:vAlign w:val="center"/>
          </w:tcPr>
          <w:p w14:paraId="428A3C9E">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磋商范围</w:t>
            </w:r>
          </w:p>
        </w:tc>
        <w:tc>
          <w:tcPr>
            <w:tcW w:w="5398" w:type="dxa"/>
            <w:tcBorders>
              <w:top w:val="single" w:color="auto" w:sz="4" w:space="0"/>
              <w:left w:val="nil"/>
              <w:bottom w:val="single" w:color="auto" w:sz="4" w:space="0"/>
              <w:right w:val="single" w:color="auto" w:sz="4" w:space="0"/>
            </w:tcBorders>
            <w:vAlign w:val="center"/>
          </w:tcPr>
          <w:p w14:paraId="75B20F4D">
            <w:pPr>
              <w:pageBreakBefore w:val="0"/>
              <w:widowControl w:val="0"/>
              <w:kinsoku/>
              <w:overflowPunct/>
              <w:topLinePunct w:val="0"/>
              <w:autoSpaceDE/>
              <w:autoSpaceDN/>
              <w:bidi w:val="0"/>
              <w:adjustRightInd/>
              <w:snapToGrid/>
              <w:spacing w:line="360" w:lineRule="auto"/>
              <w:ind w:firstLine="0" w:firstLineChars="0"/>
              <w:textAlignment w:val="auto"/>
              <w:outlineLvl w:val="9"/>
              <w:rPr>
                <w:rFonts w:hint="eastAsia" w:ascii="宋体" w:hAnsi="宋体" w:eastAsia="宋体" w:cs="宋体"/>
                <w:sz w:val="24"/>
                <w:szCs w:val="24"/>
                <w:highlight w:val="yellow"/>
              </w:rPr>
            </w:pPr>
            <w:r>
              <w:rPr>
                <w:rFonts w:hint="eastAsia" w:ascii="宋体" w:hAnsi="宋体" w:eastAsia="宋体" w:cs="宋体"/>
                <w:sz w:val="24"/>
                <w:szCs w:val="24"/>
              </w:rPr>
              <w:t>符合竞争性磋商文件</w:t>
            </w:r>
            <w:r>
              <w:rPr>
                <w:rFonts w:hint="eastAsia" w:ascii="宋体" w:hAnsi="宋体" w:eastAsia="宋体" w:cs="宋体"/>
                <w:sz w:val="24"/>
                <w:szCs w:val="24"/>
                <w:lang w:eastAsia="zh-CN"/>
              </w:rPr>
              <w:t>磋商</w:t>
            </w:r>
            <w:r>
              <w:rPr>
                <w:rFonts w:hint="eastAsia" w:ascii="宋体" w:hAnsi="宋体" w:eastAsia="宋体" w:cs="宋体"/>
                <w:sz w:val="24"/>
                <w:szCs w:val="24"/>
              </w:rPr>
              <w:t>范围要求</w:t>
            </w:r>
          </w:p>
        </w:tc>
      </w:tr>
      <w:tr w14:paraId="0937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26" w:type="dxa"/>
            <w:vMerge w:val="continue"/>
            <w:tcBorders>
              <w:left w:val="single" w:color="auto" w:sz="4" w:space="0"/>
              <w:right w:val="single" w:color="auto" w:sz="4" w:space="0"/>
            </w:tcBorders>
            <w:vAlign w:val="center"/>
          </w:tcPr>
          <w:p w14:paraId="2D4BD362">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continue"/>
            <w:tcBorders>
              <w:left w:val="nil"/>
              <w:right w:val="single" w:color="auto" w:sz="4" w:space="0"/>
            </w:tcBorders>
            <w:vAlign w:val="center"/>
          </w:tcPr>
          <w:p w14:paraId="7B2A567D">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2551" w:type="dxa"/>
            <w:tcBorders>
              <w:top w:val="single" w:color="auto" w:sz="4" w:space="0"/>
              <w:left w:val="nil"/>
              <w:bottom w:val="single" w:color="auto" w:sz="4" w:space="0"/>
              <w:right w:val="single" w:color="auto" w:sz="4" w:space="0"/>
            </w:tcBorders>
            <w:vAlign w:val="center"/>
          </w:tcPr>
          <w:p w14:paraId="313D3A02">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供货期</w:t>
            </w:r>
          </w:p>
        </w:tc>
        <w:tc>
          <w:tcPr>
            <w:tcW w:w="5398" w:type="dxa"/>
            <w:tcBorders>
              <w:top w:val="single" w:color="auto" w:sz="4" w:space="0"/>
              <w:left w:val="nil"/>
              <w:bottom w:val="single" w:color="auto" w:sz="4" w:space="0"/>
              <w:right w:val="single" w:color="auto" w:sz="4" w:space="0"/>
            </w:tcBorders>
            <w:vAlign w:val="center"/>
          </w:tcPr>
          <w:p w14:paraId="3448D8EE">
            <w:pPr>
              <w:pageBreakBefore w:val="0"/>
              <w:widowControl w:val="0"/>
              <w:kinsoku/>
              <w:overflowPunct/>
              <w:topLinePunct w:val="0"/>
              <w:autoSpaceDE/>
              <w:autoSpaceDN/>
              <w:bidi w:val="0"/>
              <w:adjustRightInd/>
              <w:snapToGrid/>
              <w:spacing w:line="360" w:lineRule="auto"/>
              <w:ind w:firstLine="0" w:firstLineChars="0"/>
              <w:textAlignment w:val="auto"/>
              <w:outlineLvl w:val="9"/>
              <w:rPr>
                <w:rFonts w:hint="eastAsia" w:ascii="宋体" w:hAnsi="宋体" w:eastAsia="宋体" w:cs="宋体"/>
                <w:sz w:val="24"/>
                <w:szCs w:val="24"/>
                <w:lang w:val="zh-CN"/>
              </w:rPr>
            </w:pPr>
            <w:r>
              <w:rPr>
                <w:rFonts w:hint="eastAsia" w:ascii="宋体" w:hAnsi="宋体" w:eastAsia="宋体" w:cs="宋体"/>
                <w:sz w:val="24"/>
                <w:szCs w:val="24"/>
              </w:rPr>
              <w:t>自合同签订之日起</w:t>
            </w:r>
            <w:r>
              <w:rPr>
                <w:rFonts w:hint="eastAsia" w:ascii="宋体" w:hAnsi="宋体" w:eastAsia="宋体" w:cs="宋体"/>
                <w:sz w:val="24"/>
                <w:szCs w:val="24"/>
                <w:lang w:val="en-US" w:eastAsia="zh-CN"/>
              </w:rPr>
              <w:t>20</w:t>
            </w:r>
            <w:r>
              <w:rPr>
                <w:rFonts w:hint="eastAsia" w:ascii="宋体" w:hAnsi="宋体" w:eastAsia="宋体" w:cs="宋体"/>
                <w:sz w:val="24"/>
                <w:szCs w:val="24"/>
              </w:rPr>
              <w:t>日历天内</w:t>
            </w:r>
          </w:p>
        </w:tc>
      </w:tr>
      <w:tr w14:paraId="2C90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26" w:type="dxa"/>
            <w:vMerge w:val="continue"/>
            <w:tcBorders>
              <w:left w:val="single" w:color="auto" w:sz="4" w:space="0"/>
              <w:right w:val="single" w:color="auto" w:sz="4" w:space="0"/>
            </w:tcBorders>
            <w:vAlign w:val="center"/>
          </w:tcPr>
          <w:p w14:paraId="459E748B">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continue"/>
            <w:tcBorders>
              <w:left w:val="nil"/>
              <w:right w:val="single" w:color="auto" w:sz="4" w:space="0"/>
            </w:tcBorders>
            <w:vAlign w:val="center"/>
          </w:tcPr>
          <w:p w14:paraId="6D7E6865">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2551" w:type="dxa"/>
            <w:tcBorders>
              <w:top w:val="single" w:color="auto" w:sz="4" w:space="0"/>
              <w:left w:val="nil"/>
              <w:bottom w:val="single" w:color="auto" w:sz="4" w:space="0"/>
              <w:right w:val="single" w:color="auto" w:sz="4" w:space="0"/>
            </w:tcBorders>
            <w:shd w:val="clear" w:color="auto" w:fill="auto"/>
            <w:vAlign w:val="center"/>
          </w:tcPr>
          <w:p w14:paraId="63AD4DF7">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rPr>
              <w:t>质量要求</w:t>
            </w:r>
          </w:p>
        </w:tc>
        <w:tc>
          <w:tcPr>
            <w:tcW w:w="5398" w:type="dxa"/>
            <w:tcBorders>
              <w:top w:val="single" w:color="auto" w:sz="4" w:space="0"/>
              <w:left w:val="nil"/>
              <w:bottom w:val="single" w:color="auto" w:sz="4" w:space="0"/>
              <w:right w:val="single" w:color="auto" w:sz="4" w:space="0"/>
            </w:tcBorders>
            <w:shd w:val="clear" w:color="auto" w:fill="auto"/>
            <w:vAlign w:val="center"/>
          </w:tcPr>
          <w:p w14:paraId="0B4356F2">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kern w:val="2"/>
                <w:sz w:val="24"/>
                <w:szCs w:val="24"/>
                <w:lang w:val="zh-CN" w:eastAsia="zh-CN" w:bidi="ar-SA"/>
              </w:rPr>
            </w:pPr>
            <w:r>
              <w:rPr>
                <w:rFonts w:hint="eastAsia" w:ascii="宋体" w:hAnsi="宋体" w:eastAsia="宋体" w:cs="宋体"/>
                <w:sz w:val="24"/>
                <w:szCs w:val="24"/>
              </w:rPr>
              <w:t>符合国家及行业标准并满足采购人使用要求</w:t>
            </w:r>
          </w:p>
        </w:tc>
      </w:tr>
      <w:tr w14:paraId="36AA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26" w:type="dxa"/>
            <w:vMerge w:val="continue"/>
            <w:tcBorders>
              <w:left w:val="single" w:color="auto" w:sz="4" w:space="0"/>
              <w:right w:val="single" w:color="auto" w:sz="4" w:space="0"/>
            </w:tcBorders>
            <w:vAlign w:val="center"/>
          </w:tcPr>
          <w:p w14:paraId="6B0549AB">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continue"/>
            <w:tcBorders>
              <w:left w:val="nil"/>
              <w:right w:val="single" w:color="auto" w:sz="4" w:space="0"/>
            </w:tcBorders>
            <w:vAlign w:val="center"/>
          </w:tcPr>
          <w:p w14:paraId="78A9F671">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2551" w:type="dxa"/>
            <w:tcBorders>
              <w:top w:val="single" w:color="auto" w:sz="4" w:space="0"/>
              <w:left w:val="nil"/>
              <w:bottom w:val="single" w:color="auto" w:sz="4" w:space="0"/>
              <w:right w:val="single" w:color="auto" w:sz="4" w:space="0"/>
            </w:tcBorders>
            <w:vAlign w:val="center"/>
          </w:tcPr>
          <w:p w14:paraId="61C6FC2A">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质保期</w:t>
            </w:r>
          </w:p>
        </w:tc>
        <w:tc>
          <w:tcPr>
            <w:tcW w:w="5398" w:type="dxa"/>
            <w:tcBorders>
              <w:top w:val="single" w:color="auto" w:sz="4" w:space="0"/>
              <w:left w:val="nil"/>
              <w:bottom w:val="single" w:color="auto" w:sz="4" w:space="0"/>
              <w:right w:val="single" w:color="auto" w:sz="4" w:space="0"/>
            </w:tcBorders>
            <w:vAlign w:val="center"/>
          </w:tcPr>
          <w:p w14:paraId="46B617B5">
            <w:pPr>
              <w:pageBreakBefore w:val="0"/>
              <w:widowControl w:val="0"/>
              <w:kinsoku/>
              <w:overflowPunct/>
              <w:topLinePunct w:val="0"/>
              <w:autoSpaceDE/>
              <w:autoSpaceDN/>
              <w:bidi w:val="0"/>
              <w:adjustRightInd/>
              <w:snapToGrid/>
              <w:spacing w:line="360" w:lineRule="auto"/>
              <w:ind w:firstLine="0" w:firstLineChars="0"/>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一年</w:t>
            </w:r>
          </w:p>
        </w:tc>
      </w:tr>
      <w:tr w14:paraId="585C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526" w:type="dxa"/>
            <w:vMerge w:val="continue"/>
            <w:tcBorders>
              <w:left w:val="single" w:color="auto" w:sz="4" w:space="0"/>
              <w:right w:val="single" w:color="auto" w:sz="4" w:space="0"/>
            </w:tcBorders>
            <w:vAlign w:val="center"/>
          </w:tcPr>
          <w:p w14:paraId="66F5D930">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continue"/>
            <w:tcBorders>
              <w:left w:val="nil"/>
              <w:right w:val="single" w:color="auto" w:sz="4" w:space="0"/>
            </w:tcBorders>
            <w:vAlign w:val="center"/>
          </w:tcPr>
          <w:p w14:paraId="146B78B6">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2551" w:type="dxa"/>
            <w:tcBorders>
              <w:top w:val="single" w:color="auto" w:sz="4" w:space="0"/>
              <w:left w:val="nil"/>
              <w:bottom w:val="single" w:color="auto" w:sz="4" w:space="0"/>
              <w:right w:val="single" w:color="auto" w:sz="4" w:space="0"/>
            </w:tcBorders>
            <w:shd w:val="clear" w:color="auto" w:fill="auto"/>
            <w:vAlign w:val="center"/>
          </w:tcPr>
          <w:p w14:paraId="62957314">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磋商</w:t>
            </w:r>
            <w:r>
              <w:rPr>
                <w:rFonts w:hint="eastAsia" w:ascii="宋体" w:hAnsi="宋体" w:eastAsia="宋体" w:cs="宋体"/>
                <w:sz w:val="24"/>
                <w:szCs w:val="24"/>
              </w:rPr>
              <w:t>有效期</w:t>
            </w:r>
          </w:p>
        </w:tc>
        <w:tc>
          <w:tcPr>
            <w:tcW w:w="5398" w:type="dxa"/>
            <w:tcBorders>
              <w:top w:val="single" w:color="auto" w:sz="4" w:space="0"/>
              <w:left w:val="nil"/>
              <w:bottom w:val="single" w:color="auto" w:sz="4" w:space="0"/>
              <w:right w:val="single" w:color="auto" w:sz="4" w:space="0"/>
            </w:tcBorders>
            <w:shd w:val="clear" w:color="auto" w:fill="auto"/>
            <w:vAlign w:val="center"/>
          </w:tcPr>
          <w:p w14:paraId="15B85AA3">
            <w:pPr>
              <w:pageBreakBefore w:val="0"/>
              <w:widowControl w:val="0"/>
              <w:kinsoku/>
              <w:overflowPunct/>
              <w:topLinePunct w:val="0"/>
              <w:autoSpaceDE/>
              <w:autoSpaceDN/>
              <w:bidi w:val="0"/>
              <w:adjustRightInd/>
              <w:snapToGrid/>
              <w:spacing w:line="360" w:lineRule="auto"/>
              <w:ind w:firstLine="0" w:firstLineChars="0"/>
              <w:textAlignment w:val="auto"/>
              <w:outlineLvl w:val="9"/>
              <w:rPr>
                <w:rFonts w:hint="eastAsia" w:ascii="宋体" w:hAnsi="宋体" w:eastAsia="宋体" w:cs="宋体"/>
                <w:kern w:val="2"/>
                <w:sz w:val="24"/>
                <w:szCs w:val="24"/>
                <w:lang w:val="zh-CN" w:eastAsia="zh-CN" w:bidi="ar-SA"/>
              </w:rPr>
            </w:pPr>
            <w:r>
              <w:rPr>
                <w:rFonts w:hint="eastAsia" w:ascii="宋体" w:hAnsi="宋体" w:eastAsia="宋体" w:cs="宋体"/>
                <w:sz w:val="24"/>
                <w:szCs w:val="24"/>
              </w:rPr>
              <w:t>自磋商截止之日起60日历天</w:t>
            </w:r>
          </w:p>
        </w:tc>
      </w:tr>
      <w:tr w14:paraId="66AD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526" w:type="dxa"/>
            <w:vMerge w:val="continue"/>
            <w:tcBorders>
              <w:left w:val="single" w:color="auto" w:sz="4" w:space="0"/>
              <w:right w:val="single" w:color="auto" w:sz="4" w:space="0"/>
            </w:tcBorders>
            <w:vAlign w:val="center"/>
          </w:tcPr>
          <w:p w14:paraId="01EF0033">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987" w:type="dxa"/>
            <w:vMerge w:val="continue"/>
            <w:tcBorders>
              <w:left w:val="nil"/>
              <w:right w:val="single" w:color="auto" w:sz="4" w:space="0"/>
            </w:tcBorders>
            <w:vAlign w:val="center"/>
          </w:tcPr>
          <w:p w14:paraId="0EC8C29B">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2551" w:type="dxa"/>
            <w:tcBorders>
              <w:top w:val="single" w:color="auto" w:sz="4" w:space="0"/>
              <w:left w:val="nil"/>
              <w:bottom w:val="single" w:color="auto" w:sz="4" w:space="0"/>
              <w:right w:val="single" w:color="auto" w:sz="4" w:space="0"/>
            </w:tcBorders>
            <w:vAlign w:val="center"/>
          </w:tcPr>
          <w:p w14:paraId="071F7CD8">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kern w:val="0"/>
                <w:sz w:val="24"/>
                <w:szCs w:val="24"/>
                <w:lang w:eastAsia="zh-CN"/>
              </w:rPr>
              <w:t>磋商</w:t>
            </w:r>
            <w:r>
              <w:rPr>
                <w:rFonts w:hint="eastAsia" w:ascii="宋体" w:hAnsi="宋体" w:eastAsia="宋体" w:cs="宋体"/>
                <w:kern w:val="0"/>
                <w:sz w:val="24"/>
                <w:szCs w:val="24"/>
              </w:rPr>
              <w:t>报价</w:t>
            </w:r>
          </w:p>
        </w:tc>
        <w:tc>
          <w:tcPr>
            <w:tcW w:w="5398" w:type="dxa"/>
            <w:tcBorders>
              <w:top w:val="single" w:color="auto" w:sz="4" w:space="0"/>
              <w:left w:val="nil"/>
              <w:bottom w:val="single" w:color="auto" w:sz="4" w:space="0"/>
              <w:right w:val="single" w:color="auto" w:sz="4" w:space="0"/>
            </w:tcBorders>
            <w:vAlign w:val="center"/>
          </w:tcPr>
          <w:p w14:paraId="75CCDC8E">
            <w:pPr>
              <w:pageBreakBefore w:val="0"/>
              <w:widowControl w:val="0"/>
              <w:kinsoku/>
              <w:overflowPunct/>
              <w:topLinePunct w:val="0"/>
              <w:autoSpaceDE/>
              <w:autoSpaceDN/>
              <w:bidi w:val="0"/>
              <w:adjustRightInd/>
              <w:snapToGrid/>
              <w:spacing w:line="360" w:lineRule="auto"/>
              <w:ind w:firstLine="0" w:firstLineChars="0"/>
              <w:textAlignment w:val="auto"/>
              <w:outlineLvl w:val="9"/>
              <w:rPr>
                <w:rFonts w:hint="eastAsia" w:ascii="宋体" w:hAnsi="宋体" w:eastAsia="宋体" w:cs="宋体"/>
                <w:sz w:val="24"/>
                <w:szCs w:val="24"/>
                <w:lang w:val="zh-CN"/>
              </w:rPr>
            </w:pPr>
            <w:r>
              <w:rPr>
                <w:rFonts w:hint="eastAsia" w:ascii="宋体" w:hAnsi="宋体" w:eastAsia="宋体" w:cs="宋体"/>
                <w:kern w:val="0"/>
                <w:sz w:val="24"/>
                <w:szCs w:val="24"/>
                <w:lang w:eastAsia="zh-CN"/>
              </w:rPr>
              <w:t>供应商磋商</w:t>
            </w:r>
            <w:r>
              <w:rPr>
                <w:rFonts w:hint="eastAsia" w:ascii="宋体" w:hAnsi="宋体" w:eastAsia="宋体" w:cs="宋体"/>
                <w:kern w:val="0"/>
                <w:sz w:val="24"/>
                <w:szCs w:val="24"/>
              </w:rPr>
              <w:t>报价不得高于</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公布的数额，否则其投标将被否决。</w:t>
            </w:r>
          </w:p>
        </w:tc>
      </w:tr>
    </w:tbl>
    <w:p w14:paraId="1460E608">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p w14:paraId="7AF4721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二、详细审查：</w:t>
      </w:r>
    </w:p>
    <w:p w14:paraId="0CF3063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bookmarkStart w:id="47" w:name="_Toc517179004"/>
      <w:bookmarkEnd w:id="47"/>
      <w:bookmarkStart w:id="48" w:name="_Toc512514899"/>
      <w:bookmarkEnd w:id="48"/>
      <w:bookmarkStart w:id="49" w:name="_Toc528078063"/>
      <w:bookmarkEnd w:id="49"/>
      <w:bookmarkStart w:id="50" w:name="_Toc16770583"/>
      <w:bookmarkEnd w:id="50"/>
      <w:bookmarkStart w:id="51" w:name="_Toc13219"/>
      <w:bookmarkStart w:id="52" w:name="_Toc43302814"/>
      <w:r>
        <w:rPr>
          <w:rFonts w:hint="eastAsia" w:ascii="宋体" w:hAnsi="宋体" w:eastAsia="宋体" w:cs="宋体"/>
          <w:sz w:val="24"/>
          <w:szCs w:val="24"/>
        </w:rPr>
        <w:t>评分标准</w:t>
      </w:r>
      <w:bookmarkEnd w:id="51"/>
      <w:bookmarkEnd w:id="52"/>
    </w:p>
    <w:p w14:paraId="6FBDFBD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分值构成(总分100分) 报价分：30分；技术分：</w:t>
      </w:r>
      <w:r>
        <w:rPr>
          <w:rFonts w:hint="eastAsia" w:ascii="宋体" w:hAnsi="宋体" w:eastAsia="宋体" w:cs="宋体"/>
          <w:sz w:val="24"/>
          <w:szCs w:val="24"/>
          <w:lang w:val="en-US" w:eastAsia="zh-CN"/>
        </w:rPr>
        <w:t>50</w:t>
      </w:r>
      <w:r>
        <w:rPr>
          <w:rFonts w:hint="eastAsia" w:ascii="宋体" w:hAnsi="宋体" w:eastAsia="宋体" w:cs="宋体"/>
          <w:sz w:val="24"/>
          <w:szCs w:val="24"/>
        </w:rPr>
        <w:t>分；商务分：</w:t>
      </w:r>
      <w:r>
        <w:rPr>
          <w:rFonts w:hint="eastAsia" w:ascii="宋体" w:hAnsi="宋体" w:eastAsia="宋体" w:cs="宋体"/>
          <w:sz w:val="24"/>
          <w:szCs w:val="24"/>
          <w:lang w:val="en-US" w:eastAsia="zh-CN"/>
        </w:rPr>
        <w:t>20</w:t>
      </w:r>
      <w:r>
        <w:rPr>
          <w:rFonts w:hint="eastAsia" w:ascii="宋体" w:hAnsi="宋体" w:eastAsia="宋体" w:cs="宋体"/>
          <w:sz w:val="24"/>
          <w:szCs w:val="24"/>
        </w:rPr>
        <w:t>分；</w:t>
      </w:r>
    </w:p>
    <w:p w14:paraId="35F42E9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综合得分按公式计算：综合得分=报价得分＋技术得分＋商务得分；</w:t>
      </w:r>
    </w:p>
    <w:p w14:paraId="4F0602E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供应商综合得分按下列公式计算（计算分值均保留两位小数）；</w:t>
      </w:r>
    </w:p>
    <w:tbl>
      <w:tblPr>
        <w:tblStyle w:val="11"/>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1452"/>
        <w:gridCol w:w="7215"/>
      </w:tblGrid>
      <w:tr w14:paraId="0625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2" w:type="dxa"/>
            <w:tcBorders>
              <w:top w:val="single" w:color="auto" w:sz="4" w:space="0"/>
              <w:left w:val="single" w:color="auto" w:sz="4" w:space="0"/>
              <w:bottom w:val="single" w:color="auto" w:sz="4" w:space="0"/>
              <w:right w:val="single" w:color="auto" w:sz="4" w:space="0"/>
            </w:tcBorders>
            <w:vAlign w:val="center"/>
          </w:tcPr>
          <w:p w14:paraId="4853DED2">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评分项</w:t>
            </w:r>
          </w:p>
        </w:tc>
        <w:tc>
          <w:tcPr>
            <w:tcW w:w="1452" w:type="dxa"/>
            <w:tcBorders>
              <w:top w:val="single" w:color="auto" w:sz="4" w:space="0"/>
              <w:left w:val="nil"/>
              <w:bottom w:val="single" w:color="auto" w:sz="4" w:space="0"/>
              <w:right w:val="single" w:color="auto" w:sz="4" w:space="0"/>
            </w:tcBorders>
          </w:tcPr>
          <w:p w14:paraId="4E00B9C4">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评审内容</w:t>
            </w:r>
          </w:p>
          <w:p w14:paraId="0FAD9298">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分值</w:t>
            </w:r>
          </w:p>
        </w:tc>
        <w:tc>
          <w:tcPr>
            <w:tcW w:w="7215" w:type="dxa"/>
            <w:tcBorders>
              <w:top w:val="single" w:color="auto" w:sz="4" w:space="0"/>
              <w:left w:val="nil"/>
              <w:bottom w:val="single" w:color="auto" w:sz="4" w:space="0"/>
              <w:right w:val="single" w:color="auto" w:sz="4" w:space="0"/>
            </w:tcBorders>
            <w:vAlign w:val="center"/>
          </w:tcPr>
          <w:p w14:paraId="641D3827">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评分准则</w:t>
            </w:r>
          </w:p>
        </w:tc>
      </w:tr>
      <w:tr w14:paraId="6032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292" w:type="dxa"/>
            <w:tcBorders>
              <w:top w:val="single" w:color="auto" w:sz="4" w:space="0"/>
              <w:left w:val="single" w:color="auto" w:sz="4" w:space="0"/>
              <w:bottom w:val="single" w:color="auto" w:sz="4" w:space="0"/>
              <w:right w:val="single" w:color="auto" w:sz="4" w:space="0"/>
            </w:tcBorders>
            <w:vAlign w:val="center"/>
          </w:tcPr>
          <w:p w14:paraId="49040166">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报价</w:t>
            </w:r>
          </w:p>
          <w:p w14:paraId="3599E508">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（30分）</w:t>
            </w:r>
          </w:p>
        </w:tc>
        <w:tc>
          <w:tcPr>
            <w:tcW w:w="1452" w:type="dxa"/>
            <w:tcBorders>
              <w:top w:val="single" w:color="auto" w:sz="4" w:space="0"/>
              <w:left w:val="nil"/>
              <w:bottom w:val="single" w:color="000000" w:sz="4" w:space="0"/>
              <w:right w:val="single" w:color="auto" w:sz="4" w:space="0"/>
            </w:tcBorders>
            <w:vAlign w:val="center"/>
          </w:tcPr>
          <w:p w14:paraId="38235218">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投标报价</w:t>
            </w:r>
          </w:p>
          <w:p w14:paraId="69183F48">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（30分）</w:t>
            </w:r>
          </w:p>
        </w:tc>
        <w:tc>
          <w:tcPr>
            <w:tcW w:w="7215" w:type="dxa"/>
            <w:tcBorders>
              <w:top w:val="single" w:color="auto" w:sz="4" w:space="0"/>
              <w:left w:val="nil"/>
              <w:bottom w:val="single" w:color="auto" w:sz="4" w:space="0"/>
              <w:right w:val="single" w:color="auto" w:sz="4" w:space="0"/>
            </w:tcBorders>
          </w:tcPr>
          <w:p w14:paraId="31720A27">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根据得分计算公式计算供应商得分。取满足磋商文件要求的所有报价中最低投标报价为评标基准价。计算公式如下：投标价格得分=投标基准价/有效投标报价×30%×100</w:t>
            </w:r>
          </w:p>
          <w:p w14:paraId="675419EE">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价格扣除：投标供应商为中小微企业的，对所投标的小微企业制造的产品的价格给予20%的扣除，用扣除后的价格参与评审。所投小微企业产品报价=所投小微企业产品报价合计×（1-20%）</w:t>
            </w:r>
          </w:p>
          <w:p w14:paraId="714272EC">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价格扣除：1、投标供应商为中小微企业的（监狱企业/残疾人福利性企业视同小型、微型企业），对所投标的小型和微型企业制造的产品的价格给予20%的扣除，用扣除后的价格参与评审。参加投标的中小微企业，应当按照《政府采购促进中小企业发展暂行办法》（财库〔2011〕181号）的规定提供《中小企业声明函》（中小企业划型标准详见《关于印发中小企业划型标准规定的通知》工信部联企业〔2011〕300号）。 投标供应商为大型企业的不适用本款规定。</w:t>
            </w:r>
          </w:p>
          <w:p w14:paraId="1D0EF129">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根据财政部司法部《关于政府采购支持监狱企业发展有关问题的通知》（财库〔2014〕68号）规定，本项目对监狱企业作为投标供应商所提供的本企业生产的产品的价格给予20%的扣除。监狱企业，应当提供由省级以上监狱管理局、戒毒管理局（含新疆生产建设兵团）出具的属于监狱企业的证明文件。</w:t>
            </w:r>
          </w:p>
          <w:p w14:paraId="387EDFE7">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3、参加政府采购活动的残疾人福利性单位应当提供《残疾人福利性单位声明函》，未填写残疾人福利性单位声明函的在评标过程中不予认可。</w:t>
            </w:r>
          </w:p>
          <w:p w14:paraId="5962B5EB">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lang w:val="en-US" w:eastAsia="zh-CN"/>
              </w:rPr>
              <w:t>注：评标委员会认为供应商的报价明显低于其他通过符合性审查供应商的的报价，有可能影响产品质量或者不能诚信履约的，应当要求其在评标现场合理的时间内提供书面说明，必要时提交相关证明材料；供应商不能证明其报价合理性的，评标委员会应当将其作为无效报价处理。</w:t>
            </w:r>
          </w:p>
        </w:tc>
      </w:tr>
      <w:tr w14:paraId="6C7D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1292" w:type="dxa"/>
            <w:vMerge w:val="restart"/>
            <w:tcBorders>
              <w:top w:val="single" w:color="auto" w:sz="4" w:space="0"/>
              <w:left w:val="single" w:color="auto" w:sz="4" w:space="0"/>
              <w:right w:val="single" w:color="000000" w:sz="4" w:space="0"/>
            </w:tcBorders>
            <w:vAlign w:val="center"/>
          </w:tcPr>
          <w:p w14:paraId="2CB01DE6">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技术标</w:t>
            </w:r>
          </w:p>
          <w:p w14:paraId="7A22E392">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50</w:t>
            </w:r>
            <w:r>
              <w:rPr>
                <w:rFonts w:hint="eastAsia" w:ascii="宋体" w:hAnsi="宋体" w:eastAsia="宋体" w:cs="宋体"/>
                <w:sz w:val="24"/>
                <w:szCs w:val="24"/>
              </w:rPr>
              <w:t>分）</w:t>
            </w:r>
          </w:p>
        </w:tc>
        <w:tc>
          <w:tcPr>
            <w:tcW w:w="1452" w:type="dxa"/>
            <w:tcBorders>
              <w:top w:val="single" w:color="000000" w:sz="4" w:space="0"/>
              <w:left w:val="single" w:color="000000" w:sz="4" w:space="0"/>
              <w:bottom w:val="single" w:color="000000" w:sz="4" w:space="0"/>
              <w:right w:val="single" w:color="000000" w:sz="4" w:space="0"/>
            </w:tcBorders>
            <w:vAlign w:val="center"/>
          </w:tcPr>
          <w:p w14:paraId="40938F91">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技术参数</w:t>
            </w:r>
          </w:p>
          <w:p w14:paraId="16427494">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kern w:val="0"/>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0-20</w:t>
            </w:r>
            <w:r>
              <w:rPr>
                <w:rFonts w:hint="eastAsia" w:ascii="宋体" w:hAnsi="宋体" w:eastAsia="宋体" w:cs="宋体"/>
                <w:sz w:val="24"/>
                <w:szCs w:val="24"/>
                <w:highlight w:val="none"/>
              </w:rPr>
              <w:t>分）</w:t>
            </w:r>
          </w:p>
        </w:tc>
        <w:tc>
          <w:tcPr>
            <w:tcW w:w="7215" w:type="dxa"/>
            <w:tcBorders>
              <w:top w:val="single" w:color="auto" w:sz="4" w:space="0"/>
              <w:left w:val="single" w:color="000000" w:sz="4" w:space="0"/>
              <w:bottom w:val="single" w:color="auto" w:sz="4" w:space="0"/>
              <w:right w:val="single" w:color="auto" w:sz="4" w:space="0"/>
            </w:tcBorders>
            <w:vAlign w:val="center"/>
          </w:tcPr>
          <w:p w14:paraId="3A954FEA">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kern w:val="0"/>
                <w:sz w:val="24"/>
                <w:szCs w:val="24"/>
                <w:highlight w:val="none"/>
              </w:rPr>
            </w:pPr>
            <w:r>
              <w:rPr>
                <w:rFonts w:hint="eastAsia" w:ascii="宋体" w:hAnsi="宋体" w:eastAsia="宋体" w:cs="宋体"/>
                <w:sz w:val="24"/>
                <w:szCs w:val="24"/>
                <w:highlight w:val="none"/>
                <w:lang w:val="en-US" w:eastAsia="en-US"/>
              </w:rPr>
              <w:t>供应商所投产品完全满足技术参数，无技术偏离的得满分</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lang w:val="en-US" w:eastAsia="en-US"/>
              </w:rPr>
              <w:t>分；若</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lang w:val="en-US" w:eastAsia="en-US"/>
              </w:rPr>
              <w:t>文件与</w:t>
            </w:r>
            <w:r>
              <w:rPr>
                <w:rFonts w:hint="eastAsia" w:ascii="宋体" w:hAnsi="宋体" w:eastAsia="宋体" w:cs="宋体"/>
                <w:sz w:val="24"/>
                <w:szCs w:val="24"/>
                <w:highlight w:val="none"/>
                <w:lang w:val="en-US" w:eastAsia="zh-CN"/>
              </w:rPr>
              <w:t>磋商文件</w:t>
            </w:r>
            <w:r>
              <w:rPr>
                <w:rFonts w:hint="eastAsia" w:ascii="宋体" w:hAnsi="宋体" w:eastAsia="宋体" w:cs="宋体"/>
                <w:sz w:val="24"/>
                <w:szCs w:val="24"/>
                <w:highlight w:val="none"/>
                <w:lang w:val="en-US" w:eastAsia="en-US"/>
              </w:rPr>
              <w:t>技术参数要求有负偏离的，则本项为0分</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val="en-US" w:eastAsia="en-US"/>
              </w:rPr>
              <w:t>供应商所投产品均满足技术参数并出现正偏离的，每出现一项正偏离加1分，最多加5分（须提供技术参数正偏离的证明材料）。</w:t>
            </w:r>
          </w:p>
        </w:tc>
      </w:tr>
      <w:tr w14:paraId="6A00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1292" w:type="dxa"/>
            <w:vMerge w:val="continue"/>
            <w:tcBorders>
              <w:left w:val="single" w:color="auto" w:sz="4" w:space="0"/>
              <w:right w:val="single" w:color="auto" w:sz="4" w:space="0"/>
            </w:tcBorders>
            <w:vAlign w:val="center"/>
          </w:tcPr>
          <w:p w14:paraId="4D958D4D">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1452" w:type="dxa"/>
            <w:tcBorders>
              <w:top w:val="single" w:color="000000" w:sz="4" w:space="0"/>
              <w:left w:val="nil"/>
              <w:bottom w:val="single" w:color="auto" w:sz="4" w:space="0"/>
              <w:right w:val="single" w:color="auto" w:sz="4" w:space="0"/>
            </w:tcBorders>
            <w:vAlign w:val="center"/>
          </w:tcPr>
          <w:p w14:paraId="23902B1D">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实施方案</w:t>
            </w:r>
          </w:p>
          <w:p w14:paraId="1FA154F6">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（0-10分）</w:t>
            </w:r>
          </w:p>
        </w:tc>
        <w:tc>
          <w:tcPr>
            <w:tcW w:w="7215" w:type="dxa"/>
            <w:tcBorders>
              <w:top w:val="single" w:color="auto" w:sz="4" w:space="0"/>
              <w:left w:val="nil"/>
              <w:bottom w:val="single" w:color="auto" w:sz="4" w:space="0"/>
              <w:right w:val="single" w:color="auto" w:sz="4" w:space="0"/>
            </w:tcBorders>
            <w:vAlign w:val="center"/>
          </w:tcPr>
          <w:p w14:paraId="01E119BD">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实施方案（交货期、配送队伍、配送能力、时间安排、产品配备）满足采购服务需求的实用性、可行性和完整性进行综合评价。</w:t>
            </w:r>
          </w:p>
          <w:p w14:paraId="1BADA0EA">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方案完整、可行，内容全面详细、针对性强的得10分；方案较完整、可行，内容较全、具有可行性针对性的得7分；方案基本完整、可行，内容基本全面、具有可行性针对性的得4分；方案可行，内容一般、可行性不强的得2分；不满足要求或未提供的得0分。</w:t>
            </w:r>
          </w:p>
        </w:tc>
      </w:tr>
      <w:tr w14:paraId="4D5E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1292" w:type="dxa"/>
            <w:vMerge w:val="continue"/>
            <w:tcBorders>
              <w:left w:val="single" w:color="auto" w:sz="4" w:space="0"/>
              <w:right w:val="single" w:color="auto" w:sz="4" w:space="0"/>
            </w:tcBorders>
            <w:vAlign w:val="center"/>
          </w:tcPr>
          <w:p w14:paraId="493245F6">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1452" w:type="dxa"/>
            <w:tcBorders>
              <w:top w:val="single" w:color="auto" w:sz="4" w:space="0"/>
              <w:left w:val="nil"/>
              <w:bottom w:val="single" w:color="auto" w:sz="4" w:space="0"/>
              <w:right w:val="single" w:color="auto" w:sz="4" w:space="0"/>
            </w:tcBorders>
            <w:vAlign w:val="center"/>
          </w:tcPr>
          <w:p w14:paraId="3F0A4CFC">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质量保障</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方案</w:t>
            </w:r>
          </w:p>
          <w:p w14:paraId="07CB918A">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0-9分）</w:t>
            </w:r>
          </w:p>
        </w:tc>
        <w:tc>
          <w:tcPr>
            <w:tcW w:w="7215" w:type="dxa"/>
            <w:tcBorders>
              <w:top w:val="single" w:color="auto" w:sz="4" w:space="0"/>
              <w:left w:val="nil"/>
              <w:bottom w:val="single" w:color="auto" w:sz="4" w:space="0"/>
              <w:right w:val="single" w:color="auto" w:sz="4" w:space="0"/>
            </w:tcBorders>
            <w:vAlign w:val="center"/>
          </w:tcPr>
          <w:p w14:paraId="22DD30FF">
            <w:pPr>
              <w:pageBreakBefore w:val="0"/>
              <w:widowControl w:val="0"/>
              <w:kinsoku/>
              <w:overflowPunct/>
              <w:topLinePunct w:val="0"/>
              <w:autoSpaceDE/>
              <w:autoSpaceDN/>
              <w:bidi w:val="0"/>
              <w:adjustRightInd/>
              <w:snapToGrid/>
              <w:spacing w:line="360" w:lineRule="auto"/>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根据各供应商提供的质量保障方案,方案从“质量保障体系、质量保障计划、质量保障措施”等方面进行综合评价。</w:t>
            </w:r>
          </w:p>
          <w:p w14:paraId="3A281DB8">
            <w:pPr>
              <w:pageBreakBefore w:val="0"/>
              <w:widowControl w:val="0"/>
              <w:kinsoku/>
              <w:overflowPunct/>
              <w:topLinePunct w:val="0"/>
              <w:autoSpaceDE/>
              <w:autoSpaceDN/>
              <w:bidi w:val="0"/>
              <w:adjustRightInd/>
              <w:snapToGrid/>
              <w:spacing w:line="360" w:lineRule="auto"/>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方案合理、切实、可行的得</w:t>
            </w:r>
            <w:r>
              <w:rPr>
                <w:rFonts w:hint="eastAsia" w:ascii="宋体" w:hAnsi="宋体" w:eastAsia="宋体" w:cs="宋体"/>
                <w:sz w:val="24"/>
                <w:szCs w:val="24"/>
                <w:lang w:val="en-US" w:eastAsia="zh-CN"/>
              </w:rPr>
              <w:t>9</w:t>
            </w:r>
            <w:r>
              <w:rPr>
                <w:rFonts w:hint="eastAsia" w:ascii="宋体" w:hAnsi="宋体" w:eastAsia="宋体" w:cs="宋体"/>
                <w:sz w:val="24"/>
                <w:szCs w:val="24"/>
              </w:rPr>
              <w:t>分；方案</w:t>
            </w:r>
            <w:r>
              <w:rPr>
                <w:rFonts w:hint="eastAsia" w:ascii="宋体" w:hAnsi="宋体" w:eastAsia="宋体" w:cs="宋体"/>
                <w:sz w:val="24"/>
                <w:szCs w:val="24"/>
                <w:lang w:val="en-US" w:eastAsia="zh-CN"/>
              </w:rPr>
              <w:t>较</w:t>
            </w:r>
            <w:r>
              <w:rPr>
                <w:rFonts w:hint="eastAsia" w:ascii="宋体" w:hAnsi="宋体" w:eastAsia="宋体" w:cs="宋体"/>
                <w:sz w:val="24"/>
                <w:szCs w:val="24"/>
              </w:rPr>
              <w:t>合理、切实、可行的得</w:t>
            </w:r>
            <w:r>
              <w:rPr>
                <w:rFonts w:hint="eastAsia" w:ascii="宋体" w:hAnsi="宋体" w:eastAsia="宋体" w:cs="宋体"/>
                <w:sz w:val="24"/>
                <w:szCs w:val="24"/>
                <w:lang w:val="en-US" w:eastAsia="zh-CN"/>
              </w:rPr>
              <w:t>7</w:t>
            </w:r>
            <w:r>
              <w:rPr>
                <w:rFonts w:hint="eastAsia" w:ascii="宋体" w:hAnsi="宋体" w:eastAsia="宋体" w:cs="宋体"/>
                <w:sz w:val="24"/>
                <w:szCs w:val="24"/>
              </w:rPr>
              <w:t>分；方案基本合理、可行的得</w:t>
            </w:r>
            <w:r>
              <w:rPr>
                <w:rFonts w:hint="eastAsia" w:ascii="宋体" w:hAnsi="宋体" w:eastAsia="宋体" w:cs="宋体"/>
                <w:sz w:val="24"/>
                <w:szCs w:val="24"/>
                <w:lang w:val="en-US" w:eastAsia="zh-CN"/>
              </w:rPr>
              <w:t>4</w:t>
            </w:r>
            <w:r>
              <w:rPr>
                <w:rFonts w:hint="eastAsia" w:ascii="宋体" w:hAnsi="宋体" w:eastAsia="宋体" w:cs="宋体"/>
                <w:sz w:val="24"/>
                <w:szCs w:val="24"/>
              </w:rPr>
              <w:t>分；方案内容不全、可行性针对性不强的得</w:t>
            </w:r>
            <w:r>
              <w:rPr>
                <w:rFonts w:hint="eastAsia" w:ascii="宋体" w:hAnsi="宋体" w:eastAsia="宋体" w:cs="宋体"/>
                <w:sz w:val="24"/>
                <w:szCs w:val="24"/>
                <w:lang w:val="en-US" w:eastAsia="zh-CN"/>
              </w:rPr>
              <w:t>2</w:t>
            </w:r>
            <w:r>
              <w:rPr>
                <w:rFonts w:hint="eastAsia" w:ascii="宋体" w:hAnsi="宋体" w:eastAsia="宋体" w:cs="宋体"/>
                <w:sz w:val="24"/>
                <w:szCs w:val="24"/>
              </w:rPr>
              <w:t>分；</w:t>
            </w:r>
            <w:r>
              <w:rPr>
                <w:rFonts w:hint="eastAsia" w:ascii="宋体" w:hAnsi="宋体" w:eastAsia="宋体" w:cs="宋体"/>
                <w:kern w:val="0"/>
                <w:sz w:val="24"/>
                <w:szCs w:val="24"/>
                <w:lang w:val="en-US" w:eastAsia="zh-CN" w:bidi="ar-SA"/>
              </w:rPr>
              <w:t>不满足要求或未提供的</w:t>
            </w:r>
            <w:r>
              <w:rPr>
                <w:rFonts w:hint="eastAsia" w:ascii="宋体" w:hAnsi="宋体" w:eastAsia="宋体" w:cs="宋体"/>
                <w:kern w:val="2"/>
                <w:sz w:val="24"/>
                <w:szCs w:val="24"/>
                <w:lang w:val="en-US" w:eastAsia="zh-CN" w:bidi="ar-SA"/>
              </w:rPr>
              <w:t>得0分</w:t>
            </w:r>
            <w:r>
              <w:rPr>
                <w:rFonts w:hint="eastAsia" w:ascii="宋体" w:hAnsi="宋体" w:eastAsia="宋体" w:cs="宋体"/>
                <w:sz w:val="24"/>
                <w:szCs w:val="24"/>
              </w:rPr>
              <w:t>。</w:t>
            </w:r>
          </w:p>
        </w:tc>
      </w:tr>
      <w:tr w14:paraId="3887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4" w:hRule="atLeast"/>
          <w:jc w:val="center"/>
        </w:trPr>
        <w:tc>
          <w:tcPr>
            <w:tcW w:w="1292" w:type="dxa"/>
            <w:vMerge w:val="continue"/>
            <w:tcBorders>
              <w:left w:val="single" w:color="auto" w:sz="4" w:space="0"/>
              <w:right w:val="single" w:color="auto" w:sz="4" w:space="0"/>
            </w:tcBorders>
            <w:vAlign w:val="center"/>
          </w:tcPr>
          <w:p w14:paraId="52E59502">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1452" w:type="dxa"/>
            <w:tcBorders>
              <w:top w:val="single" w:color="auto" w:sz="4" w:space="0"/>
              <w:left w:val="nil"/>
              <w:bottom w:val="single" w:color="auto" w:sz="4" w:space="0"/>
              <w:right w:val="single" w:color="auto" w:sz="4" w:space="0"/>
            </w:tcBorders>
            <w:vAlign w:val="center"/>
          </w:tcPr>
          <w:p w14:paraId="0DC9B405">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应急方案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0-6分）</w:t>
            </w:r>
          </w:p>
        </w:tc>
        <w:tc>
          <w:tcPr>
            <w:tcW w:w="7215" w:type="dxa"/>
            <w:tcBorders>
              <w:top w:val="single" w:color="auto" w:sz="4" w:space="0"/>
              <w:left w:val="nil"/>
              <w:bottom w:val="single" w:color="auto" w:sz="4" w:space="0"/>
              <w:right w:val="single" w:color="auto" w:sz="4" w:space="0"/>
            </w:tcBorders>
            <w:vAlign w:val="center"/>
          </w:tcPr>
          <w:p w14:paraId="77D4BAAF">
            <w:pPr>
              <w:pageBreakBefore w:val="0"/>
              <w:widowControl w:val="0"/>
              <w:kinsoku/>
              <w:overflowPunct/>
              <w:topLinePunct w:val="0"/>
              <w:autoSpaceDE/>
              <w:autoSpaceDN/>
              <w:bidi w:val="0"/>
              <w:adjustRightInd/>
              <w:snapToGrid/>
              <w:spacing w:line="360" w:lineRule="auto"/>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结合本项目的特点和采购人的特殊性，应急供货保障措施周全、高效、可行，完全满足项目要求的，得</w:t>
            </w:r>
            <w:r>
              <w:rPr>
                <w:rFonts w:hint="eastAsia" w:ascii="宋体" w:hAnsi="宋体" w:eastAsia="宋体" w:cs="宋体"/>
                <w:sz w:val="24"/>
                <w:szCs w:val="24"/>
                <w:lang w:val="en-US" w:eastAsia="zh-CN"/>
              </w:rPr>
              <w:t>6</w:t>
            </w:r>
            <w:r>
              <w:rPr>
                <w:rFonts w:hint="eastAsia" w:ascii="宋体" w:hAnsi="宋体" w:eastAsia="宋体" w:cs="宋体"/>
                <w:sz w:val="24"/>
                <w:szCs w:val="24"/>
              </w:rPr>
              <w:t>分；较周全，较可行，基本满足采购人要求的，得</w:t>
            </w:r>
            <w:r>
              <w:rPr>
                <w:rFonts w:hint="eastAsia" w:ascii="宋体" w:hAnsi="宋体" w:eastAsia="宋体" w:cs="宋体"/>
                <w:sz w:val="24"/>
                <w:szCs w:val="24"/>
                <w:lang w:val="en-US" w:eastAsia="zh-CN"/>
              </w:rPr>
              <w:t>4</w:t>
            </w:r>
            <w:r>
              <w:rPr>
                <w:rFonts w:hint="eastAsia" w:ascii="宋体" w:hAnsi="宋体" w:eastAsia="宋体" w:cs="宋体"/>
                <w:sz w:val="24"/>
                <w:szCs w:val="24"/>
              </w:rPr>
              <w:t>分；没有考虑到采购人的特殊性，保障措施简单的，得</w:t>
            </w:r>
            <w:r>
              <w:rPr>
                <w:rFonts w:hint="eastAsia" w:ascii="宋体" w:hAnsi="宋体" w:eastAsia="宋体" w:cs="宋体"/>
                <w:sz w:val="24"/>
                <w:szCs w:val="24"/>
                <w:lang w:val="en-US" w:eastAsia="zh-CN"/>
              </w:rPr>
              <w:t>2</w:t>
            </w:r>
            <w:r>
              <w:rPr>
                <w:rFonts w:hint="eastAsia" w:ascii="宋体" w:hAnsi="宋体" w:eastAsia="宋体" w:cs="宋体"/>
                <w:sz w:val="24"/>
                <w:szCs w:val="24"/>
              </w:rPr>
              <w:t>分。</w:t>
            </w:r>
            <w:r>
              <w:rPr>
                <w:rFonts w:hint="eastAsia" w:ascii="宋体" w:hAnsi="宋体" w:eastAsia="宋体" w:cs="宋体"/>
                <w:kern w:val="0"/>
                <w:sz w:val="24"/>
                <w:szCs w:val="24"/>
                <w:lang w:val="en-US" w:eastAsia="zh-CN" w:bidi="ar-SA"/>
              </w:rPr>
              <w:t>不满足要求或未提供的</w:t>
            </w:r>
            <w:r>
              <w:rPr>
                <w:rFonts w:hint="eastAsia" w:ascii="宋体" w:hAnsi="宋体" w:eastAsia="宋体" w:cs="宋体"/>
                <w:kern w:val="2"/>
                <w:sz w:val="24"/>
                <w:szCs w:val="24"/>
                <w:lang w:val="en-US" w:eastAsia="zh-CN" w:bidi="ar-SA"/>
              </w:rPr>
              <w:t>得0分</w:t>
            </w:r>
            <w:r>
              <w:rPr>
                <w:rFonts w:hint="eastAsia" w:ascii="宋体" w:hAnsi="宋体" w:eastAsia="宋体" w:cs="宋体"/>
                <w:sz w:val="24"/>
                <w:szCs w:val="24"/>
              </w:rPr>
              <w:t>。</w:t>
            </w:r>
          </w:p>
        </w:tc>
      </w:tr>
      <w:tr w14:paraId="36CE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9" w:hRule="atLeast"/>
          <w:jc w:val="center"/>
        </w:trPr>
        <w:tc>
          <w:tcPr>
            <w:tcW w:w="1292" w:type="dxa"/>
            <w:vMerge w:val="continue"/>
            <w:tcBorders>
              <w:left w:val="single" w:color="auto" w:sz="4" w:space="0"/>
              <w:right w:val="single" w:color="auto" w:sz="4" w:space="0"/>
            </w:tcBorders>
            <w:vAlign w:val="center"/>
          </w:tcPr>
          <w:p w14:paraId="0D13EE33">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1452" w:type="dxa"/>
            <w:tcBorders>
              <w:top w:val="single" w:color="auto" w:sz="4" w:space="0"/>
              <w:left w:val="nil"/>
              <w:bottom w:val="single" w:color="auto" w:sz="4" w:space="0"/>
              <w:right w:val="single" w:color="auto" w:sz="4" w:space="0"/>
            </w:tcBorders>
            <w:vAlign w:val="center"/>
          </w:tcPr>
          <w:p w14:paraId="03413A03">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安装调试</w:t>
            </w:r>
          </w:p>
          <w:p w14:paraId="43EA7993">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方案</w:t>
            </w:r>
          </w:p>
          <w:p w14:paraId="14BEFA12">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（0-5分）</w:t>
            </w:r>
          </w:p>
          <w:p w14:paraId="39227F5B">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p>
        </w:tc>
        <w:tc>
          <w:tcPr>
            <w:tcW w:w="7215" w:type="dxa"/>
            <w:tcBorders>
              <w:top w:val="single" w:color="auto" w:sz="4" w:space="0"/>
              <w:left w:val="nil"/>
              <w:bottom w:val="single" w:color="auto" w:sz="4" w:space="0"/>
              <w:right w:val="single" w:color="auto" w:sz="4" w:space="0"/>
            </w:tcBorders>
            <w:vAlign w:val="center"/>
          </w:tcPr>
          <w:p w14:paraId="2AEE156D">
            <w:pPr>
              <w:pageBreakBefore w:val="0"/>
              <w:widowControl w:val="0"/>
              <w:kinsoku/>
              <w:overflowPunct/>
              <w:topLinePunct w:val="0"/>
              <w:autoSpaceDE/>
              <w:autoSpaceDN/>
              <w:bidi w:val="0"/>
              <w:adjustRightInd/>
              <w:snapToGrid/>
              <w:spacing w:line="360" w:lineRule="auto"/>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安装调试的方案（安装调试前期工作、人员配备、时间安排、工具配备）内容详实具体、安装调试充分且高效、人数充足，实施保障措施可靠，满足项目实施的得5分；有较具体的安装调试方案，内容较详实，基本满足项目需求的得3分；安装调试方案欠完备，内容一般，基本满足需求的得1分；不满足要求或未提供的得0分。</w:t>
            </w:r>
          </w:p>
        </w:tc>
      </w:tr>
      <w:tr w14:paraId="7C71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jc w:val="center"/>
        </w:trPr>
        <w:tc>
          <w:tcPr>
            <w:tcW w:w="1292" w:type="dxa"/>
            <w:vMerge w:val="restart"/>
            <w:tcBorders>
              <w:left w:val="single" w:color="auto" w:sz="4" w:space="0"/>
              <w:right w:val="single" w:color="auto" w:sz="4" w:space="0"/>
            </w:tcBorders>
            <w:vAlign w:val="center"/>
          </w:tcPr>
          <w:p w14:paraId="6A3CE5EC">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综合标</w:t>
            </w:r>
          </w:p>
          <w:p w14:paraId="6FC2DE7C">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20</w:t>
            </w:r>
            <w:r>
              <w:rPr>
                <w:rFonts w:hint="eastAsia" w:ascii="宋体" w:hAnsi="宋体" w:eastAsia="宋体" w:cs="宋体"/>
                <w:sz w:val="24"/>
                <w:szCs w:val="24"/>
              </w:rPr>
              <w:t>分）</w:t>
            </w:r>
          </w:p>
        </w:tc>
        <w:tc>
          <w:tcPr>
            <w:tcW w:w="1452" w:type="dxa"/>
            <w:tcBorders>
              <w:top w:val="single" w:color="auto" w:sz="4" w:space="0"/>
              <w:left w:val="nil"/>
              <w:bottom w:val="single" w:color="auto" w:sz="4" w:space="0"/>
              <w:right w:val="single" w:color="auto" w:sz="4" w:space="0"/>
            </w:tcBorders>
            <w:shd w:val="clear" w:color="auto" w:fill="auto"/>
            <w:vAlign w:val="center"/>
          </w:tcPr>
          <w:p w14:paraId="02402E01">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企业业绩</w:t>
            </w:r>
          </w:p>
          <w:p w14:paraId="7CDE411D">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分）</w:t>
            </w:r>
          </w:p>
        </w:tc>
        <w:tc>
          <w:tcPr>
            <w:tcW w:w="7215" w:type="dxa"/>
            <w:tcBorders>
              <w:top w:val="single" w:color="auto" w:sz="4" w:space="0"/>
              <w:left w:val="nil"/>
              <w:bottom w:val="single" w:color="auto" w:sz="4" w:space="0"/>
              <w:right w:val="single" w:color="auto" w:sz="4" w:space="0"/>
            </w:tcBorders>
            <w:shd w:val="clear" w:color="auto" w:fill="auto"/>
            <w:vAlign w:val="center"/>
          </w:tcPr>
          <w:p w14:paraId="2477BED1">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rPr>
              <w:t>供应商202</w:t>
            </w:r>
            <w:r>
              <w:rPr>
                <w:rFonts w:hint="eastAsia" w:ascii="宋体" w:hAnsi="宋体" w:eastAsia="宋体" w:cs="宋体"/>
                <w:sz w:val="24"/>
                <w:szCs w:val="24"/>
                <w:lang w:val="en-US" w:eastAsia="zh-CN"/>
              </w:rPr>
              <w:t>3</w:t>
            </w:r>
            <w:r>
              <w:rPr>
                <w:rFonts w:hint="eastAsia" w:ascii="宋体" w:hAnsi="宋体" w:eastAsia="宋体" w:cs="宋体"/>
                <w:sz w:val="24"/>
                <w:szCs w:val="24"/>
              </w:rPr>
              <w:t>年1月1日以来具有相关采购项目业绩的，每提供一份得2分，最多得</w:t>
            </w:r>
            <w:r>
              <w:rPr>
                <w:rFonts w:hint="eastAsia" w:ascii="宋体" w:hAnsi="宋体" w:eastAsia="宋体" w:cs="宋体"/>
                <w:sz w:val="24"/>
                <w:szCs w:val="24"/>
                <w:lang w:val="en-US" w:eastAsia="zh-CN"/>
              </w:rPr>
              <w:t>4</w:t>
            </w:r>
            <w:r>
              <w:rPr>
                <w:rFonts w:hint="eastAsia" w:ascii="宋体" w:hAnsi="宋体" w:eastAsia="宋体" w:cs="宋体"/>
                <w:sz w:val="24"/>
                <w:szCs w:val="24"/>
              </w:rPr>
              <w:t>分。（以合同签订时间为准，提供合同</w:t>
            </w:r>
            <w:r>
              <w:rPr>
                <w:rFonts w:hint="eastAsia" w:ascii="宋体" w:hAnsi="宋体" w:eastAsia="宋体" w:cs="宋体"/>
                <w:sz w:val="24"/>
                <w:szCs w:val="24"/>
                <w:lang w:val="en-US" w:eastAsia="zh-CN"/>
              </w:rPr>
              <w:t>原件</w:t>
            </w:r>
            <w:r>
              <w:rPr>
                <w:rFonts w:hint="eastAsia" w:ascii="宋体" w:hAnsi="宋体" w:eastAsia="宋体" w:cs="宋体"/>
                <w:sz w:val="24"/>
                <w:szCs w:val="24"/>
              </w:rPr>
              <w:t>扫描件，否则不得分</w:t>
            </w:r>
            <w:r>
              <w:rPr>
                <w:rFonts w:hint="eastAsia" w:ascii="宋体" w:hAnsi="宋体" w:eastAsia="宋体" w:cs="宋体"/>
                <w:sz w:val="24"/>
                <w:szCs w:val="24"/>
                <w:lang w:eastAsia="zh-CN"/>
              </w:rPr>
              <w:t>）</w:t>
            </w:r>
          </w:p>
        </w:tc>
      </w:tr>
      <w:tr w14:paraId="7ACE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92" w:type="dxa"/>
            <w:vMerge w:val="continue"/>
            <w:tcBorders>
              <w:left w:val="single" w:color="auto" w:sz="4" w:space="0"/>
              <w:right w:val="single" w:color="auto" w:sz="4" w:space="0"/>
            </w:tcBorders>
            <w:vAlign w:val="center"/>
          </w:tcPr>
          <w:p w14:paraId="2A0B2E5D">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1452" w:type="dxa"/>
            <w:vMerge w:val="restart"/>
            <w:tcBorders>
              <w:top w:val="single" w:color="auto" w:sz="4" w:space="0"/>
              <w:left w:val="nil"/>
              <w:right w:val="single" w:color="auto" w:sz="4" w:space="0"/>
            </w:tcBorders>
            <w:vAlign w:val="center"/>
          </w:tcPr>
          <w:p w14:paraId="61489C39">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售后服务 （10分）</w:t>
            </w:r>
          </w:p>
        </w:tc>
        <w:tc>
          <w:tcPr>
            <w:tcW w:w="7215" w:type="dxa"/>
            <w:tcBorders>
              <w:top w:val="single" w:color="auto" w:sz="4" w:space="0"/>
              <w:left w:val="nil"/>
              <w:bottom w:val="single" w:color="auto" w:sz="4" w:space="0"/>
              <w:right w:val="single" w:color="auto" w:sz="4" w:space="0"/>
            </w:tcBorders>
            <w:vAlign w:val="center"/>
          </w:tcPr>
          <w:p w14:paraId="1C36BB3A">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售后</w:t>
            </w:r>
            <w:r>
              <w:rPr>
                <w:rFonts w:hint="eastAsia" w:ascii="宋体" w:hAnsi="宋体" w:eastAsia="宋体" w:cs="宋体"/>
                <w:sz w:val="24"/>
                <w:szCs w:val="24"/>
                <w:lang w:eastAsia="zh-CN"/>
              </w:rPr>
              <w:t>服务保障及措施(</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分)</w:t>
            </w:r>
          </w:p>
          <w:p w14:paraId="7C04A063">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(1)售后服务万案内容详实、科学、合理，考虑周全，对产品质量管控措施要求全面到位、产品保障与调换措施针对性强，相关服务承诺内容详实，人员配各齐全，分工明确、岗位设置科学合理设备配备齐全、先进的，得</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分。</w:t>
            </w:r>
          </w:p>
          <w:p w14:paraId="411266F7">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(2)售后服务方案内容较详实、考虑较全，对产品质量管控措施要求到位、产品保障与调换措施明确，相关服务承诺内容具体，人员配备较齐全设备配备齐全，得</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分。</w:t>
            </w:r>
          </w:p>
          <w:p w14:paraId="76651698">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(3)售后服务方案内容表述一般，对产品质量管控措施要求、产品保障与调换措施表述简单，相关服务承诺简单，人员配备、设备配各简单，得1分。</w:t>
            </w:r>
          </w:p>
          <w:p w14:paraId="28C7C13B">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(4)未提供或不满足要求的得0分;</w:t>
            </w:r>
          </w:p>
        </w:tc>
      </w:tr>
      <w:tr w14:paraId="0657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292" w:type="dxa"/>
            <w:vMerge w:val="continue"/>
            <w:tcBorders>
              <w:left w:val="single" w:color="auto" w:sz="4" w:space="0"/>
              <w:bottom w:val="single" w:color="auto" w:sz="4" w:space="0"/>
              <w:right w:val="single" w:color="auto" w:sz="4" w:space="0"/>
            </w:tcBorders>
            <w:vAlign w:val="center"/>
          </w:tcPr>
          <w:p w14:paraId="61E7BB82">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1452" w:type="dxa"/>
            <w:vMerge w:val="continue"/>
            <w:tcBorders>
              <w:left w:val="nil"/>
              <w:bottom w:val="single" w:color="auto" w:sz="4" w:space="0"/>
              <w:right w:val="single" w:color="auto" w:sz="4" w:space="0"/>
            </w:tcBorders>
            <w:vAlign w:val="center"/>
          </w:tcPr>
          <w:p w14:paraId="061FB7CB">
            <w:pPr>
              <w:pStyle w:val="28"/>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p>
        </w:tc>
        <w:tc>
          <w:tcPr>
            <w:tcW w:w="7215" w:type="dxa"/>
            <w:tcBorders>
              <w:top w:val="single" w:color="auto" w:sz="4" w:space="0"/>
              <w:left w:val="nil"/>
              <w:bottom w:val="single" w:color="auto" w:sz="4" w:space="0"/>
              <w:right w:val="single" w:color="auto" w:sz="4" w:space="0"/>
            </w:tcBorders>
            <w:vAlign w:val="top"/>
          </w:tcPr>
          <w:p w14:paraId="150DDFEF">
            <w:pPr>
              <w:pStyle w:val="28"/>
              <w:pageBreakBefore w:val="0"/>
              <w:widowControl w:val="0"/>
              <w:numPr>
                <w:ilvl w:val="0"/>
                <w:numId w:val="1"/>
              </w:numPr>
              <w:kinsoku/>
              <w:overflowPunct/>
              <w:topLinePunct w:val="0"/>
              <w:autoSpaceDE/>
              <w:autoSpaceDN/>
              <w:bidi w:val="0"/>
              <w:adjustRightInd/>
              <w:snapToGrid/>
              <w:spacing w:line="360" w:lineRule="auto"/>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售后服务响应时间及保障措施(5分)</w:t>
            </w:r>
          </w:p>
          <w:p w14:paraId="01458802">
            <w:pPr>
              <w:pStyle w:val="28"/>
              <w:pageBreakBefore w:val="0"/>
              <w:widowControl w:val="0"/>
              <w:numPr>
                <w:ilvl w:val="0"/>
                <w:numId w:val="2"/>
              </w:numPr>
              <w:kinsoku/>
              <w:overflowPunct/>
              <w:topLinePunct w:val="0"/>
              <w:autoSpaceDE/>
              <w:autoSpaceDN/>
              <w:bidi w:val="0"/>
              <w:adjustRightInd/>
              <w:snapToGrid/>
              <w:spacing w:line="360" w:lineRule="auto"/>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有良好完誉的售后服务流程，响应速度在1小时以内且有具体可行的实质性响应措施，24小时提出解决处理问题方案反应速度快的得5分；</w:t>
            </w:r>
          </w:p>
          <w:p w14:paraId="586F69B4">
            <w:pPr>
              <w:pStyle w:val="28"/>
              <w:pageBreakBefore w:val="0"/>
              <w:widowControl w:val="0"/>
              <w:numPr>
                <w:ilvl w:val="0"/>
                <w:numId w:val="2"/>
              </w:numPr>
              <w:kinsoku/>
              <w:overflowPunct/>
              <w:topLinePunct w:val="0"/>
              <w:autoSpaceDE/>
              <w:autoSpaceDN/>
              <w:bidi w:val="0"/>
              <w:adjustRightInd/>
              <w:snapToGrid/>
              <w:spacing w:line="360" w:lineRule="auto"/>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有较完善的售后服务流程，响应速度在2小时以内且有具体可行的实质性响应措施，48小时解决处理问题反应速度较快的得3分；</w:t>
            </w:r>
          </w:p>
          <w:p w14:paraId="2E104968">
            <w:pPr>
              <w:pStyle w:val="28"/>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(3)有售后服务流程，响应速度在2小时以上且处理问题在 48小时以上的，提供或与本项目实际情况有差距的得1分；</w:t>
            </w:r>
          </w:p>
          <w:p w14:paraId="05516F5E">
            <w:pPr>
              <w:pStyle w:val="28"/>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(4)未提供或不满足要求的得0分；</w:t>
            </w:r>
          </w:p>
        </w:tc>
      </w:tr>
      <w:tr w14:paraId="06F2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292" w:type="dxa"/>
            <w:vMerge w:val="continue"/>
            <w:tcBorders>
              <w:left w:val="single" w:color="auto" w:sz="4" w:space="0"/>
              <w:bottom w:val="single" w:color="auto" w:sz="4" w:space="0"/>
              <w:right w:val="single" w:color="auto" w:sz="4" w:space="0"/>
            </w:tcBorders>
            <w:vAlign w:val="center"/>
          </w:tcPr>
          <w:p w14:paraId="431CE422">
            <w:pPr>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tc>
        <w:tc>
          <w:tcPr>
            <w:tcW w:w="1452" w:type="dxa"/>
            <w:tcBorders>
              <w:top w:val="single" w:color="auto" w:sz="4" w:space="0"/>
              <w:left w:val="nil"/>
              <w:bottom w:val="single" w:color="auto" w:sz="4" w:space="0"/>
              <w:right w:val="single" w:color="auto" w:sz="4" w:space="0"/>
            </w:tcBorders>
            <w:vAlign w:val="center"/>
          </w:tcPr>
          <w:p w14:paraId="3ED00C7D">
            <w:pPr>
              <w:pStyle w:val="28"/>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履职尽责 承诺</w:t>
            </w:r>
          </w:p>
          <w:p w14:paraId="6592A00D">
            <w:pPr>
              <w:pStyle w:val="28"/>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（6分）</w:t>
            </w:r>
          </w:p>
          <w:p w14:paraId="4C2956C3">
            <w:pPr>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p>
          <w:p w14:paraId="0A6EEC4E">
            <w:pPr>
              <w:pStyle w:val="28"/>
              <w:pageBreakBefore w:val="0"/>
              <w:widowControl w:val="0"/>
              <w:kinsoku/>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p>
        </w:tc>
        <w:tc>
          <w:tcPr>
            <w:tcW w:w="7215" w:type="dxa"/>
            <w:tcBorders>
              <w:top w:val="single" w:color="auto" w:sz="4" w:space="0"/>
              <w:left w:val="nil"/>
              <w:bottom w:val="single" w:color="auto" w:sz="4" w:space="0"/>
              <w:right w:val="single" w:color="auto" w:sz="4" w:space="0"/>
            </w:tcBorders>
            <w:vAlign w:val="top"/>
          </w:tcPr>
          <w:p w14:paraId="66B68600">
            <w:pPr>
              <w:pStyle w:val="28"/>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具有全面、详实、可行、合法有效的书面保证技术措施落实到位的承诺和落实不到位的处理承诺</w:t>
            </w:r>
          </w:p>
          <w:p w14:paraId="57E97222">
            <w:pPr>
              <w:pStyle w:val="28"/>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1、履职尽责承诺全面、详实、可行、合法有效的得6 分； </w:t>
            </w:r>
          </w:p>
          <w:p w14:paraId="158B1E58">
            <w:pPr>
              <w:pStyle w:val="28"/>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2、履职尽责承诺比较全面、详实、可行、合法有效的 4 分； </w:t>
            </w:r>
          </w:p>
          <w:p w14:paraId="47A5A87C">
            <w:pPr>
              <w:pStyle w:val="28"/>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3、履职尽责承诺片面、不详细、不完整的 2分； </w:t>
            </w:r>
          </w:p>
          <w:p w14:paraId="562BB013">
            <w:pPr>
              <w:pStyle w:val="28"/>
              <w:pageBreakBefore w:val="0"/>
              <w:widowControl w:val="0"/>
              <w:kinsoku/>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kern w:val="2"/>
                <w:sz w:val="24"/>
                <w:szCs w:val="24"/>
                <w:lang w:val="en-US" w:eastAsia="zh-CN" w:bidi="ar-SA"/>
              </w:rPr>
              <w:t>4、未提供或不满足要求的得0分；</w:t>
            </w:r>
          </w:p>
        </w:tc>
      </w:tr>
    </w:tbl>
    <w:p w14:paraId="4BDDB8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三、综合评分法</w:t>
      </w:r>
    </w:p>
    <w:p w14:paraId="352953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3.1、本次采用综合评分法。</w:t>
      </w:r>
    </w:p>
    <w:p w14:paraId="396494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磋商小组按与各供应商分别单独就采购需求、质量和服务等进行磋商，并将磋商内容记录在案，磋商结束后，磋商小组将要求实质性响应竞争性磋商文件的供应商在规定时间内提交最后报价。在规定时间内没有提交最后报价的磋商供应商，将视其首次报价为最终报价。未通过</w:t>
      </w:r>
      <w:r>
        <w:rPr>
          <w:rFonts w:hint="eastAsia" w:ascii="宋体" w:hAnsi="宋体" w:eastAsia="宋体" w:cs="宋体"/>
          <w:sz w:val="24"/>
          <w:szCs w:val="24"/>
          <w:lang w:val="en-US" w:eastAsia="zh-CN"/>
        </w:rPr>
        <w:t>初步审查</w:t>
      </w:r>
      <w:r>
        <w:rPr>
          <w:rFonts w:hint="eastAsia" w:ascii="宋体" w:hAnsi="宋体" w:eastAsia="宋体" w:cs="宋体"/>
          <w:sz w:val="24"/>
          <w:szCs w:val="24"/>
        </w:rPr>
        <w:t>的供应商将不再进行最后报价。经磋商确定最终采购需求和提交最后报价的供应商后，由磋商小组采用综合评分法对提交最后报价的供应商的响应文件和最后报价进行综合评分。</w:t>
      </w:r>
    </w:p>
    <w:p w14:paraId="062EF6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磋商小组对满足采购文件实质性要求的响应文件，按照本章规定的评分标准进行打分，按最终得分由高到低顺序推荐候选成交供应商。得分相同的，按照最后报价由低到高的顺序推荐。评审得分且最后报价相同的，按照技术指标优劣顺序推荐。</w:t>
      </w:r>
    </w:p>
    <w:p w14:paraId="409F56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3.2、评分分值计算保留小数点后两位，小数点后第三位“四舍五入”。</w:t>
      </w:r>
    </w:p>
    <w:p w14:paraId="2895E6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3.3、在评标过程中，凡遇到磋商文件中无界定或界定不清、前后不一致使磋商小组成员意见有分歧且又难以协商一致的问题，均由磋商小组成员投票予以表决，少数服从多数原则确定。 </w:t>
      </w:r>
    </w:p>
    <w:p w14:paraId="50CF1F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3.4、磋商小组完成评审后，向采购人出具评审报告。</w:t>
      </w:r>
    </w:p>
    <w:p w14:paraId="0A5541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四、磋商程序 </w:t>
      </w:r>
    </w:p>
    <w:p w14:paraId="77351F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4.1 初步评审 </w:t>
      </w:r>
    </w:p>
    <w:p w14:paraId="7F27E9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4.1.1磋商小组依据本章附表 1 初步评审表规定的标准对磋商响应文件进行初步评审。有一项不符合评审标准的，作无效标处理。 </w:t>
      </w:r>
    </w:p>
    <w:p w14:paraId="14A840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4.1.2供应商有以下情形之一的，其磋商作无效标处理： </w:t>
      </w:r>
    </w:p>
    <w:p w14:paraId="261E42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（1）串通磋商或弄虚作假或有其他违法行为的； </w:t>
      </w:r>
    </w:p>
    <w:p w14:paraId="58AD9E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（2）不按磋商小组要求澄清、说明或补正的。 </w:t>
      </w:r>
    </w:p>
    <w:p w14:paraId="68EC2C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4.1.3磋商报价有算术错误的，磋商小组按以下原则对磋商报价进行修正，修正的价格经供应商确认后具有约束力。供应商不接受修正价格的，其磋商作废标处理。 </w:t>
      </w:r>
    </w:p>
    <w:p w14:paraId="0FED59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（1）磋商文件中的大写金额与小写金额不一致的，以大写金额为准； </w:t>
      </w:r>
    </w:p>
    <w:p w14:paraId="4D9E8A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（2）总价金额与依据单价计算出的结果不一致的，以单价金额为准修正总价，但单价金额小数点有明显错误的除外。 </w:t>
      </w:r>
    </w:p>
    <w:p w14:paraId="1E5B87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4.2详细评审 </w:t>
      </w:r>
    </w:p>
    <w:p w14:paraId="10B47E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4.2.1磋商小组按本章评标办法前附表规定的量化因素和分值进行打分，并计算出综合评估得分。 </w:t>
      </w:r>
    </w:p>
    <w:p w14:paraId="5EAD48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4.2.2在评审过程中，磋商小组发现供应商的磋商报价明显低于其他供应商的报价，并有可能低于其企业成本的，则磋商小组可以要求该供应商作出说明并提供相关证明材料。供应商不能合理说明或不能提供相关证明材料的，经磋商小组</w:t>
      </w:r>
      <w:r>
        <w:rPr>
          <w:rFonts w:hint="eastAsia" w:ascii="宋体" w:hAnsi="宋体" w:eastAsia="宋体" w:cs="宋体"/>
          <w:spacing w:val="6"/>
          <w:sz w:val="24"/>
          <w:szCs w:val="24"/>
        </w:rPr>
        <w:t>小组认定，属于恶性竞标的，可以按废标处理；磋商小组将不对无效响应文件或废标的供应商进行评审或打分。</w:t>
      </w:r>
      <w:r>
        <w:rPr>
          <w:rFonts w:hint="eastAsia" w:ascii="宋体" w:hAnsi="宋体" w:eastAsia="宋体" w:cs="宋体"/>
          <w:sz w:val="24"/>
          <w:szCs w:val="24"/>
        </w:rPr>
        <w:t xml:space="preserve"> </w:t>
      </w:r>
    </w:p>
    <w:p w14:paraId="3237EB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4.3磋商文件的澄清和补正 </w:t>
      </w:r>
    </w:p>
    <w:p w14:paraId="1013B1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4.3.1在磋商过程中，磋商小组可以要求供应商对所提交磋商响应文件中不明确的内容进行澄清或说明，或者对细微偏差进行补正。磋商小组不接受供应商主动提出的澄清、说明或补正。 </w:t>
      </w:r>
    </w:p>
    <w:p w14:paraId="27423F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4.3.2澄清、说明和补正不得改变磋商文件的实质性内容（算术性错误修正的除外）。供应商的澄清、说明和补正属于磋商响应文件的组成部分。 </w:t>
      </w:r>
    </w:p>
    <w:p w14:paraId="28F15D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4.3.3磋商小组对供应商提交的澄清、说明或补正有疑问的，可以要求供应商进一步澄清、说明或补正，直至满足磋商小组的要求。 </w:t>
      </w:r>
    </w:p>
    <w:p w14:paraId="24E06B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4.4、计分办法</w:t>
      </w:r>
    </w:p>
    <w:p w14:paraId="3BD398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根据磋商文件、响应文件，按照评分办法，得出每个评委对响应单位的评标分数。响应单位的最终得分为所有评委对其打分的算术平均值。计分过程按四舍五入取至小数点后两位，最终得分取至小数点后二位。</w:t>
      </w:r>
    </w:p>
    <w:p w14:paraId="01B078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4.5  磋商结果</w:t>
      </w:r>
    </w:p>
    <w:p w14:paraId="546CA3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磋商小组按照得分由高到低的顺序推荐</w:t>
      </w:r>
      <w:r>
        <w:rPr>
          <w:rFonts w:hint="eastAsia" w:ascii="宋体" w:hAnsi="宋体" w:eastAsia="宋体" w:cs="宋体"/>
          <w:sz w:val="24"/>
          <w:szCs w:val="24"/>
          <w:lang w:val="en-US" w:eastAsia="zh-CN"/>
        </w:rPr>
        <w:t>3</w:t>
      </w:r>
      <w:r>
        <w:rPr>
          <w:rFonts w:hint="eastAsia" w:ascii="宋体" w:hAnsi="宋体" w:eastAsia="宋体" w:cs="宋体"/>
          <w:sz w:val="24"/>
          <w:szCs w:val="24"/>
        </w:rPr>
        <w:t>名中标候选人。磋商小组完成磋商后，应当向采购人提交磋商报告。</w:t>
      </w:r>
    </w:p>
    <w:p w14:paraId="16C039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4.6 定标办法</w:t>
      </w:r>
    </w:p>
    <w:p w14:paraId="0A2EFB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（1）磋商小组应当根据供应商最终得分由高到低的顺序推荐</w:t>
      </w:r>
      <w:r>
        <w:rPr>
          <w:rFonts w:hint="eastAsia" w:ascii="宋体" w:hAnsi="宋体" w:eastAsia="宋体" w:cs="宋体"/>
          <w:sz w:val="24"/>
          <w:szCs w:val="24"/>
          <w:lang w:val="en-US" w:eastAsia="zh-CN"/>
        </w:rPr>
        <w:t>3</w:t>
      </w:r>
      <w:r>
        <w:rPr>
          <w:rFonts w:hint="eastAsia" w:ascii="宋体" w:hAnsi="宋体" w:eastAsia="宋体" w:cs="宋体"/>
          <w:sz w:val="24"/>
          <w:szCs w:val="24"/>
        </w:rPr>
        <w:t>名成交候选供应商，出具磋商评审报告。</w:t>
      </w:r>
    </w:p>
    <w:p w14:paraId="4867B5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最终得分相同的，按照最后报价由低到高的顺序推荐。最终得分和最后报价均相同的，按照技术指标优劣顺序或磋商小组举手表决，少数服从多数的原则推荐。</w:t>
      </w:r>
    </w:p>
    <w:p w14:paraId="2B93A4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（2）采购人按磋商小组写出磋商报告确定排序第一的响应单位为成交人。</w:t>
      </w:r>
    </w:p>
    <w:p w14:paraId="0CFE86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成交供应商拒绝签订政府采购合同的，采购人可以按照“财库【2014】214号”文第二十八条第二款规定的原则确定其他供应商作为成交供应商并签订政府采购合同，也可以重新开展采购活动。拒绝签订政府采购合同的成交供应商不得参加对该项目重新开展的采购活动。</w:t>
      </w:r>
    </w:p>
    <w:p w14:paraId="4CE0114E">
      <w:pPr>
        <w:keepNext w:val="0"/>
        <w:keepLines w:val="0"/>
        <w:pageBreakBefore w:val="0"/>
        <w:widowControl w:val="0"/>
        <w:kinsoku/>
        <w:wordWrap/>
        <w:overflowPunct/>
        <w:topLinePunct w:val="0"/>
        <w:autoSpaceDE/>
        <w:autoSpaceDN/>
        <w:bidi w:val="0"/>
        <w:adjustRightInd/>
        <w:snapToGrid/>
        <w:spacing w:before="240" w:after="60" w:line="360" w:lineRule="auto"/>
        <w:jc w:val="center"/>
        <w:textAlignment w:val="auto"/>
        <w:outlineLvl w:val="0"/>
        <w:rPr>
          <w:rFonts w:hint="eastAsia" w:eastAsia="宋体" w:asciiTheme="majorHAnsi" w:hAnsiTheme="majorHAnsi" w:cstheme="majorBidi"/>
          <w:b/>
          <w:bCs/>
          <w:kern w:val="28"/>
          <w:sz w:val="32"/>
          <w:szCs w:val="32"/>
          <w:lang w:val="en-US" w:eastAsia="zh-CN"/>
        </w:rPr>
      </w:pPr>
      <w:bookmarkStart w:id="53" w:name="_Toc6551_WPSOffice_Level1"/>
      <w:bookmarkStart w:id="54" w:name="_Toc11512_WPSOffice_Level1"/>
      <w:bookmarkStart w:id="55" w:name="_Toc8518"/>
      <w:bookmarkStart w:id="56" w:name="_Toc13565_WPSOffice_Level1"/>
      <w:bookmarkStart w:id="57" w:name="_Toc26905"/>
      <w:bookmarkStart w:id="58" w:name="_Toc26959_WPSOffice_Level1"/>
      <w:bookmarkStart w:id="59" w:name="_Toc2414"/>
    </w:p>
    <w:p w14:paraId="4545351E">
      <w:pPr>
        <w:keepNext w:val="0"/>
        <w:keepLines w:val="0"/>
        <w:pageBreakBefore w:val="0"/>
        <w:widowControl w:val="0"/>
        <w:kinsoku/>
        <w:wordWrap/>
        <w:overflowPunct/>
        <w:topLinePunct w:val="0"/>
        <w:autoSpaceDE/>
        <w:autoSpaceDN/>
        <w:bidi w:val="0"/>
        <w:adjustRightInd/>
        <w:snapToGrid/>
        <w:spacing w:before="240" w:after="60" w:line="360" w:lineRule="auto"/>
        <w:jc w:val="center"/>
        <w:textAlignment w:val="auto"/>
        <w:outlineLvl w:val="0"/>
        <w:rPr>
          <w:rFonts w:hint="eastAsia" w:eastAsia="宋体" w:asciiTheme="majorHAnsi" w:hAnsiTheme="majorHAnsi" w:cstheme="majorBidi"/>
          <w:b/>
          <w:bCs/>
          <w:kern w:val="28"/>
          <w:sz w:val="32"/>
          <w:szCs w:val="32"/>
          <w:lang w:eastAsia="zh-CN"/>
        </w:rPr>
      </w:pPr>
      <w:bookmarkStart w:id="60" w:name="_Toc17223"/>
      <w:r>
        <w:rPr>
          <w:rFonts w:hint="eastAsia" w:eastAsia="宋体" w:asciiTheme="majorHAnsi" w:hAnsiTheme="majorHAnsi" w:cstheme="majorBidi"/>
          <w:b/>
          <w:bCs/>
          <w:kern w:val="28"/>
          <w:sz w:val="32"/>
          <w:szCs w:val="32"/>
          <w:lang w:val="en-US" w:eastAsia="zh-CN"/>
        </w:rPr>
        <w:t xml:space="preserve">第四章  </w:t>
      </w:r>
      <w:r>
        <w:rPr>
          <w:rFonts w:hint="eastAsia" w:eastAsia="宋体" w:asciiTheme="majorHAnsi" w:hAnsiTheme="majorHAnsi" w:cstheme="majorBidi"/>
          <w:b/>
          <w:bCs/>
          <w:kern w:val="28"/>
          <w:sz w:val="32"/>
          <w:szCs w:val="32"/>
          <w:lang w:eastAsia="zh-CN"/>
        </w:rPr>
        <w:t>合同主要条款及格式</w:t>
      </w:r>
      <w:bookmarkEnd w:id="53"/>
      <w:bookmarkEnd w:id="54"/>
      <w:bookmarkEnd w:id="55"/>
      <w:bookmarkEnd w:id="56"/>
      <w:bookmarkEnd w:id="57"/>
      <w:bookmarkEnd w:id="58"/>
      <w:bookmarkEnd w:id="59"/>
      <w:bookmarkEnd w:id="60"/>
      <w:bookmarkStart w:id="61" w:name="_Toc28570"/>
      <w:bookmarkStart w:id="62" w:name="_Toc29042"/>
    </w:p>
    <w:p w14:paraId="55D1EF2B">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2" w:firstLineChars="200"/>
        <w:jc w:val="center"/>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（此格式仅供参考，以双方最终签订合同为准）</w:t>
      </w:r>
    </w:p>
    <w:bookmarkEnd w:id="61"/>
    <w:bookmarkEnd w:id="62"/>
    <w:p w14:paraId="05FFE60D">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甲方：</w:t>
      </w:r>
    </w:p>
    <w:p w14:paraId="3DF245D0">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乙方:</w:t>
      </w:r>
    </w:p>
    <w:p w14:paraId="1E7D1D06">
      <w:pPr>
        <w:keepNext w:val="0"/>
        <w:keepLines w:val="0"/>
        <w:pageBreakBefore w:val="0"/>
        <w:widowControl w:val="0"/>
        <w:kinsoku/>
        <w:overflowPunct/>
        <w:topLinePunct w:val="0"/>
        <w:autoSpaceDE/>
        <w:autoSpaceDN/>
        <w:bidi w:val="0"/>
        <w:adjustRightInd/>
        <w:snapToGrid/>
        <w:spacing w:line="360" w:lineRule="auto"/>
        <w:ind w:firstLine="600" w:firstLineChars="250"/>
        <w:outlineLvl w:val="9"/>
        <w:rPr>
          <w:rFonts w:hint="eastAsia" w:ascii="宋体" w:hAnsi="宋体" w:eastAsia="宋体" w:cs="宋体"/>
          <w:sz w:val="24"/>
          <w:szCs w:val="24"/>
        </w:rPr>
      </w:pPr>
      <w:r>
        <w:rPr>
          <w:rFonts w:hint="eastAsia" w:ascii="宋体" w:hAnsi="宋体" w:eastAsia="宋体" w:cs="宋体"/>
          <w:sz w:val="24"/>
          <w:szCs w:val="24"/>
        </w:rPr>
        <w:t>依据《中华人民共和国民法典》的相关规定，现依照相关法律法规及竞争性磋商文件内容，经双方协商一致，签订本合同。</w:t>
      </w:r>
    </w:p>
    <w:p w14:paraId="3F97AA6A">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第一条</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货物的名称、产地、品牌规格、数量、配置及单价</w:t>
      </w:r>
    </w:p>
    <w:tbl>
      <w:tblPr>
        <w:tblStyle w:val="11"/>
        <w:tblW w:w="5076"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8"/>
        <w:gridCol w:w="1141"/>
        <w:gridCol w:w="2288"/>
        <w:gridCol w:w="2447"/>
        <w:gridCol w:w="2121"/>
      </w:tblGrid>
      <w:tr w14:paraId="1BF4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003" w:type="pct"/>
            <w:noWrap/>
            <w:vAlign w:val="center"/>
          </w:tcPr>
          <w:p w14:paraId="1E6AE503">
            <w:pPr>
              <w:keepNext w:val="0"/>
              <w:keepLines w:val="0"/>
              <w:pageBreakBefore w:val="0"/>
              <w:widowControl w:val="0"/>
              <w:kinsoku/>
              <w:overflowPunct/>
              <w:topLinePunct w:val="0"/>
              <w:autoSpaceDE/>
              <w:autoSpaceDN/>
              <w:bidi w:val="0"/>
              <w:adjustRightInd/>
              <w:snapToGrid/>
              <w:spacing w:line="360" w:lineRule="auto"/>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名称</w:t>
            </w:r>
          </w:p>
        </w:tc>
        <w:tc>
          <w:tcPr>
            <w:tcW w:w="570" w:type="pct"/>
            <w:noWrap/>
            <w:vAlign w:val="center"/>
          </w:tcPr>
          <w:p w14:paraId="65CE172D">
            <w:pPr>
              <w:keepNext w:val="0"/>
              <w:keepLines w:val="0"/>
              <w:pageBreakBefore w:val="0"/>
              <w:widowControl w:val="0"/>
              <w:kinsoku/>
              <w:overflowPunct/>
              <w:topLinePunct w:val="0"/>
              <w:autoSpaceDE/>
              <w:autoSpaceDN/>
              <w:bidi w:val="0"/>
              <w:adjustRightInd/>
              <w:snapToGrid/>
              <w:spacing w:line="360" w:lineRule="auto"/>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品牌</w:t>
            </w:r>
          </w:p>
        </w:tc>
        <w:tc>
          <w:tcPr>
            <w:tcW w:w="1144" w:type="pct"/>
            <w:noWrap/>
            <w:vAlign w:val="center"/>
          </w:tcPr>
          <w:p w14:paraId="774CEDDB">
            <w:pPr>
              <w:keepNext w:val="0"/>
              <w:keepLines w:val="0"/>
              <w:pageBreakBefore w:val="0"/>
              <w:widowControl w:val="0"/>
              <w:kinsoku/>
              <w:overflowPunct/>
              <w:topLinePunct w:val="0"/>
              <w:autoSpaceDE/>
              <w:autoSpaceDN/>
              <w:bidi w:val="0"/>
              <w:adjustRightInd/>
              <w:snapToGrid/>
              <w:spacing w:line="360" w:lineRule="auto"/>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规格型号</w:t>
            </w:r>
          </w:p>
        </w:tc>
        <w:tc>
          <w:tcPr>
            <w:tcW w:w="1223" w:type="pct"/>
            <w:noWrap/>
            <w:vAlign w:val="center"/>
          </w:tcPr>
          <w:p w14:paraId="5FE994BB">
            <w:pPr>
              <w:keepNext w:val="0"/>
              <w:keepLines w:val="0"/>
              <w:pageBreakBefore w:val="0"/>
              <w:widowControl w:val="0"/>
              <w:kinsoku/>
              <w:overflowPunct/>
              <w:topLinePunct w:val="0"/>
              <w:autoSpaceDE/>
              <w:autoSpaceDN/>
              <w:bidi w:val="0"/>
              <w:adjustRightInd/>
              <w:snapToGrid/>
              <w:spacing w:line="360" w:lineRule="auto"/>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数量</w:t>
            </w:r>
          </w:p>
        </w:tc>
        <w:tc>
          <w:tcPr>
            <w:tcW w:w="1059" w:type="pct"/>
            <w:noWrap/>
            <w:vAlign w:val="center"/>
          </w:tcPr>
          <w:p w14:paraId="4499662D">
            <w:pPr>
              <w:keepNext w:val="0"/>
              <w:keepLines w:val="0"/>
              <w:pageBreakBefore w:val="0"/>
              <w:widowControl w:val="0"/>
              <w:kinsoku/>
              <w:overflowPunct/>
              <w:topLinePunct w:val="0"/>
              <w:autoSpaceDE/>
              <w:autoSpaceDN/>
              <w:bidi w:val="0"/>
              <w:adjustRightInd/>
              <w:snapToGrid/>
              <w:spacing w:line="360" w:lineRule="auto"/>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金额</w:t>
            </w:r>
          </w:p>
        </w:tc>
      </w:tr>
      <w:tr w14:paraId="120E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003" w:type="pct"/>
            <w:noWrap/>
            <w:vAlign w:val="center"/>
          </w:tcPr>
          <w:p w14:paraId="42CC03C2">
            <w:pPr>
              <w:keepNext w:val="0"/>
              <w:keepLines w:val="0"/>
              <w:pageBreakBefore w:val="0"/>
              <w:widowControl w:val="0"/>
              <w:kinsoku/>
              <w:overflowPunct/>
              <w:topLinePunct w:val="0"/>
              <w:autoSpaceDE/>
              <w:autoSpaceDN/>
              <w:bidi w:val="0"/>
              <w:adjustRightInd/>
              <w:snapToGrid/>
              <w:spacing w:line="360" w:lineRule="auto"/>
              <w:jc w:val="center"/>
              <w:outlineLvl w:val="9"/>
              <w:rPr>
                <w:rFonts w:hint="eastAsia" w:ascii="宋体" w:hAnsi="宋体" w:eastAsia="宋体" w:cs="宋体"/>
                <w:color w:val="000000"/>
                <w:sz w:val="24"/>
                <w:szCs w:val="24"/>
              </w:rPr>
            </w:pPr>
          </w:p>
        </w:tc>
        <w:tc>
          <w:tcPr>
            <w:tcW w:w="570" w:type="pct"/>
            <w:noWrap/>
            <w:vAlign w:val="center"/>
          </w:tcPr>
          <w:p w14:paraId="0076FB05">
            <w:pPr>
              <w:keepNext w:val="0"/>
              <w:keepLines w:val="0"/>
              <w:pageBreakBefore w:val="0"/>
              <w:widowControl w:val="0"/>
              <w:kinsoku/>
              <w:overflowPunct/>
              <w:topLinePunct w:val="0"/>
              <w:autoSpaceDE/>
              <w:autoSpaceDN/>
              <w:bidi w:val="0"/>
              <w:adjustRightInd/>
              <w:snapToGrid/>
              <w:spacing w:line="360" w:lineRule="auto"/>
              <w:jc w:val="center"/>
              <w:outlineLvl w:val="9"/>
              <w:rPr>
                <w:rFonts w:hint="eastAsia" w:ascii="宋体" w:hAnsi="宋体" w:eastAsia="宋体" w:cs="宋体"/>
                <w:color w:val="000000"/>
                <w:sz w:val="24"/>
                <w:szCs w:val="24"/>
              </w:rPr>
            </w:pPr>
          </w:p>
        </w:tc>
        <w:tc>
          <w:tcPr>
            <w:tcW w:w="1144" w:type="pct"/>
            <w:noWrap/>
            <w:vAlign w:val="center"/>
          </w:tcPr>
          <w:p w14:paraId="661B52B0">
            <w:pPr>
              <w:keepNext w:val="0"/>
              <w:keepLines w:val="0"/>
              <w:pageBreakBefore w:val="0"/>
              <w:widowControl w:val="0"/>
              <w:kinsoku/>
              <w:overflowPunct/>
              <w:topLinePunct w:val="0"/>
              <w:autoSpaceDE/>
              <w:autoSpaceDN/>
              <w:bidi w:val="0"/>
              <w:adjustRightInd/>
              <w:snapToGrid/>
              <w:spacing w:line="360" w:lineRule="auto"/>
              <w:jc w:val="center"/>
              <w:outlineLvl w:val="9"/>
              <w:rPr>
                <w:rFonts w:hint="eastAsia" w:ascii="宋体" w:hAnsi="宋体" w:eastAsia="宋体" w:cs="宋体"/>
                <w:color w:val="000000"/>
                <w:sz w:val="24"/>
                <w:szCs w:val="24"/>
              </w:rPr>
            </w:pPr>
          </w:p>
        </w:tc>
        <w:tc>
          <w:tcPr>
            <w:tcW w:w="1223" w:type="pct"/>
            <w:noWrap/>
            <w:vAlign w:val="center"/>
          </w:tcPr>
          <w:p w14:paraId="61E4381D">
            <w:pPr>
              <w:keepNext w:val="0"/>
              <w:keepLines w:val="0"/>
              <w:pageBreakBefore w:val="0"/>
              <w:widowControl w:val="0"/>
              <w:kinsoku/>
              <w:overflowPunct/>
              <w:topLinePunct w:val="0"/>
              <w:autoSpaceDE/>
              <w:autoSpaceDN/>
              <w:bidi w:val="0"/>
              <w:adjustRightInd/>
              <w:snapToGrid/>
              <w:spacing w:line="360" w:lineRule="auto"/>
              <w:jc w:val="center"/>
              <w:outlineLvl w:val="9"/>
              <w:rPr>
                <w:rFonts w:hint="eastAsia" w:ascii="宋体" w:hAnsi="宋体" w:eastAsia="宋体" w:cs="宋体"/>
                <w:color w:val="000000"/>
                <w:sz w:val="24"/>
                <w:szCs w:val="24"/>
              </w:rPr>
            </w:pPr>
          </w:p>
        </w:tc>
        <w:tc>
          <w:tcPr>
            <w:tcW w:w="1059" w:type="pct"/>
            <w:noWrap/>
            <w:vAlign w:val="center"/>
          </w:tcPr>
          <w:p w14:paraId="54CAF6FC">
            <w:pPr>
              <w:keepNext w:val="0"/>
              <w:keepLines w:val="0"/>
              <w:pageBreakBefore w:val="0"/>
              <w:widowControl w:val="0"/>
              <w:kinsoku/>
              <w:overflowPunct/>
              <w:topLinePunct w:val="0"/>
              <w:autoSpaceDE/>
              <w:autoSpaceDN/>
              <w:bidi w:val="0"/>
              <w:adjustRightInd/>
              <w:snapToGrid/>
              <w:spacing w:line="360" w:lineRule="auto"/>
              <w:jc w:val="center"/>
              <w:outlineLvl w:val="9"/>
              <w:rPr>
                <w:rFonts w:hint="eastAsia" w:ascii="宋体" w:hAnsi="宋体" w:eastAsia="宋体" w:cs="宋体"/>
                <w:color w:val="000000"/>
                <w:sz w:val="24"/>
                <w:szCs w:val="24"/>
              </w:rPr>
            </w:pPr>
          </w:p>
        </w:tc>
      </w:tr>
      <w:tr w14:paraId="1543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03" w:type="pct"/>
            <w:noWrap/>
            <w:vAlign w:val="center"/>
          </w:tcPr>
          <w:p w14:paraId="48D988E5">
            <w:pPr>
              <w:keepNext w:val="0"/>
              <w:keepLines w:val="0"/>
              <w:pageBreakBefore w:val="0"/>
              <w:widowControl w:val="0"/>
              <w:kinsoku/>
              <w:overflowPunct/>
              <w:topLinePunct w:val="0"/>
              <w:autoSpaceDE/>
              <w:autoSpaceDN/>
              <w:bidi w:val="0"/>
              <w:adjustRightInd/>
              <w:snapToGrid/>
              <w:spacing w:line="360" w:lineRule="auto"/>
              <w:jc w:val="center"/>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合计：</w:t>
            </w:r>
          </w:p>
        </w:tc>
        <w:tc>
          <w:tcPr>
            <w:tcW w:w="3997" w:type="pct"/>
            <w:gridSpan w:val="4"/>
            <w:noWrap/>
            <w:vAlign w:val="center"/>
          </w:tcPr>
          <w:p w14:paraId="67231BFE">
            <w:pPr>
              <w:keepNext w:val="0"/>
              <w:keepLines w:val="0"/>
              <w:pageBreakBefore w:val="0"/>
              <w:widowControl w:val="0"/>
              <w:kinsoku/>
              <w:overflowPunct/>
              <w:topLinePunct w:val="0"/>
              <w:autoSpaceDE/>
              <w:autoSpaceDN/>
              <w:bidi w:val="0"/>
              <w:adjustRightInd/>
              <w:snapToGrid/>
              <w:spacing w:line="360" w:lineRule="auto"/>
              <w:jc w:val="left"/>
              <w:textAlignment w:val="center"/>
              <w:outlineLvl w:val="9"/>
              <w:rPr>
                <w:rFonts w:hint="eastAsia" w:ascii="宋体" w:hAnsi="宋体" w:eastAsia="宋体" w:cs="宋体"/>
                <w:color w:val="000000"/>
                <w:sz w:val="24"/>
                <w:szCs w:val="24"/>
              </w:rPr>
            </w:pPr>
          </w:p>
        </w:tc>
      </w:tr>
    </w:tbl>
    <w:p w14:paraId="06C56424">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以上金额包括项目实施所需的人工费、服务费、运输费、安装调试费、设备价款、备品备件费、检验费、包装费、装卸费、税金（含关税、增值税）、施工费、检测验收费、培训费等各项与此项目有关的一切费用。</w:t>
      </w:r>
    </w:p>
    <w:p w14:paraId="203B9F8C">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第二条</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产品的交货单位、交货时间、包装与运输、到货地点</w:t>
      </w:r>
    </w:p>
    <w:p w14:paraId="7A3A0E87">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1．产品的交货地点：</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w:t>
      </w:r>
    </w:p>
    <w:p w14:paraId="056436AB">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2．交货时间：乙方于年月日前完成交货、安装、调试合格并交付甲方使用。</w:t>
      </w:r>
    </w:p>
    <w:p w14:paraId="11233B18">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3．质量保证期：整套设备免费质保</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年。质保期计算：自设备验收合格第三日计算；保修期内所有故障及维修费用由乙方承担（人为因素除外）。</w:t>
      </w:r>
    </w:p>
    <w:p w14:paraId="387886BD">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一个月内出现质量问题可换新货，质保期内出现故障三次且影响正常使用的,应免费为甲方更换同款新设备，质保期相应顺延。</w:t>
      </w:r>
    </w:p>
    <w:p w14:paraId="72DEB6C2">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4.包装与运输</w:t>
      </w:r>
    </w:p>
    <w:p w14:paraId="2670C63B">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4.1除合同另有规定外，乙方供应的设备，均应按标准保护措施进行包装，须确保货物完好无损抵达指定现场，由于乙方包装不良及在运输过程中所造成的任何损失，由乙方负责。</w:t>
      </w:r>
    </w:p>
    <w:p w14:paraId="18849F23">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4.2每一包装箱内应附一份详细的装箱单和质量合格证书。</w:t>
      </w:r>
    </w:p>
    <w:p w14:paraId="0D37C419">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4.3乙方可选择合适的运输方式，并负责设备的发运、保险、装卸以及货到后未验收前的保管工作。</w:t>
      </w:r>
    </w:p>
    <w:p w14:paraId="47B8172D">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4.4交货要求：国产设备生产日期不超过3个月；进口设备生产日期不超过6个月。</w:t>
      </w:r>
    </w:p>
    <w:p w14:paraId="6B3860CB">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第三条</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货款结算</w:t>
      </w:r>
    </w:p>
    <w:p w14:paraId="5A5EA218">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双方协商。</w:t>
      </w:r>
    </w:p>
    <w:p w14:paraId="6CCCC7F4">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第四条</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培训、维修及服务</w:t>
      </w:r>
    </w:p>
    <w:p w14:paraId="283B6C16">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1、质保期内：接到甲方电话报故障后，维修响应时间为30分钟内，通过电话不能解决问题的，维修人员到达现场为24小时。</w:t>
      </w:r>
    </w:p>
    <w:p w14:paraId="1BC484F2">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2、外出培训：现场培训：免费为使用科室及维修人员进行培训，直至熟练操作所有设备及常见故障问题能维修。</w:t>
      </w:r>
    </w:p>
    <w:p w14:paraId="487B08EC">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第五条</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违约责任</w:t>
      </w:r>
    </w:p>
    <w:p w14:paraId="19BD80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１.乙方不能交货的，应向甲方偿付合同总价款5％的违约金；</w:t>
      </w:r>
    </w:p>
    <w:p w14:paraId="6FB17B0A">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2．乙方不能按时交货的，每逾期一天，向甲方偿付合同总价款的5‰的违约金；不能按照合同约定时间服务的，每延误一小时赔偿甲方违约金1000元整。</w:t>
      </w:r>
    </w:p>
    <w:p w14:paraId="00791DD0">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3．如果乙方不能按照合同规定的时间交货和提供服务的，甲方有权从货款中扣除误期赔偿费而不影响合同项下其他补救办法；不能按承诺内容履行的，甲方有权将其列入黑名单，医院任何经济活动不得参加。</w:t>
      </w:r>
    </w:p>
    <w:p w14:paraId="24CFDCEC">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4．乙方应保证甲方和使用单位在使用该器械或其任何一部分时不存在任何权利上的瑕疵，免受第三方提出侵犯其专利权、商标权或工业产权等起诉。</w:t>
      </w:r>
    </w:p>
    <w:p w14:paraId="6A68BC89">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5.甲方中途无理由退货，应向乙方赔付退货部分货款5％的违约金；</w:t>
      </w:r>
    </w:p>
    <w:p w14:paraId="49F21310">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6.甲方逾期付款的，应按中国人民银行同业拆借市场利率的规定向乙方赔付逾期付款的违约金。</w:t>
      </w:r>
    </w:p>
    <w:p w14:paraId="0F82E0E8">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第六条</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瑕疵问题</w:t>
      </w:r>
    </w:p>
    <w:p w14:paraId="6F0788A4">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如经国家检验机构确认乙方所供货物存在瑕疵或不符合本合同的约定，甲方有权选择下列方式之一要求乙方进行补救:</w:t>
      </w:r>
    </w:p>
    <w:p w14:paraId="7DEF1F73">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1.乙方同意甲方退货，并将全额货款于7个日历日内退还甲方，并承担因退货而发生的一切直接损失和费用。</w:t>
      </w:r>
    </w:p>
    <w:p w14:paraId="697F9571">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2.按照货物的疵劣程度、损坏的范围和甲方所遭受的损失，将货物贬值。</w:t>
      </w:r>
    </w:p>
    <w:p w14:paraId="6584D06E">
      <w:pPr>
        <w:keepNext w:val="0"/>
        <w:keepLines w:val="0"/>
        <w:pageBreakBefore w:val="0"/>
        <w:widowControl w:val="0"/>
        <w:kinsoku/>
        <w:overflowPunct/>
        <w:topLinePunct w:val="0"/>
        <w:autoSpaceDE/>
        <w:autoSpaceDN/>
        <w:bidi w:val="0"/>
        <w:adjustRightInd/>
        <w:snapToGrid/>
        <w:spacing w:line="360" w:lineRule="auto"/>
        <w:ind w:firstLine="480" w:firstLineChars="200"/>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3.调换有瑕疵的货物，换货必须全新并符合本合同规定的规格、质量和性能，乙方并负责因此而产生的一切费用和甲方的一切直接损失。</w:t>
      </w:r>
    </w:p>
    <w:p w14:paraId="226963BE">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第七条</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不可抗力</w:t>
      </w:r>
    </w:p>
    <w:p w14:paraId="221C0F30">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甲乙双方的任何一方由于不可抗力的原因（如水灾、旱灾、暴风雪、地震战争、罢工、政府禁令等。）不能履行合同时，应及时向对方通报不能履行或不能完全履行的理由，以减轻可能给对方造成的损失。</w:t>
      </w:r>
    </w:p>
    <w:p w14:paraId="00A1CDE4">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第八条</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为本合同附加条款，与本合同具有同等法律效力。</w:t>
      </w:r>
    </w:p>
    <w:p w14:paraId="11585232">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第九条</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本合同如发生纠纷，当事人双方应当及时协商解决，协商不成时，任何一方均可请业务主管机关调解或者向仲裁委员会申请仲裁，也可以直接向甲方人民法院起诉。</w:t>
      </w:r>
    </w:p>
    <w:p w14:paraId="054CFE45">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第十条</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合同如有未尽事宜，须经双方共同协商，作出补充规定，补充规定与合同具有同等法律效力。</w:t>
      </w:r>
    </w:p>
    <w:p w14:paraId="33A8B959">
      <w:pPr>
        <w:keepNext w:val="0"/>
        <w:keepLines w:val="0"/>
        <w:pageBreakBefore w:val="0"/>
        <w:widowControl w:val="0"/>
        <w:kinsoku/>
        <w:overflowPunct/>
        <w:topLinePunct w:val="0"/>
        <w:autoSpaceDE/>
        <w:autoSpaceDN/>
        <w:bidi w:val="0"/>
        <w:adjustRightInd/>
        <w:snapToGrid/>
        <w:spacing w:line="360" w:lineRule="auto"/>
        <w:ind w:firstLine="547" w:firstLineChars="228"/>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第十一条</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本合同一式</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份，甲方执</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份，乙方执</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rPr>
        <w:t>份。自双方签字盖章之日起生效。</w:t>
      </w:r>
    </w:p>
    <w:p w14:paraId="0E01B8ED">
      <w:pPr>
        <w:keepNext w:val="0"/>
        <w:keepLines w:val="0"/>
        <w:pageBreakBefore w:val="0"/>
        <w:widowControl w:val="0"/>
        <w:kinsoku/>
        <w:overflowPunct/>
        <w:topLinePunct w:val="0"/>
        <w:autoSpaceDE/>
        <w:autoSpaceDN/>
        <w:bidi w:val="0"/>
        <w:adjustRightInd/>
        <w:snapToGrid/>
        <w:spacing w:line="360" w:lineRule="auto"/>
        <w:ind w:left="6238" w:leftChars="456" w:hanging="5280" w:hangingChars="2200"/>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甲方：</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乙方：</w:t>
      </w:r>
    </w:p>
    <w:p w14:paraId="3B0A222B">
      <w:pPr>
        <w:keepNext w:val="0"/>
        <w:keepLines w:val="0"/>
        <w:pageBreakBefore w:val="0"/>
        <w:widowControl w:val="0"/>
        <w:kinsoku/>
        <w:overflowPunct/>
        <w:topLinePunct w:val="0"/>
        <w:autoSpaceDE/>
        <w:autoSpaceDN/>
        <w:bidi w:val="0"/>
        <w:adjustRightInd/>
        <w:snapToGrid/>
        <w:spacing w:line="360" w:lineRule="auto"/>
        <w:ind w:firstLine="960" w:firstLineChars="400"/>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地址：</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地址：</w:t>
      </w:r>
    </w:p>
    <w:p w14:paraId="4DD2BD1A">
      <w:pPr>
        <w:keepNext w:val="0"/>
        <w:keepLines w:val="0"/>
        <w:pageBreakBefore w:val="0"/>
        <w:widowControl w:val="0"/>
        <w:kinsoku/>
        <w:overflowPunct/>
        <w:topLinePunct w:val="0"/>
        <w:autoSpaceDE/>
        <w:autoSpaceDN/>
        <w:bidi w:val="0"/>
        <w:adjustRightInd/>
        <w:snapToGrid/>
        <w:spacing w:line="360" w:lineRule="auto"/>
        <w:ind w:firstLine="960" w:firstLineChars="400"/>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电话：</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电话：</w:t>
      </w:r>
    </w:p>
    <w:p w14:paraId="0FE98F6A">
      <w:pPr>
        <w:keepNext w:val="0"/>
        <w:keepLines w:val="0"/>
        <w:pageBreakBefore w:val="0"/>
        <w:widowControl w:val="0"/>
        <w:kinsoku/>
        <w:overflowPunct/>
        <w:topLinePunct w:val="0"/>
        <w:autoSpaceDE/>
        <w:autoSpaceDN/>
        <w:bidi w:val="0"/>
        <w:adjustRightInd/>
        <w:snapToGrid/>
        <w:spacing w:line="360" w:lineRule="auto"/>
        <w:ind w:left="5038" w:leftChars="456" w:hanging="4080" w:hangingChars="1700"/>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开户行：</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开户行：</w:t>
      </w:r>
    </w:p>
    <w:p w14:paraId="48D39B28">
      <w:pPr>
        <w:keepNext w:val="0"/>
        <w:keepLines w:val="0"/>
        <w:pageBreakBefore w:val="0"/>
        <w:widowControl w:val="0"/>
        <w:kinsoku/>
        <w:overflowPunct/>
        <w:topLinePunct w:val="0"/>
        <w:autoSpaceDE/>
        <w:autoSpaceDN/>
        <w:bidi w:val="0"/>
        <w:adjustRightInd/>
        <w:snapToGrid/>
        <w:spacing w:line="360" w:lineRule="auto"/>
        <w:ind w:firstLine="960" w:firstLineChars="400"/>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帐号：</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帐号：</w:t>
      </w:r>
    </w:p>
    <w:p w14:paraId="243FD828">
      <w:pPr>
        <w:keepNext w:val="0"/>
        <w:keepLines w:val="0"/>
        <w:pageBreakBefore w:val="0"/>
        <w:widowControl w:val="0"/>
        <w:kinsoku/>
        <w:overflowPunct/>
        <w:topLinePunct w:val="0"/>
        <w:autoSpaceDE/>
        <w:autoSpaceDN/>
        <w:bidi w:val="0"/>
        <w:adjustRightInd/>
        <w:snapToGrid/>
        <w:spacing w:line="360" w:lineRule="auto"/>
        <w:ind w:firstLine="960" w:firstLineChars="400"/>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委托人签字：</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委托人签字：</w:t>
      </w:r>
    </w:p>
    <w:p w14:paraId="3479BF26">
      <w:pPr>
        <w:keepNext w:val="0"/>
        <w:keepLines w:val="0"/>
        <w:pageBreakBefore w:val="0"/>
        <w:widowControl w:val="0"/>
        <w:kinsoku/>
        <w:overflowPunct/>
        <w:topLinePunct w:val="0"/>
        <w:autoSpaceDE/>
        <w:autoSpaceDN/>
        <w:bidi w:val="0"/>
        <w:adjustRightInd/>
        <w:snapToGrid/>
        <w:spacing w:line="360" w:lineRule="auto"/>
        <w:outlineLvl w:val="9"/>
        <w:rPr>
          <w:rFonts w:hint="eastAsia" w:ascii="宋体" w:hAnsi="宋体" w:eastAsia="宋体" w:cs="宋体"/>
          <w:color w:val="000000"/>
          <w:sz w:val="24"/>
          <w:szCs w:val="24"/>
        </w:rPr>
      </w:pPr>
    </w:p>
    <w:p w14:paraId="623DE24A">
      <w:pPr>
        <w:keepNext w:val="0"/>
        <w:keepLines w:val="0"/>
        <w:pageBreakBefore w:val="0"/>
        <w:widowControl w:val="0"/>
        <w:kinsoku/>
        <w:overflowPunct/>
        <w:topLinePunct w:val="0"/>
        <w:autoSpaceDE/>
        <w:autoSpaceDN/>
        <w:bidi w:val="0"/>
        <w:adjustRightInd/>
        <w:snapToGrid/>
        <w:spacing w:line="360" w:lineRule="auto"/>
        <w:ind w:firstLine="720" w:firstLineChars="300"/>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签订时间：年月日</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签订时间：年月日</w:t>
      </w:r>
    </w:p>
    <w:p w14:paraId="542ED0C1">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textAlignment w:val="auto"/>
        <w:outlineLvl w:val="9"/>
        <w:rPr>
          <w:rFonts w:hint="eastAsia" w:ascii="宋体" w:hAnsi="宋体" w:eastAsia="宋体" w:cs="宋体"/>
          <w:sz w:val="24"/>
          <w:szCs w:val="24"/>
        </w:rPr>
      </w:pPr>
    </w:p>
    <w:p w14:paraId="5A5DA71E">
      <w:pPr>
        <w:pStyle w:val="8"/>
        <w:widowControl w:val="0"/>
        <w:wordWrap w:val="0"/>
        <w:spacing w:before="0" w:beforeAutospacing="0" w:after="0" w:afterAutospacing="0" w:line="460" w:lineRule="exact"/>
        <w:ind w:firstLine="480" w:firstLineChars="200"/>
        <w:rPr>
          <w:rFonts w:hint="eastAsia" w:asciiTheme="minorEastAsia" w:hAnsiTheme="minorEastAsia" w:eastAsiaTheme="minorEastAsia" w:cstheme="minorEastAsia"/>
          <w:sz w:val="24"/>
          <w:szCs w:val="24"/>
        </w:rPr>
      </w:pPr>
    </w:p>
    <w:p w14:paraId="5184C7B7">
      <w:pPr>
        <w:pStyle w:val="8"/>
        <w:widowControl w:val="0"/>
        <w:wordWrap w:val="0"/>
        <w:spacing w:before="0" w:beforeAutospacing="0" w:after="0" w:afterAutospacing="0" w:line="460" w:lineRule="exact"/>
        <w:ind w:firstLine="480" w:firstLineChars="200"/>
        <w:rPr>
          <w:rFonts w:hint="eastAsia" w:asciiTheme="minorEastAsia" w:hAnsiTheme="minorEastAsia" w:eastAsiaTheme="minorEastAsia" w:cstheme="minorEastAsia"/>
          <w:sz w:val="24"/>
          <w:szCs w:val="24"/>
        </w:rPr>
      </w:pPr>
    </w:p>
    <w:p w14:paraId="55851994">
      <w:pPr>
        <w:pStyle w:val="8"/>
        <w:widowControl w:val="0"/>
        <w:wordWrap w:val="0"/>
        <w:spacing w:before="0" w:beforeAutospacing="0" w:after="0" w:afterAutospacing="0" w:line="460" w:lineRule="exact"/>
        <w:ind w:firstLine="480" w:firstLineChars="200"/>
        <w:rPr>
          <w:rFonts w:hint="eastAsia" w:asciiTheme="minorEastAsia" w:hAnsiTheme="minorEastAsia" w:eastAsiaTheme="minorEastAsia" w:cstheme="minorEastAsia"/>
          <w:sz w:val="24"/>
          <w:szCs w:val="24"/>
        </w:rPr>
      </w:pPr>
    </w:p>
    <w:p w14:paraId="1169B48F">
      <w:pPr>
        <w:pStyle w:val="8"/>
        <w:widowControl w:val="0"/>
        <w:wordWrap w:val="0"/>
        <w:spacing w:before="0" w:beforeAutospacing="0" w:after="0" w:afterAutospacing="0" w:line="460" w:lineRule="exact"/>
        <w:ind w:firstLine="480" w:firstLineChars="200"/>
        <w:rPr>
          <w:rFonts w:hint="eastAsia" w:asciiTheme="minorEastAsia" w:hAnsiTheme="minorEastAsia" w:eastAsiaTheme="minorEastAsia" w:cstheme="minorEastAsia"/>
          <w:sz w:val="24"/>
          <w:szCs w:val="24"/>
        </w:rPr>
      </w:pPr>
    </w:p>
    <w:p w14:paraId="15335F1B">
      <w:pPr>
        <w:pStyle w:val="8"/>
        <w:widowControl w:val="0"/>
        <w:wordWrap w:val="0"/>
        <w:spacing w:before="0" w:beforeAutospacing="0" w:after="0" w:afterAutospacing="0" w:line="460" w:lineRule="exact"/>
        <w:ind w:firstLine="480" w:firstLineChars="200"/>
        <w:rPr>
          <w:rFonts w:hint="eastAsia" w:asciiTheme="minorEastAsia" w:hAnsiTheme="minorEastAsia" w:eastAsiaTheme="minorEastAsia" w:cstheme="minorEastAsia"/>
          <w:sz w:val="24"/>
          <w:szCs w:val="24"/>
        </w:rPr>
      </w:pPr>
    </w:p>
    <w:p w14:paraId="3CF0250A">
      <w:pPr>
        <w:pStyle w:val="8"/>
        <w:widowControl w:val="0"/>
        <w:wordWrap w:val="0"/>
        <w:spacing w:before="0" w:beforeAutospacing="0" w:after="0" w:afterAutospacing="0" w:line="460" w:lineRule="exact"/>
        <w:rPr>
          <w:rFonts w:hint="eastAsia" w:asciiTheme="minorEastAsia" w:hAnsiTheme="minorEastAsia" w:eastAsiaTheme="minorEastAsia" w:cstheme="minorEastAsia"/>
          <w:sz w:val="24"/>
          <w:szCs w:val="24"/>
        </w:rPr>
      </w:pPr>
    </w:p>
    <w:p w14:paraId="49CF0954">
      <w:pPr>
        <w:pStyle w:val="8"/>
        <w:widowControl w:val="0"/>
        <w:wordWrap w:val="0"/>
        <w:spacing w:before="0" w:beforeAutospacing="0" w:after="0" w:afterAutospacing="0" w:line="460" w:lineRule="exact"/>
        <w:rPr>
          <w:rFonts w:hint="eastAsia" w:asciiTheme="minorEastAsia" w:hAnsiTheme="minorEastAsia" w:eastAsiaTheme="minorEastAsia" w:cstheme="minorEastAsia"/>
          <w:sz w:val="24"/>
          <w:szCs w:val="24"/>
        </w:rPr>
      </w:pPr>
    </w:p>
    <w:p w14:paraId="09EF4D2C">
      <w:pPr>
        <w:pStyle w:val="8"/>
        <w:widowControl w:val="0"/>
        <w:wordWrap w:val="0"/>
        <w:spacing w:before="0" w:beforeAutospacing="0" w:after="0" w:afterAutospacing="0" w:line="460" w:lineRule="exact"/>
        <w:rPr>
          <w:rFonts w:hint="eastAsia" w:asciiTheme="minorEastAsia" w:hAnsiTheme="minorEastAsia" w:eastAsiaTheme="minorEastAsia" w:cstheme="minorEastAsia"/>
          <w:sz w:val="24"/>
          <w:szCs w:val="24"/>
        </w:rPr>
      </w:pPr>
    </w:p>
    <w:p w14:paraId="166F3237">
      <w:pPr>
        <w:pStyle w:val="8"/>
        <w:widowControl w:val="0"/>
        <w:wordWrap w:val="0"/>
        <w:spacing w:before="0" w:beforeAutospacing="0" w:after="0" w:afterAutospacing="0" w:line="460" w:lineRule="exact"/>
        <w:ind w:firstLine="480" w:firstLineChars="200"/>
        <w:rPr>
          <w:rFonts w:hint="eastAsia" w:asciiTheme="minorEastAsia" w:hAnsiTheme="minorEastAsia" w:eastAsiaTheme="minorEastAsia" w:cstheme="minorEastAsia"/>
          <w:sz w:val="24"/>
          <w:szCs w:val="24"/>
        </w:rPr>
      </w:pPr>
    </w:p>
    <w:p w14:paraId="35B46813">
      <w:pPr>
        <w:pStyle w:val="8"/>
        <w:widowControl w:val="0"/>
        <w:wordWrap w:val="0"/>
        <w:spacing w:before="0" w:beforeAutospacing="0" w:after="0" w:afterAutospacing="0" w:line="460" w:lineRule="exact"/>
        <w:ind w:firstLine="480" w:firstLineChars="200"/>
        <w:rPr>
          <w:rFonts w:hint="eastAsia" w:asciiTheme="minorEastAsia" w:hAnsiTheme="minorEastAsia" w:eastAsiaTheme="minorEastAsia" w:cstheme="minorEastAsia"/>
          <w:sz w:val="24"/>
          <w:szCs w:val="24"/>
        </w:rPr>
      </w:pPr>
    </w:p>
    <w:p w14:paraId="09957C38">
      <w:pPr>
        <w:pStyle w:val="8"/>
        <w:widowControl w:val="0"/>
        <w:wordWrap w:val="0"/>
        <w:spacing w:before="0" w:beforeAutospacing="0" w:after="0" w:afterAutospacing="0" w:line="460" w:lineRule="exact"/>
        <w:ind w:firstLine="480" w:firstLineChars="200"/>
        <w:rPr>
          <w:rFonts w:hint="eastAsia" w:asciiTheme="minorEastAsia" w:hAnsiTheme="minorEastAsia" w:eastAsiaTheme="minorEastAsia" w:cstheme="minorEastAsia"/>
          <w:sz w:val="24"/>
          <w:szCs w:val="24"/>
        </w:rPr>
      </w:pPr>
    </w:p>
    <w:p w14:paraId="128CF9C7">
      <w:pPr>
        <w:pStyle w:val="8"/>
        <w:widowControl w:val="0"/>
        <w:wordWrap w:val="0"/>
        <w:spacing w:before="0" w:beforeAutospacing="0" w:after="0" w:afterAutospacing="0" w:line="460" w:lineRule="exact"/>
        <w:ind w:firstLine="480" w:firstLineChars="200"/>
        <w:rPr>
          <w:rFonts w:hint="eastAsia" w:asciiTheme="minorEastAsia" w:hAnsiTheme="minorEastAsia" w:eastAsiaTheme="minorEastAsia" w:cstheme="minorEastAsia"/>
          <w:sz w:val="24"/>
          <w:szCs w:val="24"/>
        </w:rPr>
      </w:pPr>
    </w:p>
    <w:p w14:paraId="1F27D930">
      <w:pPr>
        <w:pStyle w:val="8"/>
        <w:widowControl w:val="0"/>
        <w:wordWrap w:val="0"/>
        <w:spacing w:before="0" w:beforeAutospacing="0" w:after="0" w:afterAutospacing="0" w:line="460" w:lineRule="exact"/>
        <w:ind w:firstLine="480" w:firstLineChars="200"/>
        <w:rPr>
          <w:rFonts w:hint="eastAsia" w:asciiTheme="minorEastAsia" w:hAnsiTheme="minorEastAsia" w:eastAsiaTheme="minorEastAsia" w:cstheme="minorEastAsia"/>
          <w:sz w:val="24"/>
          <w:szCs w:val="24"/>
        </w:rPr>
      </w:pPr>
    </w:p>
    <w:p w14:paraId="2B034117">
      <w:pPr>
        <w:pStyle w:val="8"/>
        <w:widowControl w:val="0"/>
        <w:wordWrap w:val="0"/>
        <w:spacing w:before="0" w:beforeAutospacing="0" w:after="0" w:afterAutospacing="0" w:line="460" w:lineRule="exact"/>
        <w:ind w:firstLine="480" w:firstLineChars="200"/>
        <w:rPr>
          <w:rFonts w:hint="eastAsia" w:asciiTheme="minorEastAsia" w:hAnsiTheme="minorEastAsia" w:eastAsiaTheme="minorEastAsia" w:cstheme="minorEastAsia"/>
          <w:sz w:val="24"/>
          <w:szCs w:val="24"/>
        </w:rPr>
      </w:pPr>
    </w:p>
    <w:p w14:paraId="6DFC9F38">
      <w:pPr>
        <w:pStyle w:val="8"/>
        <w:widowControl w:val="0"/>
        <w:wordWrap w:val="0"/>
        <w:spacing w:before="0" w:beforeAutospacing="0" w:after="0" w:afterAutospacing="0" w:line="460" w:lineRule="exact"/>
        <w:ind w:firstLine="480" w:firstLineChars="200"/>
        <w:rPr>
          <w:rFonts w:hint="eastAsia" w:asciiTheme="minorEastAsia" w:hAnsiTheme="minorEastAsia" w:eastAsiaTheme="minorEastAsia" w:cstheme="minorEastAsia"/>
          <w:sz w:val="24"/>
          <w:szCs w:val="24"/>
        </w:rPr>
      </w:pPr>
    </w:p>
    <w:p w14:paraId="5553F6AD">
      <w:pPr>
        <w:pStyle w:val="8"/>
        <w:widowControl w:val="0"/>
        <w:wordWrap w:val="0"/>
        <w:spacing w:before="0" w:beforeAutospacing="0" w:after="0" w:afterAutospacing="0" w:line="460" w:lineRule="exact"/>
        <w:ind w:firstLine="480" w:firstLineChars="200"/>
        <w:rPr>
          <w:rFonts w:hint="eastAsia" w:asciiTheme="minorEastAsia" w:hAnsiTheme="minorEastAsia" w:eastAsiaTheme="minorEastAsia" w:cstheme="minorEastAsia"/>
          <w:sz w:val="24"/>
          <w:szCs w:val="24"/>
        </w:rPr>
      </w:pPr>
    </w:p>
    <w:p w14:paraId="72E87E8B">
      <w:pPr>
        <w:pStyle w:val="8"/>
        <w:widowControl w:val="0"/>
        <w:wordWrap w:val="0"/>
        <w:spacing w:before="0" w:beforeAutospacing="0" w:after="0" w:afterAutospacing="0" w:line="460" w:lineRule="exact"/>
        <w:ind w:firstLine="480" w:firstLineChars="200"/>
        <w:rPr>
          <w:rFonts w:hint="eastAsia" w:asciiTheme="minorEastAsia" w:hAnsiTheme="minorEastAsia" w:eastAsiaTheme="minorEastAsia" w:cstheme="minorEastAsia"/>
          <w:sz w:val="24"/>
          <w:szCs w:val="24"/>
        </w:rPr>
      </w:pPr>
    </w:p>
    <w:p w14:paraId="1774163B">
      <w:pPr>
        <w:keepNext w:val="0"/>
        <w:keepLines w:val="0"/>
        <w:pageBreakBefore w:val="0"/>
        <w:widowControl w:val="0"/>
        <w:kinsoku/>
        <w:wordWrap/>
        <w:overflowPunct/>
        <w:topLinePunct w:val="0"/>
        <w:autoSpaceDE/>
        <w:autoSpaceDN/>
        <w:bidi w:val="0"/>
        <w:adjustRightInd/>
        <w:snapToGrid/>
        <w:spacing w:before="240" w:after="60" w:line="360" w:lineRule="auto"/>
        <w:jc w:val="center"/>
        <w:textAlignment w:val="auto"/>
        <w:outlineLvl w:val="0"/>
        <w:rPr>
          <w:rFonts w:hint="default" w:eastAsia="宋体" w:asciiTheme="majorHAnsi" w:hAnsiTheme="majorHAnsi" w:cstheme="majorBidi"/>
          <w:b/>
          <w:bCs/>
          <w:kern w:val="28"/>
          <w:sz w:val="32"/>
          <w:szCs w:val="32"/>
          <w:lang w:val="en-US" w:eastAsia="zh-CN"/>
        </w:rPr>
      </w:pPr>
      <w:bookmarkStart w:id="63" w:name="_Toc29530"/>
      <w:r>
        <w:rPr>
          <w:rFonts w:hint="eastAsia" w:eastAsia="宋体" w:asciiTheme="majorHAnsi" w:hAnsiTheme="majorHAnsi" w:cstheme="majorBidi"/>
          <w:b/>
          <w:bCs/>
          <w:kern w:val="28"/>
          <w:sz w:val="32"/>
          <w:szCs w:val="32"/>
          <w:lang w:val="en-US" w:eastAsia="zh-CN"/>
        </w:rPr>
        <w:t>第五章  采购内容及技术要求</w:t>
      </w:r>
      <w:bookmarkEnd w:id="63"/>
    </w:p>
    <w:tbl>
      <w:tblPr>
        <w:tblStyle w:val="12"/>
        <w:tblpPr w:leftFromText="180" w:rightFromText="180" w:vertAnchor="page" w:horzAnchor="page" w:tblpXSpec="center" w:tblpY="237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454"/>
        <w:gridCol w:w="4305"/>
        <w:gridCol w:w="562"/>
        <w:gridCol w:w="810"/>
        <w:gridCol w:w="855"/>
        <w:gridCol w:w="1020"/>
      </w:tblGrid>
      <w:tr w14:paraId="765E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Align w:val="center"/>
          </w:tcPr>
          <w:p w14:paraId="61CD86AE">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序号</w:t>
            </w:r>
          </w:p>
        </w:tc>
        <w:tc>
          <w:tcPr>
            <w:tcW w:w="1454" w:type="dxa"/>
            <w:vAlign w:val="center"/>
          </w:tcPr>
          <w:p w14:paraId="6A0652EA">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货物名称</w:t>
            </w:r>
          </w:p>
        </w:tc>
        <w:tc>
          <w:tcPr>
            <w:tcW w:w="4305" w:type="dxa"/>
            <w:vAlign w:val="center"/>
          </w:tcPr>
          <w:p w14:paraId="6A002A35">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规格及详细技术参数</w:t>
            </w:r>
          </w:p>
        </w:tc>
        <w:tc>
          <w:tcPr>
            <w:tcW w:w="562" w:type="dxa"/>
            <w:vAlign w:val="center"/>
          </w:tcPr>
          <w:p w14:paraId="12824DA1">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单位</w:t>
            </w:r>
          </w:p>
        </w:tc>
        <w:tc>
          <w:tcPr>
            <w:tcW w:w="810" w:type="dxa"/>
            <w:vAlign w:val="center"/>
          </w:tcPr>
          <w:p w14:paraId="6A37DB88">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采购数量</w:t>
            </w:r>
          </w:p>
        </w:tc>
        <w:tc>
          <w:tcPr>
            <w:tcW w:w="855" w:type="dxa"/>
            <w:vAlign w:val="center"/>
          </w:tcPr>
          <w:p w14:paraId="393B0F14">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单价（元）</w:t>
            </w:r>
          </w:p>
        </w:tc>
        <w:tc>
          <w:tcPr>
            <w:tcW w:w="1020" w:type="dxa"/>
            <w:vAlign w:val="center"/>
          </w:tcPr>
          <w:p w14:paraId="07AA76C9">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总价（元）</w:t>
            </w:r>
          </w:p>
        </w:tc>
      </w:tr>
      <w:tr w14:paraId="02FE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661" w:type="dxa"/>
            <w:vMerge w:val="restart"/>
            <w:vAlign w:val="center"/>
          </w:tcPr>
          <w:p w14:paraId="6CAABCF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454" w:type="dxa"/>
            <w:vMerge w:val="restart"/>
            <w:vAlign w:val="center"/>
          </w:tcPr>
          <w:p w14:paraId="7E7DF7CC">
            <w:pPr>
              <w:jc w:val="center"/>
              <w:rPr>
                <w:rFonts w:hint="eastAsia" w:ascii="宋体" w:hAnsi="宋体" w:eastAsia="宋体" w:cs="宋体"/>
                <w:sz w:val="24"/>
                <w:szCs w:val="24"/>
                <w:vertAlign w:val="baseline"/>
              </w:rPr>
            </w:pPr>
          </w:p>
          <w:p w14:paraId="0A05B93C">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农产品冷藏仓储货架</w:t>
            </w:r>
          </w:p>
        </w:tc>
        <w:tc>
          <w:tcPr>
            <w:tcW w:w="4305" w:type="dxa"/>
            <w:vAlign w:val="center"/>
          </w:tcPr>
          <w:p w14:paraId="30F9403C">
            <w:pPr>
              <w:numPr>
                <w:ilvl w:val="0"/>
                <w:numId w:val="0"/>
              </w:numPr>
              <w:jc w:val="both"/>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一、</w:t>
            </w:r>
            <w:r>
              <w:rPr>
                <w:rFonts w:hint="eastAsia" w:ascii="宋体" w:hAnsi="宋体" w:eastAsia="宋体" w:cs="宋体"/>
                <w:sz w:val="24"/>
                <w:szCs w:val="24"/>
                <w:vertAlign w:val="baseline"/>
              </w:rPr>
              <w:t xml:space="preserve">外形尺寸：                                   </w:t>
            </w:r>
          </w:p>
          <w:p w14:paraId="6000F6B6">
            <w:pPr>
              <w:numPr>
                <w:ilvl w:val="0"/>
                <w:numId w:val="0"/>
              </w:numPr>
              <w:jc w:val="both"/>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长</w:t>
            </w:r>
            <w:r>
              <w:rPr>
                <w:rFonts w:hint="eastAsia" w:ascii="宋体" w:hAnsi="宋体" w:eastAsia="宋体" w:cs="宋体"/>
                <w:sz w:val="24"/>
                <w:szCs w:val="24"/>
                <w:vertAlign w:val="baseline"/>
              </w:rPr>
              <w:t xml:space="preserve">1200mm×宽1200mm×高1500mm；                </w:t>
            </w:r>
          </w:p>
          <w:p w14:paraId="6EC15335">
            <w:pPr>
              <w:numPr>
                <w:ilvl w:val="0"/>
                <w:numId w:val="0"/>
              </w:numPr>
              <w:jc w:val="both"/>
              <w:rPr>
                <w:rFonts w:hint="eastAsia" w:ascii="宋体" w:hAnsi="宋体" w:eastAsia="宋体" w:cs="宋体"/>
                <w:sz w:val="24"/>
                <w:szCs w:val="24"/>
                <w:vertAlign w:val="baseline"/>
              </w:rPr>
            </w:pPr>
            <w:r>
              <w:rPr>
                <w:rFonts w:hint="eastAsia" w:ascii="宋体" w:hAnsi="宋体" w:eastAsia="宋体" w:cs="宋体"/>
                <w:sz w:val="24"/>
                <w:szCs w:val="24"/>
                <w:vertAlign w:val="baseline"/>
              </w:rPr>
              <w:t>重量≥42.8kg；</w:t>
            </w:r>
          </w:p>
        </w:tc>
        <w:tc>
          <w:tcPr>
            <w:tcW w:w="562" w:type="dxa"/>
            <w:vMerge w:val="restart"/>
            <w:vAlign w:val="center"/>
          </w:tcPr>
          <w:p w14:paraId="2073097F">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套</w:t>
            </w:r>
          </w:p>
        </w:tc>
        <w:tc>
          <w:tcPr>
            <w:tcW w:w="810" w:type="dxa"/>
            <w:vMerge w:val="restart"/>
            <w:vAlign w:val="center"/>
          </w:tcPr>
          <w:p w14:paraId="26DB266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3000</w:t>
            </w:r>
          </w:p>
        </w:tc>
        <w:tc>
          <w:tcPr>
            <w:tcW w:w="855" w:type="dxa"/>
            <w:vMerge w:val="restart"/>
            <w:vAlign w:val="center"/>
          </w:tcPr>
          <w:p w14:paraId="396CB209">
            <w:pPr>
              <w:jc w:val="center"/>
              <w:rPr>
                <w:rFonts w:hint="eastAsia" w:ascii="宋体" w:hAnsi="宋体" w:eastAsia="宋体" w:cs="宋体"/>
                <w:sz w:val="24"/>
                <w:szCs w:val="24"/>
                <w:vertAlign w:val="baseline"/>
                <w:lang w:val="en-US" w:eastAsia="zh-CN"/>
              </w:rPr>
            </w:pPr>
          </w:p>
        </w:tc>
        <w:tc>
          <w:tcPr>
            <w:tcW w:w="1020" w:type="dxa"/>
            <w:vMerge w:val="restart"/>
            <w:vAlign w:val="center"/>
          </w:tcPr>
          <w:p w14:paraId="03B37657">
            <w:pPr>
              <w:jc w:val="center"/>
              <w:rPr>
                <w:rFonts w:hint="eastAsia" w:ascii="宋体" w:hAnsi="宋体" w:eastAsia="宋体" w:cs="宋体"/>
                <w:sz w:val="24"/>
                <w:szCs w:val="24"/>
                <w:vertAlign w:val="baseline"/>
                <w:lang w:val="en-US" w:eastAsia="zh-CN"/>
              </w:rPr>
            </w:pPr>
          </w:p>
        </w:tc>
      </w:tr>
      <w:tr w14:paraId="7141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661" w:type="dxa"/>
            <w:vMerge w:val="continue"/>
            <w:vAlign w:val="center"/>
          </w:tcPr>
          <w:p w14:paraId="517D0080">
            <w:pPr>
              <w:jc w:val="center"/>
              <w:rPr>
                <w:rFonts w:hint="eastAsia" w:ascii="宋体" w:hAnsi="宋体" w:eastAsia="宋体" w:cs="宋体"/>
                <w:sz w:val="24"/>
                <w:szCs w:val="24"/>
                <w:vertAlign w:val="baseline"/>
              </w:rPr>
            </w:pPr>
          </w:p>
        </w:tc>
        <w:tc>
          <w:tcPr>
            <w:tcW w:w="1454" w:type="dxa"/>
            <w:vMerge w:val="continue"/>
            <w:vAlign w:val="center"/>
          </w:tcPr>
          <w:p w14:paraId="11B8F46A">
            <w:pPr>
              <w:jc w:val="center"/>
              <w:rPr>
                <w:rFonts w:hint="eastAsia" w:ascii="宋体" w:hAnsi="宋体" w:eastAsia="宋体" w:cs="宋体"/>
                <w:sz w:val="24"/>
                <w:szCs w:val="24"/>
                <w:vertAlign w:val="baseline"/>
              </w:rPr>
            </w:pPr>
          </w:p>
        </w:tc>
        <w:tc>
          <w:tcPr>
            <w:tcW w:w="4305" w:type="dxa"/>
            <w:vAlign w:val="center"/>
          </w:tcPr>
          <w:p w14:paraId="3360BB64">
            <w:pPr>
              <w:jc w:val="both"/>
              <w:rPr>
                <w:rFonts w:hint="eastAsia" w:ascii="宋体" w:hAnsi="宋体" w:eastAsia="宋体" w:cs="宋体"/>
                <w:sz w:val="24"/>
                <w:szCs w:val="24"/>
                <w:vertAlign w:val="baseline"/>
              </w:rPr>
            </w:pPr>
            <w:r>
              <w:rPr>
                <w:rFonts w:hint="eastAsia" w:ascii="宋体" w:hAnsi="宋体" w:eastAsia="宋体" w:cs="宋体"/>
                <w:sz w:val="24"/>
                <w:szCs w:val="24"/>
                <w:vertAlign w:val="baseline"/>
              </w:rPr>
              <w:t>二、构件配置：</w:t>
            </w:r>
          </w:p>
        </w:tc>
        <w:tc>
          <w:tcPr>
            <w:tcW w:w="562" w:type="dxa"/>
            <w:vMerge w:val="continue"/>
            <w:vAlign w:val="center"/>
          </w:tcPr>
          <w:p w14:paraId="06B274F2">
            <w:pPr>
              <w:jc w:val="center"/>
              <w:rPr>
                <w:rFonts w:hint="eastAsia" w:ascii="宋体" w:hAnsi="宋体" w:eastAsia="宋体" w:cs="宋体"/>
                <w:sz w:val="24"/>
                <w:szCs w:val="24"/>
                <w:vertAlign w:val="baseline"/>
              </w:rPr>
            </w:pPr>
          </w:p>
        </w:tc>
        <w:tc>
          <w:tcPr>
            <w:tcW w:w="810" w:type="dxa"/>
            <w:vMerge w:val="continue"/>
            <w:vAlign w:val="center"/>
          </w:tcPr>
          <w:p w14:paraId="54F3A61B">
            <w:pPr>
              <w:jc w:val="center"/>
              <w:rPr>
                <w:rFonts w:hint="eastAsia" w:ascii="宋体" w:hAnsi="宋体" w:eastAsia="宋体" w:cs="宋体"/>
                <w:sz w:val="24"/>
                <w:szCs w:val="24"/>
                <w:vertAlign w:val="baseline"/>
              </w:rPr>
            </w:pPr>
          </w:p>
        </w:tc>
        <w:tc>
          <w:tcPr>
            <w:tcW w:w="855" w:type="dxa"/>
            <w:vMerge w:val="continue"/>
            <w:vAlign w:val="center"/>
          </w:tcPr>
          <w:p w14:paraId="2B007E9A">
            <w:pPr>
              <w:jc w:val="center"/>
              <w:rPr>
                <w:rFonts w:hint="eastAsia" w:ascii="宋体" w:hAnsi="宋体" w:eastAsia="宋体" w:cs="宋体"/>
                <w:sz w:val="24"/>
                <w:szCs w:val="24"/>
                <w:vertAlign w:val="baseline"/>
              </w:rPr>
            </w:pPr>
          </w:p>
        </w:tc>
        <w:tc>
          <w:tcPr>
            <w:tcW w:w="1020" w:type="dxa"/>
            <w:vMerge w:val="continue"/>
            <w:vAlign w:val="center"/>
          </w:tcPr>
          <w:p w14:paraId="4F9F4A05">
            <w:pPr>
              <w:jc w:val="center"/>
              <w:rPr>
                <w:rFonts w:hint="eastAsia" w:ascii="宋体" w:hAnsi="宋体" w:eastAsia="宋体" w:cs="宋体"/>
                <w:sz w:val="24"/>
                <w:szCs w:val="24"/>
                <w:vertAlign w:val="baseline"/>
              </w:rPr>
            </w:pPr>
          </w:p>
        </w:tc>
      </w:tr>
      <w:tr w14:paraId="3B89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61" w:type="dxa"/>
            <w:vMerge w:val="continue"/>
            <w:vAlign w:val="center"/>
          </w:tcPr>
          <w:p w14:paraId="3DC68879">
            <w:pPr>
              <w:jc w:val="center"/>
              <w:rPr>
                <w:rFonts w:hint="eastAsia" w:ascii="宋体" w:hAnsi="宋体" w:eastAsia="宋体" w:cs="宋体"/>
                <w:sz w:val="24"/>
                <w:szCs w:val="24"/>
                <w:vertAlign w:val="baseline"/>
              </w:rPr>
            </w:pPr>
          </w:p>
        </w:tc>
        <w:tc>
          <w:tcPr>
            <w:tcW w:w="1454" w:type="dxa"/>
            <w:vMerge w:val="continue"/>
            <w:vAlign w:val="center"/>
          </w:tcPr>
          <w:p w14:paraId="219B592A">
            <w:pPr>
              <w:jc w:val="center"/>
              <w:rPr>
                <w:rFonts w:hint="eastAsia" w:ascii="宋体" w:hAnsi="宋体" w:eastAsia="宋体" w:cs="宋体"/>
                <w:sz w:val="24"/>
                <w:szCs w:val="24"/>
                <w:vertAlign w:val="baseline"/>
              </w:rPr>
            </w:pPr>
          </w:p>
        </w:tc>
        <w:tc>
          <w:tcPr>
            <w:tcW w:w="4305" w:type="dxa"/>
            <w:vAlign w:val="center"/>
          </w:tcPr>
          <w:p w14:paraId="70F6EEBC">
            <w:pPr>
              <w:jc w:val="both"/>
              <w:rPr>
                <w:rFonts w:hint="eastAsia" w:ascii="宋体" w:hAnsi="宋体" w:eastAsia="宋体" w:cs="宋体"/>
                <w:sz w:val="24"/>
                <w:szCs w:val="24"/>
                <w:vertAlign w:val="baseline"/>
              </w:rPr>
            </w:pPr>
            <w:r>
              <w:rPr>
                <w:rFonts w:hint="eastAsia" w:ascii="宋体" w:hAnsi="宋体" w:eastAsia="宋体" w:cs="宋体"/>
                <w:sz w:val="24"/>
                <w:szCs w:val="24"/>
                <w:vertAlign w:val="baseline"/>
              </w:rPr>
              <w:t>1. 立柱规格：</w:t>
            </w:r>
          </w:p>
        </w:tc>
        <w:tc>
          <w:tcPr>
            <w:tcW w:w="562" w:type="dxa"/>
            <w:vMerge w:val="continue"/>
            <w:vAlign w:val="center"/>
          </w:tcPr>
          <w:p w14:paraId="62E45E2F">
            <w:pPr>
              <w:jc w:val="center"/>
              <w:rPr>
                <w:rFonts w:hint="eastAsia" w:ascii="宋体" w:hAnsi="宋体" w:eastAsia="宋体" w:cs="宋体"/>
                <w:sz w:val="24"/>
                <w:szCs w:val="24"/>
                <w:vertAlign w:val="baseline"/>
              </w:rPr>
            </w:pPr>
          </w:p>
        </w:tc>
        <w:tc>
          <w:tcPr>
            <w:tcW w:w="810" w:type="dxa"/>
            <w:vMerge w:val="continue"/>
            <w:vAlign w:val="center"/>
          </w:tcPr>
          <w:p w14:paraId="0F255C3B">
            <w:pPr>
              <w:jc w:val="center"/>
              <w:rPr>
                <w:rFonts w:hint="eastAsia" w:ascii="宋体" w:hAnsi="宋体" w:eastAsia="宋体" w:cs="宋体"/>
                <w:sz w:val="24"/>
                <w:szCs w:val="24"/>
                <w:vertAlign w:val="baseline"/>
              </w:rPr>
            </w:pPr>
          </w:p>
        </w:tc>
        <w:tc>
          <w:tcPr>
            <w:tcW w:w="855" w:type="dxa"/>
            <w:vMerge w:val="continue"/>
            <w:vAlign w:val="center"/>
          </w:tcPr>
          <w:p w14:paraId="2414820A">
            <w:pPr>
              <w:jc w:val="center"/>
              <w:rPr>
                <w:rFonts w:hint="eastAsia" w:ascii="宋体" w:hAnsi="宋体" w:eastAsia="宋体" w:cs="宋体"/>
                <w:sz w:val="24"/>
                <w:szCs w:val="24"/>
                <w:vertAlign w:val="baseline"/>
              </w:rPr>
            </w:pPr>
          </w:p>
        </w:tc>
        <w:tc>
          <w:tcPr>
            <w:tcW w:w="1020" w:type="dxa"/>
            <w:vMerge w:val="continue"/>
            <w:vAlign w:val="center"/>
          </w:tcPr>
          <w:p w14:paraId="72D0CAA3">
            <w:pPr>
              <w:jc w:val="center"/>
              <w:rPr>
                <w:rFonts w:hint="eastAsia" w:ascii="宋体" w:hAnsi="宋体" w:eastAsia="宋体" w:cs="宋体"/>
                <w:sz w:val="24"/>
                <w:szCs w:val="24"/>
                <w:vertAlign w:val="baseline"/>
              </w:rPr>
            </w:pPr>
          </w:p>
        </w:tc>
      </w:tr>
      <w:tr w14:paraId="2DB8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vMerge w:val="continue"/>
            <w:vAlign w:val="center"/>
          </w:tcPr>
          <w:p w14:paraId="30C1BA8E">
            <w:pPr>
              <w:jc w:val="center"/>
              <w:rPr>
                <w:rFonts w:hint="eastAsia" w:ascii="宋体" w:hAnsi="宋体" w:eastAsia="宋体" w:cs="宋体"/>
                <w:sz w:val="24"/>
                <w:szCs w:val="24"/>
                <w:vertAlign w:val="baseline"/>
              </w:rPr>
            </w:pPr>
          </w:p>
        </w:tc>
        <w:tc>
          <w:tcPr>
            <w:tcW w:w="1454" w:type="dxa"/>
            <w:vMerge w:val="continue"/>
            <w:vAlign w:val="center"/>
          </w:tcPr>
          <w:p w14:paraId="767B7649">
            <w:pPr>
              <w:jc w:val="center"/>
              <w:rPr>
                <w:rFonts w:hint="eastAsia" w:ascii="宋体" w:hAnsi="宋体" w:eastAsia="宋体" w:cs="宋体"/>
                <w:sz w:val="24"/>
                <w:szCs w:val="24"/>
                <w:vertAlign w:val="baseline"/>
              </w:rPr>
            </w:pPr>
          </w:p>
        </w:tc>
        <w:tc>
          <w:tcPr>
            <w:tcW w:w="4305" w:type="dxa"/>
            <w:vAlign w:val="center"/>
          </w:tcPr>
          <w:p w14:paraId="6F46D3FE">
            <w:pPr>
              <w:jc w:val="left"/>
              <w:rPr>
                <w:rFonts w:hint="eastAsia" w:ascii="宋体" w:hAnsi="宋体" w:eastAsia="宋体" w:cs="宋体"/>
                <w:sz w:val="24"/>
                <w:szCs w:val="24"/>
                <w:vertAlign w:val="baseline"/>
              </w:rPr>
            </w:pPr>
            <w:r>
              <w:rPr>
                <w:rFonts w:hint="eastAsia" w:ascii="宋体" w:hAnsi="宋体" w:eastAsia="宋体" w:cs="宋体"/>
                <w:sz w:val="24"/>
                <w:szCs w:val="24"/>
                <w:vertAlign w:val="baseline"/>
              </w:rPr>
              <w:t>（1）角钢规格：40mm×40mm×1.5mm；</w:t>
            </w:r>
          </w:p>
        </w:tc>
        <w:tc>
          <w:tcPr>
            <w:tcW w:w="562" w:type="dxa"/>
            <w:vMerge w:val="continue"/>
            <w:vAlign w:val="center"/>
          </w:tcPr>
          <w:p w14:paraId="6A1A82B1">
            <w:pPr>
              <w:jc w:val="center"/>
              <w:rPr>
                <w:rFonts w:hint="eastAsia" w:ascii="宋体" w:hAnsi="宋体" w:eastAsia="宋体" w:cs="宋体"/>
                <w:sz w:val="24"/>
                <w:szCs w:val="24"/>
                <w:vertAlign w:val="baseline"/>
              </w:rPr>
            </w:pPr>
          </w:p>
        </w:tc>
        <w:tc>
          <w:tcPr>
            <w:tcW w:w="810" w:type="dxa"/>
            <w:vMerge w:val="continue"/>
            <w:vAlign w:val="center"/>
          </w:tcPr>
          <w:p w14:paraId="29204F90">
            <w:pPr>
              <w:jc w:val="center"/>
              <w:rPr>
                <w:rFonts w:hint="eastAsia" w:ascii="宋体" w:hAnsi="宋体" w:eastAsia="宋体" w:cs="宋体"/>
                <w:sz w:val="24"/>
                <w:szCs w:val="24"/>
                <w:vertAlign w:val="baseline"/>
              </w:rPr>
            </w:pPr>
          </w:p>
        </w:tc>
        <w:tc>
          <w:tcPr>
            <w:tcW w:w="855" w:type="dxa"/>
            <w:vMerge w:val="continue"/>
            <w:vAlign w:val="center"/>
          </w:tcPr>
          <w:p w14:paraId="527E40F1">
            <w:pPr>
              <w:jc w:val="center"/>
              <w:rPr>
                <w:rFonts w:hint="eastAsia" w:ascii="宋体" w:hAnsi="宋体" w:eastAsia="宋体" w:cs="宋体"/>
                <w:sz w:val="24"/>
                <w:szCs w:val="24"/>
                <w:vertAlign w:val="baseline"/>
              </w:rPr>
            </w:pPr>
          </w:p>
        </w:tc>
        <w:tc>
          <w:tcPr>
            <w:tcW w:w="1020" w:type="dxa"/>
            <w:vMerge w:val="continue"/>
            <w:vAlign w:val="center"/>
          </w:tcPr>
          <w:p w14:paraId="6BF1ACF6">
            <w:pPr>
              <w:jc w:val="center"/>
              <w:rPr>
                <w:rFonts w:hint="eastAsia" w:ascii="宋体" w:hAnsi="宋体" w:eastAsia="宋体" w:cs="宋体"/>
                <w:sz w:val="24"/>
                <w:szCs w:val="24"/>
                <w:vertAlign w:val="baseline"/>
              </w:rPr>
            </w:pPr>
          </w:p>
        </w:tc>
      </w:tr>
      <w:tr w14:paraId="2BB9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vMerge w:val="continue"/>
            <w:vAlign w:val="center"/>
          </w:tcPr>
          <w:p w14:paraId="72AFDC87">
            <w:pPr>
              <w:jc w:val="center"/>
              <w:rPr>
                <w:rFonts w:hint="eastAsia" w:ascii="宋体" w:hAnsi="宋体" w:eastAsia="宋体" w:cs="宋体"/>
                <w:sz w:val="24"/>
                <w:szCs w:val="24"/>
                <w:vertAlign w:val="baseline"/>
              </w:rPr>
            </w:pPr>
          </w:p>
        </w:tc>
        <w:tc>
          <w:tcPr>
            <w:tcW w:w="1454" w:type="dxa"/>
            <w:vMerge w:val="continue"/>
            <w:vAlign w:val="center"/>
          </w:tcPr>
          <w:p w14:paraId="18BC2F18">
            <w:pPr>
              <w:jc w:val="center"/>
              <w:rPr>
                <w:rFonts w:hint="eastAsia" w:ascii="宋体" w:hAnsi="宋体" w:eastAsia="宋体" w:cs="宋体"/>
                <w:sz w:val="24"/>
                <w:szCs w:val="24"/>
                <w:vertAlign w:val="baseline"/>
              </w:rPr>
            </w:pPr>
          </w:p>
        </w:tc>
        <w:tc>
          <w:tcPr>
            <w:tcW w:w="4305" w:type="dxa"/>
            <w:vAlign w:val="center"/>
          </w:tcPr>
          <w:p w14:paraId="3E6F4289">
            <w:pPr>
              <w:jc w:val="both"/>
              <w:rPr>
                <w:rFonts w:hint="eastAsia" w:ascii="宋体" w:hAnsi="宋体" w:eastAsia="宋体" w:cs="宋体"/>
                <w:sz w:val="24"/>
                <w:szCs w:val="24"/>
                <w:vertAlign w:val="baseline"/>
              </w:rPr>
            </w:pPr>
            <w:r>
              <w:rPr>
                <w:rFonts w:hint="eastAsia" w:ascii="宋体" w:hAnsi="宋体" w:eastAsia="宋体" w:cs="宋体"/>
                <w:sz w:val="24"/>
                <w:szCs w:val="24"/>
                <w:vertAlign w:val="baseline"/>
              </w:rPr>
              <w:t>（2）方管规格：40mm×40mm×2.0mm；</w:t>
            </w:r>
          </w:p>
        </w:tc>
        <w:tc>
          <w:tcPr>
            <w:tcW w:w="562" w:type="dxa"/>
            <w:vMerge w:val="continue"/>
            <w:vAlign w:val="center"/>
          </w:tcPr>
          <w:p w14:paraId="7B2BB0B8">
            <w:pPr>
              <w:jc w:val="center"/>
              <w:rPr>
                <w:rFonts w:hint="eastAsia" w:ascii="宋体" w:hAnsi="宋体" w:eastAsia="宋体" w:cs="宋体"/>
                <w:sz w:val="24"/>
                <w:szCs w:val="24"/>
                <w:vertAlign w:val="baseline"/>
              </w:rPr>
            </w:pPr>
          </w:p>
        </w:tc>
        <w:tc>
          <w:tcPr>
            <w:tcW w:w="810" w:type="dxa"/>
            <w:vMerge w:val="continue"/>
            <w:vAlign w:val="center"/>
          </w:tcPr>
          <w:p w14:paraId="13F691A5">
            <w:pPr>
              <w:jc w:val="center"/>
              <w:rPr>
                <w:rFonts w:hint="eastAsia" w:ascii="宋体" w:hAnsi="宋体" w:eastAsia="宋体" w:cs="宋体"/>
                <w:sz w:val="24"/>
                <w:szCs w:val="24"/>
                <w:vertAlign w:val="baseline"/>
              </w:rPr>
            </w:pPr>
          </w:p>
        </w:tc>
        <w:tc>
          <w:tcPr>
            <w:tcW w:w="855" w:type="dxa"/>
            <w:vMerge w:val="continue"/>
            <w:vAlign w:val="center"/>
          </w:tcPr>
          <w:p w14:paraId="53E5E147">
            <w:pPr>
              <w:jc w:val="center"/>
              <w:rPr>
                <w:rFonts w:hint="eastAsia" w:ascii="宋体" w:hAnsi="宋体" w:eastAsia="宋体" w:cs="宋体"/>
                <w:sz w:val="24"/>
                <w:szCs w:val="24"/>
                <w:vertAlign w:val="baseline"/>
              </w:rPr>
            </w:pPr>
          </w:p>
        </w:tc>
        <w:tc>
          <w:tcPr>
            <w:tcW w:w="1020" w:type="dxa"/>
            <w:vMerge w:val="continue"/>
            <w:vAlign w:val="center"/>
          </w:tcPr>
          <w:p w14:paraId="4BA45CC3">
            <w:pPr>
              <w:jc w:val="center"/>
              <w:rPr>
                <w:rFonts w:hint="eastAsia" w:ascii="宋体" w:hAnsi="宋体" w:eastAsia="宋体" w:cs="宋体"/>
                <w:sz w:val="24"/>
                <w:szCs w:val="24"/>
                <w:vertAlign w:val="baseline"/>
              </w:rPr>
            </w:pPr>
          </w:p>
        </w:tc>
      </w:tr>
      <w:tr w14:paraId="0D67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61" w:type="dxa"/>
            <w:vMerge w:val="continue"/>
            <w:vAlign w:val="center"/>
          </w:tcPr>
          <w:p w14:paraId="15B21EDC">
            <w:pPr>
              <w:jc w:val="center"/>
              <w:rPr>
                <w:rFonts w:hint="eastAsia" w:ascii="宋体" w:hAnsi="宋体" w:eastAsia="宋体" w:cs="宋体"/>
                <w:sz w:val="24"/>
                <w:szCs w:val="24"/>
                <w:vertAlign w:val="baseline"/>
              </w:rPr>
            </w:pPr>
          </w:p>
        </w:tc>
        <w:tc>
          <w:tcPr>
            <w:tcW w:w="1454" w:type="dxa"/>
            <w:vMerge w:val="continue"/>
            <w:vAlign w:val="center"/>
          </w:tcPr>
          <w:p w14:paraId="080E8B6F">
            <w:pPr>
              <w:jc w:val="center"/>
              <w:rPr>
                <w:rFonts w:hint="eastAsia" w:ascii="宋体" w:hAnsi="宋体" w:eastAsia="宋体" w:cs="宋体"/>
                <w:sz w:val="24"/>
                <w:szCs w:val="24"/>
                <w:vertAlign w:val="baseline"/>
              </w:rPr>
            </w:pPr>
          </w:p>
        </w:tc>
        <w:tc>
          <w:tcPr>
            <w:tcW w:w="4305" w:type="dxa"/>
            <w:vAlign w:val="center"/>
          </w:tcPr>
          <w:p w14:paraId="0C890F04">
            <w:pPr>
              <w:jc w:val="both"/>
              <w:rPr>
                <w:rFonts w:hint="eastAsia" w:ascii="宋体" w:hAnsi="宋体" w:eastAsia="宋体" w:cs="宋体"/>
                <w:sz w:val="24"/>
                <w:szCs w:val="24"/>
                <w:vertAlign w:val="baseline"/>
              </w:rPr>
            </w:pPr>
            <w:r>
              <w:rPr>
                <w:rFonts w:hint="eastAsia" w:ascii="宋体" w:hAnsi="宋体" w:eastAsia="宋体" w:cs="宋体"/>
                <w:sz w:val="24"/>
                <w:szCs w:val="24"/>
                <w:vertAlign w:val="baseline"/>
              </w:rPr>
              <w:t>（3）支撑杆规格：40mm×40mm×2.5mm；</w:t>
            </w:r>
          </w:p>
        </w:tc>
        <w:tc>
          <w:tcPr>
            <w:tcW w:w="562" w:type="dxa"/>
            <w:vMerge w:val="continue"/>
            <w:vAlign w:val="center"/>
          </w:tcPr>
          <w:p w14:paraId="3E398315">
            <w:pPr>
              <w:jc w:val="center"/>
              <w:rPr>
                <w:rFonts w:hint="eastAsia" w:ascii="宋体" w:hAnsi="宋体" w:eastAsia="宋体" w:cs="宋体"/>
                <w:sz w:val="24"/>
                <w:szCs w:val="24"/>
                <w:vertAlign w:val="baseline"/>
              </w:rPr>
            </w:pPr>
          </w:p>
        </w:tc>
        <w:tc>
          <w:tcPr>
            <w:tcW w:w="810" w:type="dxa"/>
            <w:vMerge w:val="continue"/>
            <w:vAlign w:val="center"/>
          </w:tcPr>
          <w:p w14:paraId="67ECEFC4">
            <w:pPr>
              <w:jc w:val="center"/>
              <w:rPr>
                <w:rFonts w:hint="eastAsia" w:ascii="宋体" w:hAnsi="宋体" w:eastAsia="宋体" w:cs="宋体"/>
                <w:sz w:val="24"/>
                <w:szCs w:val="24"/>
                <w:vertAlign w:val="baseline"/>
              </w:rPr>
            </w:pPr>
          </w:p>
        </w:tc>
        <w:tc>
          <w:tcPr>
            <w:tcW w:w="855" w:type="dxa"/>
            <w:vMerge w:val="continue"/>
            <w:vAlign w:val="center"/>
          </w:tcPr>
          <w:p w14:paraId="496D7F01">
            <w:pPr>
              <w:jc w:val="center"/>
              <w:rPr>
                <w:rFonts w:hint="eastAsia" w:ascii="宋体" w:hAnsi="宋体" w:eastAsia="宋体" w:cs="宋体"/>
                <w:sz w:val="24"/>
                <w:szCs w:val="24"/>
                <w:vertAlign w:val="baseline"/>
              </w:rPr>
            </w:pPr>
          </w:p>
        </w:tc>
        <w:tc>
          <w:tcPr>
            <w:tcW w:w="1020" w:type="dxa"/>
            <w:vMerge w:val="continue"/>
            <w:vAlign w:val="center"/>
          </w:tcPr>
          <w:p w14:paraId="573CB746">
            <w:pPr>
              <w:jc w:val="center"/>
              <w:rPr>
                <w:rFonts w:hint="eastAsia" w:ascii="宋体" w:hAnsi="宋体" w:eastAsia="宋体" w:cs="宋体"/>
                <w:sz w:val="24"/>
                <w:szCs w:val="24"/>
                <w:vertAlign w:val="baseline"/>
              </w:rPr>
            </w:pPr>
          </w:p>
        </w:tc>
      </w:tr>
      <w:tr w14:paraId="3514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vMerge w:val="continue"/>
            <w:vAlign w:val="center"/>
          </w:tcPr>
          <w:p w14:paraId="23E02A27">
            <w:pPr>
              <w:jc w:val="center"/>
              <w:rPr>
                <w:rFonts w:hint="eastAsia" w:ascii="宋体" w:hAnsi="宋体" w:eastAsia="宋体" w:cs="宋体"/>
                <w:sz w:val="24"/>
                <w:szCs w:val="24"/>
                <w:vertAlign w:val="baseline"/>
              </w:rPr>
            </w:pPr>
          </w:p>
        </w:tc>
        <w:tc>
          <w:tcPr>
            <w:tcW w:w="1454" w:type="dxa"/>
            <w:vMerge w:val="continue"/>
            <w:vAlign w:val="center"/>
          </w:tcPr>
          <w:p w14:paraId="34A7A078">
            <w:pPr>
              <w:jc w:val="center"/>
              <w:rPr>
                <w:rFonts w:hint="eastAsia" w:ascii="宋体" w:hAnsi="宋体" w:eastAsia="宋体" w:cs="宋体"/>
                <w:sz w:val="24"/>
                <w:szCs w:val="24"/>
                <w:vertAlign w:val="baseline"/>
              </w:rPr>
            </w:pPr>
          </w:p>
        </w:tc>
        <w:tc>
          <w:tcPr>
            <w:tcW w:w="4305" w:type="dxa"/>
            <w:vAlign w:val="center"/>
          </w:tcPr>
          <w:p w14:paraId="5ED0671F">
            <w:pPr>
              <w:jc w:val="both"/>
              <w:rPr>
                <w:rFonts w:hint="eastAsia" w:ascii="宋体" w:hAnsi="宋体" w:eastAsia="宋体" w:cs="宋体"/>
                <w:sz w:val="24"/>
                <w:szCs w:val="24"/>
                <w:vertAlign w:val="baseline"/>
              </w:rPr>
            </w:pPr>
            <w:r>
              <w:rPr>
                <w:rFonts w:hint="eastAsia" w:ascii="宋体" w:hAnsi="宋体" w:eastAsia="宋体" w:cs="宋体"/>
                <w:sz w:val="24"/>
                <w:szCs w:val="24"/>
                <w:vertAlign w:val="baseline"/>
              </w:rPr>
              <w:t>2.托盘底座规格</w:t>
            </w:r>
          </w:p>
        </w:tc>
        <w:tc>
          <w:tcPr>
            <w:tcW w:w="562" w:type="dxa"/>
            <w:vMerge w:val="continue"/>
            <w:vAlign w:val="center"/>
          </w:tcPr>
          <w:p w14:paraId="3B5ED04D">
            <w:pPr>
              <w:jc w:val="center"/>
              <w:rPr>
                <w:rFonts w:hint="eastAsia" w:ascii="宋体" w:hAnsi="宋体" w:eastAsia="宋体" w:cs="宋体"/>
                <w:sz w:val="24"/>
                <w:szCs w:val="24"/>
                <w:vertAlign w:val="baseline"/>
              </w:rPr>
            </w:pPr>
          </w:p>
        </w:tc>
        <w:tc>
          <w:tcPr>
            <w:tcW w:w="810" w:type="dxa"/>
            <w:vMerge w:val="continue"/>
            <w:vAlign w:val="center"/>
          </w:tcPr>
          <w:p w14:paraId="7E4CDFE4">
            <w:pPr>
              <w:jc w:val="center"/>
              <w:rPr>
                <w:rFonts w:hint="eastAsia" w:ascii="宋体" w:hAnsi="宋体" w:eastAsia="宋体" w:cs="宋体"/>
                <w:sz w:val="24"/>
                <w:szCs w:val="24"/>
                <w:vertAlign w:val="baseline"/>
              </w:rPr>
            </w:pPr>
          </w:p>
        </w:tc>
        <w:tc>
          <w:tcPr>
            <w:tcW w:w="855" w:type="dxa"/>
            <w:vMerge w:val="continue"/>
            <w:vAlign w:val="center"/>
          </w:tcPr>
          <w:p w14:paraId="610F5F72">
            <w:pPr>
              <w:jc w:val="center"/>
              <w:rPr>
                <w:rFonts w:hint="eastAsia" w:ascii="宋体" w:hAnsi="宋体" w:eastAsia="宋体" w:cs="宋体"/>
                <w:sz w:val="24"/>
                <w:szCs w:val="24"/>
                <w:vertAlign w:val="baseline"/>
              </w:rPr>
            </w:pPr>
          </w:p>
        </w:tc>
        <w:tc>
          <w:tcPr>
            <w:tcW w:w="1020" w:type="dxa"/>
            <w:vMerge w:val="continue"/>
            <w:vAlign w:val="center"/>
          </w:tcPr>
          <w:p w14:paraId="7BD21680">
            <w:pPr>
              <w:jc w:val="center"/>
              <w:rPr>
                <w:rFonts w:hint="eastAsia" w:ascii="宋体" w:hAnsi="宋体" w:eastAsia="宋体" w:cs="宋体"/>
                <w:sz w:val="24"/>
                <w:szCs w:val="24"/>
                <w:vertAlign w:val="baseline"/>
              </w:rPr>
            </w:pPr>
          </w:p>
        </w:tc>
      </w:tr>
      <w:tr w14:paraId="4634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vMerge w:val="continue"/>
            <w:vAlign w:val="center"/>
          </w:tcPr>
          <w:p w14:paraId="6400E0B5">
            <w:pPr>
              <w:jc w:val="center"/>
              <w:rPr>
                <w:rFonts w:hint="eastAsia" w:ascii="宋体" w:hAnsi="宋体" w:eastAsia="宋体" w:cs="宋体"/>
                <w:sz w:val="24"/>
                <w:szCs w:val="24"/>
                <w:vertAlign w:val="baseline"/>
              </w:rPr>
            </w:pPr>
          </w:p>
        </w:tc>
        <w:tc>
          <w:tcPr>
            <w:tcW w:w="1454" w:type="dxa"/>
            <w:vMerge w:val="continue"/>
            <w:vAlign w:val="center"/>
          </w:tcPr>
          <w:p w14:paraId="56BF439C">
            <w:pPr>
              <w:jc w:val="center"/>
              <w:rPr>
                <w:rFonts w:hint="eastAsia" w:ascii="宋体" w:hAnsi="宋体" w:eastAsia="宋体" w:cs="宋体"/>
                <w:sz w:val="24"/>
                <w:szCs w:val="24"/>
                <w:vertAlign w:val="baseline"/>
              </w:rPr>
            </w:pPr>
          </w:p>
        </w:tc>
        <w:tc>
          <w:tcPr>
            <w:tcW w:w="4305" w:type="dxa"/>
            <w:vAlign w:val="center"/>
          </w:tcPr>
          <w:p w14:paraId="381E6F41">
            <w:pPr>
              <w:jc w:val="both"/>
              <w:rPr>
                <w:rFonts w:hint="eastAsia" w:ascii="宋体" w:hAnsi="宋体" w:eastAsia="宋体" w:cs="宋体"/>
                <w:sz w:val="24"/>
                <w:szCs w:val="24"/>
                <w:vertAlign w:val="baseline"/>
              </w:rPr>
            </w:pPr>
            <w:r>
              <w:rPr>
                <w:rFonts w:hint="eastAsia" w:ascii="宋体" w:hAnsi="宋体" w:eastAsia="宋体" w:cs="宋体"/>
                <w:sz w:val="24"/>
                <w:szCs w:val="24"/>
                <w:vertAlign w:val="baseline"/>
              </w:rPr>
              <w:t>（1）上部方管：50mm×50mm×3.0mm；</w:t>
            </w:r>
          </w:p>
        </w:tc>
        <w:tc>
          <w:tcPr>
            <w:tcW w:w="562" w:type="dxa"/>
            <w:vMerge w:val="continue"/>
            <w:vAlign w:val="center"/>
          </w:tcPr>
          <w:p w14:paraId="036DA02C">
            <w:pPr>
              <w:jc w:val="center"/>
              <w:rPr>
                <w:rFonts w:hint="eastAsia" w:ascii="宋体" w:hAnsi="宋体" w:eastAsia="宋体" w:cs="宋体"/>
                <w:sz w:val="24"/>
                <w:szCs w:val="24"/>
                <w:vertAlign w:val="baseline"/>
              </w:rPr>
            </w:pPr>
          </w:p>
        </w:tc>
        <w:tc>
          <w:tcPr>
            <w:tcW w:w="810" w:type="dxa"/>
            <w:vMerge w:val="continue"/>
            <w:vAlign w:val="center"/>
          </w:tcPr>
          <w:p w14:paraId="271D4C5C">
            <w:pPr>
              <w:jc w:val="center"/>
              <w:rPr>
                <w:rFonts w:hint="eastAsia" w:ascii="宋体" w:hAnsi="宋体" w:eastAsia="宋体" w:cs="宋体"/>
                <w:sz w:val="24"/>
                <w:szCs w:val="24"/>
                <w:vertAlign w:val="baseline"/>
              </w:rPr>
            </w:pPr>
          </w:p>
        </w:tc>
        <w:tc>
          <w:tcPr>
            <w:tcW w:w="855" w:type="dxa"/>
            <w:vMerge w:val="continue"/>
            <w:vAlign w:val="center"/>
          </w:tcPr>
          <w:p w14:paraId="2411E211">
            <w:pPr>
              <w:jc w:val="center"/>
              <w:rPr>
                <w:rFonts w:hint="eastAsia" w:ascii="宋体" w:hAnsi="宋体" w:eastAsia="宋体" w:cs="宋体"/>
                <w:sz w:val="24"/>
                <w:szCs w:val="24"/>
                <w:vertAlign w:val="baseline"/>
              </w:rPr>
            </w:pPr>
          </w:p>
        </w:tc>
        <w:tc>
          <w:tcPr>
            <w:tcW w:w="1020" w:type="dxa"/>
            <w:vMerge w:val="continue"/>
            <w:vAlign w:val="center"/>
          </w:tcPr>
          <w:p w14:paraId="2D1B610F">
            <w:pPr>
              <w:jc w:val="center"/>
              <w:rPr>
                <w:rFonts w:hint="eastAsia" w:ascii="宋体" w:hAnsi="宋体" w:eastAsia="宋体" w:cs="宋体"/>
                <w:sz w:val="24"/>
                <w:szCs w:val="24"/>
                <w:vertAlign w:val="baseline"/>
              </w:rPr>
            </w:pPr>
          </w:p>
        </w:tc>
      </w:tr>
      <w:tr w14:paraId="7AAC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vMerge w:val="continue"/>
            <w:vAlign w:val="center"/>
          </w:tcPr>
          <w:p w14:paraId="63B03B83">
            <w:pPr>
              <w:jc w:val="center"/>
              <w:rPr>
                <w:rFonts w:hint="eastAsia" w:ascii="宋体" w:hAnsi="宋体" w:eastAsia="宋体" w:cs="宋体"/>
                <w:sz w:val="24"/>
                <w:szCs w:val="24"/>
                <w:vertAlign w:val="baseline"/>
              </w:rPr>
            </w:pPr>
          </w:p>
        </w:tc>
        <w:tc>
          <w:tcPr>
            <w:tcW w:w="1454" w:type="dxa"/>
            <w:vMerge w:val="continue"/>
            <w:vAlign w:val="center"/>
          </w:tcPr>
          <w:p w14:paraId="26636D44">
            <w:pPr>
              <w:jc w:val="center"/>
              <w:rPr>
                <w:rFonts w:hint="eastAsia" w:ascii="宋体" w:hAnsi="宋体" w:eastAsia="宋体" w:cs="宋体"/>
                <w:sz w:val="24"/>
                <w:szCs w:val="24"/>
                <w:vertAlign w:val="baseline"/>
              </w:rPr>
            </w:pPr>
          </w:p>
        </w:tc>
        <w:tc>
          <w:tcPr>
            <w:tcW w:w="4305" w:type="dxa"/>
            <w:vAlign w:val="center"/>
          </w:tcPr>
          <w:p w14:paraId="00F18BB8">
            <w:pPr>
              <w:jc w:val="both"/>
              <w:rPr>
                <w:rFonts w:hint="eastAsia" w:ascii="宋体" w:hAnsi="宋体" w:eastAsia="宋体" w:cs="宋体"/>
                <w:sz w:val="24"/>
                <w:szCs w:val="24"/>
                <w:vertAlign w:val="baseline"/>
              </w:rPr>
            </w:pPr>
            <w:r>
              <w:rPr>
                <w:rFonts w:hint="eastAsia" w:ascii="宋体" w:hAnsi="宋体" w:eastAsia="宋体" w:cs="宋体"/>
                <w:sz w:val="24"/>
                <w:szCs w:val="24"/>
                <w:vertAlign w:val="baseline"/>
              </w:rPr>
              <w:t>（2）底部脚碗：120×120×3.0mm；</w:t>
            </w:r>
          </w:p>
        </w:tc>
        <w:tc>
          <w:tcPr>
            <w:tcW w:w="562" w:type="dxa"/>
            <w:vMerge w:val="continue"/>
            <w:vAlign w:val="center"/>
          </w:tcPr>
          <w:p w14:paraId="7F8E361A">
            <w:pPr>
              <w:jc w:val="center"/>
              <w:rPr>
                <w:rFonts w:hint="eastAsia" w:ascii="宋体" w:hAnsi="宋体" w:eastAsia="宋体" w:cs="宋体"/>
                <w:sz w:val="24"/>
                <w:szCs w:val="24"/>
                <w:vertAlign w:val="baseline"/>
              </w:rPr>
            </w:pPr>
          </w:p>
        </w:tc>
        <w:tc>
          <w:tcPr>
            <w:tcW w:w="810" w:type="dxa"/>
            <w:vMerge w:val="continue"/>
            <w:vAlign w:val="center"/>
          </w:tcPr>
          <w:p w14:paraId="3A10F67F">
            <w:pPr>
              <w:jc w:val="center"/>
              <w:rPr>
                <w:rFonts w:hint="eastAsia" w:ascii="宋体" w:hAnsi="宋体" w:eastAsia="宋体" w:cs="宋体"/>
                <w:sz w:val="24"/>
                <w:szCs w:val="24"/>
                <w:vertAlign w:val="baseline"/>
              </w:rPr>
            </w:pPr>
          </w:p>
        </w:tc>
        <w:tc>
          <w:tcPr>
            <w:tcW w:w="855" w:type="dxa"/>
            <w:vMerge w:val="continue"/>
            <w:vAlign w:val="center"/>
          </w:tcPr>
          <w:p w14:paraId="09A8236A">
            <w:pPr>
              <w:jc w:val="center"/>
              <w:rPr>
                <w:rFonts w:hint="eastAsia" w:ascii="宋体" w:hAnsi="宋体" w:eastAsia="宋体" w:cs="宋体"/>
                <w:sz w:val="24"/>
                <w:szCs w:val="24"/>
                <w:vertAlign w:val="baseline"/>
              </w:rPr>
            </w:pPr>
          </w:p>
        </w:tc>
        <w:tc>
          <w:tcPr>
            <w:tcW w:w="1020" w:type="dxa"/>
            <w:vMerge w:val="continue"/>
            <w:vAlign w:val="center"/>
          </w:tcPr>
          <w:p w14:paraId="22DCF977">
            <w:pPr>
              <w:jc w:val="center"/>
              <w:rPr>
                <w:rFonts w:hint="eastAsia" w:ascii="宋体" w:hAnsi="宋体" w:eastAsia="宋体" w:cs="宋体"/>
                <w:sz w:val="24"/>
                <w:szCs w:val="24"/>
                <w:vertAlign w:val="baseline"/>
              </w:rPr>
            </w:pPr>
          </w:p>
        </w:tc>
      </w:tr>
      <w:tr w14:paraId="5685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vMerge w:val="continue"/>
            <w:vAlign w:val="center"/>
          </w:tcPr>
          <w:p w14:paraId="5F5FEF8C">
            <w:pPr>
              <w:jc w:val="center"/>
              <w:rPr>
                <w:rFonts w:hint="eastAsia" w:ascii="宋体" w:hAnsi="宋体" w:eastAsia="宋体" w:cs="宋体"/>
                <w:sz w:val="24"/>
                <w:szCs w:val="24"/>
                <w:vertAlign w:val="baseline"/>
              </w:rPr>
            </w:pPr>
          </w:p>
        </w:tc>
        <w:tc>
          <w:tcPr>
            <w:tcW w:w="1454" w:type="dxa"/>
            <w:vMerge w:val="continue"/>
            <w:vAlign w:val="center"/>
          </w:tcPr>
          <w:p w14:paraId="7386C3FF">
            <w:pPr>
              <w:jc w:val="center"/>
              <w:rPr>
                <w:rFonts w:hint="eastAsia" w:ascii="宋体" w:hAnsi="宋体" w:eastAsia="宋体" w:cs="宋体"/>
                <w:sz w:val="24"/>
                <w:szCs w:val="24"/>
                <w:vertAlign w:val="baseline"/>
              </w:rPr>
            </w:pPr>
          </w:p>
        </w:tc>
        <w:tc>
          <w:tcPr>
            <w:tcW w:w="4305" w:type="dxa"/>
            <w:vAlign w:val="center"/>
          </w:tcPr>
          <w:p w14:paraId="30FBE69D">
            <w:pPr>
              <w:jc w:val="both"/>
              <w:rPr>
                <w:rFonts w:hint="eastAsia" w:ascii="宋体" w:hAnsi="宋体" w:eastAsia="宋体" w:cs="宋体"/>
                <w:sz w:val="24"/>
                <w:szCs w:val="24"/>
                <w:vertAlign w:val="baseline"/>
              </w:rPr>
            </w:pPr>
            <w:r>
              <w:rPr>
                <w:rFonts w:hint="eastAsia" w:ascii="宋体" w:hAnsi="宋体" w:eastAsia="宋体" w:cs="宋体"/>
                <w:sz w:val="24"/>
                <w:szCs w:val="24"/>
                <w:vertAlign w:val="baseline"/>
              </w:rPr>
              <w:t>三、工艺标准：</w:t>
            </w:r>
          </w:p>
        </w:tc>
        <w:tc>
          <w:tcPr>
            <w:tcW w:w="562" w:type="dxa"/>
            <w:vMerge w:val="continue"/>
            <w:vAlign w:val="center"/>
          </w:tcPr>
          <w:p w14:paraId="071258EE">
            <w:pPr>
              <w:jc w:val="center"/>
              <w:rPr>
                <w:rFonts w:hint="eastAsia" w:ascii="宋体" w:hAnsi="宋体" w:eastAsia="宋体" w:cs="宋体"/>
                <w:sz w:val="24"/>
                <w:szCs w:val="24"/>
                <w:vertAlign w:val="baseline"/>
              </w:rPr>
            </w:pPr>
          </w:p>
        </w:tc>
        <w:tc>
          <w:tcPr>
            <w:tcW w:w="810" w:type="dxa"/>
            <w:vMerge w:val="continue"/>
            <w:vAlign w:val="center"/>
          </w:tcPr>
          <w:p w14:paraId="4AB09DFC">
            <w:pPr>
              <w:jc w:val="center"/>
              <w:rPr>
                <w:rFonts w:hint="eastAsia" w:ascii="宋体" w:hAnsi="宋体" w:eastAsia="宋体" w:cs="宋体"/>
                <w:sz w:val="24"/>
                <w:szCs w:val="24"/>
                <w:vertAlign w:val="baseline"/>
              </w:rPr>
            </w:pPr>
          </w:p>
        </w:tc>
        <w:tc>
          <w:tcPr>
            <w:tcW w:w="855" w:type="dxa"/>
            <w:vMerge w:val="continue"/>
            <w:vAlign w:val="center"/>
          </w:tcPr>
          <w:p w14:paraId="29218E39">
            <w:pPr>
              <w:jc w:val="center"/>
              <w:rPr>
                <w:rFonts w:hint="eastAsia" w:ascii="宋体" w:hAnsi="宋体" w:eastAsia="宋体" w:cs="宋体"/>
                <w:sz w:val="24"/>
                <w:szCs w:val="24"/>
                <w:vertAlign w:val="baseline"/>
              </w:rPr>
            </w:pPr>
          </w:p>
        </w:tc>
        <w:tc>
          <w:tcPr>
            <w:tcW w:w="1020" w:type="dxa"/>
            <w:vMerge w:val="continue"/>
            <w:vAlign w:val="center"/>
          </w:tcPr>
          <w:p w14:paraId="252402FF">
            <w:pPr>
              <w:jc w:val="center"/>
              <w:rPr>
                <w:rFonts w:hint="eastAsia" w:ascii="宋体" w:hAnsi="宋体" w:eastAsia="宋体" w:cs="宋体"/>
                <w:sz w:val="24"/>
                <w:szCs w:val="24"/>
                <w:vertAlign w:val="baseline"/>
              </w:rPr>
            </w:pPr>
          </w:p>
        </w:tc>
      </w:tr>
      <w:tr w14:paraId="62E2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661" w:type="dxa"/>
            <w:vMerge w:val="continue"/>
            <w:vAlign w:val="center"/>
          </w:tcPr>
          <w:p w14:paraId="2BBBFC76">
            <w:pPr>
              <w:jc w:val="center"/>
              <w:rPr>
                <w:rFonts w:hint="eastAsia" w:ascii="宋体" w:hAnsi="宋体" w:eastAsia="宋体" w:cs="宋体"/>
                <w:sz w:val="24"/>
                <w:szCs w:val="24"/>
                <w:vertAlign w:val="baseline"/>
              </w:rPr>
            </w:pPr>
          </w:p>
        </w:tc>
        <w:tc>
          <w:tcPr>
            <w:tcW w:w="1454" w:type="dxa"/>
            <w:vMerge w:val="continue"/>
            <w:vAlign w:val="center"/>
          </w:tcPr>
          <w:p w14:paraId="62FFBC4C">
            <w:pPr>
              <w:jc w:val="center"/>
              <w:rPr>
                <w:rFonts w:hint="eastAsia" w:ascii="宋体" w:hAnsi="宋体" w:eastAsia="宋体" w:cs="宋体"/>
                <w:sz w:val="24"/>
                <w:szCs w:val="24"/>
                <w:vertAlign w:val="baseline"/>
              </w:rPr>
            </w:pPr>
          </w:p>
        </w:tc>
        <w:tc>
          <w:tcPr>
            <w:tcW w:w="4305" w:type="dxa"/>
            <w:vAlign w:val="center"/>
          </w:tcPr>
          <w:p w14:paraId="3845F6FA">
            <w:pPr>
              <w:jc w:val="left"/>
              <w:rPr>
                <w:rFonts w:hint="eastAsia" w:ascii="宋体" w:hAnsi="宋体" w:eastAsia="宋体" w:cs="宋体"/>
                <w:sz w:val="24"/>
                <w:szCs w:val="24"/>
                <w:vertAlign w:val="baseline"/>
              </w:rPr>
            </w:pPr>
            <w:r>
              <w:rPr>
                <w:rFonts w:hint="eastAsia" w:ascii="宋体" w:hAnsi="宋体" w:eastAsia="宋体" w:cs="宋体"/>
                <w:sz w:val="24"/>
                <w:szCs w:val="24"/>
                <w:vertAlign w:val="baseline"/>
              </w:rPr>
              <w:t>1. 立柱使用镀锌成品管材；托盘部分采用优质钢材焊接后整体热镀锌处理；地脚采用冲压工艺制作；</w:t>
            </w:r>
          </w:p>
        </w:tc>
        <w:tc>
          <w:tcPr>
            <w:tcW w:w="562" w:type="dxa"/>
            <w:vMerge w:val="continue"/>
            <w:vAlign w:val="center"/>
          </w:tcPr>
          <w:p w14:paraId="47540E5B">
            <w:pPr>
              <w:jc w:val="center"/>
              <w:rPr>
                <w:rFonts w:hint="eastAsia" w:ascii="宋体" w:hAnsi="宋体" w:eastAsia="宋体" w:cs="宋体"/>
                <w:sz w:val="24"/>
                <w:szCs w:val="24"/>
                <w:vertAlign w:val="baseline"/>
              </w:rPr>
            </w:pPr>
          </w:p>
        </w:tc>
        <w:tc>
          <w:tcPr>
            <w:tcW w:w="810" w:type="dxa"/>
            <w:vMerge w:val="continue"/>
            <w:vAlign w:val="center"/>
          </w:tcPr>
          <w:p w14:paraId="3ABA35EF">
            <w:pPr>
              <w:jc w:val="center"/>
              <w:rPr>
                <w:rFonts w:hint="eastAsia" w:ascii="宋体" w:hAnsi="宋体" w:eastAsia="宋体" w:cs="宋体"/>
                <w:sz w:val="24"/>
                <w:szCs w:val="24"/>
                <w:vertAlign w:val="baseline"/>
              </w:rPr>
            </w:pPr>
          </w:p>
        </w:tc>
        <w:tc>
          <w:tcPr>
            <w:tcW w:w="855" w:type="dxa"/>
            <w:vMerge w:val="continue"/>
            <w:vAlign w:val="center"/>
          </w:tcPr>
          <w:p w14:paraId="3A43A38E">
            <w:pPr>
              <w:jc w:val="center"/>
              <w:rPr>
                <w:rFonts w:hint="eastAsia" w:ascii="宋体" w:hAnsi="宋体" w:eastAsia="宋体" w:cs="宋体"/>
                <w:sz w:val="24"/>
                <w:szCs w:val="24"/>
                <w:vertAlign w:val="baseline"/>
              </w:rPr>
            </w:pPr>
          </w:p>
        </w:tc>
        <w:tc>
          <w:tcPr>
            <w:tcW w:w="1020" w:type="dxa"/>
            <w:vMerge w:val="continue"/>
            <w:vAlign w:val="center"/>
          </w:tcPr>
          <w:p w14:paraId="54B50160">
            <w:pPr>
              <w:jc w:val="center"/>
              <w:rPr>
                <w:rFonts w:hint="eastAsia" w:ascii="宋体" w:hAnsi="宋体" w:eastAsia="宋体" w:cs="宋体"/>
                <w:sz w:val="24"/>
                <w:szCs w:val="24"/>
                <w:vertAlign w:val="baseline"/>
              </w:rPr>
            </w:pPr>
          </w:p>
        </w:tc>
      </w:tr>
      <w:tr w14:paraId="7613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vMerge w:val="continue"/>
            <w:vAlign w:val="center"/>
          </w:tcPr>
          <w:p w14:paraId="487C7794">
            <w:pPr>
              <w:jc w:val="center"/>
              <w:rPr>
                <w:rFonts w:hint="eastAsia" w:ascii="宋体" w:hAnsi="宋体" w:eastAsia="宋体" w:cs="宋体"/>
                <w:sz w:val="24"/>
                <w:szCs w:val="24"/>
                <w:vertAlign w:val="baseline"/>
              </w:rPr>
            </w:pPr>
          </w:p>
        </w:tc>
        <w:tc>
          <w:tcPr>
            <w:tcW w:w="1454" w:type="dxa"/>
            <w:vMerge w:val="continue"/>
            <w:vAlign w:val="center"/>
          </w:tcPr>
          <w:p w14:paraId="08801A3B">
            <w:pPr>
              <w:jc w:val="center"/>
              <w:rPr>
                <w:rFonts w:hint="eastAsia" w:ascii="宋体" w:hAnsi="宋体" w:eastAsia="宋体" w:cs="宋体"/>
                <w:sz w:val="24"/>
                <w:szCs w:val="24"/>
                <w:vertAlign w:val="baseline"/>
              </w:rPr>
            </w:pPr>
          </w:p>
        </w:tc>
        <w:tc>
          <w:tcPr>
            <w:tcW w:w="4305" w:type="dxa"/>
            <w:vAlign w:val="center"/>
          </w:tcPr>
          <w:p w14:paraId="70D78F4C">
            <w:pPr>
              <w:jc w:val="both"/>
              <w:rPr>
                <w:rFonts w:hint="eastAsia" w:ascii="宋体" w:hAnsi="宋体" w:eastAsia="宋体" w:cs="宋体"/>
                <w:sz w:val="24"/>
                <w:szCs w:val="24"/>
                <w:vertAlign w:val="baseline"/>
              </w:rPr>
            </w:pPr>
            <w:r>
              <w:rPr>
                <w:rFonts w:hint="eastAsia" w:ascii="宋体" w:hAnsi="宋体" w:eastAsia="宋体" w:cs="宋体"/>
                <w:sz w:val="24"/>
                <w:szCs w:val="24"/>
                <w:vertAlign w:val="baseline"/>
              </w:rPr>
              <w:t>2、整体外形尺寸误差≤±3mm；</w:t>
            </w:r>
          </w:p>
        </w:tc>
        <w:tc>
          <w:tcPr>
            <w:tcW w:w="562" w:type="dxa"/>
            <w:vMerge w:val="continue"/>
            <w:vAlign w:val="center"/>
          </w:tcPr>
          <w:p w14:paraId="741C71F1">
            <w:pPr>
              <w:jc w:val="center"/>
              <w:rPr>
                <w:rFonts w:hint="eastAsia" w:ascii="宋体" w:hAnsi="宋体" w:eastAsia="宋体" w:cs="宋体"/>
                <w:sz w:val="24"/>
                <w:szCs w:val="24"/>
                <w:vertAlign w:val="baseline"/>
              </w:rPr>
            </w:pPr>
          </w:p>
        </w:tc>
        <w:tc>
          <w:tcPr>
            <w:tcW w:w="810" w:type="dxa"/>
            <w:vMerge w:val="continue"/>
            <w:vAlign w:val="center"/>
          </w:tcPr>
          <w:p w14:paraId="072EB19C">
            <w:pPr>
              <w:jc w:val="center"/>
              <w:rPr>
                <w:rFonts w:hint="eastAsia" w:ascii="宋体" w:hAnsi="宋体" w:eastAsia="宋体" w:cs="宋体"/>
                <w:sz w:val="24"/>
                <w:szCs w:val="24"/>
                <w:vertAlign w:val="baseline"/>
              </w:rPr>
            </w:pPr>
          </w:p>
        </w:tc>
        <w:tc>
          <w:tcPr>
            <w:tcW w:w="855" w:type="dxa"/>
            <w:vMerge w:val="continue"/>
            <w:vAlign w:val="center"/>
          </w:tcPr>
          <w:p w14:paraId="6B1C6C5E">
            <w:pPr>
              <w:jc w:val="center"/>
              <w:rPr>
                <w:rFonts w:hint="eastAsia" w:ascii="宋体" w:hAnsi="宋体" w:eastAsia="宋体" w:cs="宋体"/>
                <w:sz w:val="24"/>
                <w:szCs w:val="24"/>
                <w:vertAlign w:val="baseline"/>
              </w:rPr>
            </w:pPr>
          </w:p>
        </w:tc>
        <w:tc>
          <w:tcPr>
            <w:tcW w:w="1020" w:type="dxa"/>
            <w:vMerge w:val="continue"/>
            <w:vAlign w:val="center"/>
          </w:tcPr>
          <w:p w14:paraId="38D52DFD">
            <w:pPr>
              <w:jc w:val="center"/>
              <w:rPr>
                <w:rFonts w:hint="eastAsia" w:ascii="宋体" w:hAnsi="宋体" w:eastAsia="宋体" w:cs="宋体"/>
                <w:sz w:val="24"/>
                <w:szCs w:val="24"/>
                <w:vertAlign w:val="baseline"/>
              </w:rPr>
            </w:pPr>
          </w:p>
        </w:tc>
      </w:tr>
      <w:tr w14:paraId="7E20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vMerge w:val="continue"/>
            <w:vAlign w:val="center"/>
          </w:tcPr>
          <w:p w14:paraId="78B674B8">
            <w:pPr>
              <w:jc w:val="center"/>
              <w:rPr>
                <w:rFonts w:hint="eastAsia" w:ascii="宋体" w:hAnsi="宋体" w:eastAsia="宋体" w:cs="宋体"/>
                <w:sz w:val="24"/>
                <w:szCs w:val="24"/>
                <w:vertAlign w:val="baseline"/>
              </w:rPr>
            </w:pPr>
          </w:p>
        </w:tc>
        <w:tc>
          <w:tcPr>
            <w:tcW w:w="1454" w:type="dxa"/>
            <w:vMerge w:val="continue"/>
            <w:vAlign w:val="center"/>
          </w:tcPr>
          <w:p w14:paraId="706D6128">
            <w:pPr>
              <w:jc w:val="center"/>
              <w:rPr>
                <w:rFonts w:hint="eastAsia" w:ascii="宋体" w:hAnsi="宋体" w:eastAsia="宋体" w:cs="宋体"/>
                <w:sz w:val="24"/>
                <w:szCs w:val="24"/>
                <w:vertAlign w:val="baseline"/>
              </w:rPr>
            </w:pPr>
          </w:p>
        </w:tc>
        <w:tc>
          <w:tcPr>
            <w:tcW w:w="4305" w:type="dxa"/>
            <w:vAlign w:val="center"/>
          </w:tcPr>
          <w:p w14:paraId="09F378D6">
            <w:pPr>
              <w:jc w:val="both"/>
              <w:rPr>
                <w:rFonts w:hint="eastAsia" w:ascii="宋体" w:hAnsi="宋体" w:eastAsia="宋体" w:cs="宋体"/>
                <w:sz w:val="24"/>
                <w:szCs w:val="24"/>
                <w:vertAlign w:val="baseline"/>
              </w:rPr>
            </w:pPr>
            <w:r>
              <w:rPr>
                <w:rFonts w:hint="eastAsia" w:ascii="宋体" w:hAnsi="宋体" w:eastAsia="宋体" w:cs="宋体"/>
                <w:sz w:val="24"/>
                <w:szCs w:val="24"/>
                <w:vertAlign w:val="baseline"/>
              </w:rPr>
              <w:t>3、材质：Q235B；</w:t>
            </w:r>
          </w:p>
        </w:tc>
        <w:tc>
          <w:tcPr>
            <w:tcW w:w="562" w:type="dxa"/>
            <w:vMerge w:val="continue"/>
            <w:vAlign w:val="center"/>
          </w:tcPr>
          <w:p w14:paraId="43DBEDB1">
            <w:pPr>
              <w:jc w:val="center"/>
              <w:rPr>
                <w:rFonts w:hint="eastAsia" w:ascii="宋体" w:hAnsi="宋体" w:eastAsia="宋体" w:cs="宋体"/>
                <w:sz w:val="24"/>
                <w:szCs w:val="24"/>
                <w:vertAlign w:val="baseline"/>
              </w:rPr>
            </w:pPr>
          </w:p>
        </w:tc>
        <w:tc>
          <w:tcPr>
            <w:tcW w:w="810" w:type="dxa"/>
            <w:vMerge w:val="continue"/>
            <w:vAlign w:val="center"/>
          </w:tcPr>
          <w:p w14:paraId="32B83157">
            <w:pPr>
              <w:jc w:val="center"/>
              <w:rPr>
                <w:rFonts w:hint="eastAsia" w:ascii="宋体" w:hAnsi="宋体" w:eastAsia="宋体" w:cs="宋体"/>
                <w:sz w:val="24"/>
                <w:szCs w:val="24"/>
                <w:vertAlign w:val="baseline"/>
              </w:rPr>
            </w:pPr>
          </w:p>
        </w:tc>
        <w:tc>
          <w:tcPr>
            <w:tcW w:w="855" w:type="dxa"/>
            <w:vMerge w:val="continue"/>
            <w:vAlign w:val="center"/>
          </w:tcPr>
          <w:p w14:paraId="2D214DD9">
            <w:pPr>
              <w:jc w:val="center"/>
              <w:rPr>
                <w:rFonts w:hint="eastAsia" w:ascii="宋体" w:hAnsi="宋体" w:eastAsia="宋体" w:cs="宋体"/>
                <w:sz w:val="24"/>
                <w:szCs w:val="24"/>
                <w:vertAlign w:val="baseline"/>
              </w:rPr>
            </w:pPr>
          </w:p>
        </w:tc>
        <w:tc>
          <w:tcPr>
            <w:tcW w:w="1020" w:type="dxa"/>
            <w:vMerge w:val="continue"/>
            <w:vAlign w:val="center"/>
          </w:tcPr>
          <w:p w14:paraId="50C63D73">
            <w:pPr>
              <w:jc w:val="center"/>
              <w:rPr>
                <w:rFonts w:hint="eastAsia" w:ascii="宋体" w:hAnsi="宋体" w:eastAsia="宋体" w:cs="宋体"/>
                <w:sz w:val="24"/>
                <w:szCs w:val="24"/>
                <w:vertAlign w:val="baseline"/>
              </w:rPr>
            </w:pPr>
          </w:p>
        </w:tc>
      </w:tr>
      <w:tr w14:paraId="6147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1" w:type="dxa"/>
            <w:vMerge w:val="continue"/>
            <w:vAlign w:val="center"/>
          </w:tcPr>
          <w:p w14:paraId="24634F60">
            <w:pPr>
              <w:jc w:val="center"/>
              <w:rPr>
                <w:rFonts w:hint="eastAsia" w:ascii="宋体" w:hAnsi="宋体" w:eastAsia="宋体" w:cs="宋体"/>
                <w:sz w:val="24"/>
                <w:szCs w:val="24"/>
                <w:vertAlign w:val="baseline"/>
              </w:rPr>
            </w:pPr>
          </w:p>
        </w:tc>
        <w:tc>
          <w:tcPr>
            <w:tcW w:w="1454" w:type="dxa"/>
            <w:vMerge w:val="continue"/>
            <w:vAlign w:val="center"/>
          </w:tcPr>
          <w:p w14:paraId="1965838E">
            <w:pPr>
              <w:jc w:val="center"/>
              <w:rPr>
                <w:rFonts w:hint="eastAsia" w:ascii="宋体" w:hAnsi="宋体" w:eastAsia="宋体" w:cs="宋体"/>
                <w:sz w:val="24"/>
                <w:szCs w:val="24"/>
                <w:vertAlign w:val="baseline"/>
              </w:rPr>
            </w:pPr>
          </w:p>
        </w:tc>
        <w:tc>
          <w:tcPr>
            <w:tcW w:w="4305" w:type="dxa"/>
            <w:vAlign w:val="center"/>
          </w:tcPr>
          <w:p w14:paraId="79FA8E93">
            <w:pPr>
              <w:jc w:val="both"/>
              <w:rPr>
                <w:rFonts w:hint="eastAsia" w:ascii="宋体" w:hAnsi="宋体" w:eastAsia="宋体" w:cs="宋体"/>
                <w:sz w:val="24"/>
                <w:szCs w:val="24"/>
                <w:vertAlign w:val="baseline"/>
              </w:rPr>
            </w:pPr>
            <w:r>
              <w:rPr>
                <w:rFonts w:hint="eastAsia" w:ascii="宋体" w:hAnsi="宋体" w:eastAsia="宋体" w:cs="宋体"/>
                <w:sz w:val="24"/>
                <w:szCs w:val="24"/>
                <w:vertAlign w:val="baseline"/>
              </w:rPr>
              <w:t>4. 结构：支撑杆可插拔拆卸。</w:t>
            </w:r>
          </w:p>
        </w:tc>
        <w:tc>
          <w:tcPr>
            <w:tcW w:w="562" w:type="dxa"/>
            <w:vMerge w:val="continue"/>
            <w:vAlign w:val="center"/>
          </w:tcPr>
          <w:p w14:paraId="4EF91C58">
            <w:pPr>
              <w:jc w:val="center"/>
              <w:rPr>
                <w:rFonts w:hint="eastAsia" w:ascii="宋体" w:hAnsi="宋体" w:eastAsia="宋体" w:cs="宋体"/>
                <w:sz w:val="24"/>
                <w:szCs w:val="24"/>
                <w:vertAlign w:val="baseline"/>
              </w:rPr>
            </w:pPr>
          </w:p>
        </w:tc>
        <w:tc>
          <w:tcPr>
            <w:tcW w:w="810" w:type="dxa"/>
            <w:vMerge w:val="continue"/>
            <w:vAlign w:val="center"/>
          </w:tcPr>
          <w:p w14:paraId="52D32E56">
            <w:pPr>
              <w:jc w:val="center"/>
              <w:rPr>
                <w:rFonts w:hint="eastAsia" w:ascii="宋体" w:hAnsi="宋体" w:eastAsia="宋体" w:cs="宋体"/>
                <w:sz w:val="24"/>
                <w:szCs w:val="24"/>
                <w:vertAlign w:val="baseline"/>
              </w:rPr>
            </w:pPr>
          </w:p>
        </w:tc>
        <w:tc>
          <w:tcPr>
            <w:tcW w:w="855" w:type="dxa"/>
            <w:vMerge w:val="continue"/>
            <w:vAlign w:val="center"/>
          </w:tcPr>
          <w:p w14:paraId="64D8AFEA">
            <w:pPr>
              <w:jc w:val="center"/>
              <w:rPr>
                <w:rFonts w:hint="eastAsia" w:ascii="宋体" w:hAnsi="宋体" w:eastAsia="宋体" w:cs="宋体"/>
                <w:sz w:val="24"/>
                <w:szCs w:val="24"/>
                <w:vertAlign w:val="baseline"/>
              </w:rPr>
            </w:pPr>
          </w:p>
        </w:tc>
        <w:tc>
          <w:tcPr>
            <w:tcW w:w="1020" w:type="dxa"/>
            <w:vMerge w:val="continue"/>
            <w:vAlign w:val="center"/>
          </w:tcPr>
          <w:p w14:paraId="2722BFC4">
            <w:pPr>
              <w:jc w:val="center"/>
              <w:rPr>
                <w:rFonts w:hint="eastAsia" w:ascii="宋体" w:hAnsi="宋体" w:eastAsia="宋体" w:cs="宋体"/>
                <w:sz w:val="24"/>
                <w:szCs w:val="24"/>
                <w:vertAlign w:val="baseline"/>
              </w:rPr>
            </w:pPr>
          </w:p>
        </w:tc>
      </w:tr>
    </w:tbl>
    <w:p w14:paraId="231B7014">
      <w:pPr>
        <w:rPr>
          <w:rFonts w:hint="eastAsia"/>
          <w:lang w:eastAsia="zh-CN"/>
        </w:rPr>
      </w:pPr>
    </w:p>
    <w:bookmarkEnd w:id="2"/>
    <w:bookmarkEnd w:id="3"/>
    <w:bookmarkEnd w:id="4"/>
    <w:bookmarkEnd w:id="5"/>
    <w:bookmarkEnd w:id="6"/>
    <w:bookmarkEnd w:id="7"/>
    <w:bookmarkEnd w:id="8"/>
    <w:p w14:paraId="7679A57C">
      <w:pPr>
        <w:keepNext w:val="0"/>
        <w:keepLines w:val="0"/>
        <w:pageBreakBefore w:val="0"/>
        <w:widowControl w:val="0"/>
        <w:kinsoku/>
        <w:wordWrap/>
        <w:overflowPunct/>
        <w:topLinePunct w:val="0"/>
        <w:autoSpaceDE/>
        <w:autoSpaceDN/>
        <w:bidi w:val="0"/>
        <w:adjustRightInd/>
        <w:snapToGrid/>
        <w:spacing w:before="240" w:after="60" w:line="360" w:lineRule="auto"/>
        <w:jc w:val="center"/>
        <w:textAlignment w:val="auto"/>
        <w:outlineLvl w:val="0"/>
        <w:rPr>
          <w:rFonts w:hint="eastAsia" w:eastAsia="宋体" w:asciiTheme="majorHAnsi" w:hAnsiTheme="majorHAnsi" w:cstheme="majorBidi"/>
          <w:b/>
          <w:bCs/>
          <w:kern w:val="28"/>
          <w:sz w:val="32"/>
          <w:szCs w:val="32"/>
          <w:lang w:val="en-US" w:eastAsia="zh-CN"/>
        </w:rPr>
      </w:pPr>
      <w:bookmarkStart w:id="64" w:name="_Toc15342_WPSOffice_Level1"/>
      <w:bookmarkStart w:id="65" w:name="_Toc24845_WPSOffice_Level1"/>
      <w:bookmarkStart w:id="66" w:name="_Toc708_WPSOffice_Level1"/>
      <w:bookmarkStart w:id="67" w:name="_Toc5137"/>
      <w:bookmarkStart w:id="68" w:name="_Toc1755_WPSOffice_Level1"/>
      <w:bookmarkStart w:id="69" w:name="_Toc23049"/>
      <w:bookmarkStart w:id="70" w:name="_Toc25497"/>
    </w:p>
    <w:p w14:paraId="2ED42206">
      <w:pPr>
        <w:keepNext w:val="0"/>
        <w:keepLines w:val="0"/>
        <w:pageBreakBefore w:val="0"/>
        <w:widowControl w:val="0"/>
        <w:kinsoku/>
        <w:wordWrap/>
        <w:overflowPunct/>
        <w:topLinePunct w:val="0"/>
        <w:autoSpaceDE/>
        <w:autoSpaceDN/>
        <w:bidi w:val="0"/>
        <w:adjustRightInd/>
        <w:snapToGrid/>
        <w:spacing w:before="240" w:after="60" w:line="360" w:lineRule="auto"/>
        <w:jc w:val="center"/>
        <w:textAlignment w:val="auto"/>
        <w:outlineLvl w:val="0"/>
        <w:rPr>
          <w:rFonts w:hint="eastAsia" w:eastAsia="宋体" w:asciiTheme="majorHAnsi" w:hAnsiTheme="majorHAnsi" w:cstheme="majorBidi"/>
          <w:b/>
          <w:bCs/>
          <w:kern w:val="28"/>
          <w:sz w:val="32"/>
          <w:szCs w:val="32"/>
          <w:lang w:val="en-US" w:eastAsia="zh-CN"/>
        </w:rPr>
      </w:pPr>
    </w:p>
    <w:p w14:paraId="12D94415">
      <w:pPr>
        <w:keepNext w:val="0"/>
        <w:keepLines w:val="0"/>
        <w:pageBreakBefore w:val="0"/>
        <w:widowControl w:val="0"/>
        <w:kinsoku/>
        <w:wordWrap/>
        <w:overflowPunct/>
        <w:topLinePunct w:val="0"/>
        <w:autoSpaceDE/>
        <w:autoSpaceDN/>
        <w:bidi w:val="0"/>
        <w:adjustRightInd/>
        <w:snapToGrid/>
        <w:spacing w:before="240" w:after="60" w:line="360" w:lineRule="auto"/>
        <w:jc w:val="center"/>
        <w:textAlignment w:val="auto"/>
        <w:outlineLvl w:val="0"/>
        <w:rPr>
          <w:rFonts w:hint="eastAsia" w:eastAsia="宋体" w:asciiTheme="majorHAnsi" w:hAnsiTheme="majorHAnsi" w:cstheme="majorBidi"/>
          <w:b/>
          <w:bCs/>
          <w:kern w:val="28"/>
          <w:sz w:val="32"/>
          <w:szCs w:val="32"/>
          <w:lang w:val="en-US" w:eastAsia="zh-CN"/>
        </w:rPr>
      </w:pPr>
    </w:p>
    <w:p w14:paraId="6970B926">
      <w:pPr>
        <w:keepNext w:val="0"/>
        <w:keepLines w:val="0"/>
        <w:pageBreakBefore w:val="0"/>
        <w:widowControl w:val="0"/>
        <w:kinsoku/>
        <w:wordWrap/>
        <w:overflowPunct/>
        <w:topLinePunct w:val="0"/>
        <w:autoSpaceDE/>
        <w:autoSpaceDN/>
        <w:bidi w:val="0"/>
        <w:adjustRightInd/>
        <w:snapToGrid/>
        <w:spacing w:before="240" w:after="60" w:line="360" w:lineRule="auto"/>
        <w:jc w:val="center"/>
        <w:textAlignment w:val="auto"/>
        <w:outlineLvl w:val="0"/>
        <w:rPr>
          <w:rFonts w:hint="eastAsia" w:eastAsia="宋体" w:asciiTheme="majorHAnsi" w:hAnsiTheme="majorHAnsi" w:cstheme="majorBidi"/>
          <w:b/>
          <w:bCs/>
          <w:kern w:val="28"/>
          <w:sz w:val="32"/>
          <w:szCs w:val="32"/>
          <w:lang w:val="en-US" w:eastAsia="zh-CN"/>
        </w:rPr>
      </w:pPr>
    </w:p>
    <w:p w14:paraId="7BA762CA">
      <w:pPr>
        <w:keepNext w:val="0"/>
        <w:keepLines w:val="0"/>
        <w:pageBreakBefore w:val="0"/>
        <w:widowControl w:val="0"/>
        <w:kinsoku/>
        <w:wordWrap/>
        <w:overflowPunct/>
        <w:topLinePunct w:val="0"/>
        <w:autoSpaceDE/>
        <w:autoSpaceDN/>
        <w:bidi w:val="0"/>
        <w:adjustRightInd/>
        <w:snapToGrid/>
        <w:spacing w:before="240" w:after="60" w:line="360" w:lineRule="auto"/>
        <w:jc w:val="center"/>
        <w:textAlignment w:val="auto"/>
        <w:outlineLvl w:val="0"/>
        <w:rPr>
          <w:rFonts w:hint="eastAsia" w:eastAsia="宋体" w:asciiTheme="majorHAnsi" w:hAnsiTheme="majorHAnsi" w:cstheme="majorBidi"/>
          <w:b/>
          <w:bCs/>
          <w:kern w:val="28"/>
          <w:sz w:val="32"/>
          <w:szCs w:val="32"/>
          <w:lang w:val="en-US" w:eastAsia="zh-CN"/>
        </w:rPr>
      </w:pPr>
      <w:bookmarkStart w:id="71" w:name="_Toc3659"/>
      <w:r>
        <w:rPr>
          <w:rFonts w:hint="eastAsia" w:eastAsia="宋体" w:asciiTheme="majorHAnsi" w:hAnsiTheme="majorHAnsi" w:cstheme="majorBidi"/>
          <w:b/>
          <w:bCs/>
          <w:kern w:val="28"/>
          <w:sz w:val="32"/>
          <w:szCs w:val="32"/>
          <w:lang w:val="en-US" w:eastAsia="zh-CN"/>
        </w:rPr>
        <w:t>第六章  响应文件格式</w:t>
      </w:r>
      <w:bookmarkEnd w:id="64"/>
      <w:bookmarkEnd w:id="65"/>
      <w:bookmarkEnd w:id="66"/>
      <w:bookmarkEnd w:id="67"/>
      <w:bookmarkEnd w:id="68"/>
      <w:bookmarkEnd w:id="69"/>
      <w:bookmarkEnd w:id="70"/>
      <w:bookmarkEnd w:id="71"/>
    </w:p>
    <w:p w14:paraId="226BDDDD">
      <w:pPr>
        <w:spacing w:line="420" w:lineRule="exact"/>
        <w:rPr>
          <w:sz w:val="24"/>
          <w:szCs w:val="24"/>
        </w:rPr>
      </w:pPr>
      <w:bookmarkStart w:id="72" w:name="_Toc27687"/>
      <w:bookmarkEnd w:id="72"/>
      <w:bookmarkStart w:id="73" w:name="_Toc528078066"/>
      <w:bookmarkEnd w:id="73"/>
      <w:bookmarkStart w:id="74" w:name="_Toc394651921"/>
      <w:bookmarkEnd w:id="74"/>
      <w:bookmarkStart w:id="75" w:name="_Toc19996"/>
    </w:p>
    <w:p w14:paraId="758DB672">
      <w:pPr>
        <w:spacing w:line="420" w:lineRule="exact"/>
        <w:rPr>
          <w:sz w:val="24"/>
          <w:szCs w:val="24"/>
        </w:rPr>
      </w:pPr>
    </w:p>
    <w:p w14:paraId="4A9943E9">
      <w:pPr>
        <w:spacing w:line="420" w:lineRule="exact"/>
        <w:rPr>
          <w:rFonts w:hint="eastAsia"/>
          <w:sz w:val="24"/>
          <w:szCs w:val="24"/>
          <w:lang w:eastAsia="zh-CN"/>
        </w:rPr>
      </w:pPr>
      <w:r>
        <w:rPr>
          <w:rFonts w:hint="eastAsia"/>
          <w:sz w:val="24"/>
          <w:szCs w:val="24"/>
          <w:lang w:eastAsia="zh-CN"/>
        </w:rPr>
        <w:t xml:space="preserve">                    </w:t>
      </w:r>
      <w:r>
        <w:rPr>
          <w:rFonts w:hint="eastAsia"/>
          <w:sz w:val="24"/>
          <w:szCs w:val="24"/>
          <w:lang w:val="en-US" w:eastAsia="zh-CN"/>
        </w:rPr>
        <w:t xml:space="preserve">  </w:t>
      </w:r>
      <w:r>
        <w:rPr>
          <w:rFonts w:hint="eastAsia"/>
          <w:sz w:val="24"/>
          <w:szCs w:val="24"/>
          <w:lang w:eastAsia="zh-CN"/>
        </w:rPr>
        <w:t xml:space="preserve">    </w:t>
      </w:r>
      <w:r>
        <w:rPr>
          <w:rFonts w:hint="eastAsia"/>
          <w:sz w:val="24"/>
          <w:szCs w:val="24"/>
          <w:u w:val="single"/>
          <w:lang w:val="en-US" w:eastAsia="zh-CN"/>
        </w:rPr>
        <w:t xml:space="preserve">                      </w:t>
      </w:r>
      <w:r>
        <w:rPr>
          <w:rFonts w:hint="eastAsia"/>
          <w:sz w:val="24"/>
          <w:szCs w:val="24"/>
          <w:lang w:eastAsia="zh-CN"/>
        </w:rPr>
        <w:t>（项目名称）</w:t>
      </w:r>
    </w:p>
    <w:p w14:paraId="419F7565">
      <w:pPr>
        <w:spacing w:line="420" w:lineRule="exact"/>
        <w:ind w:firstLine="240" w:firstLineChars="100"/>
        <w:rPr>
          <w:sz w:val="24"/>
          <w:szCs w:val="24"/>
        </w:rPr>
      </w:pPr>
    </w:p>
    <w:p w14:paraId="4F4239F0">
      <w:pPr>
        <w:spacing w:line="420" w:lineRule="exact"/>
        <w:rPr>
          <w:sz w:val="24"/>
          <w:szCs w:val="24"/>
        </w:rPr>
      </w:pPr>
    </w:p>
    <w:p w14:paraId="3C081FD3">
      <w:pPr>
        <w:spacing w:line="360" w:lineRule="auto"/>
        <w:jc w:val="center"/>
        <w:rPr>
          <w:rFonts w:hint="eastAsia"/>
          <w:sz w:val="48"/>
          <w:szCs w:val="48"/>
        </w:rPr>
      </w:pPr>
      <w:r>
        <w:rPr>
          <w:rFonts w:hint="eastAsia"/>
          <w:sz w:val="48"/>
          <w:szCs w:val="48"/>
        </w:rPr>
        <w:t>响应性文件</w:t>
      </w:r>
    </w:p>
    <w:p w14:paraId="04993458">
      <w:pPr>
        <w:pStyle w:val="9"/>
      </w:pPr>
    </w:p>
    <w:p w14:paraId="0EA0EC47">
      <w:pPr>
        <w:spacing w:line="420" w:lineRule="exact"/>
        <w:jc w:val="center"/>
        <w:rPr>
          <w:sz w:val="28"/>
          <w:szCs w:val="28"/>
        </w:rPr>
      </w:pPr>
      <w:r>
        <w:rPr>
          <w:rFonts w:hint="eastAsia"/>
          <w:sz w:val="28"/>
          <w:szCs w:val="28"/>
        </w:rPr>
        <w:t>项目编号：</w:t>
      </w:r>
    </w:p>
    <w:p w14:paraId="12BAECBF">
      <w:pPr>
        <w:spacing w:line="420" w:lineRule="exact"/>
        <w:jc w:val="center"/>
        <w:rPr>
          <w:sz w:val="28"/>
          <w:szCs w:val="28"/>
        </w:rPr>
      </w:pPr>
    </w:p>
    <w:p w14:paraId="1A4A6D88">
      <w:pPr>
        <w:spacing w:line="420" w:lineRule="exact"/>
        <w:rPr>
          <w:sz w:val="24"/>
          <w:szCs w:val="24"/>
        </w:rPr>
      </w:pPr>
    </w:p>
    <w:p w14:paraId="18FB79FC">
      <w:pPr>
        <w:spacing w:line="420" w:lineRule="exact"/>
        <w:rPr>
          <w:sz w:val="24"/>
          <w:szCs w:val="24"/>
        </w:rPr>
      </w:pPr>
    </w:p>
    <w:p w14:paraId="49F71CA7">
      <w:pPr>
        <w:spacing w:line="420" w:lineRule="exact"/>
        <w:rPr>
          <w:sz w:val="24"/>
          <w:szCs w:val="24"/>
        </w:rPr>
      </w:pPr>
    </w:p>
    <w:p w14:paraId="497C6E2F">
      <w:pPr>
        <w:spacing w:line="420" w:lineRule="exact"/>
        <w:rPr>
          <w:sz w:val="24"/>
          <w:szCs w:val="24"/>
        </w:rPr>
      </w:pPr>
    </w:p>
    <w:p w14:paraId="73023C21">
      <w:pPr>
        <w:pStyle w:val="9"/>
        <w:rPr>
          <w:sz w:val="24"/>
          <w:szCs w:val="24"/>
        </w:rPr>
      </w:pPr>
    </w:p>
    <w:p w14:paraId="2DE0ABCD">
      <w:pPr>
        <w:pStyle w:val="9"/>
        <w:rPr>
          <w:sz w:val="24"/>
          <w:szCs w:val="24"/>
        </w:rPr>
      </w:pPr>
    </w:p>
    <w:p w14:paraId="00B8ABB3">
      <w:pPr>
        <w:pStyle w:val="9"/>
        <w:rPr>
          <w:sz w:val="24"/>
          <w:szCs w:val="24"/>
        </w:rPr>
      </w:pPr>
    </w:p>
    <w:p w14:paraId="34D3AD4F">
      <w:pPr>
        <w:pStyle w:val="9"/>
        <w:rPr>
          <w:sz w:val="24"/>
          <w:szCs w:val="24"/>
        </w:rPr>
      </w:pPr>
    </w:p>
    <w:p w14:paraId="39797431">
      <w:pPr>
        <w:pStyle w:val="9"/>
        <w:rPr>
          <w:sz w:val="24"/>
          <w:szCs w:val="24"/>
        </w:rPr>
      </w:pPr>
    </w:p>
    <w:p w14:paraId="306A1071">
      <w:pPr>
        <w:pStyle w:val="9"/>
        <w:rPr>
          <w:sz w:val="24"/>
          <w:szCs w:val="24"/>
        </w:rPr>
      </w:pPr>
    </w:p>
    <w:p w14:paraId="06D2E127">
      <w:pPr>
        <w:pStyle w:val="9"/>
        <w:rPr>
          <w:sz w:val="24"/>
          <w:szCs w:val="24"/>
        </w:rPr>
      </w:pPr>
    </w:p>
    <w:p w14:paraId="53EA256C">
      <w:pPr>
        <w:spacing w:line="420" w:lineRule="exact"/>
        <w:rPr>
          <w:sz w:val="24"/>
          <w:szCs w:val="24"/>
        </w:rPr>
      </w:pPr>
    </w:p>
    <w:p w14:paraId="08AAA952">
      <w:pPr>
        <w:spacing w:line="600" w:lineRule="auto"/>
        <w:ind w:firstLine="2880" w:firstLineChars="1200"/>
        <w:rPr>
          <w:sz w:val="24"/>
          <w:szCs w:val="24"/>
        </w:rPr>
      </w:pPr>
      <w:r>
        <w:rPr>
          <w:rFonts w:hint="eastAsia"/>
          <w:sz w:val="24"/>
          <w:szCs w:val="24"/>
        </w:rPr>
        <w:t>供应商：</w:t>
      </w:r>
      <w:r>
        <w:rPr>
          <w:rFonts w:hint="eastAsia"/>
          <w:sz w:val="24"/>
          <w:szCs w:val="24"/>
          <w:u w:val="single"/>
        </w:rPr>
        <w:t xml:space="preserve">                 </w:t>
      </w:r>
      <w:r>
        <w:rPr>
          <w:rFonts w:hint="eastAsia"/>
          <w:sz w:val="24"/>
          <w:szCs w:val="24"/>
        </w:rPr>
        <w:t>（电子签章）</w:t>
      </w:r>
    </w:p>
    <w:p w14:paraId="22E49634">
      <w:pPr>
        <w:spacing w:line="600" w:lineRule="auto"/>
        <w:ind w:firstLine="2880" w:firstLineChars="1200"/>
        <w:rPr>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lang w:eastAsia="zh-CN"/>
        </w:rPr>
        <w:t>签章</w:t>
      </w:r>
      <w:r>
        <w:rPr>
          <w:rFonts w:hint="eastAsia"/>
          <w:sz w:val="24"/>
          <w:szCs w:val="24"/>
        </w:rPr>
        <w:t>）</w:t>
      </w:r>
    </w:p>
    <w:p w14:paraId="7D7B0F79">
      <w:pPr>
        <w:spacing w:line="600" w:lineRule="auto"/>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年        月        日</w:t>
      </w:r>
    </w:p>
    <w:p w14:paraId="1886514A">
      <w:pPr>
        <w:widowControl/>
        <w:jc w:val="left"/>
        <w:rPr>
          <w:sz w:val="24"/>
          <w:szCs w:val="24"/>
        </w:rPr>
      </w:pPr>
      <w:r>
        <w:rPr>
          <w:sz w:val="24"/>
          <w:szCs w:val="24"/>
        </w:rPr>
        <w:br w:type="page"/>
      </w:r>
    </w:p>
    <w:p w14:paraId="3BE9F0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8"/>
          <w:szCs w:val="28"/>
        </w:rPr>
      </w:pPr>
      <w:r>
        <w:rPr>
          <w:rFonts w:hint="eastAsia"/>
          <w:sz w:val="28"/>
          <w:szCs w:val="28"/>
        </w:rPr>
        <w:t>目  录</w:t>
      </w:r>
    </w:p>
    <w:p w14:paraId="3B1CD1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szCs w:val="24"/>
        </w:rPr>
      </w:pPr>
      <w:r>
        <w:rPr>
          <w:rFonts w:hint="eastAsia"/>
          <w:sz w:val="24"/>
          <w:szCs w:val="24"/>
        </w:rPr>
        <w:t>（自拟）</w:t>
      </w:r>
    </w:p>
    <w:p w14:paraId="3E1B3482">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p w14:paraId="385982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rPr>
      </w:pPr>
      <w:r>
        <w:rPr>
          <w:rFonts w:hint="eastAsia"/>
          <w:sz w:val="24"/>
          <w:szCs w:val="24"/>
        </w:rPr>
        <w:br w:type="page"/>
      </w:r>
      <w:bookmarkEnd w:id="75"/>
      <w:r>
        <w:rPr>
          <w:rFonts w:hint="eastAsia"/>
          <w:b/>
          <w:bCs/>
          <w:sz w:val="28"/>
          <w:szCs w:val="28"/>
        </w:rPr>
        <w:t>一、磋商响应函</w:t>
      </w:r>
      <w:r>
        <w:rPr>
          <w:rFonts w:hint="eastAsia"/>
          <w:b/>
          <w:bCs/>
          <w:sz w:val="28"/>
          <w:szCs w:val="28"/>
          <w:lang w:val="en-US" w:eastAsia="zh-CN"/>
        </w:rPr>
        <w:t>及附录</w:t>
      </w:r>
    </w:p>
    <w:p w14:paraId="444A5B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磋商响应函</w:t>
      </w:r>
    </w:p>
    <w:p w14:paraId="0C8C11BF">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p w14:paraId="61AB1E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致：</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（采购人名称）</w:t>
      </w:r>
    </w:p>
    <w:p w14:paraId="3130353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1．我方已仔细研究了</w:t>
      </w:r>
      <w:r>
        <w:rPr>
          <w:rFonts w:hint="eastAsia" w:ascii="宋体" w:hAnsi="宋体" w:eastAsia="宋体" w:cs="宋体"/>
          <w:sz w:val="24"/>
          <w:szCs w:val="24"/>
          <w:u w:val="single"/>
        </w:rPr>
        <w:t xml:space="preserve">             </w:t>
      </w:r>
      <w:r>
        <w:rPr>
          <w:rFonts w:hint="eastAsia" w:ascii="宋体" w:hAnsi="宋体" w:eastAsia="宋体" w:cs="宋体"/>
          <w:sz w:val="24"/>
          <w:szCs w:val="24"/>
        </w:rPr>
        <w:t>（项目名称 ）</w:t>
      </w:r>
      <w:r>
        <w:rPr>
          <w:rFonts w:hint="eastAsia" w:ascii="宋体" w:hAnsi="宋体" w:eastAsia="宋体" w:cs="宋体"/>
          <w:spacing w:val="-2"/>
          <w:sz w:val="24"/>
          <w:szCs w:val="24"/>
        </w:rPr>
        <w:t>竞争性磋商文件</w:t>
      </w:r>
      <w:r>
        <w:rPr>
          <w:rFonts w:hint="eastAsia" w:ascii="宋体" w:hAnsi="宋体" w:eastAsia="宋体" w:cs="宋体"/>
          <w:sz w:val="24"/>
          <w:szCs w:val="24"/>
        </w:rPr>
        <w:t>的全部内容</w:t>
      </w:r>
      <w:r>
        <w:rPr>
          <w:rFonts w:hint="eastAsia" w:ascii="宋体" w:hAnsi="宋体" w:eastAsia="宋体" w:cs="宋体"/>
          <w:spacing w:val="-2"/>
          <w:sz w:val="24"/>
          <w:szCs w:val="24"/>
        </w:rPr>
        <w:t>，按照竞争性磋商文件要求交付本次采购项目设备的投标报价为：(大写)</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u w:val="single"/>
          <w:lang w:val="en-US" w:eastAsia="zh-CN"/>
        </w:rPr>
        <w:t xml:space="preserve">  </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u w:val="none"/>
        </w:rPr>
        <w:t>；小写：</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rPr>
        <w:t>元，</w:t>
      </w:r>
      <w:r>
        <w:rPr>
          <w:rFonts w:hint="eastAsia" w:ascii="宋体" w:hAnsi="宋体" w:eastAsia="宋体" w:cs="宋体"/>
          <w:sz w:val="24"/>
          <w:szCs w:val="24"/>
        </w:rPr>
        <w:t>供货期</w:t>
      </w:r>
      <w:r>
        <w:rPr>
          <w:rFonts w:hint="eastAsia" w:ascii="宋体" w:hAnsi="宋体" w:eastAsia="宋体" w:cs="宋体"/>
          <w:sz w:val="24"/>
          <w:szCs w:val="24"/>
          <w:u w:val="single"/>
        </w:rPr>
        <w:t xml:space="preserve">      </w:t>
      </w:r>
      <w:r>
        <w:rPr>
          <w:rFonts w:hint="eastAsia" w:ascii="宋体" w:hAnsi="宋体" w:eastAsia="宋体" w:cs="宋体"/>
          <w:sz w:val="24"/>
          <w:szCs w:val="24"/>
        </w:rPr>
        <w:t>，质量要求</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，交货地点：</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9EE76CE">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2．我方承诺在竞争性磋商文件规定的投标有效期内不修改、撤销响应文件。</w:t>
      </w:r>
    </w:p>
    <w:p w14:paraId="54F4E56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3．如我方中标：</w:t>
      </w:r>
    </w:p>
    <w:p w14:paraId="19692C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（1）我方承诺在收到中标通知书后，在中标通知书规定的期限内与你方签订合同。</w:t>
      </w:r>
    </w:p>
    <w:p w14:paraId="78F902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（2）随同本投标函递交的投标函附录属于合同文件的组成部分。</w:t>
      </w:r>
    </w:p>
    <w:p w14:paraId="5BE015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（3）我方承诺按照竞争性磋商文件规定向你方递交履约担保。</w:t>
      </w:r>
    </w:p>
    <w:p w14:paraId="105760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（4）我方承诺在合同约定的期限内完成并移交全部合同</w:t>
      </w:r>
      <w:r>
        <w:rPr>
          <w:rFonts w:hint="eastAsia" w:ascii="宋体" w:hAnsi="宋体" w:eastAsia="宋体" w:cs="宋体"/>
          <w:sz w:val="24"/>
          <w:szCs w:val="24"/>
          <w:lang w:val="en-US" w:eastAsia="zh-CN"/>
        </w:rPr>
        <w:t>内容</w:t>
      </w:r>
      <w:r>
        <w:rPr>
          <w:rFonts w:hint="eastAsia" w:ascii="宋体" w:hAnsi="宋体" w:eastAsia="宋体" w:cs="宋体"/>
          <w:sz w:val="24"/>
          <w:szCs w:val="24"/>
        </w:rPr>
        <w:t>。</w:t>
      </w:r>
    </w:p>
    <w:p w14:paraId="600E339E">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4．我方在此声明，所递交的响应文件及有关资料内容完整、真实和准确。</w:t>
      </w:r>
    </w:p>
    <w:p w14:paraId="7DC1CE87">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5．（其他补充说明）。</w:t>
      </w:r>
    </w:p>
    <w:p w14:paraId="3980B7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2060BC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3C8D18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供应商：</w:t>
      </w:r>
      <w:r>
        <w:rPr>
          <w:rFonts w:hint="eastAsia" w:ascii="宋体" w:hAnsi="宋体" w:eastAsia="宋体" w:cs="宋体"/>
          <w:sz w:val="24"/>
          <w:szCs w:val="24"/>
          <w:u w:val="single"/>
        </w:rPr>
        <w:t xml:space="preserve">                      </w:t>
      </w:r>
      <w:r>
        <w:rPr>
          <w:rFonts w:hint="eastAsia" w:ascii="宋体" w:hAnsi="宋体" w:eastAsia="宋体" w:cs="宋体"/>
          <w:sz w:val="24"/>
          <w:szCs w:val="24"/>
        </w:rPr>
        <w:t>（电子签章）</w:t>
      </w:r>
    </w:p>
    <w:p w14:paraId="1E7BA150">
      <w:pPr>
        <w:keepNext w:val="0"/>
        <w:keepLines w:val="0"/>
        <w:pageBreakBefore w:val="0"/>
        <w:widowControl w:val="0"/>
        <w:kinsoku/>
        <w:wordWrap/>
        <w:overflowPunct/>
        <w:topLinePunct w:val="0"/>
        <w:autoSpaceDE/>
        <w:autoSpaceDN/>
        <w:bidi w:val="0"/>
        <w:adjustRightInd/>
        <w:snapToGrid/>
        <w:spacing w:line="360" w:lineRule="auto"/>
        <w:ind w:firstLine="3360" w:firstLineChars="1400"/>
        <w:textAlignment w:val="auto"/>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签章</w:t>
      </w:r>
      <w:r>
        <w:rPr>
          <w:rFonts w:hint="eastAsia" w:ascii="宋体" w:hAnsi="宋体" w:eastAsia="宋体" w:cs="宋体"/>
          <w:sz w:val="24"/>
          <w:szCs w:val="24"/>
        </w:rPr>
        <w:t>）</w:t>
      </w:r>
    </w:p>
    <w:p w14:paraId="743FFF4A">
      <w:pPr>
        <w:keepNext w:val="0"/>
        <w:keepLines w:val="0"/>
        <w:pageBreakBefore w:val="0"/>
        <w:widowControl w:val="0"/>
        <w:kinsoku/>
        <w:wordWrap/>
        <w:overflowPunct/>
        <w:topLinePunct w:val="0"/>
        <w:autoSpaceDE/>
        <w:autoSpaceDN/>
        <w:bidi w:val="0"/>
        <w:adjustRightInd/>
        <w:snapToGrid/>
        <w:spacing w:line="360" w:lineRule="auto"/>
        <w:ind w:firstLine="3360" w:firstLineChars="1400"/>
        <w:textAlignment w:val="auto"/>
        <w:rPr>
          <w:rFonts w:hint="eastAsia" w:ascii="宋体" w:hAnsi="宋体" w:eastAsia="宋体" w:cs="宋体"/>
          <w:sz w:val="24"/>
          <w:szCs w:val="24"/>
        </w:rPr>
      </w:pPr>
      <w:r>
        <w:rPr>
          <w:rFonts w:hint="eastAsia" w:ascii="宋体" w:hAnsi="宋体" w:eastAsia="宋体" w:cs="宋体"/>
          <w:sz w:val="24"/>
          <w:szCs w:val="24"/>
        </w:rPr>
        <w:t>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期：        年      月      日</w:t>
      </w:r>
    </w:p>
    <w:p w14:paraId="342475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sz w:val="24"/>
          <w:szCs w:val="24"/>
        </w:rPr>
        <w:br w:type="page"/>
      </w:r>
      <w:bookmarkStart w:id="76" w:name="_Toc528078068"/>
      <w:bookmarkEnd w:id="76"/>
      <w:r>
        <w:rPr>
          <w:rFonts w:hint="eastAsia" w:ascii="宋体" w:hAnsi="宋体" w:eastAsia="宋体" w:cs="宋体"/>
          <w:sz w:val="24"/>
          <w:szCs w:val="24"/>
        </w:rPr>
        <w:t>（2）磋商函附录</w:t>
      </w:r>
    </w:p>
    <w:tbl>
      <w:tblPr>
        <w:tblStyle w:val="11"/>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768"/>
        <w:gridCol w:w="6733"/>
      </w:tblGrid>
      <w:tr w14:paraId="610F106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59"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66A1A0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项目名称</w:t>
            </w:r>
          </w:p>
        </w:tc>
        <w:tc>
          <w:tcPr>
            <w:tcW w:w="6733" w:type="dxa"/>
            <w:tcBorders>
              <w:top w:val="single" w:color="auto" w:sz="4" w:space="0"/>
              <w:left w:val="nil"/>
              <w:bottom w:val="single" w:color="auto" w:sz="4" w:space="0"/>
              <w:right w:val="single" w:color="auto" w:sz="4" w:space="0"/>
            </w:tcBorders>
            <w:vAlign w:val="center"/>
          </w:tcPr>
          <w:p w14:paraId="273662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4AE662E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59"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02FB7F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供应商名称</w:t>
            </w:r>
          </w:p>
        </w:tc>
        <w:tc>
          <w:tcPr>
            <w:tcW w:w="6733" w:type="dxa"/>
            <w:tcBorders>
              <w:top w:val="single" w:color="auto" w:sz="4" w:space="0"/>
              <w:left w:val="nil"/>
              <w:bottom w:val="single" w:color="auto" w:sz="4" w:space="0"/>
              <w:right w:val="single" w:color="auto" w:sz="4" w:space="0"/>
            </w:tcBorders>
            <w:vAlign w:val="center"/>
          </w:tcPr>
          <w:p w14:paraId="430EFE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2902752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59"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08042F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供应商地址</w:t>
            </w:r>
          </w:p>
        </w:tc>
        <w:tc>
          <w:tcPr>
            <w:tcW w:w="6733" w:type="dxa"/>
            <w:tcBorders>
              <w:top w:val="single" w:color="auto" w:sz="4" w:space="0"/>
              <w:left w:val="nil"/>
              <w:bottom w:val="single" w:color="auto" w:sz="4" w:space="0"/>
              <w:right w:val="single" w:color="auto" w:sz="4" w:space="0"/>
            </w:tcBorders>
            <w:vAlign w:val="center"/>
          </w:tcPr>
          <w:p w14:paraId="3303D5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1D98B72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59"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6340DE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供应商统一社会信用代码</w:t>
            </w:r>
          </w:p>
        </w:tc>
        <w:tc>
          <w:tcPr>
            <w:tcW w:w="6733" w:type="dxa"/>
            <w:tcBorders>
              <w:top w:val="single" w:color="auto" w:sz="4" w:space="0"/>
              <w:left w:val="nil"/>
              <w:bottom w:val="single" w:color="auto" w:sz="4" w:space="0"/>
              <w:right w:val="single" w:color="auto" w:sz="4" w:space="0"/>
            </w:tcBorders>
            <w:vAlign w:val="center"/>
          </w:tcPr>
          <w:p w14:paraId="4938DC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5247BCF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59"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2E2893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磋商范围</w:t>
            </w:r>
          </w:p>
        </w:tc>
        <w:tc>
          <w:tcPr>
            <w:tcW w:w="6733" w:type="dxa"/>
            <w:tcBorders>
              <w:top w:val="single" w:color="auto" w:sz="4" w:space="0"/>
              <w:left w:val="nil"/>
              <w:bottom w:val="single" w:color="auto" w:sz="4" w:space="0"/>
              <w:right w:val="single" w:color="auto" w:sz="4" w:space="0"/>
            </w:tcBorders>
            <w:vAlign w:val="center"/>
          </w:tcPr>
          <w:p w14:paraId="52B10A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169B3D6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60" w:hRule="atLeast"/>
          <w:jc w:val="center"/>
        </w:trPr>
        <w:tc>
          <w:tcPr>
            <w:tcW w:w="1768" w:type="dxa"/>
            <w:tcBorders>
              <w:top w:val="single" w:color="auto" w:sz="4" w:space="0"/>
              <w:left w:val="single" w:color="auto" w:sz="4" w:space="0"/>
              <w:bottom w:val="nil"/>
              <w:right w:val="single" w:color="auto" w:sz="4" w:space="0"/>
            </w:tcBorders>
            <w:vAlign w:val="center"/>
          </w:tcPr>
          <w:p w14:paraId="791231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磋商报价</w:t>
            </w:r>
          </w:p>
        </w:tc>
        <w:tc>
          <w:tcPr>
            <w:tcW w:w="6733" w:type="dxa"/>
            <w:tcBorders>
              <w:top w:val="single" w:color="auto" w:sz="4" w:space="0"/>
              <w:left w:val="nil"/>
              <w:bottom w:val="single" w:color="auto" w:sz="4" w:space="0"/>
              <w:right w:val="single" w:color="auto" w:sz="4" w:space="0"/>
            </w:tcBorders>
            <w:vAlign w:val="center"/>
          </w:tcPr>
          <w:p w14:paraId="101CFC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人民币（大写）：</w:t>
            </w:r>
          </w:p>
          <w:p w14:paraId="342FCBD7">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z w:val="24"/>
                <w:szCs w:val="24"/>
              </w:rPr>
            </w:pPr>
            <w:r>
              <w:rPr>
                <w:rFonts w:hint="eastAsia" w:ascii="宋体" w:hAnsi="宋体" w:eastAsia="宋体" w:cs="宋体"/>
                <w:sz w:val="24"/>
                <w:szCs w:val="24"/>
              </w:rPr>
              <w:t>（小写）：</w:t>
            </w:r>
          </w:p>
        </w:tc>
      </w:tr>
      <w:tr w14:paraId="5F84C9E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8" w:hRule="atLeast"/>
          <w:jc w:val="center"/>
        </w:trPr>
        <w:tc>
          <w:tcPr>
            <w:tcW w:w="1768" w:type="dxa"/>
            <w:tcBorders>
              <w:top w:val="single" w:color="auto" w:sz="4" w:space="0"/>
              <w:left w:val="single" w:color="auto" w:sz="4" w:space="0"/>
              <w:bottom w:val="nil"/>
              <w:right w:val="single" w:color="auto" w:sz="4" w:space="0"/>
            </w:tcBorders>
            <w:vAlign w:val="center"/>
          </w:tcPr>
          <w:p w14:paraId="68604F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供货期</w:t>
            </w:r>
          </w:p>
        </w:tc>
        <w:tc>
          <w:tcPr>
            <w:tcW w:w="6733" w:type="dxa"/>
            <w:tcBorders>
              <w:top w:val="single" w:color="auto" w:sz="4" w:space="0"/>
              <w:left w:val="nil"/>
              <w:bottom w:val="single" w:color="auto" w:sz="4" w:space="0"/>
              <w:right w:val="single" w:color="auto" w:sz="4" w:space="0"/>
            </w:tcBorders>
            <w:vAlign w:val="center"/>
          </w:tcPr>
          <w:p w14:paraId="65CB7F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7924275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23"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7A7242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交货地点</w:t>
            </w:r>
          </w:p>
        </w:tc>
        <w:tc>
          <w:tcPr>
            <w:tcW w:w="6733" w:type="dxa"/>
            <w:tcBorders>
              <w:top w:val="single" w:color="auto" w:sz="4" w:space="0"/>
              <w:left w:val="nil"/>
              <w:bottom w:val="single" w:color="auto" w:sz="4" w:space="0"/>
              <w:right w:val="single" w:color="auto" w:sz="4" w:space="0"/>
            </w:tcBorders>
            <w:vAlign w:val="center"/>
          </w:tcPr>
          <w:p w14:paraId="694206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7C29DB5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23"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012756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质量要求</w:t>
            </w:r>
          </w:p>
        </w:tc>
        <w:tc>
          <w:tcPr>
            <w:tcW w:w="6733" w:type="dxa"/>
            <w:tcBorders>
              <w:top w:val="single" w:color="auto" w:sz="4" w:space="0"/>
              <w:left w:val="nil"/>
              <w:bottom w:val="single" w:color="auto" w:sz="4" w:space="0"/>
              <w:right w:val="single" w:color="auto" w:sz="4" w:space="0"/>
            </w:tcBorders>
            <w:vAlign w:val="center"/>
          </w:tcPr>
          <w:p w14:paraId="1A11E2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1F764E0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23"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0AF683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t>质保期</w:t>
            </w:r>
          </w:p>
        </w:tc>
        <w:tc>
          <w:tcPr>
            <w:tcW w:w="6733" w:type="dxa"/>
            <w:tcBorders>
              <w:top w:val="single" w:color="auto" w:sz="4" w:space="0"/>
              <w:left w:val="nil"/>
              <w:bottom w:val="single" w:color="auto" w:sz="4" w:space="0"/>
              <w:right w:val="single" w:color="auto" w:sz="4" w:space="0"/>
            </w:tcBorders>
            <w:vAlign w:val="center"/>
          </w:tcPr>
          <w:p w14:paraId="30DC2E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4A1F83B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23"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2DC81B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磋商</w:t>
            </w:r>
            <w:r>
              <w:rPr>
                <w:rFonts w:hint="eastAsia" w:ascii="宋体" w:hAnsi="宋体" w:eastAsia="宋体" w:cs="宋体"/>
                <w:sz w:val="24"/>
                <w:szCs w:val="24"/>
              </w:rPr>
              <w:t>有效期</w:t>
            </w:r>
          </w:p>
        </w:tc>
        <w:tc>
          <w:tcPr>
            <w:tcW w:w="6733" w:type="dxa"/>
            <w:tcBorders>
              <w:top w:val="single" w:color="auto" w:sz="4" w:space="0"/>
              <w:left w:val="nil"/>
              <w:bottom w:val="single" w:color="auto" w:sz="4" w:space="0"/>
              <w:right w:val="single" w:color="auto" w:sz="4" w:space="0"/>
            </w:tcBorders>
            <w:vAlign w:val="center"/>
          </w:tcPr>
          <w:p w14:paraId="1B3868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512A97E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23"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356805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项目负责人及联系方式</w:t>
            </w:r>
          </w:p>
        </w:tc>
        <w:tc>
          <w:tcPr>
            <w:tcW w:w="6733" w:type="dxa"/>
            <w:tcBorders>
              <w:top w:val="single" w:color="auto" w:sz="4" w:space="0"/>
              <w:left w:val="nil"/>
              <w:bottom w:val="single" w:color="auto" w:sz="4" w:space="0"/>
              <w:right w:val="single" w:color="auto" w:sz="4" w:space="0"/>
            </w:tcBorders>
            <w:vAlign w:val="center"/>
          </w:tcPr>
          <w:p w14:paraId="079481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r w14:paraId="09609E6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13" w:hRule="atLeast"/>
          <w:jc w:val="center"/>
        </w:trPr>
        <w:tc>
          <w:tcPr>
            <w:tcW w:w="1768" w:type="dxa"/>
            <w:tcBorders>
              <w:top w:val="single" w:color="auto" w:sz="4" w:space="0"/>
              <w:left w:val="single" w:color="auto" w:sz="4" w:space="0"/>
              <w:bottom w:val="single" w:color="auto" w:sz="4" w:space="0"/>
              <w:right w:val="single" w:color="auto" w:sz="4" w:space="0"/>
            </w:tcBorders>
            <w:vAlign w:val="center"/>
          </w:tcPr>
          <w:p w14:paraId="116C06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备  注</w:t>
            </w:r>
          </w:p>
        </w:tc>
        <w:tc>
          <w:tcPr>
            <w:tcW w:w="6733" w:type="dxa"/>
            <w:tcBorders>
              <w:top w:val="single" w:color="auto" w:sz="4" w:space="0"/>
              <w:left w:val="single" w:color="auto" w:sz="4" w:space="0"/>
              <w:bottom w:val="single" w:color="auto" w:sz="4" w:space="0"/>
              <w:right w:val="single" w:color="auto" w:sz="4" w:space="0"/>
            </w:tcBorders>
          </w:tcPr>
          <w:p w14:paraId="7146B0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r>
    </w:tbl>
    <w:p w14:paraId="49D022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6A134769">
      <w:pPr>
        <w:keepNext w:val="0"/>
        <w:keepLines w:val="0"/>
        <w:pageBreakBefore w:val="0"/>
        <w:widowControl w:val="0"/>
        <w:kinsoku/>
        <w:wordWrap/>
        <w:overflowPunct/>
        <w:topLinePunct w:val="0"/>
        <w:autoSpaceDE/>
        <w:autoSpaceDN/>
        <w:bidi w:val="0"/>
        <w:adjustRightInd/>
        <w:snapToGrid/>
        <w:spacing w:line="360" w:lineRule="auto"/>
        <w:ind w:firstLine="3360" w:firstLineChars="1400"/>
        <w:textAlignment w:val="auto"/>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 xml:space="preserve">                   </w:t>
      </w:r>
      <w:r>
        <w:rPr>
          <w:rFonts w:hint="eastAsia" w:ascii="宋体" w:hAnsi="宋体" w:eastAsia="宋体" w:cs="宋体"/>
          <w:sz w:val="24"/>
          <w:szCs w:val="24"/>
        </w:rPr>
        <w:t>（电子签章）</w:t>
      </w:r>
    </w:p>
    <w:p w14:paraId="50E21114">
      <w:pPr>
        <w:keepNext w:val="0"/>
        <w:keepLines w:val="0"/>
        <w:pageBreakBefore w:val="0"/>
        <w:widowControl w:val="0"/>
        <w:kinsoku/>
        <w:wordWrap/>
        <w:overflowPunct/>
        <w:topLinePunct w:val="0"/>
        <w:autoSpaceDE/>
        <w:autoSpaceDN/>
        <w:bidi w:val="0"/>
        <w:adjustRightInd/>
        <w:snapToGrid/>
        <w:spacing w:line="360" w:lineRule="auto"/>
        <w:ind w:firstLine="3360" w:firstLineChars="1400"/>
        <w:textAlignment w:val="auto"/>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签章</w:t>
      </w:r>
      <w:r>
        <w:rPr>
          <w:rFonts w:hint="eastAsia" w:ascii="宋体" w:hAnsi="宋体" w:eastAsia="宋体" w:cs="宋体"/>
          <w:sz w:val="24"/>
          <w:szCs w:val="24"/>
        </w:rPr>
        <w:t>）</w:t>
      </w:r>
    </w:p>
    <w:p w14:paraId="5278D5FD">
      <w:pPr>
        <w:keepNext w:val="0"/>
        <w:keepLines w:val="0"/>
        <w:pageBreakBefore w:val="0"/>
        <w:widowControl w:val="0"/>
        <w:kinsoku/>
        <w:wordWrap/>
        <w:overflowPunct/>
        <w:topLinePunct w:val="0"/>
        <w:autoSpaceDE/>
        <w:autoSpaceDN/>
        <w:bidi w:val="0"/>
        <w:adjustRightInd/>
        <w:snapToGrid/>
        <w:spacing w:line="360" w:lineRule="auto"/>
        <w:ind w:firstLine="3360" w:firstLineChars="1400"/>
        <w:textAlignment w:val="auto"/>
        <w:rPr>
          <w:rFonts w:hint="eastAsia" w:ascii="宋体" w:hAnsi="宋体" w:eastAsia="宋体" w:cs="宋体"/>
          <w:sz w:val="24"/>
          <w:szCs w:val="24"/>
        </w:rPr>
      </w:pPr>
      <w:r>
        <w:rPr>
          <w:rFonts w:hint="eastAsia" w:ascii="宋体" w:hAnsi="宋体" w:eastAsia="宋体" w:cs="宋体"/>
          <w:sz w:val="24"/>
          <w:szCs w:val="24"/>
        </w:rPr>
        <w:t>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期：        年      月      日</w:t>
      </w:r>
    </w:p>
    <w:p w14:paraId="748501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28"/>
          <w:szCs w:val="28"/>
        </w:rPr>
      </w:pPr>
      <w:bookmarkStart w:id="77" w:name="_Toc26862"/>
      <w:bookmarkEnd w:id="77"/>
      <w:r>
        <w:rPr>
          <w:rFonts w:hint="eastAsia"/>
          <w:b/>
          <w:bCs/>
          <w:sz w:val="28"/>
          <w:szCs w:val="28"/>
        </w:rPr>
        <w:t>二、法定代表人身份证明</w:t>
      </w:r>
    </w:p>
    <w:p w14:paraId="10A035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u w:val="single"/>
        </w:rPr>
      </w:pPr>
      <w:r>
        <w:rPr>
          <w:rFonts w:hint="eastAsia"/>
          <w:sz w:val="24"/>
          <w:szCs w:val="24"/>
        </w:rPr>
        <w:t>供应商名称：</w:t>
      </w:r>
      <w:r>
        <w:rPr>
          <w:rFonts w:hint="eastAsia"/>
          <w:sz w:val="24"/>
          <w:szCs w:val="24"/>
          <w:u w:val="single"/>
        </w:rPr>
        <w:t xml:space="preserve">                        </w:t>
      </w:r>
    </w:p>
    <w:p w14:paraId="1AD298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u w:val="single"/>
        </w:rPr>
      </w:pPr>
      <w:r>
        <w:rPr>
          <w:rFonts w:hint="eastAsia"/>
          <w:sz w:val="24"/>
          <w:szCs w:val="24"/>
        </w:rPr>
        <w:t>单位性质：</w:t>
      </w:r>
      <w:r>
        <w:rPr>
          <w:rFonts w:hint="eastAsia"/>
          <w:sz w:val="24"/>
          <w:szCs w:val="24"/>
          <w:u w:val="single"/>
        </w:rPr>
        <w:t xml:space="preserve">                        </w:t>
      </w:r>
    </w:p>
    <w:p w14:paraId="1E1B4F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u w:val="single"/>
        </w:rPr>
      </w:pPr>
      <w:r>
        <w:rPr>
          <w:rFonts w:hint="eastAsia"/>
          <w:sz w:val="24"/>
          <w:szCs w:val="24"/>
        </w:rPr>
        <w:t>地址：</w:t>
      </w:r>
      <w:r>
        <w:rPr>
          <w:rFonts w:hint="eastAsia"/>
          <w:sz w:val="24"/>
          <w:szCs w:val="24"/>
          <w:u w:val="single"/>
        </w:rPr>
        <w:t xml:space="preserve">                        </w:t>
      </w:r>
    </w:p>
    <w:p w14:paraId="158CC8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成立时间：</w:t>
      </w:r>
      <w:r>
        <w:rPr>
          <w:rFonts w:hint="eastAsia"/>
          <w:sz w:val="24"/>
          <w:szCs w:val="24"/>
          <w:u w:val="single"/>
        </w:rPr>
        <w:t xml:space="preserve">     </w:t>
      </w:r>
      <w:r>
        <w:rPr>
          <w:rFonts w:hint="eastAsia"/>
          <w:sz w:val="24"/>
          <w:szCs w:val="24"/>
        </w:rPr>
        <w:t xml:space="preserve">年 </w:t>
      </w:r>
      <w:r>
        <w:rPr>
          <w:rFonts w:hint="eastAsia"/>
          <w:sz w:val="24"/>
          <w:szCs w:val="24"/>
          <w:u w:val="single"/>
        </w:rPr>
        <w:t xml:space="preserve">     </w:t>
      </w:r>
      <w:r>
        <w:rPr>
          <w:rFonts w:hint="eastAsia"/>
          <w:sz w:val="24"/>
          <w:szCs w:val="24"/>
        </w:rPr>
        <w:t xml:space="preserve"> 月</w:t>
      </w:r>
      <w:r>
        <w:rPr>
          <w:rFonts w:hint="eastAsia"/>
          <w:sz w:val="24"/>
          <w:szCs w:val="24"/>
          <w:u w:val="single"/>
        </w:rPr>
        <w:t xml:space="preserve">      </w:t>
      </w:r>
      <w:r>
        <w:rPr>
          <w:rFonts w:hint="eastAsia"/>
          <w:sz w:val="24"/>
          <w:szCs w:val="24"/>
        </w:rPr>
        <w:t>日</w:t>
      </w:r>
    </w:p>
    <w:p w14:paraId="3F4162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u w:val="single"/>
        </w:rPr>
      </w:pPr>
      <w:r>
        <w:rPr>
          <w:rFonts w:hint="eastAsia"/>
          <w:sz w:val="24"/>
          <w:szCs w:val="24"/>
        </w:rPr>
        <w:t>经营期限：</w:t>
      </w:r>
      <w:r>
        <w:rPr>
          <w:rFonts w:hint="eastAsia"/>
          <w:sz w:val="24"/>
          <w:szCs w:val="24"/>
          <w:u w:val="single"/>
        </w:rPr>
        <w:t xml:space="preserve">                        </w:t>
      </w:r>
    </w:p>
    <w:p w14:paraId="1BA916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 xml:space="preserve">姓名： </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 xml:space="preserve">   ；性别： </w:t>
      </w:r>
      <w:r>
        <w:rPr>
          <w:rFonts w:hint="eastAsia"/>
          <w:sz w:val="24"/>
          <w:szCs w:val="24"/>
          <w:u w:val="single"/>
        </w:rPr>
        <w:t xml:space="preserve">            </w:t>
      </w:r>
      <w:r>
        <w:rPr>
          <w:rFonts w:hint="eastAsia"/>
          <w:sz w:val="24"/>
          <w:szCs w:val="24"/>
        </w:rPr>
        <w:t xml:space="preserve">   ；</w:t>
      </w:r>
    </w:p>
    <w:p w14:paraId="1A6E0C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 xml:space="preserve">年龄： </w:t>
      </w:r>
      <w:r>
        <w:rPr>
          <w:rFonts w:hint="eastAsia"/>
          <w:sz w:val="24"/>
          <w:szCs w:val="24"/>
          <w:u w:val="single"/>
        </w:rPr>
        <w:t xml:space="preserve">             </w:t>
      </w:r>
      <w:r>
        <w:rPr>
          <w:rFonts w:hint="eastAsia"/>
          <w:sz w:val="24"/>
          <w:szCs w:val="24"/>
        </w:rPr>
        <w:t xml:space="preserve">  ；</w:t>
      </w:r>
      <w:r>
        <w:rPr>
          <w:rFonts w:hint="eastAsia"/>
          <w:sz w:val="24"/>
          <w:szCs w:val="24"/>
          <w:lang w:val="en-US" w:eastAsia="zh-CN"/>
        </w:rPr>
        <w:t xml:space="preserve"> </w:t>
      </w:r>
      <w:r>
        <w:rPr>
          <w:rFonts w:hint="eastAsia"/>
          <w:sz w:val="24"/>
          <w:szCs w:val="24"/>
        </w:rPr>
        <w:t>职务：</w:t>
      </w:r>
      <w:r>
        <w:rPr>
          <w:rFonts w:hint="eastAsia"/>
          <w:sz w:val="24"/>
          <w:szCs w:val="24"/>
          <w:u w:val="single"/>
        </w:rPr>
        <w:t xml:space="preserve">               </w:t>
      </w:r>
      <w:r>
        <w:rPr>
          <w:rFonts w:hint="eastAsia"/>
          <w:sz w:val="24"/>
          <w:szCs w:val="24"/>
        </w:rPr>
        <w:t xml:space="preserve"> ；</w:t>
      </w:r>
    </w:p>
    <w:p w14:paraId="2C55B1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身份证号码：</w:t>
      </w:r>
      <w:r>
        <w:rPr>
          <w:rFonts w:hint="eastAsia"/>
          <w:sz w:val="24"/>
          <w:szCs w:val="24"/>
          <w:u w:val="single"/>
        </w:rPr>
        <w:t xml:space="preserve">                   </w:t>
      </w:r>
      <w:r>
        <w:rPr>
          <w:rFonts w:hint="eastAsia"/>
          <w:sz w:val="24"/>
          <w:szCs w:val="24"/>
        </w:rPr>
        <w:t xml:space="preserve"> ，系</w:t>
      </w:r>
      <w:r>
        <w:rPr>
          <w:rFonts w:hint="eastAsia"/>
          <w:sz w:val="24"/>
          <w:szCs w:val="24"/>
          <w:u w:val="single"/>
        </w:rPr>
        <w:t xml:space="preserve">              </w:t>
      </w:r>
      <w:r>
        <w:rPr>
          <w:rFonts w:hint="eastAsia"/>
          <w:sz w:val="24"/>
          <w:szCs w:val="24"/>
        </w:rPr>
        <w:t>（供应商名称）的法定代表人。</w:t>
      </w:r>
    </w:p>
    <w:p w14:paraId="0FAE71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特此证明。</w:t>
      </w:r>
    </w:p>
    <w:p w14:paraId="611669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附：法定代表人身份证扫描件，加盖公章。</w:t>
      </w:r>
    </w:p>
    <w:p w14:paraId="754A68EA">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p w14:paraId="162FFE99">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p w14:paraId="3929E1B4">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kern w:val="0"/>
          <w:sz w:val="24"/>
          <w:szCs w:val="24"/>
        </w:rPr>
      </w:pPr>
      <w:r>
        <w:rPr>
          <w:rFonts w:hint="eastAsia"/>
          <w:kern w:val="0"/>
          <w:sz w:val="24"/>
          <w:szCs w:val="24"/>
        </w:rPr>
        <w:t>供应商：</w:t>
      </w:r>
      <w:r>
        <w:rPr>
          <w:rFonts w:hint="eastAsia"/>
          <w:sz w:val="24"/>
          <w:szCs w:val="24"/>
          <w:u w:val="single"/>
        </w:rPr>
        <w:t xml:space="preserve">                  </w:t>
      </w:r>
      <w:r>
        <w:rPr>
          <w:rFonts w:hint="eastAsia"/>
          <w:kern w:val="0"/>
          <w:sz w:val="24"/>
          <w:szCs w:val="24"/>
        </w:rPr>
        <w:t>（电子签章）</w:t>
      </w:r>
    </w:p>
    <w:p w14:paraId="423ED77F">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r>
        <w:rPr>
          <w:rFonts w:hint="eastAsia"/>
          <w:sz w:val="24"/>
          <w:szCs w:val="24"/>
        </w:rPr>
        <w:t>日</w:t>
      </w:r>
      <w:r>
        <w:rPr>
          <w:rFonts w:hint="eastAsia"/>
          <w:sz w:val="24"/>
          <w:szCs w:val="24"/>
          <w:lang w:val="en-US" w:eastAsia="zh-CN"/>
        </w:rPr>
        <w:t xml:space="preserve">  </w:t>
      </w:r>
      <w:r>
        <w:rPr>
          <w:rFonts w:hint="eastAsia"/>
          <w:sz w:val="24"/>
          <w:szCs w:val="24"/>
        </w:rPr>
        <w:t>期：      年       月      日</w:t>
      </w:r>
      <w:bookmarkStart w:id="78" w:name="_Toc528078069"/>
      <w:bookmarkEnd w:id="78"/>
      <w:bookmarkStart w:id="79" w:name="_Toc23204"/>
    </w:p>
    <w:p w14:paraId="0927FC7A">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p>
    <w:p w14:paraId="482137C5">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p>
    <w:p w14:paraId="007C2CF3">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p>
    <w:p w14:paraId="3B62F21C">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p>
    <w:p w14:paraId="7E5E31D8">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p>
    <w:p w14:paraId="48160DB8">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p>
    <w:p w14:paraId="518CBE0F">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p>
    <w:p w14:paraId="3392E9A4">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p>
    <w:p w14:paraId="596153F4">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p>
    <w:p w14:paraId="2304853D">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p>
    <w:p w14:paraId="0615E862">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p>
    <w:p w14:paraId="267C03ED">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p>
    <w:p w14:paraId="02132F83">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p>
    <w:p w14:paraId="352B0498">
      <w:pPr>
        <w:keepNext w:val="0"/>
        <w:keepLines w:val="0"/>
        <w:pageBreakBefore w:val="0"/>
        <w:widowControl w:val="0"/>
        <w:kinsoku/>
        <w:wordWrap/>
        <w:overflowPunct/>
        <w:topLinePunct w:val="0"/>
        <w:autoSpaceDE/>
        <w:autoSpaceDN/>
        <w:bidi w:val="0"/>
        <w:adjustRightInd/>
        <w:snapToGrid/>
        <w:spacing w:line="360" w:lineRule="auto"/>
        <w:ind w:firstLine="3120" w:firstLineChars="1300"/>
        <w:textAlignment w:val="auto"/>
        <w:rPr>
          <w:rFonts w:hint="eastAsia"/>
          <w:sz w:val="24"/>
          <w:szCs w:val="24"/>
        </w:rPr>
      </w:pPr>
    </w:p>
    <w:p w14:paraId="6A31F787">
      <w:pPr>
        <w:pStyle w:val="2"/>
        <w:rPr>
          <w:rFonts w:hint="eastAsia"/>
        </w:rPr>
      </w:pPr>
    </w:p>
    <w:p w14:paraId="660E87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28"/>
          <w:szCs w:val="28"/>
        </w:rPr>
      </w:pPr>
      <w:r>
        <w:rPr>
          <w:rFonts w:hint="eastAsia"/>
          <w:b/>
          <w:bCs/>
          <w:sz w:val="28"/>
          <w:szCs w:val="28"/>
        </w:rPr>
        <w:t>三、授权委托书</w:t>
      </w:r>
      <w:bookmarkEnd w:id="79"/>
    </w:p>
    <w:p w14:paraId="557B76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14:paraId="1A5C94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本人</w:t>
      </w:r>
      <w:r>
        <w:rPr>
          <w:rFonts w:hint="eastAsia"/>
          <w:sz w:val="24"/>
          <w:szCs w:val="24"/>
          <w:u w:val="single"/>
        </w:rPr>
        <w:t xml:space="preserve">             </w:t>
      </w:r>
      <w:r>
        <w:rPr>
          <w:rFonts w:hint="eastAsia"/>
          <w:sz w:val="24"/>
          <w:szCs w:val="24"/>
        </w:rPr>
        <w:t>（姓名）系</w:t>
      </w:r>
      <w:r>
        <w:rPr>
          <w:rFonts w:hint="eastAsia"/>
          <w:sz w:val="24"/>
          <w:szCs w:val="24"/>
          <w:u w:val="single"/>
        </w:rPr>
        <w:t xml:space="preserve">                   </w:t>
      </w:r>
      <w:r>
        <w:rPr>
          <w:rFonts w:hint="eastAsia"/>
          <w:sz w:val="24"/>
          <w:szCs w:val="24"/>
        </w:rPr>
        <w:t>（供应商名称）的法定代表人，现委托</w:t>
      </w:r>
      <w:r>
        <w:rPr>
          <w:rFonts w:hint="eastAsia"/>
          <w:sz w:val="24"/>
          <w:szCs w:val="24"/>
          <w:u w:val="single"/>
        </w:rPr>
        <w:t xml:space="preserve">           </w:t>
      </w:r>
      <w:r>
        <w:rPr>
          <w:rFonts w:hint="eastAsia"/>
          <w:sz w:val="24"/>
          <w:szCs w:val="24"/>
        </w:rPr>
        <w:t>（姓名）为我方代理人。代理人根据授权，以我方名义签署、澄清、说明、补正、递交、撤回、修改</w:t>
      </w:r>
      <w:r>
        <w:rPr>
          <w:rFonts w:hint="eastAsia"/>
          <w:sz w:val="24"/>
          <w:szCs w:val="24"/>
          <w:u w:val="single"/>
        </w:rPr>
        <w:t xml:space="preserve">                 </w:t>
      </w:r>
      <w:r>
        <w:rPr>
          <w:rFonts w:hint="eastAsia"/>
          <w:sz w:val="24"/>
          <w:szCs w:val="24"/>
        </w:rPr>
        <w:t>（项目名称）投标文件、签订合同和处理有关事宜，其法律后果由我方承担。</w:t>
      </w:r>
    </w:p>
    <w:p w14:paraId="67C87F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u w:val="single"/>
        </w:rPr>
      </w:pPr>
      <w:r>
        <w:rPr>
          <w:rFonts w:hint="eastAsia"/>
          <w:sz w:val="24"/>
          <w:szCs w:val="24"/>
        </w:rPr>
        <w:t>委托期限：</w:t>
      </w:r>
      <w:r>
        <w:rPr>
          <w:rFonts w:hint="eastAsia"/>
          <w:sz w:val="24"/>
          <w:szCs w:val="24"/>
          <w:u w:val="single"/>
        </w:rPr>
        <w:t xml:space="preserve">                        </w:t>
      </w:r>
    </w:p>
    <w:p w14:paraId="6F26A4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代理人无转委托权。</w:t>
      </w:r>
    </w:p>
    <w:p w14:paraId="6AB3B8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附：法定代表人身份证复印件、被授权委托人身份证复印件</w:t>
      </w:r>
    </w:p>
    <w:p w14:paraId="744316FA">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 xml:space="preserve"> </w:t>
      </w:r>
    </w:p>
    <w:p w14:paraId="681F99A3">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p w14:paraId="62AF8E07">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p w14:paraId="51A2233B">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rPr>
          <w:sz w:val="24"/>
          <w:szCs w:val="24"/>
        </w:rPr>
      </w:pPr>
      <w:r>
        <w:rPr>
          <w:rFonts w:hint="eastAsia"/>
          <w:sz w:val="24"/>
          <w:szCs w:val="24"/>
        </w:rPr>
        <w:t>供应商：</w:t>
      </w:r>
      <w:r>
        <w:rPr>
          <w:rFonts w:hint="eastAsia"/>
          <w:sz w:val="24"/>
          <w:szCs w:val="24"/>
          <w:u w:val="single"/>
        </w:rPr>
        <w:t xml:space="preserve">                       </w:t>
      </w:r>
      <w:r>
        <w:rPr>
          <w:rFonts w:hint="eastAsia"/>
          <w:sz w:val="24"/>
          <w:szCs w:val="24"/>
        </w:rPr>
        <w:t>（电子签章）</w:t>
      </w:r>
    </w:p>
    <w:p w14:paraId="59E8AFA3">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rPr>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cs="黑体"/>
          <w:bCs/>
          <w:kern w:val="0"/>
          <w:sz w:val="24"/>
          <w:szCs w:val="21"/>
        </w:rPr>
        <w:t>签章</w:t>
      </w:r>
      <w:r>
        <w:rPr>
          <w:rFonts w:hint="eastAsia"/>
          <w:sz w:val="24"/>
          <w:szCs w:val="24"/>
        </w:rPr>
        <w:t>）</w:t>
      </w:r>
    </w:p>
    <w:p w14:paraId="0A4F2E41">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rPr>
          <w:rFonts w:cs="Times New Roman"/>
          <w:kern w:val="1"/>
          <w:sz w:val="24"/>
          <w:szCs w:val="24"/>
          <w:u w:val="single"/>
        </w:rPr>
      </w:pPr>
      <w:r>
        <w:rPr>
          <w:rFonts w:hint="eastAsia"/>
          <w:sz w:val="24"/>
          <w:szCs w:val="24"/>
        </w:rPr>
        <w:t>身份证号码：</w:t>
      </w:r>
      <w:r>
        <w:rPr>
          <w:rFonts w:hint="eastAsia"/>
          <w:sz w:val="24"/>
          <w:szCs w:val="24"/>
          <w:u w:val="single"/>
        </w:rPr>
        <w:t xml:space="preserve">                  </w:t>
      </w:r>
      <w:r>
        <w:rPr>
          <w:rFonts w:hint="eastAsia" w:cs="Times New Roman"/>
          <w:kern w:val="1"/>
          <w:sz w:val="24"/>
          <w:szCs w:val="24"/>
          <w:u w:val="single"/>
        </w:rPr>
        <w:t xml:space="preserve"> </w:t>
      </w:r>
    </w:p>
    <w:p w14:paraId="738FC0F8">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rPr>
          <w:sz w:val="24"/>
          <w:szCs w:val="24"/>
        </w:rPr>
      </w:pPr>
      <w:r>
        <w:rPr>
          <w:rFonts w:hint="eastAsia"/>
          <w:sz w:val="24"/>
          <w:szCs w:val="24"/>
        </w:rPr>
        <w:t>委托代理人：</w:t>
      </w:r>
      <w:r>
        <w:rPr>
          <w:rFonts w:hint="eastAsia"/>
          <w:sz w:val="24"/>
          <w:szCs w:val="24"/>
          <w:u w:val="single"/>
        </w:rPr>
        <w:t xml:space="preserve">                   </w:t>
      </w:r>
      <w:r>
        <w:rPr>
          <w:rFonts w:hint="eastAsia"/>
          <w:sz w:val="24"/>
          <w:szCs w:val="24"/>
        </w:rPr>
        <w:t xml:space="preserve">（签字） </w:t>
      </w:r>
    </w:p>
    <w:p w14:paraId="32359971">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rPr>
          <w:sz w:val="24"/>
          <w:szCs w:val="24"/>
          <w:u w:val="single"/>
        </w:rPr>
      </w:pPr>
      <w:r>
        <w:rPr>
          <w:rFonts w:hint="eastAsia"/>
          <w:sz w:val="24"/>
          <w:szCs w:val="24"/>
        </w:rPr>
        <w:t>身份证号码：</w:t>
      </w:r>
      <w:r>
        <w:rPr>
          <w:rFonts w:hint="eastAsia"/>
          <w:sz w:val="24"/>
          <w:szCs w:val="24"/>
          <w:u w:val="single"/>
        </w:rPr>
        <w:t xml:space="preserve">                   </w:t>
      </w:r>
    </w:p>
    <w:p w14:paraId="4EBE3A12">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年       月       日</w:t>
      </w:r>
    </w:p>
    <w:p w14:paraId="4E6D1668">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 xml:space="preserve"> </w:t>
      </w:r>
    </w:p>
    <w:p w14:paraId="181B4190">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 xml:space="preserve"> </w:t>
      </w:r>
    </w:p>
    <w:p w14:paraId="7661B075">
      <w:pPr>
        <w:spacing w:line="420" w:lineRule="exact"/>
        <w:rPr>
          <w:sz w:val="24"/>
          <w:szCs w:val="24"/>
        </w:rPr>
      </w:pPr>
      <w:r>
        <w:rPr>
          <w:rFonts w:hint="eastAsia"/>
          <w:sz w:val="24"/>
          <w:szCs w:val="24"/>
        </w:rPr>
        <w:t xml:space="preserve"> </w:t>
      </w:r>
    </w:p>
    <w:p w14:paraId="0926720E">
      <w:pPr>
        <w:spacing w:line="420" w:lineRule="exact"/>
        <w:rPr>
          <w:sz w:val="24"/>
          <w:szCs w:val="24"/>
        </w:rPr>
      </w:pPr>
    </w:p>
    <w:p w14:paraId="678A8FF3">
      <w:pPr>
        <w:spacing w:line="420" w:lineRule="exact"/>
        <w:rPr>
          <w:sz w:val="24"/>
          <w:szCs w:val="24"/>
        </w:rPr>
      </w:pPr>
    </w:p>
    <w:p w14:paraId="4AE8F9DB">
      <w:pPr>
        <w:spacing w:line="420" w:lineRule="exact"/>
        <w:rPr>
          <w:sz w:val="24"/>
          <w:szCs w:val="24"/>
        </w:rPr>
      </w:pPr>
      <w:r>
        <w:rPr>
          <w:rFonts w:hint="eastAsia"/>
          <w:sz w:val="24"/>
          <w:szCs w:val="24"/>
        </w:rPr>
        <w:t xml:space="preserve"> </w:t>
      </w:r>
    </w:p>
    <w:p w14:paraId="521E2B73">
      <w:pPr>
        <w:spacing w:line="420" w:lineRule="exact"/>
        <w:rPr>
          <w:sz w:val="24"/>
          <w:szCs w:val="24"/>
        </w:rPr>
      </w:pPr>
      <w:r>
        <w:rPr>
          <w:rFonts w:hint="eastAsia"/>
          <w:sz w:val="24"/>
          <w:szCs w:val="24"/>
        </w:rPr>
        <w:t xml:space="preserve"> </w:t>
      </w:r>
    </w:p>
    <w:p w14:paraId="113673F1">
      <w:pPr>
        <w:spacing w:line="420" w:lineRule="exact"/>
        <w:rPr>
          <w:sz w:val="24"/>
          <w:szCs w:val="24"/>
        </w:rPr>
      </w:pPr>
      <w:r>
        <w:rPr>
          <w:rFonts w:hint="eastAsia"/>
          <w:sz w:val="24"/>
          <w:szCs w:val="24"/>
        </w:rPr>
        <w:t xml:space="preserve"> </w:t>
      </w:r>
    </w:p>
    <w:p w14:paraId="46D2DE30">
      <w:pPr>
        <w:spacing w:line="420" w:lineRule="exact"/>
        <w:rPr>
          <w:sz w:val="24"/>
          <w:szCs w:val="24"/>
        </w:rPr>
      </w:pPr>
      <w:r>
        <w:rPr>
          <w:rFonts w:hint="eastAsia"/>
          <w:sz w:val="24"/>
          <w:szCs w:val="24"/>
        </w:rPr>
        <w:t xml:space="preserve"> </w:t>
      </w:r>
    </w:p>
    <w:p w14:paraId="4B4C8F39">
      <w:pPr>
        <w:spacing w:line="420" w:lineRule="exact"/>
        <w:rPr>
          <w:sz w:val="24"/>
          <w:szCs w:val="24"/>
        </w:rPr>
      </w:pPr>
      <w:r>
        <w:rPr>
          <w:rFonts w:hint="eastAsia"/>
          <w:sz w:val="24"/>
          <w:szCs w:val="24"/>
        </w:rPr>
        <w:t xml:space="preserve"> </w:t>
      </w:r>
    </w:p>
    <w:p w14:paraId="10E601B9">
      <w:pPr>
        <w:spacing w:line="420" w:lineRule="exact"/>
        <w:rPr>
          <w:rFonts w:hint="eastAsia"/>
          <w:sz w:val="24"/>
          <w:szCs w:val="24"/>
        </w:rPr>
      </w:pPr>
      <w:r>
        <w:rPr>
          <w:rFonts w:hint="eastAsia"/>
          <w:sz w:val="24"/>
          <w:szCs w:val="24"/>
        </w:rPr>
        <w:t xml:space="preserve"> </w:t>
      </w:r>
    </w:p>
    <w:p w14:paraId="3ACA178E">
      <w:pPr>
        <w:pStyle w:val="2"/>
        <w:rPr>
          <w:rFonts w:hint="eastAsia"/>
        </w:rPr>
      </w:pPr>
    </w:p>
    <w:p w14:paraId="2A298FB1">
      <w:pPr>
        <w:spacing w:line="420" w:lineRule="exact"/>
        <w:rPr>
          <w:rFonts w:hint="eastAsia"/>
          <w:sz w:val="24"/>
          <w:szCs w:val="24"/>
        </w:rPr>
      </w:pPr>
    </w:p>
    <w:p w14:paraId="03F2C8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28"/>
          <w:szCs w:val="28"/>
        </w:rPr>
      </w:pPr>
      <w:r>
        <w:rPr>
          <w:rFonts w:hint="eastAsia"/>
          <w:b/>
          <w:bCs/>
          <w:sz w:val="28"/>
          <w:szCs w:val="28"/>
        </w:rPr>
        <w:t>四、</w:t>
      </w:r>
      <w:r>
        <w:rPr>
          <w:rFonts w:hint="eastAsia"/>
          <w:b/>
          <w:bCs/>
          <w:sz w:val="28"/>
          <w:szCs w:val="28"/>
          <w:lang w:val="en-US" w:eastAsia="zh-CN"/>
        </w:rPr>
        <w:t>磋商</w:t>
      </w:r>
      <w:r>
        <w:rPr>
          <w:rFonts w:hint="eastAsia"/>
          <w:b/>
          <w:bCs/>
          <w:sz w:val="28"/>
          <w:szCs w:val="28"/>
        </w:rPr>
        <w:t>承诺函</w:t>
      </w:r>
    </w:p>
    <w:p w14:paraId="489BC0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（采购人名称/代理机构名称）： </w:t>
      </w:r>
      <w:r>
        <w:rPr>
          <w:rFonts w:hint="eastAsia" w:ascii="宋体" w:hAnsi="宋体" w:eastAsia="宋体" w:cs="宋体"/>
          <w:sz w:val="24"/>
          <w:szCs w:val="24"/>
        </w:rPr>
        <w:t xml:space="preserve">                    </w:t>
      </w:r>
    </w:p>
    <w:p w14:paraId="103C5F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我公司作为本次采购项目的供应商，根据</w:t>
      </w:r>
      <w:r>
        <w:rPr>
          <w:rFonts w:hint="eastAsia" w:ascii="宋体" w:hAnsi="宋体" w:eastAsia="宋体" w:cs="宋体"/>
          <w:sz w:val="24"/>
          <w:szCs w:val="24"/>
          <w:lang w:val="en-US" w:eastAsia="zh-CN"/>
        </w:rPr>
        <w:t>竞争性磋商文件</w:t>
      </w:r>
      <w:r>
        <w:rPr>
          <w:rFonts w:hint="eastAsia" w:ascii="宋体" w:hAnsi="宋体" w:eastAsia="宋体" w:cs="宋体"/>
          <w:sz w:val="24"/>
          <w:szCs w:val="24"/>
          <w:lang w:val="en-US"/>
        </w:rPr>
        <w:t>要求</w:t>
      </w:r>
      <w:r>
        <w:rPr>
          <w:rFonts w:hint="eastAsia" w:ascii="宋体" w:hAnsi="宋体" w:eastAsia="宋体" w:cs="宋体"/>
          <w:sz w:val="24"/>
          <w:szCs w:val="24"/>
        </w:rPr>
        <w:t>，现郑重承诺如下：</w:t>
      </w:r>
    </w:p>
    <w:p w14:paraId="65017D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一、具备《中华人民共和国政府采购法》第二十二条第一款和本项目规定的条件：</w:t>
      </w:r>
    </w:p>
    <w:p w14:paraId="7D493D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（一）具有独立承担民事责任的能力；</w:t>
      </w:r>
    </w:p>
    <w:p w14:paraId="766D3D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（二）具有良好的商业信誉和健全的财务会计制度；</w:t>
      </w:r>
    </w:p>
    <w:p w14:paraId="61FD1D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（三）具有履行合同所必需的设备和专业技术能力；</w:t>
      </w:r>
    </w:p>
    <w:p w14:paraId="3F2E4C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（四）有依法缴纳税收的良好记录；</w:t>
      </w:r>
    </w:p>
    <w:p w14:paraId="2F054F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（五）参加政府采购活动前三年内，在经营活动中没有重大违法记录；</w:t>
      </w:r>
    </w:p>
    <w:p w14:paraId="7CDDD1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（六）法律、行政法规规定的其他条件；</w:t>
      </w:r>
    </w:p>
    <w:p w14:paraId="137D18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（七）根据采购项目提出的特殊条件。</w:t>
      </w:r>
    </w:p>
    <w:p w14:paraId="08F43D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二、完全接受和满足本项目</w:t>
      </w:r>
      <w:r>
        <w:rPr>
          <w:rFonts w:hint="eastAsia" w:ascii="宋体" w:hAnsi="宋体" w:eastAsia="宋体" w:cs="宋体"/>
          <w:sz w:val="24"/>
          <w:szCs w:val="24"/>
          <w:lang w:val="en-US" w:eastAsia="zh-CN"/>
        </w:rPr>
        <w:t>竞争性磋商文件</w:t>
      </w:r>
      <w:r>
        <w:rPr>
          <w:rFonts w:hint="eastAsia" w:ascii="宋体" w:hAnsi="宋体" w:eastAsia="宋体" w:cs="宋体"/>
          <w:sz w:val="24"/>
          <w:szCs w:val="24"/>
        </w:rPr>
        <w:t>中规定的实质性要求，如对</w:t>
      </w:r>
      <w:r>
        <w:rPr>
          <w:rFonts w:hint="eastAsia" w:ascii="宋体" w:hAnsi="宋体" w:eastAsia="宋体" w:cs="宋体"/>
          <w:sz w:val="24"/>
          <w:szCs w:val="24"/>
          <w:lang w:val="en-US" w:eastAsia="zh-CN"/>
        </w:rPr>
        <w:t>竞争性磋商文件</w:t>
      </w:r>
      <w:r>
        <w:rPr>
          <w:rFonts w:hint="eastAsia" w:ascii="宋体" w:hAnsi="宋体" w:eastAsia="宋体" w:cs="宋体"/>
          <w:sz w:val="24"/>
          <w:szCs w:val="24"/>
        </w:rPr>
        <w:t>有异议，已经在投标截止时间届满前依法进行维权救济，不存在对</w:t>
      </w:r>
      <w:r>
        <w:rPr>
          <w:rFonts w:hint="eastAsia" w:ascii="宋体" w:hAnsi="宋体" w:eastAsia="宋体" w:cs="宋体"/>
          <w:sz w:val="24"/>
          <w:szCs w:val="24"/>
          <w:lang w:val="en-US" w:eastAsia="zh-CN"/>
        </w:rPr>
        <w:t>竞争性磋商文件</w:t>
      </w:r>
      <w:r>
        <w:rPr>
          <w:rFonts w:hint="eastAsia" w:ascii="宋体" w:hAnsi="宋体" w:eastAsia="宋体" w:cs="宋体"/>
          <w:sz w:val="24"/>
          <w:szCs w:val="24"/>
        </w:rPr>
        <w:t>有异议的同时又参加投标以求侥幸中标或者为实现其他非法目的的行为。</w:t>
      </w:r>
    </w:p>
    <w:p w14:paraId="5EED21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三、参加本次</w:t>
      </w:r>
      <w:r>
        <w:rPr>
          <w:rFonts w:hint="eastAsia" w:ascii="宋体" w:hAnsi="宋体" w:eastAsia="宋体" w:cs="宋体"/>
          <w:sz w:val="24"/>
          <w:szCs w:val="24"/>
          <w:lang w:val="en-US" w:eastAsia="zh-CN"/>
        </w:rPr>
        <w:t>竞争性磋商</w:t>
      </w:r>
      <w:r>
        <w:rPr>
          <w:rFonts w:hint="eastAsia" w:ascii="宋体" w:hAnsi="宋体" w:eastAsia="宋体" w:cs="宋体"/>
          <w:sz w:val="24"/>
          <w:szCs w:val="24"/>
        </w:rPr>
        <w:t>采购活动，不存在与单位负责人为同一人或者存在直接控股、管理关系的其他供应商参与同一合同项下的政府采购活动的行为。</w:t>
      </w:r>
    </w:p>
    <w:p w14:paraId="5A23E6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四、参加本次</w:t>
      </w:r>
      <w:r>
        <w:rPr>
          <w:rFonts w:hint="eastAsia" w:ascii="宋体" w:hAnsi="宋体" w:eastAsia="宋体" w:cs="宋体"/>
          <w:sz w:val="24"/>
          <w:szCs w:val="24"/>
          <w:lang w:val="en-US" w:eastAsia="zh-CN"/>
        </w:rPr>
        <w:t>竞争性磋商</w:t>
      </w:r>
      <w:r>
        <w:rPr>
          <w:rFonts w:hint="eastAsia" w:ascii="宋体" w:hAnsi="宋体" w:eastAsia="宋体" w:cs="宋体"/>
          <w:sz w:val="24"/>
          <w:szCs w:val="24"/>
        </w:rPr>
        <w:t>采购活动，不存在为采购项目提供整体设计、规范编制或者项目管理、监理、检测等服务的行为。</w:t>
      </w:r>
    </w:p>
    <w:p w14:paraId="5D404CE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五、参加本次</w:t>
      </w:r>
      <w:r>
        <w:rPr>
          <w:rFonts w:hint="eastAsia" w:ascii="宋体" w:hAnsi="宋体" w:eastAsia="宋体" w:cs="宋体"/>
          <w:sz w:val="24"/>
          <w:szCs w:val="24"/>
          <w:lang w:val="en-US" w:eastAsia="zh-CN"/>
        </w:rPr>
        <w:t>竞争性磋商</w:t>
      </w:r>
      <w:r>
        <w:rPr>
          <w:rFonts w:hint="eastAsia" w:ascii="宋体" w:hAnsi="宋体" w:eastAsia="宋体" w:cs="宋体"/>
          <w:sz w:val="24"/>
          <w:szCs w:val="24"/>
        </w:rPr>
        <w:t>采购活动，不存在和其他供应商在同一合同项下的采购项目中，同时委托同一个自然人、同一家庭的人员、同一单位的人员作为代理人的行为。</w:t>
      </w:r>
    </w:p>
    <w:p w14:paraId="3A94F4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六、供应商参加本次政府采购活动要求在近三年内供应商和其法定代表人没有行贿犯罪行为。</w:t>
      </w:r>
    </w:p>
    <w:p w14:paraId="74A2F1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七、参加本次</w:t>
      </w:r>
      <w:r>
        <w:rPr>
          <w:rFonts w:hint="eastAsia" w:ascii="宋体" w:hAnsi="宋体" w:eastAsia="宋体" w:cs="宋体"/>
          <w:sz w:val="24"/>
          <w:szCs w:val="24"/>
          <w:lang w:val="en-US" w:eastAsia="zh-CN"/>
        </w:rPr>
        <w:t>竞争性磋商</w:t>
      </w:r>
      <w:r>
        <w:rPr>
          <w:rFonts w:hint="eastAsia" w:ascii="宋体" w:hAnsi="宋体" w:eastAsia="宋体" w:cs="宋体"/>
          <w:sz w:val="24"/>
          <w:szCs w:val="24"/>
        </w:rPr>
        <w:t>采购活动，不存在联合体投标。</w:t>
      </w:r>
    </w:p>
    <w:p w14:paraId="56EF71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八、投标文件中提供的能够给予我公司带来优惠、好处的任何材料资料和技术、服务、商务等响应承诺情况都是真实的、有效的、合法的。</w:t>
      </w:r>
    </w:p>
    <w:p w14:paraId="3A3536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九、如本项目评标过程中需要提供样品，则我公司提供的样品即为中标后将要提供的中标产品，我公司对提供样品的性能和质量负责，因样品存在缺陷或者不符合</w:t>
      </w:r>
      <w:r>
        <w:rPr>
          <w:rFonts w:hint="eastAsia" w:ascii="宋体" w:hAnsi="宋体" w:eastAsia="宋体" w:cs="宋体"/>
          <w:sz w:val="24"/>
          <w:szCs w:val="24"/>
          <w:lang w:eastAsia="zh-CN"/>
        </w:rPr>
        <w:t>磋商文件</w:t>
      </w:r>
      <w:r>
        <w:rPr>
          <w:rFonts w:hint="eastAsia" w:ascii="宋体" w:hAnsi="宋体" w:eastAsia="宋体" w:cs="宋体"/>
          <w:sz w:val="24"/>
          <w:szCs w:val="24"/>
        </w:rPr>
        <w:t>导致未能中标的，我公司愿意承担相应不利后果。（如提供样品）</w:t>
      </w:r>
    </w:p>
    <w:p w14:paraId="05A2F4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十、存在以下行为之一的愿意接受相关部门的处理：</w:t>
      </w:r>
    </w:p>
    <w:p w14:paraId="525CCD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（一）投标有效期内撤销投标文件的；</w:t>
      </w:r>
    </w:p>
    <w:p w14:paraId="347BB7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（二）在招标人确定中标人以前放弃中标候选资格的；</w:t>
      </w:r>
    </w:p>
    <w:p w14:paraId="0F288E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（三）由于中标人的原因未能按照</w:t>
      </w:r>
      <w:r>
        <w:rPr>
          <w:rFonts w:hint="eastAsia" w:ascii="宋体" w:hAnsi="宋体" w:eastAsia="宋体" w:cs="宋体"/>
          <w:sz w:val="24"/>
          <w:szCs w:val="24"/>
          <w:lang w:val="en-US" w:eastAsia="zh-CN"/>
        </w:rPr>
        <w:t>竞争性磋商文件</w:t>
      </w:r>
      <w:r>
        <w:rPr>
          <w:rFonts w:hint="eastAsia" w:ascii="宋体" w:hAnsi="宋体" w:eastAsia="宋体" w:cs="宋体"/>
          <w:sz w:val="24"/>
          <w:szCs w:val="24"/>
        </w:rPr>
        <w:t>的规定与招标人签订合同；</w:t>
      </w:r>
    </w:p>
    <w:p w14:paraId="59E9DF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（四）在</w:t>
      </w:r>
      <w:r>
        <w:rPr>
          <w:rFonts w:hint="eastAsia" w:ascii="宋体" w:hAnsi="宋体" w:eastAsia="宋体" w:cs="宋体"/>
          <w:sz w:val="24"/>
          <w:szCs w:val="24"/>
          <w:lang w:val="en-US" w:eastAsia="zh-CN"/>
        </w:rPr>
        <w:t>磋商响应</w:t>
      </w:r>
      <w:r>
        <w:rPr>
          <w:rFonts w:hint="eastAsia" w:ascii="宋体" w:hAnsi="宋体" w:eastAsia="宋体" w:cs="宋体"/>
          <w:sz w:val="24"/>
          <w:szCs w:val="24"/>
        </w:rPr>
        <w:t>文件中提供虚假材料谋取中标；</w:t>
      </w:r>
    </w:p>
    <w:p w14:paraId="57C57E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（五）</w:t>
      </w:r>
      <w:r>
        <w:rPr>
          <w:rFonts w:hint="eastAsia" w:ascii="宋体" w:hAnsi="宋体" w:eastAsia="宋体" w:cs="宋体"/>
          <w:sz w:val="24"/>
          <w:szCs w:val="24"/>
          <w:lang w:val="en-US" w:eastAsia="zh-CN"/>
        </w:rPr>
        <w:t>与采购人</w:t>
      </w:r>
      <w:r>
        <w:rPr>
          <w:rFonts w:hint="eastAsia" w:ascii="宋体" w:hAnsi="宋体" w:eastAsia="宋体" w:cs="宋体"/>
          <w:sz w:val="24"/>
          <w:szCs w:val="24"/>
        </w:rPr>
        <w:t>、其他供应商或者招标代理机构恶意串通的；</w:t>
      </w:r>
    </w:p>
    <w:p w14:paraId="038289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（六）投标有效期内，供应商在政府采购活动中有违法、违规、违纪行为。由此产生的一切法律后果和责任由我公司承担。我公司声明放弃对此提出任何异议和追索的权利。</w:t>
      </w:r>
    </w:p>
    <w:p w14:paraId="7735D1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本公司对上述承诺的内容事项真实性负责。如经查实上述承诺的内容事项存在虚假，我公司愿意接受以提供虚假材料谋取中标追究法律责任。</w:t>
      </w:r>
    </w:p>
    <w:p w14:paraId="1EFF00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1ACB37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80" w:name="五、磋商报价明细表"/>
      <w:bookmarkEnd w:id="80"/>
    </w:p>
    <w:p w14:paraId="5C3A92C8">
      <w:pPr>
        <w:keepNext w:val="0"/>
        <w:keepLines w:val="0"/>
        <w:pageBreakBefore w:val="0"/>
        <w:widowControl w:val="0"/>
        <w:kinsoku/>
        <w:wordWrap/>
        <w:overflowPunct/>
        <w:topLinePunct w:val="0"/>
        <w:autoSpaceDE/>
        <w:autoSpaceDN/>
        <w:bidi w:val="0"/>
        <w:adjustRightInd/>
        <w:snapToGrid/>
        <w:spacing w:line="360" w:lineRule="auto"/>
        <w:ind w:firstLine="2160" w:firstLineChars="900"/>
        <w:textAlignment w:val="auto"/>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 xml:space="preserve">                      </w:t>
      </w:r>
      <w:r>
        <w:rPr>
          <w:rFonts w:hint="eastAsia" w:ascii="宋体" w:hAnsi="宋体" w:eastAsia="宋体" w:cs="宋体"/>
          <w:sz w:val="24"/>
          <w:szCs w:val="24"/>
        </w:rPr>
        <w:t>（电子签章）</w:t>
      </w:r>
    </w:p>
    <w:p w14:paraId="31690BD5">
      <w:pPr>
        <w:keepNext w:val="0"/>
        <w:keepLines w:val="0"/>
        <w:pageBreakBefore w:val="0"/>
        <w:widowControl w:val="0"/>
        <w:kinsoku/>
        <w:wordWrap/>
        <w:overflowPunct/>
        <w:topLinePunct w:val="0"/>
        <w:autoSpaceDE/>
        <w:autoSpaceDN/>
        <w:bidi w:val="0"/>
        <w:adjustRightInd/>
        <w:snapToGrid/>
        <w:spacing w:line="360" w:lineRule="auto"/>
        <w:ind w:firstLine="2160" w:firstLineChars="900"/>
        <w:textAlignment w:val="auto"/>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（签章）</w:t>
      </w:r>
    </w:p>
    <w:p w14:paraId="720EBA0B">
      <w:pPr>
        <w:keepNext w:val="0"/>
        <w:keepLines w:val="0"/>
        <w:pageBreakBefore w:val="0"/>
        <w:widowControl w:val="0"/>
        <w:kinsoku/>
        <w:wordWrap/>
        <w:overflowPunct/>
        <w:topLinePunct w:val="0"/>
        <w:autoSpaceDE/>
        <w:autoSpaceDN/>
        <w:bidi w:val="0"/>
        <w:adjustRightInd/>
        <w:snapToGrid/>
        <w:spacing w:line="360" w:lineRule="auto"/>
        <w:ind w:firstLine="2160" w:firstLineChars="900"/>
        <w:textAlignment w:val="auto"/>
        <w:rPr>
          <w:rFonts w:hint="eastAsia" w:ascii="宋体" w:hAnsi="宋体" w:eastAsia="宋体" w:cs="宋体"/>
          <w:sz w:val="24"/>
          <w:szCs w:val="24"/>
        </w:rPr>
      </w:pPr>
      <w:r>
        <w:rPr>
          <w:rFonts w:hint="eastAsia" w:ascii="宋体" w:hAnsi="宋体" w:eastAsia="宋体" w:cs="宋体"/>
          <w:sz w:val="24"/>
          <w:szCs w:val="24"/>
        </w:rPr>
        <w:t>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期：        年      月      日</w:t>
      </w:r>
    </w:p>
    <w:p w14:paraId="4B8CA32B">
      <w:pPr>
        <w:keepNext/>
        <w:keepLines/>
        <w:spacing w:before="260" w:after="260" w:line="480" w:lineRule="auto"/>
        <w:jc w:val="center"/>
        <w:outlineLvl w:val="9"/>
        <w:rPr>
          <w:rFonts w:hint="eastAsia" w:ascii="宋体" w:hAnsi="宋体" w:cs="宋体"/>
          <w:b/>
          <w:bCs/>
          <w:sz w:val="32"/>
          <w:szCs w:val="24"/>
        </w:rPr>
      </w:pPr>
      <w:r>
        <w:rPr>
          <w:rFonts w:hint="eastAsia" w:ascii="宋体" w:hAnsi="宋体" w:cs="宋体"/>
          <w:b/>
          <w:bCs/>
          <w:sz w:val="32"/>
          <w:szCs w:val="24"/>
        </w:rPr>
        <w:br w:type="page"/>
      </w:r>
      <w:bookmarkStart w:id="81" w:name="_Toc528078071"/>
      <w:bookmarkEnd w:id="81"/>
      <w:bookmarkStart w:id="82" w:name="_Toc244934212"/>
      <w:bookmarkEnd w:id="82"/>
      <w:bookmarkStart w:id="83" w:name="_Hlk3282331"/>
      <w:bookmarkEnd w:id="83"/>
      <w:bookmarkStart w:id="84" w:name="_Toc361989462"/>
      <w:bookmarkEnd w:id="84"/>
      <w:bookmarkStart w:id="85" w:name="_Toc23028"/>
      <w:bookmarkStart w:id="86" w:name="_Toc28663"/>
      <w:bookmarkStart w:id="87" w:name="_Toc6985"/>
    </w:p>
    <w:p w14:paraId="74379B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28"/>
          <w:szCs w:val="28"/>
        </w:rPr>
      </w:pPr>
      <w:r>
        <w:rPr>
          <w:rFonts w:hint="eastAsia"/>
          <w:b/>
          <w:bCs/>
          <w:sz w:val="28"/>
          <w:szCs w:val="28"/>
          <w:lang w:val="en-US" w:eastAsia="zh-CN"/>
        </w:rPr>
        <w:t>五、</w:t>
      </w:r>
      <w:r>
        <w:rPr>
          <w:rFonts w:hint="eastAsia"/>
          <w:b/>
          <w:bCs/>
          <w:sz w:val="28"/>
          <w:szCs w:val="28"/>
        </w:rPr>
        <w:t>资格审查资料</w:t>
      </w:r>
    </w:p>
    <w:p w14:paraId="09658D54">
      <w:pPr>
        <w:keepNext/>
        <w:keepLines/>
        <w:pageBreakBefore w:val="0"/>
        <w:widowControl w:val="0"/>
        <w:kinsoku/>
        <w:wordWrap/>
        <w:overflowPunct/>
        <w:topLinePunct w:val="0"/>
        <w:autoSpaceDE/>
        <w:autoSpaceDN/>
        <w:bidi w:val="0"/>
        <w:adjustRightInd/>
        <w:snapToGrid/>
        <w:spacing w:before="260" w:after="260" w:line="360" w:lineRule="auto"/>
        <w:jc w:val="center"/>
        <w:textAlignment w:val="auto"/>
        <w:outlineLvl w:val="9"/>
        <w:rPr>
          <w:rFonts w:hint="eastAsia" w:ascii="宋体" w:hAnsi="宋体" w:cs="宋体"/>
          <w:b/>
          <w:bCs/>
          <w:sz w:val="24"/>
          <w:szCs w:val="24"/>
          <w:lang w:eastAsia="zh-CN"/>
        </w:rPr>
      </w:pPr>
      <w:r>
        <w:rPr>
          <w:rFonts w:hint="eastAsia" w:ascii="宋体" w:hAnsi="宋体" w:cs="宋体"/>
          <w:b/>
          <w:bCs/>
          <w:sz w:val="24"/>
          <w:szCs w:val="24"/>
          <w:lang w:val="en-US" w:eastAsia="zh-CN"/>
        </w:rPr>
        <w:t xml:space="preserve"> </w:t>
      </w:r>
      <w:r>
        <w:rPr>
          <w:rFonts w:hint="eastAsia" w:ascii="宋体" w:hAnsi="宋体" w:cs="宋体"/>
          <w:b/>
          <w:bCs/>
          <w:sz w:val="24"/>
          <w:szCs w:val="24"/>
          <w:lang w:eastAsia="zh-CN"/>
        </w:rPr>
        <w:t>（一）磋商响应供应商基本情况表</w:t>
      </w:r>
    </w:p>
    <w:tbl>
      <w:tblPr>
        <w:tblStyle w:val="11"/>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1198"/>
        <w:gridCol w:w="1326"/>
        <w:gridCol w:w="1119"/>
        <w:gridCol w:w="1132"/>
        <w:gridCol w:w="235"/>
        <w:gridCol w:w="1679"/>
      </w:tblGrid>
      <w:tr w14:paraId="6D93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15F3FFEA">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cstheme="minorBidi"/>
                <w:b w:val="0"/>
                <w:bCs w:val="0"/>
                <w:sz w:val="24"/>
                <w:szCs w:val="24"/>
                <w:lang w:val="en-US" w:eastAsia="zh-CN"/>
              </w:rPr>
              <w:t>响应人</w:t>
            </w:r>
            <w:r>
              <w:rPr>
                <w:rFonts w:hint="eastAsia" w:asciiTheme="minorHAnsi" w:hAnsiTheme="minorHAnsi" w:cstheme="minorBidi"/>
                <w:b w:val="0"/>
                <w:bCs w:val="0"/>
                <w:sz w:val="24"/>
                <w:szCs w:val="24"/>
              </w:rPr>
              <w:t>名称</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0A8344F8">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p>
        </w:tc>
      </w:tr>
      <w:tr w14:paraId="0EB2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4E1BEA16">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注册地址</w:t>
            </w:r>
          </w:p>
        </w:tc>
        <w:tc>
          <w:tcPr>
            <w:tcW w:w="3643" w:type="dxa"/>
            <w:gridSpan w:val="3"/>
            <w:tcBorders>
              <w:top w:val="single" w:color="auto" w:sz="4" w:space="0"/>
              <w:left w:val="single" w:color="auto" w:sz="4" w:space="0"/>
              <w:bottom w:val="single" w:color="auto" w:sz="4" w:space="0"/>
              <w:right w:val="single" w:color="auto" w:sz="4" w:space="0"/>
            </w:tcBorders>
            <w:noWrap w:val="0"/>
            <w:vAlign w:val="center"/>
          </w:tcPr>
          <w:p w14:paraId="753F6623">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p>
        </w:tc>
        <w:tc>
          <w:tcPr>
            <w:tcW w:w="1367" w:type="dxa"/>
            <w:gridSpan w:val="2"/>
            <w:tcBorders>
              <w:top w:val="single" w:color="auto" w:sz="4" w:space="0"/>
              <w:left w:val="single" w:color="auto" w:sz="4" w:space="0"/>
              <w:bottom w:val="single" w:color="auto" w:sz="4" w:space="0"/>
              <w:right w:val="single" w:color="auto" w:sz="4" w:space="0"/>
            </w:tcBorders>
            <w:noWrap w:val="0"/>
            <w:vAlign w:val="center"/>
          </w:tcPr>
          <w:p w14:paraId="01C3DC09">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邮政编码</w:t>
            </w:r>
          </w:p>
        </w:tc>
        <w:tc>
          <w:tcPr>
            <w:tcW w:w="1679" w:type="dxa"/>
            <w:tcBorders>
              <w:top w:val="single" w:color="auto" w:sz="4" w:space="0"/>
              <w:left w:val="single" w:color="auto" w:sz="4" w:space="0"/>
              <w:bottom w:val="single" w:color="auto" w:sz="4" w:space="0"/>
              <w:right w:val="single" w:color="auto" w:sz="4" w:space="0"/>
            </w:tcBorders>
            <w:noWrap w:val="0"/>
            <w:vAlign w:val="center"/>
          </w:tcPr>
          <w:p w14:paraId="6D36D3A7">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p>
        </w:tc>
      </w:tr>
      <w:tr w14:paraId="52BD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4ACA8705">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联系方式</w:t>
            </w:r>
          </w:p>
        </w:tc>
        <w:tc>
          <w:tcPr>
            <w:tcW w:w="1198" w:type="dxa"/>
            <w:tcBorders>
              <w:top w:val="single" w:color="auto" w:sz="4" w:space="0"/>
              <w:left w:val="single" w:color="auto" w:sz="4" w:space="0"/>
              <w:bottom w:val="single" w:color="auto" w:sz="4" w:space="0"/>
              <w:right w:val="single" w:color="auto" w:sz="4" w:space="0"/>
            </w:tcBorders>
            <w:noWrap w:val="0"/>
            <w:vAlign w:val="center"/>
          </w:tcPr>
          <w:p w14:paraId="5DB11D45">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联系人</w:t>
            </w: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67C00E63">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p>
        </w:tc>
        <w:tc>
          <w:tcPr>
            <w:tcW w:w="1367" w:type="dxa"/>
            <w:gridSpan w:val="2"/>
            <w:tcBorders>
              <w:top w:val="single" w:color="auto" w:sz="4" w:space="0"/>
              <w:left w:val="single" w:color="auto" w:sz="4" w:space="0"/>
              <w:bottom w:val="single" w:color="auto" w:sz="4" w:space="0"/>
              <w:right w:val="single" w:color="auto" w:sz="4" w:space="0"/>
            </w:tcBorders>
            <w:noWrap w:val="0"/>
            <w:vAlign w:val="center"/>
          </w:tcPr>
          <w:p w14:paraId="5D5507EF">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电话</w:t>
            </w:r>
          </w:p>
        </w:tc>
        <w:tc>
          <w:tcPr>
            <w:tcW w:w="1679" w:type="dxa"/>
            <w:tcBorders>
              <w:top w:val="single" w:color="auto" w:sz="4" w:space="0"/>
              <w:left w:val="single" w:color="auto" w:sz="4" w:space="0"/>
              <w:bottom w:val="single" w:color="auto" w:sz="4" w:space="0"/>
              <w:right w:val="single" w:color="auto" w:sz="4" w:space="0"/>
            </w:tcBorders>
            <w:noWrap w:val="0"/>
            <w:vAlign w:val="center"/>
          </w:tcPr>
          <w:p w14:paraId="3E74A797">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p>
        </w:tc>
      </w:tr>
      <w:tr w14:paraId="4157C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6FF9E95E">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组织结构</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59408F77">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p>
        </w:tc>
      </w:tr>
      <w:tr w14:paraId="3CD2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61CA478E">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法定代表人</w:t>
            </w:r>
          </w:p>
        </w:tc>
        <w:tc>
          <w:tcPr>
            <w:tcW w:w="1198" w:type="dxa"/>
            <w:tcBorders>
              <w:top w:val="single" w:color="auto" w:sz="4" w:space="0"/>
              <w:left w:val="single" w:color="auto" w:sz="4" w:space="0"/>
              <w:bottom w:val="single" w:color="auto" w:sz="4" w:space="0"/>
              <w:right w:val="single" w:color="auto" w:sz="4" w:space="0"/>
            </w:tcBorders>
            <w:noWrap w:val="0"/>
            <w:vAlign w:val="center"/>
          </w:tcPr>
          <w:p w14:paraId="4331CE45">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姓名</w:t>
            </w: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56CCBF60">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3716DFEC">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电话</w:t>
            </w:r>
          </w:p>
        </w:tc>
        <w:tc>
          <w:tcPr>
            <w:tcW w:w="1914" w:type="dxa"/>
            <w:gridSpan w:val="2"/>
            <w:tcBorders>
              <w:top w:val="single" w:color="auto" w:sz="4" w:space="0"/>
              <w:left w:val="single" w:color="auto" w:sz="4" w:space="0"/>
              <w:bottom w:val="single" w:color="auto" w:sz="4" w:space="0"/>
              <w:right w:val="single" w:color="auto" w:sz="4" w:space="0"/>
            </w:tcBorders>
            <w:noWrap w:val="0"/>
            <w:vAlign w:val="center"/>
          </w:tcPr>
          <w:p w14:paraId="26AA77CB">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p>
        </w:tc>
      </w:tr>
      <w:tr w14:paraId="09A4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4427430F">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成立时间</w:t>
            </w:r>
          </w:p>
        </w:tc>
        <w:tc>
          <w:tcPr>
            <w:tcW w:w="2524" w:type="dxa"/>
            <w:gridSpan w:val="2"/>
            <w:tcBorders>
              <w:top w:val="single" w:color="auto" w:sz="4" w:space="0"/>
              <w:left w:val="single" w:color="auto" w:sz="4" w:space="0"/>
              <w:bottom w:val="single" w:color="auto" w:sz="4" w:space="0"/>
              <w:right w:val="single" w:color="auto" w:sz="4" w:space="0"/>
            </w:tcBorders>
            <w:noWrap w:val="0"/>
            <w:vAlign w:val="center"/>
          </w:tcPr>
          <w:p w14:paraId="675CD9E1">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p>
        </w:tc>
        <w:tc>
          <w:tcPr>
            <w:tcW w:w="4165" w:type="dxa"/>
            <w:gridSpan w:val="4"/>
            <w:tcBorders>
              <w:top w:val="single" w:color="auto" w:sz="4" w:space="0"/>
              <w:left w:val="single" w:color="auto" w:sz="4" w:space="0"/>
              <w:bottom w:val="single" w:color="auto" w:sz="4" w:space="0"/>
              <w:right w:val="single" w:color="auto" w:sz="4" w:space="0"/>
            </w:tcBorders>
            <w:noWrap w:val="0"/>
            <w:vAlign w:val="center"/>
          </w:tcPr>
          <w:p w14:paraId="2E568446">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员工总人数：</w:t>
            </w:r>
          </w:p>
        </w:tc>
      </w:tr>
      <w:tr w14:paraId="0CA2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19C9F6C6">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统一社会信用代码</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372E9524">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p>
        </w:tc>
      </w:tr>
      <w:tr w14:paraId="6851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7FA88982">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注册资金</w:t>
            </w:r>
          </w:p>
        </w:tc>
        <w:tc>
          <w:tcPr>
            <w:tcW w:w="2524" w:type="dxa"/>
            <w:gridSpan w:val="2"/>
            <w:tcBorders>
              <w:top w:val="single" w:color="auto" w:sz="4" w:space="0"/>
              <w:left w:val="single" w:color="auto" w:sz="4" w:space="0"/>
              <w:bottom w:val="single" w:color="auto" w:sz="4" w:space="0"/>
              <w:right w:val="single" w:color="auto" w:sz="4" w:space="0"/>
            </w:tcBorders>
            <w:noWrap w:val="0"/>
            <w:vAlign w:val="center"/>
          </w:tcPr>
          <w:p w14:paraId="15601B0B">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p>
        </w:tc>
        <w:tc>
          <w:tcPr>
            <w:tcW w:w="2251" w:type="dxa"/>
            <w:gridSpan w:val="2"/>
            <w:tcBorders>
              <w:top w:val="single" w:color="auto" w:sz="4" w:space="0"/>
              <w:left w:val="single" w:color="auto" w:sz="4" w:space="0"/>
              <w:bottom w:val="single" w:color="auto" w:sz="4" w:space="0"/>
              <w:right w:val="single" w:color="auto" w:sz="4" w:space="0"/>
            </w:tcBorders>
            <w:noWrap w:val="0"/>
            <w:vAlign w:val="center"/>
          </w:tcPr>
          <w:p w14:paraId="251E8D06">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开户银行</w:t>
            </w:r>
          </w:p>
        </w:tc>
        <w:tc>
          <w:tcPr>
            <w:tcW w:w="1914" w:type="dxa"/>
            <w:gridSpan w:val="2"/>
            <w:tcBorders>
              <w:top w:val="single" w:color="auto" w:sz="4" w:space="0"/>
              <w:left w:val="single" w:color="auto" w:sz="4" w:space="0"/>
              <w:bottom w:val="single" w:color="auto" w:sz="4" w:space="0"/>
              <w:right w:val="single" w:color="auto" w:sz="4" w:space="0"/>
            </w:tcBorders>
            <w:noWrap w:val="0"/>
            <w:vAlign w:val="center"/>
          </w:tcPr>
          <w:p w14:paraId="36EB9614">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p>
        </w:tc>
      </w:tr>
      <w:tr w14:paraId="5A8C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42A5E419">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账号</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5FACA57C">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p>
        </w:tc>
      </w:tr>
      <w:tr w14:paraId="7892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695DEFDC">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经营范围</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4F41B371">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Theme="minorHAnsi" w:hAnsiTheme="minorHAnsi" w:cstheme="minorBidi"/>
                <w:b w:val="0"/>
                <w:bCs w:val="0"/>
                <w:sz w:val="24"/>
                <w:szCs w:val="24"/>
              </w:rPr>
            </w:pPr>
          </w:p>
        </w:tc>
      </w:tr>
    </w:tbl>
    <w:p w14:paraId="51F5AC8D">
      <w:pPr>
        <w:keepNext w:val="0"/>
        <w:keepLines w:val="0"/>
        <w:pageBreakBefore w:val="0"/>
        <w:widowControl w:val="0"/>
        <w:kinsoku/>
        <w:wordWrap/>
        <w:overflowPunct/>
        <w:topLinePunct w:val="0"/>
        <w:autoSpaceDE/>
        <w:autoSpaceDN/>
        <w:bidi w:val="0"/>
        <w:adjustRightInd/>
        <w:snapToGrid/>
        <w:spacing w:before="0" w:after="0" w:line="360" w:lineRule="auto"/>
        <w:jc w:val="left"/>
        <w:textAlignment w:val="auto"/>
        <w:outlineLvl w:val="9"/>
        <w:rPr>
          <w:rFonts w:hint="eastAsia" w:asciiTheme="minorHAnsi" w:hAnsiTheme="minorHAnsi" w:cstheme="minorBidi"/>
          <w:b w:val="0"/>
          <w:bCs w:val="0"/>
          <w:sz w:val="24"/>
          <w:szCs w:val="24"/>
          <w:lang w:eastAsia="zh-CN"/>
        </w:rPr>
      </w:pPr>
      <w:bookmarkStart w:id="88" w:name="_Toc29406"/>
      <w:bookmarkStart w:id="89" w:name="_Toc19603"/>
      <w:bookmarkStart w:id="90" w:name="_Toc24766"/>
    </w:p>
    <w:bookmarkEnd w:id="88"/>
    <w:bookmarkEnd w:id="89"/>
    <w:bookmarkEnd w:id="90"/>
    <w:p w14:paraId="67368A31">
      <w:pPr>
        <w:keepNext w:val="0"/>
        <w:keepLines w:val="0"/>
        <w:pageBreakBefore w:val="0"/>
        <w:widowControl w:val="0"/>
        <w:kinsoku/>
        <w:wordWrap/>
        <w:overflowPunct/>
        <w:topLinePunct w:val="0"/>
        <w:autoSpaceDE/>
        <w:autoSpaceDN/>
        <w:bidi w:val="0"/>
        <w:adjustRightInd/>
        <w:snapToGrid/>
        <w:spacing w:before="0" w:after="0" w:line="360" w:lineRule="auto"/>
        <w:jc w:val="left"/>
        <w:textAlignment w:val="auto"/>
        <w:outlineLvl w:val="9"/>
        <w:rPr>
          <w:rFonts w:hint="eastAsia" w:asciiTheme="minorHAnsi" w:hAnsiTheme="minorHAnsi" w:cstheme="minorBidi"/>
          <w:b w:val="0"/>
          <w:bCs w:val="0"/>
          <w:sz w:val="24"/>
          <w:szCs w:val="24"/>
          <w:lang w:eastAsia="zh-CN"/>
        </w:rPr>
      </w:pPr>
    </w:p>
    <w:p w14:paraId="531B73D2">
      <w:pPr>
        <w:keepNext w:val="0"/>
        <w:keepLines w:val="0"/>
        <w:pageBreakBefore w:val="0"/>
        <w:widowControl w:val="0"/>
        <w:kinsoku/>
        <w:wordWrap/>
        <w:overflowPunct/>
        <w:topLinePunct w:val="0"/>
        <w:autoSpaceDE/>
        <w:autoSpaceDN/>
        <w:bidi w:val="0"/>
        <w:adjustRightInd/>
        <w:snapToGrid/>
        <w:spacing w:before="0" w:after="0" w:line="360" w:lineRule="auto"/>
        <w:jc w:val="left"/>
        <w:textAlignment w:val="auto"/>
        <w:outlineLvl w:val="9"/>
        <w:rPr>
          <w:rFonts w:hint="eastAsia" w:asciiTheme="minorHAnsi" w:hAnsiTheme="minorHAnsi" w:cstheme="minorBidi"/>
          <w:b w:val="0"/>
          <w:bCs w:val="0"/>
          <w:sz w:val="24"/>
          <w:szCs w:val="24"/>
          <w:lang w:val="en-US" w:eastAsia="zh-CN"/>
        </w:rPr>
      </w:pPr>
      <w:r>
        <w:rPr>
          <w:rFonts w:hint="eastAsia" w:asciiTheme="minorHAnsi" w:hAnsiTheme="minorHAnsi" w:cstheme="minorBidi"/>
          <w:b w:val="0"/>
          <w:bCs w:val="0"/>
          <w:sz w:val="24"/>
          <w:szCs w:val="24"/>
          <w:lang w:val="en-US" w:eastAsia="zh-CN"/>
        </w:rPr>
        <w:t xml:space="preserve">       </w:t>
      </w:r>
    </w:p>
    <w:p w14:paraId="199809E9">
      <w:pPr>
        <w:keepNext w:val="0"/>
        <w:keepLines w:val="0"/>
        <w:pageBreakBefore w:val="0"/>
        <w:widowControl w:val="0"/>
        <w:kinsoku/>
        <w:wordWrap/>
        <w:overflowPunct/>
        <w:topLinePunct w:val="0"/>
        <w:autoSpaceDE/>
        <w:autoSpaceDN/>
        <w:bidi w:val="0"/>
        <w:adjustRightInd/>
        <w:snapToGrid/>
        <w:spacing w:before="0" w:after="0" w:line="360" w:lineRule="auto"/>
        <w:ind w:firstLine="3120" w:firstLineChars="1300"/>
        <w:jc w:val="left"/>
        <w:textAlignment w:val="auto"/>
        <w:outlineLvl w:val="9"/>
        <w:rPr>
          <w:rFonts w:hint="eastAsia" w:asciiTheme="minorHAnsi" w:hAnsiTheme="minorHAnsi" w:cstheme="minorBidi"/>
          <w:b w:val="0"/>
          <w:bCs w:val="0"/>
          <w:sz w:val="24"/>
          <w:szCs w:val="24"/>
          <w:lang w:val="en-US" w:eastAsia="zh-CN"/>
        </w:rPr>
      </w:pPr>
      <w:r>
        <w:rPr>
          <w:rFonts w:hint="eastAsia" w:asciiTheme="minorHAnsi" w:hAnsiTheme="minorHAnsi" w:cstheme="minorBidi"/>
          <w:b w:val="0"/>
          <w:bCs w:val="0"/>
          <w:sz w:val="24"/>
          <w:szCs w:val="24"/>
          <w:lang w:val="en-US" w:eastAsia="zh-CN"/>
        </w:rPr>
        <w:t>供应商：</w:t>
      </w:r>
      <w:r>
        <w:rPr>
          <w:rFonts w:hint="eastAsia" w:asciiTheme="minorHAnsi" w:hAnsiTheme="minorHAnsi" w:cstheme="minorBidi"/>
          <w:b w:val="0"/>
          <w:bCs w:val="0"/>
          <w:sz w:val="24"/>
          <w:szCs w:val="24"/>
          <w:u w:val="single"/>
          <w:lang w:val="en-US" w:eastAsia="zh-CN"/>
        </w:rPr>
        <w:t xml:space="preserve">                      </w:t>
      </w:r>
      <w:r>
        <w:rPr>
          <w:rFonts w:hint="eastAsia" w:asciiTheme="minorHAnsi" w:hAnsiTheme="minorHAnsi" w:cstheme="minorBidi"/>
          <w:b w:val="0"/>
          <w:bCs w:val="0"/>
          <w:sz w:val="24"/>
          <w:szCs w:val="24"/>
          <w:lang w:val="en-US" w:eastAsia="zh-CN"/>
        </w:rPr>
        <w:t>（电子签章）</w:t>
      </w:r>
    </w:p>
    <w:p w14:paraId="138BD6A4">
      <w:pPr>
        <w:keepNext w:val="0"/>
        <w:keepLines w:val="0"/>
        <w:pageBreakBefore w:val="0"/>
        <w:widowControl w:val="0"/>
        <w:kinsoku/>
        <w:wordWrap/>
        <w:overflowPunct/>
        <w:topLinePunct w:val="0"/>
        <w:autoSpaceDE/>
        <w:autoSpaceDN/>
        <w:bidi w:val="0"/>
        <w:adjustRightInd/>
        <w:snapToGrid/>
        <w:spacing w:before="0" w:after="0" w:line="360" w:lineRule="auto"/>
        <w:ind w:firstLine="3120" w:firstLineChars="1300"/>
        <w:jc w:val="left"/>
        <w:textAlignment w:val="auto"/>
        <w:outlineLvl w:val="9"/>
        <w:rPr>
          <w:rFonts w:hint="eastAsia" w:asciiTheme="minorHAnsi" w:hAnsiTheme="minorHAnsi" w:cstheme="minorBidi"/>
          <w:b w:val="0"/>
          <w:bCs w:val="0"/>
          <w:sz w:val="24"/>
          <w:szCs w:val="24"/>
          <w:lang w:val="en-US" w:eastAsia="zh-CN"/>
        </w:rPr>
      </w:pPr>
      <w:r>
        <w:rPr>
          <w:rFonts w:hint="eastAsia" w:asciiTheme="minorHAnsi" w:hAnsiTheme="minorHAnsi" w:cstheme="minorBidi"/>
          <w:b w:val="0"/>
          <w:bCs w:val="0"/>
          <w:sz w:val="24"/>
          <w:szCs w:val="24"/>
          <w:lang w:val="en-US" w:eastAsia="zh-CN"/>
        </w:rPr>
        <w:t>法定代表人：</w:t>
      </w:r>
      <w:r>
        <w:rPr>
          <w:rFonts w:hint="eastAsia" w:asciiTheme="minorHAnsi" w:hAnsiTheme="minorHAnsi" w:cstheme="minorBidi"/>
          <w:b w:val="0"/>
          <w:bCs w:val="0"/>
          <w:sz w:val="24"/>
          <w:szCs w:val="24"/>
          <w:u w:val="single"/>
          <w:lang w:val="en-US" w:eastAsia="zh-CN"/>
        </w:rPr>
        <w:t xml:space="preserve">      </w:t>
      </w:r>
      <w:r>
        <w:rPr>
          <w:rFonts w:hint="eastAsia" w:cstheme="minorBidi"/>
          <w:b w:val="0"/>
          <w:bCs w:val="0"/>
          <w:sz w:val="24"/>
          <w:szCs w:val="24"/>
          <w:u w:val="single"/>
          <w:lang w:val="en-US" w:eastAsia="zh-CN"/>
        </w:rPr>
        <w:t xml:space="preserve">        </w:t>
      </w:r>
      <w:r>
        <w:rPr>
          <w:rFonts w:hint="eastAsia" w:asciiTheme="minorHAnsi" w:hAnsiTheme="minorHAnsi" w:cstheme="minorBidi"/>
          <w:b w:val="0"/>
          <w:bCs w:val="0"/>
          <w:sz w:val="24"/>
          <w:szCs w:val="24"/>
          <w:u w:val="single"/>
          <w:lang w:val="en-US" w:eastAsia="zh-CN"/>
        </w:rPr>
        <w:t xml:space="preserve">        </w:t>
      </w:r>
      <w:r>
        <w:rPr>
          <w:rFonts w:hint="eastAsia" w:asciiTheme="minorHAnsi" w:hAnsiTheme="minorHAnsi" w:cstheme="minorBidi"/>
          <w:b w:val="0"/>
          <w:bCs w:val="0"/>
          <w:sz w:val="24"/>
          <w:szCs w:val="24"/>
          <w:lang w:val="en-US" w:eastAsia="zh-CN"/>
        </w:rPr>
        <w:t>（签章）</w:t>
      </w:r>
    </w:p>
    <w:p w14:paraId="664FD1EC">
      <w:pPr>
        <w:keepNext w:val="0"/>
        <w:keepLines w:val="0"/>
        <w:pageBreakBefore w:val="0"/>
        <w:widowControl w:val="0"/>
        <w:kinsoku/>
        <w:wordWrap/>
        <w:overflowPunct/>
        <w:topLinePunct w:val="0"/>
        <w:autoSpaceDE/>
        <w:autoSpaceDN/>
        <w:bidi w:val="0"/>
        <w:adjustRightInd/>
        <w:snapToGrid/>
        <w:spacing w:before="0" w:after="0" w:line="360" w:lineRule="auto"/>
        <w:ind w:firstLine="3120" w:firstLineChars="1300"/>
        <w:jc w:val="left"/>
        <w:textAlignment w:val="auto"/>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lang w:val="en-US" w:eastAsia="zh-CN"/>
        </w:rPr>
        <w:t>日</w:t>
      </w:r>
      <w:r>
        <w:rPr>
          <w:rFonts w:hint="eastAsia" w:cstheme="minorBidi"/>
          <w:b w:val="0"/>
          <w:bCs w:val="0"/>
          <w:sz w:val="24"/>
          <w:szCs w:val="24"/>
          <w:lang w:val="en-US" w:eastAsia="zh-CN"/>
        </w:rPr>
        <w:t xml:space="preserve">  </w:t>
      </w:r>
      <w:r>
        <w:rPr>
          <w:rFonts w:hint="eastAsia" w:asciiTheme="minorHAnsi" w:hAnsiTheme="minorHAnsi" w:cstheme="minorBidi"/>
          <w:b w:val="0"/>
          <w:bCs w:val="0"/>
          <w:sz w:val="24"/>
          <w:szCs w:val="24"/>
          <w:lang w:val="en-US" w:eastAsia="zh-CN"/>
        </w:rPr>
        <w:t>期：        年      月      日</w:t>
      </w:r>
    </w:p>
    <w:p w14:paraId="319D4F93">
      <w:pPr>
        <w:keepNext w:val="0"/>
        <w:keepLines w:val="0"/>
        <w:spacing w:before="0" w:after="0" w:line="420" w:lineRule="exact"/>
        <w:jc w:val="left"/>
        <w:outlineLvl w:val="9"/>
        <w:rPr>
          <w:rFonts w:hint="eastAsia" w:asciiTheme="minorHAnsi" w:hAnsiTheme="minorHAnsi" w:cstheme="minorBidi"/>
          <w:b w:val="0"/>
          <w:bCs w:val="0"/>
          <w:sz w:val="24"/>
          <w:szCs w:val="24"/>
        </w:rPr>
      </w:pPr>
    </w:p>
    <w:p w14:paraId="5DCDA6D7">
      <w:pPr>
        <w:keepNext w:val="0"/>
        <w:keepLines w:val="0"/>
        <w:spacing w:before="0" w:after="0" w:line="420" w:lineRule="exact"/>
        <w:jc w:val="left"/>
        <w:outlineLvl w:val="9"/>
        <w:rPr>
          <w:rFonts w:hint="eastAsia" w:asciiTheme="minorHAnsi" w:hAnsiTheme="minorHAnsi" w:cstheme="minorBidi"/>
          <w:b w:val="0"/>
          <w:bCs w:val="0"/>
          <w:sz w:val="24"/>
          <w:szCs w:val="24"/>
          <w:lang w:eastAsia="zh-CN"/>
        </w:rPr>
      </w:pPr>
    </w:p>
    <w:p w14:paraId="62F45DFE">
      <w:pPr>
        <w:keepNext w:val="0"/>
        <w:keepLines w:val="0"/>
        <w:spacing w:before="0" w:after="0" w:line="420" w:lineRule="exact"/>
        <w:jc w:val="left"/>
        <w:outlineLvl w:val="9"/>
        <w:rPr>
          <w:rFonts w:hint="eastAsia" w:asciiTheme="minorHAnsi" w:hAnsiTheme="minorHAnsi" w:cstheme="minorBidi"/>
          <w:b w:val="0"/>
          <w:bCs w:val="0"/>
          <w:sz w:val="24"/>
          <w:szCs w:val="24"/>
          <w:lang w:eastAsia="zh-CN"/>
        </w:rPr>
      </w:pPr>
    </w:p>
    <w:p w14:paraId="40291618">
      <w:pPr>
        <w:keepNext/>
        <w:keepLines/>
        <w:spacing w:before="260" w:after="260" w:line="480" w:lineRule="auto"/>
        <w:jc w:val="center"/>
        <w:outlineLvl w:val="9"/>
        <w:rPr>
          <w:rFonts w:hint="eastAsia" w:ascii="宋体" w:hAnsi="宋体" w:cs="宋体"/>
          <w:b/>
          <w:bCs/>
          <w:sz w:val="24"/>
          <w:szCs w:val="21"/>
          <w:lang w:eastAsia="zh-CN"/>
        </w:rPr>
      </w:pPr>
      <w:r>
        <w:rPr>
          <w:rFonts w:hint="eastAsia" w:ascii="宋体" w:hAnsi="宋体" w:cs="宋体"/>
          <w:b/>
          <w:bCs/>
          <w:sz w:val="24"/>
          <w:szCs w:val="21"/>
          <w:lang w:eastAsia="zh-CN"/>
        </w:rPr>
        <w:t>（</w:t>
      </w:r>
      <w:r>
        <w:rPr>
          <w:rFonts w:hint="eastAsia" w:ascii="宋体" w:hAnsi="宋体" w:cs="宋体"/>
          <w:b/>
          <w:bCs/>
          <w:sz w:val="24"/>
          <w:szCs w:val="21"/>
          <w:lang w:val="en-US" w:eastAsia="zh-CN"/>
        </w:rPr>
        <w:t>二</w:t>
      </w:r>
      <w:r>
        <w:rPr>
          <w:rFonts w:hint="eastAsia" w:ascii="宋体" w:hAnsi="宋体" w:cs="宋体"/>
          <w:b/>
          <w:bCs/>
          <w:sz w:val="24"/>
          <w:szCs w:val="21"/>
          <w:lang w:eastAsia="zh-CN"/>
        </w:rPr>
        <w:t>）近年完成的类似项目情况表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2745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4CE09E04">
            <w:pPr>
              <w:keepNext w:val="0"/>
              <w:keepLines w:val="0"/>
              <w:spacing w:before="0" w:after="0" w:line="420" w:lineRule="exact"/>
              <w:jc w:val="left"/>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项目名称</w:t>
            </w:r>
          </w:p>
        </w:tc>
        <w:tc>
          <w:tcPr>
            <w:tcW w:w="6077" w:type="dxa"/>
            <w:tcBorders>
              <w:top w:val="single" w:color="auto" w:sz="4" w:space="0"/>
              <w:left w:val="nil"/>
              <w:bottom w:val="single" w:color="auto" w:sz="4" w:space="0"/>
              <w:right w:val="single" w:color="auto" w:sz="4" w:space="0"/>
            </w:tcBorders>
            <w:noWrap w:val="0"/>
            <w:vAlign w:val="center"/>
          </w:tcPr>
          <w:p w14:paraId="5D1EC435">
            <w:pPr>
              <w:keepNext w:val="0"/>
              <w:keepLines w:val="0"/>
              <w:spacing w:before="0" w:after="0" w:line="420" w:lineRule="exact"/>
              <w:jc w:val="left"/>
              <w:outlineLvl w:val="9"/>
              <w:rPr>
                <w:rFonts w:hint="eastAsia" w:asciiTheme="minorHAnsi" w:hAnsiTheme="minorHAnsi" w:cstheme="minorBidi"/>
                <w:b w:val="0"/>
                <w:bCs w:val="0"/>
                <w:sz w:val="24"/>
                <w:szCs w:val="24"/>
              </w:rPr>
            </w:pPr>
          </w:p>
        </w:tc>
      </w:tr>
      <w:tr w14:paraId="6F47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3DDBB7D0">
            <w:pPr>
              <w:keepNext w:val="0"/>
              <w:keepLines w:val="0"/>
              <w:spacing w:before="0" w:after="0" w:line="420" w:lineRule="exact"/>
              <w:jc w:val="left"/>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项目所在地</w:t>
            </w:r>
          </w:p>
        </w:tc>
        <w:tc>
          <w:tcPr>
            <w:tcW w:w="6077" w:type="dxa"/>
            <w:tcBorders>
              <w:top w:val="single" w:color="auto" w:sz="4" w:space="0"/>
              <w:left w:val="nil"/>
              <w:bottom w:val="single" w:color="auto" w:sz="4" w:space="0"/>
              <w:right w:val="single" w:color="auto" w:sz="4" w:space="0"/>
            </w:tcBorders>
            <w:noWrap w:val="0"/>
            <w:vAlign w:val="center"/>
          </w:tcPr>
          <w:p w14:paraId="08C20FFA">
            <w:pPr>
              <w:keepNext w:val="0"/>
              <w:keepLines w:val="0"/>
              <w:spacing w:before="0" w:after="0" w:line="420" w:lineRule="exact"/>
              <w:jc w:val="left"/>
              <w:outlineLvl w:val="9"/>
              <w:rPr>
                <w:rFonts w:hint="eastAsia" w:asciiTheme="minorHAnsi" w:hAnsiTheme="minorHAnsi" w:cstheme="minorBidi"/>
                <w:b w:val="0"/>
                <w:bCs w:val="0"/>
                <w:sz w:val="24"/>
                <w:szCs w:val="24"/>
              </w:rPr>
            </w:pPr>
          </w:p>
        </w:tc>
      </w:tr>
      <w:tr w14:paraId="039B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07931132">
            <w:pPr>
              <w:keepNext w:val="0"/>
              <w:keepLines w:val="0"/>
              <w:spacing w:before="0" w:after="0" w:line="420" w:lineRule="exact"/>
              <w:jc w:val="left"/>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lang w:val="en-US" w:eastAsia="zh-CN"/>
              </w:rPr>
              <w:t>招标</w:t>
            </w:r>
            <w:r>
              <w:rPr>
                <w:rFonts w:hint="eastAsia" w:asciiTheme="minorHAnsi" w:hAnsiTheme="minorHAnsi" w:cstheme="minorBidi"/>
                <w:b w:val="0"/>
                <w:bCs w:val="0"/>
                <w:sz w:val="24"/>
                <w:szCs w:val="24"/>
              </w:rPr>
              <w:t>人名称</w:t>
            </w:r>
          </w:p>
        </w:tc>
        <w:tc>
          <w:tcPr>
            <w:tcW w:w="6077" w:type="dxa"/>
            <w:tcBorders>
              <w:top w:val="single" w:color="auto" w:sz="4" w:space="0"/>
              <w:left w:val="nil"/>
              <w:bottom w:val="single" w:color="auto" w:sz="4" w:space="0"/>
              <w:right w:val="single" w:color="auto" w:sz="4" w:space="0"/>
            </w:tcBorders>
            <w:noWrap w:val="0"/>
            <w:vAlign w:val="center"/>
          </w:tcPr>
          <w:p w14:paraId="0D44957F">
            <w:pPr>
              <w:keepNext w:val="0"/>
              <w:keepLines w:val="0"/>
              <w:spacing w:before="0" w:after="0" w:line="420" w:lineRule="exact"/>
              <w:jc w:val="left"/>
              <w:outlineLvl w:val="9"/>
              <w:rPr>
                <w:rFonts w:hint="eastAsia" w:asciiTheme="minorHAnsi" w:hAnsiTheme="minorHAnsi" w:cstheme="minorBidi"/>
                <w:b w:val="0"/>
                <w:bCs w:val="0"/>
                <w:sz w:val="24"/>
                <w:szCs w:val="24"/>
              </w:rPr>
            </w:pPr>
          </w:p>
        </w:tc>
      </w:tr>
      <w:tr w14:paraId="34BF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5BF598CC">
            <w:pPr>
              <w:keepNext w:val="0"/>
              <w:keepLines w:val="0"/>
              <w:spacing w:before="0" w:after="0" w:line="420" w:lineRule="exact"/>
              <w:jc w:val="left"/>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lang w:val="en-US" w:eastAsia="zh-CN"/>
              </w:rPr>
              <w:t>招标</w:t>
            </w:r>
            <w:r>
              <w:rPr>
                <w:rFonts w:hint="eastAsia" w:asciiTheme="minorHAnsi" w:hAnsiTheme="minorHAnsi" w:cstheme="minorBidi"/>
                <w:b w:val="0"/>
                <w:bCs w:val="0"/>
                <w:sz w:val="24"/>
                <w:szCs w:val="24"/>
              </w:rPr>
              <w:t>人地址</w:t>
            </w:r>
          </w:p>
        </w:tc>
        <w:tc>
          <w:tcPr>
            <w:tcW w:w="6077" w:type="dxa"/>
            <w:tcBorders>
              <w:top w:val="single" w:color="auto" w:sz="4" w:space="0"/>
              <w:left w:val="nil"/>
              <w:bottom w:val="single" w:color="auto" w:sz="4" w:space="0"/>
              <w:right w:val="single" w:color="auto" w:sz="4" w:space="0"/>
            </w:tcBorders>
            <w:noWrap w:val="0"/>
            <w:vAlign w:val="center"/>
          </w:tcPr>
          <w:p w14:paraId="40A768F6">
            <w:pPr>
              <w:keepNext w:val="0"/>
              <w:keepLines w:val="0"/>
              <w:spacing w:before="0" w:after="0" w:line="420" w:lineRule="exact"/>
              <w:jc w:val="left"/>
              <w:outlineLvl w:val="9"/>
              <w:rPr>
                <w:rFonts w:hint="eastAsia" w:asciiTheme="minorHAnsi" w:hAnsiTheme="minorHAnsi" w:cstheme="minorBidi"/>
                <w:b w:val="0"/>
                <w:bCs w:val="0"/>
                <w:sz w:val="24"/>
                <w:szCs w:val="24"/>
              </w:rPr>
            </w:pPr>
          </w:p>
        </w:tc>
      </w:tr>
      <w:tr w14:paraId="31CC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0ADCBCC6">
            <w:pPr>
              <w:keepNext w:val="0"/>
              <w:keepLines w:val="0"/>
              <w:spacing w:before="0" w:after="0" w:line="420" w:lineRule="exact"/>
              <w:jc w:val="left"/>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lang w:val="en-US" w:eastAsia="zh-CN"/>
              </w:rPr>
              <w:t>招标</w:t>
            </w:r>
            <w:r>
              <w:rPr>
                <w:rFonts w:hint="eastAsia" w:asciiTheme="minorHAnsi" w:hAnsiTheme="minorHAnsi" w:cstheme="minorBidi"/>
                <w:b w:val="0"/>
                <w:bCs w:val="0"/>
                <w:sz w:val="24"/>
                <w:szCs w:val="24"/>
              </w:rPr>
              <w:t>人联系人及电话</w:t>
            </w:r>
          </w:p>
        </w:tc>
        <w:tc>
          <w:tcPr>
            <w:tcW w:w="6077" w:type="dxa"/>
            <w:tcBorders>
              <w:top w:val="single" w:color="auto" w:sz="4" w:space="0"/>
              <w:left w:val="nil"/>
              <w:bottom w:val="single" w:color="auto" w:sz="4" w:space="0"/>
              <w:right w:val="single" w:color="auto" w:sz="4" w:space="0"/>
            </w:tcBorders>
            <w:noWrap w:val="0"/>
            <w:vAlign w:val="center"/>
          </w:tcPr>
          <w:p w14:paraId="699399DB">
            <w:pPr>
              <w:keepNext w:val="0"/>
              <w:keepLines w:val="0"/>
              <w:spacing w:before="0" w:after="0" w:line="420" w:lineRule="exact"/>
              <w:jc w:val="left"/>
              <w:outlineLvl w:val="9"/>
              <w:rPr>
                <w:rFonts w:hint="eastAsia" w:asciiTheme="minorHAnsi" w:hAnsiTheme="minorHAnsi" w:cstheme="minorBidi"/>
                <w:b w:val="0"/>
                <w:bCs w:val="0"/>
                <w:sz w:val="24"/>
                <w:szCs w:val="24"/>
              </w:rPr>
            </w:pPr>
          </w:p>
        </w:tc>
      </w:tr>
      <w:tr w14:paraId="4945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494C7636">
            <w:pPr>
              <w:keepNext w:val="0"/>
              <w:keepLines w:val="0"/>
              <w:spacing w:before="0" w:after="0" w:line="420" w:lineRule="exact"/>
              <w:jc w:val="left"/>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合同价格</w:t>
            </w:r>
          </w:p>
        </w:tc>
        <w:tc>
          <w:tcPr>
            <w:tcW w:w="6077" w:type="dxa"/>
            <w:tcBorders>
              <w:top w:val="single" w:color="auto" w:sz="4" w:space="0"/>
              <w:left w:val="nil"/>
              <w:bottom w:val="single" w:color="auto" w:sz="4" w:space="0"/>
              <w:right w:val="single" w:color="auto" w:sz="4" w:space="0"/>
            </w:tcBorders>
            <w:noWrap w:val="0"/>
            <w:vAlign w:val="center"/>
          </w:tcPr>
          <w:p w14:paraId="10E7CE5D">
            <w:pPr>
              <w:keepNext w:val="0"/>
              <w:keepLines w:val="0"/>
              <w:spacing w:before="0" w:after="0" w:line="420" w:lineRule="exact"/>
              <w:jc w:val="left"/>
              <w:outlineLvl w:val="9"/>
              <w:rPr>
                <w:rFonts w:hint="eastAsia" w:asciiTheme="minorHAnsi" w:hAnsiTheme="minorHAnsi" w:cstheme="minorBidi"/>
                <w:b w:val="0"/>
                <w:bCs w:val="0"/>
                <w:sz w:val="24"/>
                <w:szCs w:val="24"/>
              </w:rPr>
            </w:pPr>
          </w:p>
        </w:tc>
      </w:tr>
      <w:tr w14:paraId="229F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6824BB56">
            <w:pPr>
              <w:keepNext w:val="0"/>
              <w:keepLines w:val="0"/>
              <w:spacing w:before="0" w:after="0" w:line="420" w:lineRule="exact"/>
              <w:jc w:val="left"/>
              <w:outlineLvl w:val="9"/>
              <w:rPr>
                <w:rFonts w:hint="eastAsia" w:asciiTheme="minorHAnsi" w:hAnsiTheme="minorHAnsi" w:cstheme="minorBidi"/>
                <w:b w:val="0"/>
                <w:bCs w:val="0"/>
                <w:sz w:val="24"/>
                <w:szCs w:val="24"/>
                <w:lang w:eastAsia="zh-CN"/>
              </w:rPr>
            </w:pPr>
            <w:r>
              <w:rPr>
                <w:rFonts w:hint="eastAsia" w:asciiTheme="minorHAnsi" w:hAnsiTheme="minorHAnsi" w:cstheme="minorBidi"/>
                <w:b w:val="0"/>
                <w:bCs w:val="0"/>
                <w:sz w:val="24"/>
                <w:szCs w:val="24"/>
                <w:lang w:val="en-US" w:eastAsia="zh-CN"/>
              </w:rPr>
              <w:t>供货期限</w:t>
            </w:r>
          </w:p>
        </w:tc>
        <w:tc>
          <w:tcPr>
            <w:tcW w:w="6077" w:type="dxa"/>
            <w:tcBorders>
              <w:top w:val="single" w:color="auto" w:sz="4" w:space="0"/>
              <w:left w:val="nil"/>
              <w:bottom w:val="single" w:color="auto" w:sz="4" w:space="0"/>
              <w:right w:val="single" w:color="auto" w:sz="4" w:space="0"/>
            </w:tcBorders>
            <w:noWrap w:val="0"/>
            <w:vAlign w:val="center"/>
          </w:tcPr>
          <w:p w14:paraId="3FEA01F1">
            <w:pPr>
              <w:keepNext w:val="0"/>
              <w:keepLines w:val="0"/>
              <w:spacing w:before="0" w:after="0" w:line="420" w:lineRule="exact"/>
              <w:jc w:val="left"/>
              <w:outlineLvl w:val="9"/>
              <w:rPr>
                <w:rFonts w:hint="eastAsia" w:asciiTheme="minorHAnsi" w:hAnsiTheme="minorHAnsi" w:cstheme="minorBidi"/>
                <w:b w:val="0"/>
                <w:bCs w:val="0"/>
                <w:sz w:val="24"/>
                <w:szCs w:val="24"/>
              </w:rPr>
            </w:pPr>
          </w:p>
        </w:tc>
      </w:tr>
      <w:tr w14:paraId="3526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45A43E54">
            <w:pPr>
              <w:keepNext w:val="0"/>
              <w:keepLines w:val="0"/>
              <w:spacing w:before="0" w:after="0" w:line="420" w:lineRule="exact"/>
              <w:jc w:val="left"/>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交货地点</w:t>
            </w:r>
          </w:p>
        </w:tc>
        <w:tc>
          <w:tcPr>
            <w:tcW w:w="6077" w:type="dxa"/>
            <w:tcBorders>
              <w:top w:val="single" w:color="auto" w:sz="4" w:space="0"/>
              <w:left w:val="nil"/>
              <w:bottom w:val="single" w:color="auto" w:sz="4" w:space="0"/>
              <w:right w:val="single" w:color="auto" w:sz="4" w:space="0"/>
            </w:tcBorders>
            <w:noWrap w:val="0"/>
            <w:vAlign w:val="center"/>
          </w:tcPr>
          <w:p w14:paraId="07DB3D62">
            <w:pPr>
              <w:keepNext w:val="0"/>
              <w:keepLines w:val="0"/>
              <w:spacing w:before="0" w:after="0" w:line="420" w:lineRule="exact"/>
              <w:jc w:val="left"/>
              <w:outlineLvl w:val="9"/>
              <w:rPr>
                <w:rFonts w:hint="eastAsia" w:asciiTheme="minorHAnsi" w:hAnsiTheme="minorHAnsi" w:cstheme="minorBidi"/>
                <w:b w:val="0"/>
                <w:bCs w:val="0"/>
                <w:sz w:val="24"/>
                <w:szCs w:val="24"/>
              </w:rPr>
            </w:pPr>
          </w:p>
        </w:tc>
      </w:tr>
      <w:tr w14:paraId="7EF8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32EF3F4A">
            <w:pPr>
              <w:keepNext w:val="0"/>
              <w:keepLines w:val="0"/>
              <w:spacing w:before="0" w:after="0" w:line="420" w:lineRule="exact"/>
              <w:jc w:val="left"/>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lang w:eastAsia="zh-CN"/>
              </w:rPr>
              <w:t xml:space="preserve"> </w:t>
            </w:r>
            <w:r>
              <w:rPr>
                <w:rFonts w:hint="eastAsia" w:asciiTheme="minorHAnsi" w:hAnsiTheme="minorHAnsi" w:cstheme="minorBidi"/>
                <w:b w:val="0"/>
                <w:bCs w:val="0"/>
                <w:sz w:val="24"/>
                <w:szCs w:val="24"/>
              </w:rPr>
              <w:t>质量</w:t>
            </w:r>
          </w:p>
        </w:tc>
        <w:tc>
          <w:tcPr>
            <w:tcW w:w="6077" w:type="dxa"/>
            <w:tcBorders>
              <w:top w:val="single" w:color="auto" w:sz="4" w:space="0"/>
              <w:left w:val="nil"/>
              <w:bottom w:val="single" w:color="auto" w:sz="4" w:space="0"/>
              <w:right w:val="single" w:color="auto" w:sz="4" w:space="0"/>
            </w:tcBorders>
            <w:noWrap w:val="0"/>
            <w:vAlign w:val="center"/>
          </w:tcPr>
          <w:p w14:paraId="1C8241BE">
            <w:pPr>
              <w:keepNext w:val="0"/>
              <w:keepLines w:val="0"/>
              <w:spacing w:before="0" w:after="0" w:line="420" w:lineRule="exact"/>
              <w:jc w:val="left"/>
              <w:outlineLvl w:val="9"/>
              <w:rPr>
                <w:rFonts w:hint="eastAsia" w:asciiTheme="minorHAnsi" w:hAnsiTheme="minorHAnsi" w:cstheme="minorBidi"/>
                <w:b w:val="0"/>
                <w:bCs w:val="0"/>
                <w:sz w:val="24"/>
                <w:szCs w:val="24"/>
              </w:rPr>
            </w:pPr>
          </w:p>
        </w:tc>
      </w:tr>
      <w:tr w14:paraId="1B78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056C4FBB">
            <w:pPr>
              <w:keepNext w:val="0"/>
              <w:keepLines w:val="0"/>
              <w:spacing w:before="0" w:after="0" w:line="420" w:lineRule="exact"/>
              <w:jc w:val="left"/>
              <w:outlineLvl w:val="9"/>
              <w:rPr>
                <w:rFonts w:hint="eastAsia" w:asciiTheme="minorHAnsi" w:hAnsiTheme="minorHAnsi" w:cstheme="minorBidi"/>
                <w:b w:val="0"/>
                <w:bCs w:val="0"/>
                <w:sz w:val="24"/>
                <w:szCs w:val="24"/>
                <w:lang w:eastAsia="zh-CN"/>
              </w:rPr>
            </w:pPr>
            <w:r>
              <w:rPr>
                <w:rFonts w:hint="eastAsia" w:asciiTheme="minorHAnsi" w:hAnsiTheme="minorHAnsi" w:cstheme="minorBidi"/>
                <w:b w:val="0"/>
                <w:bCs w:val="0"/>
                <w:sz w:val="24"/>
                <w:szCs w:val="24"/>
                <w:lang w:eastAsia="zh-CN"/>
              </w:rPr>
              <w:t>项目负责人</w:t>
            </w:r>
          </w:p>
        </w:tc>
        <w:tc>
          <w:tcPr>
            <w:tcW w:w="6077" w:type="dxa"/>
            <w:tcBorders>
              <w:top w:val="single" w:color="auto" w:sz="4" w:space="0"/>
              <w:left w:val="nil"/>
              <w:bottom w:val="single" w:color="auto" w:sz="4" w:space="0"/>
              <w:right w:val="single" w:color="auto" w:sz="4" w:space="0"/>
            </w:tcBorders>
            <w:noWrap w:val="0"/>
            <w:vAlign w:val="center"/>
          </w:tcPr>
          <w:p w14:paraId="38BB09FB">
            <w:pPr>
              <w:keepNext w:val="0"/>
              <w:keepLines w:val="0"/>
              <w:spacing w:before="0" w:after="0" w:line="420" w:lineRule="exact"/>
              <w:jc w:val="left"/>
              <w:outlineLvl w:val="9"/>
              <w:rPr>
                <w:rFonts w:hint="eastAsia" w:asciiTheme="minorHAnsi" w:hAnsiTheme="minorHAnsi" w:cstheme="minorBidi"/>
                <w:b w:val="0"/>
                <w:bCs w:val="0"/>
                <w:sz w:val="24"/>
                <w:szCs w:val="24"/>
              </w:rPr>
            </w:pPr>
          </w:p>
        </w:tc>
      </w:tr>
      <w:tr w14:paraId="175F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57CB9D6A">
            <w:pPr>
              <w:keepNext w:val="0"/>
              <w:keepLines w:val="0"/>
              <w:spacing w:before="0" w:after="0" w:line="420" w:lineRule="exact"/>
              <w:jc w:val="left"/>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项目描述</w:t>
            </w:r>
          </w:p>
        </w:tc>
        <w:tc>
          <w:tcPr>
            <w:tcW w:w="6077" w:type="dxa"/>
            <w:tcBorders>
              <w:top w:val="single" w:color="auto" w:sz="4" w:space="0"/>
              <w:left w:val="nil"/>
              <w:bottom w:val="single" w:color="auto" w:sz="4" w:space="0"/>
              <w:right w:val="single" w:color="auto" w:sz="4" w:space="0"/>
            </w:tcBorders>
            <w:noWrap w:val="0"/>
            <w:vAlign w:val="center"/>
          </w:tcPr>
          <w:p w14:paraId="1BB2145D">
            <w:pPr>
              <w:keepNext w:val="0"/>
              <w:keepLines w:val="0"/>
              <w:spacing w:before="0" w:after="0" w:line="420" w:lineRule="exact"/>
              <w:jc w:val="left"/>
              <w:outlineLvl w:val="9"/>
              <w:rPr>
                <w:rFonts w:hint="eastAsia" w:asciiTheme="minorHAnsi" w:hAnsiTheme="minorHAnsi" w:cstheme="minorBidi"/>
                <w:b w:val="0"/>
                <w:bCs w:val="0"/>
                <w:sz w:val="24"/>
                <w:szCs w:val="24"/>
              </w:rPr>
            </w:pPr>
          </w:p>
        </w:tc>
      </w:tr>
      <w:tr w14:paraId="770E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009F6E43">
            <w:pPr>
              <w:keepNext w:val="0"/>
              <w:keepLines w:val="0"/>
              <w:spacing w:before="0" w:after="0" w:line="420" w:lineRule="exact"/>
              <w:jc w:val="left"/>
              <w:outlineLvl w:val="9"/>
              <w:rPr>
                <w:rFonts w:hint="eastAsia" w:asciiTheme="minorHAnsi" w:hAnsiTheme="minorHAnsi" w:cstheme="minorBidi"/>
                <w:b w:val="0"/>
                <w:bCs w:val="0"/>
                <w:sz w:val="24"/>
                <w:szCs w:val="24"/>
              </w:rPr>
            </w:pPr>
            <w:r>
              <w:rPr>
                <w:rFonts w:hint="eastAsia" w:asciiTheme="minorHAnsi" w:hAnsiTheme="minorHAnsi" w:cstheme="minorBidi"/>
                <w:b w:val="0"/>
                <w:bCs w:val="0"/>
                <w:sz w:val="24"/>
                <w:szCs w:val="24"/>
              </w:rPr>
              <w:t>备注</w:t>
            </w:r>
          </w:p>
        </w:tc>
        <w:tc>
          <w:tcPr>
            <w:tcW w:w="6077" w:type="dxa"/>
            <w:tcBorders>
              <w:top w:val="single" w:color="auto" w:sz="4" w:space="0"/>
              <w:left w:val="nil"/>
              <w:bottom w:val="single" w:color="auto" w:sz="4" w:space="0"/>
              <w:right w:val="single" w:color="auto" w:sz="4" w:space="0"/>
            </w:tcBorders>
            <w:noWrap w:val="0"/>
            <w:vAlign w:val="center"/>
          </w:tcPr>
          <w:p w14:paraId="121E99B6">
            <w:pPr>
              <w:keepNext w:val="0"/>
              <w:keepLines w:val="0"/>
              <w:spacing w:before="0" w:after="0" w:line="420" w:lineRule="exact"/>
              <w:jc w:val="left"/>
              <w:outlineLvl w:val="9"/>
              <w:rPr>
                <w:rFonts w:hint="eastAsia" w:asciiTheme="minorHAnsi" w:hAnsiTheme="minorHAnsi" w:cstheme="minorBidi"/>
                <w:b w:val="0"/>
                <w:bCs w:val="0"/>
                <w:sz w:val="24"/>
                <w:szCs w:val="24"/>
              </w:rPr>
            </w:pPr>
          </w:p>
        </w:tc>
      </w:tr>
    </w:tbl>
    <w:p w14:paraId="7B26C4B4">
      <w:pPr>
        <w:keepNext w:val="0"/>
        <w:keepLines w:val="0"/>
        <w:spacing w:before="0" w:after="0" w:line="420" w:lineRule="exact"/>
        <w:jc w:val="left"/>
        <w:outlineLvl w:val="9"/>
        <w:rPr>
          <w:rFonts w:hint="eastAsia" w:asciiTheme="minorHAnsi" w:hAnsiTheme="minorHAnsi" w:cstheme="minorBidi"/>
          <w:b w:val="0"/>
          <w:bCs w:val="0"/>
          <w:sz w:val="24"/>
          <w:szCs w:val="24"/>
        </w:rPr>
      </w:pPr>
    </w:p>
    <w:p w14:paraId="412D2DD1">
      <w:pPr>
        <w:keepNext w:val="0"/>
        <w:keepLines w:val="0"/>
        <w:pageBreakBefore w:val="0"/>
        <w:widowControl w:val="0"/>
        <w:kinsoku/>
        <w:wordWrap/>
        <w:overflowPunct/>
        <w:topLinePunct w:val="0"/>
        <w:autoSpaceDE/>
        <w:autoSpaceDN/>
        <w:bidi w:val="0"/>
        <w:adjustRightInd/>
        <w:snapToGrid/>
        <w:spacing w:before="0" w:after="0" w:line="360" w:lineRule="auto"/>
        <w:jc w:val="left"/>
        <w:textAlignment w:val="auto"/>
        <w:outlineLvl w:val="9"/>
        <w:rPr>
          <w:rFonts w:hint="eastAsia" w:ascii="宋体" w:hAnsi="宋体" w:eastAsia="宋体" w:cs="宋体"/>
          <w:b w:val="0"/>
          <w:bCs w:val="0"/>
          <w:sz w:val="24"/>
          <w:szCs w:val="24"/>
          <w:highlight w:val="yellow"/>
          <w:lang w:eastAsia="zh-CN"/>
        </w:rPr>
      </w:pPr>
      <w:r>
        <w:rPr>
          <w:rFonts w:hint="eastAsia" w:ascii="宋体" w:hAnsi="宋体" w:eastAsia="宋体" w:cs="宋体"/>
          <w:b w:val="0"/>
          <w:bCs w:val="0"/>
          <w:sz w:val="24"/>
          <w:szCs w:val="24"/>
          <w:highlight w:val="none"/>
          <w:lang w:eastAsia="zh-CN"/>
        </w:rPr>
        <w:t>备注：本表后附供应商自202</w:t>
      </w: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lang w:eastAsia="zh-CN"/>
        </w:rPr>
        <w:t>年1月1日以来完成的类似项目业绩的（</w:t>
      </w:r>
      <w:r>
        <w:rPr>
          <w:rFonts w:hint="eastAsia" w:ascii="宋体" w:hAnsi="宋体" w:eastAsia="宋体" w:cs="宋体"/>
          <w:b w:val="0"/>
          <w:bCs w:val="0"/>
          <w:sz w:val="24"/>
          <w:szCs w:val="24"/>
          <w:highlight w:val="none"/>
          <w:lang w:val="en-US" w:eastAsia="zh-CN"/>
        </w:rPr>
        <w:t>以合同签订时间为准，提供合同原件扫描件，磋商响应文件附扫描件</w:t>
      </w:r>
      <w:r>
        <w:rPr>
          <w:rFonts w:hint="eastAsia" w:ascii="宋体" w:hAnsi="宋体" w:eastAsia="宋体" w:cs="宋体"/>
          <w:b w:val="0"/>
          <w:bCs w:val="0"/>
          <w:sz w:val="24"/>
          <w:szCs w:val="24"/>
          <w:highlight w:val="none"/>
          <w:lang w:eastAsia="zh-CN"/>
        </w:rPr>
        <w:t>）。每张表格只填写一个项目，并标明序号。</w:t>
      </w:r>
    </w:p>
    <w:p w14:paraId="653A72B4">
      <w:pPr>
        <w:keepNext w:val="0"/>
        <w:keepLines w:val="0"/>
        <w:pageBreakBefore w:val="0"/>
        <w:widowControl w:val="0"/>
        <w:kinsoku/>
        <w:wordWrap/>
        <w:overflowPunct/>
        <w:topLinePunct w:val="0"/>
        <w:autoSpaceDE/>
        <w:autoSpaceDN/>
        <w:bidi w:val="0"/>
        <w:adjustRightInd/>
        <w:snapToGrid/>
        <w:spacing w:before="0" w:after="0" w:line="360" w:lineRule="auto"/>
        <w:jc w:val="left"/>
        <w:textAlignment w:val="auto"/>
        <w:outlineLvl w:val="9"/>
        <w:rPr>
          <w:rFonts w:hint="eastAsia" w:ascii="宋体" w:hAnsi="宋体" w:eastAsia="宋体" w:cs="宋体"/>
          <w:b w:val="0"/>
          <w:bCs w:val="0"/>
          <w:sz w:val="24"/>
          <w:szCs w:val="24"/>
        </w:rPr>
      </w:pPr>
    </w:p>
    <w:p w14:paraId="7C2DE2FD">
      <w:pPr>
        <w:keepNext w:val="0"/>
        <w:keepLines w:val="0"/>
        <w:spacing w:before="0" w:after="0" w:line="420" w:lineRule="exact"/>
        <w:jc w:val="left"/>
        <w:outlineLvl w:val="9"/>
        <w:rPr>
          <w:rFonts w:hint="eastAsia" w:asciiTheme="minorHAnsi" w:hAnsiTheme="minorHAnsi" w:cstheme="minorBidi"/>
          <w:b w:val="0"/>
          <w:bCs w:val="0"/>
          <w:sz w:val="24"/>
          <w:szCs w:val="24"/>
        </w:rPr>
      </w:pPr>
    </w:p>
    <w:p w14:paraId="6BD26AF7">
      <w:pPr>
        <w:keepNext w:val="0"/>
        <w:keepLines w:val="0"/>
        <w:spacing w:before="0" w:after="0" w:line="420" w:lineRule="exact"/>
        <w:jc w:val="left"/>
        <w:outlineLvl w:val="9"/>
        <w:rPr>
          <w:rFonts w:hint="eastAsia" w:asciiTheme="minorHAnsi" w:hAnsiTheme="minorHAnsi" w:cstheme="minorBidi"/>
          <w:b w:val="0"/>
          <w:bCs w:val="0"/>
          <w:sz w:val="24"/>
          <w:szCs w:val="24"/>
        </w:rPr>
      </w:pPr>
    </w:p>
    <w:p w14:paraId="5EBF5F12">
      <w:pPr>
        <w:keepNext w:val="0"/>
        <w:keepLines w:val="0"/>
        <w:spacing w:before="0" w:after="0" w:line="420" w:lineRule="exact"/>
        <w:jc w:val="left"/>
        <w:outlineLvl w:val="9"/>
        <w:rPr>
          <w:rFonts w:hint="eastAsia" w:asciiTheme="minorHAnsi" w:hAnsiTheme="minorHAnsi" w:cstheme="minorBidi"/>
          <w:b w:val="0"/>
          <w:bCs w:val="0"/>
          <w:sz w:val="24"/>
          <w:szCs w:val="24"/>
        </w:rPr>
      </w:pPr>
    </w:p>
    <w:p w14:paraId="518AEECE">
      <w:pPr>
        <w:keepNext w:val="0"/>
        <w:keepLines w:val="0"/>
        <w:spacing w:before="0" w:after="0" w:line="420" w:lineRule="exact"/>
        <w:jc w:val="left"/>
        <w:outlineLvl w:val="9"/>
        <w:rPr>
          <w:rFonts w:hint="eastAsia" w:asciiTheme="minorHAnsi" w:hAnsiTheme="minorHAnsi" w:cstheme="minorBidi"/>
          <w:b w:val="0"/>
          <w:bCs w:val="0"/>
          <w:sz w:val="24"/>
          <w:szCs w:val="24"/>
          <w:lang w:eastAsia="zh-CN"/>
        </w:rPr>
      </w:pPr>
    </w:p>
    <w:p w14:paraId="17D2E0AC">
      <w:pPr>
        <w:keepNext w:val="0"/>
        <w:keepLines w:val="0"/>
        <w:spacing w:before="0" w:after="0" w:line="420" w:lineRule="exact"/>
        <w:jc w:val="left"/>
        <w:outlineLvl w:val="9"/>
        <w:rPr>
          <w:rFonts w:hint="eastAsia" w:asciiTheme="minorHAnsi" w:hAnsiTheme="minorHAnsi" w:cstheme="minorBidi"/>
          <w:b w:val="0"/>
          <w:bCs w:val="0"/>
          <w:sz w:val="24"/>
          <w:szCs w:val="24"/>
          <w:lang w:eastAsia="zh-CN"/>
        </w:rPr>
      </w:pPr>
    </w:p>
    <w:p w14:paraId="4EA9AFD5">
      <w:pPr>
        <w:keepNext/>
        <w:keepLines/>
        <w:spacing w:before="260" w:after="260" w:line="480" w:lineRule="auto"/>
        <w:jc w:val="center"/>
        <w:outlineLvl w:val="9"/>
        <w:rPr>
          <w:rFonts w:hint="eastAsia" w:ascii="宋体" w:hAnsi="宋体" w:cs="宋体"/>
          <w:b/>
          <w:bCs/>
          <w:sz w:val="24"/>
          <w:szCs w:val="24"/>
          <w:highlight w:val="none"/>
          <w:lang w:eastAsia="zh-CN"/>
        </w:rPr>
      </w:pP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三）</w:t>
      </w:r>
      <w:r>
        <w:rPr>
          <w:rFonts w:hint="eastAsia" w:ascii="宋体" w:hAnsi="宋体" w:cs="宋体"/>
          <w:b/>
          <w:bCs/>
          <w:sz w:val="24"/>
          <w:szCs w:val="24"/>
          <w:highlight w:val="none"/>
          <w:lang w:eastAsia="zh-CN"/>
        </w:rPr>
        <w:t>资格要求的审查资料</w:t>
      </w:r>
    </w:p>
    <w:p w14:paraId="6E9BE31D">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1.满足《中华人民共和国政府采购法》第二十二条规定</w:t>
      </w:r>
      <w:r>
        <w:rPr>
          <w:rFonts w:hint="eastAsia" w:ascii="宋体" w:hAnsi="宋体" w:eastAsia="宋体" w:cs="宋体"/>
          <w:sz w:val="24"/>
          <w:szCs w:val="24"/>
          <w:lang w:eastAsia="zh-CN"/>
        </w:rPr>
        <w:t>；</w:t>
      </w:r>
    </w:p>
    <w:p w14:paraId="69D37016">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2.落实政府采购政策满足的资格要求：本项目非专门面向中小微企业采购项目，执行优先采购节能环保、环境标志性产品，促进中小企业（监狱企业、残疾人福利性企业）发展等政府采购政策</w:t>
      </w:r>
      <w:r>
        <w:rPr>
          <w:rFonts w:hint="eastAsia" w:ascii="宋体" w:hAnsi="宋体" w:eastAsia="宋体" w:cs="宋体"/>
          <w:sz w:val="24"/>
          <w:szCs w:val="24"/>
          <w:lang w:eastAsia="zh-CN"/>
        </w:rPr>
        <w:t>；</w:t>
      </w:r>
    </w:p>
    <w:p w14:paraId="752A3F48">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3.本项目的特定资格要求：</w:t>
      </w:r>
    </w:p>
    <w:p w14:paraId="458AC2DD">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3.1</w:t>
      </w:r>
      <w:r>
        <w:rPr>
          <w:rFonts w:hint="eastAsia" w:ascii="宋体" w:hAnsi="宋体" w:eastAsia="宋体" w:cs="宋体"/>
          <w:sz w:val="24"/>
          <w:szCs w:val="24"/>
          <w:lang w:val="en-US" w:eastAsia="zh-CN"/>
        </w:rPr>
        <w:t>供应商</w:t>
      </w:r>
      <w:r>
        <w:rPr>
          <w:rFonts w:hint="eastAsia" w:ascii="宋体" w:hAnsi="宋体" w:eastAsia="宋体" w:cs="宋体"/>
          <w:sz w:val="24"/>
          <w:szCs w:val="24"/>
          <w:lang w:eastAsia="zh-CN"/>
        </w:rPr>
        <w:t>须具有独立法人资格，具有符合本项目所必须的合法有效的营业执照、组织机构代码证、税务登记证或三证合一的营业执照；</w:t>
      </w:r>
    </w:p>
    <w:p w14:paraId="222E9C9E">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3.2供应商需提供无商业贿赂及无不正当竞争行为的承诺书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自行承诺）</w:t>
      </w:r>
      <w:r>
        <w:rPr>
          <w:rFonts w:hint="eastAsia" w:ascii="宋体" w:hAnsi="宋体" w:eastAsia="宋体" w:cs="宋体"/>
          <w:sz w:val="24"/>
          <w:szCs w:val="24"/>
          <w:lang w:eastAsia="zh-CN"/>
        </w:rPr>
        <w:t>；</w:t>
      </w:r>
    </w:p>
    <w:p w14:paraId="6F5E88A1">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3.3供应商出具无行贿犯罪记录，在中国裁判文书网自行查询或自行承诺（查询对象：企业、法定代表人）；</w:t>
      </w:r>
    </w:p>
    <w:p w14:paraId="26AE1E9A">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3.4</w:t>
      </w:r>
      <w:r>
        <w:rPr>
          <w:rFonts w:hint="eastAsia" w:ascii="宋体" w:hAnsi="宋体" w:eastAsia="宋体" w:cs="宋体"/>
          <w:sz w:val="24"/>
          <w:szCs w:val="24"/>
        </w:rPr>
        <w:t>参加政府采购活动前三年内，在经营活动中没有重大违法记录</w:t>
      </w:r>
      <w:r>
        <w:rPr>
          <w:rFonts w:hint="eastAsia" w:ascii="宋体" w:hAnsi="宋体" w:eastAsia="宋体" w:cs="宋体"/>
          <w:sz w:val="24"/>
          <w:szCs w:val="24"/>
          <w:lang w:eastAsia="zh-CN"/>
        </w:rPr>
        <w:t>；</w:t>
      </w:r>
      <w:r>
        <w:rPr>
          <w:rFonts w:hint="eastAsia" w:ascii="宋体" w:hAnsi="宋体" w:eastAsia="宋体" w:cs="宋体"/>
          <w:sz w:val="24"/>
          <w:szCs w:val="24"/>
        </w:rPr>
        <w:t>（提供开标前三年内无重大违法记录的书面声明</w:t>
      </w:r>
      <w:r>
        <w:rPr>
          <w:rFonts w:hint="eastAsia" w:ascii="宋体" w:hAnsi="宋体" w:eastAsia="宋体" w:cs="宋体"/>
          <w:sz w:val="24"/>
          <w:szCs w:val="24"/>
          <w:lang w:eastAsia="zh-CN"/>
        </w:rPr>
        <w:t>）；</w:t>
      </w:r>
    </w:p>
    <w:p w14:paraId="7A363F0E">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sz w:val="24"/>
          <w:szCs w:val="24"/>
          <w:lang w:val="en-US" w:eastAsia="zh-CN"/>
        </w:rPr>
        <w:t>5</w:t>
      </w:r>
      <w:r>
        <w:rPr>
          <w:rFonts w:hint="eastAsia" w:ascii="宋体" w:hAnsi="宋体" w:eastAsia="宋体" w:cs="宋体"/>
          <w:sz w:val="24"/>
          <w:szCs w:val="24"/>
        </w:rPr>
        <w:t>根据《关于在政府采购活动中查询及使用信用记录有关问题的通知》(财库[2016]125号)和豫财购【2016】15号的规定，对列入失信被执行人、重大税收违法失信主体、政府采购严重违法失信行为记录名单的</w:t>
      </w:r>
      <w:r>
        <w:rPr>
          <w:rFonts w:hint="eastAsia" w:ascii="宋体" w:hAnsi="宋体" w:eastAsia="宋体" w:cs="宋体"/>
          <w:sz w:val="24"/>
          <w:szCs w:val="24"/>
          <w:lang w:eastAsia="zh-CN"/>
        </w:rPr>
        <w:t>供应商</w:t>
      </w:r>
      <w:r>
        <w:rPr>
          <w:rFonts w:hint="eastAsia" w:ascii="宋体" w:hAnsi="宋体" w:eastAsia="宋体" w:cs="宋体"/>
          <w:sz w:val="24"/>
          <w:szCs w:val="24"/>
        </w:rPr>
        <w:t>，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提供网站的查询结果截图，截图要显示查询时间，查询时间自本公告发布之日起</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p>
    <w:p w14:paraId="54605397">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6</w:t>
      </w:r>
      <w:r>
        <w:rPr>
          <w:rFonts w:hint="eastAsia" w:ascii="宋体" w:hAnsi="宋体" w:eastAsia="宋体" w:cs="宋体"/>
          <w:sz w:val="24"/>
          <w:szCs w:val="24"/>
        </w:rPr>
        <w:t>单位负责人为同一人或者存在直接控股、管理关系的不同投标人，不得参加同一合同项下的采购活动；（提供“国家企业信用信息公示系统”中查询打印的相关信息</w:t>
      </w:r>
      <w:r>
        <w:rPr>
          <w:rFonts w:hint="eastAsia" w:ascii="宋体" w:hAnsi="宋体" w:eastAsia="宋体" w:cs="宋体"/>
          <w:b/>
          <w:bCs/>
          <w:sz w:val="24"/>
          <w:szCs w:val="24"/>
        </w:rPr>
        <w:t>并加盖公章</w:t>
      </w:r>
      <w:r>
        <w:rPr>
          <w:rFonts w:hint="eastAsia" w:ascii="宋体" w:hAnsi="宋体" w:eastAsia="宋体" w:cs="宋体"/>
          <w:sz w:val="24"/>
          <w:szCs w:val="24"/>
        </w:rPr>
        <w:t>（查询信息需包含公司基本信息、股东信息及股权变更信息等相关信息，查询日期为本项目公告发布之后至开标截止时间止）；</w:t>
      </w:r>
    </w:p>
    <w:p w14:paraId="1B1DC3C7">
      <w:pPr>
        <w:keepNext w:val="0"/>
        <w:keepLines w:val="0"/>
        <w:pageBreakBefore w:val="0"/>
        <w:kinsoku/>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本项目不接受联合体投标，提供非联合体投标承诺，格式自拟</w:t>
      </w:r>
      <w:r>
        <w:rPr>
          <w:rFonts w:hint="eastAsia" w:ascii="宋体" w:hAnsi="宋体" w:eastAsia="宋体" w:cs="宋体"/>
          <w:sz w:val="24"/>
          <w:szCs w:val="24"/>
          <w:lang w:eastAsia="zh-CN"/>
        </w:rPr>
        <w:t>；</w:t>
      </w:r>
    </w:p>
    <w:p w14:paraId="3086873B">
      <w:pPr>
        <w:keepNext w:val="0"/>
        <w:keepLines w:val="0"/>
        <w:pageBreakBefore w:val="0"/>
        <w:kinsoku/>
        <w:overflowPunct/>
        <w:topLinePunct w:val="0"/>
        <w:bidi w:val="0"/>
        <w:spacing w:line="360" w:lineRule="auto"/>
        <w:ind w:firstLine="480" w:firstLineChars="200"/>
        <w:textAlignment w:val="auto"/>
        <w:outlineLvl w:val="9"/>
        <w:rPr>
          <w:rFonts w:hint="eastAsia" w:ascii="宋体" w:hAnsi="宋体" w:eastAsia="宋体" w:cs="宋体"/>
          <w:sz w:val="24"/>
          <w:szCs w:val="24"/>
          <w:lang w:eastAsia="zh-CN"/>
        </w:rPr>
      </w:pPr>
    </w:p>
    <w:p w14:paraId="1DE76165">
      <w:pPr>
        <w:keepNext w:val="0"/>
        <w:keepLines w:val="0"/>
        <w:spacing w:before="0" w:after="0" w:line="420" w:lineRule="exact"/>
        <w:jc w:val="left"/>
        <w:outlineLvl w:val="9"/>
        <w:rPr>
          <w:rFonts w:hint="eastAsia" w:asciiTheme="minorHAnsi" w:hAnsiTheme="minorHAnsi" w:cstheme="minorBidi"/>
          <w:b w:val="0"/>
          <w:bCs w:val="0"/>
          <w:sz w:val="24"/>
          <w:szCs w:val="24"/>
          <w:lang w:eastAsia="zh-CN"/>
        </w:rPr>
      </w:pPr>
    </w:p>
    <w:p w14:paraId="55B70F76">
      <w:pPr>
        <w:keepNext w:val="0"/>
        <w:keepLines w:val="0"/>
        <w:spacing w:before="0" w:after="0" w:line="420" w:lineRule="exact"/>
        <w:jc w:val="left"/>
        <w:outlineLvl w:val="9"/>
        <w:rPr>
          <w:rFonts w:hint="eastAsia" w:asciiTheme="minorHAnsi" w:hAnsiTheme="minorHAnsi" w:cstheme="minorBidi"/>
          <w:b w:val="0"/>
          <w:bCs w:val="0"/>
          <w:sz w:val="24"/>
          <w:szCs w:val="24"/>
          <w:lang w:eastAsia="zh-CN"/>
        </w:rPr>
      </w:pPr>
    </w:p>
    <w:p w14:paraId="5AEB9D29">
      <w:pPr>
        <w:keepNext w:val="0"/>
        <w:keepLines w:val="0"/>
        <w:spacing w:before="0" w:after="0" w:line="420" w:lineRule="exact"/>
        <w:jc w:val="left"/>
        <w:outlineLvl w:val="9"/>
        <w:rPr>
          <w:rFonts w:hint="eastAsia" w:asciiTheme="minorHAnsi" w:hAnsiTheme="minorHAnsi" w:cstheme="minorBidi"/>
          <w:b w:val="0"/>
          <w:bCs w:val="0"/>
          <w:sz w:val="24"/>
          <w:szCs w:val="24"/>
          <w:lang w:eastAsia="zh-CN"/>
        </w:rPr>
      </w:pPr>
    </w:p>
    <w:p w14:paraId="3EC6088B">
      <w:pPr>
        <w:keepNext w:val="0"/>
        <w:keepLines w:val="0"/>
        <w:spacing w:before="0" w:after="0" w:line="420" w:lineRule="exact"/>
        <w:jc w:val="left"/>
        <w:outlineLvl w:val="9"/>
        <w:rPr>
          <w:rFonts w:hint="eastAsia" w:asciiTheme="minorHAnsi" w:hAnsiTheme="minorHAnsi" w:cstheme="minorBidi"/>
          <w:b w:val="0"/>
          <w:bCs w:val="0"/>
          <w:sz w:val="24"/>
          <w:szCs w:val="24"/>
          <w:lang w:eastAsia="zh-CN"/>
        </w:rPr>
      </w:pPr>
    </w:p>
    <w:p w14:paraId="03B4C651">
      <w:pPr>
        <w:keepNext w:val="0"/>
        <w:keepLines w:val="0"/>
        <w:spacing w:before="0" w:after="0" w:line="420" w:lineRule="exact"/>
        <w:jc w:val="left"/>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附件：</w:t>
      </w:r>
    </w:p>
    <w:p w14:paraId="727DD67A">
      <w:pPr>
        <w:keepNext w:val="0"/>
        <w:keepLines w:val="0"/>
        <w:spacing w:before="0" w:after="0" w:line="420" w:lineRule="exact"/>
        <w:jc w:val="center"/>
        <w:outlineLvl w:val="9"/>
        <w:rPr>
          <w:rFonts w:hint="eastAsia" w:ascii="宋体" w:hAnsi="宋体" w:eastAsia="宋体" w:cs="宋体"/>
          <w:b/>
          <w:bCs/>
          <w:sz w:val="24"/>
          <w:szCs w:val="24"/>
        </w:rPr>
      </w:pPr>
    </w:p>
    <w:p w14:paraId="37D6D7BB">
      <w:pPr>
        <w:spacing w:after="157" w:afterLines="50" w:line="500" w:lineRule="exact"/>
        <w:jc w:val="center"/>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满足《中华人民共和国政府采购法》第二十二条规定承诺</w:t>
      </w:r>
      <w:r>
        <w:rPr>
          <w:rFonts w:hint="eastAsia" w:ascii="宋体" w:hAnsi="宋体" w:eastAsia="宋体" w:cs="宋体"/>
          <w:b/>
          <w:bCs/>
          <w:sz w:val="24"/>
          <w:szCs w:val="24"/>
          <w:highlight w:val="none"/>
          <w:lang w:val="en-US" w:eastAsia="zh-CN"/>
        </w:rPr>
        <w:t>书</w:t>
      </w:r>
    </w:p>
    <w:p w14:paraId="42780F72">
      <w:pPr>
        <w:spacing w:line="5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致</w:t>
      </w:r>
      <w:r>
        <w:rPr>
          <w:rFonts w:hint="eastAsia" w:ascii="宋体" w:hAnsi="宋体" w:eastAsia="宋体" w:cs="宋体"/>
          <w:sz w:val="24"/>
          <w:szCs w:val="24"/>
          <w:highlight w:val="none"/>
          <w:u w:val="single"/>
        </w:rPr>
        <w:t>（采购人及采购代理公司）</w:t>
      </w:r>
      <w:r>
        <w:rPr>
          <w:rFonts w:hint="eastAsia" w:ascii="宋体" w:hAnsi="宋体" w:eastAsia="宋体" w:cs="宋体"/>
          <w:sz w:val="24"/>
          <w:szCs w:val="24"/>
          <w:highlight w:val="none"/>
        </w:rPr>
        <w:t>：</w:t>
      </w:r>
    </w:p>
    <w:p w14:paraId="7ADD32AB">
      <w:pPr>
        <w:spacing w:line="5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我单位自愿参加本次采购活动，严格遵守《中华人民共和国政府采购法》及相关法律法规，依法诚信经营，依法遵守本次采购活动的各项规定。我单位郑重承诺如下：</w:t>
      </w:r>
    </w:p>
    <w:p w14:paraId="36579395">
      <w:pPr>
        <w:spacing w:line="5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一、我单位全称为，注册地点为，统一社会信用代码为，法定代表人为，联系方式为。</w:t>
      </w:r>
    </w:p>
    <w:p w14:paraId="5DB3EB61">
      <w:pPr>
        <w:spacing w:line="5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二、我单位具有独立承担民事责任的能力。</w:t>
      </w:r>
    </w:p>
    <w:p w14:paraId="07EBD029">
      <w:pPr>
        <w:spacing w:line="5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三、我单位具有良好的商业信誉和健全的财务会计制度。</w:t>
      </w:r>
    </w:p>
    <w:p w14:paraId="2DFF1385">
      <w:pPr>
        <w:spacing w:line="5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四、我单位具有履行合同所必需的设备和专业技术能力。</w:t>
      </w:r>
    </w:p>
    <w:p w14:paraId="42338CBC">
      <w:pPr>
        <w:spacing w:line="5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五、我单位有依法缴纳税收和社会保障资金的良好记录。</w:t>
      </w:r>
    </w:p>
    <w:p w14:paraId="3429AB6D">
      <w:pPr>
        <w:spacing w:line="5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六、我单位参加本次采购活动前三年内，在经营活动中没有重大违法记录。（重大违法记录，是指供应商因违法经营受到刑事处罚或者责令停产停业、吊销许可证或者执照、较大数额罚款等行政处罚。）</w:t>
      </w:r>
    </w:p>
    <w:p w14:paraId="6924D654">
      <w:pPr>
        <w:spacing w:line="500" w:lineRule="exact"/>
        <w:ind w:firstLine="480" w:firstLineChars="200"/>
        <w:outlineLvl w:val="1"/>
        <w:rPr>
          <w:rFonts w:hint="eastAsia" w:ascii="宋体" w:hAnsi="宋体" w:eastAsia="宋体" w:cs="宋体"/>
          <w:sz w:val="24"/>
          <w:szCs w:val="24"/>
          <w:highlight w:val="none"/>
        </w:rPr>
      </w:pPr>
      <w:bookmarkStart w:id="91" w:name="_Toc23761"/>
      <w:bookmarkStart w:id="92" w:name="_Toc3120"/>
      <w:bookmarkStart w:id="93" w:name="_Toc22137"/>
      <w:r>
        <w:rPr>
          <w:rFonts w:hint="eastAsia" w:ascii="宋体" w:hAnsi="宋体" w:eastAsia="宋体" w:cs="宋体"/>
          <w:sz w:val="24"/>
          <w:szCs w:val="24"/>
          <w:highlight w:val="none"/>
        </w:rPr>
        <w:t>七、我单位具备法律、行政法规规定的其他条件。</w:t>
      </w:r>
      <w:bookmarkEnd w:id="91"/>
      <w:bookmarkEnd w:id="92"/>
      <w:bookmarkEnd w:id="93"/>
    </w:p>
    <w:p w14:paraId="2C2B3146">
      <w:pPr>
        <w:spacing w:line="5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单位保证上述声明的事项都是真实的，符合采购相关规定的供应商资格条件。如有弄虚作假，我单位愿意按照“提供虚假材料谋取中标”承担相应的法律责任，同意将违背承诺行为作为失信行为记录到社会信用信息平台，并承担因此所造成的一切损失。</w:t>
      </w:r>
    </w:p>
    <w:p w14:paraId="2EEB3310">
      <w:pPr>
        <w:keepNext w:val="0"/>
        <w:keepLines w:val="0"/>
        <w:spacing w:before="0" w:after="0" w:line="360" w:lineRule="auto"/>
        <w:jc w:val="left"/>
        <w:outlineLvl w:val="9"/>
        <w:rPr>
          <w:rFonts w:hint="eastAsia" w:ascii="宋体" w:hAnsi="宋体" w:eastAsia="宋体" w:cs="宋体"/>
          <w:b w:val="0"/>
          <w:bCs w:val="0"/>
          <w:sz w:val="24"/>
          <w:szCs w:val="24"/>
        </w:rPr>
      </w:pPr>
    </w:p>
    <w:p w14:paraId="5B0B6BE6">
      <w:pPr>
        <w:keepNext w:val="0"/>
        <w:keepLines w:val="0"/>
        <w:spacing w:before="0" w:after="0" w:line="360" w:lineRule="auto"/>
        <w:jc w:val="left"/>
        <w:outlineLvl w:val="9"/>
        <w:rPr>
          <w:rFonts w:hint="eastAsia" w:ascii="宋体" w:hAnsi="宋体" w:eastAsia="宋体" w:cs="宋体"/>
          <w:b w:val="0"/>
          <w:bCs w:val="0"/>
          <w:sz w:val="24"/>
          <w:szCs w:val="24"/>
        </w:rPr>
      </w:pPr>
    </w:p>
    <w:p w14:paraId="76FD9B68">
      <w:pPr>
        <w:keepNext w:val="0"/>
        <w:keepLines w:val="0"/>
        <w:spacing w:before="0" w:after="0" w:line="480" w:lineRule="auto"/>
        <w:jc w:val="left"/>
        <w:outlineLvl w:val="9"/>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lang w:eastAsia="zh-CN"/>
        </w:rPr>
        <w:t>供应商：</w:t>
      </w:r>
      <w:r>
        <w:rPr>
          <w:rFonts w:hint="eastAsia" w:ascii="宋体" w:hAnsi="宋体" w:eastAsia="宋体" w:cs="宋体"/>
          <w:b w:val="0"/>
          <w:bCs w:val="0"/>
          <w:sz w:val="24"/>
          <w:szCs w:val="24"/>
          <w:u w:val="single"/>
          <w:lang w:eastAsia="zh-CN"/>
        </w:rPr>
        <w:t xml:space="preserve">              </w:t>
      </w:r>
      <w:r>
        <w:rPr>
          <w:rFonts w:hint="eastAsia" w:ascii="宋体" w:hAnsi="宋体" w:eastAsia="宋体" w:cs="宋体"/>
          <w:b w:val="0"/>
          <w:bCs w:val="0"/>
          <w:sz w:val="24"/>
          <w:szCs w:val="24"/>
          <w:lang w:eastAsia="zh-CN"/>
        </w:rPr>
        <w:t>（电子签章）</w:t>
      </w:r>
    </w:p>
    <w:p w14:paraId="1B1C0801">
      <w:pPr>
        <w:keepNext w:val="0"/>
        <w:keepLines w:val="0"/>
        <w:spacing w:before="0" w:after="0" w:line="480" w:lineRule="auto"/>
        <w:ind w:firstLine="240" w:firstLineChars="100"/>
        <w:jc w:val="left"/>
        <w:outlineLvl w:val="9"/>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法定代表人：</w:t>
      </w:r>
      <w:r>
        <w:rPr>
          <w:rFonts w:hint="eastAsia" w:ascii="宋体" w:hAnsi="宋体" w:eastAsia="宋体" w:cs="宋体"/>
          <w:b w:val="0"/>
          <w:bCs w:val="0"/>
          <w:sz w:val="24"/>
          <w:szCs w:val="24"/>
          <w:u w:val="single"/>
          <w:lang w:eastAsia="zh-CN"/>
        </w:rPr>
        <w:t xml:space="preserve">             </w:t>
      </w:r>
      <w:r>
        <w:rPr>
          <w:rFonts w:hint="eastAsia" w:ascii="宋体" w:hAnsi="宋体" w:eastAsia="宋体" w:cs="宋体"/>
          <w:b w:val="0"/>
          <w:bCs w:val="0"/>
          <w:sz w:val="24"/>
          <w:szCs w:val="24"/>
          <w:lang w:eastAsia="zh-CN"/>
        </w:rPr>
        <w:t>（签章）</w:t>
      </w:r>
    </w:p>
    <w:p w14:paraId="6C494D17">
      <w:pPr>
        <w:keepNext w:val="0"/>
        <w:keepLines w:val="0"/>
        <w:spacing w:before="0" w:after="0" w:line="480" w:lineRule="auto"/>
        <w:jc w:val="left"/>
        <w:outlineLvl w:val="9"/>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lang w:eastAsia="zh-CN"/>
        </w:rPr>
        <w:t>年</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lang w:eastAsia="zh-CN"/>
        </w:rPr>
        <w:t>月</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lang w:eastAsia="zh-CN"/>
        </w:rPr>
        <w:t>日</w:t>
      </w:r>
    </w:p>
    <w:p w14:paraId="23C6B008">
      <w:pPr>
        <w:keepNext w:val="0"/>
        <w:keepLines w:val="0"/>
        <w:spacing w:before="0" w:after="0" w:line="420" w:lineRule="exact"/>
        <w:jc w:val="left"/>
        <w:outlineLvl w:val="9"/>
        <w:rPr>
          <w:rFonts w:hint="eastAsia" w:asciiTheme="minorHAnsi" w:hAnsiTheme="minorHAnsi" w:cstheme="minorBidi"/>
          <w:b w:val="0"/>
          <w:bCs w:val="0"/>
          <w:sz w:val="24"/>
          <w:szCs w:val="24"/>
          <w:lang w:eastAsia="zh-CN"/>
        </w:rPr>
      </w:pPr>
    </w:p>
    <w:p w14:paraId="2F80033A">
      <w:pPr>
        <w:keepNext w:val="0"/>
        <w:keepLines w:val="0"/>
        <w:spacing w:before="0" w:after="0" w:line="420" w:lineRule="exact"/>
        <w:jc w:val="left"/>
        <w:outlineLvl w:val="9"/>
        <w:rPr>
          <w:rFonts w:hint="eastAsia" w:asciiTheme="minorHAnsi" w:hAnsiTheme="minorHAnsi" w:cstheme="minorBidi"/>
          <w:b w:val="0"/>
          <w:bCs w:val="0"/>
          <w:sz w:val="24"/>
          <w:szCs w:val="24"/>
          <w:lang w:val="en-US" w:eastAsia="zh-CN"/>
        </w:rPr>
      </w:pPr>
    </w:p>
    <w:p w14:paraId="393515BD">
      <w:pPr>
        <w:keepNext/>
        <w:keepLines/>
        <w:spacing w:before="260" w:after="260" w:line="480" w:lineRule="auto"/>
        <w:jc w:val="center"/>
        <w:outlineLvl w:val="9"/>
        <w:rPr>
          <w:rFonts w:hint="eastAsia"/>
          <w:b/>
          <w:bCs/>
          <w:sz w:val="32"/>
          <w:szCs w:val="32"/>
        </w:rPr>
        <w:sectPr>
          <w:footerReference r:id="rId6"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48646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28"/>
          <w:szCs w:val="28"/>
          <w:lang w:val="en-US" w:eastAsia="zh-CN"/>
        </w:rPr>
      </w:pPr>
      <w:r>
        <w:rPr>
          <w:rFonts w:hint="eastAsia"/>
          <w:b/>
          <w:bCs/>
          <w:sz w:val="28"/>
          <w:szCs w:val="28"/>
          <w:lang w:val="en-US" w:eastAsia="zh-CN"/>
        </w:rPr>
        <w:t>六、报价明细表</w:t>
      </w:r>
      <w:bookmarkEnd w:id="85"/>
      <w:bookmarkEnd w:id="86"/>
      <w:bookmarkEnd w:id="87"/>
    </w:p>
    <w:tbl>
      <w:tblPr>
        <w:tblStyle w:val="11"/>
        <w:tblW w:w="95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038"/>
        <w:gridCol w:w="811"/>
        <w:gridCol w:w="1857"/>
        <w:gridCol w:w="1075"/>
        <w:gridCol w:w="903"/>
        <w:gridCol w:w="1062"/>
        <w:gridCol w:w="955"/>
        <w:gridCol w:w="837"/>
      </w:tblGrid>
      <w:tr w14:paraId="2E54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427F6701">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1038" w:type="dxa"/>
            <w:tcBorders>
              <w:top w:val="single" w:color="auto" w:sz="4" w:space="0"/>
              <w:left w:val="single" w:color="auto" w:sz="4" w:space="0"/>
              <w:bottom w:val="single" w:color="auto" w:sz="4" w:space="0"/>
              <w:right w:val="single" w:color="auto" w:sz="4" w:space="0"/>
            </w:tcBorders>
            <w:vAlign w:val="center"/>
          </w:tcPr>
          <w:p w14:paraId="5378E79F">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设备</w:t>
            </w:r>
          </w:p>
          <w:p w14:paraId="74DE9E89">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名称</w:t>
            </w:r>
          </w:p>
        </w:tc>
        <w:tc>
          <w:tcPr>
            <w:tcW w:w="811" w:type="dxa"/>
            <w:tcBorders>
              <w:top w:val="single" w:color="auto" w:sz="4" w:space="0"/>
              <w:left w:val="single" w:color="auto" w:sz="4" w:space="0"/>
              <w:bottom w:val="single" w:color="auto" w:sz="4" w:space="0"/>
              <w:right w:val="single" w:color="auto" w:sz="4" w:space="0"/>
            </w:tcBorders>
            <w:vAlign w:val="center"/>
          </w:tcPr>
          <w:p w14:paraId="08FB4015">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品牌</w:t>
            </w:r>
          </w:p>
        </w:tc>
        <w:tc>
          <w:tcPr>
            <w:tcW w:w="1857" w:type="dxa"/>
            <w:tcBorders>
              <w:top w:val="single" w:color="auto" w:sz="4" w:space="0"/>
              <w:left w:val="single" w:color="auto" w:sz="4" w:space="0"/>
              <w:bottom w:val="single" w:color="auto" w:sz="4" w:space="0"/>
              <w:right w:val="single" w:color="auto" w:sz="4" w:space="0"/>
            </w:tcBorders>
            <w:vAlign w:val="center"/>
          </w:tcPr>
          <w:p w14:paraId="4EF5DD43">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规格型号</w:t>
            </w:r>
          </w:p>
        </w:tc>
        <w:tc>
          <w:tcPr>
            <w:tcW w:w="1075" w:type="dxa"/>
            <w:tcBorders>
              <w:top w:val="single" w:color="auto" w:sz="4" w:space="0"/>
              <w:left w:val="single" w:color="auto" w:sz="4" w:space="0"/>
              <w:bottom w:val="single" w:color="auto" w:sz="4" w:space="0"/>
              <w:right w:val="single" w:color="auto" w:sz="4" w:space="0"/>
            </w:tcBorders>
            <w:vAlign w:val="center"/>
          </w:tcPr>
          <w:p w14:paraId="74863E60">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单位</w:t>
            </w:r>
          </w:p>
        </w:tc>
        <w:tc>
          <w:tcPr>
            <w:tcW w:w="903" w:type="dxa"/>
            <w:tcBorders>
              <w:top w:val="single" w:color="auto" w:sz="4" w:space="0"/>
              <w:left w:val="single" w:color="auto" w:sz="4" w:space="0"/>
              <w:bottom w:val="single" w:color="auto" w:sz="4" w:space="0"/>
              <w:right w:val="single" w:color="auto" w:sz="4" w:space="0"/>
            </w:tcBorders>
            <w:vAlign w:val="center"/>
          </w:tcPr>
          <w:p w14:paraId="2A6D6720">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数量</w:t>
            </w:r>
          </w:p>
        </w:tc>
        <w:tc>
          <w:tcPr>
            <w:tcW w:w="1062" w:type="dxa"/>
            <w:tcBorders>
              <w:top w:val="single" w:color="auto" w:sz="4" w:space="0"/>
              <w:left w:val="single" w:color="auto" w:sz="4" w:space="0"/>
              <w:bottom w:val="single" w:color="auto" w:sz="4" w:space="0"/>
              <w:right w:val="single" w:color="auto" w:sz="4" w:space="0"/>
            </w:tcBorders>
            <w:vAlign w:val="center"/>
          </w:tcPr>
          <w:p w14:paraId="20B982EF">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单价（元）</w:t>
            </w:r>
          </w:p>
        </w:tc>
        <w:tc>
          <w:tcPr>
            <w:tcW w:w="955" w:type="dxa"/>
            <w:tcBorders>
              <w:top w:val="single" w:color="auto" w:sz="4" w:space="0"/>
              <w:left w:val="single" w:color="auto" w:sz="4" w:space="0"/>
              <w:bottom w:val="single" w:color="auto" w:sz="4" w:space="0"/>
              <w:right w:val="single" w:color="auto" w:sz="4" w:space="0"/>
            </w:tcBorders>
            <w:vAlign w:val="center"/>
          </w:tcPr>
          <w:p w14:paraId="53913681">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合价（元）</w:t>
            </w:r>
          </w:p>
        </w:tc>
        <w:tc>
          <w:tcPr>
            <w:tcW w:w="837" w:type="dxa"/>
            <w:tcBorders>
              <w:top w:val="single" w:color="auto" w:sz="4" w:space="0"/>
              <w:left w:val="single" w:color="auto" w:sz="4" w:space="0"/>
              <w:bottom w:val="single" w:color="auto" w:sz="4" w:space="0"/>
              <w:right w:val="single" w:color="auto" w:sz="4" w:space="0"/>
            </w:tcBorders>
            <w:vAlign w:val="center"/>
          </w:tcPr>
          <w:p w14:paraId="0A2A6B5E">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备注</w:t>
            </w:r>
          </w:p>
        </w:tc>
      </w:tr>
      <w:tr w14:paraId="410D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32C63FD4">
            <w:pPr>
              <w:spacing w:line="420" w:lineRule="exact"/>
              <w:rPr>
                <w:rFonts w:hint="eastAsia" w:ascii="宋体" w:hAnsi="宋体" w:eastAsia="宋体" w:cs="宋体"/>
                <w:sz w:val="24"/>
                <w:szCs w:val="24"/>
              </w:rPr>
            </w:pPr>
            <w:r>
              <w:rPr>
                <w:rFonts w:hint="eastAsia" w:ascii="宋体" w:hAnsi="宋体" w:eastAsia="宋体" w:cs="宋体"/>
                <w:sz w:val="24"/>
                <w:szCs w:val="24"/>
              </w:rPr>
              <w:t>1</w:t>
            </w:r>
          </w:p>
        </w:tc>
        <w:tc>
          <w:tcPr>
            <w:tcW w:w="1038" w:type="dxa"/>
            <w:tcBorders>
              <w:top w:val="single" w:color="auto" w:sz="4" w:space="0"/>
              <w:left w:val="single" w:color="auto" w:sz="4" w:space="0"/>
              <w:bottom w:val="single" w:color="auto" w:sz="4" w:space="0"/>
              <w:right w:val="single" w:color="auto" w:sz="4" w:space="0"/>
            </w:tcBorders>
            <w:vAlign w:val="center"/>
          </w:tcPr>
          <w:p w14:paraId="44A73089">
            <w:pPr>
              <w:spacing w:line="420" w:lineRule="exact"/>
              <w:rPr>
                <w:rFonts w:hint="eastAsia" w:ascii="宋体" w:hAnsi="宋体" w:eastAsia="宋体" w:cs="宋体"/>
                <w:sz w:val="24"/>
                <w:szCs w:val="24"/>
              </w:rPr>
            </w:pPr>
          </w:p>
        </w:tc>
        <w:tc>
          <w:tcPr>
            <w:tcW w:w="811" w:type="dxa"/>
            <w:tcBorders>
              <w:top w:val="single" w:color="auto" w:sz="4" w:space="0"/>
              <w:left w:val="single" w:color="auto" w:sz="4" w:space="0"/>
              <w:bottom w:val="single" w:color="auto" w:sz="4" w:space="0"/>
              <w:right w:val="single" w:color="auto" w:sz="4" w:space="0"/>
            </w:tcBorders>
            <w:vAlign w:val="center"/>
          </w:tcPr>
          <w:p w14:paraId="5D8179C4">
            <w:pPr>
              <w:spacing w:line="420" w:lineRule="exact"/>
              <w:rPr>
                <w:rFonts w:hint="eastAsia" w:ascii="宋体" w:hAnsi="宋体" w:eastAsia="宋体" w:cs="宋体"/>
                <w:sz w:val="24"/>
                <w:szCs w:val="24"/>
              </w:rPr>
            </w:pPr>
          </w:p>
        </w:tc>
        <w:tc>
          <w:tcPr>
            <w:tcW w:w="1857" w:type="dxa"/>
            <w:tcBorders>
              <w:top w:val="single" w:color="auto" w:sz="4" w:space="0"/>
              <w:left w:val="single" w:color="auto" w:sz="4" w:space="0"/>
              <w:bottom w:val="single" w:color="auto" w:sz="4" w:space="0"/>
              <w:right w:val="single" w:color="auto" w:sz="4" w:space="0"/>
            </w:tcBorders>
            <w:vAlign w:val="center"/>
          </w:tcPr>
          <w:p w14:paraId="486DEAD0">
            <w:pPr>
              <w:spacing w:line="420" w:lineRule="exact"/>
              <w:rPr>
                <w:rFonts w:hint="eastAsia" w:ascii="宋体" w:hAnsi="宋体" w:eastAsia="宋体" w:cs="宋体"/>
                <w:sz w:val="24"/>
                <w:szCs w:val="24"/>
              </w:rPr>
            </w:pPr>
          </w:p>
        </w:tc>
        <w:tc>
          <w:tcPr>
            <w:tcW w:w="1075" w:type="dxa"/>
            <w:tcBorders>
              <w:top w:val="single" w:color="auto" w:sz="4" w:space="0"/>
              <w:left w:val="single" w:color="auto" w:sz="4" w:space="0"/>
              <w:bottom w:val="single" w:color="auto" w:sz="4" w:space="0"/>
              <w:right w:val="single" w:color="auto" w:sz="4" w:space="0"/>
            </w:tcBorders>
            <w:vAlign w:val="center"/>
          </w:tcPr>
          <w:p w14:paraId="1D9DB0DA">
            <w:pPr>
              <w:spacing w:line="420" w:lineRule="exact"/>
              <w:rPr>
                <w:rFonts w:hint="eastAsia" w:ascii="宋体" w:hAnsi="宋体" w:eastAsia="宋体" w:cs="宋体"/>
                <w:sz w:val="24"/>
                <w:szCs w:val="24"/>
              </w:rPr>
            </w:pPr>
          </w:p>
        </w:tc>
        <w:tc>
          <w:tcPr>
            <w:tcW w:w="903" w:type="dxa"/>
            <w:tcBorders>
              <w:top w:val="single" w:color="auto" w:sz="4" w:space="0"/>
              <w:left w:val="single" w:color="auto" w:sz="4" w:space="0"/>
              <w:bottom w:val="single" w:color="auto" w:sz="4" w:space="0"/>
              <w:right w:val="single" w:color="auto" w:sz="4" w:space="0"/>
            </w:tcBorders>
            <w:vAlign w:val="center"/>
          </w:tcPr>
          <w:p w14:paraId="7EA26F63">
            <w:pPr>
              <w:spacing w:line="420" w:lineRule="exact"/>
              <w:rPr>
                <w:rFonts w:hint="eastAsia" w:ascii="宋体" w:hAnsi="宋体" w:eastAsia="宋体" w:cs="宋体"/>
                <w:sz w:val="24"/>
                <w:szCs w:val="24"/>
              </w:rPr>
            </w:pPr>
          </w:p>
        </w:tc>
        <w:tc>
          <w:tcPr>
            <w:tcW w:w="1062" w:type="dxa"/>
            <w:tcBorders>
              <w:top w:val="single" w:color="auto" w:sz="4" w:space="0"/>
              <w:left w:val="single" w:color="auto" w:sz="4" w:space="0"/>
              <w:bottom w:val="single" w:color="auto" w:sz="4" w:space="0"/>
              <w:right w:val="single" w:color="auto" w:sz="4" w:space="0"/>
            </w:tcBorders>
            <w:vAlign w:val="center"/>
          </w:tcPr>
          <w:p w14:paraId="27147006">
            <w:pPr>
              <w:spacing w:line="420" w:lineRule="exact"/>
              <w:rPr>
                <w:rFonts w:hint="eastAsia" w:ascii="宋体" w:hAnsi="宋体" w:eastAsia="宋体" w:cs="宋体"/>
                <w:sz w:val="24"/>
                <w:szCs w:val="24"/>
              </w:rPr>
            </w:pPr>
          </w:p>
        </w:tc>
        <w:tc>
          <w:tcPr>
            <w:tcW w:w="955" w:type="dxa"/>
            <w:tcBorders>
              <w:top w:val="single" w:color="auto" w:sz="4" w:space="0"/>
              <w:left w:val="single" w:color="auto" w:sz="4" w:space="0"/>
              <w:bottom w:val="single" w:color="auto" w:sz="4" w:space="0"/>
              <w:right w:val="single" w:color="auto" w:sz="4" w:space="0"/>
            </w:tcBorders>
          </w:tcPr>
          <w:p w14:paraId="01967B80">
            <w:pPr>
              <w:spacing w:line="420" w:lineRule="exact"/>
              <w:rPr>
                <w:rFonts w:hint="eastAsia" w:ascii="宋体" w:hAnsi="宋体" w:eastAsia="宋体" w:cs="宋体"/>
                <w:sz w:val="24"/>
                <w:szCs w:val="24"/>
              </w:rPr>
            </w:pPr>
          </w:p>
        </w:tc>
        <w:tc>
          <w:tcPr>
            <w:tcW w:w="837" w:type="dxa"/>
            <w:tcBorders>
              <w:top w:val="single" w:color="auto" w:sz="4" w:space="0"/>
              <w:left w:val="single" w:color="auto" w:sz="4" w:space="0"/>
              <w:bottom w:val="single" w:color="auto" w:sz="4" w:space="0"/>
              <w:right w:val="single" w:color="auto" w:sz="4" w:space="0"/>
            </w:tcBorders>
          </w:tcPr>
          <w:p w14:paraId="67C9D665">
            <w:pPr>
              <w:spacing w:line="420" w:lineRule="exact"/>
              <w:rPr>
                <w:rFonts w:hint="eastAsia" w:ascii="宋体" w:hAnsi="宋体" w:eastAsia="宋体" w:cs="宋体"/>
                <w:sz w:val="24"/>
                <w:szCs w:val="24"/>
              </w:rPr>
            </w:pPr>
          </w:p>
        </w:tc>
      </w:tr>
      <w:tr w14:paraId="2950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37D1285A">
            <w:pPr>
              <w:spacing w:line="420" w:lineRule="exact"/>
              <w:rPr>
                <w:rFonts w:hint="eastAsia" w:ascii="宋体" w:hAnsi="宋体" w:eastAsia="宋体" w:cs="宋体"/>
                <w:sz w:val="24"/>
                <w:szCs w:val="24"/>
              </w:rPr>
            </w:pPr>
            <w:r>
              <w:rPr>
                <w:rFonts w:hint="eastAsia" w:ascii="宋体" w:hAnsi="宋体" w:eastAsia="宋体" w:cs="宋体"/>
                <w:sz w:val="24"/>
                <w:szCs w:val="24"/>
              </w:rPr>
              <w:t>2</w:t>
            </w:r>
          </w:p>
        </w:tc>
        <w:tc>
          <w:tcPr>
            <w:tcW w:w="1038" w:type="dxa"/>
            <w:tcBorders>
              <w:top w:val="single" w:color="auto" w:sz="4" w:space="0"/>
              <w:left w:val="single" w:color="auto" w:sz="4" w:space="0"/>
              <w:bottom w:val="single" w:color="auto" w:sz="4" w:space="0"/>
              <w:right w:val="single" w:color="auto" w:sz="4" w:space="0"/>
            </w:tcBorders>
            <w:vAlign w:val="center"/>
          </w:tcPr>
          <w:p w14:paraId="37877241">
            <w:pPr>
              <w:spacing w:line="420" w:lineRule="exact"/>
              <w:rPr>
                <w:rFonts w:hint="eastAsia" w:ascii="宋体" w:hAnsi="宋体" w:eastAsia="宋体" w:cs="宋体"/>
                <w:sz w:val="24"/>
                <w:szCs w:val="24"/>
              </w:rPr>
            </w:pPr>
          </w:p>
        </w:tc>
        <w:tc>
          <w:tcPr>
            <w:tcW w:w="811" w:type="dxa"/>
            <w:tcBorders>
              <w:top w:val="single" w:color="auto" w:sz="4" w:space="0"/>
              <w:left w:val="single" w:color="auto" w:sz="4" w:space="0"/>
              <w:bottom w:val="single" w:color="auto" w:sz="4" w:space="0"/>
              <w:right w:val="single" w:color="auto" w:sz="4" w:space="0"/>
            </w:tcBorders>
            <w:vAlign w:val="center"/>
          </w:tcPr>
          <w:p w14:paraId="47E0FD07">
            <w:pPr>
              <w:spacing w:line="420" w:lineRule="exact"/>
              <w:rPr>
                <w:rFonts w:hint="eastAsia" w:ascii="宋体" w:hAnsi="宋体" w:eastAsia="宋体" w:cs="宋体"/>
                <w:sz w:val="24"/>
                <w:szCs w:val="24"/>
              </w:rPr>
            </w:pPr>
          </w:p>
        </w:tc>
        <w:tc>
          <w:tcPr>
            <w:tcW w:w="1857" w:type="dxa"/>
            <w:tcBorders>
              <w:top w:val="single" w:color="auto" w:sz="4" w:space="0"/>
              <w:left w:val="single" w:color="auto" w:sz="4" w:space="0"/>
              <w:bottom w:val="single" w:color="auto" w:sz="4" w:space="0"/>
              <w:right w:val="single" w:color="auto" w:sz="4" w:space="0"/>
            </w:tcBorders>
            <w:vAlign w:val="center"/>
          </w:tcPr>
          <w:p w14:paraId="1BD05694">
            <w:pPr>
              <w:spacing w:line="420" w:lineRule="exact"/>
              <w:rPr>
                <w:rFonts w:hint="eastAsia" w:ascii="宋体" w:hAnsi="宋体" w:eastAsia="宋体" w:cs="宋体"/>
                <w:sz w:val="24"/>
                <w:szCs w:val="24"/>
              </w:rPr>
            </w:pPr>
          </w:p>
        </w:tc>
        <w:tc>
          <w:tcPr>
            <w:tcW w:w="1075" w:type="dxa"/>
            <w:tcBorders>
              <w:top w:val="single" w:color="auto" w:sz="4" w:space="0"/>
              <w:left w:val="single" w:color="auto" w:sz="4" w:space="0"/>
              <w:bottom w:val="single" w:color="auto" w:sz="4" w:space="0"/>
              <w:right w:val="single" w:color="auto" w:sz="4" w:space="0"/>
            </w:tcBorders>
            <w:vAlign w:val="center"/>
          </w:tcPr>
          <w:p w14:paraId="306B1467">
            <w:pPr>
              <w:spacing w:line="420" w:lineRule="exact"/>
              <w:rPr>
                <w:rFonts w:hint="eastAsia" w:ascii="宋体" w:hAnsi="宋体" w:eastAsia="宋体" w:cs="宋体"/>
                <w:sz w:val="24"/>
                <w:szCs w:val="24"/>
              </w:rPr>
            </w:pPr>
          </w:p>
        </w:tc>
        <w:tc>
          <w:tcPr>
            <w:tcW w:w="903" w:type="dxa"/>
            <w:tcBorders>
              <w:top w:val="single" w:color="auto" w:sz="4" w:space="0"/>
              <w:left w:val="single" w:color="auto" w:sz="4" w:space="0"/>
              <w:bottom w:val="single" w:color="auto" w:sz="4" w:space="0"/>
              <w:right w:val="single" w:color="auto" w:sz="4" w:space="0"/>
            </w:tcBorders>
            <w:vAlign w:val="center"/>
          </w:tcPr>
          <w:p w14:paraId="1BC9250F">
            <w:pPr>
              <w:spacing w:line="420" w:lineRule="exact"/>
              <w:rPr>
                <w:rFonts w:hint="eastAsia" w:ascii="宋体" w:hAnsi="宋体" w:eastAsia="宋体" w:cs="宋体"/>
                <w:sz w:val="24"/>
                <w:szCs w:val="24"/>
              </w:rPr>
            </w:pPr>
          </w:p>
        </w:tc>
        <w:tc>
          <w:tcPr>
            <w:tcW w:w="1062" w:type="dxa"/>
            <w:tcBorders>
              <w:top w:val="single" w:color="auto" w:sz="4" w:space="0"/>
              <w:left w:val="single" w:color="auto" w:sz="4" w:space="0"/>
              <w:bottom w:val="single" w:color="auto" w:sz="4" w:space="0"/>
              <w:right w:val="single" w:color="auto" w:sz="4" w:space="0"/>
            </w:tcBorders>
            <w:vAlign w:val="center"/>
          </w:tcPr>
          <w:p w14:paraId="1E97004F">
            <w:pPr>
              <w:spacing w:line="420" w:lineRule="exact"/>
              <w:rPr>
                <w:rFonts w:hint="eastAsia" w:ascii="宋体" w:hAnsi="宋体" w:eastAsia="宋体" w:cs="宋体"/>
                <w:sz w:val="24"/>
                <w:szCs w:val="24"/>
              </w:rPr>
            </w:pPr>
          </w:p>
        </w:tc>
        <w:tc>
          <w:tcPr>
            <w:tcW w:w="955" w:type="dxa"/>
            <w:tcBorders>
              <w:top w:val="single" w:color="auto" w:sz="4" w:space="0"/>
              <w:left w:val="single" w:color="auto" w:sz="4" w:space="0"/>
              <w:bottom w:val="single" w:color="auto" w:sz="4" w:space="0"/>
              <w:right w:val="single" w:color="auto" w:sz="4" w:space="0"/>
            </w:tcBorders>
          </w:tcPr>
          <w:p w14:paraId="090C8B69">
            <w:pPr>
              <w:spacing w:line="420" w:lineRule="exact"/>
              <w:rPr>
                <w:rFonts w:hint="eastAsia" w:ascii="宋体" w:hAnsi="宋体" w:eastAsia="宋体" w:cs="宋体"/>
                <w:sz w:val="24"/>
                <w:szCs w:val="24"/>
              </w:rPr>
            </w:pPr>
          </w:p>
        </w:tc>
        <w:tc>
          <w:tcPr>
            <w:tcW w:w="837" w:type="dxa"/>
            <w:tcBorders>
              <w:top w:val="single" w:color="auto" w:sz="4" w:space="0"/>
              <w:left w:val="single" w:color="auto" w:sz="4" w:space="0"/>
              <w:bottom w:val="single" w:color="auto" w:sz="4" w:space="0"/>
              <w:right w:val="single" w:color="auto" w:sz="4" w:space="0"/>
            </w:tcBorders>
          </w:tcPr>
          <w:p w14:paraId="2B81E893">
            <w:pPr>
              <w:spacing w:line="420" w:lineRule="exact"/>
              <w:rPr>
                <w:rFonts w:hint="eastAsia" w:ascii="宋体" w:hAnsi="宋体" w:eastAsia="宋体" w:cs="宋体"/>
                <w:sz w:val="24"/>
                <w:szCs w:val="24"/>
              </w:rPr>
            </w:pPr>
          </w:p>
        </w:tc>
      </w:tr>
      <w:tr w14:paraId="0128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02E815ED">
            <w:pPr>
              <w:spacing w:line="420" w:lineRule="exact"/>
              <w:rPr>
                <w:rFonts w:hint="eastAsia" w:ascii="宋体" w:hAnsi="宋体" w:eastAsia="宋体" w:cs="宋体"/>
                <w:sz w:val="24"/>
                <w:szCs w:val="24"/>
              </w:rPr>
            </w:pPr>
            <w:r>
              <w:rPr>
                <w:rFonts w:hint="eastAsia" w:ascii="宋体" w:hAnsi="宋体" w:eastAsia="宋体" w:cs="宋体"/>
                <w:sz w:val="24"/>
                <w:szCs w:val="24"/>
              </w:rPr>
              <w:t>3</w:t>
            </w:r>
          </w:p>
        </w:tc>
        <w:tc>
          <w:tcPr>
            <w:tcW w:w="1038" w:type="dxa"/>
            <w:tcBorders>
              <w:top w:val="single" w:color="auto" w:sz="4" w:space="0"/>
              <w:left w:val="single" w:color="auto" w:sz="4" w:space="0"/>
              <w:bottom w:val="single" w:color="auto" w:sz="4" w:space="0"/>
              <w:right w:val="single" w:color="auto" w:sz="4" w:space="0"/>
            </w:tcBorders>
            <w:vAlign w:val="center"/>
          </w:tcPr>
          <w:p w14:paraId="247A2120">
            <w:pPr>
              <w:spacing w:line="420" w:lineRule="exact"/>
              <w:rPr>
                <w:rFonts w:hint="eastAsia" w:ascii="宋体" w:hAnsi="宋体" w:eastAsia="宋体" w:cs="宋体"/>
                <w:sz w:val="24"/>
                <w:szCs w:val="24"/>
              </w:rPr>
            </w:pPr>
          </w:p>
        </w:tc>
        <w:tc>
          <w:tcPr>
            <w:tcW w:w="811" w:type="dxa"/>
            <w:tcBorders>
              <w:top w:val="single" w:color="auto" w:sz="4" w:space="0"/>
              <w:left w:val="single" w:color="auto" w:sz="4" w:space="0"/>
              <w:bottom w:val="single" w:color="auto" w:sz="4" w:space="0"/>
              <w:right w:val="single" w:color="auto" w:sz="4" w:space="0"/>
            </w:tcBorders>
            <w:vAlign w:val="center"/>
          </w:tcPr>
          <w:p w14:paraId="6E2F3F3C">
            <w:pPr>
              <w:spacing w:line="420" w:lineRule="exact"/>
              <w:rPr>
                <w:rFonts w:hint="eastAsia" w:ascii="宋体" w:hAnsi="宋体" w:eastAsia="宋体" w:cs="宋体"/>
                <w:sz w:val="24"/>
                <w:szCs w:val="24"/>
              </w:rPr>
            </w:pPr>
          </w:p>
        </w:tc>
        <w:tc>
          <w:tcPr>
            <w:tcW w:w="1857" w:type="dxa"/>
            <w:tcBorders>
              <w:top w:val="single" w:color="auto" w:sz="4" w:space="0"/>
              <w:left w:val="single" w:color="auto" w:sz="4" w:space="0"/>
              <w:bottom w:val="single" w:color="auto" w:sz="4" w:space="0"/>
              <w:right w:val="single" w:color="auto" w:sz="4" w:space="0"/>
            </w:tcBorders>
            <w:vAlign w:val="center"/>
          </w:tcPr>
          <w:p w14:paraId="38CF22E4">
            <w:pPr>
              <w:spacing w:line="420" w:lineRule="exact"/>
              <w:rPr>
                <w:rFonts w:hint="eastAsia" w:ascii="宋体" w:hAnsi="宋体" w:eastAsia="宋体" w:cs="宋体"/>
                <w:sz w:val="24"/>
                <w:szCs w:val="24"/>
              </w:rPr>
            </w:pPr>
          </w:p>
        </w:tc>
        <w:tc>
          <w:tcPr>
            <w:tcW w:w="1075" w:type="dxa"/>
            <w:tcBorders>
              <w:top w:val="single" w:color="auto" w:sz="4" w:space="0"/>
              <w:left w:val="single" w:color="auto" w:sz="4" w:space="0"/>
              <w:bottom w:val="single" w:color="auto" w:sz="4" w:space="0"/>
              <w:right w:val="single" w:color="auto" w:sz="4" w:space="0"/>
            </w:tcBorders>
            <w:vAlign w:val="center"/>
          </w:tcPr>
          <w:p w14:paraId="5CA254E7">
            <w:pPr>
              <w:spacing w:line="420" w:lineRule="exact"/>
              <w:rPr>
                <w:rFonts w:hint="eastAsia" w:ascii="宋体" w:hAnsi="宋体" w:eastAsia="宋体" w:cs="宋体"/>
                <w:sz w:val="24"/>
                <w:szCs w:val="24"/>
              </w:rPr>
            </w:pPr>
          </w:p>
        </w:tc>
        <w:tc>
          <w:tcPr>
            <w:tcW w:w="903" w:type="dxa"/>
            <w:tcBorders>
              <w:top w:val="single" w:color="auto" w:sz="4" w:space="0"/>
              <w:left w:val="single" w:color="auto" w:sz="4" w:space="0"/>
              <w:bottom w:val="single" w:color="auto" w:sz="4" w:space="0"/>
              <w:right w:val="single" w:color="auto" w:sz="4" w:space="0"/>
            </w:tcBorders>
            <w:vAlign w:val="center"/>
          </w:tcPr>
          <w:p w14:paraId="7AE49CE2">
            <w:pPr>
              <w:spacing w:line="420" w:lineRule="exact"/>
              <w:rPr>
                <w:rFonts w:hint="eastAsia" w:ascii="宋体" w:hAnsi="宋体" w:eastAsia="宋体" w:cs="宋体"/>
                <w:sz w:val="24"/>
                <w:szCs w:val="24"/>
              </w:rPr>
            </w:pPr>
          </w:p>
        </w:tc>
        <w:tc>
          <w:tcPr>
            <w:tcW w:w="1062" w:type="dxa"/>
            <w:tcBorders>
              <w:top w:val="single" w:color="auto" w:sz="4" w:space="0"/>
              <w:left w:val="single" w:color="auto" w:sz="4" w:space="0"/>
              <w:bottom w:val="single" w:color="auto" w:sz="4" w:space="0"/>
              <w:right w:val="single" w:color="auto" w:sz="4" w:space="0"/>
            </w:tcBorders>
            <w:vAlign w:val="center"/>
          </w:tcPr>
          <w:p w14:paraId="05CF1886">
            <w:pPr>
              <w:spacing w:line="420" w:lineRule="exact"/>
              <w:rPr>
                <w:rFonts w:hint="eastAsia" w:ascii="宋体" w:hAnsi="宋体" w:eastAsia="宋体" w:cs="宋体"/>
                <w:sz w:val="24"/>
                <w:szCs w:val="24"/>
              </w:rPr>
            </w:pPr>
          </w:p>
        </w:tc>
        <w:tc>
          <w:tcPr>
            <w:tcW w:w="955" w:type="dxa"/>
            <w:tcBorders>
              <w:top w:val="single" w:color="auto" w:sz="4" w:space="0"/>
              <w:left w:val="single" w:color="auto" w:sz="4" w:space="0"/>
              <w:bottom w:val="single" w:color="auto" w:sz="4" w:space="0"/>
              <w:right w:val="single" w:color="auto" w:sz="4" w:space="0"/>
            </w:tcBorders>
          </w:tcPr>
          <w:p w14:paraId="031E3654">
            <w:pPr>
              <w:spacing w:line="420" w:lineRule="exact"/>
              <w:rPr>
                <w:rFonts w:hint="eastAsia" w:ascii="宋体" w:hAnsi="宋体" w:eastAsia="宋体" w:cs="宋体"/>
                <w:sz w:val="24"/>
                <w:szCs w:val="24"/>
              </w:rPr>
            </w:pPr>
          </w:p>
        </w:tc>
        <w:tc>
          <w:tcPr>
            <w:tcW w:w="837" w:type="dxa"/>
            <w:tcBorders>
              <w:top w:val="single" w:color="auto" w:sz="4" w:space="0"/>
              <w:left w:val="single" w:color="auto" w:sz="4" w:space="0"/>
              <w:bottom w:val="single" w:color="auto" w:sz="4" w:space="0"/>
              <w:right w:val="single" w:color="auto" w:sz="4" w:space="0"/>
            </w:tcBorders>
          </w:tcPr>
          <w:p w14:paraId="4A886000">
            <w:pPr>
              <w:spacing w:line="420" w:lineRule="exact"/>
              <w:rPr>
                <w:rFonts w:hint="eastAsia" w:ascii="宋体" w:hAnsi="宋体" w:eastAsia="宋体" w:cs="宋体"/>
                <w:sz w:val="24"/>
                <w:szCs w:val="24"/>
              </w:rPr>
            </w:pPr>
          </w:p>
        </w:tc>
      </w:tr>
      <w:tr w14:paraId="1106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6233C3A1">
            <w:pPr>
              <w:spacing w:line="420" w:lineRule="exact"/>
              <w:rPr>
                <w:rFonts w:hint="eastAsia" w:ascii="宋体" w:hAnsi="宋体" w:eastAsia="宋体" w:cs="宋体"/>
                <w:sz w:val="24"/>
                <w:szCs w:val="24"/>
              </w:rPr>
            </w:pPr>
            <w:r>
              <w:rPr>
                <w:rFonts w:hint="eastAsia" w:ascii="宋体" w:hAnsi="宋体" w:eastAsia="宋体" w:cs="宋体"/>
                <w:sz w:val="24"/>
                <w:szCs w:val="24"/>
              </w:rPr>
              <w:t>4</w:t>
            </w:r>
          </w:p>
        </w:tc>
        <w:tc>
          <w:tcPr>
            <w:tcW w:w="1038" w:type="dxa"/>
            <w:tcBorders>
              <w:top w:val="single" w:color="auto" w:sz="4" w:space="0"/>
              <w:left w:val="single" w:color="auto" w:sz="4" w:space="0"/>
              <w:bottom w:val="single" w:color="auto" w:sz="4" w:space="0"/>
              <w:right w:val="single" w:color="auto" w:sz="4" w:space="0"/>
            </w:tcBorders>
            <w:vAlign w:val="center"/>
          </w:tcPr>
          <w:p w14:paraId="323656BD">
            <w:pPr>
              <w:spacing w:line="420" w:lineRule="exact"/>
              <w:rPr>
                <w:rFonts w:hint="eastAsia" w:ascii="宋体" w:hAnsi="宋体" w:eastAsia="宋体" w:cs="宋体"/>
                <w:sz w:val="24"/>
                <w:szCs w:val="24"/>
              </w:rPr>
            </w:pPr>
          </w:p>
        </w:tc>
        <w:tc>
          <w:tcPr>
            <w:tcW w:w="811" w:type="dxa"/>
            <w:tcBorders>
              <w:top w:val="single" w:color="auto" w:sz="4" w:space="0"/>
              <w:left w:val="single" w:color="auto" w:sz="4" w:space="0"/>
              <w:bottom w:val="single" w:color="auto" w:sz="4" w:space="0"/>
              <w:right w:val="single" w:color="auto" w:sz="4" w:space="0"/>
            </w:tcBorders>
            <w:vAlign w:val="center"/>
          </w:tcPr>
          <w:p w14:paraId="26C0D61C">
            <w:pPr>
              <w:spacing w:line="420" w:lineRule="exact"/>
              <w:rPr>
                <w:rFonts w:hint="eastAsia" w:ascii="宋体" w:hAnsi="宋体" w:eastAsia="宋体" w:cs="宋体"/>
                <w:sz w:val="24"/>
                <w:szCs w:val="24"/>
              </w:rPr>
            </w:pPr>
          </w:p>
        </w:tc>
        <w:tc>
          <w:tcPr>
            <w:tcW w:w="1857" w:type="dxa"/>
            <w:tcBorders>
              <w:top w:val="single" w:color="auto" w:sz="4" w:space="0"/>
              <w:left w:val="single" w:color="auto" w:sz="4" w:space="0"/>
              <w:bottom w:val="single" w:color="auto" w:sz="4" w:space="0"/>
              <w:right w:val="single" w:color="auto" w:sz="4" w:space="0"/>
            </w:tcBorders>
            <w:vAlign w:val="center"/>
          </w:tcPr>
          <w:p w14:paraId="219DCE52">
            <w:pPr>
              <w:spacing w:line="420" w:lineRule="exact"/>
              <w:rPr>
                <w:rFonts w:hint="eastAsia" w:ascii="宋体" w:hAnsi="宋体" w:eastAsia="宋体" w:cs="宋体"/>
                <w:sz w:val="24"/>
                <w:szCs w:val="24"/>
              </w:rPr>
            </w:pPr>
          </w:p>
        </w:tc>
        <w:tc>
          <w:tcPr>
            <w:tcW w:w="1075" w:type="dxa"/>
            <w:tcBorders>
              <w:top w:val="single" w:color="auto" w:sz="4" w:space="0"/>
              <w:left w:val="single" w:color="auto" w:sz="4" w:space="0"/>
              <w:bottom w:val="single" w:color="auto" w:sz="4" w:space="0"/>
              <w:right w:val="single" w:color="auto" w:sz="4" w:space="0"/>
            </w:tcBorders>
            <w:vAlign w:val="center"/>
          </w:tcPr>
          <w:p w14:paraId="003D7627">
            <w:pPr>
              <w:spacing w:line="420" w:lineRule="exact"/>
              <w:rPr>
                <w:rFonts w:hint="eastAsia" w:ascii="宋体" w:hAnsi="宋体" w:eastAsia="宋体" w:cs="宋体"/>
                <w:sz w:val="24"/>
                <w:szCs w:val="24"/>
              </w:rPr>
            </w:pPr>
          </w:p>
        </w:tc>
        <w:tc>
          <w:tcPr>
            <w:tcW w:w="903" w:type="dxa"/>
            <w:tcBorders>
              <w:top w:val="single" w:color="auto" w:sz="4" w:space="0"/>
              <w:left w:val="single" w:color="auto" w:sz="4" w:space="0"/>
              <w:bottom w:val="single" w:color="auto" w:sz="4" w:space="0"/>
              <w:right w:val="single" w:color="auto" w:sz="4" w:space="0"/>
            </w:tcBorders>
            <w:vAlign w:val="center"/>
          </w:tcPr>
          <w:p w14:paraId="22105F0C">
            <w:pPr>
              <w:spacing w:line="420" w:lineRule="exact"/>
              <w:rPr>
                <w:rFonts w:hint="eastAsia" w:ascii="宋体" w:hAnsi="宋体" w:eastAsia="宋体" w:cs="宋体"/>
                <w:sz w:val="24"/>
                <w:szCs w:val="24"/>
              </w:rPr>
            </w:pPr>
          </w:p>
        </w:tc>
        <w:tc>
          <w:tcPr>
            <w:tcW w:w="1062" w:type="dxa"/>
            <w:tcBorders>
              <w:top w:val="single" w:color="auto" w:sz="4" w:space="0"/>
              <w:left w:val="single" w:color="auto" w:sz="4" w:space="0"/>
              <w:bottom w:val="single" w:color="auto" w:sz="4" w:space="0"/>
              <w:right w:val="single" w:color="auto" w:sz="4" w:space="0"/>
            </w:tcBorders>
            <w:vAlign w:val="center"/>
          </w:tcPr>
          <w:p w14:paraId="42AF34F1">
            <w:pPr>
              <w:spacing w:line="420" w:lineRule="exact"/>
              <w:rPr>
                <w:rFonts w:hint="eastAsia" w:ascii="宋体" w:hAnsi="宋体" w:eastAsia="宋体" w:cs="宋体"/>
                <w:sz w:val="24"/>
                <w:szCs w:val="24"/>
              </w:rPr>
            </w:pPr>
          </w:p>
        </w:tc>
        <w:tc>
          <w:tcPr>
            <w:tcW w:w="955" w:type="dxa"/>
            <w:tcBorders>
              <w:top w:val="single" w:color="auto" w:sz="4" w:space="0"/>
              <w:left w:val="single" w:color="auto" w:sz="4" w:space="0"/>
              <w:bottom w:val="single" w:color="auto" w:sz="4" w:space="0"/>
              <w:right w:val="single" w:color="auto" w:sz="4" w:space="0"/>
            </w:tcBorders>
          </w:tcPr>
          <w:p w14:paraId="7C37491C">
            <w:pPr>
              <w:spacing w:line="420" w:lineRule="exact"/>
              <w:rPr>
                <w:rFonts w:hint="eastAsia" w:ascii="宋体" w:hAnsi="宋体" w:eastAsia="宋体" w:cs="宋体"/>
                <w:sz w:val="24"/>
                <w:szCs w:val="24"/>
              </w:rPr>
            </w:pPr>
          </w:p>
        </w:tc>
        <w:tc>
          <w:tcPr>
            <w:tcW w:w="837" w:type="dxa"/>
            <w:tcBorders>
              <w:top w:val="single" w:color="auto" w:sz="4" w:space="0"/>
              <w:left w:val="single" w:color="auto" w:sz="4" w:space="0"/>
              <w:bottom w:val="single" w:color="auto" w:sz="4" w:space="0"/>
              <w:right w:val="single" w:color="auto" w:sz="4" w:space="0"/>
            </w:tcBorders>
          </w:tcPr>
          <w:p w14:paraId="3650FFF2">
            <w:pPr>
              <w:spacing w:line="420" w:lineRule="exact"/>
              <w:rPr>
                <w:rFonts w:hint="eastAsia" w:ascii="宋体" w:hAnsi="宋体" w:eastAsia="宋体" w:cs="宋体"/>
                <w:sz w:val="24"/>
                <w:szCs w:val="24"/>
              </w:rPr>
            </w:pPr>
          </w:p>
        </w:tc>
      </w:tr>
      <w:tr w14:paraId="4FD7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1010" w:type="dxa"/>
            <w:tcBorders>
              <w:top w:val="single" w:color="auto" w:sz="4" w:space="0"/>
              <w:left w:val="single" w:color="auto" w:sz="4" w:space="0"/>
              <w:bottom w:val="single" w:color="auto" w:sz="4" w:space="0"/>
              <w:right w:val="single" w:color="auto" w:sz="4" w:space="0"/>
            </w:tcBorders>
            <w:vAlign w:val="center"/>
          </w:tcPr>
          <w:p w14:paraId="694EB193">
            <w:pPr>
              <w:spacing w:line="420" w:lineRule="exact"/>
              <w:rPr>
                <w:rFonts w:hint="eastAsia" w:ascii="宋体" w:hAnsi="宋体" w:eastAsia="宋体" w:cs="宋体"/>
                <w:sz w:val="24"/>
                <w:szCs w:val="24"/>
              </w:rPr>
            </w:pPr>
            <w:r>
              <w:rPr>
                <w:rFonts w:hint="eastAsia" w:ascii="宋体" w:hAnsi="宋体" w:eastAsia="宋体" w:cs="宋体"/>
                <w:sz w:val="24"/>
                <w:szCs w:val="24"/>
              </w:rPr>
              <w:t>…</w:t>
            </w:r>
          </w:p>
        </w:tc>
        <w:tc>
          <w:tcPr>
            <w:tcW w:w="1038" w:type="dxa"/>
            <w:tcBorders>
              <w:top w:val="single" w:color="auto" w:sz="4" w:space="0"/>
              <w:left w:val="single" w:color="auto" w:sz="4" w:space="0"/>
              <w:bottom w:val="single" w:color="auto" w:sz="4" w:space="0"/>
              <w:right w:val="single" w:color="auto" w:sz="4" w:space="0"/>
            </w:tcBorders>
            <w:vAlign w:val="center"/>
          </w:tcPr>
          <w:p w14:paraId="12F86087">
            <w:pPr>
              <w:spacing w:line="420" w:lineRule="exact"/>
              <w:rPr>
                <w:rFonts w:hint="eastAsia" w:ascii="宋体" w:hAnsi="宋体" w:eastAsia="宋体" w:cs="宋体"/>
                <w:sz w:val="24"/>
                <w:szCs w:val="24"/>
              </w:rPr>
            </w:pPr>
          </w:p>
        </w:tc>
        <w:tc>
          <w:tcPr>
            <w:tcW w:w="811" w:type="dxa"/>
            <w:tcBorders>
              <w:top w:val="single" w:color="auto" w:sz="4" w:space="0"/>
              <w:left w:val="single" w:color="auto" w:sz="4" w:space="0"/>
              <w:bottom w:val="single" w:color="auto" w:sz="4" w:space="0"/>
              <w:right w:val="single" w:color="auto" w:sz="4" w:space="0"/>
            </w:tcBorders>
            <w:vAlign w:val="center"/>
          </w:tcPr>
          <w:p w14:paraId="448A0F90">
            <w:pPr>
              <w:spacing w:line="420" w:lineRule="exact"/>
              <w:rPr>
                <w:rFonts w:hint="eastAsia" w:ascii="宋体" w:hAnsi="宋体" w:eastAsia="宋体" w:cs="宋体"/>
                <w:sz w:val="24"/>
                <w:szCs w:val="24"/>
              </w:rPr>
            </w:pPr>
          </w:p>
        </w:tc>
        <w:tc>
          <w:tcPr>
            <w:tcW w:w="1857" w:type="dxa"/>
            <w:tcBorders>
              <w:top w:val="single" w:color="auto" w:sz="4" w:space="0"/>
              <w:left w:val="single" w:color="auto" w:sz="4" w:space="0"/>
              <w:bottom w:val="single" w:color="auto" w:sz="4" w:space="0"/>
              <w:right w:val="single" w:color="auto" w:sz="4" w:space="0"/>
            </w:tcBorders>
            <w:vAlign w:val="center"/>
          </w:tcPr>
          <w:p w14:paraId="695B0066">
            <w:pPr>
              <w:spacing w:line="420" w:lineRule="exact"/>
              <w:rPr>
                <w:rFonts w:hint="eastAsia" w:ascii="宋体" w:hAnsi="宋体" w:eastAsia="宋体" w:cs="宋体"/>
                <w:sz w:val="24"/>
                <w:szCs w:val="24"/>
              </w:rPr>
            </w:pPr>
          </w:p>
        </w:tc>
        <w:tc>
          <w:tcPr>
            <w:tcW w:w="1075" w:type="dxa"/>
            <w:tcBorders>
              <w:top w:val="single" w:color="auto" w:sz="4" w:space="0"/>
              <w:left w:val="single" w:color="auto" w:sz="4" w:space="0"/>
              <w:bottom w:val="single" w:color="auto" w:sz="4" w:space="0"/>
              <w:right w:val="single" w:color="auto" w:sz="4" w:space="0"/>
            </w:tcBorders>
            <w:vAlign w:val="center"/>
          </w:tcPr>
          <w:p w14:paraId="0C9D4909">
            <w:pPr>
              <w:spacing w:line="420" w:lineRule="exact"/>
              <w:rPr>
                <w:rFonts w:hint="eastAsia" w:ascii="宋体" w:hAnsi="宋体" w:eastAsia="宋体" w:cs="宋体"/>
                <w:sz w:val="24"/>
                <w:szCs w:val="24"/>
              </w:rPr>
            </w:pPr>
          </w:p>
        </w:tc>
        <w:tc>
          <w:tcPr>
            <w:tcW w:w="903" w:type="dxa"/>
            <w:tcBorders>
              <w:top w:val="single" w:color="auto" w:sz="4" w:space="0"/>
              <w:left w:val="single" w:color="auto" w:sz="4" w:space="0"/>
              <w:bottom w:val="single" w:color="auto" w:sz="4" w:space="0"/>
              <w:right w:val="single" w:color="auto" w:sz="4" w:space="0"/>
            </w:tcBorders>
            <w:vAlign w:val="center"/>
          </w:tcPr>
          <w:p w14:paraId="2E25C99B">
            <w:pPr>
              <w:spacing w:line="420" w:lineRule="exact"/>
              <w:rPr>
                <w:rFonts w:hint="eastAsia" w:ascii="宋体" w:hAnsi="宋体" w:eastAsia="宋体" w:cs="宋体"/>
                <w:sz w:val="24"/>
                <w:szCs w:val="24"/>
              </w:rPr>
            </w:pPr>
          </w:p>
        </w:tc>
        <w:tc>
          <w:tcPr>
            <w:tcW w:w="1062" w:type="dxa"/>
            <w:tcBorders>
              <w:top w:val="single" w:color="auto" w:sz="4" w:space="0"/>
              <w:left w:val="single" w:color="auto" w:sz="4" w:space="0"/>
              <w:bottom w:val="single" w:color="auto" w:sz="4" w:space="0"/>
              <w:right w:val="single" w:color="auto" w:sz="4" w:space="0"/>
            </w:tcBorders>
            <w:vAlign w:val="center"/>
          </w:tcPr>
          <w:p w14:paraId="4E4D3310">
            <w:pPr>
              <w:spacing w:line="420" w:lineRule="exact"/>
              <w:rPr>
                <w:rFonts w:hint="eastAsia" w:ascii="宋体" w:hAnsi="宋体" w:eastAsia="宋体" w:cs="宋体"/>
                <w:sz w:val="24"/>
                <w:szCs w:val="24"/>
              </w:rPr>
            </w:pPr>
          </w:p>
        </w:tc>
        <w:tc>
          <w:tcPr>
            <w:tcW w:w="955" w:type="dxa"/>
            <w:tcBorders>
              <w:top w:val="single" w:color="auto" w:sz="4" w:space="0"/>
              <w:left w:val="single" w:color="auto" w:sz="4" w:space="0"/>
              <w:bottom w:val="single" w:color="auto" w:sz="4" w:space="0"/>
              <w:right w:val="single" w:color="auto" w:sz="4" w:space="0"/>
            </w:tcBorders>
          </w:tcPr>
          <w:p w14:paraId="6F667A1E">
            <w:pPr>
              <w:spacing w:line="420" w:lineRule="exact"/>
              <w:rPr>
                <w:rFonts w:hint="eastAsia" w:ascii="宋体" w:hAnsi="宋体" w:eastAsia="宋体" w:cs="宋体"/>
                <w:sz w:val="24"/>
                <w:szCs w:val="24"/>
              </w:rPr>
            </w:pPr>
          </w:p>
        </w:tc>
        <w:tc>
          <w:tcPr>
            <w:tcW w:w="837" w:type="dxa"/>
            <w:tcBorders>
              <w:top w:val="single" w:color="auto" w:sz="4" w:space="0"/>
              <w:left w:val="single" w:color="auto" w:sz="4" w:space="0"/>
              <w:bottom w:val="single" w:color="auto" w:sz="4" w:space="0"/>
              <w:right w:val="single" w:color="auto" w:sz="4" w:space="0"/>
            </w:tcBorders>
          </w:tcPr>
          <w:p w14:paraId="0810AB87">
            <w:pPr>
              <w:spacing w:line="420" w:lineRule="exact"/>
              <w:rPr>
                <w:rFonts w:hint="eastAsia" w:ascii="宋体" w:hAnsi="宋体" w:eastAsia="宋体" w:cs="宋体"/>
                <w:sz w:val="24"/>
                <w:szCs w:val="24"/>
              </w:rPr>
            </w:pPr>
          </w:p>
        </w:tc>
      </w:tr>
      <w:tr w14:paraId="0240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9548" w:type="dxa"/>
            <w:gridSpan w:val="9"/>
            <w:tcBorders>
              <w:top w:val="single" w:color="auto" w:sz="4" w:space="0"/>
              <w:left w:val="single" w:color="auto" w:sz="4" w:space="0"/>
              <w:bottom w:val="single" w:color="auto" w:sz="4" w:space="0"/>
              <w:right w:val="single" w:color="auto" w:sz="4" w:space="0"/>
            </w:tcBorders>
            <w:vAlign w:val="center"/>
          </w:tcPr>
          <w:p w14:paraId="65DB48CC">
            <w:pPr>
              <w:spacing w:line="420" w:lineRule="exact"/>
              <w:rPr>
                <w:rFonts w:hint="eastAsia" w:ascii="宋体" w:hAnsi="宋体" w:eastAsia="宋体" w:cs="宋体"/>
                <w:sz w:val="24"/>
                <w:szCs w:val="24"/>
              </w:rPr>
            </w:pPr>
            <w:r>
              <w:rPr>
                <w:rFonts w:hint="eastAsia" w:ascii="宋体" w:hAnsi="宋体" w:eastAsia="宋体" w:cs="宋体"/>
                <w:sz w:val="24"/>
                <w:szCs w:val="24"/>
              </w:rPr>
              <w:t>总 计（元）</w:t>
            </w:r>
          </w:p>
        </w:tc>
      </w:tr>
    </w:tbl>
    <w:p w14:paraId="07F4368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注：1.供应商根据需要可在本表中自行增加更为详细的报价说明</w:t>
      </w:r>
      <w:r>
        <w:rPr>
          <w:rFonts w:hint="eastAsia" w:ascii="宋体" w:hAnsi="宋体" w:eastAsia="宋体" w:cs="宋体"/>
          <w:sz w:val="24"/>
          <w:szCs w:val="24"/>
          <w:lang w:eastAsia="zh-CN"/>
        </w:rPr>
        <w:t>；</w:t>
      </w:r>
    </w:p>
    <w:p w14:paraId="4A05F05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ascii="宋体" w:hAnsi="宋体" w:eastAsia="宋体" w:cs="宋体"/>
          <w:sz w:val="24"/>
          <w:szCs w:val="24"/>
        </w:rPr>
        <w:t>本项目的综合单价应包括所供清单项目货物、随配附件、备品备件、专用工具、厂家赠品、包装费、仓储费、运输费、装卸费、保险费、安装调试费（含安装辅料费）、售后服务费、技术培训费、人工费、垃圾清运费、利润、税金及其他所有费用的总和；本项目磋商文件中未明确，但项目实施过程中所发生的费用由</w:t>
      </w:r>
      <w:r>
        <w:rPr>
          <w:rFonts w:hint="eastAsia" w:ascii="宋体" w:hAnsi="宋体" w:eastAsia="宋体" w:cs="宋体"/>
          <w:sz w:val="24"/>
          <w:szCs w:val="24"/>
          <w:lang w:val="en-US" w:eastAsia="zh-CN"/>
        </w:rPr>
        <w:t>供应商</w:t>
      </w:r>
      <w:r>
        <w:rPr>
          <w:rFonts w:ascii="宋体" w:hAnsi="宋体" w:eastAsia="宋体" w:cs="宋体"/>
          <w:sz w:val="24"/>
          <w:szCs w:val="24"/>
        </w:rPr>
        <w:t>在相应综合单价中综合考虑，以后不得调整；所有价格以人民币表示</w:t>
      </w:r>
      <w:r>
        <w:rPr>
          <w:rFonts w:hint="eastAsia" w:ascii="宋体" w:hAnsi="宋体" w:eastAsia="宋体" w:cs="宋体"/>
          <w:sz w:val="24"/>
          <w:szCs w:val="24"/>
          <w:lang w:eastAsia="zh-CN"/>
        </w:rPr>
        <w:t>，</w:t>
      </w:r>
      <w:r>
        <w:rPr>
          <w:rFonts w:hint="eastAsia" w:ascii="宋体" w:hAnsi="宋体" w:eastAsia="宋体" w:cs="Times New Roman"/>
          <w:kern w:val="0"/>
          <w:sz w:val="24"/>
          <w:szCs w:val="24"/>
        </w:rPr>
        <w:t>若总价与单价不符，以单价为准</w:t>
      </w:r>
      <w:r>
        <w:rPr>
          <w:rFonts w:ascii="宋体" w:hAnsi="宋体" w:eastAsia="宋体" w:cs="宋体"/>
          <w:sz w:val="24"/>
          <w:szCs w:val="24"/>
        </w:rPr>
        <w:t>。</w:t>
      </w:r>
    </w:p>
    <w:p w14:paraId="0512648F">
      <w:pPr>
        <w:keepNext/>
        <w:keepLines/>
        <w:pageBreakBefore w:val="0"/>
        <w:widowControl w:val="0"/>
        <w:kinsoku/>
        <w:wordWrap/>
        <w:overflowPunct/>
        <w:topLinePunct w:val="0"/>
        <w:autoSpaceDE/>
        <w:autoSpaceDN/>
        <w:bidi w:val="0"/>
        <w:adjustRightInd/>
        <w:snapToGrid/>
        <w:spacing w:before="260" w:after="260"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供应商：</w:t>
      </w:r>
      <w:r>
        <w:rPr>
          <w:rFonts w:hint="eastAsia" w:ascii="宋体" w:hAnsi="宋体" w:eastAsia="宋体" w:cs="宋体"/>
          <w:sz w:val="24"/>
          <w:szCs w:val="24"/>
          <w:u w:val="single"/>
        </w:rPr>
        <w:t xml:space="preserve">                      </w:t>
      </w:r>
      <w:r>
        <w:rPr>
          <w:rFonts w:hint="eastAsia" w:ascii="宋体" w:hAnsi="宋体" w:eastAsia="宋体" w:cs="宋体"/>
          <w:sz w:val="24"/>
          <w:szCs w:val="24"/>
        </w:rPr>
        <w:t>（电子签章）</w:t>
      </w:r>
    </w:p>
    <w:p w14:paraId="565F7B8E">
      <w:pPr>
        <w:keepNext/>
        <w:keepLines/>
        <w:pageBreakBefore w:val="0"/>
        <w:widowControl w:val="0"/>
        <w:kinsoku/>
        <w:wordWrap/>
        <w:overflowPunct/>
        <w:topLinePunct w:val="0"/>
        <w:autoSpaceDE/>
        <w:autoSpaceDN/>
        <w:bidi w:val="0"/>
        <w:adjustRightInd/>
        <w:snapToGrid/>
        <w:spacing w:before="260" w:after="260" w:line="360" w:lineRule="auto"/>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w:t>
      </w:r>
      <w:r>
        <w:rPr>
          <w:rFonts w:hint="eastAsia" w:ascii="宋体" w:hAnsi="宋体" w:eastAsia="宋体" w:cs="宋体"/>
          <w:sz w:val="24"/>
          <w:szCs w:val="24"/>
        </w:rPr>
        <w:t>（签章）</w:t>
      </w:r>
    </w:p>
    <w:p w14:paraId="0A7963F1">
      <w:pPr>
        <w:keepNext/>
        <w:keepLines/>
        <w:pageBreakBefore w:val="0"/>
        <w:widowControl w:val="0"/>
        <w:kinsoku/>
        <w:wordWrap/>
        <w:overflowPunct/>
        <w:topLinePunct w:val="0"/>
        <w:autoSpaceDE/>
        <w:autoSpaceDN/>
        <w:bidi w:val="0"/>
        <w:adjustRightInd/>
        <w:snapToGrid/>
        <w:spacing w:before="260" w:after="260" w:line="360" w:lineRule="auto"/>
        <w:ind w:firstLine="2160" w:firstLineChars="900"/>
        <w:jc w:val="center"/>
        <w:textAlignment w:val="auto"/>
        <w:outlineLvl w:val="9"/>
        <w:rPr>
          <w:rFonts w:hint="eastAsia"/>
          <w:b/>
          <w:bCs/>
          <w:sz w:val="28"/>
          <w:szCs w:val="28"/>
          <w:lang w:val="en-US" w:eastAsia="zh-CN"/>
        </w:rPr>
      </w:pPr>
      <w:r>
        <w:rPr>
          <w:rFonts w:hint="eastAsia" w:ascii="宋体" w:hAnsi="宋体" w:eastAsia="宋体" w:cs="宋体"/>
          <w:sz w:val="24"/>
          <w:szCs w:val="24"/>
        </w:rPr>
        <w:t>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期：       年     月     日</w:t>
      </w:r>
      <w:bookmarkStart w:id="94" w:name="_Toc244934213"/>
      <w:bookmarkEnd w:id="94"/>
      <w:bookmarkStart w:id="95" w:name="_Toc361989463"/>
      <w:bookmarkEnd w:id="95"/>
      <w:bookmarkStart w:id="96" w:name="_Toc25298"/>
      <w:bookmarkStart w:id="97" w:name="_Toc10655"/>
      <w:bookmarkStart w:id="98" w:name="_Toc17010"/>
      <w:r>
        <w:rPr>
          <w:rFonts w:hint="eastAsia" w:ascii="宋体" w:hAnsi="宋体" w:eastAsia="宋体" w:cs="宋体"/>
          <w:b/>
          <w:bCs/>
          <w:sz w:val="24"/>
          <w:szCs w:val="24"/>
        </w:rPr>
        <w:br w:type="page"/>
      </w:r>
      <w:r>
        <w:rPr>
          <w:rFonts w:hint="eastAsia"/>
          <w:b/>
          <w:bCs/>
          <w:sz w:val="28"/>
          <w:szCs w:val="28"/>
          <w:lang w:val="en-US" w:eastAsia="zh-CN"/>
        </w:rPr>
        <w:t>七、技术规格偏离表</w:t>
      </w:r>
    </w:p>
    <w:tbl>
      <w:tblPr>
        <w:tblStyle w:val="11"/>
        <w:tblW w:w="9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45"/>
        <w:gridCol w:w="2348"/>
        <w:gridCol w:w="1585"/>
        <w:gridCol w:w="1585"/>
        <w:gridCol w:w="1099"/>
        <w:gridCol w:w="750"/>
      </w:tblGrid>
      <w:tr w14:paraId="698B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6"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1DF1E60D">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1445" w:type="dxa"/>
            <w:tcBorders>
              <w:top w:val="single" w:color="auto" w:sz="4" w:space="0"/>
              <w:left w:val="nil"/>
              <w:bottom w:val="single" w:color="auto" w:sz="4" w:space="0"/>
              <w:right w:val="single" w:color="auto" w:sz="4" w:space="0"/>
            </w:tcBorders>
            <w:vAlign w:val="center"/>
          </w:tcPr>
          <w:p w14:paraId="25FB51B6">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货物名称</w:t>
            </w:r>
          </w:p>
        </w:tc>
        <w:tc>
          <w:tcPr>
            <w:tcW w:w="2348" w:type="dxa"/>
            <w:tcBorders>
              <w:top w:val="single" w:color="auto" w:sz="4" w:space="0"/>
              <w:left w:val="nil"/>
              <w:bottom w:val="single" w:color="auto" w:sz="4" w:space="0"/>
              <w:right w:val="single" w:color="auto" w:sz="4" w:space="0"/>
            </w:tcBorders>
            <w:vAlign w:val="center"/>
          </w:tcPr>
          <w:p w14:paraId="5418EF76">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竞争性磋商文件要求规格或参数</w:t>
            </w:r>
          </w:p>
        </w:tc>
        <w:tc>
          <w:tcPr>
            <w:tcW w:w="1585" w:type="dxa"/>
            <w:tcBorders>
              <w:top w:val="single" w:color="auto" w:sz="4" w:space="0"/>
              <w:left w:val="nil"/>
              <w:bottom w:val="single" w:color="auto" w:sz="4" w:space="0"/>
              <w:right w:val="single" w:color="auto" w:sz="4" w:space="0"/>
            </w:tcBorders>
            <w:vAlign w:val="center"/>
          </w:tcPr>
          <w:p w14:paraId="4EA13DDD">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磋商响应品牌和型号</w:t>
            </w:r>
          </w:p>
        </w:tc>
        <w:tc>
          <w:tcPr>
            <w:tcW w:w="1585" w:type="dxa"/>
            <w:tcBorders>
              <w:top w:val="single" w:color="auto" w:sz="4" w:space="0"/>
              <w:left w:val="nil"/>
              <w:bottom w:val="single" w:color="auto" w:sz="4" w:space="0"/>
              <w:right w:val="single" w:color="auto" w:sz="4" w:space="0"/>
            </w:tcBorders>
            <w:vAlign w:val="center"/>
          </w:tcPr>
          <w:p w14:paraId="0D75CFE4">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响应货物规格或参数</w:t>
            </w:r>
          </w:p>
        </w:tc>
        <w:tc>
          <w:tcPr>
            <w:tcW w:w="1099" w:type="dxa"/>
            <w:tcBorders>
              <w:top w:val="single" w:color="auto" w:sz="4" w:space="0"/>
              <w:left w:val="nil"/>
              <w:bottom w:val="single" w:color="auto" w:sz="4" w:space="0"/>
              <w:right w:val="single" w:color="auto" w:sz="4" w:space="0"/>
            </w:tcBorders>
            <w:vAlign w:val="center"/>
          </w:tcPr>
          <w:p w14:paraId="46D48B2F">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偏离</w:t>
            </w:r>
          </w:p>
          <w:p w14:paraId="01A767FC">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(正/负)</w:t>
            </w:r>
          </w:p>
        </w:tc>
        <w:tc>
          <w:tcPr>
            <w:tcW w:w="750" w:type="dxa"/>
            <w:tcBorders>
              <w:top w:val="single" w:color="auto" w:sz="4" w:space="0"/>
              <w:left w:val="nil"/>
              <w:bottom w:val="single" w:color="auto" w:sz="4" w:space="0"/>
              <w:right w:val="single" w:color="auto" w:sz="4" w:space="0"/>
            </w:tcBorders>
            <w:vAlign w:val="center"/>
          </w:tcPr>
          <w:p w14:paraId="1FA9BCCF">
            <w:pPr>
              <w:spacing w:line="420" w:lineRule="exact"/>
              <w:jc w:val="center"/>
              <w:rPr>
                <w:rFonts w:hint="eastAsia" w:ascii="宋体" w:hAnsi="宋体" w:eastAsia="宋体" w:cs="宋体"/>
                <w:sz w:val="24"/>
                <w:szCs w:val="24"/>
              </w:rPr>
            </w:pPr>
            <w:r>
              <w:rPr>
                <w:rFonts w:hint="eastAsia" w:ascii="宋体" w:hAnsi="宋体" w:eastAsia="宋体" w:cs="宋体"/>
                <w:sz w:val="24"/>
                <w:szCs w:val="24"/>
              </w:rPr>
              <w:t>说明</w:t>
            </w:r>
          </w:p>
        </w:tc>
      </w:tr>
      <w:tr w14:paraId="0971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21D44924">
            <w:pPr>
              <w:spacing w:line="420" w:lineRule="exact"/>
              <w:rPr>
                <w:rFonts w:hint="eastAsia" w:ascii="宋体" w:hAnsi="宋体" w:eastAsia="宋体" w:cs="宋体"/>
                <w:sz w:val="24"/>
                <w:szCs w:val="24"/>
              </w:rPr>
            </w:pPr>
            <w:r>
              <w:rPr>
                <w:rFonts w:hint="eastAsia" w:ascii="宋体" w:hAnsi="宋体" w:eastAsia="宋体" w:cs="宋体"/>
                <w:sz w:val="24"/>
                <w:szCs w:val="24"/>
              </w:rPr>
              <w:t>1</w:t>
            </w:r>
          </w:p>
        </w:tc>
        <w:tc>
          <w:tcPr>
            <w:tcW w:w="1445" w:type="dxa"/>
            <w:tcBorders>
              <w:top w:val="single" w:color="auto" w:sz="4" w:space="0"/>
              <w:left w:val="nil"/>
              <w:bottom w:val="single" w:color="auto" w:sz="4" w:space="0"/>
              <w:right w:val="single" w:color="auto" w:sz="4" w:space="0"/>
            </w:tcBorders>
            <w:vAlign w:val="center"/>
          </w:tcPr>
          <w:p w14:paraId="44C81AF4">
            <w:pPr>
              <w:spacing w:line="420" w:lineRule="exact"/>
              <w:rPr>
                <w:rFonts w:hint="eastAsia" w:ascii="宋体" w:hAnsi="宋体" w:eastAsia="宋体" w:cs="宋体"/>
                <w:sz w:val="24"/>
                <w:szCs w:val="24"/>
              </w:rPr>
            </w:pPr>
          </w:p>
        </w:tc>
        <w:tc>
          <w:tcPr>
            <w:tcW w:w="2348" w:type="dxa"/>
            <w:tcBorders>
              <w:top w:val="single" w:color="auto" w:sz="4" w:space="0"/>
              <w:left w:val="nil"/>
              <w:bottom w:val="single" w:color="auto" w:sz="4" w:space="0"/>
              <w:right w:val="single" w:color="auto" w:sz="4" w:space="0"/>
            </w:tcBorders>
            <w:vAlign w:val="center"/>
          </w:tcPr>
          <w:p w14:paraId="70FFCA38">
            <w:pPr>
              <w:spacing w:line="420" w:lineRule="exact"/>
              <w:rPr>
                <w:rFonts w:hint="eastAsia" w:ascii="宋体" w:hAnsi="宋体" w:eastAsia="宋体" w:cs="宋体"/>
                <w:sz w:val="24"/>
                <w:szCs w:val="24"/>
              </w:rPr>
            </w:pPr>
          </w:p>
        </w:tc>
        <w:tc>
          <w:tcPr>
            <w:tcW w:w="1585" w:type="dxa"/>
            <w:tcBorders>
              <w:top w:val="single" w:color="auto" w:sz="4" w:space="0"/>
              <w:left w:val="nil"/>
              <w:bottom w:val="single" w:color="auto" w:sz="4" w:space="0"/>
              <w:right w:val="single" w:color="auto" w:sz="4" w:space="0"/>
            </w:tcBorders>
            <w:vAlign w:val="center"/>
          </w:tcPr>
          <w:p w14:paraId="3D4B8E10">
            <w:pPr>
              <w:spacing w:line="420" w:lineRule="exact"/>
              <w:rPr>
                <w:rFonts w:hint="eastAsia" w:ascii="宋体" w:hAnsi="宋体" w:eastAsia="宋体" w:cs="宋体"/>
                <w:sz w:val="24"/>
                <w:szCs w:val="24"/>
              </w:rPr>
            </w:pPr>
          </w:p>
        </w:tc>
        <w:tc>
          <w:tcPr>
            <w:tcW w:w="1585" w:type="dxa"/>
            <w:tcBorders>
              <w:top w:val="single" w:color="auto" w:sz="4" w:space="0"/>
              <w:left w:val="nil"/>
              <w:bottom w:val="single" w:color="auto" w:sz="4" w:space="0"/>
              <w:right w:val="single" w:color="auto" w:sz="4" w:space="0"/>
            </w:tcBorders>
            <w:vAlign w:val="center"/>
          </w:tcPr>
          <w:p w14:paraId="0A5CC420">
            <w:pPr>
              <w:spacing w:line="420" w:lineRule="exact"/>
              <w:rPr>
                <w:rFonts w:hint="eastAsia" w:ascii="宋体" w:hAnsi="宋体" w:eastAsia="宋体" w:cs="宋体"/>
                <w:sz w:val="24"/>
                <w:szCs w:val="24"/>
              </w:rPr>
            </w:pPr>
          </w:p>
        </w:tc>
        <w:tc>
          <w:tcPr>
            <w:tcW w:w="1099" w:type="dxa"/>
            <w:tcBorders>
              <w:top w:val="single" w:color="auto" w:sz="4" w:space="0"/>
              <w:left w:val="nil"/>
              <w:bottom w:val="single" w:color="auto" w:sz="4" w:space="0"/>
              <w:right w:val="single" w:color="auto" w:sz="4" w:space="0"/>
            </w:tcBorders>
            <w:vAlign w:val="center"/>
          </w:tcPr>
          <w:p w14:paraId="0043AC9C">
            <w:pPr>
              <w:spacing w:line="420" w:lineRule="exact"/>
              <w:rPr>
                <w:rFonts w:hint="eastAsia" w:ascii="宋体" w:hAnsi="宋体" w:eastAsia="宋体" w:cs="宋体"/>
                <w:sz w:val="24"/>
                <w:szCs w:val="24"/>
              </w:rPr>
            </w:pPr>
          </w:p>
        </w:tc>
        <w:tc>
          <w:tcPr>
            <w:tcW w:w="750" w:type="dxa"/>
            <w:tcBorders>
              <w:top w:val="single" w:color="auto" w:sz="4" w:space="0"/>
              <w:left w:val="nil"/>
              <w:bottom w:val="single" w:color="auto" w:sz="4" w:space="0"/>
              <w:right w:val="single" w:color="auto" w:sz="4" w:space="0"/>
            </w:tcBorders>
            <w:vAlign w:val="center"/>
          </w:tcPr>
          <w:p w14:paraId="4DB30BA2">
            <w:pPr>
              <w:spacing w:line="420" w:lineRule="exact"/>
              <w:rPr>
                <w:rFonts w:hint="eastAsia" w:ascii="宋体" w:hAnsi="宋体" w:eastAsia="宋体" w:cs="宋体"/>
                <w:sz w:val="24"/>
                <w:szCs w:val="24"/>
              </w:rPr>
            </w:pPr>
          </w:p>
        </w:tc>
      </w:tr>
      <w:tr w14:paraId="5DFF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00EBC9BF">
            <w:pPr>
              <w:spacing w:line="420" w:lineRule="exact"/>
              <w:rPr>
                <w:rFonts w:hint="eastAsia" w:ascii="宋体" w:hAnsi="宋体" w:eastAsia="宋体" w:cs="宋体"/>
                <w:sz w:val="24"/>
                <w:szCs w:val="24"/>
              </w:rPr>
            </w:pPr>
            <w:r>
              <w:rPr>
                <w:rFonts w:hint="eastAsia" w:ascii="宋体" w:hAnsi="宋体" w:eastAsia="宋体" w:cs="宋体"/>
                <w:sz w:val="24"/>
                <w:szCs w:val="24"/>
              </w:rPr>
              <w:t>2</w:t>
            </w:r>
          </w:p>
        </w:tc>
        <w:tc>
          <w:tcPr>
            <w:tcW w:w="1445" w:type="dxa"/>
            <w:tcBorders>
              <w:top w:val="single" w:color="auto" w:sz="4" w:space="0"/>
              <w:left w:val="nil"/>
              <w:bottom w:val="single" w:color="auto" w:sz="4" w:space="0"/>
              <w:right w:val="single" w:color="auto" w:sz="4" w:space="0"/>
            </w:tcBorders>
            <w:vAlign w:val="center"/>
          </w:tcPr>
          <w:p w14:paraId="0729304F">
            <w:pPr>
              <w:spacing w:line="420" w:lineRule="exact"/>
              <w:rPr>
                <w:rFonts w:hint="eastAsia" w:ascii="宋体" w:hAnsi="宋体" w:eastAsia="宋体" w:cs="宋体"/>
                <w:sz w:val="24"/>
                <w:szCs w:val="24"/>
              </w:rPr>
            </w:pPr>
          </w:p>
        </w:tc>
        <w:tc>
          <w:tcPr>
            <w:tcW w:w="2348" w:type="dxa"/>
            <w:tcBorders>
              <w:top w:val="single" w:color="auto" w:sz="4" w:space="0"/>
              <w:left w:val="nil"/>
              <w:bottom w:val="single" w:color="auto" w:sz="4" w:space="0"/>
              <w:right w:val="single" w:color="auto" w:sz="4" w:space="0"/>
            </w:tcBorders>
            <w:vAlign w:val="center"/>
          </w:tcPr>
          <w:p w14:paraId="7F0A255F">
            <w:pPr>
              <w:spacing w:line="420" w:lineRule="exact"/>
              <w:rPr>
                <w:rFonts w:hint="eastAsia" w:ascii="宋体" w:hAnsi="宋体" w:eastAsia="宋体" w:cs="宋体"/>
                <w:sz w:val="24"/>
                <w:szCs w:val="24"/>
              </w:rPr>
            </w:pPr>
          </w:p>
        </w:tc>
        <w:tc>
          <w:tcPr>
            <w:tcW w:w="1585" w:type="dxa"/>
            <w:tcBorders>
              <w:top w:val="single" w:color="auto" w:sz="4" w:space="0"/>
              <w:left w:val="nil"/>
              <w:bottom w:val="single" w:color="auto" w:sz="4" w:space="0"/>
              <w:right w:val="single" w:color="auto" w:sz="4" w:space="0"/>
            </w:tcBorders>
            <w:vAlign w:val="center"/>
          </w:tcPr>
          <w:p w14:paraId="15DDF8BF">
            <w:pPr>
              <w:spacing w:line="420" w:lineRule="exact"/>
              <w:rPr>
                <w:rFonts w:hint="eastAsia" w:ascii="宋体" w:hAnsi="宋体" w:eastAsia="宋体" w:cs="宋体"/>
                <w:sz w:val="24"/>
                <w:szCs w:val="24"/>
              </w:rPr>
            </w:pPr>
          </w:p>
        </w:tc>
        <w:tc>
          <w:tcPr>
            <w:tcW w:w="1585" w:type="dxa"/>
            <w:tcBorders>
              <w:top w:val="single" w:color="auto" w:sz="4" w:space="0"/>
              <w:left w:val="nil"/>
              <w:bottom w:val="single" w:color="auto" w:sz="4" w:space="0"/>
              <w:right w:val="single" w:color="auto" w:sz="4" w:space="0"/>
            </w:tcBorders>
            <w:vAlign w:val="center"/>
          </w:tcPr>
          <w:p w14:paraId="76972016">
            <w:pPr>
              <w:spacing w:line="420" w:lineRule="exact"/>
              <w:rPr>
                <w:rFonts w:hint="eastAsia" w:ascii="宋体" w:hAnsi="宋体" w:eastAsia="宋体" w:cs="宋体"/>
                <w:sz w:val="24"/>
                <w:szCs w:val="24"/>
              </w:rPr>
            </w:pPr>
          </w:p>
        </w:tc>
        <w:tc>
          <w:tcPr>
            <w:tcW w:w="1099" w:type="dxa"/>
            <w:tcBorders>
              <w:top w:val="single" w:color="auto" w:sz="4" w:space="0"/>
              <w:left w:val="nil"/>
              <w:bottom w:val="single" w:color="auto" w:sz="4" w:space="0"/>
              <w:right w:val="single" w:color="auto" w:sz="4" w:space="0"/>
            </w:tcBorders>
            <w:vAlign w:val="center"/>
          </w:tcPr>
          <w:p w14:paraId="26B820BD">
            <w:pPr>
              <w:spacing w:line="420" w:lineRule="exact"/>
              <w:rPr>
                <w:rFonts w:hint="eastAsia" w:ascii="宋体" w:hAnsi="宋体" w:eastAsia="宋体" w:cs="宋体"/>
                <w:sz w:val="24"/>
                <w:szCs w:val="24"/>
              </w:rPr>
            </w:pPr>
          </w:p>
        </w:tc>
        <w:tc>
          <w:tcPr>
            <w:tcW w:w="750" w:type="dxa"/>
            <w:tcBorders>
              <w:top w:val="single" w:color="auto" w:sz="4" w:space="0"/>
              <w:left w:val="nil"/>
              <w:bottom w:val="single" w:color="auto" w:sz="4" w:space="0"/>
              <w:right w:val="single" w:color="auto" w:sz="4" w:space="0"/>
            </w:tcBorders>
            <w:vAlign w:val="center"/>
          </w:tcPr>
          <w:p w14:paraId="54B37129">
            <w:pPr>
              <w:spacing w:line="420" w:lineRule="exact"/>
              <w:rPr>
                <w:rFonts w:hint="eastAsia" w:ascii="宋体" w:hAnsi="宋体" w:eastAsia="宋体" w:cs="宋体"/>
                <w:sz w:val="24"/>
                <w:szCs w:val="24"/>
              </w:rPr>
            </w:pPr>
          </w:p>
        </w:tc>
      </w:tr>
      <w:tr w14:paraId="1060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0C7A8481">
            <w:pPr>
              <w:spacing w:line="420" w:lineRule="exact"/>
              <w:rPr>
                <w:rFonts w:hint="eastAsia" w:ascii="宋体" w:hAnsi="宋体" w:eastAsia="宋体" w:cs="宋体"/>
                <w:sz w:val="24"/>
                <w:szCs w:val="24"/>
              </w:rPr>
            </w:pPr>
            <w:r>
              <w:rPr>
                <w:rFonts w:hint="eastAsia" w:ascii="宋体" w:hAnsi="宋体" w:eastAsia="宋体" w:cs="宋体"/>
                <w:sz w:val="24"/>
                <w:szCs w:val="24"/>
              </w:rPr>
              <w:t>3</w:t>
            </w:r>
          </w:p>
        </w:tc>
        <w:tc>
          <w:tcPr>
            <w:tcW w:w="1445" w:type="dxa"/>
            <w:tcBorders>
              <w:top w:val="single" w:color="auto" w:sz="4" w:space="0"/>
              <w:left w:val="nil"/>
              <w:bottom w:val="single" w:color="auto" w:sz="4" w:space="0"/>
              <w:right w:val="single" w:color="auto" w:sz="4" w:space="0"/>
            </w:tcBorders>
            <w:vAlign w:val="center"/>
          </w:tcPr>
          <w:p w14:paraId="15974FE1">
            <w:pPr>
              <w:spacing w:line="420" w:lineRule="exact"/>
              <w:rPr>
                <w:rFonts w:hint="eastAsia" w:ascii="宋体" w:hAnsi="宋体" w:eastAsia="宋体" w:cs="宋体"/>
                <w:sz w:val="24"/>
                <w:szCs w:val="24"/>
              </w:rPr>
            </w:pPr>
          </w:p>
        </w:tc>
        <w:tc>
          <w:tcPr>
            <w:tcW w:w="2348" w:type="dxa"/>
            <w:tcBorders>
              <w:top w:val="single" w:color="auto" w:sz="4" w:space="0"/>
              <w:left w:val="nil"/>
              <w:bottom w:val="single" w:color="auto" w:sz="4" w:space="0"/>
              <w:right w:val="single" w:color="auto" w:sz="4" w:space="0"/>
            </w:tcBorders>
            <w:vAlign w:val="center"/>
          </w:tcPr>
          <w:p w14:paraId="49E69FDC">
            <w:pPr>
              <w:spacing w:line="420" w:lineRule="exact"/>
              <w:rPr>
                <w:rFonts w:hint="eastAsia" w:ascii="宋体" w:hAnsi="宋体" w:eastAsia="宋体" w:cs="宋体"/>
                <w:sz w:val="24"/>
                <w:szCs w:val="24"/>
              </w:rPr>
            </w:pPr>
          </w:p>
        </w:tc>
        <w:tc>
          <w:tcPr>
            <w:tcW w:w="1585" w:type="dxa"/>
            <w:tcBorders>
              <w:top w:val="single" w:color="auto" w:sz="4" w:space="0"/>
              <w:left w:val="nil"/>
              <w:bottom w:val="single" w:color="auto" w:sz="4" w:space="0"/>
              <w:right w:val="single" w:color="auto" w:sz="4" w:space="0"/>
            </w:tcBorders>
            <w:vAlign w:val="center"/>
          </w:tcPr>
          <w:p w14:paraId="52CD82E3">
            <w:pPr>
              <w:spacing w:line="420" w:lineRule="exact"/>
              <w:rPr>
                <w:rFonts w:hint="eastAsia" w:ascii="宋体" w:hAnsi="宋体" w:eastAsia="宋体" w:cs="宋体"/>
                <w:sz w:val="24"/>
                <w:szCs w:val="24"/>
              </w:rPr>
            </w:pPr>
          </w:p>
        </w:tc>
        <w:tc>
          <w:tcPr>
            <w:tcW w:w="1585" w:type="dxa"/>
            <w:tcBorders>
              <w:top w:val="single" w:color="auto" w:sz="4" w:space="0"/>
              <w:left w:val="nil"/>
              <w:bottom w:val="single" w:color="auto" w:sz="4" w:space="0"/>
              <w:right w:val="single" w:color="auto" w:sz="4" w:space="0"/>
            </w:tcBorders>
            <w:vAlign w:val="center"/>
          </w:tcPr>
          <w:p w14:paraId="5959FCFF">
            <w:pPr>
              <w:spacing w:line="420" w:lineRule="exact"/>
              <w:rPr>
                <w:rFonts w:hint="eastAsia" w:ascii="宋体" w:hAnsi="宋体" w:eastAsia="宋体" w:cs="宋体"/>
                <w:sz w:val="24"/>
                <w:szCs w:val="24"/>
              </w:rPr>
            </w:pPr>
          </w:p>
        </w:tc>
        <w:tc>
          <w:tcPr>
            <w:tcW w:w="1099" w:type="dxa"/>
            <w:tcBorders>
              <w:top w:val="single" w:color="auto" w:sz="4" w:space="0"/>
              <w:left w:val="nil"/>
              <w:bottom w:val="single" w:color="auto" w:sz="4" w:space="0"/>
              <w:right w:val="single" w:color="auto" w:sz="4" w:space="0"/>
            </w:tcBorders>
            <w:vAlign w:val="center"/>
          </w:tcPr>
          <w:p w14:paraId="144C2F5C">
            <w:pPr>
              <w:spacing w:line="420" w:lineRule="exact"/>
              <w:rPr>
                <w:rFonts w:hint="eastAsia" w:ascii="宋体" w:hAnsi="宋体" w:eastAsia="宋体" w:cs="宋体"/>
                <w:sz w:val="24"/>
                <w:szCs w:val="24"/>
              </w:rPr>
            </w:pPr>
          </w:p>
        </w:tc>
        <w:tc>
          <w:tcPr>
            <w:tcW w:w="750" w:type="dxa"/>
            <w:tcBorders>
              <w:top w:val="single" w:color="auto" w:sz="4" w:space="0"/>
              <w:left w:val="nil"/>
              <w:bottom w:val="single" w:color="auto" w:sz="4" w:space="0"/>
              <w:right w:val="single" w:color="auto" w:sz="4" w:space="0"/>
            </w:tcBorders>
            <w:vAlign w:val="center"/>
          </w:tcPr>
          <w:p w14:paraId="1092D70A">
            <w:pPr>
              <w:spacing w:line="420" w:lineRule="exact"/>
              <w:rPr>
                <w:rFonts w:hint="eastAsia" w:ascii="宋体" w:hAnsi="宋体" w:eastAsia="宋体" w:cs="宋体"/>
                <w:sz w:val="24"/>
                <w:szCs w:val="24"/>
              </w:rPr>
            </w:pPr>
          </w:p>
        </w:tc>
      </w:tr>
      <w:tr w14:paraId="064E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10B5AFE7">
            <w:pPr>
              <w:spacing w:line="420" w:lineRule="exact"/>
              <w:rPr>
                <w:rFonts w:hint="eastAsia" w:ascii="宋体" w:hAnsi="宋体" w:eastAsia="宋体" w:cs="宋体"/>
                <w:sz w:val="24"/>
                <w:szCs w:val="24"/>
              </w:rPr>
            </w:pPr>
            <w:r>
              <w:rPr>
                <w:rFonts w:hint="eastAsia" w:ascii="宋体" w:hAnsi="宋体" w:eastAsia="宋体" w:cs="宋体"/>
                <w:sz w:val="24"/>
                <w:szCs w:val="24"/>
              </w:rPr>
              <w:t>…</w:t>
            </w:r>
          </w:p>
        </w:tc>
        <w:tc>
          <w:tcPr>
            <w:tcW w:w="1445" w:type="dxa"/>
            <w:tcBorders>
              <w:top w:val="single" w:color="auto" w:sz="4" w:space="0"/>
              <w:left w:val="nil"/>
              <w:bottom w:val="single" w:color="auto" w:sz="4" w:space="0"/>
              <w:right w:val="single" w:color="auto" w:sz="4" w:space="0"/>
            </w:tcBorders>
            <w:vAlign w:val="center"/>
          </w:tcPr>
          <w:p w14:paraId="0220AB92">
            <w:pPr>
              <w:spacing w:line="420" w:lineRule="exact"/>
              <w:rPr>
                <w:rFonts w:hint="eastAsia" w:ascii="宋体" w:hAnsi="宋体" w:eastAsia="宋体" w:cs="宋体"/>
                <w:sz w:val="24"/>
                <w:szCs w:val="24"/>
              </w:rPr>
            </w:pPr>
          </w:p>
        </w:tc>
        <w:tc>
          <w:tcPr>
            <w:tcW w:w="2348" w:type="dxa"/>
            <w:tcBorders>
              <w:top w:val="single" w:color="auto" w:sz="4" w:space="0"/>
              <w:left w:val="nil"/>
              <w:bottom w:val="single" w:color="auto" w:sz="4" w:space="0"/>
              <w:right w:val="single" w:color="auto" w:sz="4" w:space="0"/>
            </w:tcBorders>
            <w:vAlign w:val="center"/>
          </w:tcPr>
          <w:p w14:paraId="0DA020D4">
            <w:pPr>
              <w:spacing w:line="420" w:lineRule="exact"/>
              <w:rPr>
                <w:rFonts w:hint="eastAsia" w:ascii="宋体" w:hAnsi="宋体" w:eastAsia="宋体" w:cs="宋体"/>
                <w:sz w:val="24"/>
                <w:szCs w:val="24"/>
              </w:rPr>
            </w:pPr>
          </w:p>
        </w:tc>
        <w:tc>
          <w:tcPr>
            <w:tcW w:w="1585" w:type="dxa"/>
            <w:tcBorders>
              <w:top w:val="single" w:color="auto" w:sz="4" w:space="0"/>
              <w:left w:val="nil"/>
              <w:bottom w:val="single" w:color="auto" w:sz="4" w:space="0"/>
              <w:right w:val="single" w:color="auto" w:sz="4" w:space="0"/>
            </w:tcBorders>
            <w:vAlign w:val="center"/>
          </w:tcPr>
          <w:p w14:paraId="3E7AA929">
            <w:pPr>
              <w:spacing w:line="420" w:lineRule="exact"/>
              <w:rPr>
                <w:rFonts w:hint="eastAsia" w:ascii="宋体" w:hAnsi="宋体" w:eastAsia="宋体" w:cs="宋体"/>
                <w:sz w:val="24"/>
                <w:szCs w:val="24"/>
              </w:rPr>
            </w:pPr>
          </w:p>
        </w:tc>
        <w:tc>
          <w:tcPr>
            <w:tcW w:w="1585" w:type="dxa"/>
            <w:tcBorders>
              <w:top w:val="single" w:color="auto" w:sz="4" w:space="0"/>
              <w:left w:val="nil"/>
              <w:bottom w:val="single" w:color="auto" w:sz="4" w:space="0"/>
              <w:right w:val="single" w:color="auto" w:sz="4" w:space="0"/>
            </w:tcBorders>
            <w:vAlign w:val="center"/>
          </w:tcPr>
          <w:p w14:paraId="7CCF864A">
            <w:pPr>
              <w:spacing w:line="420" w:lineRule="exact"/>
              <w:rPr>
                <w:rFonts w:hint="eastAsia" w:ascii="宋体" w:hAnsi="宋体" w:eastAsia="宋体" w:cs="宋体"/>
                <w:sz w:val="24"/>
                <w:szCs w:val="24"/>
              </w:rPr>
            </w:pPr>
          </w:p>
        </w:tc>
        <w:tc>
          <w:tcPr>
            <w:tcW w:w="1099" w:type="dxa"/>
            <w:tcBorders>
              <w:top w:val="single" w:color="auto" w:sz="4" w:space="0"/>
              <w:left w:val="nil"/>
              <w:bottom w:val="single" w:color="auto" w:sz="4" w:space="0"/>
              <w:right w:val="single" w:color="auto" w:sz="4" w:space="0"/>
            </w:tcBorders>
            <w:vAlign w:val="center"/>
          </w:tcPr>
          <w:p w14:paraId="65AE71BD">
            <w:pPr>
              <w:spacing w:line="420" w:lineRule="exact"/>
              <w:rPr>
                <w:rFonts w:hint="eastAsia" w:ascii="宋体" w:hAnsi="宋体" w:eastAsia="宋体" w:cs="宋体"/>
                <w:sz w:val="24"/>
                <w:szCs w:val="24"/>
              </w:rPr>
            </w:pPr>
          </w:p>
        </w:tc>
        <w:tc>
          <w:tcPr>
            <w:tcW w:w="750" w:type="dxa"/>
            <w:tcBorders>
              <w:top w:val="single" w:color="auto" w:sz="4" w:space="0"/>
              <w:left w:val="nil"/>
              <w:bottom w:val="single" w:color="auto" w:sz="4" w:space="0"/>
              <w:right w:val="single" w:color="auto" w:sz="4" w:space="0"/>
            </w:tcBorders>
            <w:vAlign w:val="center"/>
          </w:tcPr>
          <w:p w14:paraId="2316EA01">
            <w:pPr>
              <w:spacing w:line="420" w:lineRule="exact"/>
              <w:rPr>
                <w:rFonts w:hint="eastAsia" w:ascii="宋体" w:hAnsi="宋体" w:eastAsia="宋体" w:cs="宋体"/>
                <w:sz w:val="24"/>
                <w:szCs w:val="24"/>
              </w:rPr>
            </w:pPr>
          </w:p>
        </w:tc>
      </w:tr>
      <w:tr w14:paraId="6985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4992341E">
            <w:pPr>
              <w:spacing w:line="420" w:lineRule="exact"/>
              <w:rPr>
                <w:rFonts w:hint="eastAsia" w:ascii="宋体" w:hAnsi="宋体" w:eastAsia="宋体" w:cs="宋体"/>
                <w:sz w:val="24"/>
                <w:szCs w:val="24"/>
              </w:rPr>
            </w:pPr>
          </w:p>
        </w:tc>
        <w:tc>
          <w:tcPr>
            <w:tcW w:w="1445" w:type="dxa"/>
            <w:tcBorders>
              <w:top w:val="single" w:color="auto" w:sz="4" w:space="0"/>
              <w:left w:val="nil"/>
              <w:bottom w:val="single" w:color="auto" w:sz="4" w:space="0"/>
              <w:right w:val="single" w:color="auto" w:sz="4" w:space="0"/>
            </w:tcBorders>
            <w:vAlign w:val="center"/>
          </w:tcPr>
          <w:p w14:paraId="3622C447">
            <w:pPr>
              <w:spacing w:line="420" w:lineRule="exact"/>
              <w:rPr>
                <w:rFonts w:hint="eastAsia" w:ascii="宋体" w:hAnsi="宋体" w:eastAsia="宋体" w:cs="宋体"/>
                <w:sz w:val="24"/>
                <w:szCs w:val="24"/>
              </w:rPr>
            </w:pPr>
          </w:p>
        </w:tc>
        <w:tc>
          <w:tcPr>
            <w:tcW w:w="2348" w:type="dxa"/>
            <w:tcBorders>
              <w:top w:val="single" w:color="auto" w:sz="4" w:space="0"/>
              <w:left w:val="nil"/>
              <w:bottom w:val="single" w:color="auto" w:sz="4" w:space="0"/>
              <w:right w:val="single" w:color="auto" w:sz="4" w:space="0"/>
            </w:tcBorders>
            <w:vAlign w:val="center"/>
          </w:tcPr>
          <w:p w14:paraId="2D77E42E">
            <w:pPr>
              <w:spacing w:line="420" w:lineRule="exact"/>
              <w:rPr>
                <w:rFonts w:hint="eastAsia" w:ascii="宋体" w:hAnsi="宋体" w:eastAsia="宋体" w:cs="宋体"/>
                <w:sz w:val="24"/>
                <w:szCs w:val="24"/>
              </w:rPr>
            </w:pPr>
          </w:p>
        </w:tc>
        <w:tc>
          <w:tcPr>
            <w:tcW w:w="1585" w:type="dxa"/>
            <w:tcBorders>
              <w:top w:val="single" w:color="auto" w:sz="4" w:space="0"/>
              <w:left w:val="nil"/>
              <w:bottom w:val="single" w:color="auto" w:sz="4" w:space="0"/>
              <w:right w:val="single" w:color="auto" w:sz="4" w:space="0"/>
            </w:tcBorders>
            <w:vAlign w:val="center"/>
          </w:tcPr>
          <w:p w14:paraId="573DC946">
            <w:pPr>
              <w:spacing w:line="420" w:lineRule="exact"/>
              <w:rPr>
                <w:rFonts w:hint="eastAsia" w:ascii="宋体" w:hAnsi="宋体" w:eastAsia="宋体" w:cs="宋体"/>
                <w:sz w:val="24"/>
                <w:szCs w:val="24"/>
              </w:rPr>
            </w:pPr>
          </w:p>
        </w:tc>
        <w:tc>
          <w:tcPr>
            <w:tcW w:w="1585" w:type="dxa"/>
            <w:tcBorders>
              <w:top w:val="single" w:color="auto" w:sz="4" w:space="0"/>
              <w:left w:val="nil"/>
              <w:bottom w:val="single" w:color="auto" w:sz="4" w:space="0"/>
              <w:right w:val="single" w:color="auto" w:sz="4" w:space="0"/>
            </w:tcBorders>
            <w:vAlign w:val="center"/>
          </w:tcPr>
          <w:p w14:paraId="3283C841">
            <w:pPr>
              <w:spacing w:line="420" w:lineRule="exact"/>
              <w:rPr>
                <w:rFonts w:hint="eastAsia" w:ascii="宋体" w:hAnsi="宋体" w:eastAsia="宋体" w:cs="宋体"/>
                <w:sz w:val="24"/>
                <w:szCs w:val="24"/>
              </w:rPr>
            </w:pPr>
          </w:p>
        </w:tc>
        <w:tc>
          <w:tcPr>
            <w:tcW w:w="1099" w:type="dxa"/>
            <w:tcBorders>
              <w:top w:val="single" w:color="auto" w:sz="4" w:space="0"/>
              <w:left w:val="nil"/>
              <w:bottom w:val="single" w:color="auto" w:sz="4" w:space="0"/>
              <w:right w:val="single" w:color="auto" w:sz="4" w:space="0"/>
            </w:tcBorders>
            <w:vAlign w:val="center"/>
          </w:tcPr>
          <w:p w14:paraId="205113D8">
            <w:pPr>
              <w:spacing w:line="420" w:lineRule="exact"/>
              <w:rPr>
                <w:rFonts w:hint="eastAsia" w:ascii="宋体" w:hAnsi="宋体" w:eastAsia="宋体" w:cs="宋体"/>
                <w:sz w:val="24"/>
                <w:szCs w:val="24"/>
              </w:rPr>
            </w:pPr>
          </w:p>
        </w:tc>
        <w:tc>
          <w:tcPr>
            <w:tcW w:w="750" w:type="dxa"/>
            <w:tcBorders>
              <w:top w:val="single" w:color="auto" w:sz="4" w:space="0"/>
              <w:left w:val="nil"/>
              <w:bottom w:val="single" w:color="auto" w:sz="4" w:space="0"/>
              <w:right w:val="single" w:color="auto" w:sz="4" w:space="0"/>
            </w:tcBorders>
            <w:vAlign w:val="center"/>
          </w:tcPr>
          <w:p w14:paraId="39CD1EDA">
            <w:pPr>
              <w:spacing w:line="420" w:lineRule="exact"/>
              <w:rPr>
                <w:rFonts w:hint="eastAsia" w:ascii="宋体" w:hAnsi="宋体" w:eastAsia="宋体" w:cs="宋体"/>
                <w:sz w:val="24"/>
                <w:szCs w:val="24"/>
              </w:rPr>
            </w:pPr>
          </w:p>
        </w:tc>
      </w:tr>
      <w:tr w14:paraId="2C87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72ED6BE8">
            <w:pPr>
              <w:spacing w:line="420" w:lineRule="exact"/>
              <w:rPr>
                <w:rFonts w:hint="eastAsia" w:ascii="宋体" w:hAnsi="宋体" w:eastAsia="宋体" w:cs="宋体"/>
                <w:sz w:val="24"/>
                <w:szCs w:val="24"/>
              </w:rPr>
            </w:pPr>
          </w:p>
        </w:tc>
        <w:tc>
          <w:tcPr>
            <w:tcW w:w="1445" w:type="dxa"/>
            <w:tcBorders>
              <w:top w:val="single" w:color="auto" w:sz="4" w:space="0"/>
              <w:left w:val="nil"/>
              <w:bottom w:val="single" w:color="auto" w:sz="4" w:space="0"/>
              <w:right w:val="single" w:color="auto" w:sz="4" w:space="0"/>
            </w:tcBorders>
            <w:vAlign w:val="center"/>
          </w:tcPr>
          <w:p w14:paraId="506F141B">
            <w:pPr>
              <w:spacing w:line="420" w:lineRule="exact"/>
              <w:rPr>
                <w:rFonts w:hint="eastAsia" w:ascii="宋体" w:hAnsi="宋体" w:eastAsia="宋体" w:cs="宋体"/>
                <w:sz w:val="24"/>
                <w:szCs w:val="24"/>
              </w:rPr>
            </w:pPr>
          </w:p>
        </w:tc>
        <w:tc>
          <w:tcPr>
            <w:tcW w:w="2348" w:type="dxa"/>
            <w:tcBorders>
              <w:top w:val="single" w:color="auto" w:sz="4" w:space="0"/>
              <w:left w:val="nil"/>
              <w:bottom w:val="single" w:color="auto" w:sz="4" w:space="0"/>
              <w:right w:val="single" w:color="auto" w:sz="4" w:space="0"/>
            </w:tcBorders>
            <w:vAlign w:val="center"/>
          </w:tcPr>
          <w:p w14:paraId="1BF324DF">
            <w:pPr>
              <w:spacing w:line="420" w:lineRule="exact"/>
              <w:rPr>
                <w:rFonts w:hint="eastAsia" w:ascii="宋体" w:hAnsi="宋体" w:eastAsia="宋体" w:cs="宋体"/>
                <w:sz w:val="24"/>
                <w:szCs w:val="24"/>
              </w:rPr>
            </w:pPr>
          </w:p>
        </w:tc>
        <w:tc>
          <w:tcPr>
            <w:tcW w:w="1585" w:type="dxa"/>
            <w:tcBorders>
              <w:top w:val="single" w:color="auto" w:sz="4" w:space="0"/>
              <w:left w:val="nil"/>
              <w:bottom w:val="single" w:color="auto" w:sz="4" w:space="0"/>
              <w:right w:val="single" w:color="auto" w:sz="4" w:space="0"/>
            </w:tcBorders>
            <w:vAlign w:val="center"/>
          </w:tcPr>
          <w:p w14:paraId="572F2B4F">
            <w:pPr>
              <w:spacing w:line="420" w:lineRule="exact"/>
              <w:rPr>
                <w:rFonts w:hint="eastAsia" w:ascii="宋体" w:hAnsi="宋体" w:eastAsia="宋体" w:cs="宋体"/>
                <w:sz w:val="24"/>
                <w:szCs w:val="24"/>
              </w:rPr>
            </w:pPr>
          </w:p>
        </w:tc>
        <w:tc>
          <w:tcPr>
            <w:tcW w:w="1585" w:type="dxa"/>
            <w:tcBorders>
              <w:top w:val="single" w:color="auto" w:sz="4" w:space="0"/>
              <w:left w:val="nil"/>
              <w:bottom w:val="single" w:color="auto" w:sz="4" w:space="0"/>
              <w:right w:val="single" w:color="auto" w:sz="4" w:space="0"/>
            </w:tcBorders>
            <w:vAlign w:val="center"/>
          </w:tcPr>
          <w:p w14:paraId="29E91119">
            <w:pPr>
              <w:spacing w:line="420" w:lineRule="exact"/>
              <w:rPr>
                <w:rFonts w:hint="eastAsia" w:ascii="宋体" w:hAnsi="宋体" w:eastAsia="宋体" w:cs="宋体"/>
                <w:sz w:val="24"/>
                <w:szCs w:val="24"/>
              </w:rPr>
            </w:pPr>
          </w:p>
        </w:tc>
        <w:tc>
          <w:tcPr>
            <w:tcW w:w="1099" w:type="dxa"/>
            <w:tcBorders>
              <w:top w:val="single" w:color="auto" w:sz="4" w:space="0"/>
              <w:left w:val="nil"/>
              <w:bottom w:val="single" w:color="auto" w:sz="4" w:space="0"/>
              <w:right w:val="single" w:color="auto" w:sz="4" w:space="0"/>
            </w:tcBorders>
            <w:vAlign w:val="center"/>
          </w:tcPr>
          <w:p w14:paraId="50D910E9">
            <w:pPr>
              <w:spacing w:line="420" w:lineRule="exact"/>
              <w:rPr>
                <w:rFonts w:hint="eastAsia" w:ascii="宋体" w:hAnsi="宋体" w:eastAsia="宋体" w:cs="宋体"/>
                <w:sz w:val="24"/>
                <w:szCs w:val="24"/>
              </w:rPr>
            </w:pPr>
          </w:p>
        </w:tc>
        <w:tc>
          <w:tcPr>
            <w:tcW w:w="750" w:type="dxa"/>
            <w:tcBorders>
              <w:top w:val="single" w:color="auto" w:sz="4" w:space="0"/>
              <w:left w:val="nil"/>
              <w:bottom w:val="single" w:color="auto" w:sz="4" w:space="0"/>
              <w:right w:val="single" w:color="auto" w:sz="4" w:space="0"/>
            </w:tcBorders>
            <w:vAlign w:val="center"/>
          </w:tcPr>
          <w:p w14:paraId="512EF7FD">
            <w:pPr>
              <w:spacing w:line="420" w:lineRule="exact"/>
              <w:rPr>
                <w:rFonts w:hint="eastAsia" w:ascii="宋体" w:hAnsi="宋体" w:eastAsia="宋体" w:cs="宋体"/>
                <w:sz w:val="24"/>
                <w:szCs w:val="24"/>
              </w:rPr>
            </w:pPr>
          </w:p>
        </w:tc>
      </w:tr>
      <w:tr w14:paraId="4B83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7"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3C3B3D88">
            <w:pPr>
              <w:spacing w:line="420" w:lineRule="exact"/>
              <w:rPr>
                <w:rFonts w:hint="eastAsia" w:ascii="宋体" w:hAnsi="宋体" w:eastAsia="宋体" w:cs="宋体"/>
                <w:sz w:val="24"/>
                <w:szCs w:val="24"/>
              </w:rPr>
            </w:pPr>
          </w:p>
        </w:tc>
        <w:tc>
          <w:tcPr>
            <w:tcW w:w="1445" w:type="dxa"/>
            <w:tcBorders>
              <w:top w:val="single" w:color="auto" w:sz="4" w:space="0"/>
              <w:left w:val="nil"/>
              <w:bottom w:val="single" w:color="auto" w:sz="4" w:space="0"/>
              <w:right w:val="single" w:color="auto" w:sz="4" w:space="0"/>
            </w:tcBorders>
            <w:vAlign w:val="center"/>
          </w:tcPr>
          <w:p w14:paraId="386FD858">
            <w:pPr>
              <w:spacing w:line="420" w:lineRule="exact"/>
              <w:rPr>
                <w:rFonts w:hint="eastAsia" w:ascii="宋体" w:hAnsi="宋体" w:eastAsia="宋体" w:cs="宋体"/>
                <w:sz w:val="24"/>
                <w:szCs w:val="24"/>
              </w:rPr>
            </w:pPr>
          </w:p>
        </w:tc>
        <w:tc>
          <w:tcPr>
            <w:tcW w:w="2348" w:type="dxa"/>
            <w:tcBorders>
              <w:top w:val="single" w:color="auto" w:sz="4" w:space="0"/>
              <w:left w:val="nil"/>
              <w:bottom w:val="single" w:color="auto" w:sz="4" w:space="0"/>
              <w:right w:val="single" w:color="auto" w:sz="4" w:space="0"/>
            </w:tcBorders>
            <w:vAlign w:val="center"/>
          </w:tcPr>
          <w:p w14:paraId="3C39C6A8">
            <w:pPr>
              <w:spacing w:line="420" w:lineRule="exact"/>
              <w:rPr>
                <w:rFonts w:hint="eastAsia" w:ascii="宋体" w:hAnsi="宋体" w:eastAsia="宋体" w:cs="宋体"/>
                <w:sz w:val="24"/>
                <w:szCs w:val="24"/>
              </w:rPr>
            </w:pPr>
          </w:p>
        </w:tc>
        <w:tc>
          <w:tcPr>
            <w:tcW w:w="1585" w:type="dxa"/>
            <w:tcBorders>
              <w:top w:val="single" w:color="auto" w:sz="4" w:space="0"/>
              <w:left w:val="nil"/>
              <w:bottom w:val="single" w:color="auto" w:sz="4" w:space="0"/>
              <w:right w:val="single" w:color="auto" w:sz="4" w:space="0"/>
            </w:tcBorders>
            <w:vAlign w:val="center"/>
          </w:tcPr>
          <w:p w14:paraId="1667A800">
            <w:pPr>
              <w:spacing w:line="420" w:lineRule="exact"/>
              <w:rPr>
                <w:rFonts w:hint="eastAsia" w:ascii="宋体" w:hAnsi="宋体" w:eastAsia="宋体" w:cs="宋体"/>
                <w:sz w:val="24"/>
                <w:szCs w:val="24"/>
              </w:rPr>
            </w:pPr>
          </w:p>
        </w:tc>
        <w:tc>
          <w:tcPr>
            <w:tcW w:w="1585" w:type="dxa"/>
            <w:tcBorders>
              <w:top w:val="single" w:color="auto" w:sz="4" w:space="0"/>
              <w:left w:val="nil"/>
              <w:bottom w:val="single" w:color="auto" w:sz="4" w:space="0"/>
              <w:right w:val="single" w:color="auto" w:sz="4" w:space="0"/>
            </w:tcBorders>
            <w:vAlign w:val="center"/>
          </w:tcPr>
          <w:p w14:paraId="5FB46A63">
            <w:pPr>
              <w:spacing w:line="420" w:lineRule="exact"/>
              <w:rPr>
                <w:rFonts w:hint="eastAsia" w:ascii="宋体" w:hAnsi="宋体" w:eastAsia="宋体" w:cs="宋体"/>
                <w:sz w:val="24"/>
                <w:szCs w:val="24"/>
              </w:rPr>
            </w:pPr>
          </w:p>
        </w:tc>
        <w:tc>
          <w:tcPr>
            <w:tcW w:w="1099" w:type="dxa"/>
            <w:tcBorders>
              <w:top w:val="single" w:color="auto" w:sz="4" w:space="0"/>
              <w:left w:val="nil"/>
              <w:bottom w:val="single" w:color="auto" w:sz="4" w:space="0"/>
              <w:right w:val="single" w:color="auto" w:sz="4" w:space="0"/>
            </w:tcBorders>
            <w:vAlign w:val="center"/>
          </w:tcPr>
          <w:p w14:paraId="68743EDD">
            <w:pPr>
              <w:spacing w:line="420" w:lineRule="exact"/>
              <w:rPr>
                <w:rFonts w:hint="eastAsia" w:ascii="宋体" w:hAnsi="宋体" w:eastAsia="宋体" w:cs="宋体"/>
                <w:sz w:val="24"/>
                <w:szCs w:val="24"/>
              </w:rPr>
            </w:pPr>
          </w:p>
        </w:tc>
        <w:tc>
          <w:tcPr>
            <w:tcW w:w="750" w:type="dxa"/>
            <w:tcBorders>
              <w:top w:val="single" w:color="auto" w:sz="4" w:space="0"/>
              <w:left w:val="nil"/>
              <w:bottom w:val="single" w:color="auto" w:sz="4" w:space="0"/>
              <w:right w:val="single" w:color="auto" w:sz="4" w:space="0"/>
            </w:tcBorders>
            <w:vAlign w:val="center"/>
          </w:tcPr>
          <w:p w14:paraId="04BA4681">
            <w:pPr>
              <w:spacing w:line="420" w:lineRule="exact"/>
              <w:rPr>
                <w:rFonts w:hint="eastAsia" w:ascii="宋体" w:hAnsi="宋体" w:eastAsia="宋体" w:cs="宋体"/>
                <w:sz w:val="24"/>
                <w:szCs w:val="24"/>
              </w:rPr>
            </w:pPr>
          </w:p>
        </w:tc>
      </w:tr>
    </w:tbl>
    <w:p w14:paraId="38B0CC96">
      <w:pPr>
        <w:spacing w:line="420" w:lineRule="exact"/>
        <w:rPr>
          <w:sz w:val="24"/>
          <w:szCs w:val="24"/>
        </w:rPr>
      </w:pPr>
      <w:r>
        <w:rPr>
          <w:rFonts w:hint="eastAsia"/>
          <w:sz w:val="24"/>
          <w:szCs w:val="24"/>
        </w:rPr>
        <w:t>注：响应人应对照竞争性磋商文件技术规格要求，反映所提供货物和服务对竞争性磋商文件的技术规格要求的全部正/负偏离（优于竞争性磋商文件要求的为正偏离、低于竞争性磋商文件要求得为负偏离）情况。未在本表中做出偏离说明的项目，视为与竞争性磋商文件要求一致；在本表中做出偏离说明的项目，响应人必须提供所投设备的具体参数值，并在技术标中提供详细资料。</w:t>
      </w:r>
    </w:p>
    <w:p w14:paraId="7E18070C">
      <w:pPr>
        <w:spacing w:line="480" w:lineRule="auto"/>
        <w:rPr>
          <w:sz w:val="24"/>
          <w:szCs w:val="24"/>
        </w:rPr>
      </w:pPr>
    </w:p>
    <w:p w14:paraId="626C91D9">
      <w:pPr>
        <w:spacing w:line="480" w:lineRule="auto"/>
        <w:ind w:firstLine="2160" w:firstLineChars="900"/>
        <w:rPr>
          <w:sz w:val="24"/>
          <w:szCs w:val="24"/>
        </w:rPr>
      </w:pPr>
      <w:r>
        <w:rPr>
          <w:rFonts w:hint="eastAsia"/>
          <w:sz w:val="24"/>
          <w:szCs w:val="24"/>
        </w:rPr>
        <w:t>供应商名称：</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（盖单位章）</w:t>
      </w:r>
    </w:p>
    <w:p w14:paraId="628C5BDD">
      <w:pPr>
        <w:spacing w:line="480" w:lineRule="auto"/>
        <w:ind w:firstLine="2160" w:firstLineChars="900"/>
        <w:rPr>
          <w:sz w:val="24"/>
          <w:szCs w:val="24"/>
        </w:rPr>
      </w:pPr>
      <w:r>
        <w:rPr>
          <w:rFonts w:hint="eastAsia"/>
          <w:sz w:val="24"/>
          <w:szCs w:val="24"/>
        </w:rPr>
        <w:t>日    期：     年      月      日</w:t>
      </w:r>
    </w:p>
    <w:p w14:paraId="18C65082">
      <w:pPr>
        <w:spacing w:line="420" w:lineRule="exact"/>
        <w:rPr>
          <w:sz w:val="24"/>
          <w:szCs w:val="24"/>
        </w:rPr>
      </w:pPr>
    </w:p>
    <w:p w14:paraId="14D49206">
      <w:pPr>
        <w:spacing w:line="420" w:lineRule="exact"/>
        <w:rPr>
          <w:sz w:val="24"/>
          <w:szCs w:val="24"/>
        </w:rPr>
      </w:pPr>
      <w:r>
        <w:rPr>
          <w:sz w:val="24"/>
          <w:szCs w:val="24"/>
        </w:rPr>
        <w:br w:type="page"/>
      </w:r>
    </w:p>
    <w:p w14:paraId="567C4467">
      <w:pPr>
        <w:keepNext/>
        <w:keepLines/>
        <w:pageBreakBefore w:val="0"/>
        <w:widowControl w:val="0"/>
        <w:kinsoku/>
        <w:wordWrap/>
        <w:overflowPunct/>
        <w:topLinePunct w:val="0"/>
        <w:autoSpaceDE/>
        <w:autoSpaceDN/>
        <w:bidi w:val="0"/>
        <w:adjustRightInd/>
        <w:snapToGrid/>
        <w:spacing w:before="260" w:after="260" w:line="360" w:lineRule="auto"/>
        <w:jc w:val="center"/>
        <w:textAlignment w:val="auto"/>
        <w:outlineLvl w:val="9"/>
        <w:rPr>
          <w:rFonts w:hint="eastAsia"/>
          <w:b/>
          <w:bCs/>
          <w:sz w:val="28"/>
          <w:szCs w:val="28"/>
          <w:lang w:val="en-US" w:eastAsia="zh-CN"/>
        </w:rPr>
      </w:pPr>
      <w:r>
        <w:rPr>
          <w:rFonts w:hint="eastAsia"/>
          <w:b/>
          <w:bCs/>
          <w:sz w:val="28"/>
          <w:szCs w:val="28"/>
          <w:lang w:val="en-US" w:eastAsia="zh-CN"/>
        </w:rPr>
        <w:t>八、技术标部分</w:t>
      </w:r>
      <w:bookmarkEnd w:id="96"/>
      <w:bookmarkEnd w:id="97"/>
      <w:bookmarkEnd w:id="98"/>
    </w:p>
    <w:p w14:paraId="01F7687E">
      <w:pPr>
        <w:spacing w:line="420" w:lineRule="exact"/>
        <w:jc w:val="center"/>
        <w:rPr>
          <w:rFonts w:hint="eastAsia"/>
          <w:sz w:val="24"/>
          <w:szCs w:val="24"/>
        </w:rPr>
      </w:pPr>
      <w:r>
        <w:rPr>
          <w:rFonts w:hint="eastAsia"/>
          <w:b w:val="0"/>
          <w:bCs w:val="0"/>
          <w:sz w:val="24"/>
          <w:szCs w:val="24"/>
        </w:rPr>
        <w:t>（根据评分办法编制，格式自拟）</w:t>
      </w:r>
    </w:p>
    <w:p w14:paraId="044C1467">
      <w:pPr>
        <w:spacing w:line="420" w:lineRule="exact"/>
        <w:jc w:val="center"/>
        <w:rPr>
          <w:sz w:val="24"/>
          <w:szCs w:val="24"/>
        </w:rPr>
      </w:pPr>
    </w:p>
    <w:p w14:paraId="66407F17">
      <w:pPr>
        <w:spacing w:line="420" w:lineRule="exact"/>
        <w:rPr>
          <w:sz w:val="24"/>
          <w:szCs w:val="24"/>
        </w:rPr>
      </w:pPr>
      <w:bookmarkStart w:id="99" w:name="_Toc12073"/>
      <w:bookmarkEnd w:id="99"/>
      <w:r>
        <w:rPr>
          <w:rFonts w:hint="eastAsia"/>
          <w:sz w:val="24"/>
          <w:szCs w:val="24"/>
        </w:rPr>
        <w:br w:type="page"/>
      </w:r>
      <w:bookmarkStart w:id="100" w:name="_Toc2770"/>
      <w:bookmarkEnd w:id="100"/>
    </w:p>
    <w:p w14:paraId="5F879C92">
      <w:pPr>
        <w:keepNext/>
        <w:keepLines/>
        <w:spacing w:before="260" w:after="260" w:line="416" w:lineRule="auto"/>
        <w:jc w:val="center"/>
        <w:outlineLvl w:val="9"/>
        <w:rPr>
          <w:b/>
          <w:bCs/>
          <w:sz w:val="28"/>
          <w:szCs w:val="28"/>
        </w:rPr>
      </w:pPr>
      <w:r>
        <w:rPr>
          <w:rFonts w:hint="eastAsia"/>
          <w:b/>
          <w:bCs/>
          <w:sz w:val="28"/>
          <w:szCs w:val="28"/>
        </w:rPr>
        <w:t>九、商务标部分</w:t>
      </w:r>
    </w:p>
    <w:p w14:paraId="0DFE1138">
      <w:pPr>
        <w:spacing w:line="420" w:lineRule="exact"/>
        <w:jc w:val="center"/>
        <w:rPr>
          <w:sz w:val="24"/>
          <w:szCs w:val="24"/>
        </w:rPr>
      </w:pPr>
      <w:r>
        <w:rPr>
          <w:rFonts w:hint="eastAsia"/>
          <w:sz w:val="24"/>
          <w:szCs w:val="24"/>
        </w:rPr>
        <w:t>（根据评分办法编制，格式自拟）</w:t>
      </w:r>
    </w:p>
    <w:p w14:paraId="40A2F91D">
      <w:pPr>
        <w:keepNext/>
        <w:keepLines/>
        <w:spacing w:before="260" w:after="260" w:line="416" w:lineRule="auto"/>
        <w:jc w:val="center"/>
        <w:outlineLvl w:val="9"/>
        <w:rPr>
          <w:rFonts w:hint="eastAsia"/>
          <w:b/>
          <w:bCs/>
          <w:sz w:val="24"/>
          <w:szCs w:val="24"/>
        </w:rPr>
        <w:sectPr>
          <w:pgSz w:w="11906" w:h="16838"/>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1AB1AFA">
      <w:pPr>
        <w:keepNext/>
        <w:keepLines/>
        <w:spacing w:before="260" w:after="260" w:line="416" w:lineRule="auto"/>
        <w:jc w:val="center"/>
        <w:outlineLvl w:val="9"/>
        <w:rPr>
          <w:rFonts w:hint="eastAsia"/>
          <w:b/>
          <w:bCs/>
          <w:sz w:val="28"/>
          <w:szCs w:val="28"/>
          <w:lang w:val="en-US" w:eastAsia="zh-CN"/>
        </w:rPr>
      </w:pPr>
      <w:r>
        <w:rPr>
          <w:rFonts w:hint="eastAsia"/>
          <w:b/>
          <w:bCs/>
          <w:sz w:val="28"/>
          <w:szCs w:val="28"/>
          <w:lang w:val="en-US" w:eastAsia="zh-CN"/>
        </w:rPr>
        <w:t>十</w:t>
      </w:r>
      <w:r>
        <w:rPr>
          <w:rFonts w:hint="eastAsia"/>
          <w:b/>
          <w:bCs/>
          <w:sz w:val="28"/>
          <w:szCs w:val="28"/>
        </w:rPr>
        <w:t>、</w:t>
      </w:r>
      <w:r>
        <w:rPr>
          <w:rFonts w:hint="eastAsia"/>
          <w:b/>
          <w:bCs/>
          <w:sz w:val="28"/>
          <w:szCs w:val="28"/>
          <w:lang w:val="en-US" w:eastAsia="zh-CN"/>
        </w:rPr>
        <w:t>其他资料</w:t>
      </w:r>
    </w:p>
    <w:p w14:paraId="3C3326AB">
      <w:pPr>
        <w:keepNext w:val="0"/>
        <w:keepLines w:val="0"/>
        <w:spacing w:before="0" w:after="0" w:line="360" w:lineRule="auto"/>
        <w:jc w:val="center"/>
        <w:outlineLvl w:val="9"/>
        <w:rPr>
          <w:rFonts w:hint="eastAsia"/>
          <w:b w:val="0"/>
          <w:bCs w:val="0"/>
          <w:sz w:val="24"/>
          <w:szCs w:val="24"/>
          <w:lang w:val="en-US" w:eastAsia="zh-CN"/>
        </w:rPr>
      </w:pPr>
      <w:r>
        <w:rPr>
          <w:rFonts w:hint="eastAsia"/>
          <w:b w:val="0"/>
          <w:bCs w:val="0"/>
          <w:sz w:val="24"/>
          <w:szCs w:val="24"/>
          <w:lang w:val="en-US" w:eastAsia="zh-CN"/>
        </w:rPr>
        <w:t>（供应商认为应附的其它资料）</w:t>
      </w:r>
    </w:p>
    <w:p w14:paraId="77F365CA">
      <w:pPr>
        <w:keepNext w:val="0"/>
        <w:keepLines w:val="0"/>
        <w:spacing w:before="0" w:after="0" w:line="420" w:lineRule="exact"/>
        <w:jc w:val="center"/>
        <w:outlineLvl w:val="9"/>
        <w:rPr>
          <w:rFonts w:hint="eastAsia"/>
          <w:b/>
          <w:bCs/>
          <w:sz w:val="32"/>
          <w:szCs w:val="32"/>
          <w:lang w:val="en-US" w:eastAsia="zh-CN"/>
        </w:rPr>
      </w:pPr>
    </w:p>
    <w:p w14:paraId="005A1EA3">
      <w:pPr>
        <w:keepNext w:val="0"/>
        <w:keepLines w:val="0"/>
        <w:spacing w:before="0" w:after="0" w:line="420" w:lineRule="exact"/>
        <w:jc w:val="left"/>
        <w:outlineLvl w:val="9"/>
        <w:rPr>
          <w:rFonts w:hint="eastAsia"/>
          <w:b/>
          <w:bCs/>
          <w:sz w:val="32"/>
          <w:szCs w:val="32"/>
        </w:rPr>
      </w:pPr>
    </w:p>
    <w:p w14:paraId="2FBD2B73">
      <w:pPr>
        <w:spacing w:line="420" w:lineRule="exact"/>
        <w:rPr>
          <w:sz w:val="24"/>
          <w:szCs w:val="24"/>
        </w:rPr>
      </w:pPr>
      <w:bookmarkStart w:id="101" w:name="_Toc361989464"/>
      <w:bookmarkEnd w:id="101"/>
      <w:r>
        <w:rPr>
          <w:rFonts w:hint="eastAsia"/>
          <w:sz w:val="24"/>
          <w:szCs w:val="24"/>
        </w:rPr>
        <w:br w:type="page"/>
      </w:r>
      <w:bookmarkStart w:id="102" w:name="_Toc528078075"/>
      <w:bookmarkEnd w:id="102"/>
      <w:bookmarkStart w:id="103" w:name="_Toc361989467"/>
      <w:bookmarkEnd w:id="103"/>
      <w:bookmarkStart w:id="104" w:name="_Toc244934216"/>
      <w:bookmarkEnd w:id="104"/>
      <w:bookmarkStart w:id="105" w:name="_Toc361989466"/>
      <w:bookmarkEnd w:id="105"/>
      <w:bookmarkStart w:id="106" w:name="_Toc234213567"/>
      <w:bookmarkEnd w:id="106"/>
    </w:p>
    <w:p w14:paraId="39DBA03E">
      <w:pPr>
        <w:keepNext w:val="0"/>
        <w:keepLines w:val="0"/>
        <w:pageBreakBefore w:val="0"/>
        <w:widowControl w:val="0"/>
        <w:kinsoku/>
        <w:overflowPunct/>
        <w:topLinePunct w:val="0"/>
        <w:autoSpaceDE/>
        <w:autoSpaceDN/>
        <w:bidi w:val="0"/>
        <w:adjustRightInd/>
        <w:spacing w:line="36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 xml:space="preserve"> </w:t>
      </w:r>
      <w:bookmarkStart w:id="107" w:name="_Toc30800"/>
      <w:bookmarkStart w:id="108" w:name="_Toc5971"/>
      <w:r>
        <w:rPr>
          <w:rFonts w:hint="eastAsia" w:ascii="宋体" w:hAnsi="宋体" w:eastAsia="宋体" w:cs="宋体"/>
          <w:sz w:val="24"/>
          <w:szCs w:val="24"/>
        </w:rPr>
        <w:t>附件</w:t>
      </w:r>
      <w:bookmarkEnd w:id="107"/>
      <w:bookmarkEnd w:id="108"/>
      <w:r>
        <w:rPr>
          <w:rFonts w:hint="eastAsia" w:ascii="宋体" w:hAnsi="宋体" w:eastAsia="宋体" w:cs="宋体"/>
          <w:sz w:val="24"/>
          <w:szCs w:val="24"/>
          <w:lang w:val="en-US" w:eastAsia="zh-CN"/>
        </w:rPr>
        <w:t>1</w:t>
      </w:r>
    </w:p>
    <w:p w14:paraId="593F95C2">
      <w:pPr>
        <w:keepNext w:val="0"/>
        <w:keepLines w:val="0"/>
        <w:pageBreakBefore w:val="0"/>
        <w:widowControl w:val="0"/>
        <w:kinsoku/>
        <w:wordWrap w:val="0"/>
        <w:overflowPunct/>
        <w:topLinePunct w:val="0"/>
        <w:autoSpaceDE/>
        <w:autoSpaceDN/>
        <w:bidi w:val="0"/>
        <w:adjustRightInd/>
        <w:spacing w:line="360" w:lineRule="auto"/>
        <w:jc w:val="center"/>
        <w:textAlignment w:val="auto"/>
        <w:outlineLvl w:val="9"/>
        <w:rPr>
          <w:rFonts w:hint="eastAsia" w:ascii="宋体" w:hAnsi="宋体" w:eastAsia="宋体" w:cs="宋体"/>
          <w:b w:val="0"/>
          <w:bCs/>
          <w:sz w:val="24"/>
          <w:szCs w:val="24"/>
          <w:lang w:eastAsia="zh-CN"/>
        </w:rPr>
      </w:pPr>
      <w:bookmarkStart w:id="109" w:name="_Toc2102"/>
      <w:bookmarkStart w:id="110" w:name="_Toc28455"/>
      <w:r>
        <w:rPr>
          <w:rFonts w:hint="eastAsia" w:ascii="宋体" w:hAnsi="宋体" w:eastAsia="宋体" w:cs="宋体"/>
          <w:b w:val="0"/>
          <w:bCs/>
          <w:sz w:val="24"/>
          <w:szCs w:val="24"/>
        </w:rPr>
        <w:t>中小企业声明函</w:t>
      </w:r>
    </w:p>
    <w:p w14:paraId="5A4C33C2">
      <w:pPr>
        <w:keepNext w:val="0"/>
        <w:keepLines w:val="0"/>
        <w:pageBreakBefore w:val="0"/>
        <w:widowControl w:val="0"/>
        <w:kinsoku/>
        <w:overflowPunct/>
        <w:topLinePunct w:val="0"/>
        <w:autoSpaceDE/>
        <w:autoSpaceDN/>
        <w:bidi w:val="0"/>
        <w:adjustRightInd/>
        <w:snapToGrid w:val="0"/>
        <w:spacing w:line="360" w:lineRule="auto"/>
        <w:ind w:right="482" w:firstLine="482" w:firstLineChars="200"/>
        <w:jc w:val="center"/>
        <w:textAlignment w:val="auto"/>
        <w:outlineLvl w:val="9"/>
        <w:rPr>
          <w:rFonts w:hint="eastAsia" w:ascii="宋体" w:hAnsi="宋体" w:eastAsia="宋体" w:cs="宋体"/>
          <w:sz w:val="24"/>
          <w:szCs w:val="24"/>
        </w:rPr>
      </w:pPr>
      <w:r>
        <w:rPr>
          <w:rFonts w:hint="eastAsia" w:ascii="宋体" w:hAnsi="宋体" w:eastAsia="宋体" w:cs="宋体"/>
          <w:b/>
          <w:bCs/>
          <w:iCs/>
          <w:sz w:val="24"/>
          <w:szCs w:val="24"/>
        </w:rPr>
        <w:t>（属于中小企业的填写，不属于的无需填写此项内容）</w:t>
      </w:r>
    </w:p>
    <w:p w14:paraId="3B464F68">
      <w:pPr>
        <w:keepNext w:val="0"/>
        <w:keepLines w:val="0"/>
        <w:pageBreakBefore w:val="0"/>
        <w:widowControl w:val="0"/>
        <w:kinsoku/>
        <w:overflowPunct/>
        <w:topLinePunct w:val="0"/>
        <w:autoSpaceDE/>
        <w:autoSpaceDN/>
        <w:bidi w:val="0"/>
        <w:adjustRightInd/>
        <w:snapToGrid w:val="0"/>
        <w:spacing w:line="360" w:lineRule="auto"/>
        <w:ind w:right="482"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采购活动，提供的货物全部由符合政策要求的中小企业制造。相关企业（含联合体中的中小企业、签订分包意向协议的中小企业）的具体情况如下：</w:t>
      </w:r>
    </w:p>
    <w:p w14:paraId="6BAB4B91">
      <w:pPr>
        <w:keepNext w:val="0"/>
        <w:keepLines w:val="0"/>
        <w:pageBreakBefore w:val="0"/>
        <w:widowControl w:val="0"/>
        <w:kinsoku/>
        <w:overflowPunct/>
        <w:topLinePunct w:val="0"/>
        <w:autoSpaceDE/>
        <w:autoSpaceDN/>
        <w:bidi w:val="0"/>
        <w:adjustRightInd/>
        <w:snapToGrid w:val="0"/>
        <w:spacing w:line="360" w:lineRule="auto"/>
        <w:ind w:right="482"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（采购文件中明确的所属行业）行业</w:t>
      </w:r>
      <w:r>
        <w:rPr>
          <w:rFonts w:hint="eastAsia" w:ascii="宋体" w:hAnsi="宋体" w:eastAsia="宋体" w:cs="宋体"/>
          <w:sz w:val="24"/>
          <w:szCs w:val="24"/>
        </w:rPr>
        <w:t>；制造商为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rPr>
        <w:t>万元</w:t>
      </w:r>
      <w:r>
        <w:rPr>
          <w:rFonts w:hint="eastAsia" w:ascii="宋体" w:hAnsi="宋体" w:eastAsia="宋体" w:cs="宋体"/>
          <w:sz w:val="24"/>
          <w:szCs w:val="24"/>
          <w:vertAlign w:val="superscript"/>
        </w:rPr>
        <w:t>1</w:t>
      </w:r>
      <w:r>
        <w:rPr>
          <w:rFonts w:hint="eastAsia" w:ascii="宋体" w:hAnsi="宋体" w:eastAsia="宋体" w:cs="宋体"/>
          <w:sz w:val="24"/>
          <w:szCs w:val="24"/>
        </w:rPr>
        <w:t>，属于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14:paraId="279F9757">
      <w:pPr>
        <w:keepNext w:val="0"/>
        <w:keepLines w:val="0"/>
        <w:pageBreakBefore w:val="0"/>
        <w:widowControl w:val="0"/>
        <w:kinsoku/>
        <w:overflowPunct/>
        <w:topLinePunct w:val="0"/>
        <w:autoSpaceDE/>
        <w:autoSpaceDN/>
        <w:bidi w:val="0"/>
        <w:adjustRightInd/>
        <w:snapToGrid w:val="0"/>
        <w:spacing w:line="360" w:lineRule="auto"/>
        <w:ind w:right="482"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（采购文件中明确的所属行业）行业</w:t>
      </w:r>
      <w:r>
        <w:rPr>
          <w:rFonts w:hint="eastAsia" w:ascii="宋体" w:hAnsi="宋体" w:eastAsia="宋体" w:cs="宋体"/>
          <w:sz w:val="24"/>
          <w:szCs w:val="24"/>
        </w:rPr>
        <w:t>；制造商为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rPr>
        <w:t>万元，属于</w:t>
      </w:r>
      <w:r>
        <w:rPr>
          <w:rFonts w:hint="eastAsia" w:ascii="宋体" w:hAnsi="宋体" w:eastAsia="宋体" w:cs="宋体"/>
          <w:sz w:val="24"/>
          <w:szCs w:val="24"/>
          <w:u w:val="single"/>
        </w:rPr>
        <w:t>（中型企业、小型企业、微型企业）</w:t>
      </w:r>
      <w:r>
        <w:rPr>
          <w:rFonts w:hint="eastAsia" w:ascii="宋体" w:hAnsi="宋体" w:eastAsia="宋体" w:cs="宋体"/>
          <w:sz w:val="24"/>
          <w:szCs w:val="24"/>
        </w:rPr>
        <w:t>；</w:t>
      </w:r>
    </w:p>
    <w:p w14:paraId="71E33EE6">
      <w:pPr>
        <w:keepNext w:val="0"/>
        <w:keepLines w:val="0"/>
        <w:pageBreakBefore w:val="0"/>
        <w:widowControl w:val="0"/>
        <w:kinsoku/>
        <w:overflowPunct/>
        <w:topLinePunct w:val="0"/>
        <w:autoSpaceDE/>
        <w:autoSpaceDN/>
        <w:bidi w:val="0"/>
        <w:adjustRightInd/>
        <w:snapToGrid w:val="0"/>
        <w:spacing w:line="360" w:lineRule="auto"/>
        <w:ind w:right="482"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w:t>
      </w:r>
    </w:p>
    <w:p w14:paraId="381778E5">
      <w:pPr>
        <w:keepNext w:val="0"/>
        <w:keepLines w:val="0"/>
        <w:pageBreakBefore w:val="0"/>
        <w:widowControl w:val="0"/>
        <w:kinsoku/>
        <w:overflowPunct/>
        <w:topLinePunct w:val="0"/>
        <w:autoSpaceDE/>
        <w:autoSpaceDN/>
        <w:bidi w:val="0"/>
        <w:adjustRightInd/>
        <w:snapToGrid w:val="0"/>
        <w:spacing w:line="360" w:lineRule="auto"/>
        <w:ind w:right="482"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以上企业，不属于大企业的分支机构，不存在控股股东为大企业的情形，也不存在与大企业的负责人为同一人的情形。</w:t>
      </w:r>
    </w:p>
    <w:p w14:paraId="6FBD9291">
      <w:pPr>
        <w:keepNext w:val="0"/>
        <w:keepLines w:val="0"/>
        <w:pageBreakBefore w:val="0"/>
        <w:widowControl w:val="0"/>
        <w:kinsoku/>
        <w:overflowPunct/>
        <w:topLinePunct w:val="0"/>
        <w:autoSpaceDE/>
        <w:autoSpaceDN/>
        <w:bidi w:val="0"/>
        <w:adjustRightInd/>
        <w:snapToGrid w:val="0"/>
        <w:spacing w:line="360" w:lineRule="auto"/>
        <w:ind w:right="482"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2014A95F">
      <w:pPr>
        <w:keepNext w:val="0"/>
        <w:keepLines w:val="0"/>
        <w:pageBreakBefore w:val="0"/>
        <w:widowControl w:val="0"/>
        <w:kinsoku/>
        <w:overflowPunct/>
        <w:topLinePunct w:val="0"/>
        <w:autoSpaceDE/>
        <w:autoSpaceDN/>
        <w:bidi w:val="0"/>
        <w:adjustRightInd/>
        <w:snapToGrid w:val="0"/>
        <w:spacing w:line="360" w:lineRule="auto"/>
        <w:ind w:right="482"/>
        <w:jc w:val="left"/>
        <w:textAlignment w:val="auto"/>
        <w:outlineLvl w:val="9"/>
        <w:rPr>
          <w:rFonts w:hint="eastAsia" w:ascii="宋体" w:hAnsi="宋体" w:eastAsia="宋体" w:cs="宋体"/>
          <w:sz w:val="24"/>
          <w:szCs w:val="24"/>
        </w:rPr>
      </w:pPr>
    </w:p>
    <w:p w14:paraId="4B82CEBA">
      <w:pPr>
        <w:keepNext w:val="0"/>
        <w:keepLines w:val="0"/>
        <w:pageBreakBefore w:val="0"/>
        <w:widowControl w:val="0"/>
        <w:kinsoku/>
        <w:overflowPunct/>
        <w:topLinePunct w:val="0"/>
        <w:autoSpaceDE/>
        <w:autoSpaceDN/>
        <w:bidi w:val="0"/>
        <w:adjustRightInd/>
        <w:snapToGrid w:val="0"/>
        <w:spacing w:line="360" w:lineRule="auto"/>
        <w:ind w:right="482" w:firstLine="480" w:firstLineChars="200"/>
        <w:jc w:val="left"/>
        <w:textAlignment w:val="auto"/>
        <w:outlineLvl w:val="9"/>
        <w:rPr>
          <w:rFonts w:hint="eastAsia" w:ascii="宋体" w:hAnsi="宋体" w:eastAsia="宋体" w:cs="宋体"/>
          <w:sz w:val="24"/>
          <w:szCs w:val="24"/>
        </w:rPr>
      </w:pPr>
    </w:p>
    <w:p w14:paraId="629D5B66">
      <w:pPr>
        <w:keepNext w:val="0"/>
        <w:keepLines w:val="0"/>
        <w:pageBreakBefore w:val="0"/>
        <w:widowControl w:val="0"/>
        <w:kinsoku/>
        <w:overflowPunct/>
        <w:topLinePunct w:val="0"/>
        <w:autoSpaceDE/>
        <w:autoSpaceDN/>
        <w:bidi w:val="0"/>
        <w:adjustRightInd/>
        <w:snapToGrid w:val="0"/>
        <w:spacing w:line="360" w:lineRule="auto"/>
        <w:ind w:right="482" w:firstLine="5527" w:firstLineChars="2303"/>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企业名称（盖章）：</w:t>
      </w:r>
    </w:p>
    <w:p w14:paraId="285DC995">
      <w:pPr>
        <w:keepNext w:val="0"/>
        <w:keepLines w:val="0"/>
        <w:pageBreakBefore w:val="0"/>
        <w:widowControl w:val="0"/>
        <w:kinsoku/>
        <w:overflowPunct/>
        <w:topLinePunct w:val="0"/>
        <w:autoSpaceDE/>
        <w:autoSpaceDN/>
        <w:bidi w:val="0"/>
        <w:adjustRightInd/>
        <w:snapToGrid w:val="0"/>
        <w:spacing w:line="360" w:lineRule="auto"/>
        <w:ind w:right="482" w:firstLine="5527" w:firstLineChars="2303"/>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日期：</w:t>
      </w:r>
    </w:p>
    <w:p w14:paraId="345A6580">
      <w:pPr>
        <w:keepNext w:val="0"/>
        <w:keepLines w:val="0"/>
        <w:pageBreakBefore w:val="0"/>
        <w:widowControl w:val="0"/>
        <w:kinsoku/>
        <w:overflowPunct/>
        <w:topLinePunct w:val="0"/>
        <w:autoSpaceDE/>
        <w:autoSpaceDN/>
        <w:bidi w:val="0"/>
        <w:adjustRightInd/>
        <w:snapToGrid w:val="0"/>
        <w:spacing w:line="360" w:lineRule="auto"/>
        <w:ind w:right="482"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注：1、从业人员、营业收入、资产总额填报上一年度数据，无上一年度数据的新成立企业可不填报。</w:t>
      </w:r>
    </w:p>
    <w:p w14:paraId="3D1D5784">
      <w:pPr>
        <w:keepNext w:val="0"/>
        <w:keepLines w:val="0"/>
        <w:pageBreakBefore w:val="0"/>
        <w:widowControl w:val="0"/>
        <w:kinsoku/>
        <w:overflowPunct/>
        <w:topLinePunct w:val="0"/>
        <w:autoSpaceDE/>
        <w:autoSpaceDN/>
        <w:bidi w:val="0"/>
        <w:adjustRightInd/>
        <w:snapToGrid w:val="0"/>
        <w:spacing w:line="360" w:lineRule="auto"/>
        <w:ind w:right="482"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2、填写前请认真阅读《关于印发中小企业划型标准规定的通知》（工信部联企业[2011]300号）和《关于印发＜政府采购促进中小企业发展管理办法＞的通知》(财库﹝2020﹞46 号  )相关规定。</w:t>
      </w:r>
    </w:p>
    <w:p w14:paraId="6B313DF3">
      <w:pPr>
        <w:keepNext w:val="0"/>
        <w:keepLines w:val="0"/>
        <w:pageBreakBefore w:val="0"/>
        <w:widowControl w:val="0"/>
        <w:kinsoku/>
        <w:overflowPunct/>
        <w:topLinePunct w:val="0"/>
        <w:autoSpaceDE/>
        <w:autoSpaceDN/>
        <w:bidi w:val="0"/>
        <w:adjustRightInd/>
        <w:snapToGrid w:val="0"/>
        <w:spacing w:line="360" w:lineRule="auto"/>
        <w:ind w:right="482" w:firstLine="480" w:firstLineChars="200"/>
        <w:jc w:val="left"/>
        <w:textAlignment w:val="auto"/>
        <w:outlineLvl w:val="9"/>
        <w:rPr>
          <w:rFonts w:hint="eastAsia" w:ascii="宋体" w:hAnsi="宋体" w:eastAsia="宋体" w:cs="宋体"/>
          <w:sz w:val="24"/>
          <w:szCs w:val="24"/>
          <w:lang w:val="en-US" w:eastAsia="zh-CN"/>
        </w:rPr>
      </w:pPr>
    </w:p>
    <w:p w14:paraId="6E056494">
      <w:pPr>
        <w:keepNext w:val="0"/>
        <w:keepLines w:val="0"/>
        <w:pageBreakBefore w:val="0"/>
        <w:kinsoku/>
        <w:overflowPunct/>
        <w:topLinePunct w:val="0"/>
        <w:autoSpaceDE/>
        <w:autoSpaceDN/>
        <w:bidi w:val="0"/>
        <w:snapToGrid w:val="0"/>
        <w:spacing w:line="360" w:lineRule="auto"/>
        <w:ind w:right="482" w:firstLine="480" w:firstLineChars="200"/>
        <w:jc w:val="left"/>
        <w:outlineLvl w:val="9"/>
        <w:rPr>
          <w:rFonts w:hint="eastAsia" w:ascii="宋体" w:hAnsi="宋体" w:eastAsia="宋体" w:cs="宋体"/>
          <w:sz w:val="24"/>
          <w:szCs w:val="24"/>
          <w:lang w:val="en-US" w:eastAsia="zh-CN"/>
        </w:rPr>
      </w:pPr>
    </w:p>
    <w:p w14:paraId="68199643">
      <w:pPr>
        <w:pStyle w:val="2"/>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lang w:val="en-US" w:eastAsia="zh-CN"/>
        </w:rPr>
      </w:pPr>
    </w:p>
    <w:p w14:paraId="3379701D">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lang w:val="en-US" w:eastAsia="zh-CN"/>
        </w:rPr>
      </w:pPr>
    </w:p>
    <w:p w14:paraId="3B8172B0">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4FE4BA2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附件2</w:t>
      </w:r>
      <w:bookmarkEnd w:id="109"/>
      <w:bookmarkEnd w:id="110"/>
    </w:p>
    <w:p w14:paraId="02BDEC7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val="zh-CN"/>
        </w:rPr>
      </w:pPr>
      <w:bookmarkStart w:id="111" w:name="_Toc20491"/>
      <w:bookmarkStart w:id="112" w:name="_Toc30785"/>
      <w:r>
        <w:rPr>
          <w:rFonts w:hint="eastAsia" w:ascii="宋体" w:hAnsi="宋体" w:eastAsia="宋体" w:cs="宋体"/>
          <w:sz w:val="24"/>
          <w:szCs w:val="24"/>
          <w:lang w:val="zh-CN"/>
        </w:rPr>
        <w:t>监狱企业证明文件</w:t>
      </w:r>
      <w:bookmarkEnd w:id="111"/>
      <w:bookmarkEnd w:id="112"/>
    </w:p>
    <w:p w14:paraId="24FEDC36">
      <w:pPr>
        <w:keepNext w:val="0"/>
        <w:keepLines w:val="0"/>
        <w:pageBreakBefore w:val="0"/>
        <w:kinsoku/>
        <w:overflowPunct/>
        <w:topLinePunct w:val="0"/>
        <w:autoSpaceDE/>
        <w:autoSpaceDN/>
        <w:bidi w:val="0"/>
        <w:spacing w:line="360" w:lineRule="auto"/>
        <w:jc w:val="center"/>
        <w:outlineLvl w:val="9"/>
        <w:rPr>
          <w:rFonts w:hint="eastAsia" w:ascii="宋体" w:hAnsi="宋体" w:eastAsia="宋体" w:cs="宋体"/>
          <w:b/>
          <w:bCs/>
          <w:iCs/>
          <w:sz w:val="24"/>
          <w:szCs w:val="24"/>
        </w:rPr>
      </w:pPr>
      <w:r>
        <w:rPr>
          <w:rFonts w:hint="eastAsia" w:ascii="宋体" w:hAnsi="宋体" w:eastAsia="宋体" w:cs="宋体"/>
          <w:b/>
          <w:bCs/>
          <w:iCs/>
          <w:sz w:val="24"/>
          <w:szCs w:val="24"/>
        </w:rPr>
        <w:t>（属于监狱企业的提供，不属于的无需提供此项内容）</w:t>
      </w:r>
    </w:p>
    <w:p w14:paraId="71F901D3">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p w14:paraId="40A17F9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p w14:paraId="6B6066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（监狱企业参加政府采购活动时，应当提供由省级以上监狱管理局、戒毒管理局(含新疆生产建设兵团)出具的属于监狱企业的证明文件。</w:t>
      </w:r>
    </w:p>
    <w:p w14:paraId="184C42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p>
    <w:p w14:paraId="47FF4E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p>
    <w:p w14:paraId="7BB9C4C1">
      <w:pPr>
        <w:keepNext w:val="0"/>
        <w:keepLines w:val="0"/>
        <w:pageBreakBefore w:val="0"/>
        <w:kinsoku/>
        <w:overflowPunct/>
        <w:topLinePunct w:val="0"/>
        <w:autoSpaceDE/>
        <w:autoSpaceDN/>
        <w:bidi w:val="0"/>
        <w:spacing w:line="360" w:lineRule="auto"/>
        <w:ind w:firstLine="720" w:firstLineChars="300"/>
        <w:jc w:val="left"/>
        <w:outlineLvl w:val="9"/>
        <w:rPr>
          <w:rFonts w:hint="eastAsia" w:ascii="宋体" w:hAnsi="宋体" w:eastAsia="宋体" w:cs="宋体"/>
          <w:bCs/>
          <w:sz w:val="24"/>
          <w:szCs w:val="24"/>
        </w:rPr>
      </w:pPr>
      <w:r>
        <w:rPr>
          <w:rFonts w:hint="eastAsia" w:ascii="宋体" w:hAnsi="宋体" w:eastAsia="宋体" w:cs="宋体"/>
          <w:bCs/>
          <w:sz w:val="24"/>
          <w:szCs w:val="24"/>
        </w:rPr>
        <w:t>注：在磋商响应文件中附扫描件。</w:t>
      </w:r>
    </w:p>
    <w:p w14:paraId="0D180A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lang w:val="en-GB"/>
        </w:rPr>
      </w:pPr>
    </w:p>
    <w:p w14:paraId="6622C30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p w14:paraId="2B81C03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p w14:paraId="7279EF5B">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6FA7BBFC">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6624A501">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171EC34D">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65505E0F">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1657B4FE">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74203507">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76EE0848">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224BA4CE">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6AF27DA2">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39796397">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71756F5F">
      <w:pPr>
        <w:keepNext w:val="0"/>
        <w:keepLines w:val="0"/>
        <w:pageBreakBefore w:val="0"/>
        <w:widowControl/>
        <w:kinsoku/>
        <w:overflowPunct/>
        <w:topLinePunct w:val="0"/>
        <w:autoSpaceDE/>
        <w:autoSpaceDN/>
        <w:bidi w:val="0"/>
        <w:spacing w:line="360" w:lineRule="auto"/>
        <w:jc w:val="left"/>
        <w:outlineLvl w:val="9"/>
        <w:rPr>
          <w:rFonts w:hint="eastAsia" w:ascii="宋体" w:hAnsi="宋体" w:eastAsia="宋体" w:cs="宋体"/>
          <w:sz w:val="24"/>
          <w:szCs w:val="24"/>
        </w:rPr>
      </w:pPr>
      <w:bookmarkStart w:id="113" w:name="_Toc11345"/>
      <w:bookmarkStart w:id="114" w:name="_Toc6264"/>
      <w:r>
        <w:rPr>
          <w:rFonts w:hint="eastAsia" w:ascii="宋体" w:hAnsi="宋体" w:eastAsia="宋体" w:cs="宋体"/>
          <w:sz w:val="24"/>
          <w:szCs w:val="24"/>
        </w:rPr>
        <w:br w:type="page"/>
      </w:r>
    </w:p>
    <w:p w14:paraId="1CFCB25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附件3</w:t>
      </w:r>
      <w:bookmarkEnd w:id="113"/>
      <w:bookmarkEnd w:id="114"/>
    </w:p>
    <w:p w14:paraId="6190060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bookmarkStart w:id="115" w:name="_Toc27930"/>
      <w:bookmarkStart w:id="116" w:name="_Toc32130"/>
      <w:r>
        <w:rPr>
          <w:rFonts w:hint="eastAsia" w:ascii="宋体" w:hAnsi="宋体" w:eastAsia="宋体" w:cs="宋体"/>
          <w:sz w:val="24"/>
          <w:szCs w:val="24"/>
        </w:rPr>
        <w:t>残疾人福利性单位声明函</w:t>
      </w:r>
      <w:bookmarkEnd w:id="115"/>
      <w:bookmarkEnd w:id="116"/>
    </w:p>
    <w:p w14:paraId="1BA6F2A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r>
        <w:rPr>
          <w:rFonts w:hint="eastAsia" w:ascii="宋体" w:hAnsi="宋体" w:eastAsia="宋体" w:cs="宋体"/>
          <w:b/>
          <w:bCs/>
          <w:iCs/>
          <w:sz w:val="24"/>
          <w:szCs w:val="24"/>
        </w:rPr>
        <w:t>（属于残疾人福利性单位的填写，不属于的无需填写此项内容）</w:t>
      </w:r>
    </w:p>
    <w:p w14:paraId="49931A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单位的 </w:t>
      </w:r>
      <w:r>
        <w:rPr>
          <w:rFonts w:hint="eastAsia" w:ascii="宋体" w:hAnsi="宋体" w:eastAsia="宋体" w:cs="宋体"/>
          <w:sz w:val="24"/>
          <w:szCs w:val="24"/>
          <w:u w:val="single"/>
        </w:rPr>
        <w:t xml:space="preserve">     </w:t>
      </w:r>
      <w:r>
        <w:rPr>
          <w:rFonts w:hint="eastAsia" w:ascii="宋体" w:hAnsi="宋体" w:eastAsia="宋体" w:cs="宋体"/>
          <w:sz w:val="24"/>
          <w:szCs w:val="24"/>
        </w:rPr>
        <w:t>项目采购活动提供本单位制造的货物（由本单位承担工程/提供服务），或者提供其他残疾人福利性单位制造的货物（不包括使用非残疾人福利性单位注册商标的货物）。</w:t>
      </w:r>
    </w:p>
    <w:p w14:paraId="56AB01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本单位对上述声明的真实性负责。如有虚假，将依法承担相应责任。</w:t>
      </w:r>
    </w:p>
    <w:p w14:paraId="1DC23D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p>
    <w:p w14:paraId="3FA262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p>
    <w:p w14:paraId="3C5F02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p>
    <w:p w14:paraId="14604F73">
      <w:pPr>
        <w:keepNext w:val="0"/>
        <w:keepLines w:val="0"/>
        <w:pageBreakBefore w:val="0"/>
        <w:widowControl w:val="0"/>
        <w:kinsoku/>
        <w:overflowPunct/>
        <w:topLinePunct w:val="0"/>
        <w:autoSpaceDE/>
        <w:autoSpaceDN/>
        <w:bidi w:val="0"/>
        <w:adjustRightInd/>
        <w:snapToGrid w:val="0"/>
        <w:spacing w:line="360" w:lineRule="auto"/>
        <w:ind w:right="482" w:firstLine="5527" w:firstLineChars="2303"/>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企业名称（盖章）：</w:t>
      </w:r>
    </w:p>
    <w:p w14:paraId="46E43D24">
      <w:pPr>
        <w:keepNext w:val="0"/>
        <w:keepLines w:val="0"/>
        <w:pageBreakBefore w:val="0"/>
        <w:widowControl w:val="0"/>
        <w:kinsoku/>
        <w:overflowPunct/>
        <w:topLinePunct w:val="0"/>
        <w:autoSpaceDE/>
        <w:autoSpaceDN/>
        <w:bidi w:val="0"/>
        <w:adjustRightInd/>
        <w:snapToGrid w:val="0"/>
        <w:spacing w:line="360" w:lineRule="auto"/>
        <w:ind w:right="482" w:firstLine="5527" w:firstLineChars="2303"/>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日期：</w:t>
      </w:r>
    </w:p>
    <w:p w14:paraId="7094C87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rPr>
      </w:pPr>
    </w:p>
    <w:p w14:paraId="32064DF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p>
    <w:p w14:paraId="2948F7FF">
      <w:pPr>
        <w:pStyle w:val="2"/>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67534CAC">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5201CA35">
      <w:pPr>
        <w:pStyle w:val="2"/>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585AD170">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2D40B898">
      <w:pPr>
        <w:pStyle w:val="2"/>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02030F83">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1A5EB734">
      <w:pPr>
        <w:pStyle w:val="2"/>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528BD46B">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4FC943CC">
      <w:pPr>
        <w:pStyle w:val="2"/>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5E4579B4">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3CEBE5ED">
      <w:pPr>
        <w:pStyle w:val="2"/>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508714D5">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5C99BD26">
      <w:pPr>
        <w:pStyle w:val="2"/>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30AE721A">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6CC4B6CA">
      <w:pPr>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p w14:paraId="37EA3652">
      <w:pPr>
        <w:pStyle w:val="2"/>
        <w:keepNext w:val="0"/>
        <w:keepLines w:val="0"/>
        <w:pageBreakBefore w:val="0"/>
        <w:kinsoku/>
        <w:overflowPunct/>
        <w:topLinePunct w:val="0"/>
        <w:autoSpaceDE/>
        <w:autoSpaceDN/>
        <w:bidi w:val="0"/>
        <w:spacing w:line="360" w:lineRule="auto"/>
        <w:jc w:val="center"/>
        <w:outlineLvl w:val="9"/>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磋商保证金承诺函</w:t>
      </w:r>
    </w:p>
    <w:p w14:paraId="3FB02037">
      <w:pPr>
        <w:pStyle w:val="2"/>
        <w:keepNext w:val="0"/>
        <w:keepLines w:val="0"/>
        <w:pageBreakBefore w:val="0"/>
        <w:kinsoku/>
        <w:overflowPunct/>
        <w:topLinePunct w:val="0"/>
        <w:autoSpaceDE/>
        <w:autoSpaceDN/>
        <w:bidi w:val="0"/>
        <w:spacing w:line="360" w:lineRule="auto"/>
        <w:jc w:val="both"/>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致：</w:t>
      </w:r>
      <w:r>
        <w:rPr>
          <w:rFonts w:hint="eastAsia" w:ascii="宋体" w:hAnsi="宋体" w:eastAsia="宋体" w:cs="宋体"/>
          <w:color w:val="auto"/>
          <w:kern w:val="0"/>
          <w:sz w:val="24"/>
          <w:szCs w:val="24"/>
          <w:u w:val="single"/>
          <w:lang w:val="en-US" w:eastAsia="zh-CN" w:bidi="ar-SA"/>
        </w:rPr>
        <w:t xml:space="preserve">        （采购人名称）</w:t>
      </w:r>
    </w:p>
    <w:p w14:paraId="4FDC47B4">
      <w:pPr>
        <w:pStyle w:val="2"/>
        <w:keepNext w:val="0"/>
        <w:keepLines w:val="0"/>
        <w:pageBreakBefore w:val="0"/>
        <w:kinsoku/>
        <w:overflowPunct/>
        <w:topLinePunct w:val="0"/>
        <w:autoSpaceDE/>
        <w:autoSpaceDN/>
        <w:bidi w:val="0"/>
        <w:spacing w:line="360" w:lineRule="auto"/>
        <w:ind w:firstLine="480" w:firstLineChars="200"/>
        <w:jc w:val="left"/>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我公司</w:t>
      </w:r>
      <w:r>
        <w:rPr>
          <w:rFonts w:hint="eastAsia" w:ascii="宋体" w:hAnsi="宋体" w:eastAsia="宋体" w:cs="宋体"/>
          <w:color w:val="auto"/>
          <w:kern w:val="0"/>
          <w:sz w:val="24"/>
          <w:szCs w:val="24"/>
          <w:u w:val="single"/>
          <w:lang w:val="en-US" w:eastAsia="zh-CN" w:bidi="ar-SA"/>
        </w:rPr>
        <w:t xml:space="preserve">                       </w:t>
      </w:r>
      <w:r>
        <w:rPr>
          <w:rFonts w:hint="eastAsia" w:ascii="宋体" w:hAnsi="宋体" w:eastAsia="宋体" w:cs="宋体"/>
          <w:color w:val="auto"/>
          <w:kern w:val="0"/>
          <w:sz w:val="24"/>
          <w:szCs w:val="24"/>
          <w:lang w:val="en-US" w:eastAsia="zh-CN" w:bidi="ar-SA"/>
        </w:rPr>
        <w:t>，就参与</w:t>
      </w:r>
      <w:r>
        <w:rPr>
          <w:rFonts w:hint="eastAsia" w:ascii="宋体" w:hAnsi="宋体" w:eastAsia="宋体" w:cs="宋体"/>
          <w:color w:val="auto"/>
          <w:kern w:val="0"/>
          <w:sz w:val="24"/>
          <w:szCs w:val="24"/>
          <w:u w:val="single"/>
          <w:lang w:val="en-US" w:eastAsia="zh-CN" w:bidi="ar-SA"/>
        </w:rPr>
        <w:t xml:space="preserve">                         （项目名称）</w:t>
      </w:r>
      <w:r>
        <w:rPr>
          <w:rFonts w:hint="eastAsia" w:ascii="宋体" w:hAnsi="宋体" w:eastAsia="宋体" w:cs="宋体"/>
          <w:color w:val="auto"/>
          <w:kern w:val="0"/>
          <w:sz w:val="24"/>
          <w:szCs w:val="24"/>
          <w:lang w:val="en-US" w:eastAsia="zh-CN" w:bidi="ar-SA"/>
        </w:rPr>
        <w:t>磋商事宜，根据《河南省财政厅关于优化政府采购营商环境有关问题的通知》（豫财购【2019】4号）第6条规定，现出具本磋商承诺函，替代磋商保证金，并郑重承诺如下：</w:t>
      </w:r>
    </w:p>
    <w:p w14:paraId="074E135A">
      <w:pPr>
        <w:pStyle w:val="2"/>
        <w:keepNext w:val="0"/>
        <w:keepLines w:val="0"/>
        <w:pageBreakBefore w:val="0"/>
        <w:kinsoku/>
        <w:overflowPunct/>
        <w:topLinePunct w:val="0"/>
        <w:autoSpaceDE/>
        <w:autoSpaceDN/>
        <w:bidi w:val="0"/>
        <w:spacing w:line="360" w:lineRule="auto"/>
        <w:ind w:firstLine="480" w:firstLineChars="200"/>
        <w:jc w:val="left"/>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我公司已仔细研读本项目磋商文件及相关补充文件，充分理解并认同文件全部条款、要求及技术规范，自愿参与本项目磋商。</w:t>
      </w:r>
    </w:p>
    <w:p w14:paraId="6B9C3B43">
      <w:pPr>
        <w:pStyle w:val="2"/>
        <w:keepNext w:val="0"/>
        <w:keepLines w:val="0"/>
        <w:pageBreakBefore w:val="0"/>
        <w:kinsoku/>
        <w:overflowPunct/>
        <w:topLinePunct w:val="0"/>
        <w:autoSpaceDE/>
        <w:autoSpaceDN/>
        <w:bidi w:val="0"/>
        <w:spacing w:line="360" w:lineRule="auto"/>
        <w:ind w:firstLine="480" w:firstLineChars="200"/>
        <w:jc w:val="left"/>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我公司保证所提交的磋商响应文件及相关证明材料真实、合法、完整，无任何虚假信息、伪造材料或重大遗漏，相关资质、业绩等均符合磋商文件要求。</w:t>
      </w:r>
    </w:p>
    <w:p w14:paraId="1430BD62">
      <w:pPr>
        <w:pStyle w:val="2"/>
        <w:keepNext w:val="0"/>
        <w:keepLines w:val="0"/>
        <w:pageBreakBefore w:val="0"/>
        <w:kinsoku/>
        <w:overflowPunct/>
        <w:topLinePunct w:val="0"/>
        <w:autoSpaceDE/>
        <w:autoSpaceDN/>
        <w:bidi w:val="0"/>
        <w:spacing w:line="360" w:lineRule="auto"/>
        <w:ind w:firstLine="480" w:firstLineChars="200"/>
        <w:jc w:val="left"/>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我公司承诺在磋商过程中遵守公平竞争原则，不与其他供应商串通磋商、围标串标，不向采购单位、采购代理机构及相关工作人员提供不正当利益，不实施任何不正当竞争行为。</w:t>
      </w:r>
    </w:p>
    <w:p w14:paraId="6BC8EABB">
      <w:pPr>
        <w:pStyle w:val="2"/>
        <w:keepNext w:val="0"/>
        <w:keepLines w:val="0"/>
        <w:pageBreakBefore w:val="0"/>
        <w:kinsoku/>
        <w:overflowPunct/>
        <w:topLinePunct w:val="0"/>
        <w:autoSpaceDE/>
        <w:autoSpaceDN/>
        <w:bidi w:val="0"/>
        <w:spacing w:line="360" w:lineRule="auto"/>
        <w:ind w:firstLine="480" w:firstLineChars="200"/>
        <w:jc w:val="left"/>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公司承诺若成为成交供应商，将在收到成交通知书后，按磋商文件要求及响应文件承诺，在规定时限内与采购单位签订采购合同，并严格履行合同约定的全部义务（包括但不限于质量标准、交货/服务时限、售后服务等），不擅自变更合同主要条款或无故违约。</w:t>
      </w:r>
    </w:p>
    <w:p w14:paraId="28E24061">
      <w:pPr>
        <w:pStyle w:val="2"/>
        <w:keepNext w:val="0"/>
        <w:keepLines w:val="0"/>
        <w:pageBreakBefore w:val="0"/>
        <w:kinsoku/>
        <w:overflowPunct/>
        <w:topLinePunct w:val="0"/>
        <w:autoSpaceDE/>
        <w:autoSpaceDN/>
        <w:bidi w:val="0"/>
        <w:spacing w:line="360" w:lineRule="auto"/>
        <w:ind w:firstLine="720" w:firstLineChars="300"/>
        <w:jc w:val="left"/>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我公司承诺若违反上述任何一项承诺，自愿承担以下责任：</w:t>
      </w:r>
    </w:p>
    <w:p w14:paraId="24204585">
      <w:pPr>
        <w:pStyle w:val="2"/>
        <w:keepNext w:val="0"/>
        <w:keepLines w:val="0"/>
        <w:pageBreakBefore w:val="0"/>
        <w:kinsoku/>
        <w:overflowPunct/>
        <w:topLinePunct w:val="0"/>
        <w:autoSpaceDE/>
        <w:autoSpaceDN/>
        <w:bidi w:val="0"/>
        <w:spacing w:line="360" w:lineRule="auto"/>
        <w:ind w:firstLine="240" w:firstLineChars="100"/>
        <w:jc w:val="left"/>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 取消本次磋商资格，已提交的响应文件视为无效；</w:t>
      </w:r>
    </w:p>
    <w:p w14:paraId="6EF78E21">
      <w:pPr>
        <w:pStyle w:val="2"/>
        <w:keepNext w:val="0"/>
        <w:keepLines w:val="0"/>
        <w:pageBreakBefore w:val="0"/>
        <w:kinsoku/>
        <w:overflowPunct/>
        <w:topLinePunct w:val="0"/>
        <w:autoSpaceDE/>
        <w:autoSpaceDN/>
        <w:bidi w:val="0"/>
        <w:spacing w:line="360" w:lineRule="auto"/>
        <w:ind w:firstLine="240" w:firstLineChars="100"/>
        <w:jc w:val="left"/>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 若已成交，采购单位有权取消成交资格，解除已签订的采购合同；</w:t>
      </w:r>
    </w:p>
    <w:p w14:paraId="5CF1C98C">
      <w:pPr>
        <w:pStyle w:val="2"/>
        <w:keepNext w:val="0"/>
        <w:keepLines w:val="0"/>
        <w:pageBreakBefore w:val="0"/>
        <w:kinsoku/>
        <w:overflowPunct/>
        <w:topLinePunct w:val="0"/>
        <w:autoSpaceDE/>
        <w:autoSpaceDN/>
        <w:bidi w:val="0"/>
        <w:spacing w:line="360" w:lineRule="auto"/>
        <w:ind w:firstLine="240" w:firstLineChars="100"/>
        <w:jc w:val="left"/>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（3） 承担由此给采购单位、采购代理机构造成的全部经济损失（包括但不限于直接损失、预期利益损失、维权费用等）；</w:t>
      </w:r>
    </w:p>
    <w:p w14:paraId="5C84E0F8">
      <w:pPr>
        <w:pStyle w:val="2"/>
        <w:keepNext w:val="0"/>
        <w:keepLines w:val="0"/>
        <w:pageBreakBefore w:val="0"/>
        <w:kinsoku/>
        <w:overflowPunct/>
        <w:topLinePunct w:val="0"/>
        <w:autoSpaceDE/>
        <w:autoSpaceDN/>
        <w:bidi w:val="0"/>
        <w:spacing w:line="360" w:lineRule="auto"/>
        <w:ind w:firstLine="240" w:firstLineChars="100"/>
        <w:jc w:val="left"/>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（4） 自愿接受财政部门等监管机构的行政处罚，同意被记入政府采购不良行为记录名单，在规定期限内限制参与政府采购活动。</w:t>
      </w:r>
    </w:p>
    <w:p w14:paraId="147AF6D8">
      <w:pPr>
        <w:pStyle w:val="2"/>
        <w:keepNext w:val="0"/>
        <w:keepLines w:val="0"/>
        <w:pageBreakBefore w:val="0"/>
        <w:kinsoku/>
        <w:overflowPunct/>
        <w:topLinePunct w:val="0"/>
        <w:autoSpaceDE/>
        <w:autoSpaceDN/>
        <w:bidi w:val="0"/>
        <w:spacing w:line="360" w:lineRule="auto"/>
        <w:outlineLvl w:val="9"/>
        <w:rPr>
          <w:rFonts w:hint="eastAsia" w:ascii="宋体" w:hAnsi="宋体" w:eastAsia="宋体" w:cs="宋体"/>
          <w:color w:val="auto"/>
          <w:kern w:val="0"/>
          <w:sz w:val="24"/>
          <w:szCs w:val="24"/>
          <w:lang w:val="en-US" w:eastAsia="zh-CN" w:bidi="ar-SA"/>
        </w:rPr>
      </w:pPr>
    </w:p>
    <w:p w14:paraId="51EE965F">
      <w:pPr>
        <w:pStyle w:val="2"/>
        <w:keepNext w:val="0"/>
        <w:keepLines w:val="0"/>
        <w:pageBreakBefore w:val="0"/>
        <w:kinsoku/>
        <w:overflowPunct/>
        <w:topLinePunct w:val="0"/>
        <w:autoSpaceDE/>
        <w:autoSpaceDN/>
        <w:bidi w:val="0"/>
        <w:spacing w:line="360" w:lineRule="auto"/>
        <w:jc w:val="right"/>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供应商：              （盖章）</w:t>
      </w:r>
    </w:p>
    <w:p w14:paraId="3D6E219B">
      <w:pPr>
        <w:pStyle w:val="2"/>
        <w:keepNext w:val="0"/>
        <w:keepLines w:val="0"/>
        <w:pageBreakBefore w:val="0"/>
        <w:kinsoku/>
        <w:overflowPunct/>
        <w:topLinePunct w:val="0"/>
        <w:autoSpaceDE/>
        <w:autoSpaceDN/>
        <w:bidi w:val="0"/>
        <w:spacing w:line="360" w:lineRule="auto"/>
        <w:ind w:firstLine="6960" w:firstLineChars="2900"/>
        <w:jc w:val="both"/>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年  月   日</w:t>
      </w:r>
    </w:p>
    <w:p w14:paraId="4B826E93">
      <w:pPr>
        <w:pStyle w:val="2"/>
        <w:keepNext w:val="0"/>
        <w:keepLines w:val="0"/>
        <w:pageBreakBefore w:val="0"/>
        <w:kinsoku/>
        <w:overflowPunct/>
        <w:topLinePunct w:val="0"/>
        <w:autoSpaceDE/>
        <w:autoSpaceDN/>
        <w:bidi w:val="0"/>
        <w:spacing w:line="360" w:lineRule="auto"/>
        <w:outlineLvl w:val="9"/>
        <w:rPr>
          <w:rFonts w:hint="eastAsia" w:ascii="宋体" w:hAnsi="宋体" w:eastAsia="宋体" w:cs="宋体"/>
          <w:sz w:val="24"/>
          <w:szCs w:val="24"/>
        </w:rPr>
      </w:pPr>
    </w:p>
    <w:sectPr>
      <w:pgSz w:w="11906" w:h="16838"/>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9A432">
    <w:pPr>
      <w:pStyle w:val="5"/>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9F1E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3BD29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3BD292">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AB23B">
    <w:pPr>
      <w:pStyle w:val="5"/>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82694">
                          <w:pPr>
                            <w:pStyle w:val="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E82694">
                    <w:pPr>
                      <w:pStyle w:val="5"/>
                    </w:pPr>
                    <w:r>
                      <w:fldChar w:fldCharType="begin"/>
                    </w:r>
                    <w:r>
                      <w:instrText xml:space="preserve"> PAGE  \* MERGEFORMAT </w:instrText>
                    </w:r>
                    <w:r>
                      <w:fldChar w:fldCharType="separate"/>
                    </w:r>
                    <w:r>
                      <w:t>25</w:t>
                    </w:r>
                    <w:r>
                      <w:fldChar w:fldCharType="end"/>
                    </w:r>
                  </w:p>
                </w:txbxContent>
              </v:textbox>
            </v:shape>
          </w:pict>
        </mc:Fallback>
      </mc:AlternateContent>
    </w:r>
    <w:r>
      <w:rPr>
        <w:rFonts w:hint="eastAsia"/>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BBCBA">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1C7D1"/>
    <w:multiLevelType w:val="singleLevel"/>
    <w:tmpl w:val="9BD1C7D1"/>
    <w:lvl w:ilvl="0" w:tentative="0">
      <w:start w:val="2"/>
      <w:numFmt w:val="decimal"/>
      <w:suff w:val="nothing"/>
      <w:lvlText w:val="%1、"/>
      <w:lvlJc w:val="left"/>
    </w:lvl>
  </w:abstractNum>
  <w:abstractNum w:abstractNumId="1">
    <w:nsid w:val="10D3C3AF"/>
    <w:multiLevelType w:val="singleLevel"/>
    <w:tmpl w:val="10D3C3AF"/>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5F3F3E"/>
    <w:rsid w:val="02B8402D"/>
    <w:rsid w:val="04553F6E"/>
    <w:rsid w:val="048A6D81"/>
    <w:rsid w:val="05192CFA"/>
    <w:rsid w:val="088968DD"/>
    <w:rsid w:val="0D1E7092"/>
    <w:rsid w:val="0DC108C7"/>
    <w:rsid w:val="10F06A44"/>
    <w:rsid w:val="1DD75ED5"/>
    <w:rsid w:val="1F1717DC"/>
    <w:rsid w:val="276B3517"/>
    <w:rsid w:val="2BC23F5F"/>
    <w:rsid w:val="2D1C2650"/>
    <w:rsid w:val="338264E8"/>
    <w:rsid w:val="3C55455F"/>
    <w:rsid w:val="3DF43D98"/>
    <w:rsid w:val="445F3F3E"/>
    <w:rsid w:val="47080676"/>
    <w:rsid w:val="4976535A"/>
    <w:rsid w:val="49A352CF"/>
    <w:rsid w:val="4CF274DD"/>
    <w:rsid w:val="57952547"/>
    <w:rsid w:val="5FC5428F"/>
    <w:rsid w:val="64D836A1"/>
    <w:rsid w:val="670C5884"/>
    <w:rsid w:val="75A21E90"/>
    <w:rsid w:val="7BEE1C67"/>
    <w:rsid w:val="7D757C04"/>
    <w:rsid w:val="7D761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adjustRightInd w:val="0"/>
      <w:spacing w:line="420" w:lineRule="exact"/>
      <w:jc w:val="left"/>
      <w:textAlignment w:val="baseline"/>
    </w:pPr>
    <w:rPr>
      <w:rFonts w:ascii="楷体_GB2312" w:eastAsia="楷体_GB2312"/>
      <w:kern w:val="0"/>
      <w:sz w:val="28"/>
      <w:szCs w:val="20"/>
    </w:rPr>
  </w:style>
  <w:style w:type="paragraph" w:styleId="3">
    <w:name w:val="Body Text Indent"/>
    <w:basedOn w:val="1"/>
    <w:next w:val="4"/>
    <w:qFormat/>
    <w:uiPriority w:val="99"/>
    <w:pPr>
      <w:spacing w:after="120"/>
      <w:ind w:left="420" w:leftChars="200"/>
    </w:pPr>
  </w:style>
  <w:style w:type="paragraph" w:styleId="4">
    <w:name w:val="envelope return"/>
    <w:basedOn w:val="1"/>
    <w:semiHidden/>
    <w:qFormat/>
    <w:uiPriority w:val="0"/>
    <w:pPr>
      <w:snapToGrid w:val="0"/>
      <w:spacing w:after="200" w:line="276" w:lineRule="auto"/>
    </w:pPr>
    <w:rPr>
      <w:rFonts w:ascii="Arial" w:hAnsi="Arial" w:cs="Arial"/>
      <w:sz w:val="22"/>
      <w:szCs w:val="22"/>
      <w:lang w:eastAsia="en-US" w:bidi="en-US"/>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line="420" w:lineRule="exact"/>
    </w:pPr>
    <w:rPr>
      <w:rFonts w:ascii="Times New Roman" w:hAnsi="Times New Roman" w:cs="Times New Roman"/>
      <w:sz w:val="24"/>
      <w:szCs w:val="24"/>
    </w:rPr>
  </w:style>
  <w:style w:type="paragraph" w:styleId="9">
    <w:name w:val="Body Text First Indent"/>
    <w:basedOn w:val="2"/>
    <w:next w:val="10"/>
    <w:qFormat/>
    <w:uiPriority w:val="99"/>
    <w:pPr>
      <w:spacing w:after="120" w:line="420" w:lineRule="exact"/>
      <w:ind w:firstLine="420" w:firstLineChars="100"/>
    </w:pPr>
    <w:rPr>
      <w:rFonts w:ascii="Times New Roman" w:hAnsi="Times New Roman" w:cs="Times New Roman"/>
      <w:sz w:val="24"/>
      <w:szCs w:val="21"/>
    </w:rPr>
  </w:style>
  <w:style w:type="paragraph" w:styleId="10">
    <w:name w:val="Body Text First Indent 2"/>
    <w:basedOn w:val="3"/>
    <w:next w:val="1"/>
    <w:semiHidden/>
    <w:qFormat/>
    <w:uiPriority w:val="0"/>
    <w:pPr>
      <w:spacing w:before="100" w:beforeAutospacing="1" w:after="120" w:line="360" w:lineRule="auto"/>
      <w:ind w:left="420" w:firstLine="420"/>
    </w:pPr>
    <w:rPr>
      <w:rFonts w:eastAsia="Arial Unicode MS" w:cs="Arial Unicode MS"/>
      <w:color w:val="000000"/>
      <w:u w:val="none" w:color="000000"/>
    </w:rPr>
  </w:style>
  <w:style w:type="table" w:styleId="12">
    <w:name w:val="Table Grid"/>
    <w:basedOn w:val="11"/>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FollowedHyperlink"/>
    <w:basedOn w:val="13"/>
    <w:qFormat/>
    <w:uiPriority w:val="0"/>
    <w:rPr>
      <w:color w:val="800080"/>
      <w:u w:val="none"/>
    </w:rPr>
  </w:style>
  <w:style w:type="character" w:styleId="15">
    <w:name w:val="HTML Definition"/>
    <w:basedOn w:val="13"/>
    <w:qFormat/>
    <w:uiPriority w:val="0"/>
  </w:style>
  <w:style w:type="character" w:styleId="16">
    <w:name w:val="HTML Typewriter"/>
    <w:basedOn w:val="13"/>
    <w:qFormat/>
    <w:uiPriority w:val="0"/>
    <w:rPr>
      <w:rFonts w:hint="default" w:ascii="monospace" w:hAnsi="monospace" w:eastAsia="monospace" w:cs="monospace"/>
      <w:sz w:val="20"/>
    </w:rPr>
  </w:style>
  <w:style w:type="character" w:styleId="17">
    <w:name w:val="HTML Acronym"/>
    <w:basedOn w:val="13"/>
    <w:qFormat/>
    <w:uiPriority w:val="0"/>
  </w:style>
  <w:style w:type="character" w:styleId="18">
    <w:name w:val="HTML Variable"/>
    <w:basedOn w:val="13"/>
    <w:qFormat/>
    <w:uiPriority w:val="0"/>
  </w:style>
  <w:style w:type="character" w:styleId="19">
    <w:name w:val="Hyperlink"/>
    <w:basedOn w:val="13"/>
    <w:qFormat/>
    <w:uiPriority w:val="0"/>
    <w:rPr>
      <w:color w:val="0000FF"/>
      <w:u w:val="none"/>
    </w:rPr>
  </w:style>
  <w:style w:type="character" w:styleId="20">
    <w:name w:val="HTML Code"/>
    <w:basedOn w:val="13"/>
    <w:qFormat/>
    <w:uiPriority w:val="0"/>
    <w:rPr>
      <w:rFonts w:hint="default" w:ascii="monospace" w:hAnsi="monospace" w:eastAsia="monospace" w:cs="monospace"/>
      <w:sz w:val="20"/>
    </w:rPr>
  </w:style>
  <w:style w:type="character" w:styleId="21">
    <w:name w:val="HTML Cite"/>
    <w:basedOn w:val="13"/>
    <w:qFormat/>
    <w:uiPriority w:val="0"/>
  </w:style>
  <w:style w:type="character" w:styleId="22">
    <w:name w:val="HTML Keyboard"/>
    <w:basedOn w:val="13"/>
    <w:qFormat/>
    <w:uiPriority w:val="0"/>
    <w:rPr>
      <w:rFonts w:hint="default" w:ascii="monospace" w:hAnsi="monospace" w:eastAsia="monospace" w:cs="monospace"/>
      <w:sz w:val="20"/>
    </w:rPr>
  </w:style>
  <w:style w:type="character" w:styleId="23">
    <w:name w:val="HTML Sample"/>
    <w:basedOn w:val="13"/>
    <w:qFormat/>
    <w:uiPriority w:val="0"/>
    <w:rPr>
      <w:rFonts w:ascii="monospace" w:hAnsi="monospace" w:eastAsia="monospace" w:cs="monospace"/>
    </w:rPr>
  </w:style>
  <w:style w:type="paragraph" w:customStyle="1" w:styleId="24">
    <w:name w:val="Default"/>
    <w:next w:val="25"/>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
    <w:name w:val="大标题"/>
    <w:basedOn w:val="1"/>
    <w:next w:val="10"/>
    <w:qFormat/>
    <w:uiPriority w:val="0"/>
    <w:pPr>
      <w:pageBreakBefore/>
      <w:spacing w:after="200" w:line="720" w:lineRule="auto"/>
      <w:jc w:val="center"/>
      <w:outlineLvl w:val="0"/>
    </w:pPr>
    <w:rPr>
      <w:rFonts w:ascii="黑体" w:hAnsi="Calibri" w:eastAsia="黑体"/>
      <w:sz w:val="32"/>
      <w:szCs w:val="30"/>
      <w:lang w:eastAsia="en-US" w:bidi="en-US"/>
    </w:rPr>
  </w:style>
  <w:style w:type="paragraph" w:customStyle="1" w:styleId="26">
    <w:name w:val="无间隔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
    <w:name w:val="Table Paragraph"/>
    <w:basedOn w:val="1"/>
    <w:autoRedefine/>
    <w:qFormat/>
    <w:uiPriority w:val="1"/>
    <w:pPr>
      <w:spacing w:line="420" w:lineRule="exact"/>
    </w:pPr>
    <w:rPr>
      <w:rFonts w:hAnsi="宋体" w:cs="宋体"/>
      <w:sz w:val="24"/>
      <w:szCs w:val="24"/>
    </w:rPr>
  </w:style>
  <w:style w:type="paragraph" w:customStyle="1" w:styleId="28">
    <w:name w:val="Table Text"/>
    <w:basedOn w:val="1"/>
    <w:semiHidden/>
    <w:qFormat/>
    <w:uiPriority w:val="0"/>
    <w:rPr>
      <w:rFonts w:ascii="宋体" w:hAnsi="宋体" w:eastAsia="宋体" w:cs="宋体"/>
      <w:sz w:val="24"/>
      <w:szCs w:val="24"/>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21"/>
    <w:basedOn w:val="13"/>
    <w:qFormat/>
    <w:uiPriority w:val="0"/>
    <w:rPr>
      <w:rFonts w:hint="eastAsia" w:ascii="宋体" w:hAnsi="宋体" w:eastAsia="宋体" w:cs="宋体"/>
      <w:color w:val="000000"/>
      <w:sz w:val="20"/>
      <w:szCs w:val="20"/>
      <w:u w:val="none"/>
    </w:rPr>
  </w:style>
  <w:style w:type="character" w:customStyle="1" w:styleId="31">
    <w:name w:val="layui-layer-tabnow"/>
    <w:basedOn w:val="13"/>
    <w:qFormat/>
    <w:uiPriority w:val="0"/>
    <w:rPr>
      <w:bdr w:val="single" w:color="CCCCCC" w:sz="6" w:space="0"/>
      <w:shd w:val="clear" w:fill="FFFFFF"/>
    </w:rPr>
  </w:style>
  <w:style w:type="character" w:customStyle="1" w:styleId="32">
    <w:name w:val="first-child"/>
    <w:basedOn w:val="1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21662</Words>
  <Characters>23536</Characters>
  <Lines>0</Lines>
  <Paragraphs>0</Paragraphs>
  <TotalTime>11</TotalTime>
  <ScaleCrop>false</ScaleCrop>
  <LinksUpToDate>false</LinksUpToDate>
  <CharactersWithSpaces>24044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2025-08-22T03:29:00Z</dcterms:created>
  <dc:creator>notebook</dc:creator>
  <cp:lastModifiedBy>notebook</cp:lastModifiedBy>
  <dcterms:modified xsi:type="dcterms:W3CDTF">2026-08-14T07:46:57Z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CF9874FC2C424DF9BFCF9E6145AC7FA4_11</vt:lpwstr>
  </property>
  <property fmtid="{D5CDD505-2E9C-101B-9397-08002B2CF9AE}" pid="4" name="KSOTemplateDocerSaveRecord">
    <vt:lpwstr>eyJoZGlkIjoiMzBkYjE4YzQ5N2QyYWQ0ZTYzNTI4MjFmYWI3NzE0YmUiLCJ1c2VySWQiOiIyMDM3NjY1NzcifQ==</vt:lpwstr>
  </property>
</Properties>
</file>