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E907DD"/>
    <w:p w14:paraId="2140719F"/>
    <w:p w14:paraId="63672D38">
      <w:pPr>
        <w:pStyle w:val="4"/>
        <w:widowControl/>
        <w:tabs>
          <w:tab w:val="left" w:pos="8280"/>
        </w:tabs>
        <w:spacing w:line="360" w:lineRule="auto"/>
        <w:outlineLvl w:val="0"/>
        <w:rPr>
          <w:rFonts w:hAnsi="宋体"/>
          <w:sz w:val="44"/>
          <w:szCs w:val="44"/>
        </w:rPr>
      </w:pPr>
      <w:r>
        <w:rPr>
          <w:rFonts w:hint="eastAsia" w:hAnsi="宋体"/>
          <w:sz w:val="52"/>
          <w:szCs w:val="52"/>
        </w:rPr>
        <w:t>三门峡市“十五五”城市更新和城乡人居环境建设规划项目</w:t>
      </w:r>
    </w:p>
    <w:p w14:paraId="0C30F581">
      <w:pPr>
        <w:rPr>
          <w:rFonts w:hAnsi="宋体"/>
          <w:sz w:val="36"/>
          <w:szCs w:val="36"/>
        </w:rPr>
      </w:pPr>
    </w:p>
    <w:p w14:paraId="4F3810B6">
      <w:pPr>
        <w:rPr>
          <w:rFonts w:hAnsi="宋体"/>
          <w:sz w:val="36"/>
          <w:szCs w:val="36"/>
        </w:rPr>
      </w:pPr>
    </w:p>
    <w:p w14:paraId="5113E6B9">
      <w:pPr>
        <w:rPr>
          <w:rFonts w:hAnsi="宋体"/>
          <w:sz w:val="36"/>
          <w:szCs w:val="36"/>
        </w:rPr>
      </w:pPr>
    </w:p>
    <w:p w14:paraId="765E41BF">
      <w:pPr>
        <w:rPr>
          <w:rFonts w:hAnsi="宋体"/>
          <w:sz w:val="44"/>
          <w:szCs w:val="44"/>
        </w:rPr>
      </w:pPr>
    </w:p>
    <w:p w14:paraId="214269F5">
      <w:pPr>
        <w:pStyle w:val="4"/>
        <w:widowControl/>
        <w:tabs>
          <w:tab w:val="left" w:pos="8280"/>
        </w:tabs>
        <w:spacing w:line="360" w:lineRule="auto"/>
        <w:outlineLvl w:val="0"/>
        <w:rPr>
          <w:rFonts w:hAnsi="宋体"/>
          <w:szCs w:val="72"/>
        </w:rPr>
      </w:pPr>
      <w:r>
        <w:rPr>
          <w:rFonts w:hAnsi="宋体"/>
          <w:szCs w:val="72"/>
        </w:rPr>
        <w:t>竞争性磋商文件</w:t>
      </w:r>
    </w:p>
    <w:p w14:paraId="369252C9">
      <w:pPr>
        <w:rPr>
          <w:color w:val="FF0000"/>
        </w:rPr>
      </w:pPr>
    </w:p>
    <w:p w14:paraId="1545040E">
      <w:pPr>
        <w:jc w:val="center"/>
        <w:rPr>
          <w:rFonts w:hint="eastAsia" w:ascii="宋体" w:hAnsi="宋体"/>
          <w:b/>
          <w:sz w:val="30"/>
          <w:szCs w:val="30"/>
        </w:rPr>
      </w:pPr>
      <w:r>
        <w:rPr>
          <w:rFonts w:hint="eastAsia" w:ascii="宋体" w:hAnsi="宋体"/>
          <w:b/>
          <w:sz w:val="30"/>
          <w:szCs w:val="30"/>
        </w:rPr>
        <w:t>项目编号：三财竞磋采购-2026-38；</w:t>
      </w:r>
    </w:p>
    <w:p w14:paraId="42A8F0F3">
      <w:pPr>
        <w:jc w:val="center"/>
        <w:rPr>
          <w:rFonts w:ascii="宋体" w:hAnsi="宋体"/>
          <w:b/>
          <w:sz w:val="30"/>
          <w:szCs w:val="30"/>
        </w:rPr>
      </w:pPr>
      <w:r>
        <w:rPr>
          <w:rFonts w:hint="eastAsia" w:ascii="宋体" w:hAnsi="宋体"/>
          <w:b/>
          <w:sz w:val="30"/>
          <w:szCs w:val="30"/>
        </w:rPr>
        <w:t>SGZ[2026]256-ZC181</w:t>
      </w:r>
    </w:p>
    <w:p w14:paraId="50A9DE64">
      <w:pPr>
        <w:ind w:firstLine="3915" w:firstLineChars="1300"/>
        <w:rPr>
          <w:rFonts w:ascii="宋体" w:hAnsi="宋体"/>
          <w:b/>
          <w:color w:val="FF0000"/>
          <w:sz w:val="30"/>
          <w:szCs w:val="30"/>
        </w:rPr>
      </w:pPr>
    </w:p>
    <w:p w14:paraId="1E81A358">
      <w:pPr>
        <w:ind w:firstLine="3915" w:firstLineChars="1300"/>
        <w:rPr>
          <w:rFonts w:ascii="宋体" w:hAnsi="宋体"/>
          <w:b/>
          <w:color w:val="FF0000"/>
          <w:sz w:val="30"/>
          <w:szCs w:val="30"/>
        </w:rPr>
      </w:pPr>
    </w:p>
    <w:p w14:paraId="602EC348">
      <w:pPr>
        <w:ind w:firstLine="2409" w:firstLineChars="800"/>
        <w:rPr>
          <w:rFonts w:ascii="宋体" w:hAnsi="宋体"/>
          <w:b/>
          <w:color w:val="FF0000"/>
          <w:sz w:val="30"/>
          <w:szCs w:val="30"/>
        </w:rPr>
      </w:pPr>
    </w:p>
    <w:p w14:paraId="59F3543A">
      <w:pPr>
        <w:ind w:firstLine="2409" w:firstLineChars="800"/>
        <w:rPr>
          <w:rFonts w:ascii="宋体" w:hAnsi="宋体"/>
          <w:b/>
          <w:sz w:val="30"/>
          <w:szCs w:val="30"/>
        </w:rPr>
      </w:pPr>
      <w:r>
        <w:rPr>
          <w:rFonts w:hint="eastAsia" w:ascii="宋体" w:hAnsi="宋体"/>
          <w:b/>
          <w:sz w:val="30"/>
          <w:szCs w:val="30"/>
        </w:rPr>
        <w:t xml:space="preserve">      </w:t>
      </w:r>
    </w:p>
    <w:p w14:paraId="4FA8DB21">
      <w:pPr>
        <w:ind w:firstLine="2409" w:firstLineChars="800"/>
      </w:pPr>
      <w:r>
        <w:rPr>
          <w:rFonts w:hint="eastAsia" w:ascii="宋体" w:hAnsi="宋体"/>
          <w:b/>
          <w:sz w:val="30"/>
          <w:szCs w:val="30"/>
        </w:rPr>
        <w:t xml:space="preserve">            </w:t>
      </w:r>
    </w:p>
    <w:p w14:paraId="63EE7845">
      <w:pPr>
        <w:spacing w:line="360" w:lineRule="auto"/>
        <w:ind w:firstLine="1789" w:firstLineChars="495"/>
        <w:rPr>
          <w:rFonts w:ascii="宋体" w:hAnsi="宋体"/>
          <w:b/>
          <w:sz w:val="36"/>
          <w:szCs w:val="36"/>
        </w:rPr>
      </w:pPr>
    </w:p>
    <w:p w14:paraId="5CF8A115">
      <w:pPr>
        <w:spacing w:line="360" w:lineRule="auto"/>
        <w:rPr>
          <w:rFonts w:ascii="宋体" w:hAnsi="宋体"/>
          <w:b/>
          <w:sz w:val="36"/>
          <w:szCs w:val="36"/>
        </w:rPr>
      </w:pPr>
    </w:p>
    <w:p w14:paraId="13999BA7"/>
    <w:p w14:paraId="611B9AC9"/>
    <w:p w14:paraId="7729AC22">
      <w:pPr>
        <w:spacing w:line="360" w:lineRule="auto"/>
        <w:ind w:firstLine="1807" w:firstLineChars="500"/>
        <w:rPr>
          <w:rFonts w:ascii="宋体" w:hAnsi="宋体"/>
          <w:b/>
          <w:sz w:val="36"/>
          <w:szCs w:val="36"/>
        </w:rPr>
      </w:pPr>
      <w:r>
        <w:rPr>
          <w:rFonts w:hint="eastAsia" w:ascii="宋体" w:hAnsi="宋体"/>
          <w:b/>
          <w:sz w:val="36"/>
          <w:szCs w:val="36"/>
        </w:rPr>
        <w:t>采 购 人：三门峡市住房和城乡建设局</w:t>
      </w:r>
    </w:p>
    <w:p w14:paraId="7CD1094E">
      <w:pPr>
        <w:spacing w:line="360" w:lineRule="auto"/>
        <w:ind w:firstLine="1807" w:firstLineChars="500"/>
        <w:rPr>
          <w:rFonts w:ascii="宋体" w:hAnsi="宋体"/>
          <w:b/>
          <w:sz w:val="36"/>
          <w:szCs w:val="36"/>
        </w:rPr>
      </w:pPr>
      <w:r>
        <w:rPr>
          <w:rFonts w:hint="eastAsia" w:ascii="宋体" w:hAnsi="宋体"/>
          <w:b/>
          <w:sz w:val="36"/>
          <w:szCs w:val="36"/>
        </w:rPr>
        <w:t>代理机构：河南嘉泰工程管理有限公司</w:t>
      </w:r>
    </w:p>
    <w:p w14:paraId="7EBF57AB">
      <w:pPr>
        <w:spacing w:line="360" w:lineRule="auto"/>
        <w:ind w:firstLine="1807" w:firstLineChars="500"/>
        <w:rPr>
          <w:rFonts w:ascii="宋体" w:hAnsi="宋体"/>
          <w:b/>
          <w:sz w:val="36"/>
          <w:szCs w:val="36"/>
        </w:rPr>
      </w:pPr>
      <w:r>
        <w:rPr>
          <w:rFonts w:ascii="宋体" w:hAnsi="宋体"/>
          <w:b/>
          <w:sz w:val="36"/>
          <w:szCs w:val="36"/>
        </w:rPr>
        <w:t>日</w:t>
      </w:r>
      <w:r>
        <w:rPr>
          <w:rFonts w:hint="eastAsia" w:ascii="宋体" w:hAnsi="宋体"/>
          <w:b/>
          <w:sz w:val="36"/>
          <w:szCs w:val="36"/>
        </w:rPr>
        <w:t xml:space="preserve">    </w:t>
      </w:r>
      <w:r>
        <w:rPr>
          <w:rFonts w:ascii="宋体" w:hAnsi="宋体"/>
          <w:b/>
          <w:sz w:val="36"/>
          <w:szCs w:val="36"/>
        </w:rPr>
        <w:t>期：</w:t>
      </w:r>
      <w:r>
        <w:rPr>
          <w:rFonts w:hint="eastAsia" w:ascii="宋体" w:hAnsi="宋体"/>
          <w:b/>
          <w:sz w:val="36"/>
          <w:szCs w:val="36"/>
        </w:rPr>
        <w:t>二〇二六年八月</w:t>
      </w:r>
    </w:p>
    <w:p w14:paraId="017D2B5C">
      <w:pPr>
        <w:spacing w:line="360" w:lineRule="auto"/>
        <w:rPr>
          <w:rFonts w:ascii="宋体" w:hAnsi="宋体"/>
          <w:b/>
          <w:sz w:val="28"/>
          <w:szCs w:val="20"/>
          <w:lang w:bidi="ar"/>
        </w:rPr>
        <w:sectPr>
          <w:pgSz w:w="11915" w:h="16840"/>
          <w:pgMar w:top="1247" w:right="1135" w:bottom="1247" w:left="1236" w:header="851" w:footer="992" w:gutter="0"/>
          <w:cols w:space="720" w:num="1"/>
          <w:docGrid w:type="lines" w:linePitch="312" w:charSpace="0"/>
        </w:sectPr>
      </w:pPr>
    </w:p>
    <w:p w14:paraId="2793E61C">
      <w:pPr>
        <w:tabs>
          <w:tab w:val="left" w:pos="8280"/>
        </w:tabs>
        <w:spacing w:line="360" w:lineRule="auto"/>
        <w:jc w:val="center"/>
        <w:outlineLvl w:val="0"/>
        <w:rPr>
          <w:rFonts w:ascii="宋体" w:hAnsi="宋体" w:cs="宋体"/>
          <w:b/>
          <w:sz w:val="44"/>
          <w:szCs w:val="44"/>
        </w:rPr>
      </w:pPr>
      <w:r>
        <w:rPr>
          <w:rFonts w:hint="eastAsia" w:ascii="宋体" w:hAnsi="宋体" w:cs="宋体"/>
          <w:b/>
          <w:sz w:val="44"/>
          <w:szCs w:val="44"/>
          <w:lang w:bidi="ar"/>
        </w:rPr>
        <w:t>目  录</w:t>
      </w:r>
    </w:p>
    <w:p w14:paraId="3F0B1B62">
      <w:pPr>
        <w:tabs>
          <w:tab w:val="left" w:pos="8280"/>
        </w:tabs>
        <w:spacing w:line="360" w:lineRule="auto"/>
        <w:jc w:val="center"/>
        <w:rPr>
          <w:rFonts w:ascii="宋体" w:hAnsi="宋体" w:cs="宋体"/>
          <w:b/>
          <w:sz w:val="32"/>
          <w:szCs w:val="32"/>
        </w:rPr>
      </w:pPr>
    </w:p>
    <w:p w14:paraId="65EFF4B5"/>
    <w:p w14:paraId="0EF94D96">
      <w:pPr>
        <w:rPr>
          <w:rFonts w:ascii="宋体" w:hAnsi="宋体" w:cs="宋体"/>
          <w:sz w:val="30"/>
          <w:szCs w:val="30"/>
        </w:rPr>
      </w:pPr>
      <w:r>
        <w:rPr>
          <w:rFonts w:hint="eastAsia" w:ascii="宋体" w:hAnsi="宋体" w:cs="宋体"/>
          <w:sz w:val="30"/>
          <w:szCs w:val="30"/>
        </w:rPr>
        <w:t>第一章  竞争性磋商公告...............................3</w:t>
      </w:r>
    </w:p>
    <w:p w14:paraId="3EE6FD07">
      <w:pPr>
        <w:rPr>
          <w:rFonts w:ascii="宋体" w:hAnsi="宋体" w:cs="宋体"/>
          <w:sz w:val="30"/>
          <w:szCs w:val="30"/>
        </w:rPr>
      </w:pPr>
      <w:r>
        <w:rPr>
          <w:rFonts w:hint="eastAsia" w:ascii="宋体" w:hAnsi="宋体" w:cs="宋体"/>
          <w:sz w:val="30"/>
          <w:szCs w:val="30"/>
        </w:rPr>
        <w:t>第二章  供应商须知...................................7</w:t>
      </w:r>
    </w:p>
    <w:p w14:paraId="28CD1139">
      <w:pPr>
        <w:rPr>
          <w:rFonts w:ascii="宋体" w:hAnsi="宋体" w:cs="宋体"/>
          <w:sz w:val="30"/>
          <w:szCs w:val="30"/>
        </w:rPr>
      </w:pPr>
      <w:r>
        <w:rPr>
          <w:rFonts w:hint="eastAsia" w:ascii="宋体" w:hAnsi="宋体" w:cs="宋体"/>
          <w:sz w:val="30"/>
          <w:szCs w:val="30"/>
        </w:rPr>
        <w:t>第三章  项目内容及要求...............................21</w:t>
      </w:r>
    </w:p>
    <w:p w14:paraId="2924D4E9">
      <w:pPr>
        <w:rPr>
          <w:rFonts w:ascii="宋体" w:hAnsi="宋体" w:cs="宋体"/>
          <w:sz w:val="30"/>
          <w:szCs w:val="30"/>
        </w:rPr>
      </w:pPr>
      <w:r>
        <w:rPr>
          <w:rFonts w:hint="eastAsia" w:ascii="宋体" w:hAnsi="宋体" w:cs="宋体"/>
          <w:sz w:val="30"/>
          <w:szCs w:val="30"/>
        </w:rPr>
        <w:t>第四章  评标办法.....................................28</w:t>
      </w:r>
    </w:p>
    <w:p w14:paraId="39419231">
      <w:pPr>
        <w:rPr>
          <w:rFonts w:ascii="宋体" w:hAnsi="宋体" w:cs="宋体"/>
          <w:sz w:val="30"/>
          <w:szCs w:val="30"/>
        </w:rPr>
      </w:pPr>
      <w:r>
        <w:rPr>
          <w:rFonts w:hint="eastAsia" w:ascii="宋体" w:hAnsi="宋体" w:cs="宋体"/>
          <w:sz w:val="30"/>
          <w:szCs w:val="30"/>
        </w:rPr>
        <w:t>第五章  政府采购合同.................................35</w:t>
      </w:r>
    </w:p>
    <w:p w14:paraId="0FA64738">
      <w:pPr>
        <w:rPr>
          <w:rFonts w:ascii="宋体" w:hAnsi="宋体" w:cs="宋体"/>
          <w:sz w:val="30"/>
          <w:szCs w:val="30"/>
        </w:rPr>
      </w:pPr>
      <w:r>
        <w:rPr>
          <w:rFonts w:hint="eastAsia" w:ascii="宋体" w:hAnsi="宋体" w:cs="宋体"/>
          <w:sz w:val="30"/>
          <w:szCs w:val="30"/>
        </w:rPr>
        <w:t>第六章  响应文件主要内容和格式.......................39</w:t>
      </w:r>
    </w:p>
    <w:p w14:paraId="2293DA65">
      <w:pPr>
        <w:widowControl/>
        <w:tabs>
          <w:tab w:val="left" w:pos="1260"/>
          <w:tab w:val="left" w:pos="7920"/>
        </w:tabs>
        <w:spacing w:before="100" w:beforeAutospacing="1" w:after="100" w:afterAutospacing="1" w:line="480" w:lineRule="auto"/>
        <w:rPr>
          <w:rFonts w:ascii="宋体" w:hAnsi="宋体" w:cs="宋体"/>
          <w:b/>
          <w:kern w:val="0"/>
          <w:sz w:val="32"/>
          <w:szCs w:val="32"/>
        </w:rPr>
      </w:pPr>
    </w:p>
    <w:p w14:paraId="42FDB9BC">
      <w:pPr>
        <w:widowControl/>
        <w:tabs>
          <w:tab w:val="left" w:pos="1260"/>
          <w:tab w:val="left" w:pos="7920"/>
        </w:tabs>
        <w:spacing w:before="100" w:beforeAutospacing="1" w:after="100" w:afterAutospacing="1" w:line="480" w:lineRule="auto"/>
        <w:rPr>
          <w:rFonts w:ascii="宋体" w:hAnsi="宋体" w:cs="宋体"/>
          <w:b/>
          <w:kern w:val="0"/>
          <w:sz w:val="32"/>
          <w:szCs w:val="32"/>
        </w:rPr>
      </w:pPr>
    </w:p>
    <w:p w14:paraId="3DB29610">
      <w:pPr>
        <w:widowControl/>
        <w:tabs>
          <w:tab w:val="left" w:pos="1260"/>
          <w:tab w:val="left" w:pos="7920"/>
        </w:tabs>
        <w:spacing w:before="100" w:beforeAutospacing="1" w:after="100" w:afterAutospacing="1" w:line="480" w:lineRule="auto"/>
        <w:rPr>
          <w:rFonts w:ascii="宋体" w:hAnsi="宋体" w:cs="宋体"/>
          <w:b/>
          <w:kern w:val="0"/>
          <w:sz w:val="32"/>
          <w:szCs w:val="32"/>
        </w:rPr>
      </w:pPr>
    </w:p>
    <w:p w14:paraId="6468E557">
      <w:pPr>
        <w:widowControl/>
        <w:tabs>
          <w:tab w:val="left" w:pos="1260"/>
          <w:tab w:val="left" w:pos="7920"/>
        </w:tabs>
        <w:spacing w:before="100" w:beforeAutospacing="1" w:after="100" w:afterAutospacing="1" w:line="480" w:lineRule="auto"/>
        <w:rPr>
          <w:rFonts w:ascii="宋体" w:hAnsi="宋体" w:cs="宋体"/>
          <w:b/>
          <w:kern w:val="0"/>
          <w:sz w:val="32"/>
          <w:szCs w:val="32"/>
        </w:rPr>
      </w:pPr>
    </w:p>
    <w:p w14:paraId="4717CFC1">
      <w:pPr>
        <w:widowControl/>
        <w:tabs>
          <w:tab w:val="left" w:pos="1260"/>
          <w:tab w:val="left" w:pos="7920"/>
        </w:tabs>
        <w:spacing w:before="100" w:beforeAutospacing="1" w:after="100" w:afterAutospacing="1" w:line="480" w:lineRule="auto"/>
        <w:rPr>
          <w:rFonts w:ascii="宋体" w:hAnsi="宋体" w:cs="宋体"/>
          <w:b/>
          <w:kern w:val="0"/>
          <w:sz w:val="32"/>
          <w:szCs w:val="32"/>
        </w:rPr>
      </w:pPr>
    </w:p>
    <w:p w14:paraId="24E0C155">
      <w:pPr>
        <w:widowControl/>
        <w:tabs>
          <w:tab w:val="left" w:pos="1260"/>
          <w:tab w:val="left" w:pos="7920"/>
        </w:tabs>
        <w:spacing w:before="100" w:beforeAutospacing="1" w:after="100" w:afterAutospacing="1" w:line="480" w:lineRule="auto"/>
        <w:rPr>
          <w:rFonts w:ascii="宋体" w:hAnsi="宋体" w:cs="宋体"/>
          <w:b/>
          <w:kern w:val="0"/>
          <w:sz w:val="32"/>
          <w:szCs w:val="32"/>
        </w:rPr>
      </w:pPr>
    </w:p>
    <w:p w14:paraId="40916B5F">
      <w:pPr>
        <w:widowControl/>
        <w:tabs>
          <w:tab w:val="left" w:pos="1260"/>
          <w:tab w:val="left" w:pos="7920"/>
        </w:tabs>
        <w:spacing w:before="100" w:beforeAutospacing="1" w:after="100" w:afterAutospacing="1" w:line="480" w:lineRule="auto"/>
        <w:rPr>
          <w:rFonts w:ascii="宋体" w:hAnsi="宋体" w:cs="宋体"/>
          <w:b/>
          <w:kern w:val="0"/>
          <w:sz w:val="32"/>
          <w:szCs w:val="32"/>
        </w:rPr>
      </w:pPr>
    </w:p>
    <w:p w14:paraId="1E8BE5EF">
      <w:pPr>
        <w:widowControl/>
        <w:tabs>
          <w:tab w:val="left" w:pos="1260"/>
          <w:tab w:val="left" w:pos="7920"/>
        </w:tabs>
        <w:spacing w:before="100" w:beforeAutospacing="1" w:after="100" w:afterAutospacing="1" w:line="480" w:lineRule="auto"/>
        <w:rPr>
          <w:rFonts w:ascii="宋体" w:hAnsi="宋体" w:cs="宋体"/>
          <w:b/>
          <w:kern w:val="0"/>
          <w:sz w:val="32"/>
          <w:szCs w:val="32"/>
        </w:rPr>
      </w:pPr>
    </w:p>
    <w:p w14:paraId="349FAB67">
      <w:pPr>
        <w:autoSpaceDE w:val="0"/>
        <w:autoSpaceDN w:val="0"/>
        <w:adjustRightInd w:val="0"/>
        <w:spacing w:line="360" w:lineRule="auto"/>
        <w:jc w:val="center"/>
        <w:rPr>
          <w:rFonts w:ascii="宋体" w:hAnsi="宋体" w:cs="宋体"/>
          <w:b/>
          <w:kern w:val="0"/>
          <w:sz w:val="36"/>
          <w:szCs w:val="36"/>
          <w:lang w:bidi="ar"/>
        </w:rPr>
      </w:pPr>
    </w:p>
    <w:p w14:paraId="70FDC65E">
      <w:pPr>
        <w:autoSpaceDE w:val="0"/>
        <w:autoSpaceDN w:val="0"/>
        <w:adjustRightInd w:val="0"/>
        <w:spacing w:line="360" w:lineRule="auto"/>
        <w:jc w:val="center"/>
        <w:rPr>
          <w:rFonts w:ascii="宋体" w:hAnsi="宋体" w:cs="宋体"/>
          <w:b/>
          <w:kern w:val="0"/>
          <w:sz w:val="36"/>
          <w:szCs w:val="36"/>
          <w:lang w:bidi="ar"/>
        </w:rPr>
      </w:pPr>
    </w:p>
    <w:p w14:paraId="6B92C5B9">
      <w:pPr>
        <w:autoSpaceDE w:val="0"/>
        <w:autoSpaceDN w:val="0"/>
        <w:adjustRightInd w:val="0"/>
        <w:spacing w:line="360" w:lineRule="auto"/>
        <w:jc w:val="center"/>
        <w:rPr>
          <w:rFonts w:ascii="宋体" w:hAnsi="宋体" w:cs="宋体"/>
          <w:b/>
          <w:kern w:val="0"/>
          <w:sz w:val="36"/>
          <w:szCs w:val="36"/>
          <w:lang w:bidi="ar"/>
        </w:rPr>
      </w:pPr>
      <w:r>
        <w:rPr>
          <w:rFonts w:hint="eastAsia" w:ascii="宋体" w:hAnsi="宋体" w:cs="宋体"/>
          <w:b/>
          <w:kern w:val="0"/>
          <w:sz w:val="36"/>
          <w:szCs w:val="36"/>
          <w:lang w:bidi="ar"/>
        </w:rPr>
        <w:t>第一章  竞争性磋商公告</w:t>
      </w:r>
    </w:p>
    <w:p w14:paraId="05137B60">
      <w:pPr>
        <w:spacing w:line="360" w:lineRule="auto"/>
        <w:ind w:firstLine="480" w:firstLineChars="200"/>
        <w:rPr>
          <w:rFonts w:ascii="宋体" w:hAnsi="宋体" w:cs="宋体"/>
          <w:sz w:val="24"/>
        </w:rPr>
      </w:pPr>
      <w:r>
        <w:rPr>
          <w:rFonts w:hint="eastAsia" w:ascii="宋体" w:hAnsi="宋体" w:cs="宋体"/>
          <w:sz w:val="24"/>
        </w:rPr>
        <w:t>项目概况</w:t>
      </w:r>
    </w:p>
    <w:p w14:paraId="41FBFC96">
      <w:pPr>
        <w:spacing w:line="360" w:lineRule="auto"/>
        <w:ind w:firstLine="480" w:firstLineChars="200"/>
        <w:rPr>
          <w:rFonts w:ascii="宋体" w:hAnsi="宋体" w:cs="宋体"/>
          <w:sz w:val="24"/>
        </w:rPr>
      </w:pPr>
      <w:r>
        <w:rPr>
          <w:rFonts w:hint="eastAsia" w:ascii="宋体" w:hAnsi="宋体" w:cs="宋体"/>
          <w:sz w:val="24"/>
        </w:rPr>
        <w:t>三门峡市“十五五”城市更新和城乡人居环境建设规划项目的潜在供应商凭CA登录三门峡市公共资源交易中心网获取磋商文件，并于2026年</w:t>
      </w:r>
      <w:r>
        <w:rPr>
          <w:rFonts w:hint="eastAsia" w:ascii="宋体" w:hAnsi="宋体" w:cs="宋体"/>
          <w:sz w:val="24"/>
          <w:lang w:val="en-US" w:eastAsia="zh-CN"/>
        </w:rPr>
        <w:t>08</w:t>
      </w:r>
      <w:r>
        <w:rPr>
          <w:rFonts w:hint="eastAsia" w:ascii="宋体" w:hAnsi="宋体" w:cs="宋体"/>
          <w:sz w:val="24"/>
        </w:rPr>
        <w:t>月</w:t>
      </w:r>
      <w:r>
        <w:rPr>
          <w:rFonts w:hint="eastAsia" w:ascii="宋体" w:hAnsi="宋体" w:cs="宋体"/>
          <w:sz w:val="24"/>
          <w:lang w:val="en-US" w:eastAsia="zh-CN"/>
        </w:rPr>
        <w:t>31</w:t>
      </w:r>
      <w:r>
        <w:rPr>
          <w:rFonts w:hint="eastAsia" w:ascii="宋体" w:hAnsi="宋体" w:cs="宋体"/>
          <w:sz w:val="24"/>
        </w:rPr>
        <w:t>日08时30分（北京时间）前提交响应文件。</w:t>
      </w:r>
    </w:p>
    <w:p w14:paraId="4103CE9C">
      <w:pPr>
        <w:spacing w:line="360" w:lineRule="auto"/>
        <w:ind w:firstLine="480" w:firstLineChars="200"/>
        <w:rPr>
          <w:rFonts w:ascii="宋体" w:hAnsi="宋体" w:cs="宋体"/>
          <w:sz w:val="24"/>
        </w:rPr>
      </w:pPr>
      <w:r>
        <w:rPr>
          <w:rFonts w:hint="eastAsia" w:ascii="宋体" w:hAnsi="宋体" w:cs="宋体"/>
          <w:sz w:val="24"/>
        </w:rPr>
        <w:t>一、项目基本情况</w:t>
      </w:r>
    </w:p>
    <w:p w14:paraId="2D6542DC">
      <w:pPr>
        <w:spacing w:line="360" w:lineRule="auto"/>
        <w:ind w:firstLine="480" w:firstLineChars="200"/>
        <w:rPr>
          <w:rFonts w:ascii="宋体" w:hAnsi="宋体" w:cs="宋体"/>
          <w:sz w:val="24"/>
        </w:rPr>
      </w:pPr>
      <w:r>
        <w:rPr>
          <w:rFonts w:hint="eastAsia" w:ascii="宋体" w:hAnsi="宋体" w:cs="宋体"/>
          <w:sz w:val="24"/>
        </w:rPr>
        <w:t>1、项目编号：三财竞磋采购-2026-38；SGZ[2026]256-ZC181</w:t>
      </w:r>
    </w:p>
    <w:p w14:paraId="07EFF5DD">
      <w:pPr>
        <w:spacing w:line="360" w:lineRule="auto"/>
        <w:ind w:firstLine="480" w:firstLineChars="200"/>
        <w:rPr>
          <w:rFonts w:ascii="宋体" w:hAnsi="宋体" w:cs="宋体"/>
          <w:sz w:val="24"/>
        </w:rPr>
      </w:pPr>
      <w:r>
        <w:rPr>
          <w:rFonts w:hint="eastAsia" w:ascii="宋体" w:hAnsi="宋体" w:cs="宋体"/>
          <w:sz w:val="24"/>
        </w:rPr>
        <w:t>2、项目名称：三门峡市“十五五”城市更新和城乡人居环境建设规划项目</w:t>
      </w:r>
    </w:p>
    <w:p w14:paraId="38A7C602">
      <w:pPr>
        <w:spacing w:line="360" w:lineRule="auto"/>
        <w:ind w:firstLine="480" w:firstLineChars="200"/>
        <w:rPr>
          <w:rFonts w:ascii="宋体" w:hAnsi="宋体" w:cs="宋体"/>
          <w:sz w:val="24"/>
        </w:rPr>
      </w:pPr>
      <w:r>
        <w:rPr>
          <w:rFonts w:hint="eastAsia" w:ascii="宋体" w:hAnsi="宋体" w:cs="宋体"/>
          <w:sz w:val="24"/>
        </w:rPr>
        <w:t>3、采购方式：竞争性磋商</w:t>
      </w:r>
    </w:p>
    <w:p w14:paraId="7DADCB74">
      <w:pPr>
        <w:spacing w:line="360" w:lineRule="auto"/>
        <w:ind w:firstLine="480" w:firstLineChars="200"/>
        <w:rPr>
          <w:rFonts w:ascii="宋体" w:hAnsi="宋体" w:cs="宋体"/>
          <w:sz w:val="24"/>
        </w:rPr>
      </w:pPr>
      <w:r>
        <w:rPr>
          <w:rFonts w:hint="eastAsia" w:ascii="宋体" w:hAnsi="宋体" w:cs="宋体"/>
          <w:sz w:val="24"/>
        </w:rPr>
        <w:t>4、预算金额：934000.00元</w:t>
      </w:r>
    </w:p>
    <w:p w14:paraId="75BCAD56">
      <w:pPr>
        <w:spacing w:line="360" w:lineRule="auto"/>
        <w:ind w:firstLine="720" w:firstLineChars="300"/>
        <w:rPr>
          <w:rFonts w:ascii="宋体" w:hAnsi="宋体" w:cs="宋体"/>
          <w:sz w:val="24"/>
        </w:rPr>
      </w:pPr>
      <w:r>
        <w:rPr>
          <w:rFonts w:hint="eastAsia" w:ascii="宋体" w:hAnsi="宋体" w:cs="宋体"/>
          <w:sz w:val="24"/>
        </w:rPr>
        <w:t>最高限价：934000.00元</w:t>
      </w:r>
    </w:p>
    <w:tbl>
      <w:tblPr>
        <w:tblStyle w:val="15"/>
        <w:tblW w:w="9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47"/>
        <w:gridCol w:w="2738"/>
        <w:gridCol w:w="1528"/>
        <w:gridCol w:w="1933"/>
      </w:tblGrid>
      <w:tr w14:paraId="1501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356271F9">
            <w:pPr>
              <w:spacing w:line="360" w:lineRule="auto"/>
              <w:jc w:val="center"/>
              <w:rPr>
                <w:rFonts w:ascii="宋体" w:hAnsi="宋体" w:cs="宋体"/>
                <w:sz w:val="24"/>
              </w:rPr>
            </w:pPr>
            <w:r>
              <w:rPr>
                <w:rFonts w:hint="eastAsia" w:ascii="宋体" w:hAnsi="宋体" w:cs="宋体"/>
                <w:sz w:val="24"/>
              </w:rPr>
              <w:t>序号</w:t>
            </w:r>
          </w:p>
        </w:tc>
        <w:tc>
          <w:tcPr>
            <w:tcW w:w="2647" w:type="dxa"/>
            <w:vAlign w:val="center"/>
          </w:tcPr>
          <w:p w14:paraId="694B46C3">
            <w:pPr>
              <w:spacing w:line="360" w:lineRule="auto"/>
              <w:jc w:val="center"/>
              <w:rPr>
                <w:rFonts w:ascii="宋体" w:hAnsi="宋体" w:cs="宋体"/>
                <w:sz w:val="24"/>
              </w:rPr>
            </w:pPr>
            <w:r>
              <w:rPr>
                <w:rFonts w:hint="eastAsia" w:ascii="宋体" w:hAnsi="宋体" w:cs="宋体"/>
                <w:sz w:val="24"/>
              </w:rPr>
              <w:t>包号</w:t>
            </w:r>
          </w:p>
        </w:tc>
        <w:tc>
          <w:tcPr>
            <w:tcW w:w="2738" w:type="dxa"/>
            <w:vAlign w:val="center"/>
          </w:tcPr>
          <w:p w14:paraId="3184DEB5">
            <w:pPr>
              <w:spacing w:line="360" w:lineRule="auto"/>
              <w:jc w:val="center"/>
              <w:rPr>
                <w:rFonts w:ascii="宋体" w:hAnsi="宋体" w:cs="宋体"/>
                <w:sz w:val="24"/>
              </w:rPr>
            </w:pPr>
            <w:r>
              <w:rPr>
                <w:rFonts w:hint="eastAsia" w:ascii="宋体" w:hAnsi="宋体" w:cs="宋体"/>
                <w:sz w:val="24"/>
              </w:rPr>
              <w:t>包名称</w:t>
            </w:r>
          </w:p>
        </w:tc>
        <w:tc>
          <w:tcPr>
            <w:tcW w:w="1528" w:type="dxa"/>
            <w:vAlign w:val="center"/>
          </w:tcPr>
          <w:p w14:paraId="5E60D2C9">
            <w:pPr>
              <w:spacing w:line="360" w:lineRule="auto"/>
              <w:jc w:val="center"/>
              <w:rPr>
                <w:rFonts w:ascii="宋体" w:hAnsi="宋体" w:cs="宋体"/>
                <w:sz w:val="24"/>
              </w:rPr>
            </w:pPr>
            <w:r>
              <w:rPr>
                <w:rFonts w:hint="eastAsia" w:ascii="宋体" w:hAnsi="宋体" w:cs="宋体"/>
                <w:sz w:val="24"/>
              </w:rPr>
              <w:t>包预算</w:t>
            </w:r>
          </w:p>
        </w:tc>
        <w:tc>
          <w:tcPr>
            <w:tcW w:w="1933" w:type="dxa"/>
            <w:vAlign w:val="center"/>
          </w:tcPr>
          <w:p w14:paraId="7A279BDD">
            <w:pPr>
              <w:spacing w:line="360" w:lineRule="auto"/>
              <w:jc w:val="center"/>
              <w:rPr>
                <w:rFonts w:ascii="宋体" w:hAnsi="宋体" w:cs="宋体"/>
                <w:sz w:val="24"/>
              </w:rPr>
            </w:pPr>
            <w:r>
              <w:rPr>
                <w:rFonts w:hint="eastAsia" w:ascii="宋体" w:hAnsi="宋体" w:cs="宋体"/>
                <w:sz w:val="24"/>
              </w:rPr>
              <w:t>包最高限价（元）</w:t>
            </w:r>
          </w:p>
        </w:tc>
      </w:tr>
      <w:tr w14:paraId="4AEAA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6D5D23E2">
            <w:pPr>
              <w:spacing w:line="360" w:lineRule="auto"/>
              <w:jc w:val="center"/>
              <w:rPr>
                <w:rFonts w:ascii="宋体" w:hAnsi="宋体" w:cs="宋体"/>
                <w:sz w:val="24"/>
              </w:rPr>
            </w:pPr>
            <w:r>
              <w:rPr>
                <w:rFonts w:hint="eastAsia" w:ascii="宋体" w:hAnsi="宋体" w:cs="宋体"/>
                <w:sz w:val="24"/>
              </w:rPr>
              <w:t>1</w:t>
            </w:r>
          </w:p>
        </w:tc>
        <w:tc>
          <w:tcPr>
            <w:tcW w:w="2647" w:type="dxa"/>
            <w:vAlign w:val="center"/>
          </w:tcPr>
          <w:p w14:paraId="39957A49">
            <w:pPr>
              <w:spacing w:line="360" w:lineRule="auto"/>
              <w:jc w:val="center"/>
              <w:rPr>
                <w:rFonts w:ascii="宋体" w:hAnsi="宋体" w:cs="宋体"/>
                <w:sz w:val="24"/>
              </w:rPr>
            </w:pPr>
            <w:r>
              <w:rPr>
                <w:rFonts w:hint="eastAsia" w:ascii="宋体" w:hAnsi="宋体" w:cs="宋体"/>
                <w:sz w:val="24"/>
              </w:rPr>
              <w:t>SGZ[2026]256-ZC181-1</w:t>
            </w:r>
          </w:p>
        </w:tc>
        <w:tc>
          <w:tcPr>
            <w:tcW w:w="2738" w:type="dxa"/>
            <w:vAlign w:val="center"/>
          </w:tcPr>
          <w:p w14:paraId="0E9DD653">
            <w:pPr>
              <w:spacing w:line="360" w:lineRule="auto"/>
              <w:jc w:val="center"/>
              <w:rPr>
                <w:rFonts w:ascii="宋体" w:hAnsi="宋体" w:cs="宋体"/>
                <w:sz w:val="24"/>
              </w:rPr>
            </w:pPr>
            <w:r>
              <w:rPr>
                <w:rFonts w:hint="eastAsia" w:ascii="宋体" w:hAnsi="宋体" w:cs="宋体"/>
                <w:sz w:val="24"/>
              </w:rPr>
              <w:t>三门峡市“十五五”城市更新和城乡人居环境建设规划项目</w:t>
            </w:r>
          </w:p>
        </w:tc>
        <w:tc>
          <w:tcPr>
            <w:tcW w:w="1528" w:type="dxa"/>
            <w:vAlign w:val="center"/>
          </w:tcPr>
          <w:p w14:paraId="7B7850FD">
            <w:pPr>
              <w:spacing w:line="360" w:lineRule="auto"/>
              <w:jc w:val="center"/>
              <w:rPr>
                <w:rFonts w:ascii="宋体" w:hAnsi="宋体" w:cs="宋体"/>
                <w:sz w:val="24"/>
              </w:rPr>
            </w:pPr>
            <w:r>
              <w:rPr>
                <w:rFonts w:hint="eastAsia" w:ascii="宋体" w:hAnsi="宋体" w:cs="宋体"/>
                <w:sz w:val="24"/>
              </w:rPr>
              <w:t>934000.00</w:t>
            </w:r>
          </w:p>
        </w:tc>
        <w:tc>
          <w:tcPr>
            <w:tcW w:w="1933" w:type="dxa"/>
            <w:vAlign w:val="center"/>
          </w:tcPr>
          <w:p w14:paraId="1ECB99B3">
            <w:pPr>
              <w:spacing w:line="360" w:lineRule="auto"/>
              <w:jc w:val="center"/>
              <w:rPr>
                <w:rFonts w:ascii="宋体" w:hAnsi="宋体" w:cs="宋体"/>
                <w:sz w:val="24"/>
              </w:rPr>
            </w:pPr>
            <w:r>
              <w:rPr>
                <w:rFonts w:hint="eastAsia" w:ascii="宋体" w:hAnsi="宋体" w:cs="宋体"/>
                <w:sz w:val="24"/>
              </w:rPr>
              <w:t>934000.00</w:t>
            </w:r>
          </w:p>
        </w:tc>
      </w:tr>
    </w:tbl>
    <w:p w14:paraId="2158CE15">
      <w:pPr>
        <w:spacing w:line="360" w:lineRule="auto"/>
        <w:ind w:firstLine="480" w:firstLineChars="200"/>
        <w:rPr>
          <w:rFonts w:ascii="宋体" w:hAnsi="宋体"/>
          <w:sz w:val="24"/>
        </w:rPr>
      </w:pPr>
      <w:r>
        <w:rPr>
          <w:rFonts w:ascii="宋体" w:hAnsi="宋体"/>
          <w:sz w:val="24"/>
        </w:rPr>
        <w:t>5、</w:t>
      </w:r>
      <w:r>
        <w:rPr>
          <w:rFonts w:hint="eastAsia" w:ascii="宋体" w:hAnsi="宋体"/>
          <w:sz w:val="24"/>
        </w:rPr>
        <w:t>采购需求</w:t>
      </w:r>
      <w:r>
        <w:rPr>
          <w:rFonts w:ascii="宋体" w:hAnsi="宋体"/>
          <w:sz w:val="24"/>
        </w:rPr>
        <w:t>（包括但不限于标的的名称、数量、简要技术需求或服务要求等）</w:t>
      </w:r>
    </w:p>
    <w:p w14:paraId="421E0D9F">
      <w:pPr>
        <w:spacing w:line="360" w:lineRule="auto"/>
        <w:ind w:firstLine="480" w:firstLineChars="200"/>
        <w:rPr>
          <w:rFonts w:ascii="宋体" w:hAnsi="宋体" w:cs="宋体"/>
          <w:sz w:val="24"/>
        </w:rPr>
      </w:pPr>
      <w:r>
        <w:rPr>
          <w:rFonts w:hint="eastAsia" w:ascii="宋体" w:hAnsi="宋体" w:cs="宋体"/>
          <w:sz w:val="24"/>
        </w:rPr>
        <w:t>5.1采购内容：本项目内容为编制三门峡市“十五五”城市更新和城乡人居环境建设规划，编制内容包括：系统开展存量资源底数摸排、提出新时期城市发展总体定位与更新战略、科学确立“十五五”时期更新目标体系与核心任务、精准识别与划定城市更新重点区域、指定分类分级的具体更新策略与实施路径、系统构建“十五五”城市更新项目库等。具体内容及要求详见竞争性磋商文件；</w:t>
      </w:r>
    </w:p>
    <w:p w14:paraId="61E08E29">
      <w:pPr>
        <w:spacing w:line="360" w:lineRule="auto"/>
        <w:ind w:firstLine="480" w:firstLineChars="200"/>
        <w:rPr>
          <w:rFonts w:ascii="宋体" w:hAnsi="宋体" w:cs="宋体"/>
          <w:sz w:val="24"/>
        </w:rPr>
      </w:pPr>
      <w:r>
        <w:rPr>
          <w:rFonts w:hint="eastAsia" w:ascii="宋体" w:hAnsi="宋体" w:cs="宋体"/>
          <w:sz w:val="24"/>
        </w:rPr>
        <w:t>5.2资金来源及落实情况：财政资金，已落实</w:t>
      </w:r>
    </w:p>
    <w:p w14:paraId="6DB899F2">
      <w:pPr>
        <w:spacing w:line="360" w:lineRule="auto"/>
        <w:ind w:firstLine="480" w:firstLineChars="200"/>
        <w:rPr>
          <w:rFonts w:ascii="宋体" w:hAnsi="宋体" w:cs="宋体"/>
          <w:sz w:val="24"/>
        </w:rPr>
      </w:pPr>
      <w:r>
        <w:rPr>
          <w:rFonts w:hint="eastAsia" w:ascii="宋体" w:hAnsi="宋体" w:cs="宋体"/>
          <w:sz w:val="24"/>
        </w:rPr>
        <w:t>5.3质量要求：符合国家合格标准，且满足采购人要求</w:t>
      </w:r>
    </w:p>
    <w:p w14:paraId="7ECEFB32">
      <w:pPr>
        <w:spacing w:line="360" w:lineRule="auto"/>
        <w:ind w:firstLine="480" w:firstLineChars="200"/>
        <w:rPr>
          <w:rFonts w:ascii="宋体" w:hAnsi="宋体" w:cs="宋体"/>
          <w:sz w:val="24"/>
        </w:rPr>
      </w:pPr>
      <w:r>
        <w:rPr>
          <w:rFonts w:hint="eastAsia" w:ascii="宋体" w:hAnsi="宋体" w:cs="宋体"/>
          <w:sz w:val="24"/>
        </w:rPr>
        <w:t>5.4服务期限：自合同签订之日起90日历天</w:t>
      </w:r>
    </w:p>
    <w:p w14:paraId="0ACBACDF">
      <w:pPr>
        <w:spacing w:line="360" w:lineRule="auto"/>
        <w:ind w:firstLine="480" w:firstLineChars="200"/>
        <w:rPr>
          <w:rFonts w:ascii="宋体" w:hAnsi="宋体" w:cs="宋体"/>
          <w:sz w:val="24"/>
        </w:rPr>
      </w:pPr>
      <w:r>
        <w:rPr>
          <w:rFonts w:hint="eastAsia" w:ascii="宋体" w:hAnsi="宋体" w:cs="宋体"/>
          <w:sz w:val="24"/>
        </w:rPr>
        <w:t>5.5服务地点：三门峡市</w:t>
      </w:r>
    </w:p>
    <w:p w14:paraId="3885C626">
      <w:pPr>
        <w:spacing w:line="360" w:lineRule="auto"/>
        <w:ind w:firstLine="480" w:firstLineChars="200"/>
        <w:rPr>
          <w:rFonts w:ascii="宋体" w:hAnsi="宋体" w:cs="宋体"/>
          <w:sz w:val="24"/>
        </w:rPr>
      </w:pPr>
      <w:r>
        <w:rPr>
          <w:rFonts w:hint="eastAsia" w:ascii="宋体" w:hAnsi="宋体" w:cs="宋体"/>
          <w:sz w:val="24"/>
        </w:rPr>
        <w:t>5.6标段划分：本项目不划分标段</w:t>
      </w:r>
    </w:p>
    <w:p w14:paraId="7AF8904D">
      <w:pPr>
        <w:spacing w:line="360" w:lineRule="auto"/>
        <w:ind w:firstLine="480" w:firstLineChars="200"/>
        <w:rPr>
          <w:rFonts w:ascii="宋体" w:hAnsi="宋体" w:cs="宋体"/>
          <w:sz w:val="24"/>
        </w:rPr>
      </w:pPr>
      <w:r>
        <w:rPr>
          <w:rFonts w:hint="eastAsia" w:ascii="宋体" w:hAnsi="宋体" w:cs="宋体"/>
          <w:sz w:val="24"/>
        </w:rPr>
        <w:t>6、</w:t>
      </w:r>
      <w:r>
        <w:rPr>
          <w:rFonts w:hint="eastAsia" w:ascii="宋体" w:hAnsi="宋体"/>
          <w:sz w:val="24"/>
        </w:rPr>
        <w:t>合同履行期限</w:t>
      </w:r>
      <w:r>
        <w:rPr>
          <w:rFonts w:hint="eastAsia" w:ascii="宋体" w:hAnsi="宋体" w:cs="宋体"/>
          <w:sz w:val="24"/>
        </w:rPr>
        <w:t>：自合同签订之日起90日历天</w:t>
      </w:r>
    </w:p>
    <w:p w14:paraId="41A7E9DF">
      <w:pPr>
        <w:spacing w:line="360" w:lineRule="auto"/>
        <w:ind w:firstLine="480" w:firstLineChars="200"/>
        <w:rPr>
          <w:rFonts w:ascii="宋体" w:hAnsi="宋体" w:cs="宋体"/>
          <w:sz w:val="24"/>
        </w:rPr>
      </w:pPr>
      <w:r>
        <w:rPr>
          <w:rFonts w:ascii="宋体" w:hAnsi="宋体"/>
          <w:sz w:val="24"/>
        </w:rPr>
        <w:t>7、</w:t>
      </w:r>
      <w:r>
        <w:rPr>
          <w:rFonts w:hint="eastAsia" w:ascii="宋体" w:hAnsi="宋体"/>
          <w:sz w:val="24"/>
        </w:rPr>
        <w:t>本项目是否接受联合体投标：是</w:t>
      </w:r>
    </w:p>
    <w:p w14:paraId="493666B9">
      <w:pPr>
        <w:spacing w:line="360" w:lineRule="auto"/>
        <w:ind w:firstLine="480" w:firstLineChars="200"/>
        <w:rPr>
          <w:rFonts w:ascii="宋体" w:hAnsi="宋体"/>
          <w:sz w:val="24"/>
        </w:rPr>
      </w:pPr>
      <w:r>
        <w:rPr>
          <w:rFonts w:hint="eastAsia" w:ascii="宋体" w:hAnsi="宋体" w:cs="宋体"/>
          <w:sz w:val="24"/>
        </w:rPr>
        <w:t>8、</w:t>
      </w:r>
      <w:r>
        <w:rPr>
          <w:rFonts w:hint="eastAsia" w:ascii="宋体" w:hAnsi="宋体"/>
          <w:sz w:val="24"/>
        </w:rPr>
        <w:t>是否接受进口产品：否</w:t>
      </w:r>
    </w:p>
    <w:p w14:paraId="333BC72C">
      <w:pPr>
        <w:spacing w:line="360" w:lineRule="auto"/>
        <w:ind w:firstLine="480" w:firstLineChars="200"/>
        <w:rPr>
          <w:rFonts w:ascii="宋体" w:hAnsi="宋体" w:cs="宋体"/>
          <w:sz w:val="24"/>
        </w:rPr>
      </w:pPr>
      <w:r>
        <w:rPr>
          <w:rFonts w:ascii="宋体" w:hAnsi="宋体"/>
          <w:sz w:val="24"/>
        </w:rPr>
        <w:t>9</w:t>
      </w:r>
      <w:r>
        <w:rPr>
          <w:rFonts w:hint="eastAsia" w:ascii="宋体" w:hAnsi="宋体"/>
          <w:sz w:val="24"/>
        </w:rPr>
        <w:t>、是否专门面向中小企业采购：否</w:t>
      </w:r>
    </w:p>
    <w:p w14:paraId="2846A575">
      <w:pPr>
        <w:spacing w:line="360" w:lineRule="auto"/>
        <w:ind w:firstLine="480" w:firstLineChars="200"/>
        <w:rPr>
          <w:rFonts w:ascii="宋体" w:hAnsi="宋体" w:cs="宋体"/>
          <w:sz w:val="24"/>
        </w:rPr>
      </w:pPr>
      <w:r>
        <w:rPr>
          <w:rFonts w:hint="eastAsia" w:ascii="宋体" w:hAnsi="宋体" w:cs="宋体"/>
          <w:sz w:val="24"/>
        </w:rPr>
        <w:t>二、供应商资格要求：</w:t>
      </w:r>
    </w:p>
    <w:p w14:paraId="594117D1">
      <w:pPr>
        <w:spacing w:line="360" w:lineRule="auto"/>
        <w:ind w:firstLine="480" w:firstLineChars="200"/>
        <w:rPr>
          <w:rFonts w:ascii="宋体" w:hAnsi="宋体" w:cs="宋体"/>
          <w:sz w:val="24"/>
        </w:rPr>
      </w:pPr>
      <w:r>
        <w:rPr>
          <w:rFonts w:hint="eastAsia" w:ascii="宋体" w:hAnsi="宋体" w:cs="宋体"/>
          <w:sz w:val="24"/>
        </w:rPr>
        <w:t>1、供应商符合《中华人民共和国政府采购法》第二十二条规定条件：</w:t>
      </w:r>
    </w:p>
    <w:p w14:paraId="26C0D036">
      <w:pPr>
        <w:spacing w:line="360" w:lineRule="auto"/>
        <w:ind w:firstLine="480" w:firstLineChars="200"/>
        <w:rPr>
          <w:rFonts w:ascii="宋体" w:hAnsi="宋体" w:cs="宋体"/>
          <w:sz w:val="24"/>
        </w:rPr>
      </w:pPr>
      <w:r>
        <w:rPr>
          <w:rFonts w:hint="eastAsia" w:ascii="宋体" w:hAnsi="宋体" w:cs="宋体"/>
          <w:sz w:val="24"/>
        </w:rPr>
        <w:t>2、落实政府采购政策满足的资格要求：本项目非专门面向中小微企业采购项目，执行促进中小型企业发展政策（残疾人福利性企业、监狱企业视同小微企业）、优先采购节能环保产品等政府采购政策。</w:t>
      </w:r>
    </w:p>
    <w:p w14:paraId="235442AE">
      <w:pPr>
        <w:spacing w:line="360" w:lineRule="auto"/>
        <w:ind w:firstLine="480" w:firstLineChars="200"/>
        <w:rPr>
          <w:rFonts w:ascii="宋体" w:hAnsi="宋体" w:cs="宋体"/>
          <w:sz w:val="24"/>
        </w:rPr>
      </w:pPr>
      <w:r>
        <w:rPr>
          <w:rFonts w:hint="eastAsia" w:ascii="宋体" w:hAnsi="宋体" w:cs="宋体"/>
          <w:sz w:val="24"/>
        </w:rPr>
        <w:t>3、</w:t>
      </w:r>
      <w:r>
        <w:rPr>
          <w:rFonts w:hint="eastAsia" w:ascii="宋体" w:hAnsi="宋体"/>
          <w:sz w:val="24"/>
        </w:rPr>
        <w:t>本项目的特定资格要求</w:t>
      </w:r>
    </w:p>
    <w:p w14:paraId="16ABFF86">
      <w:pPr>
        <w:spacing w:line="360" w:lineRule="auto"/>
        <w:ind w:firstLine="480" w:firstLineChars="200"/>
        <w:rPr>
          <w:rFonts w:ascii="宋体" w:hAnsi="宋体" w:cs="宋体"/>
          <w:sz w:val="24"/>
        </w:rPr>
      </w:pPr>
      <w:r>
        <w:rPr>
          <w:rFonts w:hint="eastAsia" w:ascii="宋体" w:hAnsi="宋体" w:cs="宋体"/>
          <w:sz w:val="24"/>
        </w:rPr>
        <w:t>3.1供应商具有独立承担民事责任的能力；(供应商是企业（包括合伙企业），应提供在市场监督管理局注册的有效“企业法人营业执照”；供应商是事业单位，应提供有效的“事业单位法人证书”)；</w:t>
      </w:r>
    </w:p>
    <w:p w14:paraId="616EFB3D">
      <w:pPr>
        <w:spacing w:line="360" w:lineRule="auto"/>
        <w:ind w:firstLine="480" w:firstLineChars="200"/>
        <w:rPr>
          <w:rFonts w:ascii="宋体" w:hAnsi="宋体" w:cs="宋体"/>
          <w:sz w:val="24"/>
        </w:rPr>
      </w:pPr>
      <w:r>
        <w:rPr>
          <w:rFonts w:hint="eastAsia" w:ascii="宋体" w:hAnsi="宋体" w:cs="宋体"/>
          <w:sz w:val="24"/>
        </w:rPr>
        <w:t>3.2供应商须具有行政主管部门颁发的城乡规划甲级资质；</w:t>
      </w:r>
    </w:p>
    <w:p w14:paraId="11902252">
      <w:pPr>
        <w:spacing w:line="360" w:lineRule="auto"/>
        <w:ind w:firstLine="480" w:firstLineChars="200"/>
        <w:rPr>
          <w:rFonts w:ascii="宋体" w:hAnsi="宋体" w:cs="宋体"/>
          <w:sz w:val="24"/>
        </w:rPr>
      </w:pPr>
      <w:r>
        <w:rPr>
          <w:rFonts w:hint="eastAsia" w:ascii="宋体" w:hAnsi="宋体" w:cs="宋体"/>
          <w:sz w:val="24"/>
        </w:rPr>
        <w:t>3.3项目负责人须具有国家注册城乡规划师证书及高级工程师职称（提供本单位为其缴纳的社保证明）；</w:t>
      </w:r>
    </w:p>
    <w:p w14:paraId="705FA0F6">
      <w:pPr>
        <w:spacing w:line="360" w:lineRule="auto"/>
        <w:ind w:firstLine="480" w:firstLineChars="200"/>
        <w:rPr>
          <w:rFonts w:ascii="宋体" w:hAnsi="宋体" w:cs="宋体"/>
          <w:sz w:val="24"/>
        </w:rPr>
      </w:pPr>
      <w:r>
        <w:rPr>
          <w:rFonts w:hint="eastAsia" w:ascii="宋体" w:hAnsi="宋体" w:cs="宋体"/>
          <w:sz w:val="24"/>
        </w:rPr>
        <w:t>3.4供应商出具无行贿犯罪记录在中国裁判文书网自行查询或自行承诺（查询对象：企业、法定代表人）；</w:t>
      </w:r>
    </w:p>
    <w:p w14:paraId="370F347E">
      <w:pPr>
        <w:spacing w:line="360" w:lineRule="auto"/>
        <w:ind w:firstLine="480" w:firstLineChars="200"/>
        <w:rPr>
          <w:rFonts w:ascii="宋体" w:hAnsi="宋体" w:cs="宋体"/>
          <w:sz w:val="24"/>
        </w:rPr>
      </w:pPr>
      <w:r>
        <w:rPr>
          <w:rFonts w:hint="eastAsia" w:ascii="宋体" w:hAnsi="宋体" w:cs="宋体"/>
          <w:sz w:val="24"/>
        </w:rPr>
        <w:t>3.5供应商须提供本企业无商业贿赂和不正当竞争行为承诺书；</w:t>
      </w:r>
    </w:p>
    <w:p w14:paraId="2F69F7CD">
      <w:pPr>
        <w:wordWrap w:val="0"/>
        <w:spacing w:line="360" w:lineRule="auto"/>
        <w:ind w:firstLine="480" w:firstLineChars="200"/>
        <w:rPr>
          <w:rFonts w:ascii="宋体" w:hAnsi="宋体" w:cs="宋体"/>
          <w:sz w:val="24"/>
        </w:rPr>
      </w:pPr>
      <w:r>
        <w:rPr>
          <w:rFonts w:hint="eastAsia" w:ascii="宋体" w:hAnsi="宋体" w:cs="宋体"/>
          <w:sz w:val="24"/>
        </w:rPr>
        <w:t>3.6供应商没有被列入“中国执行信息公开网”的“失信被执行人”、“信用中国”的“重大税收违法失信主体”及“中国政府采购网站”的“政府采购严重违法失信行为记录名单”。【查询渠道：“中国执行信息公开网”（http://zxgk.court.gov.cn/）“信用中国”网站（www.creditchina.gov.cn）、“中国政府采购网”（www.ccgp.gov.cn）】(注：査询时间必须是本公告发布之后开标之前，查询结果清晰可见)；</w:t>
      </w:r>
    </w:p>
    <w:p w14:paraId="46116944">
      <w:pPr>
        <w:wordWrap w:val="0"/>
        <w:spacing w:line="360" w:lineRule="auto"/>
        <w:ind w:firstLine="480" w:firstLineChars="200"/>
        <w:rPr>
          <w:rFonts w:ascii="宋体" w:hAnsi="宋体" w:cs="宋体"/>
          <w:sz w:val="24"/>
        </w:rPr>
      </w:pPr>
      <w:r>
        <w:rPr>
          <w:rFonts w:hint="eastAsia" w:ascii="宋体" w:hAnsi="宋体" w:cs="宋体"/>
          <w:sz w:val="24"/>
        </w:rPr>
        <w:t>3.7本项目接受联合体投标，联合体投标除满足上述要求外,同时须具备以下条件：</w:t>
      </w:r>
    </w:p>
    <w:p w14:paraId="67285BC2">
      <w:pPr>
        <w:wordWrap w:val="0"/>
        <w:spacing w:line="360" w:lineRule="auto"/>
        <w:ind w:firstLine="480" w:firstLineChars="200"/>
        <w:rPr>
          <w:rFonts w:ascii="宋体" w:hAnsi="宋体" w:cs="宋体"/>
          <w:sz w:val="24"/>
        </w:rPr>
      </w:pPr>
      <w:r>
        <w:rPr>
          <w:rFonts w:hint="eastAsia" w:ascii="宋体" w:hAnsi="宋体" w:cs="宋体"/>
          <w:sz w:val="24"/>
        </w:rPr>
        <w:t>3.7.1 联合体投标时，由联合体牵头人网上下载文件即可，除联合体协议书由各方签字盖章外（在投标文件中附加盖各自公章的原件扫描件），投标文件其余电子签名、电子签章等均由牵头人签署、办理。</w:t>
      </w:r>
    </w:p>
    <w:p w14:paraId="230B8E37">
      <w:pPr>
        <w:wordWrap w:val="0"/>
        <w:spacing w:line="360" w:lineRule="auto"/>
        <w:ind w:firstLine="480" w:firstLineChars="200"/>
        <w:rPr>
          <w:rFonts w:ascii="宋体" w:hAnsi="宋体" w:cs="宋体"/>
          <w:sz w:val="24"/>
        </w:rPr>
      </w:pPr>
      <w:r>
        <w:rPr>
          <w:rFonts w:hint="eastAsia" w:ascii="宋体" w:hAnsi="宋体" w:cs="宋体"/>
          <w:sz w:val="24"/>
        </w:rPr>
        <w:t>3.7.2 联合体各方签订共同投标协议后，不得再以自己名义单独投标，也不得组成新的联合体或参加其他联合体在同一项目中投标；</w:t>
      </w:r>
    </w:p>
    <w:p w14:paraId="086AF756">
      <w:pPr>
        <w:wordWrap w:val="0"/>
        <w:spacing w:line="360" w:lineRule="auto"/>
        <w:ind w:firstLine="480" w:firstLineChars="200"/>
        <w:rPr>
          <w:rFonts w:ascii="宋体" w:hAnsi="宋体" w:cs="宋体"/>
          <w:sz w:val="24"/>
        </w:rPr>
      </w:pPr>
      <w:r>
        <w:rPr>
          <w:rFonts w:hint="eastAsia" w:ascii="宋体" w:hAnsi="宋体" w:cs="宋体"/>
          <w:sz w:val="24"/>
        </w:rPr>
        <w:t>3.7.3 联合体所有成员数量不得超过2个；投标文件中应附联合体协议书，明确联合体牵头人和各方权利义务及各方拟承担的工作和责任，并承诺一旦中标，联合体各方将向招标人承担连带责任。</w:t>
      </w:r>
    </w:p>
    <w:p w14:paraId="7B2B6F59">
      <w:pPr>
        <w:wordWrap w:val="0"/>
        <w:spacing w:line="360" w:lineRule="auto"/>
        <w:ind w:firstLine="480" w:firstLineChars="200"/>
        <w:rPr>
          <w:rFonts w:ascii="宋体" w:hAnsi="宋体" w:cs="宋体"/>
          <w:sz w:val="24"/>
        </w:rPr>
      </w:pPr>
      <w:r>
        <w:rPr>
          <w:rFonts w:hint="eastAsia" w:ascii="宋体" w:hAnsi="宋体" w:cs="宋体"/>
          <w:sz w:val="24"/>
        </w:rPr>
        <w:t>3.7.4 联合体所有成员均需满足第1条、第3.1-3.6条相应的资格条件；</w:t>
      </w:r>
    </w:p>
    <w:p w14:paraId="3D98659D">
      <w:pPr>
        <w:wordWrap w:val="0"/>
        <w:spacing w:line="360" w:lineRule="auto"/>
        <w:ind w:firstLine="480" w:firstLineChars="200"/>
        <w:rPr>
          <w:rFonts w:ascii="宋体" w:hAnsi="宋体" w:cs="宋体"/>
          <w:sz w:val="24"/>
        </w:rPr>
      </w:pPr>
      <w:r>
        <w:rPr>
          <w:rFonts w:hint="eastAsia" w:ascii="宋体" w:hAnsi="宋体" w:cs="宋体"/>
          <w:sz w:val="24"/>
        </w:rPr>
        <w:t>3.8本项目实行资格后审，资格审查的具体要求见竞争性磋商文件；</w:t>
      </w:r>
    </w:p>
    <w:p w14:paraId="1546908A">
      <w:pPr>
        <w:spacing w:line="360" w:lineRule="auto"/>
        <w:ind w:firstLine="480" w:firstLineChars="200"/>
        <w:rPr>
          <w:rFonts w:ascii="宋体" w:hAnsi="宋体" w:cs="宋体"/>
          <w:sz w:val="24"/>
        </w:rPr>
      </w:pPr>
      <w:r>
        <w:rPr>
          <w:rFonts w:hint="eastAsia" w:ascii="宋体" w:hAnsi="宋体" w:cs="宋体"/>
          <w:sz w:val="24"/>
        </w:rPr>
        <w:t>三、获取采购文件：</w:t>
      </w:r>
    </w:p>
    <w:p w14:paraId="1597D17D">
      <w:pPr>
        <w:wordWrap w:val="0"/>
        <w:spacing w:line="360" w:lineRule="auto"/>
        <w:ind w:firstLine="480" w:firstLineChars="200"/>
        <w:rPr>
          <w:rFonts w:ascii="宋体" w:hAnsi="宋体" w:cs="宋体"/>
          <w:sz w:val="24"/>
        </w:rPr>
      </w:pPr>
      <w:r>
        <w:rPr>
          <w:rFonts w:hint="eastAsia" w:ascii="宋体" w:hAnsi="宋体" w:cs="宋体"/>
          <w:sz w:val="24"/>
        </w:rPr>
        <w:t>1、时间：2026年08月</w:t>
      </w:r>
      <w:r>
        <w:rPr>
          <w:rFonts w:hint="eastAsia" w:ascii="宋体" w:hAnsi="宋体" w:cs="宋体"/>
          <w:sz w:val="24"/>
          <w:lang w:val="en-US" w:eastAsia="zh-CN"/>
        </w:rPr>
        <w:t>20</w:t>
      </w:r>
      <w:r>
        <w:rPr>
          <w:rFonts w:hint="eastAsia" w:ascii="宋体" w:hAnsi="宋体" w:cs="宋体"/>
          <w:sz w:val="24"/>
        </w:rPr>
        <w:t>日至2026年08月</w:t>
      </w:r>
      <w:r>
        <w:rPr>
          <w:rFonts w:hint="eastAsia" w:ascii="宋体" w:hAnsi="宋体" w:cs="宋体"/>
          <w:sz w:val="24"/>
          <w:lang w:val="en-US" w:eastAsia="zh-CN"/>
        </w:rPr>
        <w:t>30</w:t>
      </w:r>
      <w:r>
        <w:rPr>
          <w:rFonts w:hint="eastAsia" w:ascii="宋体" w:hAnsi="宋体" w:cs="宋体"/>
          <w:sz w:val="24"/>
        </w:rPr>
        <w:t>日，每天上午00:00至12:00，下午12:00至23:59（北京时间，法定节假日除外。）</w:t>
      </w:r>
    </w:p>
    <w:p w14:paraId="65B41196">
      <w:pPr>
        <w:wordWrap w:val="0"/>
        <w:spacing w:line="360" w:lineRule="auto"/>
        <w:ind w:firstLine="480" w:firstLineChars="200"/>
        <w:rPr>
          <w:rFonts w:ascii="宋体" w:hAnsi="宋体" w:cs="宋体"/>
          <w:sz w:val="24"/>
        </w:rPr>
      </w:pPr>
      <w:r>
        <w:rPr>
          <w:rFonts w:hint="eastAsia" w:ascii="宋体" w:hAnsi="宋体" w:cs="宋体"/>
          <w:sz w:val="24"/>
        </w:rPr>
        <w:t>2、地点：三门峡市公共资源交易中心网（网址：http://gzjy.smx.gov.cn）</w:t>
      </w:r>
    </w:p>
    <w:p w14:paraId="12CBDADA">
      <w:pPr>
        <w:wordWrap w:val="0"/>
        <w:spacing w:line="360" w:lineRule="auto"/>
        <w:ind w:firstLine="480" w:firstLineChars="200"/>
        <w:rPr>
          <w:rFonts w:ascii="宋体" w:hAnsi="宋体" w:cs="宋体"/>
          <w:sz w:val="24"/>
        </w:rPr>
      </w:pPr>
      <w:r>
        <w:rPr>
          <w:rFonts w:hint="eastAsia" w:ascii="宋体" w:hAnsi="宋体" w:cs="宋体"/>
          <w:sz w:val="24"/>
        </w:rPr>
        <w:t>3、方式：本项目没有报名环节，供应商凭CA数字证书通过三门峡市公共资源交易中心网（网址：http://gzjy.smx.gov.cn/），点击公共资源交易平台选择“交易主体登录”，在所参与项目右侧点击参与投标，即可直接下载本项目磋商文件。</w:t>
      </w:r>
    </w:p>
    <w:p w14:paraId="7BAAD2CC">
      <w:pPr>
        <w:wordWrap w:val="0"/>
        <w:spacing w:line="360" w:lineRule="auto"/>
        <w:ind w:firstLine="480" w:firstLineChars="200"/>
        <w:rPr>
          <w:rFonts w:ascii="宋体" w:hAnsi="宋体" w:cs="宋体"/>
          <w:sz w:val="24"/>
        </w:rPr>
      </w:pPr>
      <w:r>
        <w:rPr>
          <w:rFonts w:hint="eastAsia" w:ascii="宋体" w:hAnsi="宋体" w:cs="宋体"/>
          <w:sz w:val="24"/>
        </w:rPr>
        <w:t>具体操作请查看以下链接：http://gzjy.smx.gov.cn/bzzx/008001/20200325/1d4d9bd4-82a2-4284-b2f7-428c4c69ef58.html</w:t>
      </w:r>
    </w:p>
    <w:p w14:paraId="176714BC">
      <w:pPr>
        <w:wordWrap w:val="0"/>
        <w:spacing w:line="360" w:lineRule="auto"/>
        <w:ind w:firstLine="480" w:firstLineChars="200"/>
        <w:rPr>
          <w:rFonts w:ascii="宋体" w:hAnsi="宋体" w:cs="宋体"/>
          <w:sz w:val="24"/>
        </w:rPr>
      </w:pPr>
      <w:r>
        <w:rPr>
          <w:rFonts w:hint="eastAsia" w:ascii="宋体" w:hAnsi="宋体" w:cs="宋体"/>
          <w:sz w:val="24"/>
        </w:rPr>
        <w:t>CA证书操作手册：http://gzjy.smx.gov.cn/fwzn/004003/20210114/62052444-fa5b-47bb-8c75-c669600e56a8.html</w:t>
      </w:r>
    </w:p>
    <w:p w14:paraId="21BA8855">
      <w:pPr>
        <w:wordWrap w:val="0"/>
        <w:spacing w:line="360" w:lineRule="auto"/>
        <w:ind w:firstLine="480" w:firstLineChars="200"/>
        <w:rPr>
          <w:rFonts w:ascii="宋体" w:hAnsi="宋体" w:cs="宋体"/>
          <w:sz w:val="24"/>
        </w:rPr>
      </w:pPr>
      <w:r>
        <w:rPr>
          <w:rFonts w:hint="eastAsia" w:ascii="宋体" w:hAnsi="宋体" w:cs="宋体"/>
          <w:sz w:val="24"/>
        </w:rPr>
        <w:t>4、售价：0元。</w:t>
      </w:r>
    </w:p>
    <w:p w14:paraId="619EF324">
      <w:pPr>
        <w:wordWrap w:val="0"/>
        <w:spacing w:line="360" w:lineRule="auto"/>
        <w:ind w:firstLine="480" w:firstLineChars="200"/>
        <w:rPr>
          <w:rFonts w:ascii="宋体" w:hAnsi="宋体" w:cs="宋体"/>
          <w:sz w:val="24"/>
        </w:rPr>
      </w:pPr>
      <w:r>
        <w:rPr>
          <w:rFonts w:hint="eastAsia" w:ascii="宋体" w:hAnsi="宋体" w:cs="宋体"/>
          <w:sz w:val="24"/>
        </w:rPr>
        <w:t>四、响应文件提交：</w:t>
      </w:r>
    </w:p>
    <w:p w14:paraId="2B1E4745">
      <w:pPr>
        <w:wordWrap w:val="0"/>
        <w:spacing w:line="360" w:lineRule="auto"/>
        <w:ind w:firstLine="480" w:firstLineChars="200"/>
        <w:rPr>
          <w:rFonts w:ascii="宋体" w:hAnsi="宋体" w:cs="宋体"/>
          <w:sz w:val="24"/>
        </w:rPr>
      </w:pPr>
      <w:r>
        <w:rPr>
          <w:rFonts w:hint="eastAsia" w:ascii="宋体" w:hAnsi="宋体" w:cs="宋体"/>
          <w:sz w:val="24"/>
        </w:rPr>
        <w:t>1、时间：2026年</w:t>
      </w:r>
      <w:r>
        <w:rPr>
          <w:rFonts w:hint="eastAsia" w:ascii="宋体" w:hAnsi="宋体" w:cs="宋体"/>
          <w:sz w:val="24"/>
          <w:lang w:val="en-US" w:eastAsia="zh-CN"/>
        </w:rPr>
        <w:t>08</w:t>
      </w:r>
      <w:r>
        <w:rPr>
          <w:rFonts w:hint="eastAsia" w:ascii="宋体" w:hAnsi="宋体" w:cs="宋体"/>
          <w:sz w:val="24"/>
        </w:rPr>
        <w:t>月</w:t>
      </w:r>
      <w:r>
        <w:rPr>
          <w:rFonts w:hint="eastAsia" w:ascii="宋体" w:hAnsi="宋体" w:cs="宋体"/>
          <w:sz w:val="24"/>
          <w:lang w:val="en-US" w:eastAsia="zh-CN"/>
        </w:rPr>
        <w:t>31</w:t>
      </w:r>
      <w:r>
        <w:rPr>
          <w:rFonts w:hint="eastAsia" w:ascii="宋体" w:hAnsi="宋体" w:cs="宋体"/>
          <w:sz w:val="24"/>
        </w:rPr>
        <w:t>日08时30分（北京时间）</w:t>
      </w:r>
    </w:p>
    <w:p w14:paraId="7E824D9C">
      <w:pPr>
        <w:wordWrap w:val="0"/>
        <w:spacing w:line="360" w:lineRule="auto"/>
        <w:ind w:firstLine="480" w:firstLineChars="200"/>
        <w:rPr>
          <w:rFonts w:ascii="宋体" w:hAnsi="宋体" w:cs="宋体"/>
          <w:sz w:val="24"/>
        </w:rPr>
      </w:pPr>
      <w:r>
        <w:rPr>
          <w:rFonts w:hint="eastAsia" w:ascii="宋体" w:hAnsi="宋体" w:cs="宋体"/>
          <w:sz w:val="24"/>
        </w:rPr>
        <w:t>2、地点：在三门峡市公共资源交易中心网中上传加密响应文件。</w:t>
      </w:r>
    </w:p>
    <w:p w14:paraId="70E7B521">
      <w:pPr>
        <w:wordWrap w:val="0"/>
        <w:spacing w:line="360" w:lineRule="auto"/>
        <w:ind w:firstLine="480" w:firstLineChars="200"/>
        <w:rPr>
          <w:rFonts w:ascii="宋体" w:hAnsi="宋体" w:cs="宋体"/>
          <w:sz w:val="24"/>
        </w:rPr>
      </w:pPr>
      <w:r>
        <w:rPr>
          <w:rFonts w:hint="eastAsia" w:ascii="宋体" w:hAnsi="宋体" w:cs="宋体"/>
          <w:sz w:val="24"/>
        </w:rPr>
        <w:t>五、响应文件开启</w:t>
      </w:r>
    </w:p>
    <w:p w14:paraId="527501C6">
      <w:pPr>
        <w:wordWrap w:val="0"/>
        <w:spacing w:line="360" w:lineRule="auto"/>
        <w:ind w:firstLine="480" w:firstLineChars="200"/>
        <w:rPr>
          <w:rFonts w:ascii="宋体" w:hAnsi="宋体" w:cs="宋体"/>
          <w:sz w:val="24"/>
        </w:rPr>
      </w:pPr>
      <w:r>
        <w:rPr>
          <w:rFonts w:hint="eastAsia" w:ascii="宋体" w:hAnsi="宋体" w:cs="宋体"/>
          <w:sz w:val="24"/>
        </w:rPr>
        <w:t>1、时间：2026年</w:t>
      </w:r>
      <w:r>
        <w:rPr>
          <w:rFonts w:hint="eastAsia" w:ascii="宋体" w:hAnsi="宋体" w:cs="宋体"/>
          <w:sz w:val="24"/>
          <w:lang w:val="en-US" w:eastAsia="zh-CN"/>
        </w:rPr>
        <w:t>08</w:t>
      </w:r>
      <w:r>
        <w:rPr>
          <w:rFonts w:hint="eastAsia" w:ascii="宋体" w:hAnsi="宋体" w:cs="宋体"/>
          <w:sz w:val="24"/>
        </w:rPr>
        <w:t>月</w:t>
      </w:r>
      <w:r>
        <w:rPr>
          <w:rFonts w:hint="eastAsia" w:ascii="宋体" w:hAnsi="宋体" w:cs="宋体"/>
          <w:sz w:val="24"/>
          <w:lang w:val="en-US" w:eastAsia="zh-CN"/>
        </w:rPr>
        <w:t>31</w:t>
      </w:r>
      <w:r>
        <w:rPr>
          <w:rFonts w:hint="eastAsia" w:ascii="宋体" w:hAnsi="宋体" w:cs="宋体"/>
          <w:sz w:val="24"/>
        </w:rPr>
        <w:t>日08时30分（北京时间）</w:t>
      </w:r>
    </w:p>
    <w:p w14:paraId="496E3954">
      <w:pPr>
        <w:wordWrap w:val="0"/>
        <w:spacing w:line="360" w:lineRule="auto"/>
        <w:ind w:firstLine="480" w:firstLineChars="200"/>
        <w:rPr>
          <w:rFonts w:ascii="宋体" w:hAnsi="宋体" w:cs="宋体"/>
          <w:sz w:val="24"/>
        </w:rPr>
      </w:pPr>
      <w:r>
        <w:rPr>
          <w:rFonts w:hint="eastAsia" w:ascii="宋体" w:hAnsi="宋体" w:cs="宋体"/>
          <w:sz w:val="24"/>
        </w:rPr>
        <w:t>2、地点：三门峡市公共资源交易中心五楼开标区</w:t>
      </w:r>
    </w:p>
    <w:p w14:paraId="15DE1EA3">
      <w:pPr>
        <w:spacing w:line="360" w:lineRule="auto"/>
        <w:ind w:firstLine="480" w:firstLineChars="200"/>
        <w:rPr>
          <w:rFonts w:ascii="宋体" w:hAnsi="宋体" w:cs="宋体"/>
          <w:sz w:val="24"/>
        </w:rPr>
      </w:pPr>
      <w:r>
        <w:rPr>
          <w:rFonts w:hint="eastAsia" w:ascii="宋体" w:hAnsi="宋体" w:cs="宋体"/>
          <w:sz w:val="24"/>
        </w:rPr>
        <w:t>六、发布公告的媒介及公告期限</w:t>
      </w:r>
    </w:p>
    <w:p w14:paraId="658A3A19">
      <w:pPr>
        <w:spacing w:line="360" w:lineRule="auto"/>
        <w:ind w:firstLine="480" w:firstLineChars="200"/>
        <w:rPr>
          <w:rFonts w:ascii="宋体" w:hAnsi="宋体" w:cs="宋体"/>
          <w:sz w:val="24"/>
        </w:rPr>
      </w:pPr>
      <w:r>
        <w:rPr>
          <w:rFonts w:hint="eastAsia" w:ascii="宋体" w:hAnsi="宋体" w:cs="宋体"/>
          <w:sz w:val="24"/>
        </w:rPr>
        <w:t>本次公告在《河南省政府采购网》、《三门峡市公共资源交易中心网》、《中国采购与招标网》上发布。</w:t>
      </w:r>
    </w:p>
    <w:p w14:paraId="1436DA6F">
      <w:pPr>
        <w:spacing w:line="360" w:lineRule="auto"/>
        <w:ind w:firstLine="480" w:firstLineChars="200"/>
        <w:rPr>
          <w:rFonts w:ascii="宋体" w:hAnsi="宋体" w:cs="宋体"/>
          <w:sz w:val="24"/>
        </w:rPr>
      </w:pPr>
      <w:r>
        <w:rPr>
          <w:rFonts w:hint="eastAsia" w:ascii="宋体" w:hAnsi="宋体" w:cs="宋体"/>
          <w:sz w:val="24"/>
        </w:rPr>
        <w:t>七、其他补充事宜</w:t>
      </w:r>
    </w:p>
    <w:p w14:paraId="07CBBC53">
      <w:pPr>
        <w:wordWrap w:val="0"/>
        <w:spacing w:line="360" w:lineRule="auto"/>
        <w:ind w:firstLine="480" w:firstLineChars="200"/>
        <w:rPr>
          <w:rFonts w:ascii="宋体" w:hAnsi="宋体" w:cs="宋体"/>
          <w:sz w:val="24"/>
        </w:rPr>
      </w:pPr>
      <w:r>
        <w:rPr>
          <w:rFonts w:hint="eastAsia" w:ascii="宋体" w:hAnsi="宋体" w:cs="宋体"/>
          <w:sz w:val="24"/>
        </w:rPr>
        <w:t>1.本项目为不见面开标项目，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响应文件解密等。每位供应商的解密时间为开标时间起30分钟内完成。因供应商原因未能解密、解密失败或解密超时的将被拒绝。</w:t>
      </w:r>
    </w:p>
    <w:p w14:paraId="2E54E46F">
      <w:pPr>
        <w:wordWrap w:val="0"/>
        <w:spacing w:line="360" w:lineRule="auto"/>
        <w:ind w:firstLine="480" w:firstLineChars="200"/>
        <w:rPr>
          <w:rFonts w:ascii="宋体" w:hAnsi="宋体" w:cs="宋体"/>
          <w:sz w:val="24"/>
        </w:rPr>
      </w:pPr>
      <w:r>
        <w:rPr>
          <w:rFonts w:hint="eastAsia" w:ascii="宋体" w:hAnsi="宋体" w:cs="宋体"/>
          <w:sz w:val="24"/>
        </w:rPr>
        <w:t>2.本项目为电子化、无纸化交易项目，开标时不再接受任何纸质资料，为保证您能投标成功，请需仔细阅读竞争性磋商文件和三门峡市公共资源交易中心官网业务办理指南。</w:t>
      </w:r>
    </w:p>
    <w:p w14:paraId="78746D0D">
      <w:pPr>
        <w:wordWrap w:val="0"/>
        <w:spacing w:line="360" w:lineRule="auto"/>
        <w:ind w:firstLine="480" w:firstLineChars="200"/>
        <w:rPr>
          <w:rFonts w:ascii="宋体" w:hAnsi="宋体" w:cs="宋体"/>
          <w:sz w:val="24"/>
        </w:rPr>
      </w:pPr>
      <w:r>
        <w:rPr>
          <w:rFonts w:hint="eastAsia" w:ascii="宋体" w:hAnsi="宋体" w:cs="宋体"/>
          <w:sz w:val="24"/>
        </w:rPr>
        <w:t>3.根据《河南省财政厅关于优化政府采购营商环境有关问题的通知》（豫财购【2019】4号）第6条的规定，磋商保证金不再收取。</w:t>
      </w:r>
    </w:p>
    <w:p w14:paraId="25E69FF9">
      <w:pPr>
        <w:wordWrap w:val="0"/>
        <w:spacing w:line="360" w:lineRule="auto"/>
        <w:ind w:firstLine="480" w:firstLineChars="200"/>
        <w:rPr>
          <w:rFonts w:ascii="宋体" w:hAnsi="宋体" w:cs="宋体"/>
          <w:sz w:val="24"/>
        </w:rPr>
      </w:pPr>
      <w:r>
        <w:rPr>
          <w:rFonts w:hint="eastAsia" w:ascii="宋体" w:hAnsi="宋体" w:cs="宋体"/>
          <w:sz w:val="24"/>
        </w:rPr>
        <w:t>4.本项目实行资格后审，审查内容以响应文件为准，其上传资料真实性由供应商自行承担。</w:t>
      </w:r>
    </w:p>
    <w:p w14:paraId="721A5403">
      <w:pPr>
        <w:wordWrap w:val="0"/>
        <w:spacing w:line="360" w:lineRule="auto"/>
        <w:ind w:firstLine="480" w:firstLineChars="200"/>
        <w:rPr>
          <w:rFonts w:ascii="宋体" w:hAnsi="宋体" w:cs="宋体"/>
          <w:sz w:val="24"/>
        </w:rPr>
      </w:pPr>
      <w:r>
        <w:rPr>
          <w:rFonts w:hint="eastAsia" w:ascii="宋体" w:hAnsi="宋体" w:cs="宋体"/>
          <w:sz w:val="24"/>
        </w:rPr>
        <w:t>5.评标打分部分：评标打分部分仍按照100分制原则进行，涉及到资格审查、企业荣誉、企业业绩等计分部分时，以供应商自行上传到响应文件中的各类相应内容为准。</w:t>
      </w:r>
    </w:p>
    <w:p w14:paraId="23BCF519">
      <w:pPr>
        <w:wordWrap w:val="0"/>
        <w:spacing w:line="360" w:lineRule="auto"/>
        <w:ind w:firstLine="480" w:firstLineChars="200"/>
        <w:rPr>
          <w:rFonts w:ascii="宋体" w:hAnsi="宋体" w:cs="宋体"/>
          <w:sz w:val="24"/>
        </w:rPr>
      </w:pPr>
      <w:r>
        <w:rPr>
          <w:rFonts w:hint="eastAsia" w:ascii="宋体" w:hAnsi="宋体" w:cs="宋体"/>
          <w:sz w:val="24"/>
        </w:rPr>
        <w:t>6.在竞争性磋商文件中要求供应商按照响应文件格式进行响应文件编制，在响应文件编制时，应明确将供应商企业基本情况、资质情况、人员情况、财务情况、业绩情况编入响应文件，便于进行资格审查及评标打分。</w:t>
      </w:r>
    </w:p>
    <w:p w14:paraId="1B61C4AE">
      <w:pPr>
        <w:wordWrap w:val="0"/>
        <w:spacing w:line="360" w:lineRule="auto"/>
        <w:ind w:firstLine="480" w:firstLineChars="200"/>
        <w:rPr>
          <w:rFonts w:ascii="宋体" w:hAnsi="宋体" w:cs="宋体"/>
          <w:sz w:val="24"/>
        </w:rPr>
      </w:pPr>
      <w:r>
        <w:rPr>
          <w:rFonts w:hint="eastAsia" w:ascii="宋体" w:hAnsi="宋体" w:cs="宋体"/>
          <w:sz w:val="24"/>
        </w:rPr>
        <w:t>7、我单位（采购人）严格按三财购【2021】9号文要求的时限发布中标结果公告，发出中标通知书，签订采购合同，上传采购合同。</w:t>
      </w:r>
    </w:p>
    <w:p w14:paraId="25D3E407">
      <w:pPr>
        <w:wordWrap w:val="0"/>
        <w:spacing w:line="360" w:lineRule="auto"/>
        <w:ind w:firstLine="480" w:firstLineChars="200"/>
        <w:rPr>
          <w:rFonts w:ascii="宋体" w:hAnsi="宋体" w:cs="宋体"/>
          <w:sz w:val="24"/>
        </w:rPr>
      </w:pPr>
      <w:r>
        <w:rPr>
          <w:rFonts w:hint="eastAsia" w:ascii="宋体" w:hAnsi="宋体" w:cs="宋体"/>
          <w:sz w:val="24"/>
        </w:rPr>
        <w:t>8、监督部门：三门峡市财政局政府采购监督管理科</w:t>
      </w:r>
    </w:p>
    <w:p w14:paraId="31242B24">
      <w:pPr>
        <w:wordWrap w:val="0"/>
        <w:spacing w:line="360" w:lineRule="auto"/>
        <w:ind w:firstLine="480" w:firstLineChars="200"/>
        <w:rPr>
          <w:rFonts w:ascii="宋体" w:hAnsi="宋体" w:cs="宋体"/>
          <w:sz w:val="24"/>
        </w:rPr>
      </w:pPr>
      <w:r>
        <w:rPr>
          <w:rFonts w:hint="eastAsia" w:ascii="宋体" w:hAnsi="宋体" w:cs="宋体"/>
          <w:sz w:val="24"/>
        </w:rPr>
        <w:t>联系方式：0398-2608915</w:t>
      </w:r>
    </w:p>
    <w:p w14:paraId="7E158FA1">
      <w:pPr>
        <w:wordWrap w:val="0"/>
        <w:spacing w:line="360" w:lineRule="auto"/>
        <w:ind w:firstLine="480" w:firstLineChars="200"/>
        <w:rPr>
          <w:rFonts w:ascii="宋体" w:hAnsi="宋体" w:cs="宋体"/>
          <w:sz w:val="24"/>
        </w:rPr>
      </w:pPr>
      <w:r>
        <w:rPr>
          <w:rFonts w:hint="eastAsia" w:ascii="宋体" w:hAnsi="宋体" w:cs="宋体"/>
          <w:sz w:val="24"/>
        </w:rPr>
        <w:t>八、凡对本次招标提出询问，请按照以下方式联系</w:t>
      </w:r>
    </w:p>
    <w:p w14:paraId="4073F373">
      <w:pPr>
        <w:wordWrap w:val="0"/>
        <w:spacing w:line="360" w:lineRule="auto"/>
        <w:ind w:firstLine="480" w:firstLineChars="200"/>
        <w:rPr>
          <w:rFonts w:ascii="宋体" w:hAnsi="宋体" w:cs="宋体"/>
          <w:sz w:val="24"/>
        </w:rPr>
      </w:pPr>
      <w:r>
        <w:rPr>
          <w:rFonts w:hint="eastAsia" w:ascii="宋体" w:hAnsi="宋体" w:cs="宋体"/>
          <w:sz w:val="24"/>
        </w:rPr>
        <w:t>1、采购人信息</w:t>
      </w:r>
    </w:p>
    <w:p w14:paraId="5DEB4BA6">
      <w:pPr>
        <w:wordWrap w:val="0"/>
        <w:spacing w:line="360" w:lineRule="auto"/>
        <w:ind w:firstLine="480" w:firstLineChars="200"/>
        <w:rPr>
          <w:rFonts w:ascii="宋体" w:hAnsi="宋体" w:cs="宋体"/>
          <w:sz w:val="24"/>
        </w:rPr>
      </w:pPr>
      <w:r>
        <w:rPr>
          <w:rFonts w:hint="eastAsia" w:ascii="宋体" w:hAnsi="宋体" w:cs="宋体"/>
          <w:sz w:val="24"/>
        </w:rPr>
        <w:t>名称：三门峡市住房和城乡建设局</w:t>
      </w:r>
    </w:p>
    <w:p w14:paraId="2A58EA2C">
      <w:pPr>
        <w:wordWrap w:val="0"/>
        <w:spacing w:line="360" w:lineRule="auto"/>
        <w:ind w:firstLine="480" w:firstLineChars="200"/>
        <w:rPr>
          <w:rFonts w:ascii="宋体" w:hAnsi="宋体" w:cs="宋体"/>
          <w:sz w:val="24"/>
        </w:rPr>
      </w:pPr>
      <w:r>
        <w:rPr>
          <w:rFonts w:hint="eastAsia" w:ascii="宋体" w:hAnsi="宋体" w:cs="宋体"/>
          <w:sz w:val="24"/>
        </w:rPr>
        <w:t>地址：三门峡市召公西路和金谷东路交叉口</w:t>
      </w:r>
    </w:p>
    <w:p w14:paraId="14D97557">
      <w:pPr>
        <w:wordWrap w:val="0"/>
        <w:spacing w:line="360" w:lineRule="auto"/>
        <w:ind w:firstLine="480" w:firstLineChars="200"/>
        <w:rPr>
          <w:rFonts w:ascii="宋体" w:hAnsi="宋体" w:cs="宋体"/>
          <w:sz w:val="24"/>
        </w:rPr>
      </w:pPr>
      <w:r>
        <w:rPr>
          <w:rFonts w:hint="eastAsia" w:ascii="宋体" w:hAnsi="宋体" w:cs="宋体"/>
          <w:sz w:val="24"/>
        </w:rPr>
        <w:t>联系人：张女士</w:t>
      </w:r>
    </w:p>
    <w:p w14:paraId="396745B0">
      <w:pPr>
        <w:wordWrap w:val="0"/>
        <w:spacing w:line="360" w:lineRule="auto"/>
        <w:ind w:firstLine="480" w:firstLineChars="200"/>
        <w:rPr>
          <w:rFonts w:ascii="宋体" w:hAnsi="宋体" w:cs="宋体"/>
          <w:sz w:val="24"/>
        </w:rPr>
      </w:pPr>
      <w:r>
        <w:rPr>
          <w:rFonts w:hint="eastAsia" w:ascii="宋体" w:hAnsi="宋体" w:cs="宋体"/>
          <w:sz w:val="24"/>
        </w:rPr>
        <w:t>联系方式：13938570427</w:t>
      </w:r>
    </w:p>
    <w:p w14:paraId="77D5811D">
      <w:pPr>
        <w:wordWrap w:val="0"/>
        <w:spacing w:line="360" w:lineRule="auto"/>
        <w:ind w:firstLine="480" w:firstLineChars="200"/>
        <w:rPr>
          <w:rFonts w:ascii="宋体" w:hAnsi="宋体" w:cs="宋体"/>
          <w:sz w:val="24"/>
        </w:rPr>
      </w:pPr>
      <w:r>
        <w:rPr>
          <w:rFonts w:hint="eastAsia" w:ascii="宋体" w:hAnsi="宋体" w:cs="宋体"/>
          <w:sz w:val="24"/>
        </w:rPr>
        <w:t>2、采购代理机构信息</w:t>
      </w:r>
    </w:p>
    <w:p w14:paraId="11E217B6">
      <w:pPr>
        <w:wordWrap w:val="0"/>
        <w:spacing w:line="360" w:lineRule="auto"/>
        <w:ind w:firstLine="480" w:firstLineChars="200"/>
        <w:rPr>
          <w:rFonts w:ascii="宋体" w:hAnsi="宋体" w:cs="宋体"/>
          <w:sz w:val="24"/>
        </w:rPr>
      </w:pPr>
      <w:r>
        <w:rPr>
          <w:rFonts w:hint="eastAsia" w:ascii="宋体" w:hAnsi="宋体" w:cs="宋体"/>
          <w:sz w:val="24"/>
        </w:rPr>
        <w:t>名称：河南嘉泰工程管理有限公司</w:t>
      </w:r>
    </w:p>
    <w:p w14:paraId="0CA7DEB9">
      <w:pPr>
        <w:spacing w:line="360" w:lineRule="auto"/>
        <w:ind w:firstLine="480" w:firstLineChars="200"/>
        <w:rPr>
          <w:rFonts w:ascii="宋体" w:hAnsi="宋体" w:cs="宋体"/>
          <w:sz w:val="24"/>
        </w:rPr>
      </w:pPr>
      <w:r>
        <w:rPr>
          <w:rFonts w:hint="eastAsia" w:ascii="宋体" w:hAnsi="宋体" w:cs="宋体"/>
          <w:sz w:val="24"/>
        </w:rPr>
        <w:t>地址：河南自贸试验区郑州片区（郑东）商都路100号2号楼2单元17层1718号</w:t>
      </w:r>
    </w:p>
    <w:p w14:paraId="4D8E56F3">
      <w:pPr>
        <w:spacing w:line="360" w:lineRule="auto"/>
        <w:ind w:firstLine="480" w:firstLineChars="200"/>
        <w:rPr>
          <w:rFonts w:ascii="宋体" w:hAnsi="宋体" w:cs="宋体"/>
          <w:sz w:val="24"/>
        </w:rPr>
      </w:pPr>
      <w:r>
        <w:rPr>
          <w:rFonts w:hint="eastAsia" w:ascii="宋体" w:hAnsi="宋体" w:cs="宋体"/>
          <w:sz w:val="24"/>
        </w:rPr>
        <w:t>联系人：李先生</w:t>
      </w:r>
    </w:p>
    <w:p w14:paraId="1C5793AF">
      <w:pPr>
        <w:spacing w:line="360" w:lineRule="auto"/>
        <w:ind w:firstLine="480" w:firstLineChars="200"/>
        <w:rPr>
          <w:rFonts w:ascii="宋体" w:hAnsi="宋体" w:cs="宋体"/>
          <w:sz w:val="24"/>
        </w:rPr>
      </w:pPr>
      <w:r>
        <w:rPr>
          <w:rFonts w:hint="eastAsia" w:ascii="宋体" w:hAnsi="宋体" w:cs="宋体"/>
          <w:sz w:val="24"/>
        </w:rPr>
        <w:t>联系方式：15239860647</w:t>
      </w:r>
    </w:p>
    <w:p w14:paraId="30F1ADD2">
      <w:pPr>
        <w:wordWrap w:val="0"/>
        <w:spacing w:line="360" w:lineRule="auto"/>
        <w:ind w:firstLine="480" w:firstLineChars="200"/>
        <w:rPr>
          <w:rFonts w:ascii="宋体" w:hAnsi="宋体" w:cs="宋体"/>
          <w:sz w:val="24"/>
        </w:rPr>
      </w:pPr>
      <w:r>
        <w:rPr>
          <w:rFonts w:hint="eastAsia" w:ascii="宋体" w:hAnsi="宋体" w:cs="宋体"/>
          <w:sz w:val="24"/>
        </w:rPr>
        <w:t>3、项目联系方式</w:t>
      </w:r>
    </w:p>
    <w:p w14:paraId="5E88281A">
      <w:pPr>
        <w:spacing w:line="360" w:lineRule="auto"/>
        <w:ind w:firstLine="480" w:firstLineChars="200"/>
        <w:rPr>
          <w:rFonts w:ascii="宋体" w:hAnsi="宋体" w:cs="宋体"/>
          <w:sz w:val="24"/>
        </w:rPr>
      </w:pPr>
      <w:r>
        <w:rPr>
          <w:rFonts w:hint="eastAsia" w:ascii="宋体" w:hAnsi="宋体" w:cs="宋体"/>
          <w:sz w:val="24"/>
        </w:rPr>
        <w:t>项目联系人：李先生</w:t>
      </w:r>
    </w:p>
    <w:p w14:paraId="23F0A90A">
      <w:pPr>
        <w:spacing w:line="360" w:lineRule="auto"/>
        <w:ind w:firstLine="480" w:firstLineChars="200"/>
        <w:rPr>
          <w:rFonts w:ascii="宋体" w:hAnsi="宋体" w:cs="宋体"/>
          <w:sz w:val="24"/>
        </w:rPr>
      </w:pPr>
      <w:r>
        <w:rPr>
          <w:rFonts w:hint="eastAsia" w:ascii="宋体" w:hAnsi="宋体" w:cs="宋体"/>
          <w:sz w:val="24"/>
        </w:rPr>
        <w:t>联系方式：15239860647</w:t>
      </w:r>
    </w:p>
    <w:p w14:paraId="6FC8CE2C">
      <w:pPr>
        <w:widowControl/>
        <w:spacing w:line="360" w:lineRule="auto"/>
        <w:jc w:val="center"/>
        <w:rPr>
          <w:rFonts w:ascii="宋体" w:hAnsi="宋体" w:cs="宋体"/>
          <w:b/>
          <w:kern w:val="0"/>
          <w:sz w:val="32"/>
          <w:szCs w:val="32"/>
          <w:shd w:val="clear" w:color="auto" w:fill="FFFFFF"/>
          <w:lang w:bidi="ar"/>
        </w:rPr>
      </w:pPr>
    </w:p>
    <w:p w14:paraId="283E1738">
      <w:pPr>
        <w:rPr>
          <w:rFonts w:ascii="宋体" w:hAnsi="宋体" w:cs="宋体"/>
          <w:b/>
          <w:kern w:val="0"/>
          <w:sz w:val="32"/>
          <w:szCs w:val="32"/>
          <w:shd w:val="clear" w:color="auto" w:fill="FFFFFF"/>
          <w:lang w:bidi="ar"/>
        </w:rPr>
      </w:pPr>
      <w:r>
        <w:rPr>
          <w:rFonts w:hint="eastAsia" w:ascii="宋体" w:hAnsi="宋体" w:cs="宋体"/>
          <w:b/>
          <w:kern w:val="0"/>
          <w:sz w:val="32"/>
          <w:szCs w:val="32"/>
          <w:shd w:val="clear" w:color="auto" w:fill="FFFFFF"/>
          <w:lang w:bidi="ar"/>
        </w:rPr>
        <w:br w:type="page"/>
      </w:r>
    </w:p>
    <w:p w14:paraId="7D3AEB58">
      <w:pPr>
        <w:widowControl/>
        <w:spacing w:line="360" w:lineRule="auto"/>
        <w:jc w:val="center"/>
        <w:rPr>
          <w:rFonts w:ascii="宋体" w:hAnsi="宋体" w:cs="宋体"/>
          <w:b/>
          <w:kern w:val="0"/>
          <w:sz w:val="32"/>
          <w:szCs w:val="32"/>
          <w:shd w:val="clear" w:color="auto" w:fill="FFFFFF"/>
          <w:lang w:bidi="ar"/>
        </w:rPr>
      </w:pPr>
      <w:r>
        <w:rPr>
          <w:rFonts w:hint="eastAsia" w:ascii="宋体" w:hAnsi="宋体" w:cs="宋体"/>
          <w:b/>
          <w:kern w:val="0"/>
          <w:sz w:val="32"/>
          <w:szCs w:val="32"/>
          <w:shd w:val="clear" w:color="auto" w:fill="FFFFFF"/>
          <w:lang w:bidi="ar"/>
        </w:rPr>
        <w:t>第二章  供应商须知</w:t>
      </w:r>
    </w:p>
    <w:p w14:paraId="5FBD9B13">
      <w:pPr>
        <w:jc w:val="center"/>
        <w:rPr>
          <w:rFonts w:ascii="黑体" w:eastAsia="黑体"/>
          <w:color w:val="000000"/>
          <w:sz w:val="24"/>
        </w:rPr>
      </w:pPr>
      <w:bookmarkStart w:id="0" w:name="_Toc11486"/>
      <w:r>
        <w:rPr>
          <w:rFonts w:hint="eastAsia" w:ascii="黑体" w:eastAsia="黑体"/>
          <w:color w:val="000000"/>
          <w:sz w:val="24"/>
        </w:rPr>
        <w:t>供应商须知前附表</w:t>
      </w:r>
      <w:bookmarkEnd w:id="0"/>
    </w:p>
    <w:tbl>
      <w:tblPr>
        <w:tblStyle w:val="14"/>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2109"/>
        <w:gridCol w:w="6643"/>
      </w:tblGrid>
      <w:tr w14:paraId="691F2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0" w:type="dxa"/>
            <w:vAlign w:val="center"/>
          </w:tcPr>
          <w:p w14:paraId="40D81D9B">
            <w:pPr>
              <w:spacing w:line="360" w:lineRule="auto"/>
              <w:jc w:val="center"/>
              <w:rPr>
                <w:rFonts w:ascii="宋体" w:hAnsi="宋体" w:cs="宋体"/>
                <w:color w:val="000000"/>
                <w:szCs w:val="21"/>
              </w:rPr>
            </w:pPr>
            <w:r>
              <w:rPr>
                <w:rFonts w:hint="eastAsia" w:ascii="宋体" w:hAnsi="宋体" w:cs="宋体"/>
                <w:color w:val="000000"/>
                <w:szCs w:val="21"/>
              </w:rPr>
              <w:t>条款号</w:t>
            </w:r>
          </w:p>
        </w:tc>
        <w:tc>
          <w:tcPr>
            <w:tcW w:w="2109" w:type="dxa"/>
            <w:vAlign w:val="center"/>
          </w:tcPr>
          <w:p w14:paraId="31BC24C1">
            <w:pPr>
              <w:spacing w:line="360" w:lineRule="auto"/>
              <w:jc w:val="center"/>
              <w:rPr>
                <w:rFonts w:ascii="宋体" w:hAnsi="宋体" w:cs="宋体"/>
                <w:color w:val="000000"/>
                <w:szCs w:val="21"/>
              </w:rPr>
            </w:pPr>
            <w:r>
              <w:rPr>
                <w:rFonts w:hint="eastAsia" w:ascii="宋体" w:hAnsi="宋体" w:cs="宋体"/>
                <w:color w:val="000000"/>
                <w:szCs w:val="21"/>
              </w:rPr>
              <w:t>条  款  名  称</w:t>
            </w:r>
          </w:p>
        </w:tc>
        <w:tc>
          <w:tcPr>
            <w:tcW w:w="6643" w:type="dxa"/>
            <w:vAlign w:val="center"/>
          </w:tcPr>
          <w:p w14:paraId="0C5A3716">
            <w:pPr>
              <w:spacing w:line="360" w:lineRule="auto"/>
              <w:jc w:val="center"/>
              <w:rPr>
                <w:rFonts w:ascii="宋体" w:hAnsi="宋体" w:cs="宋体"/>
                <w:color w:val="000000"/>
                <w:szCs w:val="21"/>
              </w:rPr>
            </w:pPr>
            <w:r>
              <w:rPr>
                <w:rFonts w:hint="eastAsia" w:ascii="宋体" w:hAnsi="宋体" w:cs="宋体"/>
                <w:color w:val="000000"/>
                <w:szCs w:val="21"/>
              </w:rPr>
              <w:t>编  列  内  容</w:t>
            </w:r>
          </w:p>
        </w:tc>
      </w:tr>
      <w:tr w14:paraId="05A17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890" w:type="dxa"/>
            <w:vAlign w:val="center"/>
          </w:tcPr>
          <w:p w14:paraId="34970C73">
            <w:pPr>
              <w:spacing w:line="360" w:lineRule="auto"/>
              <w:jc w:val="center"/>
              <w:rPr>
                <w:rFonts w:ascii="宋体" w:hAnsi="宋体" w:cs="宋体"/>
                <w:color w:val="000000"/>
                <w:szCs w:val="21"/>
              </w:rPr>
            </w:pPr>
            <w:r>
              <w:rPr>
                <w:rFonts w:hint="eastAsia" w:ascii="宋体" w:hAnsi="宋体" w:cs="宋体"/>
                <w:color w:val="000000"/>
                <w:szCs w:val="21"/>
              </w:rPr>
              <w:t>1.1</w:t>
            </w:r>
          </w:p>
        </w:tc>
        <w:tc>
          <w:tcPr>
            <w:tcW w:w="2109" w:type="dxa"/>
            <w:vAlign w:val="center"/>
          </w:tcPr>
          <w:p w14:paraId="6E56524A">
            <w:pPr>
              <w:spacing w:line="360" w:lineRule="auto"/>
              <w:jc w:val="center"/>
              <w:rPr>
                <w:rFonts w:ascii="宋体" w:hAnsi="宋体" w:cs="宋体"/>
                <w:color w:val="000000"/>
                <w:szCs w:val="21"/>
              </w:rPr>
            </w:pPr>
            <w:r>
              <w:rPr>
                <w:rFonts w:hint="eastAsia" w:ascii="宋体" w:hAnsi="宋体" w:cs="宋体"/>
                <w:color w:val="000000"/>
                <w:szCs w:val="21"/>
              </w:rPr>
              <w:t>采购人</w:t>
            </w:r>
          </w:p>
        </w:tc>
        <w:tc>
          <w:tcPr>
            <w:tcW w:w="6643" w:type="dxa"/>
            <w:vAlign w:val="center"/>
          </w:tcPr>
          <w:p w14:paraId="47434969">
            <w:pPr>
              <w:spacing w:line="360" w:lineRule="auto"/>
              <w:rPr>
                <w:rFonts w:ascii="宋体" w:hAnsi="宋体" w:cs="宋体"/>
                <w:color w:val="000000"/>
                <w:szCs w:val="21"/>
              </w:rPr>
            </w:pPr>
            <w:r>
              <w:rPr>
                <w:rFonts w:hint="eastAsia" w:ascii="宋体" w:hAnsi="宋体" w:cs="宋体"/>
                <w:color w:val="000000"/>
                <w:szCs w:val="21"/>
              </w:rPr>
              <w:t>名称：三门峡市住房和城乡建设局</w:t>
            </w:r>
          </w:p>
          <w:p w14:paraId="09020829">
            <w:pPr>
              <w:spacing w:line="360" w:lineRule="auto"/>
              <w:rPr>
                <w:rFonts w:ascii="宋体" w:hAnsi="宋体" w:cs="宋体"/>
                <w:color w:val="000000"/>
                <w:szCs w:val="21"/>
              </w:rPr>
            </w:pPr>
            <w:r>
              <w:rPr>
                <w:rFonts w:hint="eastAsia" w:ascii="宋体" w:hAnsi="宋体" w:cs="宋体"/>
                <w:color w:val="000000"/>
                <w:szCs w:val="21"/>
              </w:rPr>
              <w:t>地址：三门峡市召公西路和金谷东路交叉口</w:t>
            </w:r>
          </w:p>
          <w:p w14:paraId="283EBB96">
            <w:pPr>
              <w:spacing w:line="360" w:lineRule="auto"/>
              <w:rPr>
                <w:rFonts w:ascii="宋体" w:hAnsi="宋体" w:cs="宋体"/>
                <w:color w:val="000000"/>
                <w:szCs w:val="21"/>
              </w:rPr>
            </w:pPr>
            <w:r>
              <w:rPr>
                <w:rFonts w:hint="eastAsia" w:ascii="宋体" w:hAnsi="宋体" w:cs="宋体"/>
                <w:color w:val="000000"/>
                <w:szCs w:val="21"/>
              </w:rPr>
              <w:t>联系人（电话）：张女士  13938570427</w:t>
            </w:r>
          </w:p>
        </w:tc>
      </w:tr>
      <w:tr w14:paraId="572F4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jc w:val="center"/>
        </w:trPr>
        <w:tc>
          <w:tcPr>
            <w:tcW w:w="890" w:type="dxa"/>
            <w:vAlign w:val="center"/>
          </w:tcPr>
          <w:p w14:paraId="7C9D0B94">
            <w:pPr>
              <w:spacing w:line="360" w:lineRule="auto"/>
              <w:jc w:val="center"/>
              <w:rPr>
                <w:rFonts w:ascii="宋体" w:hAnsi="宋体" w:cs="宋体"/>
                <w:color w:val="000000"/>
                <w:szCs w:val="21"/>
              </w:rPr>
            </w:pPr>
            <w:r>
              <w:rPr>
                <w:rFonts w:hint="eastAsia" w:ascii="宋体" w:hAnsi="宋体" w:cs="宋体"/>
                <w:color w:val="000000"/>
                <w:szCs w:val="21"/>
              </w:rPr>
              <w:t>1.2</w:t>
            </w:r>
          </w:p>
        </w:tc>
        <w:tc>
          <w:tcPr>
            <w:tcW w:w="2109" w:type="dxa"/>
            <w:vAlign w:val="center"/>
          </w:tcPr>
          <w:p w14:paraId="40F5C021">
            <w:pPr>
              <w:spacing w:line="360" w:lineRule="auto"/>
              <w:jc w:val="center"/>
              <w:rPr>
                <w:rFonts w:ascii="宋体" w:hAnsi="宋体" w:cs="宋体"/>
                <w:color w:val="000000"/>
                <w:szCs w:val="21"/>
              </w:rPr>
            </w:pPr>
            <w:r>
              <w:rPr>
                <w:rFonts w:hint="eastAsia" w:ascii="宋体" w:hAnsi="宋体" w:cs="宋体"/>
                <w:color w:val="000000"/>
                <w:szCs w:val="21"/>
              </w:rPr>
              <w:t>采购代理机构</w:t>
            </w:r>
          </w:p>
        </w:tc>
        <w:tc>
          <w:tcPr>
            <w:tcW w:w="6643" w:type="dxa"/>
            <w:vAlign w:val="center"/>
          </w:tcPr>
          <w:p w14:paraId="4B018B08">
            <w:pPr>
              <w:spacing w:line="360" w:lineRule="auto"/>
              <w:rPr>
                <w:rFonts w:ascii="宋体" w:hAnsi="宋体" w:cs="宋体"/>
                <w:color w:val="000000"/>
                <w:szCs w:val="21"/>
              </w:rPr>
            </w:pPr>
            <w:r>
              <w:rPr>
                <w:rFonts w:hint="eastAsia" w:ascii="宋体" w:hAnsi="宋体" w:cs="宋体"/>
                <w:color w:val="000000"/>
                <w:szCs w:val="21"/>
              </w:rPr>
              <w:t>名称：河南嘉泰工程管理有限公司</w:t>
            </w:r>
          </w:p>
          <w:p w14:paraId="54B0BF56">
            <w:pPr>
              <w:spacing w:line="360" w:lineRule="auto"/>
              <w:rPr>
                <w:rFonts w:ascii="宋体" w:hAnsi="宋体" w:cs="宋体"/>
                <w:color w:val="000000"/>
                <w:szCs w:val="21"/>
              </w:rPr>
            </w:pPr>
            <w:r>
              <w:rPr>
                <w:rFonts w:hint="eastAsia" w:ascii="宋体" w:hAnsi="宋体" w:cs="宋体"/>
                <w:color w:val="000000"/>
                <w:szCs w:val="21"/>
              </w:rPr>
              <w:t>地址：河南自贸试验区郑州片区（郑东）商都路100号2号楼2单元17层1718号</w:t>
            </w:r>
          </w:p>
          <w:p w14:paraId="70914FC4">
            <w:pPr>
              <w:spacing w:line="360" w:lineRule="auto"/>
              <w:rPr>
                <w:rFonts w:ascii="宋体" w:hAnsi="宋体" w:cs="宋体"/>
                <w:color w:val="000000"/>
                <w:szCs w:val="21"/>
              </w:rPr>
            </w:pPr>
            <w:r>
              <w:rPr>
                <w:rFonts w:hint="eastAsia" w:ascii="宋体" w:hAnsi="宋体" w:cs="宋体"/>
                <w:color w:val="000000"/>
                <w:szCs w:val="21"/>
              </w:rPr>
              <w:t>联系人（电话）：李先生   15239860647</w:t>
            </w:r>
          </w:p>
        </w:tc>
      </w:tr>
      <w:tr w14:paraId="13328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890" w:type="dxa"/>
            <w:vAlign w:val="center"/>
          </w:tcPr>
          <w:p w14:paraId="7C59A477">
            <w:pPr>
              <w:spacing w:line="360" w:lineRule="auto"/>
              <w:jc w:val="center"/>
              <w:rPr>
                <w:rFonts w:ascii="宋体" w:hAnsi="宋体" w:cs="宋体"/>
                <w:color w:val="000000"/>
                <w:szCs w:val="21"/>
              </w:rPr>
            </w:pPr>
            <w:r>
              <w:rPr>
                <w:rFonts w:hint="eastAsia" w:ascii="宋体" w:hAnsi="宋体" w:cs="宋体"/>
                <w:color w:val="000000"/>
                <w:szCs w:val="21"/>
              </w:rPr>
              <w:t>1.3</w:t>
            </w:r>
          </w:p>
        </w:tc>
        <w:tc>
          <w:tcPr>
            <w:tcW w:w="2109" w:type="dxa"/>
            <w:vAlign w:val="center"/>
          </w:tcPr>
          <w:p w14:paraId="6D94ADD1">
            <w:pPr>
              <w:spacing w:line="360" w:lineRule="auto"/>
              <w:jc w:val="center"/>
              <w:rPr>
                <w:rFonts w:ascii="宋体" w:hAnsi="宋体" w:cs="宋体"/>
                <w:color w:val="000000"/>
                <w:szCs w:val="21"/>
              </w:rPr>
            </w:pPr>
            <w:r>
              <w:rPr>
                <w:rFonts w:hint="eastAsia" w:ascii="宋体" w:hAnsi="宋体" w:cs="宋体"/>
                <w:color w:val="000000"/>
                <w:szCs w:val="21"/>
              </w:rPr>
              <w:t>项目名称</w:t>
            </w:r>
          </w:p>
        </w:tc>
        <w:tc>
          <w:tcPr>
            <w:tcW w:w="6643" w:type="dxa"/>
            <w:vAlign w:val="center"/>
          </w:tcPr>
          <w:p w14:paraId="27FAC269">
            <w:r>
              <w:rPr>
                <w:rFonts w:hint="eastAsia" w:ascii="宋体" w:hAnsi="宋体" w:cs="宋体"/>
                <w:color w:val="000000"/>
                <w:szCs w:val="21"/>
              </w:rPr>
              <w:t>三门峡市“十五五”城市更新和城乡人居环境建设规划项目</w:t>
            </w:r>
          </w:p>
        </w:tc>
      </w:tr>
      <w:tr w14:paraId="7332C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exact"/>
          <w:jc w:val="center"/>
        </w:trPr>
        <w:tc>
          <w:tcPr>
            <w:tcW w:w="890" w:type="dxa"/>
            <w:vAlign w:val="center"/>
          </w:tcPr>
          <w:p w14:paraId="110E09F3">
            <w:pPr>
              <w:spacing w:line="360" w:lineRule="auto"/>
              <w:jc w:val="center"/>
              <w:rPr>
                <w:rFonts w:ascii="宋体" w:hAnsi="宋体" w:cs="宋体"/>
                <w:color w:val="000000"/>
                <w:szCs w:val="21"/>
              </w:rPr>
            </w:pPr>
            <w:r>
              <w:rPr>
                <w:rFonts w:hint="eastAsia" w:ascii="宋体" w:hAnsi="宋体" w:cs="宋体"/>
                <w:color w:val="000000"/>
                <w:szCs w:val="21"/>
              </w:rPr>
              <w:t>1.4</w:t>
            </w:r>
          </w:p>
        </w:tc>
        <w:tc>
          <w:tcPr>
            <w:tcW w:w="2109" w:type="dxa"/>
            <w:vAlign w:val="center"/>
          </w:tcPr>
          <w:p w14:paraId="6B94C1D7">
            <w:pPr>
              <w:spacing w:line="360" w:lineRule="auto"/>
              <w:jc w:val="center"/>
              <w:rPr>
                <w:rFonts w:ascii="宋体" w:hAnsi="宋体" w:cs="宋体"/>
                <w:color w:val="000000"/>
                <w:szCs w:val="21"/>
              </w:rPr>
            </w:pPr>
            <w:r>
              <w:rPr>
                <w:rFonts w:hint="eastAsia" w:ascii="宋体" w:hAnsi="宋体" w:cs="宋体"/>
                <w:color w:val="000000"/>
                <w:szCs w:val="21"/>
              </w:rPr>
              <w:t>项目内容</w:t>
            </w:r>
          </w:p>
        </w:tc>
        <w:tc>
          <w:tcPr>
            <w:tcW w:w="6643" w:type="dxa"/>
            <w:vAlign w:val="center"/>
          </w:tcPr>
          <w:p w14:paraId="3ADF00D9">
            <w:pPr>
              <w:spacing w:line="360" w:lineRule="auto"/>
              <w:rPr>
                <w:rFonts w:ascii="宋体" w:hAnsi="宋体" w:cs="宋体"/>
                <w:color w:val="000000"/>
                <w:szCs w:val="21"/>
              </w:rPr>
            </w:pPr>
            <w:r>
              <w:rPr>
                <w:rFonts w:hint="eastAsia" w:ascii="宋体" w:hAnsi="宋体" w:cs="宋体"/>
                <w:color w:val="000000"/>
                <w:szCs w:val="21"/>
              </w:rPr>
              <w:t>本项目内容为编制三门峡市“十五五”城市更新和城乡人居环境建设规划，编制内容包括：系统开展存量资源底数摸排、提出新时期城市发展总体定位与更新战略、科学确立“十五五”时期更新目标体系与核心任务、精准识别与划定城市更新重点区域、指定分类分级的具体更新策略与实施路径、系统构建“十五五”城市更新项目库等。具体内容及要求详见竞争性磋商文件；</w:t>
            </w:r>
          </w:p>
        </w:tc>
      </w:tr>
      <w:tr w14:paraId="7F17B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jc w:val="center"/>
        </w:trPr>
        <w:tc>
          <w:tcPr>
            <w:tcW w:w="890" w:type="dxa"/>
            <w:vAlign w:val="center"/>
          </w:tcPr>
          <w:p w14:paraId="447F5337">
            <w:pPr>
              <w:spacing w:line="360" w:lineRule="auto"/>
              <w:jc w:val="center"/>
              <w:rPr>
                <w:rFonts w:ascii="宋体" w:hAnsi="宋体" w:cs="宋体"/>
                <w:color w:val="000000"/>
                <w:szCs w:val="21"/>
              </w:rPr>
            </w:pPr>
            <w:r>
              <w:rPr>
                <w:rFonts w:hint="eastAsia" w:ascii="宋体" w:hAnsi="宋体" w:cs="宋体"/>
                <w:color w:val="000000"/>
                <w:szCs w:val="21"/>
              </w:rPr>
              <w:t>1.5</w:t>
            </w:r>
          </w:p>
        </w:tc>
        <w:tc>
          <w:tcPr>
            <w:tcW w:w="2109" w:type="dxa"/>
            <w:vAlign w:val="center"/>
          </w:tcPr>
          <w:p w14:paraId="58E052BC">
            <w:pPr>
              <w:spacing w:line="360" w:lineRule="auto"/>
              <w:jc w:val="center"/>
              <w:rPr>
                <w:rFonts w:ascii="宋体" w:hAnsi="宋体" w:cs="宋体"/>
                <w:color w:val="000000"/>
                <w:szCs w:val="21"/>
              </w:rPr>
            </w:pPr>
            <w:r>
              <w:rPr>
                <w:rFonts w:hint="eastAsia" w:ascii="宋体" w:hAnsi="宋体" w:cs="宋体"/>
                <w:color w:val="000000"/>
                <w:szCs w:val="21"/>
              </w:rPr>
              <w:t>资金来源及落实情况</w:t>
            </w:r>
          </w:p>
        </w:tc>
        <w:tc>
          <w:tcPr>
            <w:tcW w:w="6643" w:type="dxa"/>
            <w:vAlign w:val="center"/>
          </w:tcPr>
          <w:p w14:paraId="5BE70D2E">
            <w:pPr>
              <w:spacing w:line="360" w:lineRule="auto"/>
              <w:rPr>
                <w:rFonts w:ascii="宋体" w:hAnsi="宋体" w:cs="宋体"/>
                <w:color w:val="000000"/>
                <w:szCs w:val="21"/>
              </w:rPr>
            </w:pPr>
            <w:r>
              <w:rPr>
                <w:rFonts w:hint="eastAsia" w:ascii="宋体" w:hAnsi="宋体" w:cs="宋体"/>
                <w:color w:val="000000"/>
                <w:szCs w:val="21"/>
              </w:rPr>
              <w:t>财政资金，已落实</w:t>
            </w:r>
          </w:p>
        </w:tc>
      </w:tr>
      <w:tr w14:paraId="54CD2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90" w:type="dxa"/>
            <w:vAlign w:val="center"/>
          </w:tcPr>
          <w:p w14:paraId="7F297299">
            <w:pPr>
              <w:spacing w:line="360" w:lineRule="auto"/>
              <w:jc w:val="center"/>
              <w:rPr>
                <w:rFonts w:ascii="宋体" w:hAnsi="宋体" w:cs="宋体"/>
                <w:color w:val="000000"/>
                <w:szCs w:val="21"/>
              </w:rPr>
            </w:pPr>
            <w:r>
              <w:rPr>
                <w:rFonts w:hint="eastAsia" w:ascii="宋体" w:hAnsi="宋体" w:cs="宋体"/>
                <w:color w:val="000000"/>
                <w:szCs w:val="21"/>
              </w:rPr>
              <w:t>1.6</w:t>
            </w:r>
          </w:p>
        </w:tc>
        <w:tc>
          <w:tcPr>
            <w:tcW w:w="2109" w:type="dxa"/>
            <w:vAlign w:val="center"/>
          </w:tcPr>
          <w:p w14:paraId="50D691FF">
            <w:pPr>
              <w:jc w:val="center"/>
              <w:rPr>
                <w:rFonts w:ascii="宋体" w:hAnsi="宋体" w:cs="宋体"/>
                <w:color w:val="000000"/>
                <w:szCs w:val="21"/>
              </w:rPr>
            </w:pPr>
            <w:r>
              <w:rPr>
                <w:rFonts w:hint="eastAsia" w:ascii="宋体" w:hAnsi="宋体" w:cs="宋体"/>
                <w:color w:val="000000"/>
                <w:szCs w:val="21"/>
              </w:rPr>
              <w:t>服务期限</w:t>
            </w:r>
          </w:p>
        </w:tc>
        <w:tc>
          <w:tcPr>
            <w:tcW w:w="6643" w:type="dxa"/>
            <w:vAlign w:val="center"/>
          </w:tcPr>
          <w:p w14:paraId="739AC34A">
            <w:pPr>
              <w:rPr>
                <w:rFonts w:ascii="宋体" w:hAnsi="宋体" w:cs="宋体"/>
                <w:color w:val="000000"/>
                <w:szCs w:val="21"/>
              </w:rPr>
            </w:pPr>
            <w:r>
              <w:rPr>
                <w:rFonts w:hint="eastAsia" w:ascii="宋体" w:hAnsi="宋体" w:cs="宋体"/>
                <w:color w:val="000000"/>
                <w:szCs w:val="21"/>
              </w:rPr>
              <w:t>自合同签订之日起90日历天</w:t>
            </w:r>
          </w:p>
        </w:tc>
      </w:tr>
      <w:tr w14:paraId="08F5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90" w:type="dxa"/>
            <w:vAlign w:val="center"/>
          </w:tcPr>
          <w:p w14:paraId="144EC3E8">
            <w:pPr>
              <w:spacing w:line="360" w:lineRule="auto"/>
              <w:jc w:val="center"/>
              <w:rPr>
                <w:rFonts w:ascii="宋体" w:hAnsi="宋体" w:cs="宋体"/>
                <w:color w:val="000000"/>
                <w:szCs w:val="21"/>
              </w:rPr>
            </w:pPr>
            <w:r>
              <w:rPr>
                <w:rFonts w:hint="eastAsia" w:ascii="宋体" w:hAnsi="宋体" w:cs="宋体"/>
                <w:color w:val="000000"/>
                <w:szCs w:val="21"/>
              </w:rPr>
              <w:t>1.7</w:t>
            </w:r>
          </w:p>
        </w:tc>
        <w:tc>
          <w:tcPr>
            <w:tcW w:w="2109" w:type="dxa"/>
            <w:vAlign w:val="center"/>
          </w:tcPr>
          <w:p w14:paraId="696116A6">
            <w:pPr>
              <w:spacing w:line="360" w:lineRule="auto"/>
              <w:jc w:val="center"/>
              <w:rPr>
                <w:rFonts w:ascii="宋体" w:hAnsi="宋体" w:cs="宋体"/>
                <w:color w:val="000000"/>
                <w:szCs w:val="21"/>
              </w:rPr>
            </w:pPr>
            <w:r>
              <w:rPr>
                <w:rFonts w:hint="eastAsia" w:ascii="宋体" w:hAnsi="宋体" w:cs="宋体"/>
                <w:color w:val="000000"/>
                <w:szCs w:val="21"/>
              </w:rPr>
              <w:t>质量要求</w:t>
            </w:r>
          </w:p>
        </w:tc>
        <w:tc>
          <w:tcPr>
            <w:tcW w:w="6643" w:type="dxa"/>
            <w:vAlign w:val="center"/>
          </w:tcPr>
          <w:p w14:paraId="43C8B2B6">
            <w:pPr>
              <w:spacing w:line="360" w:lineRule="auto"/>
              <w:rPr>
                <w:rFonts w:ascii="宋体" w:hAnsi="宋体" w:cs="宋体"/>
                <w:color w:val="000000"/>
                <w:szCs w:val="21"/>
              </w:rPr>
            </w:pPr>
            <w:r>
              <w:rPr>
                <w:rFonts w:hint="eastAsia" w:ascii="宋体" w:hAnsi="宋体" w:cs="宋体"/>
                <w:color w:val="000000"/>
                <w:szCs w:val="21"/>
              </w:rPr>
              <w:t>符合国家合格标准，且满足采购人要求</w:t>
            </w:r>
          </w:p>
        </w:tc>
      </w:tr>
      <w:tr w14:paraId="26F51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14:paraId="406690A1">
            <w:pPr>
              <w:spacing w:line="360" w:lineRule="auto"/>
              <w:jc w:val="center"/>
              <w:rPr>
                <w:rFonts w:ascii="宋体" w:hAnsi="宋体" w:cs="宋体"/>
                <w:color w:val="000000"/>
                <w:szCs w:val="21"/>
              </w:rPr>
            </w:pPr>
            <w:r>
              <w:rPr>
                <w:rFonts w:hint="eastAsia" w:ascii="宋体" w:hAnsi="宋体" w:cs="宋体"/>
                <w:color w:val="000000"/>
                <w:szCs w:val="21"/>
              </w:rPr>
              <w:t>1.8</w:t>
            </w:r>
          </w:p>
        </w:tc>
        <w:tc>
          <w:tcPr>
            <w:tcW w:w="2109" w:type="dxa"/>
            <w:vAlign w:val="center"/>
          </w:tcPr>
          <w:p w14:paraId="55C99BA1">
            <w:pPr>
              <w:spacing w:line="360" w:lineRule="auto"/>
              <w:jc w:val="center"/>
              <w:rPr>
                <w:rFonts w:ascii="宋体" w:hAnsi="宋体" w:cs="宋体"/>
                <w:color w:val="000000"/>
                <w:szCs w:val="21"/>
              </w:rPr>
            </w:pPr>
            <w:r>
              <w:rPr>
                <w:rFonts w:hint="eastAsia" w:ascii="宋体" w:hAnsi="宋体" w:cs="宋体"/>
                <w:color w:val="000000"/>
                <w:szCs w:val="21"/>
              </w:rPr>
              <w:t>供应商资质条件、能力和信誉</w:t>
            </w:r>
          </w:p>
        </w:tc>
        <w:tc>
          <w:tcPr>
            <w:tcW w:w="6643" w:type="dxa"/>
          </w:tcPr>
          <w:p w14:paraId="7C12DD3C">
            <w:pPr>
              <w:spacing w:line="360" w:lineRule="auto"/>
              <w:rPr>
                <w:rFonts w:ascii="宋体" w:hAnsi="宋体" w:cs="宋体"/>
                <w:color w:val="000000"/>
                <w:szCs w:val="21"/>
              </w:rPr>
            </w:pPr>
            <w:r>
              <w:rPr>
                <w:rFonts w:hint="eastAsia" w:ascii="宋体" w:hAnsi="宋体" w:cs="宋体"/>
                <w:color w:val="000000"/>
                <w:szCs w:val="21"/>
              </w:rPr>
              <w:t>1、供应商符合《中华人民共和国政府采购法》第二十二条规定条件：</w:t>
            </w:r>
          </w:p>
          <w:p w14:paraId="76B4F948">
            <w:pPr>
              <w:spacing w:line="360" w:lineRule="auto"/>
              <w:rPr>
                <w:rFonts w:ascii="宋体" w:hAnsi="宋体" w:cs="宋体"/>
                <w:color w:val="000000"/>
                <w:szCs w:val="21"/>
              </w:rPr>
            </w:pPr>
            <w:r>
              <w:rPr>
                <w:rFonts w:hint="eastAsia" w:ascii="宋体" w:hAnsi="宋体" w:cs="宋体"/>
                <w:color w:val="000000"/>
                <w:szCs w:val="21"/>
              </w:rPr>
              <w:t>2、落实政府采购政策满足的资格要求：本项目非专门面向中小微企业采购项目，执行促进中小型企业发展政策（残疾人福利性企业、监狱企业视同小微企业）、优先采购节能环保产品等政府采购政策。</w:t>
            </w:r>
          </w:p>
          <w:p w14:paraId="412C42E0">
            <w:pPr>
              <w:spacing w:line="360" w:lineRule="auto"/>
              <w:rPr>
                <w:rFonts w:ascii="宋体" w:hAnsi="宋体" w:cs="宋体"/>
                <w:color w:val="000000"/>
                <w:szCs w:val="21"/>
              </w:rPr>
            </w:pPr>
            <w:r>
              <w:rPr>
                <w:rFonts w:hint="eastAsia" w:ascii="宋体" w:hAnsi="宋体" w:cs="宋体"/>
                <w:color w:val="000000"/>
                <w:szCs w:val="21"/>
              </w:rPr>
              <w:t>3、本项目的特定资格要求</w:t>
            </w:r>
          </w:p>
          <w:p w14:paraId="038A30EF">
            <w:pPr>
              <w:spacing w:line="360" w:lineRule="auto"/>
              <w:rPr>
                <w:rFonts w:ascii="宋体" w:hAnsi="宋体" w:cs="宋体"/>
                <w:color w:val="000000"/>
                <w:szCs w:val="21"/>
              </w:rPr>
            </w:pPr>
            <w:r>
              <w:rPr>
                <w:rFonts w:hint="eastAsia" w:ascii="宋体" w:hAnsi="宋体" w:cs="宋体"/>
                <w:color w:val="000000"/>
                <w:szCs w:val="21"/>
              </w:rPr>
              <w:t>3.1供应商具有独立承担民事责任的能力；(供应商是企业（包括合伙企业），应提供在市场监督管理局注册的有效“企业法人营业执照”；供应商是事业单位，应提供有效的“事业单位法人证书”)；</w:t>
            </w:r>
          </w:p>
          <w:p w14:paraId="2FA511EF">
            <w:pPr>
              <w:spacing w:line="360" w:lineRule="auto"/>
              <w:rPr>
                <w:rFonts w:ascii="宋体" w:hAnsi="宋体" w:cs="宋体"/>
                <w:color w:val="000000"/>
                <w:szCs w:val="21"/>
              </w:rPr>
            </w:pPr>
            <w:r>
              <w:rPr>
                <w:rFonts w:hint="eastAsia" w:ascii="宋体" w:hAnsi="宋体" w:cs="宋体"/>
                <w:color w:val="000000"/>
                <w:szCs w:val="21"/>
              </w:rPr>
              <w:t>3.2供应商须具有行政主管部门颁发的城乡规划甲级资质；</w:t>
            </w:r>
          </w:p>
          <w:p w14:paraId="4604A58D">
            <w:pPr>
              <w:spacing w:line="360" w:lineRule="auto"/>
              <w:rPr>
                <w:rFonts w:ascii="宋体" w:hAnsi="宋体" w:cs="宋体"/>
                <w:color w:val="000000"/>
                <w:szCs w:val="21"/>
              </w:rPr>
            </w:pPr>
            <w:r>
              <w:rPr>
                <w:rFonts w:hint="eastAsia" w:ascii="宋体" w:hAnsi="宋体" w:cs="宋体"/>
                <w:color w:val="000000"/>
                <w:szCs w:val="21"/>
              </w:rPr>
              <w:t>3.3项目负责人须具有国家注册城乡规划师证书及高级工程师职称（提供本单位为其缴纳的社保证明）；</w:t>
            </w:r>
          </w:p>
          <w:p w14:paraId="0F030064">
            <w:pPr>
              <w:spacing w:line="360" w:lineRule="auto"/>
              <w:rPr>
                <w:rFonts w:ascii="宋体" w:hAnsi="宋体" w:cs="宋体"/>
                <w:color w:val="000000"/>
                <w:szCs w:val="21"/>
              </w:rPr>
            </w:pPr>
            <w:r>
              <w:rPr>
                <w:rFonts w:hint="eastAsia" w:ascii="宋体" w:hAnsi="宋体" w:cs="宋体"/>
                <w:color w:val="000000"/>
                <w:szCs w:val="21"/>
              </w:rPr>
              <w:t>3.4供应商出具无行贿犯罪记录在中国裁判文书网自行查询或自行承诺（查询对象：企业、法定代表人）；</w:t>
            </w:r>
          </w:p>
          <w:p w14:paraId="6EC75CB4">
            <w:pPr>
              <w:spacing w:line="360" w:lineRule="auto"/>
              <w:rPr>
                <w:rFonts w:ascii="宋体" w:hAnsi="宋体" w:cs="宋体"/>
                <w:color w:val="000000"/>
                <w:szCs w:val="21"/>
              </w:rPr>
            </w:pPr>
            <w:r>
              <w:rPr>
                <w:rFonts w:hint="eastAsia" w:ascii="宋体" w:hAnsi="宋体" w:cs="宋体"/>
                <w:color w:val="000000"/>
                <w:szCs w:val="21"/>
              </w:rPr>
              <w:t>3.5供应商须提供本企业无商业贿赂和不正当竞争行为承诺书；</w:t>
            </w:r>
          </w:p>
          <w:p w14:paraId="487C0F6C">
            <w:pPr>
              <w:spacing w:line="360" w:lineRule="auto"/>
              <w:rPr>
                <w:rFonts w:ascii="宋体" w:hAnsi="宋体" w:cs="宋体"/>
                <w:color w:val="000000"/>
                <w:szCs w:val="21"/>
              </w:rPr>
            </w:pPr>
            <w:r>
              <w:rPr>
                <w:rFonts w:hint="eastAsia" w:ascii="宋体" w:hAnsi="宋体" w:cs="宋体"/>
                <w:color w:val="000000"/>
                <w:szCs w:val="21"/>
              </w:rPr>
              <w:t>3.6供应商没有被列入“中国执行信息公开网”的“失信被执行人”、“信用中国”的“重大税收违法失信主体”及“中国政府采购网站”的“政府采购严重违法失信行为记录名单”。【查询渠道：“中国执行信息公开网”（http://zxgk.court.gov.cn/）“信用中国”网站（www.creditchina.gov.cn）、“中国政府采购网”（www.ccgp.gov.cn）】(注：査询时间必须是本公告发布之后开标之前，查询结果清晰可见)；</w:t>
            </w:r>
          </w:p>
          <w:p w14:paraId="19A12DD6">
            <w:pPr>
              <w:spacing w:line="360" w:lineRule="auto"/>
              <w:rPr>
                <w:rFonts w:ascii="宋体" w:hAnsi="宋体" w:cs="宋体"/>
                <w:color w:val="000000"/>
                <w:szCs w:val="21"/>
              </w:rPr>
            </w:pPr>
            <w:r>
              <w:rPr>
                <w:rFonts w:hint="eastAsia" w:ascii="宋体" w:hAnsi="宋体" w:cs="宋体"/>
                <w:color w:val="000000"/>
                <w:szCs w:val="21"/>
              </w:rPr>
              <w:t>3.7本项目接受联合体投标，联合体投标除满足上述要求外,同时须具备以下条件：</w:t>
            </w:r>
          </w:p>
          <w:p w14:paraId="347A6BC5">
            <w:pPr>
              <w:spacing w:line="360" w:lineRule="auto"/>
              <w:rPr>
                <w:rFonts w:ascii="宋体" w:hAnsi="宋体" w:cs="宋体"/>
                <w:color w:val="000000"/>
                <w:szCs w:val="21"/>
              </w:rPr>
            </w:pPr>
            <w:r>
              <w:rPr>
                <w:rFonts w:hint="eastAsia" w:ascii="宋体" w:hAnsi="宋体" w:cs="宋体"/>
                <w:color w:val="000000"/>
                <w:szCs w:val="21"/>
              </w:rPr>
              <w:t>3.7.1 联合体投标时，由联合体牵头人网上下载文件即可，除联合体协议书由各方签字盖章外（在投标文件中附加盖各自公章的原件扫描件），投标文件其余电子签名、电子签章等均由牵头人签署、办理。</w:t>
            </w:r>
          </w:p>
          <w:p w14:paraId="764B4701">
            <w:pPr>
              <w:spacing w:line="360" w:lineRule="auto"/>
              <w:rPr>
                <w:rFonts w:ascii="宋体" w:hAnsi="宋体" w:cs="宋体"/>
                <w:color w:val="000000"/>
                <w:szCs w:val="21"/>
              </w:rPr>
            </w:pPr>
            <w:r>
              <w:rPr>
                <w:rFonts w:hint="eastAsia" w:ascii="宋体" w:hAnsi="宋体" w:cs="宋体"/>
                <w:color w:val="000000"/>
                <w:szCs w:val="21"/>
              </w:rPr>
              <w:t>3.7.2 联合体各方签订共同投标协议后，不得再以自己名义单独投标，也不得组成新的联合体或参加其他联合体在同一项目中投标；</w:t>
            </w:r>
          </w:p>
          <w:p w14:paraId="2347FC05">
            <w:pPr>
              <w:spacing w:line="360" w:lineRule="auto"/>
              <w:rPr>
                <w:rFonts w:ascii="宋体" w:hAnsi="宋体" w:cs="宋体"/>
                <w:color w:val="000000"/>
                <w:szCs w:val="21"/>
              </w:rPr>
            </w:pPr>
            <w:r>
              <w:rPr>
                <w:rFonts w:hint="eastAsia" w:ascii="宋体" w:hAnsi="宋体" w:cs="宋体"/>
                <w:color w:val="000000"/>
                <w:szCs w:val="21"/>
              </w:rPr>
              <w:t>3.7.3 联合体所有成员数量不得超过2个；投标文件中应附联合体协议书，明确联合体牵头人和各方权利义务及各方拟承担的工作和责任，并承诺一旦中标，联合体各方将向招标人承担连带责任。</w:t>
            </w:r>
          </w:p>
          <w:p w14:paraId="090B1BF8">
            <w:pPr>
              <w:spacing w:line="360" w:lineRule="auto"/>
              <w:rPr>
                <w:rFonts w:ascii="宋体" w:hAnsi="宋体" w:cs="宋体"/>
                <w:color w:val="000000"/>
                <w:szCs w:val="21"/>
              </w:rPr>
            </w:pPr>
            <w:r>
              <w:rPr>
                <w:rFonts w:hint="eastAsia" w:ascii="宋体" w:hAnsi="宋体" w:cs="宋体"/>
                <w:color w:val="000000"/>
                <w:szCs w:val="21"/>
              </w:rPr>
              <w:t>3.7.4 联合体所有成员均需满足第1条、第3.1-3.6条相应的资格条件；</w:t>
            </w:r>
          </w:p>
          <w:p w14:paraId="07D230D2">
            <w:pPr>
              <w:spacing w:line="360" w:lineRule="auto"/>
              <w:rPr>
                <w:rFonts w:ascii="宋体" w:hAnsi="宋体" w:cs="宋体"/>
                <w:color w:val="000000"/>
                <w:szCs w:val="21"/>
              </w:rPr>
            </w:pPr>
            <w:r>
              <w:rPr>
                <w:rFonts w:hint="eastAsia" w:ascii="宋体" w:hAnsi="宋体" w:cs="宋体"/>
                <w:color w:val="000000"/>
                <w:szCs w:val="21"/>
              </w:rPr>
              <w:t>3.8本项目实行资格后审，资格审查的具体要求见竞争性磋商文件；</w:t>
            </w:r>
          </w:p>
        </w:tc>
      </w:tr>
      <w:tr w14:paraId="1FAE9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0" w:type="dxa"/>
            <w:vAlign w:val="center"/>
          </w:tcPr>
          <w:p w14:paraId="248C7645">
            <w:pPr>
              <w:spacing w:line="360" w:lineRule="auto"/>
              <w:jc w:val="center"/>
              <w:rPr>
                <w:rFonts w:ascii="宋体" w:hAnsi="宋体" w:cs="宋体"/>
                <w:color w:val="000000"/>
                <w:szCs w:val="21"/>
              </w:rPr>
            </w:pPr>
            <w:r>
              <w:rPr>
                <w:rFonts w:hint="eastAsia" w:ascii="宋体" w:hAnsi="宋体" w:cs="宋体"/>
                <w:color w:val="000000"/>
                <w:szCs w:val="21"/>
              </w:rPr>
              <w:t>1.9</w:t>
            </w:r>
          </w:p>
        </w:tc>
        <w:tc>
          <w:tcPr>
            <w:tcW w:w="2109" w:type="dxa"/>
            <w:vAlign w:val="center"/>
          </w:tcPr>
          <w:p w14:paraId="58284288">
            <w:pPr>
              <w:spacing w:line="360" w:lineRule="auto"/>
              <w:jc w:val="left"/>
              <w:rPr>
                <w:rFonts w:ascii="宋体" w:hAnsi="宋体" w:cs="宋体"/>
                <w:color w:val="000000"/>
                <w:szCs w:val="21"/>
              </w:rPr>
            </w:pPr>
            <w:r>
              <w:rPr>
                <w:rFonts w:hint="eastAsia" w:ascii="宋体" w:hAnsi="宋体" w:cs="宋体"/>
                <w:color w:val="000000"/>
                <w:szCs w:val="21"/>
              </w:rPr>
              <w:t>是否接受联合体投标</w:t>
            </w:r>
          </w:p>
        </w:tc>
        <w:tc>
          <w:tcPr>
            <w:tcW w:w="6643" w:type="dxa"/>
            <w:vAlign w:val="center"/>
          </w:tcPr>
          <w:p w14:paraId="316478F9">
            <w:pPr>
              <w:spacing w:line="360" w:lineRule="auto"/>
              <w:rPr>
                <w:rFonts w:ascii="宋体" w:hAnsi="宋体" w:cs="宋体"/>
                <w:color w:val="000000"/>
                <w:szCs w:val="21"/>
              </w:rPr>
            </w:pPr>
            <w:r>
              <w:rPr>
                <w:rFonts w:hint="eastAsia" w:ascii="宋体" w:hAnsi="宋体" w:cs="宋体"/>
                <w:color w:val="000000"/>
                <w:szCs w:val="21"/>
              </w:rPr>
              <w:t>接受，应满足以下条件：</w:t>
            </w:r>
          </w:p>
          <w:p w14:paraId="632EC6FD">
            <w:pPr>
              <w:spacing w:line="360" w:lineRule="auto"/>
              <w:rPr>
                <w:rFonts w:ascii="宋体" w:hAnsi="宋体" w:cs="宋体"/>
                <w:color w:val="000000"/>
                <w:szCs w:val="21"/>
              </w:rPr>
            </w:pPr>
            <w:r>
              <w:rPr>
                <w:rFonts w:hint="eastAsia" w:ascii="宋体" w:hAnsi="宋体" w:cs="宋体"/>
                <w:color w:val="000000"/>
                <w:szCs w:val="21"/>
              </w:rPr>
              <w:t>1. 联合体投标时，由联合体牵头人网上下载文件即可，除联合体协议书由各方签字盖章外（在投标文件中附加盖各自公章的原件扫描件），投标文件其余电子签名、电子签章等均由牵头人签署、办理；</w:t>
            </w:r>
          </w:p>
          <w:p w14:paraId="65479C90">
            <w:pPr>
              <w:spacing w:line="360" w:lineRule="auto"/>
              <w:rPr>
                <w:rFonts w:ascii="宋体" w:hAnsi="宋体" w:cs="宋体"/>
                <w:color w:val="000000"/>
                <w:szCs w:val="21"/>
              </w:rPr>
            </w:pPr>
            <w:r>
              <w:rPr>
                <w:rFonts w:hint="eastAsia" w:ascii="宋体" w:hAnsi="宋体" w:cs="宋体"/>
                <w:color w:val="000000"/>
                <w:szCs w:val="21"/>
              </w:rPr>
              <w:t>2. 联合体各方签订共同投标协议后，不得再以自己名义单独投标，也不得组成新的联合体或参加其他联合体在同一项目中投标；</w:t>
            </w:r>
          </w:p>
          <w:p w14:paraId="1E16AC36">
            <w:pPr>
              <w:spacing w:line="360" w:lineRule="auto"/>
              <w:rPr>
                <w:rFonts w:ascii="宋体" w:hAnsi="宋体" w:cs="宋体"/>
                <w:color w:val="000000"/>
                <w:szCs w:val="21"/>
              </w:rPr>
            </w:pPr>
            <w:r>
              <w:rPr>
                <w:rFonts w:hint="eastAsia" w:ascii="宋体" w:hAnsi="宋体" w:cs="宋体"/>
                <w:color w:val="000000"/>
                <w:szCs w:val="21"/>
              </w:rPr>
              <w:t>3. 联合体所有成员数量不得超过2个；投标文件中应附联合体协议书，明确联合体牵头人和各方权利义务及各方拟承担的工作和责任，并承诺一旦中标，联合体各方将向招标人承担连带责任；</w:t>
            </w:r>
          </w:p>
          <w:p w14:paraId="6D2669C8">
            <w:pPr>
              <w:spacing w:line="360" w:lineRule="auto"/>
              <w:rPr>
                <w:rFonts w:ascii="宋体" w:hAnsi="宋体" w:cs="宋体"/>
                <w:color w:val="000000"/>
                <w:szCs w:val="21"/>
              </w:rPr>
            </w:pPr>
            <w:r>
              <w:rPr>
                <w:rFonts w:hint="eastAsia" w:ascii="宋体" w:hAnsi="宋体" w:cs="宋体"/>
                <w:color w:val="000000"/>
                <w:szCs w:val="21"/>
              </w:rPr>
              <w:t>4. 联合体所有成员均需满足第1条、第3.1-3.6条相应的资格条件；</w:t>
            </w:r>
          </w:p>
        </w:tc>
      </w:tr>
      <w:tr w14:paraId="3E689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0" w:type="dxa"/>
            <w:vAlign w:val="center"/>
          </w:tcPr>
          <w:p w14:paraId="3161E95D">
            <w:pPr>
              <w:spacing w:line="360" w:lineRule="auto"/>
              <w:jc w:val="center"/>
              <w:rPr>
                <w:rFonts w:ascii="宋体" w:hAnsi="宋体" w:cs="宋体"/>
                <w:color w:val="000000"/>
                <w:szCs w:val="21"/>
              </w:rPr>
            </w:pPr>
            <w:r>
              <w:rPr>
                <w:rFonts w:hint="eastAsia" w:ascii="宋体" w:hAnsi="宋体" w:cs="宋体"/>
                <w:color w:val="000000"/>
                <w:szCs w:val="21"/>
              </w:rPr>
              <w:t>2.0</w:t>
            </w:r>
          </w:p>
        </w:tc>
        <w:tc>
          <w:tcPr>
            <w:tcW w:w="2109" w:type="dxa"/>
            <w:vAlign w:val="center"/>
          </w:tcPr>
          <w:p w14:paraId="055E47D1">
            <w:pPr>
              <w:spacing w:line="360" w:lineRule="auto"/>
              <w:jc w:val="left"/>
              <w:rPr>
                <w:rFonts w:ascii="宋体" w:hAnsi="宋体" w:cs="宋体"/>
                <w:color w:val="000000"/>
                <w:szCs w:val="21"/>
              </w:rPr>
            </w:pPr>
            <w:r>
              <w:rPr>
                <w:rFonts w:hint="eastAsia" w:ascii="宋体" w:hAnsi="宋体" w:cs="宋体"/>
                <w:color w:val="000000"/>
                <w:szCs w:val="21"/>
              </w:rPr>
              <w:t>偏离</w:t>
            </w:r>
          </w:p>
        </w:tc>
        <w:tc>
          <w:tcPr>
            <w:tcW w:w="6643" w:type="dxa"/>
            <w:vAlign w:val="center"/>
          </w:tcPr>
          <w:p w14:paraId="30FEE14E">
            <w:pPr>
              <w:spacing w:line="360" w:lineRule="auto"/>
              <w:rPr>
                <w:rFonts w:ascii="宋体" w:hAnsi="宋体" w:cs="宋体"/>
                <w:color w:val="000000"/>
                <w:szCs w:val="21"/>
              </w:rPr>
            </w:pPr>
            <w:r>
              <w:rPr>
                <w:rFonts w:hint="eastAsia" w:ascii="宋体" w:hAnsi="宋体" w:cs="宋体"/>
                <w:color w:val="000000"/>
                <w:szCs w:val="21"/>
              </w:rPr>
              <w:t>不允许</w:t>
            </w:r>
          </w:p>
        </w:tc>
      </w:tr>
      <w:tr w14:paraId="09D8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0" w:type="dxa"/>
            <w:vAlign w:val="center"/>
          </w:tcPr>
          <w:p w14:paraId="14F47385">
            <w:pPr>
              <w:spacing w:line="360" w:lineRule="auto"/>
              <w:jc w:val="center"/>
              <w:rPr>
                <w:rFonts w:ascii="宋体" w:hAnsi="宋体" w:cs="宋体"/>
                <w:color w:val="000000"/>
                <w:szCs w:val="21"/>
              </w:rPr>
            </w:pPr>
            <w:r>
              <w:rPr>
                <w:rFonts w:hint="eastAsia" w:ascii="宋体" w:hAnsi="宋体" w:cs="宋体"/>
                <w:color w:val="000000"/>
                <w:szCs w:val="21"/>
              </w:rPr>
              <w:t>2.1</w:t>
            </w:r>
          </w:p>
        </w:tc>
        <w:tc>
          <w:tcPr>
            <w:tcW w:w="2109" w:type="dxa"/>
            <w:vAlign w:val="center"/>
          </w:tcPr>
          <w:p w14:paraId="64A3BF22">
            <w:pPr>
              <w:spacing w:line="360" w:lineRule="auto"/>
              <w:rPr>
                <w:rFonts w:ascii="宋体" w:hAnsi="宋体" w:cs="宋体"/>
                <w:color w:val="000000"/>
                <w:szCs w:val="21"/>
              </w:rPr>
            </w:pPr>
            <w:r>
              <w:rPr>
                <w:rFonts w:hint="eastAsia" w:ascii="宋体" w:hAnsi="宋体" w:cs="宋体"/>
                <w:color w:val="000000"/>
                <w:szCs w:val="21"/>
              </w:rPr>
              <w:t>供应商要求澄清磋商文件的截止时间</w:t>
            </w:r>
          </w:p>
        </w:tc>
        <w:tc>
          <w:tcPr>
            <w:tcW w:w="6643" w:type="dxa"/>
            <w:vAlign w:val="center"/>
          </w:tcPr>
          <w:p w14:paraId="2EDD019A">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递交响应文件的截止之日5日前</w:t>
            </w:r>
            <w:r>
              <w:rPr>
                <w:rFonts w:ascii="宋体" w:hAnsi="宋体" w:cs="宋体"/>
                <w:color w:val="000000"/>
                <w:szCs w:val="21"/>
              </w:rPr>
              <w:t>。</w:t>
            </w:r>
          </w:p>
        </w:tc>
      </w:tr>
      <w:tr w14:paraId="1640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0" w:type="dxa"/>
            <w:vAlign w:val="center"/>
          </w:tcPr>
          <w:p w14:paraId="63C1EEFE">
            <w:pPr>
              <w:spacing w:line="360" w:lineRule="auto"/>
              <w:jc w:val="center"/>
              <w:rPr>
                <w:rFonts w:ascii="宋体" w:hAnsi="宋体" w:cs="宋体"/>
                <w:color w:val="000000"/>
                <w:szCs w:val="21"/>
              </w:rPr>
            </w:pPr>
            <w:r>
              <w:rPr>
                <w:rFonts w:hint="eastAsia" w:ascii="宋体" w:hAnsi="宋体" w:cs="宋体"/>
                <w:color w:val="000000"/>
                <w:szCs w:val="21"/>
              </w:rPr>
              <w:t>2.2</w:t>
            </w:r>
          </w:p>
        </w:tc>
        <w:tc>
          <w:tcPr>
            <w:tcW w:w="2109" w:type="dxa"/>
            <w:vAlign w:val="center"/>
          </w:tcPr>
          <w:p w14:paraId="7D69DBA0">
            <w:pPr>
              <w:spacing w:line="360" w:lineRule="auto"/>
              <w:rPr>
                <w:rFonts w:ascii="宋体" w:hAnsi="宋体" w:cs="宋体"/>
                <w:color w:val="000000"/>
                <w:szCs w:val="21"/>
              </w:rPr>
            </w:pPr>
            <w:r>
              <w:rPr>
                <w:rFonts w:hint="eastAsia" w:ascii="宋体" w:hAnsi="宋体" w:cs="宋体"/>
                <w:color w:val="000000"/>
                <w:szCs w:val="21"/>
              </w:rPr>
              <w:t>采购人澄清的时间</w:t>
            </w:r>
          </w:p>
        </w:tc>
        <w:tc>
          <w:tcPr>
            <w:tcW w:w="6643" w:type="dxa"/>
          </w:tcPr>
          <w:p w14:paraId="160663C0">
            <w:pPr>
              <w:autoSpaceDE w:val="0"/>
              <w:autoSpaceDN w:val="0"/>
              <w:adjustRightInd w:val="0"/>
              <w:spacing w:line="360" w:lineRule="auto"/>
              <w:rPr>
                <w:rFonts w:ascii="宋体" w:hAnsi="宋体" w:cs="宋体"/>
                <w:color w:val="000000"/>
                <w:szCs w:val="21"/>
              </w:rPr>
            </w:pPr>
            <w:r>
              <w:rPr>
                <w:rFonts w:hint="eastAsia" w:ascii="宋体" w:hAnsi="宋体" w:cs="宋体"/>
                <w:color w:val="000000"/>
                <w:szCs w:val="21"/>
              </w:rPr>
              <w:t>磋商</w:t>
            </w:r>
            <w:r>
              <w:rPr>
                <w:rFonts w:ascii="宋体" w:hAnsi="宋体" w:cs="宋体"/>
                <w:color w:val="000000"/>
                <w:szCs w:val="21"/>
              </w:rPr>
              <w:t>截止时间</w:t>
            </w:r>
            <w:r>
              <w:rPr>
                <w:rFonts w:hint="eastAsia" w:ascii="宋体" w:hAnsi="宋体" w:cs="宋体"/>
                <w:color w:val="000000"/>
                <w:szCs w:val="21"/>
              </w:rPr>
              <w:t>5日</w:t>
            </w:r>
            <w:r>
              <w:rPr>
                <w:rFonts w:ascii="宋体" w:hAnsi="宋体" w:cs="宋体"/>
                <w:color w:val="000000"/>
                <w:szCs w:val="21"/>
              </w:rPr>
              <w:t>前</w:t>
            </w:r>
            <w:r>
              <w:rPr>
                <w:rFonts w:hint="eastAsia" w:ascii="宋体" w:hAnsi="宋体" w:cs="宋体"/>
                <w:color w:val="000000"/>
                <w:szCs w:val="21"/>
              </w:rPr>
              <w:t>。</w:t>
            </w:r>
          </w:p>
        </w:tc>
      </w:tr>
      <w:tr w14:paraId="32D1A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890" w:type="dxa"/>
            <w:vAlign w:val="center"/>
          </w:tcPr>
          <w:p w14:paraId="6B7777C0">
            <w:pPr>
              <w:spacing w:line="360" w:lineRule="auto"/>
              <w:jc w:val="center"/>
              <w:rPr>
                <w:rFonts w:ascii="宋体" w:hAnsi="宋体" w:cs="宋体"/>
                <w:color w:val="000000"/>
                <w:szCs w:val="21"/>
              </w:rPr>
            </w:pPr>
            <w:r>
              <w:rPr>
                <w:rFonts w:hint="eastAsia" w:ascii="宋体" w:hAnsi="宋体" w:cs="宋体"/>
                <w:color w:val="000000"/>
                <w:szCs w:val="21"/>
              </w:rPr>
              <w:t>2.3</w:t>
            </w:r>
          </w:p>
        </w:tc>
        <w:tc>
          <w:tcPr>
            <w:tcW w:w="2109" w:type="dxa"/>
            <w:vAlign w:val="center"/>
          </w:tcPr>
          <w:p w14:paraId="32DA4773">
            <w:pPr>
              <w:spacing w:line="360" w:lineRule="auto"/>
              <w:rPr>
                <w:rFonts w:ascii="宋体" w:hAnsi="宋体"/>
                <w:szCs w:val="21"/>
              </w:rPr>
            </w:pPr>
            <w:r>
              <w:rPr>
                <w:rFonts w:hint="eastAsia" w:ascii="宋体" w:hAnsi="宋体"/>
                <w:szCs w:val="21"/>
              </w:rPr>
              <w:t>构成磋商文件的其他材料</w:t>
            </w:r>
          </w:p>
        </w:tc>
        <w:tc>
          <w:tcPr>
            <w:tcW w:w="6643" w:type="dxa"/>
            <w:vAlign w:val="center"/>
          </w:tcPr>
          <w:p w14:paraId="76E784BB">
            <w:pPr>
              <w:autoSpaceDE w:val="0"/>
              <w:autoSpaceDN w:val="0"/>
              <w:adjustRightInd w:val="0"/>
              <w:jc w:val="left"/>
              <w:rPr>
                <w:rFonts w:ascii="宋体" w:hAnsi="宋体" w:cs="宋体"/>
                <w:color w:val="000000"/>
                <w:szCs w:val="21"/>
              </w:rPr>
            </w:pPr>
            <w:r>
              <w:rPr>
                <w:rFonts w:hint="eastAsia" w:ascii="宋体" w:hAnsi="宋体" w:cs="宋体"/>
                <w:color w:val="000000"/>
                <w:szCs w:val="21"/>
              </w:rPr>
              <w:t>经相关部门确认的答疑纪要、磋商文件的补充、澄清和修改文件（如有）</w:t>
            </w:r>
          </w:p>
        </w:tc>
      </w:tr>
      <w:tr w14:paraId="507F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890" w:type="dxa"/>
            <w:vAlign w:val="center"/>
          </w:tcPr>
          <w:p w14:paraId="2EEA346A">
            <w:pPr>
              <w:spacing w:line="360" w:lineRule="auto"/>
              <w:jc w:val="center"/>
              <w:rPr>
                <w:rFonts w:ascii="宋体" w:hAnsi="宋体" w:cs="宋体"/>
                <w:color w:val="000000"/>
                <w:szCs w:val="21"/>
              </w:rPr>
            </w:pPr>
            <w:r>
              <w:rPr>
                <w:rFonts w:hint="eastAsia" w:ascii="宋体" w:hAnsi="宋体" w:cs="宋体"/>
                <w:color w:val="000000"/>
                <w:szCs w:val="21"/>
              </w:rPr>
              <w:t>2.4</w:t>
            </w:r>
          </w:p>
        </w:tc>
        <w:tc>
          <w:tcPr>
            <w:tcW w:w="2109" w:type="dxa"/>
            <w:vAlign w:val="center"/>
          </w:tcPr>
          <w:p w14:paraId="4D50A28B">
            <w:pPr>
              <w:spacing w:line="360" w:lineRule="auto"/>
              <w:rPr>
                <w:rFonts w:ascii="宋体" w:hAnsi="宋体"/>
                <w:szCs w:val="21"/>
              </w:rPr>
            </w:pPr>
            <w:r>
              <w:rPr>
                <w:rFonts w:hint="eastAsia" w:ascii="宋体" w:hAnsi="宋体"/>
                <w:szCs w:val="21"/>
              </w:rPr>
              <w:t>供应商确认收到磋商文件澄清的时间</w:t>
            </w:r>
          </w:p>
        </w:tc>
        <w:tc>
          <w:tcPr>
            <w:tcW w:w="6643" w:type="dxa"/>
            <w:vAlign w:val="center"/>
          </w:tcPr>
          <w:p w14:paraId="36A08C4A">
            <w:pPr>
              <w:autoSpaceDE w:val="0"/>
              <w:autoSpaceDN w:val="0"/>
              <w:adjustRightInd w:val="0"/>
              <w:jc w:val="left"/>
              <w:rPr>
                <w:rFonts w:ascii="宋体" w:hAnsi="宋体" w:cs="宋体"/>
                <w:color w:val="000000"/>
                <w:szCs w:val="21"/>
              </w:rPr>
            </w:pPr>
            <w:r>
              <w:rPr>
                <w:rFonts w:hint="eastAsia" w:ascii="宋体" w:hAnsi="宋体" w:cs="宋体"/>
                <w:color w:val="000000"/>
                <w:szCs w:val="21"/>
              </w:rPr>
              <w:t>在收到相应澄清文件后</w:t>
            </w:r>
            <w:r>
              <w:rPr>
                <w:rFonts w:ascii="宋体" w:hAnsi="宋体" w:cs="宋体"/>
                <w:color w:val="000000"/>
                <w:szCs w:val="21"/>
              </w:rPr>
              <w:t>24</w:t>
            </w:r>
            <w:r>
              <w:rPr>
                <w:rFonts w:hint="eastAsia" w:ascii="宋体" w:hAnsi="宋体" w:cs="宋体"/>
                <w:color w:val="000000"/>
                <w:szCs w:val="21"/>
              </w:rPr>
              <w:t>小时内。</w:t>
            </w:r>
          </w:p>
        </w:tc>
      </w:tr>
      <w:tr w14:paraId="34971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890" w:type="dxa"/>
            <w:vAlign w:val="center"/>
          </w:tcPr>
          <w:p w14:paraId="1A00EED9">
            <w:pPr>
              <w:spacing w:line="360" w:lineRule="auto"/>
              <w:jc w:val="center"/>
              <w:rPr>
                <w:rFonts w:ascii="宋体" w:hAnsi="宋体" w:cs="宋体"/>
                <w:color w:val="000000"/>
                <w:szCs w:val="21"/>
              </w:rPr>
            </w:pPr>
            <w:r>
              <w:rPr>
                <w:rFonts w:hint="eastAsia" w:ascii="宋体" w:hAnsi="宋体" w:cs="宋体"/>
                <w:color w:val="000000"/>
                <w:szCs w:val="21"/>
              </w:rPr>
              <w:t>2.5</w:t>
            </w:r>
          </w:p>
        </w:tc>
        <w:tc>
          <w:tcPr>
            <w:tcW w:w="2109" w:type="dxa"/>
            <w:vAlign w:val="center"/>
          </w:tcPr>
          <w:p w14:paraId="5256AE78">
            <w:pPr>
              <w:autoSpaceDE w:val="0"/>
              <w:autoSpaceDN w:val="0"/>
              <w:adjustRightInd w:val="0"/>
              <w:spacing w:line="360" w:lineRule="auto"/>
              <w:jc w:val="left"/>
              <w:rPr>
                <w:rFonts w:ascii="宋体" w:hAnsi="宋体"/>
                <w:szCs w:val="21"/>
              </w:rPr>
            </w:pPr>
            <w:r>
              <w:rPr>
                <w:rFonts w:hint="eastAsia" w:ascii="宋体" w:hAnsi="宋体"/>
                <w:szCs w:val="21"/>
              </w:rPr>
              <w:t>供应商确认收到磋商文件修改的时间</w:t>
            </w:r>
          </w:p>
        </w:tc>
        <w:tc>
          <w:tcPr>
            <w:tcW w:w="6643" w:type="dxa"/>
            <w:vAlign w:val="center"/>
          </w:tcPr>
          <w:p w14:paraId="24C5E827">
            <w:pPr>
              <w:autoSpaceDE w:val="0"/>
              <w:autoSpaceDN w:val="0"/>
              <w:adjustRightInd w:val="0"/>
              <w:jc w:val="left"/>
              <w:rPr>
                <w:rFonts w:ascii="宋体" w:hAnsi="宋体" w:cs="宋体"/>
                <w:color w:val="000000"/>
                <w:szCs w:val="21"/>
              </w:rPr>
            </w:pPr>
            <w:r>
              <w:rPr>
                <w:rFonts w:hint="eastAsia" w:ascii="宋体" w:hAnsi="宋体" w:cs="宋体"/>
                <w:color w:val="000000"/>
                <w:szCs w:val="21"/>
              </w:rPr>
              <w:t>在收到相应修改文件后</w:t>
            </w:r>
            <w:r>
              <w:rPr>
                <w:rFonts w:ascii="宋体" w:hAnsi="宋体" w:cs="宋体"/>
                <w:color w:val="000000"/>
                <w:szCs w:val="21"/>
              </w:rPr>
              <w:t>24</w:t>
            </w:r>
            <w:r>
              <w:rPr>
                <w:rFonts w:hint="eastAsia" w:ascii="宋体" w:hAnsi="宋体" w:cs="宋体"/>
                <w:color w:val="000000"/>
                <w:szCs w:val="21"/>
              </w:rPr>
              <w:t>小时内</w:t>
            </w:r>
          </w:p>
        </w:tc>
      </w:tr>
      <w:tr w14:paraId="429D4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890" w:type="dxa"/>
            <w:vAlign w:val="center"/>
          </w:tcPr>
          <w:p w14:paraId="57EF68CD">
            <w:pPr>
              <w:spacing w:line="360" w:lineRule="auto"/>
              <w:jc w:val="center"/>
              <w:rPr>
                <w:rFonts w:ascii="宋体" w:hAnsi="宋体" w:cs="宋体"/>
                <w:color w:val="000000"/>
                <w:szCs w:val="21"/>
              </w:rPr>
            </w:pPr>
            <w:r>
              <w:rPr>
                <w:rFonts w:hint="eastAsia" w:ascii="宋体" w:hAnsi="宋体" w:cs="宋体"/>
                <w:color w:val="000000"/>
                <w:szCs w:val="21"/>
              </w:rPr>
              <w:t>2.6</w:t>
            </w:r>
          </w:p>
        </w:tc>
        <w:tc>
          <w:tcPr>
            <w:tcW w:w="2109" w:type="dxa"/>
            <w:vAlign w:val="center"/>
          </w:tcPr>
          <w:p w14:paraId="00FF61EB">
            <w:pPr>
              <w:autoSpaceDE w:val="0"/>
              <w:autoSpaceDN w:val="0"/>
              <w:adjustRightInd w:val="0"/>
              <w:jc w:val="left"/>
              <w:rPr>
                <w:rFonts w:ascii="宋体" w:hAnsi="宋体"/>
                <w:szCs w:val="21"/>
              </w:rPr>
            </w:pPr>
            <w:r>
              <w:rPr>
                <w:rFonts w:hint="eastAsia" w:ascii="宋体" w:hAnsi="宋体"/>
                <w:szCs w:val="21"/>
              </w:rPr>
              <w:t>构成响应文件的其他材料</w:t>
            </w:r>
          </w:p>
        </w:tc>
        <w:tc>
          <w:tcPr>
            <w:tcW w:w="6643" w:type="dxa"/>
            <w:vAlign w:val="center"/>
          </w:tcPr>
          <w:p w14:paraId="06485862">
            <w:pPr>
              <w:autoSpaceDE w:val="0"/>
              <w:autoSpaceDN w:val="0"/>
              <w:adjustRightInd w:val="0"/>
              <w:jc w:val="left"/>
              <w:rPr>
                <w:rFonts w:ascii="宋体" w:hAnsi="宋体" w:cs="宋体"/>
                <w:color w:val="000000"/>
                <w:szCs w:val="21"/>
              </w:rPr>
            </w:pPr>
            <w:r>
              <w:rPr>
                <w:rFonts w:hint="eastAsia" w:ascii="宋体" w:hAnsi="宋体" w:cs="宋体"/>
                <w:color w:val="000000"/>
                <w:szCs w:val="21"/>
              </w:rPr>
              <w:t>无</w:t>
            </w:r>
          </w:p>
        </w:tc>
      </w:tr>
      <w:tr w14:paraId="0EEEE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90" w:type="dxa"/>
            <w:vAlign w:val="center"/>
          </w:tcPr>
          <w:p w14:paraId="7DF899FA">
            <w:pPr>
              <w:spacing w:line="360" w:lineRule="auto"/>
              <w:jc w:val="center"/>
              <w:rPr>
                <w:rFonts w:ascii="宋体" w:hAnsi="宋体" w:cs="宋体"/>
                <w:color w:val="000000"/>
                <w:szCs w:val="21"/>
              </w:rPr>
            </w:pPr>
            <w:r>
              <w:rPr>
                <w:rFonts w:hint="eastAsia" w:ascii="宋体" w:hAnsi="宋体" w:cs="宋体"/>
                <w:color w:val="000000"/>
                <w:szCs w:val="21"/>
              </w:rPr>
              <w:t>2.7</w:t>
            </w:r>
          </w:p>
        </w:tc>
        <w:tc>
          <w:tcPr>
            <w:tcW w:w="2109" w:type="dxa"/>
            <w:vAlign w:val="center"/>
          </w:tcPr>
          <w:p w14:paraId="1529E175">
            <w:pPr>
              <w:spacing w:line="360" w:lineRule="auto"/>
              <w:rPr>
                <w:rFonts w:ascii="宋体" w:hAnsi="宋体" w:cs="宋体"/>
                <w:color w:val="000000"/>
                <w:szCs w:val="21"/>
              </w:rPr>
            </w:pPr>
            <w:r>
              <w:rPr>
                <w:rFonts w:hint="eastAsia" w:ascii="宋体" w:hAnsi="宋体" w:cs="宋体"/>
                <w:color w:val="000000"/>
                <w:szCs w:val="21"/>
              </w:rPr>
              <w:t>磋商有效期</w:t>
            </w:r>
          </w:p>
        </w:tc>
        <w:tc>
          <w:tcPr>
            <w:tcW w:w="6643" w:type="dxa"/>
            <w:vAlign w:val="center"/>
          </w:tcPr>
          <w:p w14:paraId="0D8C7DFE">
            <w:pPr>
              <w:spacing w:line="360" w:lineRule="auto"/>
              <w:rPr>
                <w:rFonts w:ascii="宋体" w:hAnsi="宋体" w:cs="宋体"/>
                <w:color w:val="000000"/>
                <w:szCs w:val="21"/>
              </w:rPr>
            </w:pPr>
            <w:r>
              <w:rPr>
                <w:rFonts w:hint="eastAsia" w:ascii="宋体" w:hAnsi="宋体" w:cs="宋体"/>
                <w:color w:val="000000"/>
                <w:szCs w:val="21"/>
              </w:rPr>
              <w:t>磋商截止时间起60日历天</w:t>
            </w:r>
          </w:p>
        </w:tc>
      </w:tr>
      <w:tr w14:paraId="4975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90" w:type="dxa"/>
            <w:vAlign w:val="center"/>
          </w:tcPr>
          <w:p w14:paraId="542ECDA8">
            <w:pPr>
              <w:spacing w:line="360" w:lineRule="auto"/>
              <w:jc w:val="center"/>
              <w:rPr>
                <w:rFonts w:ascii="宋体" w:hAnsi="宋体" w:cs="宋体"/>
                <w:color w:val="000000"/>
                <w:szCs w:val="21"/>
              </w:rPr>
            </w:pPr>
            <w:r>
              <w:rPr>
                <w:rFonts w:hint="eastAsia" w:ascii="宋体" w:hAnsi="宋体" w:cs="宋体"/>
                <w:color w:val="000000"/>
                <w:szCs w:val="21"/>
              </w:rPr>
              <w:t>2.8</w:t>
            </w:r>
          </w:p>
        </w:tc>
        <w:tc>
          <w:tcPr>
            <w:tcW w:w="2109" w:type="dxa"/>
            <w:vAlign w:val="center"/>
          </w:tcPr>
          <w:p w14:paraId="522FE989">
            <w:pPr>
              <w:spacing w:line="360" w:lineRule="auto"/>
              <w:rPr>
                <w:rFonts w:ascii="宋体" w:hAnsi="宋体" w:cs="宋体"/>
                <w:color w:val="000000"/>
                <w:szCs w:val="21"/>
              </w:rPr>
            </w:pPr>
            <w:r>
              <w:rPr>
                <w:rFonts w:hint="eastAsia" w:ascii="宋体" w:hAnsi="宋体" w:cs="宋体"/>
                <w:color w:val="000000"/>
                <w:szCs w:val="21"/>
              </w:rPr>
              <w:t>磋商保证金</w:t>
            </w:r>
          </w:p>
        </w:tc>
        <w:tc>
          <w:tcPr>
            <w:tcW w:w="6643" w:type="dxa"/>
            <w:vAlign w:val="center"/>
          </w:tcPr>
          <w:p w14:paraId="1BD4E505">
            <w:pPr>
              <w:spacing w:line="360" w:lineRule="auto"/>
              <w:rPr>
                <w:rFonts w:ascii="宋体" w:hAnsi="宋体" w:cs="宋体"/>
                <w:color w:val="000000"/>
                <w:szCs w:val="21"/>
              </w:rPr>
            </w:pPr>
            <w:r>
              <w:rPr>
                <w:rFonts w:hint="eastAsia" w:ascii="宋体" w:hAnsi="宋体" w:cs="宋体"/>
                <w:color w:val="000000"/>
                <w:szCs w:val="21"/>
              </w:rPr>
              <w:t>根据《河南省财政厅关于优化政府采购营商环境有关问题的通知》（豫财购【2019】4号）第6条的规定，磋商保证金不再收取。</w:t>
            </w:r>
          </w:p>
        </w:tc>
      </w:tr>
      <w:tr w14:paraId="419C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90" w:type="dxa"/>
            <w:vAlign w:val="center"/>
          </w:tcPr>
          <w:p w14:paraId="13FFAEC2">
            <w:pPr>
              <w:spacing w:line="360" w:lineRule="auto"/>
              <w:jc w:val="center"/>
              <w:rPr>
                <w:rFonts w:ascii="宋体" w:hAnsi="宋体" w:cs="宋体"/>
                <w:color w:val="000000"/>
                <w:szCs w:val="21"/>
              </w:rPr>
            </w:pPr>
            <w:r>
              <w:rPr>
                <w:rFonts w:hint="eastAsia" w:ascii="宋体" w:hAnsi="宋体" w:cs="宋体"/>
                <w:color w:val="000000"/>
                <w:szCs w:val="21"/>
              </w:rPr>
              <w:t>2.9</w:t>
            </w:r>
          </w:p>
        </w:tc>
        <w:tc>
          <w:tcPr>
            <w:tcW w:w="2109" w:type="dxa"/>
            <w:vAlign w:val="center"/>
          </w:tcPr>
          <w:p w14:paraId="627FC2A8">
            <w:pPr>
              <w:spacing w:line="360" w:lineRule="auto"/>
              <w:rPr>
                <w:rFonts w:ascii="宋体" w:hAnsi="宋体" w:cs="宋体"/>
                <w:color w:val="000000"/>
                <w:szCs w:val="21"/>
              </w:rPr>
            </w:pPr>
            <w:r>
              <w:rPr>
                <w:rFonts w:hint="eastAsia" w:ascii="宋体" w:hAnsi="宋体" w:cs="宋体"/>
                <w:color w:val="000000"/>
                <w:szCs w:val="21"/>
              </w:rPr>
              <w:t>是否允许递交备选投标方案</w:t>
            </w:r>
          </w:p>
        </w:tc>
        <w:tc>
          <w:tcPr>
            <w:tcW w:w="6643" w:type="dxa"/>
            <w:vAlign w:val="center"/>
          </w:tcPr>
          <w:p w14:paraId="3885C0E0">
            <w:pPr>
              <w:spacing w:line="360" w:lineRule="auto"/>
              <w:rPr>
                <w:rFonts w:ascii="宋体" w:hAnsi="宋体" w:cs="宋体"/>
                <w:color w:val="000000"/>
                <w:szCs w:val="21"/>
              </w:rPr>
            </w:pPr>
            <w:r>
              <w:rPr>
                <w:rFonts w:hint="eastAsia" w:ascii="宋体" w:hAnsi="宋体" w:cs="宋体"/>
                <w:color w:val="000000"/>
                <w:szCs w:val="21"/>
              </w:rPr>
              <w:t>不允许</w:t>
            </w:r>
          </w:p>
        </w:tc>
      </w:tr>
      <w:tr w14:paraId="1BCF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90" w:type="dxa"/>
            <w:vAlign w:val="center"/>
          </w:tcPr>
          <w:p w14:paraId="34B735EA">
            <w:pPr>
              <w:spacing w:line="360" w:lineRule="auto"/>
              <w:jc w:val="center"/>
              <w:rPr>
                <w:rFonts w:ascii="宋体" w:hAnsi="宋体" w:cs="宋体"/>
                <w:color w:val="000000"/>
                <w:szCs w:val="21"/>
              </w:rPr>
            </w:pPr>
            <w:r>
              <w:rPr>
                <w:rFonts w:hint="eastAsia" w:ascii="宋体" w:hAnsi="宋体" w:cs="宋体"/>
                <w:color w:val="000000"/>
                <w:szCs w:val="21"/>
              </w:rPr>
              <w:t>3.0</w:t>
            </w:r>
          </w:p>
        </w:tc>
        <w:tc>
          <w:tcPr>
            <w:tcW w:w="2109" w:type="dxa"/>
            <w:vAlign w:val="center"/>
          </w:tcPr>
          <w:p w14:paraId="2F8B1403">
            <w:pPr>
              <w:widowControl/>
              <w:spacing w:line="360" w:lineRule="auto"/>
              <w:rPr>
                <w:rFonts w:ascii="宋体" w:hAnsi="宋体" w:cs="宋体"/>
                <w:color w:val="000000"/>
                <w:szCs w:val="21"/>
              </w:rPr>
            </w:pPr>
            <w:r>
              <w:rPr>
                <w:rFonts w:hint="eastAsia" w:ascii="宋体" w:hAnsi="宋体" w:cs="宋体"/>
                <w:color w:val="000000"/>
                <w:szCs w:val="21"/>
              </w:rPr>
              <w:t>响应文件份数</w:t>
            </w:r>
          </w:p>
        </w:tc>
        <w:tc>
          <w:tcPr>
            <w:tcW w:w="6643" w:type="dxa"/>
            <w:vAlign w:val="center"/>
          </w:tcPr>
          <w:p w14:paraId="1FABF8E8">
            <w:pPr>
              <w:widowControl/>
              <w:jc w:val="left"/>
              <w:rPr>
                <w:rFonts w:ascii="宋体" w:hAnsi="宋体" w:cs="宋体"/>
                <w:color w:val="000000"/>
                <w:szCs w:val="21"/>
              </w:rPr>
            </w:pPr>
            <w:r>
              <w:rPr>
                <w:rFonts w:hint="eastAsia" w:ascii="宋体" w:hAnsi="宋体" w:cs="宋体"/>
                <w:color w:val="000000"/>
                <w:szCs w:val="21"/>
              </w:rPr>
              <w:t>电子化响应文件一份</w:t>
            </w:r>
          </w:p>
        </w:tc>
      </w:tr>
      <w:tr w14:paraId="7051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890" w:type="dxa"/>
            <w:vAlign w:val="center"/>
          </w:tcPr>
          <w:p w14:paraId="6DB26B82">
            <w:pPr>
              <w:spacing w:line="360" w:lineRule="auto"/>
              <w:jc w:val="center"/>
              <w:rPr>
                <w:rFonts w:ascii="宋体" w:hAnsi="宋体" w:cs="宋体"/>
                <w:color w:val="000000"/>
                <w:szCs w:val="21"/>
              </w:rPr>
            </w:pPr>
            <w:r>
              <w:rPr>
                <w:rFonts w:hint="eastAsia" w:ascii="宋体" w:hAnsi="宋体" w:cs="宋体"/>
                <w:color w:val="000000"/>
                <w:szCs w:val="21"/>
              </w:rPr>
              <w:t>3.1</w:t>
            </w:r>
          </w:p>
        </w:tc>
        <w:tc>
          <w:tcPr>
            <w:tcW w:w="2109" w:type="dxa"/>
            <w:vAlign w:val="center"/>
          </w:tcPr>
          <w:p w14:paraId="33E305B7">
            <w:pPr>
              <w:spacing w:line="360" w:lineRule="auto"/>
              <w:rPr>
                <w:rFonts w:ascii="宋体" w:hAnsi="宋体" w:cs="宋体"/>
                <w:color w:val="000000"/>
                <w:szCs w:val="21"/>
              </w:rPr>
            </w:pPr>
            <w:r>
              <w:rPr>
                <w:rFonts w:hint="eastAsia" w:ascii="宋体" w:hAnsi="宋体" w:cs="宋体"/>
                <w:color w:val="000000"/>
                <w:szCs w:val="21"/>
              </w:rPr>
              <w:t>响应文件的签章</w:t>
            </w:r>
          </w:p>
        </w:tc>
        <w:tc>
          <w:tcPr>
            <w:tcW w:w="6643" w:type="dxa"/>
            <w:vAlign w:val="center"/>
          </w:tcPr>
          <w:p w14:paraId="464810E5">
            <w:pPr>
              <w:spacing w:line="360" w:lineRule="auto"/>
              <w:rPr>
                <w:rFonts w:ascii="宋体" w:hAnsi="宋体" w:cs="宋体"/>
                <w:color w:val="000000"/>
                <w:szCs w:val="21"/>
              </w:rPr>
            </w:pPr>
            <w:r>
              <w:rPr>
                <w:rFonts w:hint="eastAsia" w:ascii="宋体" w:hAnsi="宋体" w:cs="宋体"/>
                <w:color w:val="000000"/>
                <w:szCs w:val="21"/>
              </w:rPr>
              <w:t>电子化响应文件的签章：</w:t>
            </w:r>
          </w:p>
          <w:p w14:paraId="1F7D355D">
            <w:pPr>
              <w:spacing w:line="360" w:lineRule="auto"/>
              <w:rPr>
                <w:rFonts w:ascii="宋体" w:hAnsi="宋体" w:cs="宋体"/>
                <w:color w:val="000000"/>
                <w:szCs w:val="21"/>
              </w:rPr>
            </w:pPr>
            <w:r>
              <w:rPr>
                <w:rFonts w:hint="eastAsia" w:ascii="宋体" w:hAnsi="宋体" w:cs="宋体"/>
                <w:color w:val="000000"/>
                <w:szCs w:val="21"/>
              </w:rPr>
              <w:t>1、供应商在生成电子化响应文件后，应对电子化响应文件进行签章，未对电子化文件进行签章的视为无效投标。</w:t>
            </w:r>
          </w:p>
          <w:p w14:paraId="7D98A0CB">
            <w:pPr>
              <w:spacing w:line="360" w:lineRule="auto"/>
              <w:rPr>
                <w:rFonts w:ascii="宋体" w:hAnsi="宋体" w:cs="宋体"/>
                <w:color w:val="000000"/>
                <w:szCs w:val="21"/>
              </w:rPr>
            </w:pPr>
            <w:r>
              <w:rPr>
                <w:rFonts w:hint="eastAsia" w:ascii="宋体" w:hAnsi="宋体" w:cs="宋体"/>
                <w:color w:val="000000"/>
                <w:szCs w:val="21"/>
              </w:rPr>
              <w:t>2、磋商文件中要求法定代表人或授权委托人盖章的，供应商在进行电子化响应文件签章时，以签盖法定代表人签章为准。</w:t>
            </w:r>
          </w:p>
          <w:p w14:paraId="29132C82">
            <w:pPr>
              <w:spacing w:line="360" w:lineRule="auto"/>
              <w:rPr>
                <w:rFonts w:ascii="宋体" w:hAnsi="宋体" w:cs="宋体"/>
                <w:color w:val="000000"/>
                <w:szCs w:val="21"/>
              </w:rPr>
            </w:pPr>
            <w:r>
              <w:rPr>
                <w:rFonts w:hint="eastAsia" w:ascii="宋体" w:hAnsi="宋体" w:cs="宋体"/>
                <w:color w:val="000000"/>
                <w:szCs w:val="21"/>
              </w:rPr>
              <w:t>3、电子化响应文件工具请在三门峡市公共资源交易中心网首页“帮助中心”下载。</w:t>
            </w:r>
          </w:p>
        </w:tc>
      </w:tr>
      <w:tr w14:paraId="22E6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890" w:type="dxa"/>
            <w:vAlign w:val="center"/>
          </w:tcPr>
          <w:p w14:paraId="6CB4109A">
            <w:pPr>
              <w:spacing w:line="360" w:lineRule="auto"/>
              <w:jc w:val="center"/>
              <w:rPr>
                <w:rFonts w:ascii="宋体" w:hAnsi="宋体" w:cs="宋体"/>
                <w:color w:val="000000"/>
                <w:szCs w:val="21"/>
              </w:rPr>
            </w:pPr>
            <w:r>
              <w:rPr>
                <w:rFonts w:hint="eastAsia" w:ascii="宋体" w:hAnsi="宋体" w:cs="宋体"/>
                <w:color w:val="000000"/>
                <w:szCs w:val="21"/>
              </w:rPr>
              <w:t>3.2</w:t>
            </w:r>
          </w:p>
        </w:tc>
        <w:tc>
          <w:tcPr>
            <w:tcW w:w="2109" w:type="dxa"/>
            <w:vAlign w:val="center"/>
          </w:tcPr>
          <w:p w14:paraId="20EEFAFE">
            <w:pPr>
              <w:spacing w:line="360" w:lineRule="auto"/>
              <w:rPr>
                <w:rFonts w:ascii="宋体" w:hAnsi="宋体" w:cs="宋体"/>
                <w:color w:val="000000"/>
                <w:kern w:val="0"/>
                <w:szCs w:val="21"/>
              </w:rPr>
            </w:pPr>
            <w:r>
              <w:rPr>
                <w:rFonts w:hint="eastAsia" w:ascii="宋体" w:hAnsi="宋体" w:cs="宋体"/>
                <w:color w:val="000000"/>
                <w:kern w:val="0"/>
                <w:szCs w:val="21"/>
              </w:rPr>
              <w:t>响应截止时间</w:t>
            </w:r>
          </w:p>
        </w:tc>
        <w:tc>
          <w:tcPr>
            <w:tcW w:w="6643" w:type="dxa"/>
            <w:vAlign w:val="center"/>
          </w:tcPr>
          <w:p w14:paraId="491BB6A6">
            <w:pPr>
              <w:rPr>
                <w:rFonts w:ascii="宋体" w:hAnsi="宋体" w:cs="宋体"/>
                <w:color w:val="000000"/>
                <w:szCs w:val="21"/>
              </w:rPr>
            </w:pPr>
            <w:r>
              <w:rPr>
                <w:rFonts w:hint="eastAsia" w:ascii="宋体" w:hAnsi="宋体" w:cs="宋体"/>
                <w:color w:val="000000"/>
                <w:szCs w:val="21"/>
              </w:rPr>
              <w:t>同磋商时间。</w:t>
            </w:r>
          </w:p>
        </w:tc>
      </w:tr>
      <w:tr w14:paraId="355CC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90" w:type="dxa"/>
            <w:vAlign w:val="center"/>
          </w:tcPr>
          <w:p w14:paraId="194359C3">
            <w:pPr>
              <w:spacing w:line="360" w:lineRule="auto"/>
              <w:jc w:val="center"/>
              <w:rPr>
                <w:rFonts w:ascii="宋体" w:hAnsi="宋体" w:cs="宋体"/>
                <w:szCs w:val="21"/>
              </w:rPr>
            </w:pPr>
            <w:r>
              <w:rPr>
                <w:rFonts w:hint="eastAsia" w:ascii="宋体" w:hAnsi="宋体" w:cs="宋体"/>
                <w:szCs w:val="21"/>
              </w:rPr>
              <w:t>3.3</w:t>
            </w:r>
          </w:p>
        </w:tc>
        <w:tc>
          <w:tcPr>
            <w:tcW w:w="2109" w:type="dxa"/>
            <w:vAlign w:val="center"/>
          </w:tcPr>
          <w:p w14:paraId="60598B84">
            <w:pPr>
              <w:spacing w:line="360" w:lineRule="auto"/>
              <w:rPr>
                <w:rFonts w:ascii="宋体" w:hAnsi="宋体" w:cs="宋体"/>
                <w:szCs w:val="21"/>
              </w:rPr>
            </w:pPr>
            <w:r>
              <w:rPr>
                <w:rFonts w:hint="eastAsia" w:ascii="宋体" w:hAnsi="宋体" w:cs="宋体"/>
                <w:szCs w:val="21"/>
              </w:rPr>
              <w:t>磋商时间和地点</w:t>
            </w:r>
          </w:p>
        </w:tc>
        <w:tc>
          <w:tcPr>
            <w:tcW w:w="6643" w:type="dxa"/>
            <w:vAlign w:val="center"/>
          </w:tcPr>
          <w:p w14:paraId="2B1F7061">
            <w:pPr>
              <w:spacing w:line="360" w:lineRule="auto"/>
              <w:rPr>
                <w:rFonts w:ascii="宋体" w:hAnsi="宋体" w:cs="宋体"/>
                <w:szCs w:val="21"/>
              </w:rPr>
            </w:pPr>
            <w:r>
              <w:rPr>
                <w:rFonts w:hint="eastAsia" w:ascii="宋体" w:hAnsi="宋体" w:cs="宋体"/>
                <w:szCs w:val="21"/>
              </w:rPr>
              <w:t>磋商时间：2026年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31</w:t>
            </w:r>
            <w:r>
              <w:rPr>
                <w:rFonts w:hint="eastAsia" w:ascii="宋体" w:hAnsi="宋体" w:cs="宋体"/>
                <w:szCs w:val="21"/>
              </w:rPr>
              <w:t>日08时30分（北京时间）。</w:t>
            </w:r>
          </w:p>
          <w:p w14:paraId="461BA222">
            <w:pPr>
              <w:spacing w:line="360" w:lineRule="auto"/>
              <w:rPr>
                <w:rFonts w:ascii="宋体" w:hAnsi="宋体" w:cs="宋体"/>
                <w:szCs w:val="21"/>
              </w:rPr>
            </w:pPr>
            <w:r>
              <w:rPr>
                <w:rFonts w:hint="eastAsia" w:ascii="宋体" w:hAnsi="宋体" w:cs="宋体"/>
                <w:szCs w:val="21"/>
              </w:rPr>
              <w:t>磋商地点：三门峡市公共资源交易中心开标</w:t>
            </w:r>
            <w:r>
              <w:rPr>
                <w:rFonts w:hint="eastAsia" w:ascii="宋体" w:hAnsi="宋体" w:cs="宋体"/>
                <w:szCs w:val="21"/>
                <w:lang w:val="en-US" w:eastAsia="zh-CN"/>
              </w:rPr>
              <w:t>二</w:t>
            </w:r>
            <w:r>
              <w:rPr>
                <w:rFonts w:hint="eastAsia" w:ascii="宋体" w:hAnsi="宋体" w:cs="宋体"/>
                <w:szCs w:val="21"/>
              </w:rPr>
              <w:t>室。</w:t>
            </w:r>
          </w:p>
        </w:tc>
      </w:tr>
      <w:tr w14:paraId="43F0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890" w:type="dxa"/>
            <w:vAlign w:val="center"/>
          </w:tcPr>
          <w:p w14:paraId="15FB7DE1">
            <w:pPr>
              <w:spacing w:line="360" w:lineRule="auto"/>
              <w:jc w:val="center"/>
              <w:rPr>
                <w:rFonts w:ascii="宋体" w:hAnsi="宋体" w:cs="宋体"/>
                <w:color w:val="000000"/>
                <w:szCs w:val="21"/>
              </w:rPr>
            </w:pPr>
            <w:r>
              <w:rPr>
                <w:rFonts w:hint="eastAsia" w:ascii="宋体" w:hAnsi="宋体" w:cs="宋体"/>
                <w:color w:val="000000"/>
                <w:szCs w:val="21"/>
              </w:rPr>
              <w:t>3.4</w:t>
            </w:r>
          </w:p>
        </w:tc>
        <w:tc>
          <w:tcPr>
            <w:tcW w:w="2109" w:type="dxa"/>
            <w:vAlign w:val="center"/>
          </w:tcPr>
          <w:p w14:paraId="5586A684">
            <w:pPr>
              <w:spacing w:line="360" w:lineRule="auto"/>
              <w:rPr>
                <w:rFonts w:ascii="宋体" w:hAnsi="宋体" w:cs="宋体"/>
                <w:color w:val="000000"/>
                <w:szCs w:val="21"/>
              </w:rPr>
            </w:pPr>
            <w:r>
              <w:rPr>
                <w:rFonts w:hint="eastAsia" w:ascii="宋体" w:hAnsi="宋体" w:cs="宋体"/>
                <w:color w:val="000000"/>
                <w:szCs w:val="21"/>
              </w:rPr>
              <w:t>磋商小组的组建</w:t>
            </w:r>
          </w:p>
        </w:tc>
        <w:tc>
          <w:tcPr>
            <w:tcW w:w="6643" w:type="dxa"/>
            <w:vAlign w:val="center"/>
          </w:tcPr>
          <w:p w14:paraId="51D3B10A">
            <w:pPr>
              <w:spacing w:line="360" w:lineRule="auto"/>
              <w:rPr>
                <w:rFonts w:ascii="宋体" w:hAnsi="宋体" w:cs="宋体"/>
                <w:color w:val="000000"/>
                <w:szCs w:val="21"/>
              </w:rPr>
            </w:pPr>
            <w:r>
              <w:rPr>
                <w:rFonts w:hint="eastAsia" w:ascii="宋体" w:hAnsi="宋体" w:cs="宋体"/>
                <w:color w:val="000000"/>
                <w:szCs w:val="21"/>
              </w:rPr>
              <w:t>磋商小组构成：3人；采购人代表1人，评审专家2人；</w:t>
            </w:r>
          </w:p>
          <w:p w14:paraId="47DCBD37">
            <w:pPr>
              <w:pStyle w:val="13"/>
              <w:spacing w:line="360" w:lineRule="auto"/>
              <w:ind w:firstLine="0" w:firstLineChars="0"/>
              <w:rPr>
                <w:rFonts w:hAnsi="宋体" w:cs="宋体"/>
                <w:color w:val="000000"/>
                <w:szCs w:val="21"/>
              </w:rPr>
            </w:pPr>
            <w:r>
              <w:rPr>
                <w:rFonts w:hint="eastAsia" w:hAnsi="宋体" w:cs="宋体"/>
                <w:b w:val="0"/>
                <w:bCs/>
                <w:color w:val="000000"/>
                <w:szCs w:val="21"/>
              </w:rPr>
              <w:t>评标专家确定方式：从河南省政府采购评审专家库中随机抽取。（采购人代表无评标劳务费用）</w:t>
            </w:r>
          </w:p>
        </w:tc>
      </w:tr>
      <w:tr w14:paraId="1DD1E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90" w:type="dxa"/>
            <w:vAlign w:val="center"/>
          </w:tcPr>
          <w:p w14:paraId="03A16343">
            <w:pPr>
              <w:spacing w:line="360" w:lineRule="auto"/>
              <w:jc w:val="center"/>
              <w:rPr>
                <w:rFonts w:ascii="宋体" w:hAnsi="宋体" w:cs="宋体"/>
                <w:color w:val="000000"/>
                <w:szCs w:val="21"/>
              </w:rPr>
            </w:pPr>
            <w:r>
              <w:rPr>
                <w:rFonts w:hint="eastAsia" w:ascii="宋体" w:hAnsi="宋体" w:cs="宋体"/>
                <w:color w:val="000000"/>
                <w:szCs w:val="21"/>
              </w:rPr>
              <w:t>3.5</w:t>
            </w:r>
          </w:p>
        </w:tc>
        <w:tc>
          <w:tcPr>
            <w:tcW w:w="2109" w:type="dxa"/>
            <w:vAlign w:val="center"/>
          </w:tcPr>
          <w:p w14:paraId="20AAA585">
            <w:pPr>
              <w:spacing w:line="360" w:lineRule="auto"/>
              <w:rPr>
                <w:rFonts w:ascii="宋体" w:hAnsi="宋体" w:cs="宋体"/>
                <w:color w:val="000000"/>
                <w:szCs w:val="21"/>
              </w:rPr>
            </w:pPr>
            <w:r>
              <w:rPr>
                <w:rFonts w:hint="eastAsia" w:ascii="宋体" w:hAnsi="宋体" w:cs="宋体"/>
                <w:color w:val="000000"/>
                <w:szCs w:val="21"/>
              </w:rPr>
              <w:t>是否授权磋商小组确定成交供应商</w:t>
            </w:r>
          </w:p>
        </w:tc>
        <w:tc>
          <w:tcPr>
            <w:tcW w:w="6643" w:type="dxa"/>
            <w:vAlign w:val="center"/>
          </w:tcPr>
          <w:p w14:paraId="67965617">
            <w:pPr>
              <w:spacing w:line="360" w:lineRule="auto"/>
              <w:rPr>
                <w:rFonts w:ascii="宋体" w:hAnsi="宋体" w:cs="宋体"/>
                <w:color w:val="000000"/>
                <w:szCs w:val="21"/>
              </w:rPr>
            </w:pPr>
            <w:r>
              <w:rPr>
                <w:rFonts w:hint="eastAsia" w:ascii="宋体" w:hAnsi="宋体" w:cs="宋体"/>
                <w:color w:val="000000"/>
                <w:szCs w:val="21"/>
              </w:rPr>
              <w:t>否，磋商小组原则上推荐3名成交候选人并排序；</w:t>
            </w:r>
          </w:p>
        </w:tc>
      </w:tr>
      <w:tr w14:paraId="41DFC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642" w:type="dxa"/>
            <w:gridSpan w:val="3"/>
            <w:vAlign w:val="center"/>
          </w:tcPr>
          <w:p w14:paraId="049ED9CD">
            <w:pPr>
              <w:spacing w:line="360" w:lineRule="auto"/>
              <w:rPr>
                <w:rFonts w:ascii="宋体" w:hAnsi="宋体" w:cs="宋体"/>
                <w:color w:val="000000"/>
                <w:szCs w:val="21"/>
              </w:rPr>
            </w:pPr>
            <w:r>
              <w:rPr>
                <w:rFonts w:hint="eastAsia" w:ascii="宋体" w:hAnsi="宋体" w:cs="宋体"/>
                <w:color w:val="000000"/>
                <w:szCs w:val="21"/>
              </w:rPr>
              <w:t>4.需要补充的其他内容</w:t>
            </w:r>
          </w:p>
        </w:tc>
      </w:tr>
      <w:tr w14:paraId="68AC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0" w:type="dxa"/>
            <w:vAlign w:val="center"/>
          </w:tcPr>
          <w:p w14:paraId="0A4674FB">
            <w:pPr>
              <w:adjustRightInd w:val="0"/>
              <w:spacing w:line="360" w:lineRule="auto"/>
              <w:jc w:val="center"/>
              <w:textAlignment w:val="baseline"/>
              <w:rPr>
                <w:rFonts w:ascii="宋体" w:hAnsi="宋体" w:cs="宋体"/>
                <w:szCs w:val="21"/>
              </w:rPr>
            </w:pPr>
            <w:r>
              <w:rPr>
                <w:rFonts w:hint="eastAsia" w:ascii="宋体" w:hAnsi="宋体" w:cs="宋体"/>
                <w:color w:val="000000"/>
                <w:szCs w:val="21"/>
              </w:rPr>
              <w:t>4.1</w:t>
            </w:r>
          </w:p>
        </w:tc>
        <w:tc>
          <w:tcPr>
            <w:tcW w:w="2109" w:type="dxa"/>
            <w:vAlign w:val="center"/>
          </w:tcPr>
          <w:p w14:paraId="752072BD">
            <w:pPr>
              <w:spacing w:line="360" w:lineRule="auto"/>
              <w:jc w:val="center"/>
              <w:rPr>
                <w:rFonts w:ascii="宋体" w:hAnsi="宋体" w:cs="宋体"/>
                <w:szCs w:val="21"/>
              </w:rPr>
            </w:pPr>
            <w:r>
              <w:rPr>
                <w:rFonts w:hint="eastAsia" w:ascii="宋体" w:hAnsi="宋体" w:cs="宋体"/>
                <w:szCs w:val="21"/>
              </w:rPr>
              <w:t>采购最高限价</w:t>
            </w:r>
          </w:p>
        </w:tc>
        <w:tc>
          <w:tcPr>
            <w:tcW w:w="6643" w:type="dxa"/>
            <w:vAlign w:val="center"/>
          </w:tcPr>
          <w:p w14:paraId="3138523D">
            <w:pPr>
              <w:spacing w:line="360" w:lineRule="auto"/>
              <w:rPr>
                <w:rFonts w:ascii="宋体" w:hAnsi="宋体" w:cs="宋体"/>
                <w:color w:val="000000"/>
                <w:szCs w:val="21"/>
              </w:rPr>
            </w:pPr>
            <w:r>
              <w:rPr>
                <w:rFonts w:hint="eastAsia" w:ascii="宋体" w:hAnsi="宋体" w:cs="宋体"/>
                <w:color w:val="000000"/>
                <w:szCs w:val="21"/>
              </w:rPr>
              <w:t>本项目预算金额：玖拾叁万肆仟元整（¥934000.00元），磋商报价超过采购预算按无效标处理。</w:t>
            </w:r>
          </w:p>
        </w:tc>
      </w:tr>
      <w:tr w14:paraId="4346D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0" w:type="dxa"/>
            <w:vAlign w:val="center"/>
          </w:tcPr>
          <w:p w14:paraId="44F213DA">
            <w:pPr>
              <w:adjustRightInd w:val="0"/>
              <w:spacing w:line="360" w:lineRule="auto"/>
              <w:jc w:val="center"/>
              <w:textAlignment w:val="baseline"/>
              <w:rPr>
                <w:rFonts w:ascii="宋体" w:hAnsi="宋体" w:cs="宋体"/>
                <w:color w:val="000000"/>
                <w:szCs w:val="21"/>
              </w:rPr>
            </w:pPr>
            <w:r>
              <w:rPr>
                <w:rFonts w:hint="eastAsia" w:ascii="宋体" w:hAnsi="宋体" w:cs="宋体"/>
                <w:color w:val="000000"/>
                <w:szCs w:val="21"/>
              </w:rPr>
              <w:t>4.2</w:t>
            </w:r>
          </w:p>
        </w:tc>
        <w:tc>
          <w:tcPr>
            <w:tcW w:w="2109" w:type="dxa"/>
            <w:vAlign w:val="center"/>
          </w:tcPr>
          <w:p w14:paraId="162484CB">
            <w:pPr>
              <w:spacing w:line="360" w:lineRule="auto"/>
              <w:jc w:val="center"/>
              <w:rPr>
                <w:rFonts w:ascii="宋体" w:hAnsi="宋体" w:cs="宋体"/>
                <w:szCs w:val="21"/>
              </w:rPr>
            </w:pPr>
            <w:r>
              <w:rPr>
                <w:rFonts w:hint="eastAsia" w:ascii="宋体" w:hAnsi="宋体" w:cs="宋体"/>
                <w:szCs w:val="21"/>
              </w:rPr>
              <w:t>采购代理服务费</w:t>
            </w:r>
          </w:p>
        </w:tc>
        <w:tc>
          <w:tcPr>
            <w:tcW w:w="6643" w:type="dxa"/>
            <w:vAlign w:val="center"/>
          </w:tcPr>
          <w:p w14:paraId="41FEA8A9">
            <w:pPr>
              <w:spacing w:line="360" w:lineRule="auto"/>
              <w:rPr>
                <w:rFonts w:ascii="宋体" w:hAnsi="宋体" w:cs="宋体"/>
                <w:color w:val="000000"/>
                <w:szCs w:val="21"/>
              </w:rPr>
            </w:pPr>
            <w:r>
              <w:rPr>
                <w:rFonts w:hint="eastAsia" w:ascii="宋体" w:hAnsi="宋体" w:cs="宋体"/>
                <w:color w:val="000000"/>
                <w:szCs w:val="21"/>
              </w:rPr>
              <w:t>1.采购代理服务费及相关费用</w:t>
            </w:r>
          </w:p>
          <w:p w14:paraId="5CDEE9BA">
            <w:pPr>
              <w:spacing w:line="360" w:lineRule="auto"/>
              <w:rPr>
                <w:rFonts w:ascii="宋体" w:hAnsi="宋体" w:cs="宋体"/>
                <w:color w:val="000000"/>
                <w:szCs w:val="21"/>
              </w:rPr>
            </w:pPr>
            <w:r>
              <w:rPr>
                <w:rFonts w:hint="eastAsia" w:ascii="宋体" w:hAnsi="宋体" w:cs="宋体"/>
                <w:color w:val="000000"/>
                <w:szCs w:val="21"/>
              </w:rPr>
              <w:t>代理服务费：参考按河南省招标代理服务收费指导意见（豫招协[2023]002号），向成交供应商收取代理服务费。</w:t>
            </w:r>
          </w:p>
          <w:p w14:paraId="51CFB688">
            <w:pPr>
              <w:spacing w:line="360" w:lineRule="auto"/>
              <w:rPr>
                <w:rFonts w:ascii="宋体" w:hAnsi="宋体" w:cs="宋体"/>
                <w:color w:val="000000"/>
                <w:szCs w:val="21"/>
              </w:rPr>
            </w:pPr>
            <w:r>
              <w:rPr>
                <w:rFonts w:hint="eastAsia" w:ascii="宋体" w:hAnsi="宋体" w:cs="宋体"/>
                <w:color w:val="000000"/>
                <w:szCs w:val="21"/>
              </w:rPr>
              <w:t>2.收取方式</w:t>
            </w:r>
          </w:p>
          <w:p w14:paraId="34E8FB0E">
            <w:pPr>
              <w:spacing w:line="360" w:lineRule="auto"/>
              <w:rPr>
                <w:rFonts w:ascii="宋体" w:hAnsi="宋体" w:cs="宋体"/>
                <w:color w:val="000000"/>
                <w:szCs w:val="21"/>
              </w:rPr>
            </w:pPr>
            <w:r>
              <w:rPr>
                <w:rFonts w:hint="eastAsia" w:ascii="宋体" w:hAnsi="宋体" w:cs="宋体"/>
                <w:color w:val="000000"/>
                <w:szCs w:val="21"/>
              </w:rPr>
              <w:t>采购代理服务费均由成交供应商在领取成交通知书时，以现金或转账的方式一次性向代理机构缴纳。</w:t>
            </w:r>
          </w:p>
        </w:tc>
      </w:tr>
      <w:tr w14:paraId="2F1E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0" w:type="dxa"/>
            <w:vAlign w:val="center"/>
          </w:tcPr>
          <w:p w14:paraId="668E7528">
            <w:pPr>
              <w:adjustRightInd w:val="0"/>
              <w:spacing w:line="360" w:lineRule="auto"/>
              <w:jc w:val="center"/>
              <w:textAlignment w:val="baseline"/>
              <w:rPr>
                <w:rFonts w:ascii="宋体" w:hAnsi="宋体" w:cs="宋体"/>
                <w:color w:val="000000"/>
                <w:szCs w:val="21"/>
              </w:rPr>
            </w:pPr>
            <w:r>
              <w:rPr>
                <w:rFonts w:hint="eastAsia" w:ascii="宋体" w:hAnsi="宋体" w:cs="宋体"/>
                <w:color w:val="000000"/>
                <w:szCs w:val="21"/>
              </w:rPr>
              <w:t>4.3</w:t>
            </w:r>
          </w:p>
        </w:tc>
        <w:tc>
          <w:tcPr>
            <w:tcW w:w="2109" w:type="dxa"/>
            <w:vAlign w:val="center"/>
          </w:tcPr>
          <w:p w14:paraId="5AEE7700">
            <w:pPr>
              <w:spacing w:line="360" w:lineRule="auto"/>
              <w:jc w:val="center"/>
              <w:rPr>
                <w:rFonts w:ascii="宋体" w:hAnsi="宋体" w:cs="宋体"/>
                <w:szCs w:val="21"/>
              </w:rPr>
            </w:pPr>
            <w:r>
              <w:rPr>
                <w:rFonts w:hint="eastAsia" w:ascii="宋体" w:hAnsi="宋体" w:cs="宋体"/>
                <w:szCs w:val="21"/>
              </w:rPr>
              <w:t>监督</w:t>
            </w:r>
          </w:p>
        </w:tc>
        <w:tc>
          <w:tcPr>
            <w:tcW w:w="6643" w:type="dxa"/>
            <w:vAlign w:val="center"/>
          </w:tcPr>
          <w:p w14:paraId="1BC82294">
            <w:pPr>
              <w:spacing w:line="360" w:lineRule="auto"/>
              <w:rPr>
                <w:rFonts w:ascii="宋体" w:hAnsi="宋体" w:cs="宋体"/>
                <w:color w:val="000000"/>
                <w:szCs w:val="21"/>
              </w:rPr>
            </w:pPr>
            <w:r>
              <w:rPr>
                <w:rFonts w:hint="eastAsia" w:ascii="宋体" w:hAnsi="宋体" w:cs="宋体"/>
                <w:color w:val="000000"/>
                <w:szCs w:val="21"/>
              </w:rPr>
              <w:t>本项目的招标投标活动及其相关当事人必须接受相关行政监督部门依法实施的监督。</w:t>
            </w:r>
          </w:p>
        </w:tc>
      </w:tr>
      <w:tr w14:paraId="70CC2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0" w:type="dxa"/>
            <w:vAlign w:val="center"/>
          </w:tcPr>
          <w:p w14:paraId="37DA97B0">
            <w:pPr>
              <w:adjustRightInd w:val="0"/>
              <w:spacing w:line="360" w:lineRule="auto"/>
              <w:jc w:val="center"/>
              <w:textAlignment w:val="baseline"/>
              <w:rPr>
                <w:rFonts w:ascii="宋体" w:hAnsi="宋体" w:cs="宋体"/>
                <w:color w:val="000000"/>
                <w:szCs w:val="21"/>
                <w:highlight w:val="none"/>
              </w:rPr>
            </w:pPr>
            <w:r>
              <w:rPr>
                <w:rFonts w:hint="eastAsia" w:ascii="宋体" w:hAnsi="宋体" w:cs="宋体"/>
                <w:color w:val="000000"/>
                <w:szCs w:val="21"/>
                <w:highlight w:val="none"/>
              </w:rPr>
              <w:t>4.4</w:t>
            </w:r>
          </w:p>
        </w:tc>
        <w:tc>
          <w:tcPr>
            <w:tcW w:w="2109" w:type="dxa"/>
            <w:vAlign w:val="center"/>
          </w:tcPr>
          <w:p w14:paraId="5C1EB1E4">
            <w:pPr>
              <w:spacing w:line="360" w:lineRule="auto"/>
              <w:jc w:val="center"/>
              <w:rPr>
                <w:rFonts w:ascii="宋体" w:hAnsi="宋体" w:cs="宋体"/>
                <w:szCs w:val="21"/>
                <w:highlight w:val="none"/>
              </w:rPr>
            </w:pPr>
            <w:r>
              <w:rPr>
                <w:rFonts w:hint="eastAsia" w:ascii="宋体" w:hAnsi="宋体" w:cs="宋体"/>
                <w:szCs w:val="21"/>
                <w:highlight w:val="none"/>
              </w:rPr>
              <w:t>付款方式</w:t>
            </w:r>
          </w:p>
        </w:tc>
        <w:tc>
          <w:tcPr>
            <w:tcW w:w="6643" w:type="dxa"/>
            <w:vAlign w:val="center"/>
          </w:tcPr>
          <w:p w14:paraId="5F98F9D8">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第一期:合同签订并提交初步方案后5个工作日内，甲方向乙方支付合同总价款的40%；</w:t>
            </w:r>
          </w:p>
          <w:p w14:paraId="51B517B5">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第二期:规划成果通过专家评审会后5个工作日内，甲方向乙方支付合同总价款的50%；</w:t>
            </w:r>
          </w:p>
          <w:p w14:paraId="31CBF547">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第三期:乙方交付正式成果后5个工作日内，甲方向乙方支付合同总价款的10%。</w:t>
            </w:r>
          </w:p>
          <w:p w14:paraId="32A876D4">
            <w:pPr>
              <w:spacing w:line="360" w:lineRule="auto"/>
              <w:rPr>
                <w:rFonts w:ascii="宋体" w:hAnsi="宋体" w:cs="宋体"/>
                <w:color w:val="000000"/>
                <w:szCs w:val="21"/>
                <w:highlight w:val="none"/>
              </w:rPr>
            </w:pPr>
            <w:r>
              <w:rPr>
                <w:rFonts w:hint="eastAsia" w:ascii="宋体" w:hAnsi="宋体" w:cs="宋体"/>
                <w:color w:val="000000"/>
                <w:szCs w:val="21"/>
                <w:highlight w:val="none"/>
              </w:rPr>
              <w:t>注：对于上述费用支付具体时间，根据市财政拨付下达资金进度可进行适当调整。</w:t>
            </w:r>
          </w:p>
        </w:tc>
      </w:tr>
      <w:tr w14:paraId="1EC4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0" w:type="dxa"/>
            <w:vAlign w:val="center"/>
          </w:tcPr>
          <w:p w14:paraId="37C274B7">
            <w:pPr>
              <w:adjustRightInd w:val="0"/>
              <w:spacing w:line="360" w:lineRule="auto"/>
              <w:jc w:val="center"/>
              <w:textAlignment w:val="baseline"/>
              <w:rPr>
                <w:rFonts w:ascii="宋体" w:hAnsi="宋体" w:cs="宋体"/>
                <w:color w:val="000000"/>
                <w:szCs w:val="21"/>
              </w:rPr>
            </w:pPr>
            <w:r>
              <w:rPr>
                <w:rFonts w:hint="eastAsia" w:ascii="宋体" w:hAnsi="宋体" w:cs="宋体"/>
                <w:color w:val="000000"/>
                <w:szCs w:val="21"/>
              </w:rPr>
              <w:t>4.5</w:t>
            </w:r>
          </w:p>
        </w:tc>
        <w:tc>
          <w:tcPr>
            <w:tcW w:w="2109" w:type="dxa"/>
            <w:vAlign w:val="center"/>
          </w:tcPr>
          <w:p w14:paraId="07379712">
            <w:pPr>
              <w:spacing w:line="360" w:lineRule="auto"/>
              <w:jc w:val="center"/>
              <w:rPr>
                <w:rFonts w:ascii="宋体" w:hAnsi="宋体" w:cs="宋体"/>
                <w:szCs w:val="21"/>
              </w:rPr>
            </w:pPr>
            <w:r>
              <w:rPr>
                <w:rFonts w:hint="eastAsia" w:ascii="宋体" w:hAnsi="宋体" w:cs="宋体"/>
                <w:szCs w:val="21"/>
              </w:rPr>
              <w:t>成交结果公告</w:t>
            </w:r>
          </w:p>
        </w:tc>
        <w:tc>
          <w:tcPr>
            <w:tcW w:w="6643" w:type="dxa"/>
            <w:vAlign w:val="center"/>
          </w:tcPr>
          <w:p w14:paraId="2BD3D023">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在《河南省政府采购网》、《中国招标投标公共服务平台》和《三门峡市公共资源交易中心网》等网站上发布。公示期限一个工作日。</w:t>
            </w:r>
          </w:p>
        </w:tc>
      </w:tr>
      <w:tr w14:paraId="24A40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0" w:type="dxa"/>
            <w:vAlign w:val="center"/>
          </w:tcPr>
          <w:p w14:paraId="689EB159">
            <w:pPr>
              <w:adjustRightInd w:val="0"/>
              <w:spacing w:line="360" w:lineRule="auto"/>
              <w:jc w:val="center"/>
              <w:textAlignment w:val="baseline"/>
              <w:rPr>
                <w:rFonts w:ascii="宋体" w:hAnsi="宋体" w:cs="宋体"/>
                <w:color w:val="000000"/>
                <w:szCs w:val="21"/>
              </w:rPr>
            </w:pPr>
            <w:r>
              <w:rPr>
                <w:rFonts w:hint="eastAsia" w:ascii="宋体" w:hAnsi="宋体" w:cs="宋体"/>
                <w:color w:val="000000"/>
                <w:szCs w:val="21"/>
              </w:rPr>
              <w:t>4.6</w:t>
            </w:r>
          </w:p>
        </w:tc>
        <w:tc>
          <w:tcPr>
            <w:tcW w:w="2109" w:type="dxa"/>
            <w:vAlign w:val="center"/>
          </w:tcPr>
          <w:p w14:paraId="068F903E">
            <w:pPr>
              <w:spacing w:line="360" w:lineRule="auto"/>
              <w:jc w:val="center"/>
              <w:rPr>
                <w:rFonts w:ascii="宋体" w:hAnsi="宋体" w:cs="宋体"/>
                <w:szCs w:val="21"/>
              </w:rPr>
            </w:pPr>
            <w:r>
              <w:rPr>
                <w:rFonts w:hint="eastAsia" w:ascii="宋体" w:hAnsi="宋体" w:cs="宋体"/>
                <w:szCs w:val="21"/>
              </w:rPr>
              <w:t>知识产权</w:t>
            </w:r>
          </w:p>
        </w:tc>
        <w:tc>
          <w:tcPr>
            <w:tcW w:w="6643" w:type="dxa"/>
            <w:vAlign w:val="center"/>
          </w:tcPr>
          <w:p w14:paraId="3B2DC52D">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构成本磋商文件各个组成部分的文件，未经采购人书面同意，供应商不得擅自复印和用于非本项目所需的其他目的。采购人全部或者部分使用未成交人响应文件中的技术成果或技术方案时，需征得其书面同意，并不得擅自复印或提供给第三人。</w:t>
            </w:r>
          </w:p>
        </w:tc>
      </w:tr>
      <w:tr w14:paraId="64C9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0" w:type="dxa"/>
            <w:vAlign w:val="center"/>
          </w:tcPr>
          <w:p w14:paraId="07D64073">
            <w:pPr>
              <w:adjustRightInd w:val="0"/>
              <w:spacing w:line="360" w:lineRule="auto"/>
              <w:jc w:val="center"/>
              <w:textAlignment w:val="baseline"/>
              <w:rPr>
                <w:rFonts w:ascii="宋体" w:hAnsi="宋体" w:cs="宋体"/>
                <w:color w:val="000000"/>
                <w:szCs w:val="21"/>
              </w:rPr>
            </w:pPr>
            <w:r>
              <w:rPr>
                <w:rFonts w:hint="eastAsia" w:ascii="宋体" w:hAnsi="宋体" w:cs="宋体"/>
                <w:color w:val="000000"/>
                <w:szCs w:val="21"/>
              </w:rPr>
              <w:t>4.7</w:t>
            </w:r>
          </w:p>
        </w:tc>
        <w:tc>
          <w:tcPr>
            <w:tcW w:w="2109" w:type="dxa"/>
            <w:vAlign w:val="center"/>
          </w:tcPr>
          <w:p w14:paraId="29FB5257">
            <w:pPr>
              <w:spacing w:line="360" w:lineRule="auto"/>
              <w:jc w:val="center"/>
              <w:rPr>
                <w:rFonts w:ascii="宋体" w:hAnsi="宋体" w:cs="宋体"/>
                <w:szCs w:val="21"/>
              </w:rPr>
            </w:pPr>
            <w:r>
              <w:rPr>
                <w:rFonts w:hint="eastAsia" w:ascii="宋体" w:hAnsi="宋体" w:cs="宋体"/>
                <w:szCs w:val="21"/>
              </w:rPr>
              <w:t>解释权</w:t>
            </w:r>
          </w:p>
        </w:tc>
        <w:tc>
          <w:tcPr>
            <w:tcW w:w="6643" w:type="dxa"/>
            <w:vAlign w:val="center"/>
          </w:tcPr>
          <w:p w14:paraId="1EECC15D">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构成本磋商文件的各个组成文件应互为解释，互为说明；如有不明确或不一致，构成合同文件组成内容的，以合同文件约定内容为准，且以专用合同条款约定的合同文件优先顺序解释；</w:t>
            </w:r>
          </w:p>
          <w:p w14:paraId="14F6396A">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除磋商文件中有特别规定外，仅适用于招标投标阶段的规定，按磋商公告、供应商须知、磋商范围、评审办法、合同文件、响应文件格式的先后顺序解释；</w:t>
            </w:r>
          </w:p>
          <w:p w14:paraId="2187013E">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同一组成文件中就同一事项的规定或约定不一致的，以编排顺序在后者为准；</w:t>
            </w:r>
          </w:p>
          <w:p w14:paraId="24FCA7BC">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同一组成文件不同版本之间有不一致的，以形成时间在后者为准。按本款前述规定仍不能形成结论的，由采购人或采购代理机构负责解释。</w:t>
            </w:r>
          </w:p>
        </w:tc>
      </w:tr>
      <w:tr w14:paraId="4850A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0" w:type="dxa"/>
            <w:vAlign w:val="center"/>
          </w:tcPr>
          <w:p w14:paraId="7780502B">
            <w:pPr>
              <w:adjustRightInd w:val="0"/>
              <w:spacing w:line="360" w:lineRule="auto"/>
              <w:jc w:val="center"/>
              <w:textAlignment w:val="baseline"/>
              <w:rPr>
                <w:rFonts w:ascii="宋体" w:hAnsi="宋体" w:cs="宋体"/>
                <w:color w:val="000000"/>
                <w:szCs w:val="21"/>
              </w:rPr>
            </w:pPr>
            <w:r>
              <w:rPr>
                <w:rFonts w:hint="eastAsia" w:ascii="宋体" w:hAnsi="宋体" w:cs="宋体"/>
                <w:color w:val="000000"/>
                <w:szCs w:val="21"/>
              </w:rPr>
              <w:t>4.8</w:t>
            </w:r>
          </w:p>
        </w:tc>
        <w:tc>
          <w:tcPr>
            <w:tcW w:w="2109" w:type="dxa"/>
            <w:vAlign w:val="center"/>
          </w:tcPr>
          <w:p w14:paraId="26BF2C13">
            <w:pPr>
              <w:spacing w:line="360" w:lineRule="auto"/>
              <w:jc w:val="center"/>
              <w:rPr>
                <w:rFonts w:ascii="宋体" w:hAnsi="宋体" w:cs="宋体"/>
                <w:szCs w:val="21"/>
              </w:rPr>
            </w:pPr>
            <w:r>
              <w:rPr>
                <w:rFonts w:hint="eastAsia" w:ascii="宋体" w:hAnsi="宋体" w:cs="宋体"/>
                <w:szCs w:val="21"/>
              </w:rPr>
              <w:t>其他内容</w:t>
            </w:r>
          </w:p>
        </w:tc>
        <w:tc>
          <w:tcPr>
            <w:tcW w:w="6643" w:type="dxa"/>
            <w:vAlign w:val="center"/>
          </w:tcPr>
          <w:p w14:paraId="5E3D2D42">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1、资格评（预）审部分：资格评（预）以响应文件为准，其上传资料真实性由供应商自行承担。</w:t>
            </w:r>
          </w:p>
          <w:p w14:paraId="3AB59481">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2、我单位（采购人）严格按三财购【2021】9号文要求的时限发布中标结果公告，发出中标通知书，签订采购合同，上传采购合同。</w:t>
            </w:r>
          </w:p>
          <w:p w14:paraId="3EB283CA">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3、供应商在中标后可以持政府采购合同向融资机构申请贷款，供应商可在河南省政府采购网“河南省政府采购合同融资平台”获取融资渠道和方式。</w:t>
            </w:r>
          </w:p>
          <w:p w14:paraId="58662BD1">
            <w:pPr>
              <w:autoSpaceDE w:val="0"/>
              <w:autoSpaceDN w:val="0"/>
              <w:adjustRightInd w:val="0"/>
              <w:spacing w:line="360" w:lineRule="auto"/>
              <w:jc w:val="left"/>
              <w:rPr>
                <w:rFonts w:ascii="宋体" w:hAnsi="宋体" w:cs="宋体"/>
                <w:color w:val="000000"/>
                <w:szCs w:val="21"/>
              </w:rPr>
            </w:pPr>
            <w:r>
              <w:rPr>
                <w:rFonts w:hint="eastAsia" w:ascii="宋体" w:hAnsi="宋体" w:cs="宋体"/>
                <w:color w:val="000000"/>
                <w:szCs w:val="21"/>
              </w:rPr>
              <w:t>4、</w:t>
            </w:r>
            <w:r>
              <w:rPr>
                <w:rFonts w:hint="eastAsia" w:ascii="宋体" w:hAnsi="宋体" w:cs="宋体"/>
                <w:szCs w:val="21"/>
              </w:rPr>
              <w:t>本项目中小企业所属行业：其他未列明行业</w:t>
            </w:r>
          </w:p>
        </w:tc>
      </w:tr>
      <w:tr w14:paraId="44F5A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0" w:type="dxa"/>
            <w:vAlign w:val="center"/>
          </w:tcPr>
          <w:p w14:paraId="4E9439CA">
            <w:pPr>
              <w:adjustRightInd w:val="0"/>
              <w:spacing w:line="360" w:lineRule="auto"/>
              <w:jc w:val="center"/>
              <w:textAlignment w:val="baseline"/>
              <w:rPr>
                <w:rFonts w:ascii="宋体" w:hAnsi="宋体" w:cs="宋体"/>
                <w:color w:val="000000"/>
                <w:szCs w:val="21"/>
              </w:rPr>
            </w:pPr>
            <w:r>
              <w:rPr>
                <w:rFonts w:hint="eastAsia" w:ascii="宋体" w:hAnsi="宋体" w:cs="宋体"/>
                <w:color w:val="000000"/>
                <w:szCs w:val="21"/>
              </w:rPr>
              <w:t>4.9</w:t>
            </w:r>
          </w:p>
        </w:tc>
        <w:tc>
          <w:tcPr>
            <w:tcW w:w="8752" w:type="dxa"/>
            <w:gridSpan w:val="2"/>
            <w:vAlign w:val="center"/>
          </w:tcPr>
          <w:p w14:paraId="711E5424">
            <w:pPr>
              <w:spacing w:line="360" w:lineRule="auto"/>
              <w:rPr>
                <w:rFonts w:ascii="宋体" w:hAnsi="宋体" w:cs="宋体"/>
                <w:color w:val="000000"/>
                <w:szCs w:val="21"/>
              </w:rPr>
            </w:pPr>
            <w:r>
              <w:rPr>
                <w:rFonts w:hint="eastAsia" w:ascii="宋体" w:hAnsi="宋体" w:cs="宋体"/>
                <w:color w:val="000000"/>
                <w:szCs w:val="21"/>
              </w:rPr>
              <w:t>其他需要注意的事项：</w:t>
            </w:r>
          </w:p>
        </w:tc>
      </w:tr>
      <w:tr w14:paraId="67EE1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642" w:type="dxa"/>
            <w:gridSpan w:val="3"/>
            <w:vAlign w:val="center"/>
          </w:tcPr>
          <w:p w14:paraId="3E3ED926">
            <w:pPr>
              <w:spacing w:line="360" w:lineRule="auto"/>
              <w:ind w:firstLine="422" w:firstLineChars="200"/>
              <w:rPr>
                <w:rFonts w:ascii="宋体" w:hAnsi="宋体" w:cs="宋体"/>
                <w:b/>
                <w:szCs w:val="21"/>
              </w:rPr>
            </w:pPr>
            <w:r>
              <w:rPr>
                <w:rFonts w:hint="eastAsia" w:ascii="宋体" w:hAnsi="宋体" w:cs="宋体"/>
                <w:b/>
                <w:szCs w:val="21"/>
              </w:rPr>
              <w:t>本项目为电子化、无纸化交易项目，投标文件是投标人、供应商（以下简称“投标人”）通过</w:t>
            </w:r>
            <w:r>
              <w:rPr>
                <w:rFonts w:hint="eastAsia" w:ascii="宋体" w:hAnsi="宋体"/>
                <w:b/>
                <w:szCs w:val="21"/>
              </w:rPr>
              <w:t>中心投标文件制作系统制作，并经过电子签章和加密后生成的电子版投标文件。投标人投标时，将不再接</w:t>
            </w:r>
            <w:r>
              <w:rPr>
                <w:rFonts w:hint="eastAsia" w:ascii="宋体" w:hAnsi="宋体" w:cs="宋体"/>
                <w:b/>
                <w:szCs w:val="21"/>
              </w:rPr>
              <w:t>受任何纸质文件资料。</w:t>
            </w:r>
          </w:p>
          <w:p w14:paraId="42044DDD">
            <w:pPr>
              <w:spacing w:line="360" w:lineRule="auto"/>
              <w:ind w:firstLine="573"/>
              <w:rPr>
                <w:rFonts w:ascii="宋体" w:hAnsi="宋体" w:cs="宋体"/>
                <w:b/>
                <w:szCs w:val="21"/>
              </w:rPr>
            </w:pPr>
            <w:r>
              <w:rPr>
                <w:rFonts w:hint="eastAsia" w:ascii="宋体" w:hAnsi="宋体"/>
                <w:b/>
                <w:szCs w:val="21"/>
              </w:rPr>
              <w:t>电子化投标文件工具请在三门峡市公共资源交易中心网首页“帮助中心”下载。</w:t>
            </w:r>
          </w:p>
          <w:p w14:paraId="3458C023">
            <w:pPr>
              <w:spacing w:line="360" w:lineRule="auto"/>
              <w:ind w:firstLine="573"/>
              <w:rPr>
                <w:rFonts w:ascii="宋体" w:hAnsi="宋体"/>
                <w:szCs w:val="21"/>
              </w:rPr>
            </w:pPr>
            <w:r>
              <w:rPr>
                <w:rFonts w:hint="eastAsia" w:ascii="宋体" w:hAnsi="宋体" w:cs="宋体"/>
                <w:b/>
                <w:szCs w:val="21"/>
              </w:rPr>
              <w:t>温馨提示：本项目为电子化、无纸化交易项目，开标时不接受任何纸质资料，为保证您能投标成功，请需仔细阅读以下条款。</w:t>
            </w:r>
          </w:p>
          <w:p w14:paraId="72C4389D">
            <w:pPr>
              <w:spacing w:line="360" w:lineRule="auto"/>
              <w:ind w:firstLine="422" w:firstLineChars="200"/>
              <w:rPr>
                <w:rFonts w:ascii="宋体" w:hAnsi="宋体" w:cs="宋体"/>
                <w:b/>
                <w:szCs w:val="21"/>
              </w:rPr>
            </w:pPr>
            <w:r>
              <w:rPr>
                <w:rFonts w:hint="eastAsia" w:ascii="宋体" w:hAnsi="宋体" w:cs="宋体"/>
                <w:b/>
                <w:szCs w:val="21"/>
              </w:rPr>
              <w:t>一、电子化投标</w:t>
            </w:r>
          </w:p>
          <w:p w14:paraId="254C7978">
            <w:pPr>
              <w:spacing w:line="360" w:lineRule="auto"/>
              <w:ind w:firstLine="573"/>
              <w:rPr>
                <w:rFonts w:ascii="宋体" w:hAnsi="宋体"/>
                <w:szCs w:val="21"/>
              </w:rPr>
            </w:pPr>
            <w:r>
              <w:rPr>
                <w:rFonts w:hint="eastAsia" w:ascii="宋体" w:hAnsi="宋体"/>
                <w:szCs w:val="21"/>
              </w:rPr>
              <w:t>（一）电子化投标文件的签章</w:t>
            </w:r>
          </w:p>
          <w:p w14:paraId="02471A31">
            <w:pPr>
              <w:spacing w:line="360" w:lineRule="auto"/>
              <w:ind w:firstLine="573"/>
              <w:rPr>
                <w:rFonts w:ascii="宋体" w:hAnsi="宋体"/>
                <w:szCs w:val="21"/>
              </w:rPr>
            </w:pPr>
            <w:r>
              <w:rPr>
                <w:rFonts w:hint="eastAsia" w:ascii="宋体" w:hAnsi="宋体"/>
                <w:szCs w:val="21"/>
              </w:rPr>
              <w:t>1、投标人在生成电子化投标文件后，应对电子化投标文件进行签章，未进行签章的视为无效投标。</w:t>
            </w:r>
          </w:p>
          <w:p w14:paraId="2E4F1F6B">
            <w:pPr>
              <w:spacing w:line="360" w:lineRule="auto"/>
              <w:ind w:firstLine="573"/>
              <w:rPr>
                <w:rFonts w:ascii="宋体" w:hAnsi="宋体"/>
                <w:szCs w:val="21"/>
              </w:rPr>
            </w:pPr>
            <w:r>
              <w:rPr>
                <w:rFonts w:hint="eastAsia" w:ascii="宋体" w:hAnsi="宋体"/>
                <w:szCs w:val="21"/>
              </w:rPr>
              <w:t>2、投标文件中要求</w:t>
            </w:r>
            <w:r>
              <w:rPr>
                <w:rFonts w:hint="eastAsia" w:ascii="宋体" w:hAnsi="宋体"/>
                <w:b/>
                <w:szCs w:val="21"/>
              </w:rPr>
              <w:t>法定代表人或授权委托人盖章的，</w:t>
            </w:r>
            <w:r>
              <w:rPr>
                <w:rFonts w:hint="eastAsia" w:ascii="宋体" w:hAnsi="宋体"/>
                <w:szCs w:val="21"/>
              </w:rPr>
              <w:t>投标人在进行</w:t>
            </w:r>
            <w:r>
              <w:rPr>
                <w:rFonts w:hint="eastAsia" w:ascii="宋体" w:hAnsi="宋体"/>
                <w:b/>
                <w:szCs w:val="21"/>
              </w:rPr>
              <w:t>电子化投标文件签章时，以签盖法定代表人签章为准。</w:t>
            </w:r>
            <w:r>
              <w:rPr>
                <w:rFonts w:hint="eastAsia" w:ascii="宋体" w:hAnsi="宋体"/>
                <w:szCs w:val="21"/>
              </w:rPr>
              <w:t>电子化投标文件具体制作教材请投标人通过CA证书登录三门峡市公共资源电子化交易系统在右上角“交易智库”中查看。电子化投标文件工具请在三门峡市公共资源交易中心网首页“帮助中心”下载。</w:t>
            </w:r>
          </w:p>
          <w:p w14:paraId="0FA5C6AA">
            <w:pPr>
              <w:spacing w:line="360" w:lineRule="auto"/>
              <w:ind w:firstLine="420" w:firstLineChars="200"/>
              <w:rPr>
                <w:rFonts w:ascii="宋体" w:hAnsi="宋体"/>
                <w:b/>
                <w:szCs w:val="21"/>
              </w:rPr>
            </w:pPr>
            <w:r>
              <w:rPr>
                <w:rFonts w:hint="eastAsia" w:ascii="宋体" w:hAnsi="宋体"/>
                <w:szCs w:val="21"/>
              </w:rPr>
              <w:t>（二）电子化投标文件的格式及上传投标</w:t>
            </w:r>
          </w:p>
          <w:p w14:paraId="2A8E2E0E">
            <w:pPr>
              <w:wordWrap w:val="0"/>
              <w:spacing w:line="360" w:lineRule="auto"/>
              <w:ind w:firstLine="573"/>
              <w:rPr>
                <w:rFonts w:ascii="宋体" w:hAnsi="宋体"/>
                <w:szCs w:val="21"/>
              </w:rPr>
            </w:pPr>
            <w:r>
              <w:rPr>
                <w:rFonts w:hint="eastAsia" w:ascii="宋体" w:hAnsi="宋体"/>
                <w:szCs w:val="21"/>
              </w:rPr>
              <w:t>1、投标人所上传的电子化投标文件，应是通过中心投标文件制作系统制作的，经过签章和加密后生成的电子版投标文件。生成的电子版投标文件包含用于投标文件上传的主文件（后缀为.smxtf）和用于应急补救的投标文件备份文件（后缀为.nsmxtf），备份文件主要用于电子化开标出现技术问题后的补救，请投标人随身携带。</w:t>
            </w:r>
          </w:p>
          <w:p w14:paraId="4128FBB0">
            <w:pPr>
              <w:spacing w:line="360" w:lineRule="auto"/>
              <w:ind w:firstLine="573"/>
              <w:rPr>
                <w:rFonts w:ascii="宋体" w:hAnsi="宋体"/>
                <w:szCs w:val="21"/>
              </w:rPr>
            </w:pPr>
            <w:r>
              <w:rPr>
                <w:rFonts w:hint="eastAsia" w:ascii="宋体" w:hAnsi="宋体"/>
                <w:szCs w:val="21"/>
              </w:rPr>
              <w:t>注：投标人投报多个标段的，需要每个标段单独制作电子投标文件。</w:t>
            </w:r>
          </w:p>
          <w:p w14:paraId="2263B8CA">
            <w:pPr>
              <w:spacing w:line="360" w:lineRule="auto"/>
              <w:ind w:firstLine="573"/>
              <w:rPr>
                <w:rFonts w:ascii="宋体" w:hAnsi="宋体"/>
                <w:szCs w:val="21"/>
              </w:rPr>
            </w:pPr>
            <w:r>
              <w:rPr>
                <w:rFonts w:hint="eastAsia" w:ascii="宋体" w:hAnsi="宋体"/>
                <w:szCs w:val="21"/>
              </w:rPr>
              <w:t>2、电子化投标文件应在投标截止时间前成功上传至三门峡市公共资源电子化交易系统。至投标截止时间止，仍未上传成功的电子化投标文件将不予接收。</w:t>
            </w:r>
          </w:p>
          <w:p w14:paraId="10676027">
            <w:pPr>
              <w:spacing w:line="360" w:lineRule="auto"/>
              <w:ind w:firstLine="573"/>
              <w:rPr>
                <w:rFonts w:ascii="宋体" w:hAnsi="宋体"/>
                <w:szCs w:val="21"/>
              </w:rPr>
            </w:pPr>
            <w:r>
              <w:rPr>
                <w:rFonts w:hint="eastAsia" w:ascii="宋体" w:hAnsi="宋体"/>
                <w:szCs w:val="21"/>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69667FF8">
            <w:pPr>
              <w:spacing w:line="360" w:lineRule="auto"/>
              <w:ind w:firstLine="573"/>
              <w:rPr>
                <w:rFonts w:ascii="宋体" w:hAnsi="宋体"/>
                <w:szCs w:val="21"/>
              </w:rPr>
            </w:pPr>
            <w:r>
              <w:rPr>
                <w:rFonts w:hint="eastAsia" w:ascii="宋体" w:hAnsi="宋体"/>
                <w:szCs w:val="21"/>
              </w:rPr>
              <w:t>技术联系电话：0398-3117871</w:t>
            </w:r>
          </w:p>
          <w:p w14:paraId="5CD82317">
            <w:pPr>
              <w:spacing w:line="360" w:lineRule="auto"/>
              <w:ind w:firstLine="573"/>
              <w:rPr>
                <w:rFonts w:ascii="宋体" w:hAnsi="宋体"/>
                <w:szCs w:val="21"/>
              </w:rPr>
            </w:pPr>
            <w:r>
              <w:rPr>
                <w:rFonts w:hint="eastAsia" w:ascii="宋体" w:hAnsi="宋体"/>
                <w:szCs w:val="21"/>
              </w:rPr>
              <w:t>（三）电子化项目开标、解密、唱标、评标</w:t>
            </w:r>
          </w:p>
          <w:p w14:paraId="54D3A5A8">
            <w:pPr>
              <w:spacing w:line="360" w:lineRule="auto"/>
              <w:ind w:firstLine="573"/>
              <w:rPr>
                <w:rFonts w:ascii="宋体" w:hAnsi="宋体"/>
                <w:szCs w:val="21"/>
              </w:rPr>
            </w:pPr>
            <w:r>
              <w:rPr>
                <w:rFonts w:hint="eastAsia" w:ascii="宋体" w:hAnsi="宋体"/>
                <w:szCs w:val="21"/>
              </w:rPr>
              <w:t>1、本项目采用电子化、无纸化进行招标，开标当日，投标人无需到开标现场参加开标会议，投标人应当在投标截止时间前，登陆不见面开标大厅选择登陆三门峡市公共资源电子招投标系统进行登陆（网址为http://120.194.249.36:10094/BidOpening/bidopeninghallaction/hall/login）,在线准时参加开标活动并进行投标文件解密等。</w:t>
            </w:r>
          </w:p>
          <w:p w14:paraId="1F2A7F7F">
            <w:pPr>
              <w:spacing w:line="360" w:lineRule="auto"/>
              <w:ind w:firstLine="573"/>
              <w:rPr>
                <w:rFonts w:ascii="宋体" w:hAnsi="宋体"/>
                <w:szCs w:val="21"/>
              </w:rPr>
            </w:pPr>
            <w:r>
              <w:rPr>
                <w:rFonts w:hint="eastAsia" w:ascii="宋体" w:hAnsi="宋体"/>
                <w:szCs w:val="21"/>
              </w:rPr>
              <w:t>2、电子化投标文件采用一次加密方式。开标时，由磋商供应商使用CA证书，在规定时间内对其电子化投标文件进行解密。每位投标人的解密时间为开标时间起30分钟内，如在规定时间内未完成解密的，其投标文件不予开标、唱标。</w:t>
            </w:r>
          </w:p>
          <w:p w14:paraId="563758FC">
            <w:pPr>
              <w:spacing w:line="360" w:lineRule="auto"/>
              <w:ind w:firstLine="573"/>
              <w:rPr>
                <w:rFonts w:ascii="宋体" w:hAnsi="宋体"/>
                <w:szCs w:val="21"/>
              </w:rPr>
            </w:pPr>
            <w:r>
              <w:rPr>
                <w:rFonts w:hint="eastAsia" w:ascii="宋体" w:hAnsi="宋体"/>
                <w:szCs w:val="21"/>
              </w:rPr>
              <w:t>如投标人携带CA证书至现场参加开标的，首先应按照中介服务机构指引，使用投标人CA证书对其电子化投标文件进行解密。</w:t>
            </w:r>
          </w:p>
          <w:p w14:paraId="5BF31872">
            <w:pPr>
              <w:spacing w:line="360" w:lineRule="auto"/>
              <w:ind w:firstLine="573"/>
              <w:rPr>
                <w:rFonts w:ascii="宋体" w:hAnsi="宋体"/>
                <w:b/>
                <w:szCs w:val="21"/>
              </w:rPr>
            </w:pPr>
            <w:r>
              <w:rPr>
                <w:rFonts w:hint="eastAsia" w:ascii="宋体" w:hAnsi="宋体"/>
                <w:szCs w:val="21"/>
              </w:rPr>
              <w:t>3、电子化磋商响应文件异常情况的处理</w:t>
            </w:r>
          </w:p>
          <w:p w14:paraId="0E5B8943">
            <w:pPr>
              <w:spacing w:line="360" w:lineRule="auto"/>
              <w:ind w:firstLine="420" w:firstLineChars="200"/>
              <w:rPr>
                <w:rFonts w:ascii="宋体" w:hAnsi="宋体"/>
                <w:szCs w:val="21"/>
              </w:rPr>
            </w:pPr>
            <w:r>
              <w:rPr>
                <w:rFonts w:hint="eastAsia" w:ascii="宋体" w:hAnsi="宋体"/>
                <w:szCs w:val="21"/>
              </w:rPr>
              <w:t>如出现投标人的电子投标文件无法解密等异常情况，投标人应及时致电中介服务机构说明。投标文件异常，按以下步骤进行处理：</w:t>
            </w:r>
          </w:p>
          <w:p w14:paraId="522D0D7F">
            <w:pPr>
              <w:spacing w:line="360" w:lineRule="auto"/>
              <w:ind w:firstLine="573"/>
              <w:rPr>
                <w:rFonts w:ascii="宋体" w:hAnsi="宋体"/>
                <w:szCs w:val="21"/>
              </w:rPr>
            </w:pPr>
            <w:r>
              <w:rPr>
                <w:rFonts w:hint="eastAsia" w:ascii="宋体" w:hAnsi="宋体"/>
                <w:szCs w:val="21"/>
              </w:rPr>
              <w:t>（1）首先由技术人员进行问题排查。</w:t>
            </w:r>
          </w:p>
          <w:p w14:paraId="1A81C0DC">
            <w:pPr>
              <w:spacing w:line="360" w:lineRule="auto"/>
              <w:ind w:firstLine="573"/>
              <w:rPr>
                <w:rFonts w:ascii="宋体" w:hAnsi="宋体"/>
                <w:szCs w:val="21"/>
              </w:rPr>
            </w:pPr>
            <w:r>
              <w:rPr>
                <w:rFonts w:hint="eastAsia" w:ascii="宋体" w:hAnsi="宋体"/>
                <w:szCs w:val="21"/>
              </w:rPr>
              <w:t>（2）经技术人员排查后，是投标人文件自身问题导致投标文件无法解密的，该投标文件将不予接收、解密和唱标。开标会议继续进行。</w:t>
            </w:r>
          </w:p>
          <w:p w14:paraId="5A01A304">
            <w:pPr>
              <w:spacing w:line="360" w:lineRule="auto"/>
              <w:ind w:firstLine="573"/>
              <w:rPr>
                <w:rFonts w:ascii="宋体" w:hAnsi="宋体"/>
                <w:szCs w:val="21"/>
              </w:rPr>
            </w:pPr>
            <w:r>
              <w:rPr>
                <w:rFonts w:hint="eastAsia" w:ascii="宋体" w:hAnsi="宋体"/>
                <w:szCs w:val="21"/>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4A69217E">
            <w:pPr>
              <w:spacing w:line="360" w:lineRule="auto"/>
              <w:ind w:firstLine="573"/>
              <w:rPr>
                <w:rFonts w:ascii="宋体" w:hAnsi="宋体"/>
                <w:szCs w:val="21"/>
              </w:rPr>
            </w:pPr>
            <w:r>
              <w:rPr>
                <w:rFonts w:hint="eastAsia" w:ascii="宋体" w:hAnsi="宋体"/>
                <w:szCs w:val="21"/>
              </w:rPr>
              <w:t>4、待所有投标人投标文件解密完成后，由中介服务机构操作，对所有已解密投标文件进行唱标。</w:t>
            </w:r>
          </w:p>
          <w:p w14:paraId="72435D65">
            <w:pPr>
              <w:spacing w:line="360" w:lineRule="auto"/>
              <w:ind w:firstLine="573"/>
              <w:rPr>
                <w:rFonts w:ascii="宋体" w:hAnsi="宋体"/>
                <w:b/>
                <w:szCs w:val="21"/>
              </w:rPr>
            </w:pPr>
            <w:r>
              <w:rPr>
                <w:rFonts w:hint="eastAsia" w:ascii="宋体" w:hAnsi="宋体"/>
                <w:b/>
                <w:szCs w:val="21"/>
              </w:rPr>
              <w:t>投标人应保证在开标期间电话、电脑、网络能够正常工作，投标人因停电、电脑病毒、网络堵塞等原因，未在规定的解密时间内对投标文件进行解密的，其投标文件不予接收、唱标。</w:t>
            </w:r>
          </w:p>
          <w:p w14:paraId="3CC1EDD9">
            <w:pPr>
              <w:spacing w:line="360" w:lineRule="auto"/>
              <w:ind w:firstLine="573"/>
              <w:rPr>
                <w:rFonts w:ascii="宋体" w:hAnsi="宋体" w:cs="宋体"/>
                <w:szCs w:val="21"/>
              </w:rPr>
            </w:pPr>
            <w:r>
              <w:rPr>
                <w:rFonts w:hint="eastAsia" w:ascii="宋体" w:hAnsi="宋体" w:cs="宋体"/>
                <w:szCs w:val="21"/>
              </w:rPr>
              <w:t>5、开标时</w:t>
            </w:r>
            <w:r>
              <w:rPr>
                <w:rFonts w:hint="eastAsia" w:ascii="宋体" w:hAnsi="宋体"/>
                <w:szCs w:val="21"/>
              </w:rPr>
              <w:t>投标</w:t>
            </w:r>
            <w:r>
              <w:rPr>
                <w:rFonts w:hint="eastAsia" w:ascii="宋体" w:hAnsi="宋体" w:cs="宋体"/>
                <w:szCs w:val="21"/>
              </w:rPr>
              <w:t>人可登录到交易系统中在开标大厅中点击开标一览表查看自己的投标报价。如对自己的唱标内容有异议的，应在唱标内容显示后10分钟内向中介服务机构电话质疑。中介服务机构应在监督人员的监督下进行免提通话接受</w:t>
            </w:r>
            <w:r>
              <w:rPr>
                <w:rFonts w:hint="eastAsia" w:ascii="宋体" w:hAnsi="宋体"/>
                <w:szCs w:val="21"/>
              </w:rPr>
              <w:t>投标</w:t>
            </w:r>
            <w:r>
              <w:rPr>
                <w:rFonts w:hint="eastAsia" w:ascii="宋体" w:hAnsi="宋体" w:cs="宋体"/>
                <w:szCs w:val="21"/>
              </w:rPr>
              <w:t>人的质疑并做好书面记录。</w:t>
            </w:r>
            <w:r>
              <w:rPr>
                <w:rFonts w:hint="eastAsia" w:ascii="宋体" w:hAnsi="宋体"/>
                <w:szCs w:val="21"/>
              </w:rPr>
              <w:t>投标</w:t>
            </w:r>
            <w:r>
              <w:rPr>
                <w:rFonts w:hint="eastAsia" w:ascii="宋体" w:hAnsi="宋体" w:cs="宋体"/>
                <w:szCs w:val="21"/>
              </w:rPr>
              <w:t>人未在规定时间内提出质疑的，视为认可唱标内容。</w:t>
            </w:r>
          </w:p>
          <w:p w14:paraId="694D24D7">
            <w:pPr>
              <w:spacing w:line="360" w:lineRule="auto"/>
              <w:ind w:firstLine="573"/>
              <w:rPr>
                <w:rFonts w:ascii="宋体" w:hAnsi="宋体"/>
                <w:szCs w:val="21"/>
              </w:rPr>
            </w:pPr>
            <w:r>
              <w:rPr>
                <w:rFonts w:hint="eastAsia" w:ascii="宋体" w:hAnsi="宋体"/>
                <w:szCs w:val="21"/>
              </w:rPr>
              <w:t>6、评标时，评标委员会对电子化投标文件有质疑的，将通过电子化交易系统对投标人发起质疑，并在监督人员的监督下，用免提模式致电需要答复的投标人进行详细质询。质疑回复内容确认后，投标人的回复文件必须以经过投标人和其法定代表人签章的PDF格式文件为准，并通过电子化交易系统提交至评标委员会。</w:t>
            </w:r>
          </w:p>
          <w:p w14:paraId="5EE5D4E2">
            <w:pPr>
              <w:spacing w:line="360" w:lineRule="auto"/>
              <w:ind w:firstLine="573"/>
              <w:rPr>
                <w:rFonts w:ascii="宋体" w:hAnsi="宋体"/>
                <w:szCs w:val="21"/>
              </w:rPr>
            </w:pPr>
            <w:r>
              <w:rPr>
                <w:rFonts w:hint="eastAsia" w:ascii="宋体" w:hAnsi="宋体"/>
                <w:szCs w:val="21"/>
              </w:rPr>
              <w:t>7、如评标委员会对需要回复的投标人连续三次致电未接通的，视为磋商供应商放弃回复，评标委员会将自行对需要回复的内容进行认定。</w:t>
            </w:r>
          </w:p>
          <w:p w14:paraId="7840A197">
            <w:pPr>
              <w:snapToGrid w:val="0"/>
              <w:spacing w:line="360" w:lineRule="auto"/>
              <w:ind w:firstLine="573"/>
              <w:rPr>
                <w:rFonts w:ascii="宋体" w:hAnsi="宋体" w:cs="宋体"/>
                <w:bCs/>
                <w:kern w:val="44"/>
                <w:sz w:val="24"/>
              </w:rPr>
            </w:pPr>
            <w:r>
              <w:rPr>
                <w:rFonts w:hint="eastAsia" w:ascii="宋体" w:hAnsi="宋体" w:cs="宋体"/>
                <w:b/>
                <w:szCs w:val="21"/>
              </w:rPr>
              <w:t>提示：本项目为电子化、无纸化交易项目，开标时不再接受任何纸质资料，为保证您能投标成功，请需仔细阅读以上条款。</w:t>
            </w:r>
          </w:p>
        </w:tc>
      </w:tr>
    </w:tbl>
    <w:p w14:paraId="139DC0E1">
      <w:pPr>
        <w:widowControl/>
        <w:spacing w:line="360" w:lineRule="auto"/>
        <w:rPr>
          <w:rFonts w:ascii="宋体" w:hAnsi="宋体" w:cs="宋体"/>
          <w:b/>
          <w:kern w:val="0"/>
          <w:sz w:val="24"/>
          <w:lang w:bidi="ar"/>
        </w:rPr>
      </w:pPr>
      <w:r>
        <w:rPr>
          <w:rFonts w:hint="eastAsia" w:ascii="宋体" w:hAnsi="宋体" w:cs="宋体"/>
          <w:b/>
          <w:kern w:val="0"/>
          <w:sz w:val="24"/>
          <w:lang w:bidi="ar"/>
        </w:rPr>
        <w:t>总则</w:t>
      </w:r>
    </w:p>
    <w:p w14:paraId="49E6DBC5">
      <w:pPr>
        <w:widowControl/>
        <w:spacing w:line="360" w:lineRule="auto"/>
        <w:rPr>
          <w:rFonts w:ascii="宋体" w:hAnsi="宋体" w:cs="宋体"/>
          <w:b/>
          <w:kern w:val="0"/>
          <w:sz w:val="24"/>
        </w:rPr>
      </w:pPr>
      <w:r>
        <w:rPr>
          <w:rFonts w:hint="eastAsia" w:ascii="宋体" w:hAnsi="宋体" w:cs="宋体"/>
          <w:b/>
          <w:kern w:val="0"/>
          <w:sz w:val="24"/>
          <w:lang w:bidi="ar"/>
        </w:rPr>
        <w:t>1、适用范围</w:t>
      </w:r>
    </w:p>
    <w:p w14:paraId="3B7BA600">
      <w:pPr>
        <w:spacing w:line="360" w:lineRule="auto"/>
        <w:ind w:firstLine="420" w:firstLineChars="200"/>
        <w:rPr>
          <w:rFonts w:ascii="宋体" w:hAnsi="宋体"/>
        </w:rPr>
      </w:pPr>
      <w:r>
        <w:rPr>
          <w:rFonts w:hint="eastAsia" w:ascii="宋体" w:hAnsi="宋体"/>
        </w:rPr>
        <w:t>本竞争性磋商文件仅适用于三门峡市“十五五”城市更新和城乡人居环境建设规划项目；</w:t>
      </w:r>
    </w:p>
    <w:p w14:paraId="2DCEE123">
      <w:pPr>
        <w:widowControl/>
        <w:spacing w:line="360" w:lineRule="auto"/>
        <w:rPr>
          <w:rFonts w:ascii="宋体" w:hAnsi="宋体" w:cs="宋体"/>
          <w:b/>
          <w:kern w:val="0"/>
          <w:sz w:val="24"/>
        </w:rPr>
      </w:pPr>
      <w:r>
        <w:rPr>
          <w:rFonts w:hint="eastAsia" w:ascii="宋体" w:hAnsi="宋体" w:cs="宋体"/>
          <w:b/>
          <w:kern w:val="0"/>
          <w:sz w:val="24"/>
          <w:lang w:bidi="ar"/>
        </w:rPr>
        <w:t>2、合格的供应商</w:t>
      </w:r>
    </w:p>
    <w:p w14:paraId="0EF5B7AA">
      <w:pPr>
        <w:spacing w:line="360" w:lineRule="auto"/>
        <w:ind w:firstLine="420" w:firstLineChars="200"/>
        <w:rPr>
          <w:rFonts w:ascii="宋体" w:hAnsi="宋体"/>
        </w:rPr>
      </w:pPr>
      <w:r>
        <w:rPr>
          <w:rFonts w:hint="eastAsia" w:ascii="宋体" w:hAnsi="宋体"/>
        </w:rPr>
        <w:t>详见第二章供应商须知前附表。</w:t>
      </w:r>
    </w:p>
    <w:p w14:paraId="19C7D1B7">
      <w:pPr>
        <w:widowControl/>
        <w:spacing w:line="360" w:lineRule="auto"/>
        <w:rPr>
          <w:rFonts w:ascii="宋体" w:hAnsi="宋体" w:cs="宋体"/>
          <w:b/>
          <w:kern w:val="0"/>
          <w:sz w:val="24"/>
        </w:rPr>
      </w:pPr>
      <w:r>
        <w:rPr>
          <w:rFonts w:hint="eastAsia" w:ascii="宋体" w:hAnsi="宋体" w:cs="宋体"/>
          <w:b/>
          <w:kern w:val="0"/>
          <w:sz w:val="24"/>
          <w:lang w:bidi="ar"/>
        </w:rPr>
        <w:t>3、费用</w:t>
      </w:r>
    </w:p>
    <w:p w14:paraId="5E9869A7">
      <w:pPr>
        <w:widowControl/>
        <w:spacing w:line="360" w:lineRule="auto"/>
        <w:ind w:firstLine="420" w:firstLineChars="200"/>
        <w:rPr>
          <w:rFonts w:ascii="宋体" w:hAnsi="宋体"/>
        </w:rPr>
      </w:pPr>
      <w:r>
        <w:rPr>
          <w:rFonts w:hint="eastAsia" w:ascii="宋体" w:hAnsi="宋体"/>
        </w:rPr>
        <w:t>供应商应自行承担参加竞争性磋商活动有关的全部费用，采购人和采购代理机构在任何情况下均无义务和责任承担上述费用。</w:t>
      </w:r>
    </w:p>
    <w:p w14:paraId="78FCA46B">
      <w:pPr>
        <w:widowControl/>
        <w:spacing w:line="360" w:lineRule="auto"/>
        <w:rPr>
          <w:rFonts w:ascii="宋体" w:hAnsi="宋体" w:cs="宋体"/>
          <w:b/>
          <w:kern w:val="0"/>
          <w:sz w:val="24"/>
        </w:rPr>
      </w:pPr>
      <w:r>
        <w:rPr>
          <w:rFonts w:hint="eastAsia" w:ascii="宋体" w:hAnsi="宋体" w:cs="宋体"/>
          <w:b/>
          <w:kern w:val="0"/>
          <w:sz w:val="24"/>
          <w:lang w:bidi="ar"/>
        </w:rPr>
        <w:t>4、竞争性磋商文件的构成：</w:t>
      </w:r>
    </w:p>
    <w:p w14:paraId="298C9029">
      <w:pPr>
        <w:widowControl/>
        <w:spacing w:line="360" w:lineRule="auto"/>
        <w:ind w:firstLine="420" w:firstLineChars="200"/>
        <w:rPr>
          <w:rFonts w:ascii="宋体" w:hAnsi="宋体"/>
        </w:rPr>
      </w:pPr>
      <w:r>
        <w:rPr>
          <w:rFonts w:hint="eastAsia" w:ascii="宋体" w:hAnsi="宋体"/>
        </w:rPr>
        <w:t>4.1竞争性磋商公告</w:t>
      </w:r>
    </w:p>
    <w:p w14:paraId="4A16F9A1">
      <w:pPr>
        <w:widowControl/>
        <w:spacing w:line="360" w:lineRule="auto"/>
        <w:ind w:firstLine="420" w:firstLineChars="200"/>
        <w:rPr>
          <w:rFonts w:ascii="宋体" w:hAnsi="宋体"/>
        </w:rPr>
      </w:pPr>
      <w:r>
        <w:rPr>
          <w:rFonts w:hint="eastAsia" w:ascii="宋体" w:hAnsi="宋体"/>
        </w:rPr>
        <w:t>4.2供应商须知</w:t>
      </w:r>
    </w:p>
    <w:p w14:paraId="02203961">
      <w:pPr>
        <w:widowControl/>
        <w:spacing w:line="360" w:lineRule="auto"/>
        <w:ind w:firstLine="420" w:firstLineChars="200"/>
        <w:rPr>
          <w:rFonts w:ascii="宋体" w:hAnsi="宋体"/>
        </w:rPr>
      </w:pPr>
      <w:r>
        <w:rPr>
          <w:rFonts w:hint="eastAsia" w:ascii="宋体" w:hAnsi="宋体"/>
        </w:rPr>
        <w:t>4.3项目内容及要求</w:t>
      </w:r>
    </w:p>
    <w:p w14:paraId="37368D74">
      <w:pPr>
        <w:widowControl/>
        <w:spacing w:line="360" w:lineRule="auto"/>
        <w:ind w:firstLine="420" w:firstLineChars="200"/>
        <w:rPr>
          <w:rFonts w:ascii="宋体" w:hAnsi="宋体"/>
        </w:rPr>
      </w:pPr>
      <w:r>
        <w:rPr>
          <w:rFonts w:hint="eastAsia" w:ascii="宋体" w:hAnsi="宋体"/>
        </w:rPr>
        <w:t>4.4评标办法</w:t>
      </w:r>
    </w:p>
    <w:p w14:paraId="75954351">
      <w:pPr>
        <w:widowControl/>
        <w:spacing w:line="360" w:lineRule="auto"/>
        <w:ind w:firstLine="420" w:firstLineChars="200"/>
        <w:rPr>
          <w:rFonts w:ascii="宋体" w:hAnsi="宋体"/>
        </w:rPr>
      </w:pPr>
      <w:r>
        <w:rPr>
          <w:rFonts w:hint="eastAsia" w:ascii="宋体" w:hAnsi="宋体"/>
        </w:rPr>
        <w:t>4.5政府采购合同</w:t>
      </w:r>
    </w:p>
    <w:p w14:paraId="5DF4A572">
      <w:pPr>
        <w:widowControl/>
        <w:spacing w:line="360" w:lineRule="auto"/>
        <w:ind w:firstLine="420" w:firstLineChars="200"/>
        <w:rPr>
          <w:rFonts w:ascii="宋体" w:hAnsi="宋体"/>
        </w:rPr>
      </w:pPr>
      <w:r>
        <w:rPr>
          <w:rFonts w:hint="eastAsia" w:ascii="宋体" w:hAnsi="宋体"/>
        </w:rPr>
        <w:t>4.6响应文件主要内容和格式</w:t>
      </w:r>
    </w:p>
    <w:p w14:paraId="4932795F">
      <w:pPr>
        <w:widowControl/>
        <w:spacing w:line="360" w:lineRule="auto"/>
        <w:rPr>
          <w:rFonts w:ascii="宋体" w:hAnsi="宋体" w:cs="宋体"/>
          <w:b/>
          <w:kern w:val="0"/>
          <w:sz w:val="24"/>
        </w:rPr>
      </w:pPr>
      <w:r>
        <w:rPr>
          <w:rFonts w:hint="eastAsia" w:ascii="宋体" w:hAnsi="宋体" w:cs="宋体"/>
          <w:b/>
          <w:kern w:val="0"/>
          <w:sz w:val="24"/>
          <w:lang w:bidi="ar"/>
        </w:rPr>
        <w:t>5、竞争性磋商文件的澄清</w:t>
      </w:r>
    </w:p>
    <w:p w14:paraId="74758CD6">
      <w:pPr>
        <w:spacing w:line="360" w:lineRule="auto"/>
        <w:ind w:firstLine="420" w:firstLineChars="200"/>
        <w:rPr>
          <w:rFonts w:ascii="宋体" w:hAnsi="宋体"/>
        </w:rPr>
      </w:pPr>
      <w:r>
        <w:rPr>
          <w:rFonts w:hint="eastAsia" w:ascii="宋体" w:hAnsi="宋体"/>
        </w:rPr>
        <w:t>5.1潜在供应商对磋商文件如有疑问，应在磋商截止时间5日前登录三门峡市公共资源交易中心网（http://gzjy.smx.gov.cn），在网上向提出澄清要求，要求对磋商文件予以澄清。</w:t>
      </w:r>
    </w:p>
    <w:p w14:paraId="68C53558">
      <w:pPr>
        <w:widowControl/>
        <w:spacing w:line="360" w:lineRule="auto"/>
        <w:ind w:firstLine="480"/>
        <w:rPr>
          <w:rFonts w:ascii="宋体" w:hAnsi="宋体"/>
        </w:rPr>
      </w:pPr>
      <w:r>
        <w:rPr>
          <w:rFonts w:hint="eastAsia" w:ascii="宋体" w:hAnsi="宋体"/>
        </w:rPr>
        <w:t>5.2竞争性磋商文件的澄清将在供应商须知前附表规定的提交响应文件5日前在三门峡市公共资源交易中心网（http://gzjy.smx.gov.cn）以网上形式通知所有下载磋商文件的供应商，但不指明澄清问题的来源。如果澄清发出的时间距磋商截止时间不足5日，相应延长磋商截止时间。</w:t>
      </w:r>
    </w:p>
    <w:p w14:paraId="3B09B6CD">
      <w:pPr>
        <w:widowControl/>
        <w:spacing w:line="360" w:lineRule="auto"/>
        <w:rPr>
          <w:rFonts w:ascii="宋体" w:hAnsi="宋体" w:cs="宋体"/>
          <w:b/>
          <w:kern w:val="0"/>
          <w:sz w:val="24"/>
          <w:lang w:bidi="ar"/>
        </w:rPr>
      </w:pPr>
      <w:r>
        <w:rPr>
          <w:rFonts w:hint="eastAsia" w:ascii="宋体" w:hAnsi="宋体" w:cs="宋体"/>
          <w:b/>
          <w:kern w:val="0"/>
          <w:sz w:val="24"/>
          <w:lang w:bidi="ar"/>
        </w:rPr>
        <w:t>6、竞争性磋商文件的修改</w:t>
      </w:r>
    </w:p>
    <w:p w14:paraId="3AC216DA">
      <w:pPr>
        <w:spacing w:line="360" w:lineRule="auto"/>
        <w:ind w:firstLine="420" w:firstLineChars="200"/>
        <w:rPr>
          <w:rFonts w:ascii="宋体" w:hAnsi="宋体"/>
        </w:rPr>
      </w:pPr>
      <w:r>
        <w:rPr>
          <w:rFonts w:hint="eastAsia" w:ascii="宋体" w:hAnsi="宋体"/>
        </w:rPr>
        <w:t>6.1在递交响应文件截止之日5日前的任何时间，</w:t>
      </w:r>
      <w:r>
        <w:rPr>
          <w:rStyle w:val="29"/>
          <w:rFonts w:hint="eastAsia" w:ascii="宋体" w:hAnsi="宋体"/>
          <w:color w:val="000000"/>
          <w:kern w:val="0"/>
          <w:szCs w:val="21"/>
        </w:rPr>
        <w:t>采购</w:t>
      </w:r>
      <w:r>
        <w:rPr>
          <w:rStyle w:val="29"/>
          <w:rFonts w:ascii="宋体" w:hAnsi="宋体"/>
          <w:color w:val="000000"/>
          <w:kern w:val="0"/>
          <w:szCs w:val="21"/>
        </w:rPr>
        <w:t>人可以</w:t>
      </w:r>
      <w:r>
        <w:rPr>
          <w:rStyle w:val="29"/>
          <w:rFonts w:hint="eastAsia" w:ascii="宋体" w:hAnsi="宋体"/>
          <w:color w:val="000000"/>
          <w:kern w:val="0"/>
          <w:szCs w:val="21"/>
        </w:rPr>
        <w:t>在</w:t>
      </w:r>
      <w:r>
        <w:rPr>
          <w:rStyle w:val="29"/>
          <w:rFonts w:ascii="宋体" w:hAnsi="宋体"/>
          <w:color w:val="000000"/>
          <w:kern w:val="0"/>
          <w:szCs w:val="21"/>
        </w:rPr>
        <w:t>三门峡市公共资源交易中心网以网上答疑形式修改</w:t>
      </w:r>
      <w:r>
        <w:rPr>
          <w:rStyle w:val="29"/>
          <w:rFonts w:hint="eastAsia" w:ascii="宋体" w:hAnsi="宋体"/>
          <w:color w:val="000000"/>
          <w:kern w:val="0"/>
          <w:szCs w:val="21"/>
        </w:rPr>
        <w:t>磋商</w:t>
      </w:r>
      <w:r>
        <w:rPr>
          <w:rStyle w:val="29"/>
          <w:rFonts w:ascii="宋体" w:hAnsi="宋体"/>
          <w:color w:val="000000"/>
          <w:kern w:val="0"/>
          <w:szCs w:val="21"/>
        </w:rPr>
        <w:t>文件，并通知所有已</w:t>
      </w:r>
      <w:r>
        <w:rPr>
          <w:rStyle w:val="29"/>
          <w:rFonts w:hint="eastAsia" w:ascii="宋体" w:hAnsi="宋体"/>
          <w:color w:val="000000"/>
          <w:kern w:val="0"/>
          <w:szCs w:val="21"/>
        </w:rPr>
        <w:t>下载磋商</w:t>
      </w:r>
      <w:r>
        <w:rPr>
          <w:rStyle w:val="29"/>
          <w:rFonts w:ascii="宋体" w:hAnsi="宋体"/>
          <w:color w:val="000000"/>
          <w:kern w:val="0"/>
          <w:szCs w:val="21"/>
        </w:rPr>
        <w:t>文件的</w:t>
      </w:r>
      <w:r>
        <w:rPr>
          <w:rStyle w:val="29"/>
          <w:rFonts w:hint="eastAsia" w:ascii="宋体" w:hAnsi="宋体"/>
          <w:color w:val="000000"/>
          <w:kern w:val="0"/>
          <w:szCs w:val="21"/>
        </w:rPr>
        <w:t>供应商</w:t>
      </w:r>
      <w:r>
        <w:rPr>
          <w:rStyle w:val="29"/>
          <w:rFonts w:ascii="宋体" w:hAnsi="宋体"/>
          <w:color w:val="000000"/>
          <w:kern w:val="0"/>
          <w:szCs w:val="21"/>
        </w:rPr>
        <w:t>。如果修改</w:t>
      </w:r>
      <w:r>
        <w:rPr>
          <w:rStyle w:val="29"/>
          <w:rFonts w:hint="eastAsia" w:ascii="宋体" w:hAnsi="宋体"/>
          <w:color w:val="000000"/>
          <w:kern w:val="0"/>
          <w:szCs w:val="21"/>
        </w:rPr>
        <w:t>磋商</w:t>
      </w:r>
      <w:r>
        <w:rPr>
          <w:rStyle w:val="29"/>
          <w:rFonts w:ascii="宋体" w:hAnsi="宋体"/>
          <w:color w:val="000000"/>
          <w:kern w:val="0"/>
          <w:szCs w:val="21"/>
        </w:rPr>
        <w:t>文件的时间距投标截止时间不足</w:t>
      </w:r>
      <w:r>
        <w:rPr>
          <w:rStyle w:val="29"/>
          <w:rFonts w:hint="eastAsia" w:ascii="宋体" w:hAnsi="宋体"/>
          <w:color w:val="000000"/>
          <w:kern w:val="0"/>
          <w:szCs w:val="21"/>
        </w:rPr>
        <w:t>5</w:t>
      </w:r>
      <w:r>
        <w:rPr>
          <w:rStyle w:val="29"/>
          <w:rFonts w:ascii="宋体" w:hAnsi="宋体"/>
          <w:color w:val="000000"/>
          <w:kern w:val="0"/>
          <w:szCs w:val="21"/>
        </w:rPr>
        <w:t>天，相应延长投标截止时间。</w:t>
      </w:r>
      <w:r>
        <w:rPr>
          <w:rFonts w:hint="eastAsia" w:ascii="宋体" w:hAnsi="宋体"/>
        </w:rPr>
        <w:t>补充文件将作为竞争性磋商文件组成部分，具有约束作用。</w:t>
      </w:r>
    </w:p>
    <w:p w14:paraId="1CDDB66A">
      <w:pPr>
        <w:spacing w:line="360" w:lineRule="auto"/>
        <w:ind w:firstLine="420" w:firstLineChars="200"/>
        <w:rPr>
          <w:rFonts w:ascii="宋体" w:hAnsi="宋体"/>
        </w:rPr>
      </w:pPr>
      <w:r>
        <w:rPr>
          <w:rFonts w:hint="eastAsia" w:ascii="宋体" w:hAnsi="宋体"/>
        </w:rPr>
        <w:t>6.2竞争性磋商</w:t>
      </w:r>
      <w:r>
        <w:rPr>
          <w:rFonts w:ascii="宋体" w:hAnsi="宋体" w:cs="宋体"/>
          <w:color w:val="000000"/>
          <w:kern w:val="0"/>
          <w:szCs w:val="21"/>
        </w:rPr>
        <w:t>文件的澄清、修改、补充等内容均以</w:t>
      </w:r>
      <w:r>
        <w:rPr>
          <w:rFonts w:hint="eastAsia" w:ascii="宋体" w:hAnsi="宋体" w:cs="宋体"/>
          <w:color w:val="000000"/>
          <w:kern w:val="0"/>
          <w:szCs w:val="21"/>
        </w:rPr>
        <w:t>采购人</w:t>
      </w:r>
      <w:r>
        <w:rPr>
          <w:rFonts w:ascii="宋体" w:hAnsi="宋体" w:cs="宋体"/>
          <w:color w:val="000000"/>
          <w:kern w:val="0"/>
          <w:szCs w:val="21"/>
        </w:rPr>
        <w:t>答疑形式明确的内容为准。当</w:t>
      </w:r>
      <w:r>
        <w:rPr>
          <w:rFonts w:hint="eastAsia" w:ascii="宋体" w:hAnsi="宋体" w:cs="宋体"/>
          <w:color w:val="000000"/>
          <w:kern w:val="0"/>
          <w:szCs w:val="21"/>
        </w:rPr>
        <w:t>磋商</w:t>
      </w:r>
      <w:r>
        <w:rPr>
          <w:rFonts w:ascii="宋体" w:hAnsi="宋体" w:cs="宋体"/>
          <w:color w:val="000000"/>
          <w:kern w:val="0"/>
          <w:szCs w:val="21"/>
        </w:rPr>
        <w:t>文件的澄清、修改、补充等在同一内容的表述上不一致时，以最后发出的答疑为准。</w:t>
      </w:r>
    </w:p>
    <w:p w14:paraId="6A6D0568">
      <w:pPr>
        <w:widowControl/>
        <w:spacing w:line="360" w:lineRule="auto"/>
        <w:rPr>
          <w:rFonts w:ascii="宋体" w:hAnsi="宋体" w:cs="宋体"/>
          <w:b/>
          <w:kern w:val="0"/>
          <w:sz w:val="24"/>
        </w:rPr>
      </w:pPr>
      <w:r>
        <w:rPr>
          <w:rFonts w:hint="eastAsia" w:ascii="宋体" w:hAnsi="宋体" w:cs="宋体"/>
          <w:b/>
          <w:kern w:val="0"/>
          <w:sz w:val="24"/>
          <w:lang w:bidi="ar"/>
        </w:rPr>
        <w:t>7、要求</w:t>
      </w:r>
    </w:p>
    <w:p w14:paraId="39D137D9">
      <w:pPr>
        <w:widowControl/>
        <w:spacing w:line="360" w:lineRule="auto"/>
        <w:ind w:firstLine="411" w:firstLineChars="196"/>
        <w:rPr>
          <w:rStyle w:val="29"/>
          <w:rFonts w:ascii="宋体" w:hAnsi="宋体"/>
          <w:color w:val="000000"/>
          <w:szCs w:val="21"/>
        </w:rPr>
      </w:pPr>
      <w:r>
        <w:rPr>
          <w:rStyle w:val="29"/>
          <w:rFonts w:hint="eastAsia" w:ascii="宋体" w:hAnsi="宋体"/>
          <w:color w:val="000000"/>
          <w:szCs w:val="21"/>
        </w:rPr>
        <w:t>7.1供应商应仔细阅读竞争性磋商文件的所有内容，按竞争性磋商文件的要求提供响应文件，并保证所提供资料的真实性，以使其响应文件对竞争性磋商文件作出实质性响应，否则，其响应文件不予接受。</w:t>
      </w:r>
    </w:p>
    <w:p w14:paraId="42DBDF6F">
      <w:pPr>
        <w:widowControl/>
        <w:spacing w:line="360" w:lineRule="auto"/>
        <w:rPr>
          <w:rFonts w:ascii="宋体" w:hAnsi="宋体" w:cs="宋体"/>
          <w:b/>
          <w:kern w:val="0"/>
          <w:sz w:val="24"/>
        </w:rPr>
      </w:pPr>
      <w:r>
        <w:rPr>
          <w:rFonts w:hint="eastAsia" w:ascii="宋体" w:hAnsi="宋体" w:cs="宋体"/>
          <w:b/>
          <w:kern w:val="0"/>
          <w:sz w:val="24"/>
          <w:lang w:bidi="ar"/>
        </w:rPr>
        <w:t>8、响应文件的组成</w:t>
      </w:r>
    </w:p>
    <w:p w14:paraId="6EFF1D09">
      <w:pPr>
        <w:widowControl/>
        <w:spacing w:line="360" w:lineRule="auto"/>
        <w:rPr>
          <w:rFonts w:ascii="宋体" w:hAnsi="宋体" w:cs="宋体"/>
          <w:b/>
          <w:kern w:val="0"/>
          <w:sz w:val="24"/>
        </w:rPr>
      </w:pPr>
      <w:r>
        <w:rPr>
          <w:rFonts w:hint="eastAsia" w:ascii="宋体" w:hAnsi="宋体" w:cs="宋体"/>
          <w:b/>
          <w:sz w:val="24"/>
          <w:lang w:bidi="ar"/>
        </w:rPr>
        <w:t>8.1响应文件应包括下列内容</w:t>
      </w:r>
    </w:p>
    <w:p w14:paraId="57E62DF5">
      <w:pPr>
        <w:widowControl/>
        <w:spacing w:line="360" w:lineRule="auto"/>
        <w:ind w:firstLine="411" w:firstLineChars="196"/>
        <w:rPr>
          <w:rStyle w:val="29"/>
          <w:rFonts w:ascii="宋体" w:hAnsi="宋体"/>
          <w:color w:val="000000"/>
          <w:szCs w:val="21"/>
        </w:rPr>
      </w:pPr>
      <w:r>
        <w:rPr>
          <w:rStyle w:val="29"/>
          <w:rFonts w:hint="eastAsia" w:ascii="宋体" w:hAnsi="宋体"/>
          <w:color w:val="000000"/>
          <w:szCs w:val="21"/>
        </w:rPr>
        <w:t>一、法定代表人身份证明</w:t>
      </w:r>
    </w:p>
    <w:p w14:paraId="385CD80B">
      <w:pPr>
        <w:widowControl/>
        <w:spacing w:line="360" w:lineRule="auto"/>
        <w:ind w:firstLine="411" w:firstLineChars="196"/>
        <w:rPr>
          <w:rStyle w:val="29"/>
          <w:rFonts w:ascii="宋体" w:hAnsi="宋体"/>
          <w:color w:val="000000"/>
          <w:szCs w:val="21"/>
        </w:rPr>
      </w:pPr>
      <w:r>
        <w:rPr>
          <w:rStyle w:val="29"/>
          <w:rFonts w:hint="eastAsia" w:ascii="宋体" w:hAnsi="宋体"/>
          <w:color w:val="000000"/>
          <w:szCs w:val="21"/>
        </w:rPr>
        <w:t>二、响应文件签署授权委托书</w:t>
      </w:r>
    </w:p>
    <w:p w14:paraId="6C6CDAF6">
      <w:pPr>
        <w:widowControl/>
        <w:spacing w:line="360" w:lineRule="auto"/>
        <w:ind w:firstLine="411" w:firstLineChars="196"/>
        <w:rPr>
          <w:rStyle w:val="29"/>
          <w:rFonts w:ascii="宋体" w:hAnsi="宋体"/>
          <w:color w:val="000000"/>
          <w:szCs w:val="21"/>
        </w:rPr>
      </w:pPr>
      <w:r>
        <w:rPr>
          <w:rStyle w:val="29"/>
          <w:rFonts w:hint="eastAsia" w:ascii="宋体" w:hAnsi="宋体"/>
          <w:color w:val="000000"/>
          <w:szCs w:val="21"/>
        </w:rPr>
        <w:t>三、投标函及投标函附录</w:t>
      </w:r>
    </w:p>
    <w:p w14:paraId="7FA84BBC">
      <w:pPr>
        <w:widowControl/>
        <w:spacing w:line="360" w:lineRule="auto"/>
        <w:ind w:firstLine="411" w:firstLineChars="196"/>
        <w:rPr>
          <w:rStyle w:val="29"/>
          <w:rFonts w:hint="eastAsia" w:ascii="宋体" w:hAnsi="宋体"/>
          <w:color w:val="000000"/>
          <w:szCs w:val="21"/>
        </w:rPr>
      </w:pPr>
      <w:r>
        <w:rPr>
          <w:rStyle w:val="29"/>
          <w:rFonts w:hint="eastAsia" w:ascii="宋体" w:hAnsi="宋体"/>
          <w:color w:val="000000"/>
          <w:szCs w:val="21"/>
        </w:rPr>
        <w:t>四、联合体协议书（适用于联合体投标）</w:t>
      </w:r>
    </w:p>
    <w:p w14:paraId="3E633D6D">
      <w:pPr>
        <w:widowControl/>
        <w:spacing w:line="360" w:lineRule="auto"/>
        <w:ind w:firstLine="411" w:firstLineChars="196"/>
        <w:rPr>
          <w:rStyle w:val="29"/>
          <w:rFonts w:ascii="宋体" w:hAnsi="宋体"/>
          <w:color w:val="000000"/>
          <w:szCs w:val="21"/>
        </w:rPr>
      </w:pPr>
      <w:r>
        <w:rPr>
          <w:rStyle w:val="29"/>
          <w:rFonts w:hint="eastAsia" w:ascii="宋体" w:hAnsi="宋体"/>
          <w:color w:val="000000"/>
          <w:szCs w:val="21"/>
          <w:lang w:val="en-US" w:eastAsia="zh-CN"/>
        </w:rPr>
        <w:t>五</w:t>
      </w:r>
      <w:r>
        <w:rPr>
          <w:rStyle w:val="29"/>
          <w:rFonts w:hint="eastAsia" w:ascii="宋体" w:hAnsi="宋体"/>
          <w:color w:val="000000"/>
          <w:szCs w:val="21"/>
        </w:rPr>
        <w:t>、服务方案</w:t>
      </w:r>
    </w:p>
    <w:p w14:paraId="310B0F4D">
      <w:pPr>
        <w:widowControl/>
        <w:spacing w:line="360" w:lineRule="auto"/>
        <w:ind w:firstLine="411" w:firstLineChars="196"/>
        <w:rPr>
          <w:rStyle w:val="29"/>
          <w:rFonts w:ascii="宋体" w:hAnsi="宋体"/>
          <w:color w:val="000000"/>
          <w:szCs w:val="21"/>
        </w:rPr>
      </w:pPr>
      <w:r>
        <w:rPr>
          <w:rStyle w:val="29"/>
          <w:rFonts w:hint="eastAsia" w:ascii="宋体" w:hAnsi="宋体" w:eastAsia="宋体" w:cs="Times New Roman"/>
          <w:color w:val="000000"/>
          <w:szCs w:val="21"/>
        </w:rPr>
        <w:t>六</w:t>
      </w:r>
      <w:r>
        <w:rPr>
          <w:rStyle w:val="29"/>
          <w:rFonts w:hint="eastAsia" w:ascii="宋体" w:hAnsi="宋体"/>
          <w:color w:val="000000"/>
          <w:szCs w:val="21"/>
        </w:rPr>
        <w:t>、资格审查资料</w:t>
      </w:r>
    </w:p>
    <w:p w14:paraId="0AB4B589">
      <w:pPr>
        <w:widowControl/>
        <w:spacing w:line="360" w:lineRule="auto"/>
        <w:ind w:firstLine="411" w:firstLineChars="196"/>
        <w:rPr>
          <w:rStyle w:val="29"/>
          <w:rFonts w:ascii="宋体" w:hAnsi="宋体"/>
          <w:color w:val="000000"/>
          <w:szCs w:val="21"/>
        </w:rPr>
      </w:pPr>
      <w:r>
        <w:rPr>
          <w:rStyle w:val="29"/>
          <w:rFonts w:hint="eastAsia" w:ascii="宋体" w:hAnsi="宋体" w:eastAsia="宋体" w:cs="Times New Roman"/>
          <w:color w:val="000000"/>
          <w:szCs w:val="21"/>
        </w:rPr>
        <w:t>七</w:t>
      </w:r>
      <w:r>
        <w:rPr>
          <w:rStyle w:val="29"/>
          <w:rFonts w:hint="eastAsia" w:ascii="宋体" w:hAnsi="宋体"/>
          <w:color w:val="000000"/>
          <w:szCs w:val="21"/>
        </w:rPr>
        <w:t>、中小微企业声明函</w:t>
      </w:r>
    </w:p>
    <w:p w14:paraId="5C4D6F8A">
      <w:pPr>
        <w:widowControl/>
        <w:spacing w:line="360" w:lineRule="auto"/>
        <w:ind w:firstLine="411" w:firstLineChars="196"/>
        <w:rPr>
          <w:rStyle w:val="29"/>
          <w:rFonts w:ascii="宋体" w:hAnsi="宋体"/>
          <w:color w:val="000000"/>
          <w:szCs w:val="21"/>
        </w:rPr>
      </w:pPr>
      <w:r>
        <w:rPr>
          <w:rStyle w:val="29"/>
          <w:rFonts w:hint="eastAsia" w:ascii="宋体" w:hAnsi="宋体" w:eastAsia="宋体" w:cs="Times New Roman"/>
          <w:color w:val="000000"/>
          <w:szCs w:val="21"/>
        </w:rPr>
        <w:t>八</w:t>
      </w:r>
      <w:r>
        <w:rPr>
          <w:rStyle w:val="29"/>
          <w:rFonts w:hint="eastAsia" w:ascii="宋体" w:hAnsi="宋体"/>
          <w:color w:val="000000"/>
          <w:szCs w:val="21"/>
        </w:rPr>
        <w:t>、磋商承诺函</w:t>
      </w:r>
    </w:p>
    <w:p w14:paraId="12CF1EDC">
      <w:pPr>
        <w:widowControl/>
        <w:spacing w:line="360" w:lineRule="auto"/>
        <w:ind w:firstLine="411" w:firstLineChars="196"/>
        <w:rPr>
          <w:rStyle w:val="29"/>
          <w:rFonts w:hint="eastAsia" w:ascii="宋体" w:hAnsi="宋体"/>
          <w:color w:val="000000"/>
          <w:szCs w:val="21"/>
          <w:lang w:val="en-US" w:eastAsia="zh-CN"/>
        </w:rPr>
      </w:pPr>
      <w:r>
        <w:rPr>
          <w:rStyle w:val="29"/>
          <w:rFonts w:hint="eastAsia" w:ascii="宋体" w:hAnsi="宋体"/>
          <w:color w:val="000000"/>
          <w:szCs w:val="21"/>
          <w:lang w:val="en-US" w:eastAsia="zh-CN"/>
        </w:rPr>
        <w:t>九、拟投入本项目的人员情况</w:t>
      </w:r>
    </w:p>
    <w:p w14:paraId="02570DBF">
      <w:pPr>
        <w:widowControl/>
        <w:spacing w:line="360" w:lineRule="auto"/>
        <w:ind w:firstLine="411" w:firstLineChars="196"/>
        <w:rPr>
          <w:rStyle w:val="29"/>
          <w:rFonts w:ascii="宋体" w:hAnsi="宋体"/>
          <w:color w:val="000000"/>
          <w:szCs w:val="21"/>
        </w:rPr>
      </w:pPr>
      <w:r>
        <w:rPr>
          <w:rStyle w:val="29"/>
          <w:rFonts w:hint="eastAsia" w:ascii="宋体" w:hAnsi="宋体"/>
          <w:color w:val="000000"/>
          <w:szCs w:val="21"/>
          <w:lang w:val="en-US" w:eastAsia="zh-CN"/>
        </w:rPr>
        <w:t>十</w:t>
      </w:r>
      <w:r>
        <w:rPr>
          <w:rStyle w:val="29"/>
          <w:rFonts w:hint="eastAsia" w:ascii="宋体" w:hAnsi="宋体"/>
          <w:color w:val="000000"/>
          <w:szCs w:val="21"/>
        </w:rPr>
        <w:t>、其他资料</w:t>
      </w:r>
    </w:p>
    <w:p w14:paraId="6BAE8283">
      <w:pPr>
        <w:widowControl/>
        <w:spacing w:line="360" w:lineRule="auto"/>
        <w:rPr>
          <w:rFonts w:ascii="宋体" w:hAnsi="宋体" w:cs="宋体"/>
          <w:b/>
          <w:kern w:val="0"/>
          <w:sz w:val="24"/>
          <w:lang w:bidi="ar"/>
        </w:rPr>
      </w:pPr>
      <w:r>
        <w:rPr>
          <w:rFonts w:hint="eastAsia" w:ascii="宋体" w:hAnsi="宋体" w:cs="宋体"/>
          <w:b/>
          <w:kern w:val="0"/>
          <w:sz w:val="24"/>
          <w:lang w:bidi="ar"/>
        </w:rPr>
        <w:t>9、磋商报价</w:t>
      </w:r>
    </w:p>
    <w:p w14:paraId="0C48F8F6">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9.</w:t>
      </w:r>
      <w:r>
        <w:rPr>
          <w:rStyle w:val="29"/>
          <w:rFonts w:ascii="宋体" w:hAnsi="宋体"/>
          <w:color w:val="000000"/>
          <w:szCs w:val="21"/>
        </w:rPr>
        <w:t>1</w:t>
      </w:r>
      <w:r>
        <w:rPr>
          <w:rStyle w:val="29"/>
          <w:rFonts w:hint="eastAsia" w:ascii="宋体" w:hAnsi="宋体"/>
          <w:color w:val="000000"/>
          <w:szCs w:val="21"/>
        </w:rPr>
        <w:t>所有磋商报价均</w:t>
      </w:r>
      <w:r>
        <w:rPr>
          <w:rStyle w:val="29"/>
          <w:rFonts w:ascii="宋体" w:hAnsi="宋体"/>
          <w:color w:val="000000"/>
          <w:szCs w:val="21"/>
        </w:rPr>
        <w:t>以人民币</w:t>
      </w:r>
      <w:r>
        <w:rPr>
          <w:rStyle w:val="29"/>
          <w:rFonts w:hint="eastAsia" w:ascii="宋体" w:hAnsi="宋体"/>
          <w:color w:val="000000"/>
          <w:szCs w:val="21"/>
        </w:rPr>
        <w:t>报价</w:t>
      </w:r>
      <w:r>
        <w:rPr>
          <w:rStyle w:val="29"/>
          <w:rFonts w:ascii="宋体" w:hAnsi="宋体"/>
          <w:color w:val="000000"/>
          <w:szCs w:val="21"/>
        </w:rPr>
        <w:t>。</w:t>
      </w:r>
      <w:r>
        <w:rPr>
          <w:rStyle w:val="29"/>
          <w:rFonts w:hint="eastAsia" w:ascii="宋体" w:hAnsi="宋体"/>
          <w:color w:val="000000"/>
          <w:szCs w:val="21"/>
        </w:rPr>
        <w:t>供应商的磋商报价应遵守《中华人民共和国价格法》。</w:t>
      </w:r>
    </w:p>
    <w:p w14:paraId="77F25030">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9.2供应商的报价应包括为完成本项目所发生的一切费用和税费（含增值税），采购人将不再支付报价以外的任何费用。供应商估算错误或漏项的风险一律由供应商自行承担。</w:t>
      </w:r>
    </w:p>
    <w:p w14:paraId="1C81F26C">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9.3磋商报价总价中不得包含磋商文件要求以外的内容，否则，在评审时不予核减。磋商报价总价中也不得缺漏磋商文件所要求的内容，否则，将以所有有效报价中该项内容的最高价计入其磋商报价总价，实质性的缺漏可能导致其响应文件被拒绝。</w:t>
      </w:r>
    </w:p>
    <w:p w14:paraId="3EE3E950">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9.4供应商所报的各分项单价在合同履行过程中是固定不变的，在合同履行中不得以任何理由予以变更。</w:t>
      </w:r>
    </w:p>
    <w:p w14:paraId="2D2C32FF">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9.5每种产品/服务只能有一个报价，否则其响应文件将被拒绝。</w:t>
      </w:r>
    </w:p>
    <w:p w14:paraId="26D7ABFE">
      <w:pPr>
        <w:autoSpaceDE w:val="0"/>
        <w:autoSpaceDN w:val="0"/>
        <w:adjustRightInd w:val="0"/>
        <w:spacing w:line="360" w:lineRule="auto"/>
        <w:ind w:firstLine="420" w:firstLineChars="200"/>
        <w:jc w:val="left"/>
        <w:rPr>
          <w:rFonts w:ascii="宋体" w:hAnsi="宋体" w:cs="宋体"/>
          <w:kern w:val="0"/>
          <w:sz w:val="24"/>
        </w:rPr>
      </w:pPr>
      <w:r>
        <w:rPr>
          <w:rStyle w:val="29"/>
          <w:rFonts w:hint="eastAsia" w:ascii="宋体" w:hAnsi="宋体"/>
          <w:color w:val="000000"/>
          <w:szCs w:val="21"/>
        </w:rPr>
        <w:t>9</w:t>
      </w:r>
      <w:r>
        <w:rPr>
          <w:rStyle w:val="29"/>
          <w:rFonts w:ascii="宋体" w:hAnsi="宋体"/>
          <w:color w:val="000000"/>
          <w:szCs w:val="21"/>
        </w:rPr>
        <w:t>.</w:t>
      </w:r>
      <w:r>
        <w:rPr>
          <w:rStyle w:val="29"/>
          <w:rFonts w:hint="eastAsia" w:ascii="宋体" w:hAnsi="宋体"/>
          <w:color w:val="000000"/>
          <w:szCs w:val="21"/>
        </w:rPr>
        <w:t>6</w:t>
      </w:r>
      <w:r>
        <w:rPr>
          <w:rStyle w:val="29"/>
          <w:rFonts w:ascii="宋体" w:hAnsi="宋体"/>
          <w:color w:val="000000"/>
          <w:szCs w:val="21"/>
        </w:rPr>
        <w:t>本次采购为竞争性磋商采购，允许二次报价。</w:t>
      </w:r>
    </w:p>
    <w:p w14:paraId="247E674C">
      <w:pPr>
        <w:widowControl/>
        <w:spacing w:line="360" w:lineRule="auto"/>
        <w:rPr>
          <w:rFonts w:ascii="宋体" w:hAnsi="宋体" w:cs="宋体"/>
          <w:b/>
          <w:kern w:val="0"/>
          <w:sz w:val="24"/>
          <w:lang w:bidi="ar"/>
        </w:rPr>
      </w:pPr>
      <w:r>
        <w:rPr>
          <w:rFonts w:hint="eastAsia" w:ascii="宋体" w:hAnsi="宋体" w:cs="宋体"/>
          <w:b/>
          <w:kern w:val="0"/>
          <w:sz w:val="24"/>
          <w:lang w:bidi="ar"/>
        </w:rPr>
        <w:t>10、供应商资格的审查</w:t>
      </w:r>
    </w:p>
    <w:p w14:paraId="6D4F03B5">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10.1供应商符合《中华人民共和国政府采购法》第二十二条规定条件：</w:t>
      </w:r>
    </w:p>
    <w:p w14:paraId="731C6C7F">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10.2落实政府采购政策满足的资格要求：本项目非专门面向中小微企业采购项目，执行促进中小型企业发展政策（残疾人福利性企业、监狱企业视同小微企业）、优先采购节能环保产品等政府采购政策。</w:t>
      </w:r>
    </w:p>
    <w:p w14:paraId="45A2B6B1">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10.3本项目的特定资格要求</w:t>
      </w:r>
    </w:p>
    <w:p w14:paraId="51B6A9D7">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10.3.1供应商具有独立承担民事责任的能力；(供应商是企业（包括合伙企业），应提供在市场监督管理局注册的有效“企业法人营业执照”；供应商是事业单位，应提供有效的“事业单位法人证书”)；</w:t>
      </w:r>
    </w:p>
    <w:p w14:paraId="70D730FE">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10.3.2供应商须具有行政主管部门颁发的城乡规划甲级资质；</w:t>
      </w:r>
    </w:p>
    <w:p w14:paraId="6267564E">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10.3.3项目负责人须具有国家注册城乡规划师证书及高级工程师职称（提供本单位为其缴纳的社保证明）；</w:t>
      </w:r>
    </w:p>
    <w:p w14:paraId="6D0395A5">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10.3.4供应商出具无行贿犯罪记录在中国裁判文书网自行查询或自行承诺（查询对象：企业、法定代表人）；</w:t>
      </w:r>
    </w:p>
    <w:p w14:paraId="6EC93217">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10.3.5供应商须提供本企业无商业贿赂和不正当竞争行为承诺书；</w:t>
      </w:r>
    </w:p>
    <w:p w14:paraId="5B2E003B">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10.3.6供应商没有被列入“中国执行信息公开网”的“失信被执行人”、“信用中国”的“重大税收违法失信主体”及“中国政府采购网站”的“政府采购严重违法失信行为记录名单”。【查询渠道：“中国执行信息公开网”（http://zxgk.court.gov.cn/）“信用中国”网站（www.creditchina.gov.cn）、“中国政府采购网”（www.ccgp.gov.cn）】(注：査询时间必须是本公告发布之后开标之前，查询结果清晰可见)；</w:t>
      </w:r>
    </w:p>
    <w:p w14:paraId="689FCBE7">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10.3.7本项目接受联合体投标，联合体投标除满足上述要求外,同时须具备以下条件：</w:t>
      </w:r>
    </w:p>
    <w:p w14:paraId="5A064E5B">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10.3.7.1 联合体投标时，由联合体牵头人网上下载文件即可，除联合体协议书由各方签字盖章外（在投标文件中附加盖各自公章的原件扫描件），投标文件其余电子签名、电子签章等均由牵头人签署、办理。</w:t>
      </w:r>
    </w:p>
    <w:p w14:paraId="6809A492">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10.3.7.2 联合体各方签订共同投标协议后，不得再以自己名义单独投标，也不得组成新的联合体或参加其他联合体在同一项目中投标；</w:t>
      </w:r>
    </w:p>
    <w:p w14:paraId="1A79D294">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10.3.7.3 联合体所有成员数量不得超过2个；投标文件中应附联合体协议书，明确联合体牵头人和各方权利义务及各方拟承担的工作和责任，并承诺一旦中标，联合体各方将向招标人承担连带责任。</w:t>
      </w:r>
    </w:p>
    <w:p w14:paraId="388F7529">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10.3.7.4 联合体所有成员均需满足第1条、第3.1-3.6条相应的资格条件；</w:t>
      </w:r>
    </w:p>
    <w:p w14:paraId="6573570C">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10.3.8本项目实行资格后审，资格审查的具体要求见竞争性磋商文件；</w:t>
      </w:r>
    </w:p>
    <w:p w14:paraId="22C07B10">
      <w:pPr>
        <w:widowControl/>
        <w:spacing w:line="360" w:lineRule="auto"/>
        <w:rPr>
          <w:rFonts w:ascii="宋体" w:hAnsi="宋体" w:cs="宋体"/>
          <w:b/>
          <w:kern w:val="0"/>
          <w:sz w:val="24"/>
        </w:rPr>
      </w:pPr>
      <w:r>
        <w:rPr>
          <w:rFonts w:hint="eastAsia" w:ascii="宋体" w:hAnsi="宋体" w:cs="宋体"/>
          <w:b/>
          <w:kern w:val="0"/>
          <w:sz w:val="24"/>
          <w:lang w:bidi="ar"/>
        </w:rPr>
        <w:t>11、磋商保证金</w:t>
      </w:r>
    </w:p>
    <w:p w14:paraId="25F851DA">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按照《河南省财政厅关于优化政府采购营商环境有关问题的通知》（豫财购[2019]4号文）的要求本项目不再收取磋商保证金。</w:t>
      </w:r>
    </w:p>
    <w:p w14:paraId="1B205F1B">
      <w:pPr>
        <w:widowControl/>
        <w:spacing w:line="360" w:lineRule="auto"/>
        <w:rPr>
          <w:rFonts w:ascii="宋体" w:hAnsi="宋体" w:cs="宋体"/>
          <w:b/>
          <w:bCs/>
          <w:kern w:val="0"/>
          <w:sz w:val="24"/>
        </w:rPr>
      </w:pPr>
      <w:r>
        <w:rPr>
          <w:rFonts w:hint="eastAsia" w:ascii="宋体" w:hAnsi="宋体" w:cs="宋体"/>
          <w:b/>
          <w:kern w:val="0"/>
          <w:sz w:val="24"/>
          <w:lang w:bidi="ar"/>
        </w:rPr>
        <w:t>12、响应文件</w:t>
      </w:r>
      <w:r>
        <w:rPr>
          <w:rFonts w:hint="eastAsia" w:ascii="宋体" w:hAnsi="宋体" w:cs="宋体"/>
          <w:b/>
          <w:bCs/>
          <w:kern w:val="0"/>
          <w:sz w:val="24"/>
          <w:lang w:bidi="ar"/>
        </w:rPr>
        <w:t>有效期</w:t>
      </w:r>
    </w:p>
    <w:p w14:paraId="6D7CA166">
      <w:pPr>
        <w:widowControl/>
        <w:spacing w:line="360" w:lineRule="auto"/>
        <w:ind w:firstLine="480"/>
        <w:rPr>
          <w:rStyle w:val="29"/>
          <w:rFonts w:ascii="宋体" w:hAnsi="宋体"/>
          <w:color w:val="000000"/>
          <w:szCs w:val="21"/>
        </w:rPr>
      </w:pPr>
      <w:r>
        <w:rPr>
          <w:rStyle w:val="29"/>
          <w:rFonts w:hint="eastAsia" w:ascii="宋体" w:hAnsi="宋体"/>
          <w:color w:val="000000"/>
          <w:szCs w:val="21"/>
        </w:rPr>
        <w:t>12.1响应文件有效期为</w:t>
      </w:r>
      <w:r>
        <w:rPr>
          <w:rFonts w:hint="eastAsia" w:ascii="宋体" w:hAnsi="宋体" w:cs="宋体"/>
          <w:color w:val="000000"/>
          <w:szCs w:val="21"/>
        </w:rPr>
        <w:t>磋商截止时间起60日历天</w:t>
      </w:r>
      <w:r>
        <w:rPr>
          <w:rStyle w:val="29"/>
          <w:rFonts w:hint="eastAsia" w:ascii="宋体" w:hAnsi="宋体"/>
          <w:color w:val="000000"/>
          <w:szCs w:val="21"/>
        </w:rPr>
        <w:t>。</w:t>
      </w:r>
    </w:p>
    <w:p w14:paraId="36FAEA67">
      <w:pPr>
        <w:widowControl/>
        <w:spacing w:line="360" w:lineRule="auto"/>
        <w:ind w:firstLine="480"/>
        <w:rPr>
          <w:rStyle w:val="29"/>
          <w:rFonts w:ascii="宋体" w:hAnsi="宋体"/>
          <w:color w:val="000000"/>
          <w:szCs w:val="21"/>
        </w:rPr>
      </w:pPr>
      <w:r>
        <w:rPr>
          <w:rStyle w:val="29"/>
          <w:rFonts w:hint="eastAsia" w:ascii="宋体" w:hAnsi="宋体"/>
          <w:color w:val="000000"/>
          <w:szCs w:val="21"/>
        </w:rPr>
        <w:t>12．2特殊情况下，采购人可于响应文件有效期满之前要求供应商同意延长有效期，要求与答复均为网上答疑形式。供应商可以拒绝上述要求，对于同意该要求的供应商，不允许其修改响应文件。</w:t>
      </w:r>
    </w:p>
    <w:p w14:paraId="04E30CB0">
      <w:pPr>
        <w:widowControl/>
        <w:spacing w:line="360" w:lineRule="auto"/>
        <w:rPr>
          <w:rFonts w:ascii="宋体" w:hAnsi="宋体" w:cs="宋体"/>
          <w:b/>
          <w:kern w:val="0"/>
          <w:sz w:val="24"/>
        </w:rPr>
      </w:pPr>
      <w:r>
        <w:rPr>
          <w:rFonts w:hint="eastAsia" w:ascii="宋体" w:hAnsi="宋体" w:cs="宋体"/>
          <w:b/>
          <w:kern w:val="0"/>
          <w:sz w:val="24"/>
          <w:lang w:bidi="ar"/>
        </w:rPr>
        <w:t>13、磋商程序</w:t>
      </w:r>
    </w:p>
    <w:p w14:paraId="3D6E853D">
      <w:pPr>
        <w:spacing w:line="460" w:lineRule="exact"/>
        <w:ind w:firstLine="420" w:firstLineChars="200"/>
        <w:rPr>
          <w:rStyle w:val="29"/>
          <w:rFonts w:ascii="宋体" w:hAnsi="宋体"/>
          <w:color w:val="000000"/>
          <w:szCs w:val="21"/>
        </w:rPr>
      </w:pPr>
      <w:r>
        <w:rPr>
          <w:rStyle w:val="29"/>
          <w:rFonts w:hint="eastAsia" w:ascii="宋体" w:hAnsi="宋体"/>
          <w:color w:val="000000"/>
          <w:szCs w:val="21"/>
        </w:rPr>
        <w:t>（1）宣布会议纪律；</w:t>
      </w:r>
    </w:p>
    <w:p w14:paraId="32CDD6B2">
      <w:pPr>
        <w:spacing w:line="460" w:lineRule="exact"/>
        <w:ind w:firstLine="420" w:firstLineChars="200"/>
        <w:rPr>
          <w:rStyle w:val="29"/>
          <w:rFonts w:ascii="宋体" w:hAnsi="宋体"/>
          <w:color w:val="000000"/>
          <w:szCs w:val="21"/>
        </w:rPr>
      </w:pPr>
      <w:r>
        <w:rPr>
          <w:rStyle w:val="29"/>
          <w:rFonts w:hint="eastAsia" w:ascii="宋体" w:hAnsi="宋体"/>
          <w:color w:val="000000"/>
          <w:szCs w:val="21"/>
        </w:rPr>
        <w:t>（2）公布在递交响应文件截止时间前递交响应文件的供应商数量、名称；</w:t>
      </w:r>
    </w:p>
    <w:p w14:paraId="402AA0F2">
      <w:pPr>
        <w:spacing w:line="460" w:lineRule="exact"/>
        <w:ind w:firstLine="420" w:firstLineChars="200"/>
        <w:rPr>
          <w:rStyle w:val="29"/>
          <w:rFonts w:ascii="宋体" w:hAnsi="宋体"/>
          <w:color w:val="000000"/>
          <w:szCs w:val="21"/>
        </w:rPr>
      </w:pPr>
      <w:r>
        <w:rPr>
          <w:rStyle w:val="29"/>
          <w:rFonts w:hint="eastAsia" w:ascii="宋体" w:hAnsi="宋体"/>
          <w:color w:val="000000"/>
          <w:szCs w:val="21"/>
        </w:rPr>
        <w:t>（3）宣布有关与会人员；</w:t>
      </w:r>
    </w:p>
    <w:p w14:paraId="15B6B479">
      <w:pPr>
        <w:spacing w:line="460" w:lineRule="exact"/>
        <w:ind w:firstLine="420" w:firstLineChars="200"/>
        <w:rPr>
          <w:rStyle w:val="29"/>
          <w:rFonts w:ascii="宋体" w:hAnsi="宋体"/>
          <w:color w:val="000000"/>
          <w:szCs w:val="21"/>
        </w:rPr>
      </w:pPr>
      <w:r>
        <w:rPr>
          <w:rStyle w:val="29"/>
          <w:rFonts w:hint="eastAsia" w:ascii="宋体" w:hAnsi="宋体"/>
          <w:color w:val="000000"/>
          <w:szCs w:val="21"/>
        </w:rPr>
        <w:t>（</w:t>
      </w:r>
      <w:r>
        <w:rPr>
          <w:rStyle w:val="29"/>
          <w:rFonts w:ascii="宋体" w:hAnsi="宋体"/>
          <w:color w:val="000000"/>
          <w:szCs w:val="21"/>
        </w:rPr>
        <w:t>4</w:t>
      </w:r>
      <w:r>
        <w:rPr>
          <w:rStyle w:val="29"/>
          <w:rFonts w:hint="eastAsia" w:ascii="宋体" w:hAnsi="宋体"/>
          <w:color w:val="000000"/>
          <w:szCs w:val="21"/>
        </w:rPr>
        <w:t xml:space="preserve">）通过电子招标投标交易平台对已递交的电子响应文件进行解密，程序详见供应商须知前附表“电子化交易注意事项”； </w:t>
      </w:r>
    </w:p>
    <w:p w14:paraId="33D5996A">
      <w:pPr>
        <w:spacing w:line="460" w:lineRule="exact"/>
        <w:ind w:firstLine="420" w:firstLineChars="200"/>
        <w:rPr>
          <w:rStyle w:val="29"/>
          <w:rFonts w:ascii="宋体" w:hAnsi="宋体"/>
          <w:color w:val="000000"/>
          <w:szCs w:val="21"/>
        </w:rPr>
      </w:pPr>
      <w:r>
        <w:rPr>
          <w:rStyle w:val="29"/>
          <w:rFonts w:hint="eastAsia" w:ascii="宋体" w:hAnsi="宋体"/>
          <w:color w:val="000000"/>
          <w:szCs w:val="21"/>
        </w:rPr>
        <w:t>（5）通过响应文件初步评审的供应商在网上进行二次报价；</w:t>
      </w:r>
    </w:p>
    <w:p w14:paraId="2DEB594F">
      <w:pPr>
        <w:spacing w:line="460" w:lineRule="exact"/>
        <w:ind w:firstLine="420" w:firstLineChars="200"/>
        <w:rPr>
          <w:rStyle w:val="29"/>
          <w:rFonts w:ascii="宋体" w:hAnsi="宋体"/>
          <w:color w:val="000000"/>
          <w:szCs w:val="21"/>
        </w:rPr>
      </w:pPr>
      <w:r>
        <w:rPr>
          <w:rStyle w:val="29"/>
          <w:rFonts w:hint="eastAsia" w:ascii="宋体" w:hAnsi="宋体"/>
          <w:color w:val="000000"/>
          <w:szCs w:val="21"/>
        </w:rPr>
        <w:t>（6）招标代理机构将对磋商过程进行记录以存档备查。</w:t>
      </w:r>
    </w:p>
    <w:p w14:paraId="3E6BF745">
      <w:pPr>
        <w:spacing w:line="480" w:lineRule="auto"/>
        <w:rPr>
          <w:rFonts w:ascii="宋体" w:hAnsi="宋体" w:cs="宋体"/>
          <w:b/>
          <w:kern w:val="0"/>
          <w:sz w:val="24"/>
          <w:lang w:bidi="ar"/>
        </w:rPr>
      </w:pPr>
      <w:r>
        <w:rPr>
          <w:rFonts w:hint="eastAsia" w:ascii="宋体" w:hAnsi="宋体" w:cs="宋体"/>
          <w:b/>
          <w:sz w:val="24"/>
          <w:lang w:bidi="ar"/>
        </w:rPr>
        <w:t>14.5电子化磋商响应文件的有效性</w:t>
      </w:r>
      <w:r>
        <w:rPr>
          <w:rFonts w:hint="eastAsia" w:ascii="宋体" w:hAnsi="宋体" w:cs="宋体"/>
          <w:b/>
          <w:kern w:val="0"/>
          <w:sz w:val="24"/>
          <w:lang w:bidi="ar"/>
        </w:rPr>
        <w:t xml:space="preserve"> </w:t>
      </w:r>
    </w:p>
    <w:p w14:paraId="7236ADD1">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14.5.1.</w:t>
      </w:r>
      <w:r>
        <w:rPr>
          <w:rStyle w:val="29"/>
          <w:rFonts w:ascii="宋体" w:hAnsi="宋体"/>
          <w:color w:val="000000"/>
          <w:szCs w:val="21"/>
        </w:rPr>
        <w:t>电子化磋商响应文件有下列情形的为无效电子化磋商响应文件，采购人不予受理：因磋商</w:t>
      </w:r>
      <w:r>
        <w:rPr>
          <w:rStyle w:val="29"/>
          <w:rFonts w:hint="eastAsia" w:ascii="宋体" w:hAnsi="宋体"/>
          <w:color w:val="000000"/>
          <w:szCs w:val="21"/>
        </w:rPr>
        <w:t>供应商</w:t>
      </w:r>
      <w:r>
        <w:rPr>
          <w:rStyle w:val="29"/>
          <w:rFonts w:ascii="宋体" w:hAnsi="宋体"/>
          <w:color w:val="000000"/>
          <w:szCs w:val="21"/>
        </w:rPr>
        <w:t>原因造成磋商响应文件未解密的，视为撤销其磋商响应文件；因磋商</w:t>
      </w:r>
      <w:r>
        <w:rPr>
          <w:rStyle w:val="29"/>
          <w:rFonts w:hint="eastAsia" w:ascii="宋体" w:hAnsi="宋体"/>
          <w:color w:val="000000"/>
          <w:szCs w:val="21"/>
        </w:rPr>
        <w:t>供应商</w:t>
      </w:r>
      <w:r>
        <w:rPr>
          <w:rStyle w:val="29"/>
          <w:rFonts w:ascii="宋体" w:hAnsi="宋体"/>
          <w:color w:val="000000"/>
          <w:szCs w:val="21"/>
        </w:rPr>
        <w:t>之外的原因造成电子化磋商响应文件未解密的，视为撤回其磋商响应文件，磋商</w:t>
      </w:r>
      <w:r>
        <w:rPr>
          <w:rStyle w:val="29"/>
          <w:rFonts w:hint="eastAsia" w:ascii="宋体" w:hAnsi="宋体"/>
          <w:color w:val="000000"/>
          <w:szCs w:val="21"/>
        </w:rPr>
        <w:t>供应商</w:t>
      </w:r>
      <w:r>
        <w:rPr>
          <w:rStyle w:val="29"/>
          <w:rFonts w:ascii="宋体" w:hAnsi="宋体"/>
          <w:color w:val="000000"/>
          <w:szCs w:val="21"/>
        </w:rPr>
        <w:t>有权要求责任方赔偿因此遭受的直接损失。部分电子化磋商响应文件未解密的，其他电子化磋商响应文件的磋商可以继续进行。</w:t>
      </w:r>
    </w:p>
    <w:p w14:paraId="297CB272">
      <w:pPr>
        <w:autoSpaceDE w:val="0"/>
        <w:autoSpaceDN w:val="0"/>
        <w:adjustRightInd w:val="0"/>
        <w:spacing w:line="360" w:lineRule="auto"/>
        <w:ind w:firstLine="420" w:firstLineChars="200"/>
        <w:jc w:val="left"/>
        <w:rPr>
          <w:rFonts w:ascii="宋体" w:hAnsi="宋体" w:cs="宋体"/>
          <w:sz w:val="24"/>
          <w:lang w:bidi="ar"/>
        </w:rPr>
      </w:pPr>
      <w:r>
        <w:rPr>
          <w:rStyle w:val="29"/>
          <w:rFonts w:hint="eastAsia" w:ascii="宋体" w:hAnsi="宋体"/>
          <w:color w:val="000000"/>
          <w:szCs w:val="21"/>
        </w:rPr>
        <w:t>14.5.2各供应商的首次报价不进行公开唱价，首次报价不作为最终决定性评审因素，仅供磋商小组参考。</w:t>
      </w:r>
    </w:p>
    <w:p w14:paraId="0E877C00">
      <w:pPr>
        <w:widowControl/>
        <w:spacing w:line="360" w:lineRule="auto"/>
        <w:rPr>
          <w:rFonts w:ascii="宋体" w:hAnsi="宋体" w:cs="宋体"/>
          <w:b/>
          <w:kern w:val="0"/>
          <w:sz w:val="24"/>
        </w:rPr>
      </w:pPr>
      <w:r>
        <w:rPr>
          <w:rFonts w:hint="eastAsia" w:ascii="宋体" w:hAnsi="宋体" w:cs="宋体"/>
          <w:b/>
          <w:kern w:val="0"/>
          <w:sz w:val="24"/>
          <w:lang w:bidi="ar"/>
        </w:rPr>
        <w:t>15、磋商小组</w:t>
      </w:r>
    </w:p>
    <w:p w14:paraId="07C38054">
      <w:pPr>
        <w:spacing w:line="360" w:lineRule="auto"/>
        <w:ind w:firstLine="210" w:firstLineChars="100"/>
        <w:rPr>
          <w:rStyle w:val="29"/>
          <w:rFonts w:ascii="宋体" w:hAnsi="宋体"/>
          <w:color w:val="000000"/>
          <w:szCs w:val="21"/>
        </w:rPr>
      </w:pPr>
      <w:r>
        <w:rPr>
          <w:rStyle w:val="29"/>
          <w:rFonts w:hint="eastAsia" w:ascii="宋体" w:hAnsi="宋体"/>
          <w:color w:val="000000"/>
          <w:szCs w:val="21"/>
        </w:rPr>
        <w:t>15</w:t>
      </w:r>
      <w:r>
        <w:rPr>
          <w:rStyle w:val="29"/>
          <w:rFonts w:ascii="宋体" w:hAnsi="宋体"/>
          <w:color w:val="000000"/>
          <w:szCs w:val="21"/>
        </w:rPr>
        <w:t>.1</w:t>
      </w:r>
      <w:r>
        <w:rPr>
          <w:rFonts w:hint="eastAsia" w:ascii="宋体" w:hAnsi="宋体" w:cs="宋体"/>
          <w:color w:val="000000"/>
          <w:szCs w:val="21"/>
        </w:rPr>
        <w:t>磋商小组构成：3人；采购人代表1人，评审专家2人；</w:t>
      </w:r>
      <w:r>
        <w:rPr>
          <w:rFonts w:hint="eastAsia" w:ascii="宋体" w:hAnsi="宋体" w:cs="宋体"/>
          <w:bCs/>
          <w:color w:val="000000"/>
          <w:szCs w:val="21"/>
        </w:rPr>
        <w:t>评标专家确定方式：从河南省政府采购评审专家库中随机抽取。（采购人代表无评标劳务费用）</w:t>
      </w:r>
    </w:p>
    <w:p w14:paraId="2DD5C28E">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15.2磋商纪律</w:t>
      </w:r>
    </w:p>
    <w:p w14:paraId="21B2AC7D">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（1）磋商小组成员内部讨论的情况和意见必须保密，任何人不得以任何形式透露给供应商或与供应商有关的单位或个人；</w:t>
      </w:r>
    </w:p>
    <w:p w14:paraId="318D3283">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（2）在磋商过程中，供应商不得以任何形式对磋商小组成员进行旨在影响磋商结果的私下接触，否则取消其磋商资格；</w:t>
      </w:r>
    </w:p>
    <w:p w14:paraId="6C513D48">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 xml:space="preserve">（3）磋商小组采用以及与磋商有关的人员应当对评审情况和评审过程中获悉的国家秘密、商业秘密予以保密。 </w:t>
      </w:r>
    </w:p>
    <w:p w14:paraId="6CF27F9B">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 xml:space="preserve">（4）供应商不得泄漏竞争性磋商活动中应当保密的情况和资料，不得与其他供应商串通损害国家利益、社会公共利益或者他人合法权益。 </w:t>
      </w:r>
    </w:p>
    <w:p w14:paraId="7D1D0D6D">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 xml:space="preserve">（5）供应商不得相互串通响应或者与串通响应，不得向或者磋商小组行贿谋取成交，不得以他人名义响应或者以其他方式弄虚作假骗取成交；供应商不得以任何方式干扰、影响评审工作。 </w:t>
      </w:r>
    </w:p>
    <w:p w14:paraId="30CB8A42">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 xml:space="preserve">（6）磋商小组成员不得收受他人的财物或者其他好处，不得向他人透漏对响应文件的评审和比较、成交候选人的推荐情况以及评审有关的其他情况。在评审活动中，磋商小组应当客观、公正地履行职责，遵守职业道德，不得擅离职守，影响评审程序正常进行，不得使用评审办法中没有规定的评审因素和标准进行评审。 </w:t>
      </w:r>
    </w:p>
    <w:p w14:paraId="6FD25A0A">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 xml:space="preserve">（7）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 </w:t>
      </w:r>
    </w:p>
    <w:p w14:paraId="663B53D4">
      <w:pPr>
        <w:autoSpaceDE w:val="0"/>
        <w:autoSpaceDN w:val="0"/>
        <w:adjustRightInd w:val="0"/>
        <w:spacing w:line="360" w:lineRule="auto"/>
        <w:ind w:firstLine="482" w:firstLineChars="200"/>
        <w:jc w:val="left"/>
        <w:rPr>
          <w:rFonts w:ascii="宋体" w:hAnsi="宋体" w:cs="宋体"/>
          <w:b/>
          <w:bCs/>
          <w:kern w:val="0"/>
          <w:sz w:val="24"/>
        </w:rPr>
      </w:pPr>
      <w:r>
        <w:rPr>
          <w:rFonts w:hint="eastAsia" w:ascii="宋体" w:hAnsi="宋体" w:cs="宋体"/>
          <w:b/>
          <w:bCs/>
          <w:kern w:val="0"/>
          <w:sz w:val="24"/>
        </w:rPr>
        <w:t>16、评审</w:t>
      </w:r>
    </w:p>
    <w:p w14:paraId="7B25CAC2">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16.1响应文件的审查</w:t>
      </w:r>
    </w:p>
    <w:p w14:paraId="6773FC84">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16.1.1磋商小组审查响应文件是否完整，是否有计算错误，文件是否已恰当地签署。</w:t>
      </w:r>
    </w:p>
    <w:p w14:paraId="44066AFE">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16.1.2在对响应文件进行详细评审之前，磋商小组依据磋商文件的规定，对供应商的资格及响应性文件的有效性、完整性和对磋商文件的响应程度进行审查，以确定是否对磋商文件的要求做出实质性响应。未通过资格审查的供应商，不得进入详细评审。资格性审查内容详见附表初步评审表 。</w:t>
      </w:r>
    </w:p>
    <w:p w14:paraId="767F4C44">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16.1.3竞争性磋商小组将确定响应文件是否对竞争性磋商文件的要求作出了实质性的响应，而没有重大偏离。实质性响应是指磋商符合竞争性磋商文件的所有条款、条件和规定且没有重大偏离和保留。重大偏离和保留是指影响到竞争性磋商文件规定的范围、质量和性能，或限制了采购人的权利和供应商的义务的规定，而纠正这些偏离将影响到其它供应商的公平竞争地位。</w:t>
      </w:r>
    </w:p>
    <w:p w14:paraId="44D9B0E4">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16.1.4竞争性磋商小组判断响应文件的响应性仅基于响应文件本身内容而不靠外部证据。</w:t>
      </w:r>
    </w:p>
    <w:p w14:paraId="086356AD">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16.1.5竞争性磋商小组将拒绝被确定为非实质性响应的磋商，供应商不能通过修正或撤消不符之处而使其磋商成为实质性响应的磋商。</w:t>
      </w:r>
    </w:p>
    <w:p w14:paraId="179DECD2">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16.1.6竞争性磋商小组允许修改磋商中不构成重大偏离的、微小的、非正规、不一致或不规则的地方。</w:t>
      </w:r>
    </w:p>
    <w:p w14:paraId="6CDA8C5A">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16.2未响应竞争性磋商文件规定</w:t>
      </w:r>
    </w:p>
    <w:p w14:paraId="299FB1E9">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16.2.1报价超出采购人预算价的；</w:t>
      </w:r>
    </w:p>
    <w:p w14:paraId="646771F8">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16.2.2未响应竞争性磋商文件中磋商文件格式盖章的；</w:t>
      </w:r>
    </w:p>
    <w:p w14:paraId="230DCF20">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16.2.3未响应竞争性磋商文件服务期限、磋商有效期；</w:t>
      </w:r>
    </w:p>
    <w:p w14:paraId="6C90AEC3">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16.2.4未响应竞争性磋商文件服务需求和技术要求。</w:t>
      </w:r>
    </w:p>
    <w:p w14:paraId="51BF4045">
      <w:pPr>
        <w:autoSpaceDE w:val="0"/>
        <w:autoSpaceDN w:val="0"/>
        <w:adjustRightInd w:val="0"/>
        <w:spacing w:line="360" w:lineRule="auto"/>
        <w:ind w:firstLine="420" w:firstLineChars="200"/>
        <w:jc w:val="left"/>
        <w:rPr>
          <w:rStyle w:val="29"/>
          <w:rFonts w:ascii="宋体" w:hAnsi="宋体"/>
          <w:color w:val="000000"/>
          <w:szCs w:val="21"/>
        </w:rPr>
      </w:pPr>
      <w:r>
        <w:rPr>
          <w:rStyle w:val="29"/>
          <w:rFonts w:hint="eastAsia" w:ascii="宋体" w:hAnsi="宋体"/>
          <w:color w:val="000000"/>
          <w:szCs w:val="21"/>
        </w:rPr>
        <w:t>16.3在磋商过程中，磋商小组可以根据磋商文件和磋商情况实质性变动招标需求中的技术、服务要求以及合同草案条款，但不得变动磋商文件中的其他内容。实质性变动的内容，须经采购人代表确认。</w:t>
      </w:r>
    </w:p>
    <w:p w14:paraId="354F0A72">
      <w:pPr>
        <w:widowControl/>
        <w:spacing w:line="360" w:lineRule="auto"/>
        <w:ind w:firstLine="480"/>
        <w:rPr>
          <w:rFonts w:ascii="宋体" w:hAnsi="宋体" w:cs="宋体"/>
          <w:b/>
          <w:bCs/>
          <w:kern w:val="0"/>
          <w:szCs w:val="21"/>
          <w:lang w:bidi="ar"/>
        </w:rPr>
      </w:pPr>
      <w:r>
        <w:rPr>
          <w:rFonts w:hint="eastAsia" w:ascii="宋体" w:hAnsi="宋体" w:cs="宋体"/>
          <w:kern w:val="0"/>
          <w:szCs w:val="21"/>
          <w:lang w:bidi="ar"/>
        </w:rPr>
        <w:t>16.4各供应商进行报价：</w:t>
      </w:r>
      <w:r>
        <w:rPr>
          <w:rFonts w:hint="eastAsia" w:ascii="宋体" w:hAnsi="宋体" w:cs="宋体"/>
          <w:b/>
          <w:bCs/>
          <w:kern w:val="0"/>
          <w:szCs w:val="21"/>
          <w:lang w:bidi="ar"/>
        </w:rPr>
        <w:t>（本项目进行二次报价，二次报价不能高于上次报价，高于上次报价视为无效标）</w:t>
      </w:r>
    </w:p>
    <w:p w14:paraId="0DE8B779">
      <w:pPr>
        <w:widowControl/>
        <w:spacing w:line="360" w:lineRule="auto"/>
        <w:ind w:firstLine="480"/>
        <w:rPr>
          <w:rFonts w:ascii="宋体" w:hAnsi="宋体" w:cs="宋体"/>
          <w:kern w:val="0"/>
          <w:szCs w:val="21"/>
          <w:lang w:bidi="ar"/>
        </w:rPr>
      </w:pPr>
      <w:r>
        <w:rPr>
          <w:rFonts w:hint="eastAsia" w:ascii="宋体" w:hAnsi="宋体" w:cs="宋体"/>
          <w:kern w:val="0"/>
          <w:szCs w:val="21"/>
          <w:lang w:bidi="ar"/>
        </w:rPr>
        <w:t>16.5由磋商小组采用综合评分法对提交最后报价的供应商的响应文件和最后报价进行综合评分。</w:t>
      </w:r>
    </w:p>
    <w:p w14:paraId="6EC8EBD1">
      <w:pPr>
        <w:widowControl/>
        <w:spacing w:line="360" w:lineRule="auto"/>
        <w:ind w:firstLine="480"/>
        <w:rPr>
          <w:rFonts w:ascii="宋体" w:hAnsi="宋体" w:cs="宋体"/>
          <w:kern w:val="0"/>
          <w:szCs w:val="21"/>
          <w:lang w:bidi="ar"/>
        </w:rPr>
      </w:pPr>
      <w:r>
        <w:rPr>
          <w:rFonts w:hint="eastAsia" w:ascii="宋体" w:hAnsi="宋体" w:cs="宋体"/>
          <w:kern w:val="0"/>
          <w:szCs w:val="21"/>
          <w:lang w:bidi="ar"/>
        </w:rPr>
        <w:t>16.6出现下列情形之一的，将终止竞争性磋商釆购活动，发布项目终止公告并说明原因，重新开展采购活动：</w:t>
      </w:r>
    </w:p>
    <w:p w14:paraId="39D698D0">
      <w:pPr>
        <w:widowControl/>
        <w:spacing w:line="360" w:lineRule="auto"/>
        <w:ind w:firstLine="480"/>
        <w:rPr>
          <w:rFonts w:ascii="宋体" w:hAnsi="宋体" w:cs="宋体"/>
          <w:kern w:val="0"/>
          <w:szCs w:val="21"/>
          <w:lang w:bidi="ar"/>
        </w:rPr>
      </w:pPr>
      <w:r>
        <w:rPr>
          <w:rFonts w:hint="eastAsia" w:ascii="宋体" w:hAnsi="宋体" w:cs="宋体"/>
          <w:kern w:val="0"/>
          <w:szCs w:val="21"/>
          <w:lang w:bidi="ar"/>
        </w:rPr>
        <w:t>1、不符合法律、法规和竞争性磋商文件中规定的其他实质性要求的。</w:t>
      </w:r>
    </w:p>
    <w:p w14:paraId="45EC9C43">
      <w:pPr>
        <w:widowControl/>
        <w:spacing w:line="360" w:lineRule="auto"/>
        <w:ind w:firstLine="480"/>
        <w:rPr>
          <w:rFonts w:ascii="宋体" w:hAnsi="宋体" w:cs="宋体"/>
          <w:kern w:val="0"/>
          <w:szCs w:val="21"/>
          <w:lang w:bidi="ar"/>
        </w:rPr>
      </w:pPr>
      <w:r>
        <w:rPr>
          <w:rFonts w:hint="eastAsia" w:ascii="宋体" w:hAnsi="宋体" w:cs="宋体"/>
          <w:kern w:val="0"/>
          <w:szCs w:val="21"/>
          <w:lang w:bidi="ar"/>
        </w:rPr>
        <w:t>2、其他法律、法规及本竞争性磋商文件规定的属响应无效的情形。终止竞争性磋商釆购活动的条款。</w:t>
      </w:r>
    </w:p>
    <w:p w14:paraId="3894CE81">
      <w:pPr>
        <w:widowControl/>
        <w:spacing w:line="360" w:lineRule="auto"/>
        <w:ind w:firstLine="480"/>
        <w:rPr>
          <w:rFonts w:ascii="宋体" w:hAnsi="宋体" w:cs="宋体"/>
          <w:kern w:val="0"/>
          <w:szCs w:val="21"/>
          <w:lang w:bidi="ar"/>
        </w:rPr>
      </w:pPr>
      <w:r>
        <w:rPr>
          <w:rFonts w:hint="eastAsia" w:ascii="宋体" w:hAnsi="宋体" w:cs="宋体"/>
          <w:kern w:val="0"/>
          <w:szCs w:val="21"/>
          <w:lang w:bidi="ar"/>
        </w:rPr>
        <w:t>3、因情况变化，不再符合规定的竞争性磋商釆购方式适用情形的；出现影响釆购公正的违法、违规行为的。</w:t>
      </w:r>
    </w:p>
    <w:p w14:paraId="7DFC1DAA">
      <w:pPr>
        <w:widowControl/>
        <w:spacing w:line="360" w:lineRule="auto"/>
        <w:ind w:firstLine="480"/>
        <w:rPr>
          <w:rFonts w:ascii="宋体" w:hAnsi="宋体" w:cs="宋体"/>
          <w:kern w:val="0"/>
          <w:szCs w:val="21"/>
          <w:lang w:bidi="ar"/>
        </w:rPr>
      </w:pPr>
      <w:r>
        <w:rPr>
          <w:rFonts w:hint="eastAsia" w:ascii="宋体" w:hAnsi="宋体" w:cs="宋体"/>
          <w:kern w:val="0"/>
          <w:szCs w:val="21"/>
          <w:lang w:bidi="ar"/>
        </w:rPr>
        <w:t>4、磋商截止时间结束后参加供应商不足3家的，评审期间符合专业条件的供应商或者对磋商响应文件作出实质响应的供应商不足3家的,釆购代理机构将报请同级监督部门批准。</w:t>
      </w:r>
    </w:p>
    <w:p w14:paraId="0E404634">
      <w:pPr>
        <w:widowControl/>
        <w:spacing w:line="360" w:lineRule="auto"/>
        <w:rPr>
          <w:rFonts w:ascii="宋体" w:hAnsi="宋体" w:cs="宋体"/>
          <w:b/>
          <w:kern w:val="0"/>
          <w:sz w:val="24"/>
        </w:rPr>
      </w:pPr>
      <w:r>
        <w:rPr>
          <w:rFonts w:hint="eastAsia" w:ascii="宋体" w:hAnsi="宋体" w:cs="宋体"/>
          <w:b/>
          <w:kern w:val="0"/>
          <w:sz w:val="24"/>
          <w:lang w:bidi="ar"/>
        </w:rPr>
        <w:t>17、确定成交供应商原则</w:t>
      </w:r>
    </w:p>
    <w:p w14:paraId="1FB16151">
      <w:pPr>
        <w:widowControl/>
        <w:spacing w:line="360" w:lineRule="auto"/>
        <w:ind w:firstLine="480"/>
        <w:rPr>
          <w:rFonts w:ascii="宋体" w:hAnsi="宋体" w:cs="宋体"/>
          <w:kern w:val="0"/>
          <w:szCs w:val="21"/>
          <w:lang w:bidi="ar"/>
        </w:rPr>
      </w:pPr>
      <w:r>
        <w:rPr>
          <w:rFonts w:hint="eastAsia" w:ascii="宋体" w:hAnsi="宋体" w:cs="宋体"/>
          <w:kern w:val="0"/>
          <w:szCs w:val="21"/>
          <w:lang w:bidi="ar"/>
        </w:rPr>
        <w:t>17.1确定实质上响应磋商文件且满足条件者为成交候选人。采用综合评分法，按评审后得分由高到低顺序排列；得分相同的，按最终报价由低到高顺序排列；得分与最终报价均相同的，按技术指标优劣排列。</w:t>
      </w:r>
    </w:p>
    <w:p w14:paraId="39C62531">
      <w:pPr>
        <w:widowControl/>
        <w:spacing w:line="360" w:lineRule="auto"/>
        <w:ind w:firstLine="480"/>
        <w:rPr>
          <w:rFonts w:ascii="宋体" w:hAnsi="宋体" w:cs="宋体"/>
          <w:kern w:val="0"/>
          <w:sz w:val="24"/>
          <w:lang w:bidi="ar"/>
        </w:rPr>
      </w:pPr>
      <w:r>
        <w:rPr>
          <w:rFonts w:hint="eastAsia" w:ascii="宋体" w:hAnsi="宋体" w:cs="宋体"/>
          <w:kern w:val="0"/>
          <w:szCs w:val="21"/>
          <w:lang w:bidi="ar"/>
        </w:rPr>
        <w:t>17.2磋商小组将根据评审标准原则上推荐3名成交候选人并排序。并向采购人提供书面评审报告。</w:t>
      </w:r>
    </w:p>
    <w:p w14:paraId="4A573567">
      <w:pPr>
        <w:widowControl/>
        <w:spacing w:line="360" w:lineRule="auto"/>
        <w:rPr>
          <w:rFonts w:ascii="宋体" w:hAnsi="宋体" w:cs="宋体"/>
          <w:b/>
          <w:kern w:val="0"/>
          <w:sz w:val="24"/>
          <w:lang w:bidi="ar"/>
        </w:rPr>
      </w:pPr>
      <w:r>
        <w:rPr>
          <w:rFonts w:hint="eastAsia" w:ascii="宋体" w:hAnsi="宋体" w:cs="宋体"/>
          <w:b/>
          <w:kern w:val="0"/>
          <w:sz w:val="24"/>
          <w:lang w:bidi="ar"/>
        </w:rPr>
        <w:t>18、成交公告与成交通知书</w:t>
      </w:r>
    </w:p>
    <w:p w14:paraId="5EDDFB30">
      <w:pPr>
        <w:widowControl/>
        <w:spacing w:line="360" w:lineRule="auto"/>
        <w:ind w:firstLine="411" w:firstLineChars="196"/>
        <w:rPr>
          <w:rFonts w:ascii="宋体" w:hAnsi="宋体" w:cs="宋体"/>
          <w:kern w:val="0"/>
          <w:szCs w:val="21"/>
          <w:lang w:bidi="ar"/>
        </w:rPr>
      </w:pPr>
      <w:r>
        <w:rPr>
          <w:rFonts w:hint="eastAsia" w:ascii="宋体" w:hAnsi="宋体" w:cs="宋体"/>
          <w:kern w:val="0"/>
          <w:szCs w:val="21"/>
          <w:lang w:bidi="ar"/>
        </w:rPr>
        <w:t>18.1采购人或者采购代理机构应当自成交供应商确定之日起2个工作日内，在相关媒体上发布成交公告，公告期限为1个工作日。</w:t>
      </w:r>
    </w:p>
    <w:p w14:paraId="48F78DB3">
      <w:pPr>
        <w:widowControl/>
        <w:spacing w:line="360" w:lineRule="auto"/>
        <w:ind w:firstLine="411" w:firstLineChars="196"/>
        <w:rPr>
          <w:rFonts w:ascii="宋体" w:hAnsi="宋体" w:cs="宋体"/>
          <w:kern w:val="0"/>
          <w:szCs w:val="21"/>
          <w:lang w:bidi="ar"/>
        </w:rPr>
      </w:pPr>
      <w:r>
        <w:rPr>
          <w:rFonts w:hint="eastAsia" w:ascii="宋体" w:hAnsi="宋体" w:cs="宋体"/>
          <w:kern w:val="0"/>
          <w:szCs w:val="21"/>
          <w:lang w:bidi="ar"/>
        </w:rPr>
        <w:t>18.2成交供应商确定后，采购人向成交供应商签发《成交通知书》。</w:t>
      </w:r>
    </w:p>
    <w:p w14:paraId="1138D30F">
      <w:pPr>
        <w:widowControl/>
        <w:spacing w:line="360" w:lineRule="auto"/>
        <w:ind w:firstLine="411" w:firstLineChars="196"/>
        <w:rPr>
          <w:rFonts w:ascii="宋体" w:hAnsi="宋体" w:cs="宋体"/>
          <w:kern w:val="0"/>
          <w:szCs w:val="21"/>
          <w:lang w:bidi="ar"/>
        </w:rPr>
      </w:pPr>
      <w:r>
        <w:rPr>
          <w:rFonts w:hint="eastAsia" w:ascii="宋体" w:hAnsi="宋体" w:cs="宋体"/>
          <w:kern w:val="0"/>
          <w:szCs w:val="21"/>
          <w:lang w:bidi="ar"/>
        </w:rPr>
        <w:t>18.3《成交通知书》作为签订合同的依据，对采购人和成交供应商均具有法律效力，成交通知书发出后，采购人改变成交结果或者成交供应商放弃项目，应依法承担法律责任。</w:t>
      </w:r>
    </w:p>
    <w:p w14:paraId="1FBE01AC">
      <w:pPr>
        <w:widowControl/>
        <w:spacing w:line="360" w:lineRule="auto"/>
        <w:ind w:firstLine="411" w:firstLineChars="196"/>
        <w:rPr>
          <w:rFonts w:ascii="宋体" w:hAnsi="宋体" w:cs="宋体"/>
          <w:kern w:val="0"/>
          <w:szCs w:val="21"/>
          <w:lang w:bidi="ar"/>
        </w:rPr>
      </w:pPr>
      <w:r>
        <w:rPr>
          <w:rFonts w:hint="eastAsia" w:ascii="宋体" w:hAnsi="宋体" w:cs="宋体"/>
          <w:kern w:val="0"/>
          <w:szCs w:val="21"/>
          <w:lang w:bidi="ar"/>
        </w:rPr>
        <w:t>18.4成交通知书、竞争性磋商文件、成交供应商的响应文件及澄清文件将作为签订合同的依据。</w:t>
      </w:r>
    </w:p>
    <w:p w14:paraId="691F8695">
      <w:pPr>
        <w:widowControl/>
        <w:spacing w:line="360" w:lineRule="auto"/>
        <w:rPr>
          <w:rFonts w:ascii="宋体" w:hAnsi="宋体" w:cs="宋体"/>
          <w:b/>
          <w:kern w:val="0"/>
          <w:sz w:val="24"/>
        </w:rPr>
      </w:pPr>
      <w:r>
        <w:rPr>
          <w:rFonts w:hint="eastAsia" w:ascii="宋体" w:hAnsi="宋体" w:cs="宋体"/>
          <w:b/>
          <w:kern w:val="0"/>
          <w:sz w:val="24"/>
          <w:lang w:bidi="ar"/>
        </w:rPr>
        <w:t>19、授予合同时变更数量的权力</w:t>
      </w:r>
    </w:p>
    <w:p w14:paraId="76C484F3">
      <w:pPr>
        <w:widowControl/>
        <w:spacing w:line="360" w:lineRule="auto"/>
        <w:ind w:firstLine="480"/>
        <w:rPr>
          <w:rFonts w:ascii="宋体" w:hAnsi="宋体" w:cs="宋体"/>
          <w:kern w:val="0"/>
          <w:szCs w:val="21"/>
        </w:rPr>
      </w:pPr>
      <w:r>
        <w:rPr>
          <w:rFonts w:hint="eastAsia" w:ascii="宋体" w:hAnsi="宋体" w:cs="宋体"/>
          <w:kern w:val="0"/>
          <w:szCs w:val="21"/>
          <w:lang w:bidi="ar"/>
        </w:rPr>
        <w:t>采购人在授予合同时，保留对货物数量予以适当增减的权利。供应商不得在此情况下对响应文件作出修改，如价格、完成期限、售后服务等。</w:t>
      </w:r>
    </w:p>
    <w:p w14:paraId="7175A022">
      <w:pPr>
        <w:widowControl/>
        <w:spacing w:line="360" w:lineRule="auto"/>
        <w:rPr>
          <w:rFonts w:ascii="宋体" w:hAnsi="宋体" w:cs="宋体"/>
          <w:b/>
          <w:kern w:val="0"/>
          <w:sz w:val="24"/>
        </w:rPr>
      </w:pPr>
      <w:r>
        <w:rPr>
          <w:rFonts w:hint="eastAsia" w:ascii="宋体" w:hAnsi="宋体" w:cs="宋体"/>
          <w:b/>
          <w:kern w:val="0"/>
          <w:sz w:val="24"/>
          <w:lang w:bidi="ar"/>
        </w:rPr>
        <w:t>20、签定合同</w:t>
      </w:r>
    </w:p>
    <w:p w14:paraId="6CAE1BD8">
      <w:pPr>
        <w:widowControl/>
        <w:spacing w:line="360" w:lineRule="auto"/>
        <w:ind w:firstLine="499"/>
        <w:rPr>
          <w:rFonts w:ascii="宋体" w:hAnsi="宋体" w:cs="宋体"/>
          <w:kern w:val="0"/>
          <w:szCs w:val="21"/>
          <w:lang w:bidi="ar"/>
        </w:rPr>
      </w:pPr>
      <w:r>
        <w:rPr>
          <w:rFonts w:hint="eastAsia" w:ascii="宋体" w:hAnsi="宋体" w:cs="宋体"/>
          <w:kern w:val="0"/>
          <w:szCs w:val="21"/>
          <w:lang w:bidi="ar"/>
        </w:rPr>
        <w:t>20.1成交供应商在收到</w:t>
      </w:r>
      <w:r>
        <w:rPr>
          <w:rFonts w:hint="eastAsia" w:ascii="宋体" w:hAnsi="宋体"/>
          <w:kern w:val="0"/>
          <w:szCs w:val="21"/>
        </w:rPr>
        <w:t>成交</w:t>
      </w:r>
      <w:r>
        <w:rPr>
          <w:rFonts w:ascii="宋体" w:hAnsi="宋体"/>
          <w:kern w:val="0"/>
          <w:szCs w:val="21"/>
        </w:rPr>
        <w:t>通知书后</w:t>
      </w:r>
      <w:r>
        <w:rPr>
          <w:rFonts w:hint="eastAsia" w:ascii="宋体" w:hAnsi="宋体"/>
          <w:kern w:val="0"/>
          <w:szCs w:val="21"/>
        </w:rPr>
        <w:t>2个工作日内应与采购人签订合同</w:t>
      </w:r>
    </w:p>
    <w:p w14:paraId="16590B7D">
      <w:pPr>
        <w:widowControl/>
        <w:spacing w:line="360" w:lineRule="auto"/>
        <w:ind w:firstLine="499"/>
        <w:rPr>
          <w:rFonts w:ascii="宋体" w:hAnsi="宋体" w:cs="宋体"/>
          <w:kern w:val="0"/>
          <w:szCs w:val="21"/>
          <w:lang w:bidi="ar"/>
        </w:rPr>
      </w:pPr>
      <w:r>
        <w:rPr>
          <w:rFonts w:hint="eastAsia" w:ascii="宋体" w:hAnsi="宋体" w:cs="宋体"/>
          <w:kern w:val="0"/>
          <w:szCs w:val="21"/>
          <w:lang w:bidi="ar"/>
        </w:rPr>
        <w:t>20.2竞争性磋商文件、成交供应商的响应文件及其澄清文件等，均为签定合同的依据。</w:t>
      </w:r>
    </w:p>
    <w:p w14:paraId="5BBE085C">
      <w:pPr>
        <w:widowControl/>
        <w:spacing w:line="360" w:lineRule="auto"/>
        <w:ind w:firstLine="499"/>
        <w:rPr>
          <w:rFonts w:ascii="宋体" w:hAnsi="宋体" w:cs="宋体"/>
          <w:kern w:val="0"/>
          <w:szCs w:val="21"/>
          <w:lang w:bidi="ar"/>
        </w:rPr>
      </w:pPr>
      <w:r>
        <w:rPr>
          <w:rFonts w:hint="eastAsia" w:ascii="宋体" w:hAnsi="宋体" w:cs="宋体"/>
          <w:kern w:val="0"/>
          <w:szCs w:val="21"/>
          <w:lang w:bidi="ar"/>
        </w:rPr>
        <w:t>20.3如成交供应商拒签合同，给采购人造成损失的，向采购人缴纳不高于成交价2%的经济补偿，同时依法承担相应法律责任。</w:t>
      </w:r>
    </w:p>
    <w:p w14:paraId="65AA22D2">
      <w:pPr>
        <w:widowControl/>
        <w:spacing w:line="360" w:lineRule="auto"/>
        <w:ind w:firstLine="499"/>
        <w:rPr>
          <w:rFonts w:ascii="宋体" w:hAnsi="宋体" w:cs="宋体"/>
          <w:kern w:val="0"/>
          <w:szCs w:val="21"/>
          <w:lang w:bidi="ar"/>
        </w:rPr>
      </w:pPr>
      <w:r>
        <w:rPr>
          <w:rFonts w:hint="eastAsia" w:ascii="宋体" w:hAnsi="宋体" w:cs="宋体"/>
          <w:kern w:val="0"/>
          <w:szCs w:val="21"/>
          <w:lang w:bidi="ar"/>
        </w:rPr>
        <w:t>20.4采购人或采购代理机构应于合同签订后1个工作日内在河南省政府采购网公示及河南省电子化政府采购系统内备案采购。</w:t>
      </w:r>
    </w:p>
    <w:p w14:paraId="5039D014">
      <w:pPr>
        <w:pStyle w:val="13"/>
        <w:spacing w:line="360" w:lineRule="auto"/>
        <w:ind w:firstLine="241"/>
        <w:rPr>
          <w:rFonts w:hAnsi="宋体" w:cs="宋体"/>
          <w:kern w:val="0"/>
          <w:sz w:val="24"/>
          <w:lang w:bidi="ar"/>
        </w:rPr>
      </w:pPr>
      <w:r>
        <w:rPr>
          <w:rFonts w:hint="eastAsia" w:hAnsi="宋体" w:cs="宋体"/>
          <w:kern w:val="0"/>
          <w:sz w:val="24"/>
          <w:lang w:bidi="ar"/>
        </w:rPr>
        <w:t>21、履约保证金</w:t>
      </w:r>
    </w:p>
    <w:p w14:paraId="59B2FED3">
      <w:pPr>
        <w:pStyle w:val="13"/>
        <w:spacing w:line="360" w:lineRule="auto"/>
        <w:ind w:firstLine="210"/>
        <w:rPr>
          <w:rFonts w:hAnsi="宋体" w:cs="宋体"/>
          <w:b w:val="0"/>
          <w:bCs/>
          <w:kern w:val="0"/>
          <w:szCs w:val="21"/>
          <w:lang w:bidi="ar"/>
        </w:rPr>
      </w:pPr>
      <w:r>
        <w:rPr>
          <w:rFonts w:hint="eastAsia" w:hAnsi="宋体" w:cs="宋体"/>
          <w:b w:val="0"/>
          <w:bCs/>
          <w:kern w:val="0"/>
          <w:szCs w:val="21"/>
          <w:lang w:bidi="ar"/>
        </w:rPr>
        <w:t>21.1本项目不收取履约保证金。</w:t>
      </w:r>
    </w:p>
    <w:p w14:paraId="300BF5D2">
      <w:pPr>
        <w:pStyle w:val="13"/>
        <w:spacing w:line="360" w:lineRule="auto"/>
        <w:ind w:firstLine="241"/>
        <w:rPr>
          <w:rFonts w:hAnsi="宋体" w:cs="宋体"/>
          <w:kern w:val="0"/>
          <w:sz w:val="24"/>
          <w:lang w:bidi="ar"/>
        </w:rPr>
      </w:pPr>
      <w:r>
        <w:rPr>
          <w:rFonts w:hint="eastAsia" w:hAnsi="宋体" w:cs="宋体"/>
          <w:kern w:val="0"/>
          <w:sz w:val="24"/>
          <w:lang w:bidi="ar"/>
        </w:rPr>
        <w:t>22、 重新招标</w:t>
      </w:r>
    </w:p>
    <w:p w14:paraId="3F2ACFC3">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22.1重新招标</w:t>
      </w:r>
    </w:p>
    <w:p w14:paraId="344B78B9">
      <w:pPr>
        <w:pStyle w:val="8"/>
        <w:ind w:left="0" w:leftChars="0" w:firstLine="0" w:firstLineChars="0"/>
        <w:jc w:val="both"/>
        <w:rPr>
          <w:rFonts w:ascii="宋体" w:hAnsi="宋体" w:eastAsia="宋体" w:cs="宋体"/>
          <w:kern w:val="0"/>
          <w:lang w:bidi="ar"/>
        </w:rPr>
      </w:pPr>
      <w:r>
        <w:rPr>
          <w:rFonts w:hint="eastAsia" w:ascii="宋体" w:hAnsi="宋体" w:eastAsia="宋体" w:cs="宋体"/>
          <w:kern w:val="0"/>
          <w:lang w:bidi="ar"/>
        </w:rPr>
        <w:t>（1）投标截止时间止，供应商少于3个的；</w:t>
      </w:r>
    </w:p>
    <w:p w14:paraId="240AF597">
      <w:pPr>
        <w:pStyle w:val="8"/>
        <w:ind w:left="0" w:leftChars="0" w:firstLine="0" w:firstLineChars="0"/>
        <w:jc w:val="both"/>
        <w:rPr>
          <w:rFonts w:ascii="宋体" w:hAnsi="宋体" w:eastAsia="宋体" w:cs="宋体"/>
          <w:kern w:val="0"/>
          <w:lang w:bidi="ar"/>
        </w:rPr>
      </w:pPr>
      <w:r>
        <w:rPr>
          <w:rFonts w:hint="eastAsia" w:ascii="宋体" w:hAnsi="宋体" w:eastAsia="宋体" w:cs="宋体"/>
          <w:kern w:val="0"/>
          <w:lang w:bidi="ar"/>
        </w:rPr>
        <w:t>（2）若响应文件解密后，有效电子响应文件不足三家的，本项目应予废标。</w:t>
      </w:r>
    </w:p>
    <w:p w14:paraId="2FF13CA7">
      <w:pPr>
        <w:pStyle w:val="8"/>
        <w:ind w:left="0" w:leftChars="0" w:firstLine="0" w:firstLineChars="0"/>
        <w:jc w:val="both"/>
        <w:rPr>
          <w:rFonts w:ascii="宋体" w:hAnsi="宋体" w:eastAsia="宋体" w:cs="宋体"/>
          <w:kern w:val="0"/>
          <w:lang w:bidi="ar"/>
        </w:rPr>
      </w:pPr>
      <w:r>
        <w:rPr>
          <w:rFonts w:hint="eastAsia" w:ascii="宋体" w:hAnsi="宋体" w:eastAsia="宋体" w:cs="宋体"/>
          <w:kern w:val="0"/>
          <w:lang w:bidi="ar"/>
        </w:rPr>
        <w:t>（3）经评标委员会评审后否决所有投标的。</w:t>
      </w:r>
    </w:p>
    <w:p w14:paraId="4B9D40E1">
      <w:pPr>
        <w:pStyle w:val="8"/>
        <w:ind w:left="0" w:leftChars="0" w:firstLine="241" w:firstLineChars="100"/>
        <w:jc w:val="both"/>
        <w:rPr>
          <w:rFonts w:ascii="宋体" w:hAnsi="宋体" w:eastAsia="宋体" w:cs="宋体"/>
          <w:b/>
          <w:kern w:val="0"/>
          <w:sz w:val="24"/>
          <w:szCs w:val="24"/>
          <w:lang w:bidi="ar"/>
        </w:rPr>
      </w:pPr>
      <w:r>
        <w:rPr>
          <w:rFonts w:hint="eastAsia" w:ascii="宋体" w:hAnsi="宋体" w:eastAsia="宋体" w:cs="宋体"/>
          <w:b/>
          <w:kern w:val="0"/>
          <w:sz w:val="24"/>
          <w:szCs w:val="24"/>
          <w:lang w:bidi="ar"/>
        </w:rPr>
        <w:t>23、纪律和监督</w:t>
      </w:r>
    </w:p>
    <w:p w14:paraId="60ABCAF8">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23.1对采购人的纪律要求</w:t>
      </w:r>
    </w:p>
    <w:p w14:paraId="4E8C56AE">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采购人不得泄漏招标投标活动中应当保密的情况和资料，不得与供应商串通损害国家利益、社会公共利益或者他人合法权益。</w:t>
      </w:r>
    </w:p>
    <w:p w14:paraId="08B3A38E">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23.2对供应商的纪律要求</w:t>
      </w:r>
    </w:p>
    <w:p w14:paraId="16085FBD">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供应商不得相互串通投标或者与采购人串通投标，不得向采购人或者评标委员会成员行贿谋取供应商，不得以他人名义投标或者以其他方式弄虚作假骗取供应商；供应商不得以任何方式干扰、影响评标工作。</w:t>
      </w:r>
    </w:p>
    <w:p w14:paraId="44A3BE8B">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23.3对评标委员会成员的纪律要求</w:t>
      </w:r>
    </w:p>
    <w:p w14:paraId="73ED2F3F">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评标委员会成员不得收受他人的财物或者其他好处，不得向他人透漏对响应文件的评审和比较、成交候选人的推荐情况以及评标有关的其他情况。在评标活动中，评标委员会成员不得擅离职守，影响评标程序正常进行，不得使用第四章“评标办法”没有规定的评审因素和标准进行评标。</w:t>
      </w:r>
    </w:p>
    <w:p w14:paraId="53C85917">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23.4对与评标活动有关的工作人员的纪律要求</w:t>
      </w:r>
    </w:p>
    <w:p w14:paraId="4BBD3E3B">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与评标活动有关的工作人员不得收受他人的财物或者其他好处，不得向他人透漏对响应文件的评审和比较、供应商候选人的推荐情况以及评标有关的其他情况。在评标活动中，与评标活动有关的工作人员不得擅离职守，影响评标程序正常进行。</w:t>
      </w:r>
    </w:p>
    <w:p w14:paraId="0F95C4C2">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23.5投诉</w:t>
      </w:r>
    </w:p>
    <w:p w14:paraId="4D541D04">
      <w:pPr>
        <w:pStyle w:val="8"/>
        <w:ind w:left="0" w:leftChars="0" w:firstLine="210" w:firstLineChars="100"/>
        <w:jc w:val="both"/>
        <w:rPr>
          <w:rFonts w:ascii="宋体" w:hAnsi="宋体" w:eastAsia="宋体" w:cs="宋体"/>
          <w:kern w:val="0"/>
          <w:lang w:bidi="ar"/>
        </w:rPr>
      </w:pPr>
      <w:r>
        <w:rPr>
          <w:rFonts w:hint="eastAsia" w:ascii="宋体" w:hAnsi="宋体" w:eastAsia="宋体" w:cs="宋体"/>
          <w:kern w:val="0"/>
          <w:lang w:bidi="ar"/>
        </w:rPr>
        <w:t>供应商和其他利害关系人认为本次招标活动违反法律、法规和规章规定的，有权向有关行政监督部门投诉。</w:t>
      </w:r>
    </w:p>
    <w:p w14:paraId="2B0339C2">
      <w:pPr>
        <w:pStyle w:val="13"/>
        <w:spacing w:line="360" w:lineRule="auto"/>
        <w:ind w:firstLine="241"/>
        <w:rPr>
          <w:rFonts w:hAnsi="宋体" w:cs="宋体"/>
          <w:kern w:val="0"/>
          <w:sz w:val="24"/>
          <w:lang w:bidi="ar"/>
        </w:rPr>
      </w:pPr>
      <w:r>
        <w:rPr>
          <w:rFonts w:hint="eastAsia" w:hAnsi="宋体" w:cs="宋体"/>
          <w:kern w:val="0"/>
          <w:sz w:val="24"/>
          <w:lang w:bidi="ar"/>
        </w:rPr>
        <w:t>24、其他</w:t>
      </w:r>
    </w:p>
    <w:p w14:paraId="1C13937F">
      <w:pPr>
        <w:widowControl/>
        <w:spacing w:line="360" w:lineRule="auto"/>
        <w:ind w:firstLine="210" w:firstLineChars="100"/>
        <w:rPr>
          <w:rFonts w:ascii="宋体" w:hAnsi="宋体" w:cs="宋体"/>
          <w:kern w:val="0"/>
          <w:szCs w:val="21"/>
          <w:lang w:bidi="ar"/>
        </w:rPr>
      </w:pPr>
      <w:r>
        <w:rPr>
          <w:rFonts w:hint="eastAsia" w:ascii="宋体" w:hAnsi="宋体" w:cs="宋体"/>
          <w:kern w:val="0"/>
          <w:szCs w:val="21"/>
          <w:lang w:bidi="ar"/>
        </w:rPr>
        <w:t>24.1未尽事宜按国家有关规定执行。</w:t>
      </w:r>
    </w:p>
    <w:p w14:paraId="2B1C05C6">
      <w:pPr>
        <w:widowControl/>
        <w:spacing w:line="360" w:lineRule="auto"/>
        <w:ind w:firstLine="210" w:firstLineChars="100"/>
        <w:rPr>
          <w:rFonts w:ascii="宋体" w:hAnsi="宋体"/>
          <w:color w:val="000000"/>
          <w:kern w:val="0"/>
          <w:sz w:val="28"/>
          <w:szCs w:val="28"/>
        </w:rPr>
        <w:sectPr>
          <w:footerReference r:id="rId3" w:type="default"/>
          <w:pgSz w:w="11906" w:h="16838"/>
          <w:pgMar w:top="1383" w:right="1463" w:bottom="1383" w:left="1463" w:header="851" w:footer="992" w:gutter="0"/>
          <w:cols w:space="720" w:num="1"/>
          <w:docGrid w:type="lines" w:linePitch="312" w:charSpace="0"/>
        </w:sectPr>
      </w:pPr>
      <w:r>
        <w:rPr>
          <w:rFonts w:hint="eastAsia" w:ascii="宋体" w:hAnsi="宋体" w:cs="宋体"/>
          <w:kern w:val="0"/>
          <w:szCs w:val="21"/>
          <w:lang w:bidi="ar"/>
        </w:rPr>
        <w:t>24.2 本磋商文件最终解释权归采购人。</w:t>
      </w:r>
    </w:p>
    <w:p w14:paraId="5EFEBA9B">
      <w:pPr>
        <w:jc w:val="center"/>
        <w:rPr>
          <w:sz w:val="24"/>
        </w:rPr>
      </w:pPr>
      <w:r>
        <w:rPr>
          <w:rFonts w:hint="eastAsia" w:ascii="宋体" w:hAnsi="宋体" w:cs="宋体"/>
          <w:b/>
          <w:color w:val="000000"/>
          <w:kern w:val="0"/>
          <w:sz w:val="36"/>
          <w:szCs w:val="36"/>
          <w:lang w:bidi="ar"/>
        </w:rPr>
        <w:t>第三章  项目内容及要求</w:t>
      </w:r>
    </w:p>
    <w:p w14:paraId="53C14696">
      <w:pPr>
        <w:tabs>
          <w:tab w:val="left" w:pos="900"/>
        </w:tabs>
        <w:spacing w:line="360" w:lineRule="auto"/>
        <w:ind w:left="-128" w:leftChars="-61" w:firstLine="560"/>
        <w:rPr>
          <w:rFonts w:ascii="宋体" w:hAnsi="宋体" w:cs="宋体"/>
          <w:color w:val="000000"/>
          <w:kern w:val="0"/>
          <w:sz w:val="24"/>
        </w:rPr>
      </w:pPr>
    </w:p>
    <w:p w14:paraId="6F69A532">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color w:val="000000"/>
          <w:kern w:val="0"/>
          <w:sz w:val="24"/>
        </w:rPr>
        <w:t>本规划应全面贯彻落实国家与河南省关于实施城市更新行动的战略部署，深入对接《河南省“十五五”城市更新和城乡人居环境建设规划》的各项任务要求。规划的编制内容与深度应满足住房和城乡建设部及我省关于城市更新专项规划的相关规定。本次《三门峡市“十五五”城市更新和城乡人居环境建设规划》的编制内容包括一个主报告和三个专题研究报告支撑，主要内容如下：</w:t>
      </w:r>
    </w:p>
    <w:p w14:paraId="2AD8AAF4">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一、一个主报告内容</w:t>
      </w:r>
    </w:p>
    <w:p w14:paraId="05F13E2A">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（一）梳理现状问题和更新资源</w:t>
      </w:r>
    </w:p>
    <w:p w14:paraId="67AE2AD4">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color w:val="000000"/>
          <w:kern w:val="0"/>
          <w:sz w:val="24"/>
        </w:rPr>
        <w:t>系统开展全市存量资源摸排工作。应以城市体检结论与问题清单为核心依据，综合运用现场踏勘、部门座谈、问卷调查、大数据分析等手段，对中心城区及重点城乡接合地区的存量资源进行全面识别与精准评估。工作重点涵盖老旧小区、城中村、低效工业用地、闲置用地、历史文化资源、生态修复地块等核心类型。建立动态更新的“城市更新资源底图数据库”，并整合形成全市统一的“城市更新资源一张图”，为后续规划编制提供科学、精准、可量化的现状支撑。</w:t>
      </w:r>
    </w:p>
    <w:p w14:paraId="2770CAFD">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（二）明确城市战略定位</w:t>
      </w:r>
    </w:p>
    <w:p w14:paraId="48D2EC6C">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color w:val="000000"/>
          <w:kern w:val="0"/>
          <w:sz w:val="24"/>
        </w:rPr>
        <w:t>规划需立足黄河流域生态保护和高质量发展等国家战略，深入结合晋陕豫黄河金三角区域协同发展新阶段与本地能源产业转型升级新机遇，开展前瞻性与可操作性兼备的战略研究。明确提出具有三门峡特色的“十五五”时期城市发展总体定位，并依此制定实操性强、特色鲜明的城市更新总体战略。战略内容应系统涵盖城市结构优化、功能完善、品质提升、绿色转型及文化传承等关键领域，形成能够统领全市更新工作的纲领性文件。</w:t>
      </w:r>
    </w:p>
    <w:p w14:paraId="1B45D8CF">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（三）制定城市更新总体目标</w:t>
      </w:r>
    </w:p>
    <w:p w14:paraId="4827CFA0">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color w:val="000000"/>
          <w:kern w:val="0"/>
          <w:sz w:val="24"/>
        </w:rPr>
        <w:t>紧密衔接国家及省级政策导向与指标要求，并充分对接《三门峡市国土空间总体规划（2021-2035年）》，构建科学、完整的“十五五”城市更新目标指标体系。该体系应全面覆盖创新、宜居、美丽、韧性、文明、智慧等多维度发展要求，分解为一系列可量化、可监测、可考核的具体指标，并对“完整社区建设”等关键领域设定专门目标。</w:t>
      </w:r>
    </w:p>
    <w:p w14:paraId="6BFB6364">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（四）明确城市更新策略和重点任务</w:t>
      </w:r>
    </w:p>
    <w:p w14:paraId="4260C51E">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color w:val="000000"/>
          <w:kern w:val="0"/>
          <w:sz w:val="24"/>
        </w:rPr>
        <w:t>围绕《河南省“十五五”城市更新和城乡人居环境建设规划》确定的全省重点任务框架，紧密结合三门峡市实际需求与资源禀赋，系统明确本市“十五五”期间城市更新的策略和重点任务。应依据总体目标分解形成明确的核心任务，聚焦完整社区建设、市政基础设施补短板、历史文化资源保护利用、城市精细化治理、新型城市基础设施建设、产业效能提升、城市风貌特色塑造等重点领域，并对各项任务提出具体的工作要求与实施指引。</w:t>
      </w:r>
    </w:p>
    <w:p w14:paraId="5A90F0A5">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（五）强化城市设计引导</w:t>
      </w:r>
    </w:p>
    <w:p w14:paraId="53FC6C9C">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color w:val="000000"/>
          <w:kern w:val="0"/>
          <w:sz w:val="24"/>
        </w:rPr>
        <w:t>规划应建立覆盖从房屋、小区到城区、城市等全尺度的设计引导体系，将城市设计理念有机融入更新专项规划全过程。同时，提出城市总体功能结构与空间形态的优化要求，并明确天际线、视线通廊、公共空间序列及建筑风貌的具体控制引导要求。</w:t>
      </w:r>
    </w:p>
    <w:p w14:paraId="342B3CBA">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（六）划定城市更新单元</w:t>
      </w:r>
    </w:p>
    <w:p w14:paraId="689FED47">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color w:val="000000"/>
          <w:kern w:val="0"/>
          <w:sz w:val="24"/>
        </w:rPr>
        <w:t>规划应依据国土空间总体格局，以城市体检评估为基础，综合考量更新潜力、实施可行性与战略价值，科学划定城市更新重点单元。划定过程需强化城市设计思维，将风貌塑造、品质提升理念贯穿始终，重点关注滨水岸线、历史城区周边、重要交通廊道沿线以及“五区融合”关键节点等战略性区域。</w:t>
      </w:r>
    </w:p>
    <w:p w14:paraId="45DDF912">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（七）提出城市更新单元指引</w:t>
      </w:r>
    </w:p>
    <w:p w14:paraId="1A9FA9E5">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color w:val="000000"/>
          <w:kern w:val="0"/>
          <w:sz w:val="24"/>
        </w:rPr>
        <w:t>针对已划定的各类城市更新单元，制定差异化实施指引，明确各单元的更新方向、主导功能、空间结构及风貌基调。结合居住、产业、商业、文化等不同功能类型，分别确定其更新导向、推荐更新模式、关键技术标准以及相应的激励与约束政策。其中，需重点深化完整社区建设专项指引，依据国家和省级相关标准，细化社区公共服务设施配置、公共空间营造、智慧社区管理及无障碍环境建设等内容，形成具备可操作性的社区更新实施工具箱。</w:t>
      </w:r>
    </w:p>
    <w:p w14:paraId="65F67196">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（八）建立更新项目库</w:t>
      </w:r>
    </w:p>
    <w:p w14:paraId="0E29AFEE">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color w:val="000000"/>
          <w:kern w:val="0"/>
          <w:sz w:val="24"/>
        </w:rPr>
        <w:t>系统构建“十五五”城市更新项目库。建立明确的项目入库标准，制定分级分类体系（如分为示范类、重点类、一般类），规范信息要素内容（应包括项目边界、建设内容、投资估算、融资模式、实施主体、建设时序等），并形成动态管理机制。项目库应优先纳入完整社区建设、历史风貌保护、特色街区塑造、产业转型升级等类型的示范项目，并开展深化研究，确保各项具备可实施、可融资、可考核的特点，为规划实施提供扎实的项目支撑。</w:t>
      </w:r>
    </w:p>
    <w:p w14:paraId="49DABA78">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（九）提出实施保障机制指引</w:t>
      </w:r>
    </w:p>
    <w:p w14:paraId="38A27F91">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color w:val="000000"/>
          <w:kern w:val="0"/>
          <w:sz w:val="24"/>
        </w:rPr>
        <w:t>系统研究并提出保障规划实施的综合性机制框架，主要包括：构建高效协同的组织领导体系与议事协调机制；研究并提出适用于本市的土地、规划、财税等关键配套政策的创新方向与优化建议；设计“政府引导、市场运作、多元参与”的资金筹措与平衡模式，探索财政资金、专项债、社会资本等多种融资渠道的组合应用方案；建立与城市体检评估相衔接的规划实施动态监测、年度评估与反馈优化机制，明确项目库调整与规划修编的动态管理规则，保障规划能够适应发展变化，实现可持续的闭环运行。</w:t>
      </w:r>
    </w:p>
    <w:p w14:paraId="7DA5694D">
      <w:pPr>
        <w:tabs>
          <w:tab w:val="left" w:pos="900"/>
        </w:tabs>
        <w:spacing w:line="360" w:lineRule="auto"/>
        <w:ind w:left="-128" w:leftChars="-61" w:firstLine="560"/>
        <w:rPr>
          <w:rFonts w:ascii="宋体" w:hAnsi="宋体" w:cs="宋体"/>
          <w:b/>
          <w:bCs/>
          <w:color w:val="000000"/>
          <w:kern w:val="0"/>
          <w:sz w:val="24"/>
        </w:rPr>
      </w:pPr>
      <w:r>
        <w:rPr>
          <w:rFonts w:hint="eastAsia" w:ascii="宋体" w:hAnsi="宋体" w:cs="宋体"/>
          <w:b/>
          <w:bCs/>
          <w:color w:val="000000"/>
          <w:kern w:val="0"/>
          <w:sz w:val="24"/>
        </w:rPr>
        <w:t>二、三个专题研究报告内容</w:t>
      </w:r>
    </w:p>
    <w:p w14:paraId="5A0D050B">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b/>
          <w:bCs/>
          <w:color w:val="000000"/>
          <w:kern w:val="0"/>
          <w:sz w:val="24"/>
        </w:rPr>
        <w:t>专题一:区域协同联动与城乡融合路径研究。</w:t>
      </w:r>
      <w:r>
        <w:rPr>
          <w:rFonts w:hint="eastAsia" w:ascii="宋体" w:hAnsi="宋体" w:cs="宋体"/>
          <w:color w:val="000000"/>
          <w:kern w:val="0"/>
          <w:sz w:val="24"/>
        </w:rPr>
        <w:t>本专题聚焦于外部功能联动与城乡统筹，核心是研究三门峡市如何突破市域边界，在晋陕豫黄河金三角区域协同发展中，通过跨区域产业协作、生态共治、交通互联、文旅共建实现优势互补，并建立健全城乡要素平等交换、双向流动的融合发展路径，推动基础设施和公共服务向农村延伸，以拓展发展腹地，重塑区域竞争新优势。</w:t>
      </w:r>
    </w:p>
    <w:p w14:paraId="4C4CBF37">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b/>
          <w:bCs/>
          <w:color w:val="000000"/>
          <w:kern w:val="0"/>
          <w:sz w:val="24"/>
        </w:rPr>
        <w:t>专题二:城市空间结构优化与协同治理研究。</w:t>
      </w:r>
      <w:r>
        <w:rPr>
          <w:rFonts w:hint="eastAsia" w:ascii="宋体" w:hAnsi="宋体" w:cs="宋体"/>
          <w:color w:val="000000"/>
          <w:kern w:val="0"/>
          <w:sz w:val="24"/>
        </w:rPr>
        <w:t>本专题聚焦于城市内部结构优化与效能提升，核心是研究如何通过深化“五区融合”(湖滨区、陕州区、经济开发区、城乡一体化示范区、高新区)的体制机制创新，破解行政壁垒，促进基础设施互联互通、产业协同和公共服务共享；同时优化城市中心体系、功能布局，推动城市结构优化、动能转换和治理增效。</w:t>
      </w:r>
    </w:p>
    <w:p w14:paraId="7D3CE481">
      <w:pPr>
        <w:tabs>
          <w:tab w:val="left" w:pos="900"/>
        </w:tabs>
        <w:spacing w:line="360" w:lineRule="auto"/>
        <w:ind w:left="-128" w:leftChars="-61" w:firstLine="560"/>
        <w:rPr>
          <w:rFonts w:ascii="宋体" w:hAnsi="宋体" w:cs="宋体"/>
          <w:color w:val="000000"/>
          <w:kern w:val="0"/>
          <w:sz w:val="24"/>
        </w:rPr>
      </w:pPr>
      <w:r>
        <w:rPr>
          <w:rFonts w:hint="eastAsia" w:ascii="宋体" w:hAnsi="宋体" w:cs="宋体"/>
          <w:b/>
          <w:bCs/>
          <w:color w:val="000000"/>
          <w:kern w:val="0"/>
          <w:sz w:val="24"/>
        </w:rPr>
        <w:t>专题三:城市特色风貌塑造与完整社区建设研究。</w:t>
      </w:r>
      <w:r>
        <w:rPr>
          <w:rFonts w:hint="eastAsia" w:ascii="宋体" w:hAnsi="宋体" w:cs="宋体"/>
          <w:color w:val="000000"/>
          <w:kern w:val="0"/>
          <w:sz w:val="24"/>
        </w:rPr>
        <w:t>本专题聚焦于城市品质提升与完整社区建设，核心是研究如何围绕人民美好生活需求，深入挖掘三门峡丰富的人文资源与自然资源禀赋，紧密结合新消费发展趋势，以创新理念推动资源转化与利用，激发城市活力，塑造具有独特魅力的城市特色风貌。同时以完整社区建设为抓手，系统研究如何补齐基础设施短板，协同推进新型基础设施建设，优化公共服务设施的均衡布局与高质量供给，打造“15分钟便民生活圈”，全面提升城市综合承载力和宜居生活品质。</w:t>
      </w:r>
    </w:p>
    <w:p w14:paraId="5542F965"/>
    <w:p w14:paraId="18942EE8">
      <w:pPr>
        <w:sectPr>
          <w:pgSz w:w="11910" w:h="16840"/>
          <w:pgMar w:top="1380" w:right="1680" w:bottom="1200" w:left="1680" w:header="0" w:footer="1006" w:gutter="0"/>
          <w:cols w:space="720" w:num="1"/>
        </w:sectPr>
      </w:pPr>
    </w:p>
    <w:p w14:paraId="661C7DC0">
      <w:pPr>
        <w:jc w:val="center"/>
        <w:rPr>
          <w:rFonts w:ascii="宋体" w:hAnsi="宋体" w:cs="宋体"/>
          <w:b/>
          <w:color w:val="000000"/>
          <w:kern w:val="0"/>
          <w:sz w:val="36"/>
          <w:szCs w:val="36"/>
          <w:lang w:bidi="ar"/>
        </w:rPr>
      </w:pPr>
      <w:r>
        <w:rPr>
          <w:rFonts w:hint="eastAsia" w:ascii="宋体" w:hAnsi="宋体" w:cs="宋体"/>
          <w:b/>
          <w:color w:val="000000"/>
          <w:kern w:val="0"/>
          <w:sz w:val="36"/>
          <w:szCs w:val="36"/>
          <w:lang w:bidi="ar"/>
        </w:rPr>
        <w:t>第四章  评标办法</w:t>
      </w:r>
    </w:p>
    <w:p w14:paraId="2E2ED3ED">
      <w:pPr>
        <w:spacing w:line="360" w:lineRule="auto"/>
        <w:ind w:left="718"/>
        <w:rPr>
          <w:b/>
          <w:sz w:val="28"/>
          <w:szCs w:val="28"/>
        </w:rPr>
      </w:pPr>
      <w:r>
        <w:rPr>
          <w:b/>
          <w:sz w:val="28"/>
          <w:szCs w:val="28"/>
        </w:rPr>
        <w:t>一、磋商方法</w:t>
      </w:r>
      <w:r>
        <w:rPr>
          <w:b/>
          <w:w w:val="99"/>
          <w:sz w:val="28"/>
          <w:szCs w:val="28"/>
        </w:rPr>
        <w:t xml:space="preserve"> </w:t>
      </w:r>
    </w:p>
    <w:p w14:paraId="1C988416">
      <w:pPr>
        <w:spacing w:line="360" w:lineRule="auto"/>
        <w:ind w:firstLine="480" w:firstLineChars="200"/>
        <w:rPr>
          <w:rFonts w:ascii="宋体" w:hAnsi="宋体"/>
          <w:sz w:val="24"/>
        </w:rPr>
      </w:pPr>
      <w:r>
        <w:rPr>
          <w:rFonts w:ascii="宋体" w:hAnsi="宋体"/>
          <w:sz w:val="24"/>
        </w:rPr>
        <w:t>本次磋商采用综合评</w:t>
      </w:r>
      <w:r>
        <w:rPr>
          <w:rFonts w:hint="eastAsia" w:ascii="宋体" w:hAnsi="宋体"/>
          <w:sz w:val="24"/>
        </w:rPr>
        <w:t>分</w:t>
      </w:r>
      <w:r>
        <w:rPr>
          <w:rFonts w:ascii="宋体" w:hAnsi="宋体"/>
          <w:sz w:val="24"/>
        </w:rPr>
        <w:t>法。磋商小组对满足</w:t>
      </w:r>
      <w:r>
        <w:rPr>
          <w:rFonts w:hint="eastAsia" w:ascii="宋体" w:hAnsi="宋体"/>
          <w:sz w:val="24"/>
        </w:rPr>
        <w:t>磋商</w:t>
      </w:r>
      <w:r>
        <w:rPr>
          <w:rFonts w:ascii="宋体" w:hAnsi="宋体"/>
          <w:sz w:val="24"/>
        </w:rPr>
        <w:t>文件实质性要求的</w:t>
      </w:r>
      <w:r>
        <w:rPr>
          <w:rFonts w:hint="eastAsia" w:ascii="宋体" w:hAnsi="宋体"/>
          <w:sz w:val="24"/>
        </w:rPr>
        <w:t>响应</w:t>
      </w:r>
      <w:r>
        <w:rPr>
          <w:rFonts w:ascii="宋体" w:hAnsi="宋体"/>
          <w:sz w:val="24"/>
        </w:rPr>
        <w:t>文件，按照本章第2.</w:t>
      </w:r>
      <w:r>
        <w:rPr>
          <w:rFonts w:hint="eastAsia" w:ascii="宋体" w:hAnsi="宋体"/>
          <w:sz w:val="24"/>
          <w:lang w:val="en-US" w:eastAsia="zh-CN"/>
        </w:rPr>
        <w:t>3</w:t>
      </w:r>
      <w:r>
        <w:rPr>
          <w:rFonts w:ascii="宋体" w:hAnsi="宋体"/>
          <w:sz w:val="24"/>
        </w:rPr>
        <w:t>款规定的评分标准进行打分，并按得分由高到低顺序向</w:t>
      </w:r>
      <w:r>
        <w:rPr>
          <w:rFonts w:hint="eastAsia" w:ascii="宋体" w:hAnsi="宋体"/>
          <w:sz w:val="24"/>
        </w:rPr>
        <w:t>采购</w:t>
      </w:r>
      <w:r>
        <w:rPr>
          <w:rFonts w:ascii="宋体" w:hAnsi="宋体"/>
          <w:sz w:val="24"/>
        </w:rPr>
        <w:t>人推荐</w:t>
      </w:r>
      <w:r>
        <w:rPr>
          <w:rFonts w:hint="eastAsia" w:ascii="宋体" w:hAnsi="宋体"/>
          <w:sz w:val="24"/>
        </w:rPr>
        <w:t>3名成交</w:t>
      </w:r>
      <w:r>
        <w:rPr>
          <w:rFonts w:ascii="宋体" w:hAnsi="宋体"/>
          <w:sz w:val="24"/>
        </w:rPr>
        <w:t>候选人，但</w:t>
      </w:r>
      <w:r>
        <w:rPr>
          <w:rFonts w:hint="eastAsia" w:ascii="宋体" w:hAnsi="宋体"/>
          <w:sz w:val="24"/>
        </w:rPr>
        <w:t>磋商</w:t>
      </w:r>
      <w:r>
        <w:rPr>
          <w:rFonts w:ascii="宋体" w:hAnsi="宋体"/>
          <w:sz w:val="24"/>
        </w:rPr>
        <w:t>报价低于其成本的除外。评分相等时，以磋商报价低的优先；磋商报价也相等的，由</w:t>
      </w:r>
      <w:r>
        <w:rPr>
          <w:rFonts w:hint="eastAsia" w:ascii="宋体" w:hAnsi="宋体"/>
          <w:sz w:val="24"/>
        </w:rPr>
        <w:t>采购</w:t>
      </w:r>
      <w:r>
        <w:rPr>
          <w:rFonts w:ascii="宋体" w:hAnsi="宋体"/>
          <w:sz w:val="24"/>
        </w:rPr>
        <w:t>人自行确定。</w:t>
      </w:r>
    </w:p>
    <w:p w14:paraId="1BF54585">
      <w:pPr>
        <w:ind w:left="718"/>
        <w:rPr>
          <w:sz w:val="28"/>
          <w:szCs w:val="28"/>
        </w:rPr>
      </w:pPr>
      <w:r>
        <w:rPr>
          <w:b/>
          <w:sz w:val="28"/>
          <w:szCs w:val="28"/>
        </w:rPr>
        <w:t>二、评审标准</w:t>
      </w:r>
    </w:p>
    <w:p w14:paraId="1F483632">
      <w:pPr>
        <w:spacing w:line="360" w:lineRule="auto"/>
        <w:ind w:firstLine="480" w:firstLineChars="200"/>
        <w:rPr>
          <w:rFonts w:ascii="宋体" w:hAnsi="宋体"/>
          <w:sz w:val="24"/>
        </w:rPr>
      </w:pPr>
      <w:r>
        <w:rPr>
          <w:rFonts w:hint="eastAsia" w:ascii="宋体" w:hAnsi="宋体"/>
          <w:sz w:val="24"/>
        </w:rPr>
        <w:t>2.1</w:t>
      </w:r>
      <w:r>
        <w:rPr>
          <w:rFonts w:ascii="宋体" w:hAnsi="宋体"/>
          <w:sz w:val="24"/>
        </w:rPr>
        <w:t xml:space="preserve">初步评审标准 </w:t>
      </w:r>
    </w:p>
    <w:p w14:paraId="757D1CE8">
      <w:pPr>
        <w:spacing w:line="360" w:lineRule="auto"/>
        <w:ind w:firstLine="480" w:firstLineChars="200"/>
        <w:rPr>
          <w:rFonts w:ascii="宋体" w:hAnsi="宋体"/>
          <w:sz w:val="24"/>
        </w:rPr>
      </w:pPr>
      <w:r>
        <w:rPr>
          <w:rFonts w:hint="eastAsia" w:ascii="宋体" w:hAnsi="宋体"/>
          <w:sz w:val="24"/>
        </w:rPr>
        <w:t>2.1.1</w:t>
      </w:r>
      <w:r>
        <w:rPr>
          <w:rFonts w:ascii="宋体" w:hAnsi="宋体"/>
          <w:sz w:val="24"/>
        </w:rPr>
        <w:t>资格审查标准：见附表1</w:t>
      </w:r>
    </w:p>
    <w:p w14:paraId="33585CEE">
      <w:pPr>
        <w:spacing w:line="360" w:lineRule="auto"/>
        <w:ind w:firstLine="480" w:firstLineChars="200"/>
        <w:rPr>
          <w:rFonts w:ascii="宋体" w:hAnsi="宋体"/>
          <w:sz w:val="24"/>
        </w:rPr>
      </w:pPr>
      <w:r>
        <w:rPr>
          <w:rFonts w:hint="eastAsia" w:ascii="宋体" w:hAnsi="宋体"/>
          <w:sz w:val="24"/>
        </w:rPr>
        <w:t>2.1.2</w:t>
      </w:r>
      <w:r>
        <w:rPr>
          <w:rFonts w:ascii="宋体" w:hAnsi="宋体"/>
          <w:sz w:val="24"/>
        </w:rPr>
        <w:t>符合性评审标准：见附表1</w:t>
      </w:r>
    </w:p>
    <w:p w14:paraId="3D54FFD3">
      <w:pPr>
        <w:spacing w:line="360" w:lineRule="auto"/>
        <w:ind w:firstLine="480" w:firstLineChars="200"/>
        <w:rPr>
          <w:rFonts w:ascii="宋体" w:hAnsi="宋体"/>
          <w:sz w:val="24"/>
        </w:rPr>
      </w:pPr>
      <w:r>
        <w:rPr>
          <w:rFonts w:hint="eastAsia" w:ascii="宋体" w:hAnsi="宋体"/>
          <w:sz w:val="24"/>
        </w:rPr>
        <w:t>2.2</w:t>
      </w:r>
      <w:r>
        <w:rPr>
          <w:rFonts w:ascii="宋体" w:hAnsi="宋体"/>
          <w:sz w:val="24"/>
        </w:rPr>
        <w:t>磋商基准价计算</w:t>
      </w:r>
    </w:p>
    <w:p w14:paraId="08F61CD2">
      <w:pPr>
        <w:spacing w:line="360" w:lineRule="auto"/>
        <w:ind w:firstLine="480" w:firstLineChars="200"/>
        <w:rPr>
          <w:rFonts w:ascii="宋体" w:hAnsi="宋体"/>
          <w:sz w:val="24"/>
        </w:rPr>
      </w:pPr>
      <w:r>
        <w:rPr>
          <w:rFonts w:hint="eastAsia" w:ascii="宋体" w:hAnsi="宋体"/>
          <w:sz w:val="24"/>
        </w:rPr>
        <w:t>2.2.1</w:t>
      </w:r>
      <w:r>
        <w:rPr>
          <w:rFonts w:ascii="宋体" w:hAnsi="宋体"/>
          <w:sz w:val="24"/>
        </w:rPr>
        <w:t>磋商基准价计算方法：见附表2；</w:t>
      </w:r>
    </w:p>
    <w:p w14:paraId="042172D2">
      <w:pPr>
        <w:spacing w:line="360" w:lineRule="auto"/>
        <w:ind w:firstLine="480" w:firstLineChars="200"/>
        <w:rPr>
          <w:rFonts w:ascii="宋体" w:hAnsi="宋体"/>
          <w:sz w:val="24"/>
        </w:rPr>
      </w:pPr>
      <w:r>
        <w:rPr>
          <w:rFonts w:hint="eastAsia" w:ascii="宋体" w:hAnsi="宋体"/>
          <w:sz w:val="24"/>
        </w:rPr>
        <w:t>2.3</w:t>
      </w:r>
      <w:r>
        <w:rPr>
          <w:rFonts w:hint="eastAsia" w:ascii="宋体" w:hAnsi="宋体"/>
          <w:sz w:val="24"/>
          <w:lang w:val="en-US" w:eastAsia="zh-CN"/>
        </w:rPr>
        <w:t xml:space="preserve"> </w:t>
      </w:r>
      <w:r>
        <w:rPr>
          <w:rFonts w:ascii="宋体" w:hAnsi="宋体"/>
          <w:sz w:val="24"/>
        </w:rPr>
        <w:t>评分标准：见附表2；</w:t>
      </w:r>
    </w:p>
    <w:p w14:paraId="222BBD99">
      <w:pPr>
        <w:ind w:left="718"/>
        <w:rPr>
          <w:b/>
          <w:sz w:val="28"/>
          <w:szCs w:val="28"/>
        </w:rPr>
      </w:pPr>
      <w:r>
        <w:rPr>
          <w:b/>
          <w:sz w:val="28"/>
          <w:szCs w:val="28"/>
        </w:rPr>
        <w:t xml:space="preserve">三、磋商程序 </w:t>
      </w:r>
    </w:p>
    <w:p w14:paraId="0E204D14">
      <w:pPr>
        <w:spacing w:line="360" w:lineRule="auto"/>
        <w:ind w:firstLine="482" w:firstLineChars="200"/>
        <w:rPr>
          <w:rFonts w:ascii="宋体" w:hAnsi="宋体"/>
          <w:b/>
          <w:sz w:val="24"/>
        </w:rPr>
      </w:pPr>
      <w:r>
        <w:rPr>
          <w:rFonts w:ascii="宋体" w:hAnsi="宋体"/>
          <w:b/>
          <w:sz w:val="24"/>
        </w:rPr>
        <w:t xml:space="preserve">3.1 初步评审 </w:t>
      </w:r>
    </w:p>
    <w:p w14:paraId="7DDC7FC3">
      <w:pPr>
        <w:spacing w:line="360" w:lineRule="auto"/>
        <w:ind w:firstLine="480" w:firstLineChars="200"/>
        <w:rPr>
          <w:rFonts w:ascii="宋体" w:hAnsi="宋体"/>
          <w:sz w:val="24"/>
        </w:rPr>
      </w:pPr>
      <w:r>
        <w:rPr>
          <w:rFonts w:ascii="宋体" w:hAnsi="宋体"/>
          <w:sz w:val="24"/>
        </w:rPr>
        <w:t>3.1.1磋商小组应该以</w:t>
      </w:r>
      <w:r>
        <w:rPr>
          <w:rFonts w:hint="eastAsia" w:ascii="宋体" w:hAnsi="宋体"/>
          <w:sz w:val="24"/>
        </w:rPr>
        <w:t>响应文件</w:t>
      </w:r>
      <w:r>
        <w:rPr>
          <w:rFonts w:ascii="宋体" w:hAnsi="宋体"/>
          <w:sz w:val="24"/>
        </w:rPr>
        <w:t>为准，进行核验。磋商小组依据本章第2.1款规定的标准对磋商响应文件进行初步评审。有一项不符合评审标准的，作无效标处理。</w:t>
      </w:r>
    </w:p>
    <w:p w14:paraId="51FF3E32">
      <w:pPr>
        <w:spacing w:line="360" w:lineRule="auto"/>
        <w:ind w:firstLine="480" w:firstLineChars="200"/>
        <w:rPr>
          <w:rFonts w:ascii="宋体" w:hAnsi="宋体"/>
          <w:sz w:val="24"/>
        </w:rPr>
      </w:pPr>
      <w:r>
        <w:rPr>
          <w:rFonts w:hint="eastAsia" w:ascii="宋体" w:hAnsi="宋体"/>
          <w:sz w:val="24"/>
        </w:rPr>
        <w:t>3.1.2</w:t>
      </w:r>
      <w:r>
        <w:rPr>
          <w:rFonts w:ascii="宋体" w:hAnsi="宋体"/>
          <w:sz w:val="24"/>
        </w:rPr>
        <w:t>磋商小组依据本章第2.1.1项、第2.1.2项规定的评审标准对</w:t>
      </w:r>
      <w:r>
        <w:rPr>
          <w:rFonts w:hint="eastAsia" w:ascii="宋体" w:hAnsi="宋体"/>
          <w:sz w:val="24"/>
        </w:rPr>
        <w:t>响应</w:t>
      </w:r>
      <w:r>
        <w:rPr>
          <w:rFonts w:ascii="宋体" w:hAnsi="宋体"/>
          <w:sz w:val="24"/>
        </w:rPr>
        <w:t>文件进行初步评审。有一项不符合评审标准的，作无效标处理。</w:t>
      </w:r>
    </w:p>
    <w:p w14:paraId="6F4A0D1A">
      <w:pPr>
        <w:spacing w:line="360" w:lineRule="auto"/>
        <w:ind w:firstLine="480" w:firstLineChars="200"/>
        <w:rPr>
          <w:rFonts w:ascii="宋体" w:hAnsi="宋体"/>
          <w:sz w:val="24"/>
        </w:rPr>
      </w:pPr>
      <w:r>
        <w:rPr>
          <w:rFonts w:hint="eastAsia" w:ascii="宋体" w:hAnsi="宋体"/>
          <w:sz w:val="24"/>
        </w:rPr>
        <w:t>3.1.3供应商</w:t>
      </w:r>
      <w:r>
        <w:rPr>
          <w:rFonts w:ascii="宋体" w:hAnsi="宋体"/>
          <w:sz w:val="24"/>
        </w:rPr>
        <w:t>有以下情形之一的，其</w:t>
      </w:r>
      <w:r>
        <w:rPr>
          <w:rFonts w:hint="eastAsia" w:ascii="宋体" w:hAnsi="宋体"/>
          <w:sz w:val="24"/>
        </w:rPr>
        <w:t>磋商</w:t>
      </w:r>
      <w:r>
        <w:rPr>
          <w:rFonts w:ascii="宋体" w:hAnsi="宋体"/>
          <w:sz w:val="24"/>
        </w:rPr>
        <w:t>作无效标处理：</w:t>
      </w:r>
    </w:p>
    <w:p w14:paraId="5BB043D8">
      <w:pPr>
        <w:spacing w:line="360" w:lineRule="auto"/>
        <w:ind w:firstLine="480" w:firstLineChars="200"/>
        <w:rPr>
          <w:rFonts w:ascii="宋体" w:hAnsi="宋体"/>
          <w:sz w:val="24"/>
        </w:rPr>
      </w:pPr>
      <w:r>
        <w:rPr>
          <w:rFonts w:ascii="宋体" w:hAnsi="宋体"/>
          <w:sz w:val="24"/>
        </w:rPr>
        <w:t>（1）串通磋商或弄虚作假或有其他违法行为的；</w:t>
      </w:r>
    </w:p>
    <w:p w14:paraId="7DC2B055">
      <w:pPr>
        <w:spacing w:line="360" w:lineRule="auto"/>
        <w:ind w:firstLine="480" w:firstLineChars="200"/>
        <w:rPr>
          <w:rFonts w:ascii="宋体" w:hAnsi="宋体"/>
          <w:sz w:val="24"/>
        </w:rPr>
      </w:pPr>
      <w:r>
        <w:rPr>
          <w:rFonts w:ascii="宋体" w:hAnsi="宋体"/>
          <w:sz w:val="24"/>
        </w:rPr>
        <w:t>（2）不按磋商</w:t>
      </w:r>
      <w:r>
        <w:rPr>
          <w:rFonts w:hint="eastAsia" w:ascii="宋体" w:hAnsi="宋体"/>
          <w:sz w:val="24"/>
        </w:rPr>
        <w:t>小组</w:t>
      </w:r>
      <w:r>
        <w:rPr>
          <w:rFonts w:ascii="宋体" w:hAnsi="宋体"/>
          <w:sz w:val="24"/>
        </w:rPr>
        <w:t>要求澄清、说明或补正的。</w:t>
      </w:r>
    </w:p>
    <w:p w14:paraId="3098C6F6">
      <w:pPr>
        <w:spacing w:line="360" w:lineRule="auto"/>
        <w:ind w:firstLine="480" w:firstLineChars="200"/>
        <w:rPr>
          <w:rFonts w:ascii="宋体" w:hAnsi="宋体"/>
          <w:sz w:val="24"/>
        </w:rPr>
      </w:pPr>
      <w:r>
        <w:rPr>
          <w:rFonts w:hint="eastAsia" w:ascii="宋体" w:hAnsi="宋体"/>
          <w:sz w:val="24"/>
        </w:rPr>
        <w:t>3.1.4</w:t>
      </w:r>
      <w:r>
        <w:rPr>
          <w:rFonts w:ascii="宋体" w:hAnsi="宋体"/>
          <w:sz w:val="24"/>
        </w:rPr>
        <w:t>磋商报价有算术错误的，磋商小组按以下原则对磋商报价进行修正，修正的价格经</w:t>
      </w:r>
      <w:r>
        <w:rPr>
          <w:rFonts w:hint="eastAsia" w:ascii="宋体" w:hAnsi="宋体"/>
          <w:sz w:val="24"/>
        </w:rPr>
        <w:t>供应商</w:t>
      </w:r>
      <w:r>
        <w:rPr>
          <w:rFonts w:ascii="宋体" w:hAnsi="宋体"/>
          <w:sz w:val="24"/>
        </w:rPr>
        <w:t>确认后具有约束力。</w:t>
      </w:r>
      <w:r>
        <w:rPr>
          <w:rFonts w:hint="eastAsia" w:ascii="宋体" w:hAnsi="宋体"/>
          <w:sz w:val="24"/>
        </w:rPr>
        <w:t>供应商</w:t>
      </w:r>
      <w:r>
        <w:rPr>
          <w:rFonts w:ascii="宋体" w:hAnsi="宋体"/>
          <w:sz w:val="24"/>
        </w:rPr>
        <w:t xml:space="preserve">不接受修正价格的，其磋商作废标处理。 </w:t>
      </w:r>
    </w:p>
    <w:p w14:paraId="5A548D02">
      <w:pPr>
        <w:spacing w:line="360" w:lineRule="auto"/>
        <w:ind w:firstLine="480" w:firstLineChars="200"/>
        <w:rPr>
          <w:rFonts w:ascii="宋体" w:hAnsi="宋体"/>
          <w:sz w:val="24"/>
        </w:rPr>
      </w:pPr>
      <w:r>
        <w:rPr>
          <w:rFonts w:ascii="宋体" w:hAnsi="宋体"/>
          <w:sz w:val="24"/>
        </w:rPr>
        <w:t xml:space="preserve">（1）磋商文件中的大写金额与小写金额不一致的，以大写金额为准； </w:t>
      </w:r>
    </w:p>
    <w:p w14:paraId="686A6657">
      <w:pPr>
        <w:spacing w:line="360" w:lineRule="auto"/>
        <w:ind w:firstLine="480" w:firstLineChars="200"/>
        <w:rPr>
          <w:rFonts w:ascii="宋体" w:hAnsi="宋体"/>
          <w:sz w:val="24"/>
        </w:rPr>
      </w:pPr>
      <w:r>
        <w:rPr>
          <w:rFonts w:ascii="宋体" w:hAnsi="宋体"/>
          <w:sz w:val="24"/>
        </w:rPr>
        <w:t xml:space="preserve">（2）总价金额与依据单价计算出的结果不一致的，以单价金额为准修正总价，但单价金额小数点有明显错误的除外。 </w:t>
      </w:r>
    </w:p>
    <w:p w14:paraId="1F407B34">
      <w:pPr>
        <w:spacing w:line="360" w:lineRule="auto"/>
        <w:ind w:firstLine="482" w:firstLineChars="200"/>
        <w:rPr>
          <w:rFonts w:ascii="宋体" w:hAnsi="宋体"/>
          <w:b/>
          <w:sz w:val="24"/>
        </w:rPr>
      </w:pPr>
      <w:r>
        <w:rPr>
          <w:rFonts w:hint="eastAsia" w:ascii="宋体" w:hAnsi="宋体"/>
          <w:b/>
          <w:sz w:val="24"/>
        </w:rPr>
        <w:t>3.2</w:t>
      </w:r>
      <w:r>
        <w:rPr>
          <w:rFonts w:ascii="宋体" w:hAnsi="宋体"/>
          <w:b/>
          <w:sz w:val="24"/>
        </w:rPr>
        <w:t xml:space="preserve">详细评审 </w:t>
      </w:r>
    </w:p>
    <w:p w14:paraId="014FD74C">
      <w:pPr>
        <w:spacing w:line="360" w:lineRule="auto"/>
        <w:ind w:firstLine="480" w:firstLineChars="200"/>
        <w:rPr>
          <w:rFonts w:ascii="宋体" w:hAnsi="宋体"/>
          <w:sz w:val="24"/>
        </w:rPr>
      </w:pPr>
      <w:r>
        <w:rPr>
          <w:rFonts w:hint="eastAsia" w:ascii="宋体" w:hAnsi="宋体"/>
          <w:sz w:val="24"/>
        </w:rPr>
        <w:t>3.2.1</w:t>
      </w:r>
      <w:r>
        <w:rPr>
          <w:rFonts w:ascii="宋体" w:hAnsi="宋体"/>
          <w:sz w:val="24"/>
        </w:rPr>
        <w:t>磋商</w:t>
      </w:r>
      <w:r>
        <w:rPr>
          <w:rFonts w:hint="eastAsia" w:ascii="宋体" w:hAnsi="宋体"/>
          <w:sz w:val="24"/>
        </w:rPr>
        <w:t>小组</w:t>
      </w:r>
      <w:r>
        <w:rPr>
          <w:rFonts w:ascii="宋体" w:hAnsi="宋体"/>
          <w:sz w:val="24"/>
        </w:rPr>
        <w:t>按本章第 2.</w:t>
      </w:r>
      <w:r>
        <w:rPr>
          <w:rFonts w:hint="eastAsia" w:ascii="宋体" w:hAnsi="宋体"/>
          <w:sz w:val="24"/>
          <w:lang w:val="en-US" w:eastAsia="zh-CN"/>
        </w:rPr>
        <w:t>3</w:t>
      </w:r>
      <w:r>
        <w:rPr>
          <w:rFonts w:ascii="宋体" w:hAnsi="宋体"/>
          <w:sz w:val="24"/>
        </w:rPr>
        <w:t>款规定的量化因素和分值进行打分，并计算出综合评估得分。</w:t>
      </w:r>
    </w:p>
    <w:p w14:paraId="1D46AEE3">
      <w:pPr>
        <w:spacing w:line="360" w:lineRule="auto"/>
        <w:ind w:firstLine="480" w:firstLineChars="200"/>
        <w:rPr>
          <w:rFonts w:ascii="宋体" w:hAnsi="宋体"/>
          <w:sz w:val="24"/>
        </w:rPr>
      </w:pPr>
      <w:r>
        <w:rPr>
          <w:rFonts w:hint="eastAsia" w:ascii="宋体" w:hAnsi="宋体"/>
          <w:sz w:val="24"/>
        </w:rPr>
        <w:t>3.2.2</w:t>
      </w:r>
      <w:r>
        <w:rPr>
          <w:rFonts w:ascii="宋体" w:hAnsi="宋体"/>
          <w:sz w:val="24"/>
        </w:rPr>
        <w:t>在评审过程中，磋商小组发现</w:t>
      </w:r>
      <w:r>
        <w:rPr>
          <w:rFonts w:hint="eastAsia" w:ascii="宋体" w:hAnsi="宋体"/>
          <w:sz w:val="24"/>
        </w:rPr>
        <w:t>供应商</w:t>
      </w:r>
      <w:r>
        <w:rPr>
          <w:rFonts w:ascii="宋体" w:hAnsi="宋体"/>
          <w:sz w:val="24"/>
        </w:rPr>
        <w:t>的磋商报价明显低于其他</w:t>
      </w:r>
      <w:r>
        <w:rPr>
          <w:rFonts w:hint="eastAsia" w:ascii="宋体" w:hAnsi="宋体"/>
          <w:sz w:val="24"/>
        </w:rPr>
        <w:t>供应商</w:t>
      </w:r>
      <w:r>
        <w:rPr>
          <w:rFonts w:ascii="宋体" w:hAnsi="宋体"/>
          <w:sz w:val="24"/>
        </w:rPr>
        <w:t>的报价，并有可能低于其企业成本的，则磋商小组可以以</w:t>
      </w:r>
      <w:r>
        <w:rPr>
          <w:rFonts w:hint="eastAsia" w:ascii="宋体" w:hAnsi="宋体"/>
          <w:sz w:val="24"/>
        </w:rPr>
        <w:t>网上答疑</w:t>
      </w:r>
      <w:r>
        <w:rPr>
          <w:rFonts w:ascii="宋体" w:hAnsi="宋体"/>
          <w:sz w:val="24"/>
        </w:rPr>
        <w:t>形式要求该</w:t>
      </w:r>
      <w:r>
        <w:rPr>
          <w:rFonts w:hint="eastAsia" w:ascii="宋体" w:hAnsi="宋体"/>
          <w:sz w:val="24"/>
        </w:rPr>
        <w:t>供应商</w:t>
      </w:r>
      <w:r>
        <w:rPr>
          <w:rFonts w:ascii="宋体" w:hAnsi="宋体"/>
          <w:sz w:val="24"/>
        </w:rPr>
        <w:t>作出说明并提供相关证明材料。</w:t>
      </w:r>
      <w:r>
        <w:rPr>
          <w:rFonts w:hint="eastAsia" w:ascii="宋体" w:hAnsi="宋体"/>
          <w:sz w:val="24"/>
        </w:rPr>
        <w:t>供应商</w:t>
      </w:r>
      <w:r>
        <w:rPr>
          <w:rFonts w:ascii="宋体" w:hAnsi="宋体"/>
          <w:sz w:val="24"/>
        </w:rPr>
        <w:t>不能合理说明或不能提供相关证明材料的，磋商小组对其</w:t>
      </w:r>
      <w:r>
        <w:rPr>
          <w:rFonts w:hint="eastAsia" w:ascii="宋体" w:hAnsi="宋体"/>
          <w:sz w:val="24"/>
          <w:lang w:val="en-US" w:eastAsia="zh-CN"/>
        </w:rPr>
        <w:t>报价</w:t>
      </w:r>
      <w:r>
        <w:rPr>
          <w:rFonts w:ascii="宋体" w:hAnsi="宋体"/>
          <w:sz w:val="24"/>
        </w:rPr>
        <w:t>部分不再进行评审。</w:t>
      </w:r>
    </w:p>
    <w:p w14:paraId="675C1127">
      <w:pPr>
        <w:spacing w:line="360" w:lineRule="auto"/>
        <w:ind w:firstLine="480" w:firstLineChars="200"/>
        <w:rPr>
          <w:rFonts w:ascii="宋体" w:hAnsi="宋体"/>
          <w:sz w:val="24"/>
        </w:rPr>
      </w:pPr>
      <w:r>
        <w:rPr>
          <w:rFonts w:hint="eastAsia" w:ascii="宋体" w:hAnsi="宋体"/>
          <w:sz w:val="24"/>
        </w:rPr>
        <w:t>3.2.3评标打分部分按照100分制原则进行，涉及到资格审查、企业业绩等计分部分时，以供应商响应文件中的各类相应内容为准。</w:t>
      </w:r>
    </w:p>
    <w:p w14:paraId="238551DF">
      <w:pPr>
        <w:spacing w:line="360" w:lineRule="auto"/>
        <w:ind w:firstLine="482" w:firstLineChars="200"/>
        <w:rPr>
          <w:rFonts w:ascii="宋体" w:hAnsi="宋体"/>
          <w:b/>
          <w:sz w:val="24"/>
        </w:rPr>
      </w:pPr>
      <w:r>
        <w:rPr>
          <w:rFonts w:hint="eastAsia" w:ascii="宋体" w:hAnsi="宋体"/>
          <w:b/>
          <w:sz w:val="24"/>
        </w:rPr>
        <w:t>3.3</w:t>
      </w:r>
      <w:r>
        <w:rPr>
          <w:rFonts w:ascii="宋体" w:hAnsi="宋体"/>
          <w:b/>
          <w:sz w:val="24"/>
        </w:rPr>
        <w:t>磋商文件的澄清和补正</w:t>
      </w:r>
    </w:p>
    <w:p w14:paraId="1FC91043">
      <w:pPr>
        <w:spacing w:line="360" w:lineRule="auto"/>
        <w:ind w:firstLine="480" w:firstLineChars="200"/>
        <w:rPr>
          <w:rFonts w:ascii="宋体" w:hAnsi="宋体"/>
          <w:sz w:val="24"/>
        </w:rPr>
      </w:pPr>
      <w:r>
        <w:rPr>
          <w:rFonts w:hint="eastAsia" w:ascii="宋体" w:hAnsi="宋体"/>
          <w:sz w:val="24"/>
        </w:rPr>
        <w:t>3.3.1</w:t>
      </w:r>
      <w:r>
        <w:rPr>
          <w:rFonts w:ascii="宋体" w:hAnsi="宋体"/>
          <w:sz w:val="24"/>
        </w:rPr>
        <w:t>在磋商过程中，磋商小组可以</w:t>
      </w:r>
      <w:r>
        <w:rPr>
          <w:rFonts w:hint="eastAsia" w:ascii="宋体" w:hAnsi="宋体"/>
          <w:sz w:val="24"/>
        </w:rPr>
        <w:t>网上答疑</w:t>
      </w:r>
      <w:r>
        <w:rPr>
          <w:rFonts w:ascii="宋体" w:hAnsi="宋体"/>
          <w:sz w:val="24"/>
        </w:rPr>
        <w:t>形式要求</w:t>
      </w:r>
      <w:r>
        <w:rPr>
          <w:rFonts w:hint="eastAsia" w:ascii="宋体" w:hAnsi="宋体"/>
          <w:sz w:val="24"/>
        </w:rPr>
        <w:t>供应商</w:t>
      </w:r>
      <w:r>
        <w:rPr>
          <w:rFonts w:ascii="宋体" w:hAnsi="宋体"/>
          <w:sz w:val="24"/>
        </w:rPr>
        <w:t>对所提交磋商</w:t>
      </w:r>
      <w:r>
        <w:rPr>
          <w:rFonts w:hint="eastAsia" w:ascii="宋体" w:hAnsi="宋体"/>
          <w:sz w:val="24"/>
        </w:rPr>
        <w:t>响应</w:t>
      </w:r>
      <w:r>
        <w:rPr>
          <w:rFonts w:ascii="宋体" w:hAnsi="宋体"/>
          <w:sz w:val="24"/>
        </w:rPr>
        <w:t>文件中不明确的内容进行澄清或说明，或者对细微偏差进行补正。磋商</w:t>
      </w:r>
      <w:r>
        <w:rPr>
          <w:rFonts w:hint="eastAsia" w:ascii="宋体" w:hAnsi="宋体"/>
          <w:sz w:val="24"/>
        </w:rPr>
        <w:t>小组</w:t>
      </w:r>
      <w:r>
        <w:rPr>
          <w:rFonts w:ascii="宋体" w:hAnsi="宋体"/>
          <w:sz w:val="24"/>
        </w:rPr>
        <w:t>不接受</w:t>
      </w:r>
      <w:r>
        <w:rPr>
          <w:rFonts w:hint="eastAsia" w:ascii="宋体" w:hAnsi="宋体"/>
          <w:sz w:val="24"/>
        </w:rPr>
        <w:t>供应商</w:t>
      </w:r>
      <w:r>
        <w:rPr>
          <w:rFonts w:ascii="宋体" w:hAnsi="宋体"/>
          <w:sz w:val="24"/>
        </w:rPr>
        <w:t xml:space="preserve">主动提出的澄清、说明或补正。 </w:t>
      </w:r>
    </w:p>
    <w:p w14:paraId="550B374B">
      <w:pPr>
        <w:spacing w:line="360" w:lineRule="auto"/>
        <w:ind w:firstLine="480" w:firstLineChars="200"/>
        <w:rPr>
          <w:rFonts w:ascii="宋体" w:hAnsi="宋体"/>
          <w:sz w:val="24"/>
        </w:rPr>
      </w:pPr>
      <w:r>
        <w:rPr>
          <w:rFonts w:hint="eastAsia" w:ascii="宋体" w:hAnsi="宋体"/>
          <w:sz w:val="24"/>
        </w:rPr>
        <w:t>3.3.2</w:t>
      </w:r>
      <w:r>
        <w:rPr>
          <w:rFonts w:ascii="宋体" w:hAnsi="宋体"/>
          <w:sz w:val="24"/>
        </w:rPr>
        <w:t>澄清、说明和补正不得改变磋商文件的实质性内容（算术性错误修正的除外）。</w:t>
      </w:r>
      <w:r>
        <w:rPr>
          <w:rFonts w:hint="eastAsia" w:ascii="宋体" w:hAnsi="宋体"/>
          <w:sz w:val="24"/>
        </w:rPr>
        <w:t>供应商</w:t>
      </w:r>
      <w:r>
        <w:rPr>
          <w:rFonts w:ascii="宋体" w:hAnsi="宋体"/>
          <w:sz w:val="24"/>
        </w:rPr>
        <w:t>的澄清、说明和补正属于磋商响应文件的组成部分。</w:t>
      </w:r>
    </w:p>
    <w:p w14:paraId="37030098">
      <w:pPr>
        <w:spacing w:line="360" w:lineRule="auto"/>
        <w:ind w:firstLine="480" w:firstLineChars="200"/>
        <w:rPr>
          <w:rFonts w:ascii="宋体" w:hAnsi="宋体"/>
          <w:sz w:val="24"/>
        </w:rPr>
      </w:pPr>
      <w:r>
        <w:rPr>
          <w:rFonts w:hint="eastAsia" w:ascii="宋体" w:hAnsi="宋体"/>
          <w:sz w:val="24"/>
        </w:rPr>
        <w:t>3.3.3</w:t>
      </w:r>
      <w:r>
        <w:rPr>
          <w:rFonts w:ascii="宋体" w:hAnsi="宋体"/>
          <w:sz w:val="24"/>
        </w:rPr>
        <w:t>磋商小组对</w:t>
      </w:r>
      <w:r>
        <w:rPr>
          <w:rFonts w:hint="eastAsia" w:ascii="宋体" w:hAnsi="宋体"/>
          <w:sz w:val="24"/>
        </w:rPr>
        <w:t>供应商</w:t>
      </w:r>
      <w:r>
        <w:rPr>
          <w:rFonts w:ascii="宋体" w:hAnsi="宋体"/>
          <w:sz w:val="24"/>
        </w:rPr>
        <w:t>提交的澄清、说明或补正有疑问的，可以要求</w:t>
      </w:r>
      <w:r>
        <w:rPr>
          <w:rFonts w:hint="eastAsia" w:ascii="宋体" w:hAnsi="宋体"/>
          <w:sz w:val="24"/>
        </w:rPr>
        <w:t>供应商</w:t>
      </w:r>
      <w:r>
        <w:rPr>
          <w:rFonts w:ascii="宋体" w:hAnsi="宋体"/>
          <w:sz w:val="24"/>
        </w:rPr>
        <w:t>进一步澄清、说明或补正，直至满足磋商小组的要求。</w:t>
      </w:r>
    </w:p>
    <w:p w14:paraId="68D9B5DE">
      <w:pPr>
        <w:spacing w:line="360" w:lineRule="auto"/>
        <w:ind w:firstLine="482" w:firstLineChars="200"/>
        <w:rPr>
          <w:rFonts w:ascii="宋体" w:hAnsi="宋体"/>
          <w:b/>
          <w:sz w:val="24"/>
        </w:rPr>
      </w:pPr>
      <w:r>
        <w:rPr>
          <w:rFonts w:hint="eastAsia" w:ascii="宋体" w:hAnsi="宋体"/>
          <w:b/>
          <w:sz w:val="24"/>
        </w:rPr>
        <w:t>3.4</w:t>
      </w:r>
      <w:r>
        <w:rPr>
          <w:rFonts w:ascii="宋体" w:hAnsi="宋体"/>
          <w:b/>
          <w:sz w:val="24"/>
        </w:rPr>
        <w:t xml:space="preserve">磋商结果 </w:t>
      </w:r>
    </w:p>
    <w:p w14:paraId="5EE4F052">
      <w:pPr>
        <w:spacing w:line="360" w:lineRule="auto"/>
        <w:ind w:firstLine="480" w:firstLineChars="200"/>
        <w:rPr>
          <w:rFonts w:ascii="宋体" w:hAnsi="宋体"/>
          <w:sz w:val="24"/>
        </w:rPr>
      </w:pPr>
      <w:r>
        <w:rPr>
          <w:rFonts w:hint="eastAsia" w:ascii="宋体" w:hAnsi="宋体"/>
          <w:sz w:val="24"/>
        </w:rPr>
        <w:t>3.4.1</w:t>
      </w:r>
      <w:r>
        <w:rPr>
          <w:rFonts w:ascii="宋体" w:hAnsi="宋体"/>
          <w:sz w:val="24"/>
        </w:rPr>
        <w:t>磋商小组按照得分由高到低的顺序推荐</w:t>
      </w:r>
      <w:r>
        <w:rPr>
          <w:rFonts w:hint="eastAsia" w:ascii="宋体" w:hAnsi="宋体"/>
          <w:sz w:val="24"/>
        </w:rPr>
        <w:t>3名成交</w:t>
      </w:r>
      <w:r>
        <w:rPr>
          <w:rFonts w:ascii="宋体" w:hAnsi="宋体"/>
          <w:sz w:val="24"/>
        </w:rPr>
        <w:t>候选人</w:t>
      </w:r>
      <w:r>
        <w:rPr>
          <w:rFonts w:hint="eastAsia" w:ascii="宋体" w:hAnsi="宋体"/>
          <w:sz w:val="24"/>
        </w:rPr>
        <w:t>并排序</w:t>
      </w:r>
      <w:r>
        <w:rPr>
          <w:rFonts w:ascii="宋体" w:hAnsi="宋体"/>
          <w:sz w:val="24"/>
        </w:rPr>
        <w:t>。</w:t>
      </w:r>
    </w:p>
    <w:p w14:paraId="22A82728">
      <w:pPr>
        <w:spacing w:line="360" w:lineRule="auto"/>
        <w:ind w:firstLine="480" w:firstLineChars="200"/>
        <w:rPr>
          <w:rFonts w:ascii="宋体" w:hAnsi="宋体"/>
          <w:sz w:val="24"/>
        </w:rPr>
      </w:pPr>
      <w:r>
        <w:rPr>
          <w:rFonts w:ascii="宋体" w:hAnsi="宋体"/>
          <w:sz w:val="24"/>
        </w:rPr>
        <w:t>3.4.2磋商小组完成磋商后，应当向采购人提交书面</w:t>
      </w:r>
      <w:r>
        <w:rPr>
          <w:rFonts w:hint="eastAsia" w:ascii="宋体" w:hAnsi="宋体"/>
          <w:sz w:val="24"/>
        </w:rPr>
        <w:t>评标</w:t>
      </w:r>
      <w:r>
        <w:rPr>
          <w:rFonts w:ascii="宋体" w:hAnsi="宋体"/>
          <w:sz w:val="24"/>
        </w:rPr>
        <w:t>报告。</w:t>
      </w:r>
    </w:p>
    <w:p w14:paraId="7CE4886C">
      <w:pPr>
        <w:spacing w:line="360" w:lineRule="auto"/>
        <w:ind w:firstLine="482" w:firstLineChars="200"/>
        <w:rPr>
          <w:b/>
          <w:sz w:val="24"/>
        </w:rPr>
      </w:pPr>
      <w:r>
        <w:rPr>
          <w:b/>
          <w:sz w:val="24"/>
        </w:rPr>
        <w:t>附表1初步评审表</w:t>
      </w:r>
    </w:p>
    <w:p w14:paraId="500CC0BB">
      <w:pPr>
        <w:spacing w:line="360" w:lineRule="auto"/>
        <w:ind w:firstLine="480" w:firstLineChars="200"/>
        <w:rPr>
          <w:rFonts w:ascii="宋体" w:hAnsi="宋体"/>
          <w:sz w:val="24"/>
        </w:rPr>
      </w:pPr>
      <w:r>
        <w:rPr>
          <w:rFonts w:hint="eastAsia" w:ascii="宋体" w:hAnsi="宋体"/>
          <w:sz w:val="24"/>
        </w:rPr>
        <w:t>1、资格审查</w:t>
      </w:r>
    </w:p>
    <w:p w14:paraId="2F4D88F4">
      <w:pPr>
        <w:spacing w:line="360" w:lineRule="auto"/>
        <w:ind w:firstLine="480" w:firstLineChars="200"/>
        <w:rPr>
          <w:rFonts w:ascii="宋体" w:hAnsi="宋体"/>
          <w:sz w:val="24"/>
        </w:rPr>
      </w:pPr>
      <w:r>
        <w:rPr>
          <w:rFonts w:hint="eastAsia" w:ascii="宋体" w:hAnsi="宋体"/>
          <w:sz w:val="24"/>
        </w:rPr>
        <w:t>磋商小组按照</w:t>
      </w:r>
      <w:r>
        <w:rPr>
          <w:rFonts w:hint="eastAsia" w:ascii="宋体" w:hAnsi="宋体"/>
          <w:b/>
          <w:sz w:val="24"/>
        </w:rPr>
        <w:t>评标办法前附表2.1.1</w:t>
      </w:r>
      <w:r>
        <w:rPr>
          <w:rFonts w:hint="eastAsia" w:ascii="宋体" w:hAnsi="宋体"/>
          <w:sz w:val="24"/>
        </w:rPr>
        <w:t>的要求，对供应商的响应文件进行评审，有一项不符合的，视为未通过资格审查，不得进入下一评标过程。符合的进入下一评标程序。</w:t>
      </w:r>
    </w:p>
    <w:p w14:paraId="3836FA49">
      <w:pPr>
        <w:widowControl/>
        <w:spacing w:line="360" w:lineRule="auto"/>
        <w:ind w:firstLine="480" w:firstLineChars="200"/>
        <w:jc w:val="left"/>
        <w:rPr>
          <w:rFonts w:ascii="宋体" w:hAnsi="宋体"/>
          <w:sz w:val="24"/>
        </w:rPr>
      </w:pPr>
      <w:r>
        <w:rPr>
          <w:rFonts w:hint="eastAsia" w:ascii="宋体" w:hAnsi="宋体"/>
          <w:sz w:val="24"/>
        </w:rPr>
        <w:t>2、符合性审查</w:t>
      </w:r>
    </w:p>
    <w:p w14:paraId="06BCF3C7">
      <w:pPr>
        <w:spacing w:line="360" w:lineRule="auto"/>
        <w:ind w:firstLine="480" w:firstLineChars="200"/>
        <w:rPr>
          <w:rFonts w:ascii="宋体" w:hAnsi="宋体"/>
          <w:sz w:val="24"/>
        </w:rPr>
      </w:pPr>
      <w:r>
        <w:rPr>
          <w:rFonts w:hint="eastAsia" w:ascii="宋体" w:hAnsi="宋体"/>
          <w:sz w:val="24"/>
        </w:rPr>
        <w:t>磋商小组按照</w:t>
      </w:r>
      <w:r>
        <w:rPr>
          <w:rFonts w:hint="eastAsia" w:ascii="宋体" w:hAnsi="宋体"/>
          <w:b/>
          <w:sz w:val="24"/>
        </w:rPr>
        <w:t>评标办法前附表2.1.2</w:t>
      </w:r>
      <w:r>
        <w:rPr>
          <w:rFonts w:hint="eastAsia" w:ascii="宋体" w:hAnsi="宋体"/>
          <w:sz w:val="24"/>
        </w:rPr>
        <w:t>的要求，对供应商的响应文件进行评审，有一项不符合的，视为未通过符合性审查，不得进入下一评标过程。符合的进入下一评标程序。</w:t>
      </w:r>
    </w:p>
    <w:p w14:paraId="1892F3C0">
      <w:pPr>
        <w:spacing w:line="360" w:lineRule="auto"/>
        <w:ind w:firstLine="413" w:firstLineChars="147"/>
        <w:rPr>
          <w:rFonts w:cs="宋体"/>
          <w:b/>
          <w:sz w:val="28"/>
          <w:szCs w:val="28"/>
        </w:rPr>
      </w:pPr>
      <w:r>
        <w:rPr>
          <w:rFonts w:hint="eastAsia" w:cs="宋体"/>
          <w:b/>
          <w:sz w:val="28"/>
          <w:szCs w:val="28"/>
        </w:rPr>
        <w:t>评标办法前附表：</w:t>
      </w:r>
    </w:p>
    <w:tbl>
      <w:tblPr>
        <w:tblStyle w:val="14"/>
        <w:tblW w:w="8418"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9"/>
        <w:gridCol w:w="575"/>
        <w:gridCol w:w="1548"/>
        <w:gridCol w:w="5546"/>
      </w:tblGrid>
      <w:tr w14:paraId="40BDC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749" w:type="dxa"/>
          </w:tcPr>
          <w:p w14:paraId="5E30A772">
            <w:pPr>
              <w:pStyle w:val="32"/>
              <w:spacing w:before="64" w:line="360" w:lineRule="auto"/>
              <w:ind w:right="42"/>
              <w:jc w:val="center"/>
              <w:rPr>
                <w:sz w:val="24"/>
                <w:szCs w:val="24"/>
              </w:rPr>
            </w:pPr>
            <w:r>
              <w:rPr>
                <w:w w:val="95"/>
                <w:sz w:val="24"/>
                <w:szCs w:val="24"/>
              </w:rPr>
              <w:t>条款号</w:t>
            </w:r>
          </w:p>
        </w:tc>
        <w:tc>
          <w:tcPr>
            <w:tcW w:w="2123" w:type="dxa"/>
            <w:gridSpan w:val="2"/>
          </w:tcPr>
          <w:p w14:paraId="74E326AC">
            <w:pPr>
              <w:pStyle w:val="32"/>
              <w:spacing w:before="64" w:line="360" w:lineRule="auto"/>
              <w:jc w:val="center"/>
              <w:rPr>
                <w:sz w:val="24"/>
                <w:szCs w:val="24"/>
              </w:rPr>
            </w:pPr>
            <w:r>
              <w:rPr>
                <w:sz w:val="24"/>
                <w:szCs w:val="24"/>
              </w:rPr>
              <w:t>评审因素</w:t>
            </w:r>
          </w:p>
        </w:tc>
        <w:tc>
          <w:tcPr>
            <w:tcW w:w="5546" w:type="dxa"/>
            <w:vAlign w:val="center"/>
          </w:tcPr>
          <w:p w14:paraId="519741FA">
            <w:pPr>
              <w:jc w:val="center"/>
            </w:pPr>
            <w:r>
              <w:rPr>
                <w:rFonts w:ascii="宋体" w:hAnsi="宋体" w:cs="宋体"/>
                <w:kern w:val="0"/>
                <w:sz w:val="24"/>
                <w:lang w:val="zh-CN" w:bidi="zh-CN"/>
              </w:rPr>
              <w:t>评审标准</w:t>
            </w:r>
          </w:p>
        </w:tc>
      </w:tr>
      <w:tr w14:paraId="13EE7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3" w:hRule="atLeast"/>
        </w:trPr>
        <w:tc>
          <w:tcPr>
            <w:tcW w:w="749" w:type="dxa"/>
            <w:vMerge w:val="restart"/>
            <w:vAlign w:val="center"/>
          </w:tcPr>
          <w:p w14:paraId="72CF4715">
            <w:pPr>
              <w:pStyle w:val="32"/>
              <w:spacing w:line="360" w:lineRule="auto"/>
              <w:ind w:right="71"/>
              <w:jc w:val="center"/>
              <w:rPr>
                <w:sz w:val="24"/>
                <w:szCs w:val="24"/>
              </w:rPr>
            </w:pPr>
            <w:r>
              <w:rPr>
                <w:sz w:val="24"/>
                <w:szCs w:val="24"/>
              </w:rPr>
              <w:t>2.1.1</w:t>
            </w:r>
          </w:p>
        </w:tc>
        <w:tc>
          <w:tcPr>
            <w:tcW w:w="575" w:type="dxa"/>
            <w:vMerge w:val="restart"/>
            <w:vAlign w:val="center"/>
          </w:tcPr>
          <w:p w14:paraId="4A659D96">
            <w:pPr>
              <w:pStyle w:val="32"/>
              <w:spacing w:line="360" w:lineRule="auto"/>
              <w:ind w:left="106"/>
              <w:jc w:val="center"/>
              <w:rPr>
                <w:sz w:val="24"/>
                <w:szCs w:val="24"/>
              </w:rPr>
            </w:pPr>
            <w:r>
              <w:rPr>
                <w:rFonts w:hint="eastAsia"/>
                <w:sz w:val="24"/>
                <w:szCs w:val="24"/>
              </w:rPr>
              <w:t>资</w:t>
            </w:r>
          </w:p>
          <w:p w14:paraId="4331C912">
            <w:pPr>
              <w:pStyle w:val="32"/>
              <w:spacing w:line="360" w:lineRule="auto"/>
              <w:ind w:left="106"/>
              <w:jc w:val="center"/>
              <w:rPr>
                <w:sz w:val="24"/>
                <w:szCs w:val="24"/>
              </w:rPr>
            </w:pPr>
            <w:r>
              <w:rPr>
                <w:rFonts w:hint="eastAsia"/>
                <w:sz w:val="24"/>
                <w:szCs w:val="24"/>
              </w:rPr>
              <w:t>格</w:t>
            </w:r>
          </w:p>
          <w:p w14:paraId="318BF1ED">
            <w:pPr>
              <w:pStyle w:val="32"/>
              <w:spacing w:line="360" w:lineRule="auto"/>
              <w:ind w:left="106"/>
              <w:jc w:val="center"/>
              <w:rPr>
                <w:sz w:val="24"/>
                <w:szCs w:val="24"/>
              </w:rPr>
            </w:pPr>
            <w:r>
              <w:rPr>
                <w:sz w:val="24"/>
                <w:szCs w:val="24"/>
              </w:rPr>
              <w:t>评</w:t>
            </w:r>
          </w:p>
          <w:p w14:paraId="4A4A9C6C">
            <w:pPr>
              <w:pStyle w:val="32"/>
              <w:spacing w:line="360" w:lineRule="auto"/>
              <w:ind w:left="106"/>
              <w:jc w:val="center"/>
              <w:rPr>
                <w:sz w:val="24"/>
                <w:szCs w:val="24"/>
              </w:rPr>
            </w:pPr>
            <w:r>
              <w:rPr>
                <w:sz w:val="24"/>
                <w:szCs w:val="24"/>
              </w:rPr>
              <w:t>审</w:t>
            </w:r>
          </w:p>
          <w:p w14:paraId="57F3CB31">
            <w:pPr>
              <w:pStyle w:val="32"/>
              <w:spacing w:line="360" w:lineRule="auto"/>
              <w:ind w:left="106"/>
              <w:jc w:val="center"/>
              <w:rPr>
                <w:sz w:val="24"/>
                <w:szCs w:val="24"/>
              </w:rPr>
            </w:pPr>
            <w:r>
              <w:rPr>
                <w:rFonts w:hint="eastAsia"/>
                <w:sz w:val="24"/>
                <w:szCs w:val="24"/>
              </w:rPr>
              <w:t>标</w:t>
            </w:r>
          </w:p>
          <w:p w14:paraId="361E27F2">
            <w:pPr>
              <w:pStyle w:val="32"/>
              <w:spacing w:line="360" w:lineRule="auto"/>
              <w:ind w:left="106"/>
              <w:jc w:val="center"/>
              <w:rPr>
                <w:sz w:val="24"/>
                <w:szCs w:val="24"/>
              </w:rPr>
            </w:pPr>
            <w:r>
              <w:rPr>
                <w:rFonts w:hint="eastAsia"/>
                <w:sz w:val="24"/>
                <w:szCs w:val="24"/>
              </w:rPr>
              <w:t>准</w:t>
            </w:r>
          </w:p>
        </w:tc>
        <w:tc>
          <w:tcPr>
            <w:tcW w:w="1548" w:type="dxa"/>
            <w:vAlign w:val="center"/>
          </w:tcPr>
          <w:p w14:paraId="7DAC3740">
            <w:pPr>
              <w:pStyle w:val="32"/>
              <w:spacing w:before="57" w:line="360" w:lineRule="auto"/>
              <w:ind w:left="121" w:right="2"/>
              <w:jc w:val="center"/>
              <w:rPr>
                <w:rFonts w:cs="Times New Roman"/>
                <w:kern w:val="2"/>
                <w:sz w:val="24"/>
                <w:szCs w:val="24"/>
                <w:lang w:val="en-US" w:bidi="ar-SA"/>
              </w:rPr>
            </w:pPr>
            <w:r>
              <w:rPr>
                <w:rFonts w:hint="eastAsia" w:cs="Times New Roman"/>
                <w:kern w:val="2"/>
                <w:sz w:val="24"/>
                <w:szCs w:val="24"/>
                <w:lang w:val="en-US" w:bidi="ar-SA"/>
              </w:rPr>
              <w:t>满足《中华人民共和国政府采购法》第二十二条规定</w:t>
            </w:r>
          </w:p>
        </w:tc>
        <w:tc>
          <w:tcPr>
            <w:tcW w:w="5546" w:type="dxa"/>
            <w:vAlign w:val="center"/>
          </w:tcPr>
          <w:p w14:paraId="3DBF3A6C">
            <w:pPr>
              <w:wordWrap w:val="0"/>
              <w:spacing w:line="360" w:lineRule="auto"/>
              <w:rPr>
                <w:rFonts w:ascii="宋体" w:hAnsi="宋体"/>
                <w:sz w:val="24"/>
              </w:rPr>
            </w:pPr>
            <w:r>
              <w:rPr>
                <w:rFonts w:hint="eastAsia" w:ascii="宋体" w:hAnsi="宋体"/>
                <w:sz w:val="24"/>
              </w:rPr>
              <w:t>供应商满足《中华人民共和国政府采购法》第二十二条规定条件（提供相关证明资料或承诺书）</w:t>
            </w:r>
          </w:p>
        </w:tc>
      </w:tr>
      <w:tr w14:paraId="757A6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749" w:type="dxa"/>
            <w:vMerge w:val="continue"/>
            <w:vAlign w:val="center"/>
          </w:tcPr>
          <w:p w14:paraId="46097359">
            <w:pPr>
              <w:pStyle w:val="32"/>
              <w:spacing w:line="360" w:lineRule="auto"/>
              <w:ind w:right="71"/>
              <w:jc w:val="center"/>
              <w:rPr>
                <w:sz w:val="24"/>
                <w:szCs w:val="24"/>
              </w:rPr>
            </w:pPr>
          </w:p>
        </w:tc>
        <w:tc>
          <w:tcPr>
            <w:tcW w:w="575" w:type="dxa"/>
            <w:vMerge w:val="continue"/>
            <w:vAlign w:val="center"/>
          </w:tcPr>
          <w:p w14:paraId="17630FF5">
            <w:pPr>
              <w:pStyle w:val="32"/>
              <w:spacing w:line="360" w:lineRule="auto"/>
              <w:ind w:left="106"/>
              <w:jc w:val="center"/>
              <w:rPr>
                <w:sz w:val="24"/>
                <w:szCs w:val="24"/>
              </w:rPr>
            </w:pPr>
          </w:p>
        </w:tc>
        <w:tc>
          <w:tcPr>
            <w:tcW w:w="1548" w:type="dxa"/>
            <w:vAlign w:val="center"/>
          </w:tcPr>
          <w:p w14:paraId="32FCBDB0">
            <w:pPr>
              <w:pStyle w:val="32"/>
              <w:spacing w:before="57" w:line="360" w:lineRule="auto"/>
              <w:ind w:left="121" w:right="2"/>
              <w:jc w:val="center"/>
              <w:rPr>
                <w:bCs/>
                <w:kern w:val="2"/>
                <w:sz w:val="24"/>
                <w:szCs w:val="24"/>
                <w:lang w:val="en-US" w:bidi="ar-SA"/>
              </w:rPr>
            </w:pPr>
            <w:r>
              <w:rPr>
                <w:rFonts w:hint="eastAsia"/>
                <w:bCs/>
                <w:kern w:val="2"/>
                <w:sz w:val="24"/>
                <w:szCs w:val="24"/>
                <w:lang w:val="en-US" w:bidi="ar-SA"/>
              </w:rPr>
              <w:t>营业执照</w:t>
            </w:r>
          </w:p>
        </w:tc>
        <w:tc>
          <w:tcPr>
            <w:tcW w:w="5546" w:type="dxa"/>
            <w:vAlign w:val="center"/>
          </w:tcPr>
          <w:p w14:paraId="32AE0BE3">
            <w:pPr>
              <w:wordWrap w:val="0"/>
              <w:spacing w:line="360" w:lineRule="auto"/>
              <w:rPr>
                <w:rFonts w:ascii="宋体" w:hAnsi="宋体" w:cs="宋体"/>
                <w:bCs/>
                <w:sz w:val="24"/>
                <w:lang w:val="zh-CN"/>
              </w:rPr>
            </w:pPr>
            <w:r>
              <w:rPr>
                <w:rFonts w:hint="eastAsia" w:ascii="宋体" w:hAnsi="宋体" w:cs="宋体"/>
                <w:sz w:val="24"/>
              </w:rPr>
              <w:t>供应商具有独立承担民事责任的能力；(供应商是企业（包括合伙企业），应提供在市场监督管理局注册的有效“企业法人营业执照”；供应商是事业单位，应提供有效的“事业单位法人证书”)；；</w:t>
            </w:r>
          </w:p>
        </w:tc>
      </w:tr>
      <w:tr w14:paraId="7A9A5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749" w:type="dxa"/>
            <w:vMerge w:val="continue"/>
            <w:vAlign w:val="center"/>
          </w:tcPr>
          <w:p w14:paraId="51F6DED1">
            <w:pPr>
              <w:pStyle w:val="32"/>
              <w:spacing w:line="360" w:lineRule="auto"/>
              <w:ind w:right="71"/>
              <w:jc w:val="center"/>
              <w:rPr>
                <w:sz w:val="24"/>
                <w:szCs w:val="24"/>
              </w:rPr>
            </w:pPr>
          </w:p>
        </w:tc>
        <w:tc>
          <w:tcPr>
            <w:tcW w:w="575" w:type="dxa"/>
            <w:vMerge w:val="continue"/>
            <w:vAlign w:val="center"/>
          </w:tcPr>
          <w:p w14:paraId="78914AB6">
            <w:pPr>
              <w:pStyle w:val="32"/>
              <w:spacing w:line="360" w:lineRule="auto"/>
              <w:ind w:left="106"/>
              <w:jc w:val="center"/>
              <w:rPr>
                <w:sz w:val="24"/>
                <w:szCs w:val="24"/>
              </w:rPr>
            </w:pPr>
          </w:p>
        </w:tc>
        <w:tc>
          <w:tcPr>
            <w:tcW w:w="1548" w:type="dxa"/>
            <w:vAlign w:val="center"/>
          </w:tcPr>
          <w:p w14:paraId="001D9FB4">
            <w:pPr>
              <w:pStyle w:val="32"/>
              <w:spacing w:before="57" w:line="360" w:lineRule="auto"/>
              <w:ind w:left="121" w:right="2"/>
              <w:jc w:val="center"/>
              <w:rPr>
                <w:bCs/>
                <w:kern w:val="2"/>
                <w:sz w:val="24"/>
                <w:szCs w:val="24"/>
                <w:lang w:val="en-US" w:bidi="ar-SA"/>
              </w:rPr>
            </w:pPr>
            <w:r>
              <w:rPr>
                <w:rFonts w:hint="eastAsia"/>
                <w:bCs/>
                <w:kern w:val="2"/>
                <w:sz w:val="24"/>
                <w:szCs w:val="24"/>
                <w:lang w:val="en-US" w:bidi="ar-SA"/>
              </w:rPr>
              <w:t>无行贿查询</w:t>
            </w:r>
          </w:p>
        </w:tc>
        <w:tc>
          <w:tcPr>
            <w:tcW w:w="5546" w:type="dxa"/>
            <w:vAlign w:val="center"/>
          </w:tcPr>
          <w:p w14:paraId="2AD46C32">
            <w:pPr>
              <w:spacing w:line="360" w:lineRule="auto"/>
              <w:rPr>
                <w:rFonts w:ascii="宋体" w:hAnsi="宋体" w:cs="宋体"/>
                <w:bCs/>
                <w:sz w:val="24"/>
              </w:rPr>
            </w:pPr>
            <w:r>
              <w:rPr>
                <w:rFonts w:hint="eastAsia" w:ascii="宋体" w:hAnsi="宋体" w:cs="宋体"/>
                <w:bCs/>
                <w:sz w:val="24"/>
              </w:rPr>
              <w:t>供应商出具无行贿犯罪记录在中国裁判文书网自行查询或自行承诺（查询对象：企业、法定代表人）；</w:t>
            </w:r>
          </w:p>
        </w:tc>
      </w:tr>
      <w:tr w14:paraId="6DF24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0" w:hRule="atLeast"/>
        </w:trPr>
        <w:tc>
          <w:tcPr>
            <w:tcW w:w="749" w:type="dxa"/>
            <w:vMerge w:val="continue"/>
            <w:vAlign w:val="center"/>
          </w:tcPr>
          <w:p w14:paraId="41191562">
            <w:pPr>
              <w:pStyle w:val="32"/>
              <w:spacing w:line="360" w:lineRule="auto"/>
              <w:ind w:right="71"/>
              <w:jc w:val="center"/>
              <w:rPr>
                <w:sz w:val="24"/>
                <w:szCs w:val="24"/>
              </w:rPr>
            </w:pPr>
          </w:p>
        </w:tc>
        <w:tc>
          <w:tcPr>
            <w:tcW w:w="575" w:type="dxa"/>
            <w:vMerge w:val="continue"/>
            <w:vAlign w:val="center"/>
          </w:tcPr>
          <w:p w14:paraId="4D0E24D1">
            <w:pPr>
              <w:pStyle w:val="32"/>
              <w:spacing w:line="360" w:lineRule="auto"/>
              <w:ind w:left="106"/>
              <w:jc w:val="center"/>
              <w:rPr>
                <w:sz w:val="24"/>
                <w:szCs w:val="24"/>
              </w:rPr>
            </w:pPr>
          </w:p>
        </w:tc>
        <w:tc>
          <w:tcPr>
            <w:tcW w:w="1548" w:type="dxa"/>
            <w:vAlign w:val="center"/>
          </w:tcPr>
          <w:p w14:paraId="5151FFB0">
            <w:pPr>
              <w:pStyle w:val="32"/>
              <w:spacing w:before="57" w:line="360" w:lineRule="auto"/>
              <w:ind w:left="121" w:right="2"/>
              <w:jc w:val="center"/>
              <w:rPr>
                <w:bCs/>
                <w:kern w:val="2"/>
                <w:sz w:val="24"/>
                <w:szCs w:val="24"/>
                <w:lang w:val="en-US" w:bidi="ar-SA"/>
              </w:rPr>
            </w:pPr>
            <w:r>
              <w:rPr>
                <w:rFonts w:hint="eastAsia"/>
                <w:bCs/>
                <w:kern w:val="2"/>
                <w:sz w:val="24"/>
                <w:szCs w:val="24"/>
                <w:lang w:val="en-US" w:bidi="ar-SA"/>
              </w:rPr>
              <w:t>无商业贿赂和不正当竞争行为承诺书</w:t>
            </w:r>
          </w:p>
        </w:tc>
        <w:tc>
          <w:tcPr>
            <w:tcW w:w="5546" w:type="dxa"/>
            <w:vAlign w:val="center"/>
          </w:tcPr>
          <w:p w14:paraId="00CBA8FB">
            <w:pPr>
              <w:spacing w:line="360" w:lineRule="auto"/>
              <w:rPr>
                <w:rFonts w:ascii="宋体" w:hAnsi="宋体" w:cs="宋体"/>
                <w:bCs/>
                <w:sz w:val="24"/>
              </w:rPr>
            </w:pPr>
            <w:r>
              <w:rPr>
                <w:rFonts w:hint="eastAsia" w:ascii="宋体" w:hAnsi="宋体" w:cs="宋体"/>
                <w:bCs/>
                <w:sz w:val="24"/>
              </w:rPr>
              <w:t>供应商须提供本企业无商业贿赂和不正当竞争行为承诺书；</w:t>
            </w:r>
          </w:p>
        </w:tc>
      </w:tr>
      <w:tr w14:paraId="756E5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4" w:hRule="atLeast"/>
        </w:trPr>
        <w:tc>
          <w:tcPr>
            <w:tcW w:w="749" w:type="dxa"/>
            <w:vMerge w:val="continue"/>
          </w:tcPr>
          <w:p w14:paraId="11761588">
            <w:pPr>
              <w:pStyle w:val="32"/>
              <w:spacing w:line="360" w:lineRule="auto"/>
              <w:rPr>
                <w:sz w:val="24"/>
                <w:szCs w:val="24"/>
              </w:rPr>
            </w:pPr>
          </w:p>
        </w:tc>
        <w:tc>
          <w:tcPr>
            <w:tcW w:w="575" w:type="dxa"/>
            <w:vMerge w:val="continue"/>
          </w:tcPr>
          <w:p w14:paraId="3195F447">
            <w:pPr>
              <w:pStyle w:val="32"/>
              <w:spacing w:line="360" w:lineRule="auto"/>
              <w:rPr>
                <w:sz w:val="24"/>
                <w:szCs w:val="24"/>
              </w:rPr>
            </w:pPr>
          </w:p>
        </w:tc>
        <w:tc>
          <w:tcPr>
            <w:tcW w:w="1548" w:type="dxa"/>
            <w:tcBorders>
              <w:bottom w:val="single" w:color="000000" w:sz="4" w:space="0"/>
            </w:tcBorders>
            <w:vAlign w:val="center"/>
          </w:tcPr>
          <w:p w14:paraId="2D7B155F">
            <w:pPr>
              <w:pStyle w:val="32"/>
              <w:spacing w:line="360" w:lineRule="auto"/>
              <w:jc w:val="center"/>
              <w:rPr>
                <w:rFonts w:cs="Times New Roman"/>
                <w:kern w:val="2"/>
                <w:sz w:val="24"/>
                <w:szCs w:val="24"/>
                <w:lang w:val="en-US" w:bidi="ar-SA"/>
              </w:rPr>
            </w:pPr>
            <w:r>
              <w:rPr>
                <w:rFonts w:hint="eastAsia" w:cs="Times New Roman"/>
                <w:kern w:val="2"/>
                <w:sz w:val="24"/>
                <w:szCs w:val="24"/>
                <w:lang w:val="en-US" w:bidi="ar-SA"/>
              </w:rPr>
              <w:t>信用查询</w:t>
            </w:r>
          </w:p>
        </w:tc>
        <w:tc>
          <w:tcPr>
            <w:tcW w:w="5546" w:type="dxa"/>
            <w:tcBorders>
              <w:bottom w:val="single" w:color="000000" w:sz="4" w:space="0"/>
            </w:tcBorders>
            <w:vAlign w:val="center"/>
          </w:tcPr>
          <w:p w14:paraId="3F6A992C">
            <w:pPr>
              <w:spacing w:line="360" w:lineRule="auto"/>
              <w:rPr>
                <w:rFonts w:ascii="宋体" w:hAnsi="宋体"/>
                <w:sz w:val="24"/>
              </w:rPr>
            </w:pPr>
            <w:r>
              <w:rPr>
                <w:rFonts w:hint="eastAsia" w:ascii="宋体" w:hAnsi="宋体" w:cs="宋体"/>
                <w:bCs/>
                <w:sz w:val="24"/>
              </w:rPr>
              <w:t>供应商没有被列入“中国执行信息公开网”的“失信被执行人”、“信用中国”的“重大税收违法失信主体”及“中国政府采购网站”的“政府采购严重违法失信行为记录名单”。【查询渠道：“中国执行信息公开网”（http://zxgk.court.gov.cn/）“信用中国”网站（www.creditchina.gov.cn）、“中国政府采购网”（www.ccgp.gov.cn）】(注：査询时间必须是本公告发布之后开标之前，查询结果清晰可见)；</w:t>
            </w:r>
          </w:p>
        </w:tc>
      </w:tr>
      <w:tr w14:paraId="4B7E4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4" w:hRule="atLeast"/>
        </w:trPr>
        <w:tc>
          <w:tcPr>
            <w:tcW w:w="749" w:type="dxa"/>
            <w:vMerge w:val="continue"/>
          </w:tcPr>
          <w:p w14:paraId="7424A588">
            <w:pPr>
              <w:pStyle w:val="32"/>
              <w:spacing w:line="360" w:lineRule="auto"/>
              <w:rPr>
                <w:sz w:val="24"/>
                <w:szCs w:val="24"/>
              </w:rPr>
            </w:pPr>
          </w:p>
        </w:tc>
        <w:tc>
          <w:tcPr>
            <w:tcW w:w="575" w:type="dxa"/>
            <w:vMerge w:val="continue"/>
          </w:tcPr>
          <w:p w14:paraId="782BDEDB">
            <w:pPr>
              <w:pStyle w:val="32"/>
              <w:spacing w:line="360" w:lineRule="auto"/>
              <w:rPr>
                <w:sz w:val="24"/>
                <w:szCs w:val="24"/>
              </w:rPr>
            </w:pPr>
          </w:p>
        </w:tc>
        <w:tc>
          <w:tcPr>
            <w:tcW w:w="1548" w:type="dxa"/>
            <w:tcBorders>
              <w:top w:val="single" w:color="000000" w:sz="4" w:space="0"/>
              <w:bottom w:val="nil"/>
            </w:tcBorders>
            <w:vAlign w:val="center"/>
          </w:tcPr>
          <w:p w14:paraId="5DC228EA">
            <w:pPr>
              <w:pStyle w:val="32"/>
              <w:spacing w:line="360" w:lineRule="auto"/>
              <w:jc w:val="center"/>
              <w:rPr>
                <w:rFonts w:cs="Times New Roman"/>
                <w:kern w:val="2"/>
                <w:sz w:val="24"/>
                <w:szCs w:val="24"/>
                <w:lang w:val="en-US" w:bidi="ar-SA"/>
              </w:rPr>
            </w:pPr>
            <w:r>
              <w:rPr>
                <w:rFonts w:hint="eastAsia"/>
                <w:sz w:val="24"/>
                <w:szCs w:val="24"/>
                <w:lang w:val="en-US"/>
              </w:rPr>
              <w:t>单位负责人为同一人或者存在直接控股、管理关系的不同投标人，不得同时参加本次招标活动</w:t>
            </w:r>
          </w:p>
        </w:tc>
        <w:tc>
          <w:tcPr>
            <w:tcW w:w="5546" w:type="dxa"/>
            <w:tcBorders>
              <w:top w:val="single" w:color="000000" w:sz="4" w:space="0"/>
              <w:bottom w:val="nil"/>
            </w:tcBorders>
            <w:vAlign w:val="center"/>
          </w:tcPr>
          <w:p w14:paraId="62FDB0C8">
            <w:pPr>
              <w:spacing w:line="360" w:lineRule="auto"/>
              <w:rPr>
                <w:rFonts w:ascii="宋体" w:hAnsi="宋体" w:cs="宋体"/>
                <w:bCs/>
                <w:sz w:val="24"/>
              </w:rPr>
            </w:pPr>
            <w:r>
              <w:rPr>
                <w:rFonts w:hint="eastAsia" w:ascii="宋体" w:hAnsi="宋体" w:cs="宋体"/>
                <w:sz w:val="24"/>
              </w:rPr>
              <w:t>单位负责人为同一人或者存在直接控股、管理关系的不同投标人，不得同时参加本次招标活动，提供国家企业信用信息公示系统（网址http://www.gsxt.gov.cn/）公示的企业信息网页截图，查询内容须包含公司基本信息、股东信息）或供应商自行承诺并承担后果，承诺书不实的，按《政府采购法》有关提供虚假材料的有关规定给予处罚；</w:t>
            </w:r>
          </w:p>
        </w:tc>
      </w:tr>
      <w:tr w14:paraId="003D6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749" w:type="dxa"/>
            <w:vMerge w:val="continue"/>
          </w:tcPr>
          <w:p w14:paraId="4C806900">
            <w:pPr>
              <w:pStyle w:val="32"/>
              <w:spacing w:line="360" w:lineRule="auto"/>
              <w:rPr>
                <w:sz w:val="24"/>
                <w:szCs w:val="24"/>
                <w:lang w:val="en-US"/>
              </w:rPr>
            </w:pPr>
          </w:p>
        </w:tc>
        <w:tc>
          <w:tcPr>
            <w:tcW w:w="575" w:type="dxa"/>
            <w:vMerge w:val="continue"/>
          </w:tcPr>
          <w:p w14:paraId="70CBA4CD">
            <w:pPr>
              <w:pStyle w:val="32"/>
              <w:spacing w:line="360" w:lineRule="auto"/>
              <w:rPr>
                <w:sz w:val="24"/>
                <w:szCs w:val="24"/>
                <w:lang w:val="en-US"/>
              </w:rPr>
            </w:pPr>
          </w:p>
        </w:tc>
        <w:tc>
          <w:tcPr>
            <w:tcW w:w="1548" w:type="dxa"/>
            <w:tcBorders>
              <w:bottom w:val="nil"/>
            </w:tcBorders>
            <w:vAlign w:val="center"/>
          </w:tcPr>
          <w:p w14:paraId="3F4CAED2">
            <w:pPr>
              <w:pStyle w:val="32"/>
              <w:spacing w:line="360" w:lineRule="auto"/>
              <w:jc w:val="center"/>
              <w:rPr>
                <w:rFonts w:cs="Times New Roman"/>
                <w:kern w:val="2"/>
                <w:sz w:val="24"/>
                <w:szCs w:val="24"/>
                <w:lang w:val="en-US" w:bidi="ar-SA"/>
              </w:rPr>
            </w:pPr>
            <w:r>
              <w:rPr>
                <w:rFonts w:hint="eastAsia" w:cs="Times New Roman"/>
                <w:kern w:val="2"/>
                <w:sz w:val="24"/>
                <w:szCs w:val="24"/>
                <w:lang w:val="en-US" w:bidi="ar-SA"/>
              </w:rPr>
              <w:t>联合体投标</w:t>
            </w:r>
          </w:p>
        </w:tc>
        <w:tc>
          <w:tcPr>
            <w:tcW w:w="5546" w:type="dxa"/>
            <w:tcBorders>
              <w:bottom w:val="nil"/>
            </w:tcBorders>
            <w:vAlign w:val="center"/>
          </w:tcPr>
          <w:p w14:paraId="16714089">
            <w:pPr>
              <w:wordWrap w:val="0"/>
              <w:spacing w:line="360" w:lineRule="auto"/>
              <w:rPr>
                <w:rFonts w:ascii="宋体" w:hAnsi="宋体"/>
                <w:sz w:val="24"/>
              </w:rPr>
            </w:pPr>
            <w:r>
              <w:rPr>
                <w:rFonts w:hint="eastAsia" w:ascii="宋体" w:hAnsi="宋体"/>
                <w:sz w:val="24"/>
              </w:rPr>
              <w:t>本项目接受联合体投标，联合体投标除满足上述要求外,同时须具备以下条件：</w:t>
            </w:r>
          </w:p>
          <w:p w14:paraId="34819FD4">
            <w:pPr>
              <w:wordWrap w:val="0"/>
              <w:spacing w:line="360" w:lineRule="auto"/>
              <w:rPr>
                <w:rFonts w:ascii="宋体" w:hAnsi="宋体"/>
                <w:sz w:val="24"/>
              </w:rPr>
            </w:pPr>
            <w:r>
              <w:rPr>
                <w:rFonts w:hint="eastAsia" w:ascii="宋体" w:hAnsi="宋体"/>
                <w:sz w:val="24"/>
              </w:rPr>
              <w:t>1. 联合体投标时，由联合体牵头人网上下载文件即可，除联合体协议书由各方签字盖章外（在投标文件中附加盖各自公章的原件扫描件），投标文件其余电子签名、电子签章等均由牵头人签署、办理。</w:t>
            </w:r>
          </w:p>
          <w:p w14:paraId="100AFC52">
            <w:pPr>
              <w:wordWrap w:val="0"/>
              <w:spacing w:line="360" w:lineRule="auto"/>
              <w:rPr>
                <w:rFonts w:ascii="宋体" w:hAnsi="宋体"/>
                <w:sz w:val="24"/>
              </w:rPr>
            </w:pPr>
            <w:r>
              <w:rPr>
                <w:rFonts w:hint="eastAsia" w:ascii="宋体" w:hAnsi="宋体"/>
                <w:sz w:val="24"/>
              </w:rPr>
              <w:t>2. 联合体各方签订共同投标协议后，不得再以自己名义单独投标，也不得组成新的联合体或参加其他联合体在同一项目中投标；</w:t>
            </w:r>
          </w:p>
          <w:p w14:paraId="4C046983">
            <w:pPr>
              <w:wordWrap w:val="0"/>
              <w:spacing w:line="360" w:lineRule="auto"/>
              <w:rPr>
                <w:rFonts w:ascii="宋体" w:hAnsi="宋体"/>
                <w:sz w:val="24"/>
              </w:rPr>
            </w:pPr>
            <w:r>
              <w:rPr>
                <w:rFonts w:hint="eastAsia" w:ascii="宋体" w:hAnsi="宋体"/>
                <w:sz w:val="24"/>
              </w:rPr>
              <w:t>3. 联合体所有成员数量不得超过2个；投标文件中应附联合体协议书，明确联合体牵头人和各方权利义务及各方拟承担的工作和责任，并承诺一旦中标，联合体各方将向招标人承担连带责任。</w:t>
            </w:r>
          </w:p>
          <w:p w14:paraId="28D0EFC7">
            <w:pPr>
              <w:wordWrap w:val="0"/>
              <w:spacing w:line="360" w:lineRule="auto"/>
              <w:rPr>
                <w:rFonts w:ascii="宋体" w:hAnsi="宋体"/>
                <w:sz w:val="24"/>
              </w:rPr>
            </w:pPr>
            <w:r>
              <w:rPr>
                <w:rFonts w:hint="eastAsia" w:ascii="宋体" w:hAnsi="宋体"/>
                <w:sz w:val="24"/>
              </w:rPr>
              <w:t>4. 联合体所有成员均需满足第1条、第3.1-3.6条相应的资格条件；</w:t>
            </w:r>
          </w:p>
        </w:tc>
      </w:tr>
      <w:tr w14:paraId="16F43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749" w:type="dxa"/>
            <w:vMerge w:val="restart"/>
          </w:tcPr>
          <w:p w14:paraId="54AB0B42">
            <w:pPr>
              <w:pStyle w:val="32"/>
              <w:spacing w:line="360" w:lineRule="auto"/>
              <w:jc w:val="center"/>
              <w:rPr>
                <w:sz w:val="24"/>
                <w:szCs w:val="24"/>
              </w:rPr>
            </w:pPr>
            <w:r>
              <w:rPr>
                <w:sz w:val="24"/>
                <w:szCs w:val="24"/>
              </w:rPr>
              <w:t>2.1.2</w:t>
            </w:r>
          </w:p>
        </w:tc>
        <w:tc>
          <w:tcPr>
            <w:tcW w:w="575" w:type="dxa"/>
            <w:vMerge w:val="restart"/>
          </w:tcPr>
          <w:p w14:paraId="48130F36">
            <w:pPr>
              <w:pStyle w:val="32"/>
              <w:spacing w:line="360" w:lineRule="auto"/>
              <w:ind w:right="68"/>
              <w:jc w:val="center"/>
              <w:rPr>
                <w:sz w:val="24"/>
                <w:szCs w:val="24"/>
              </w:rPr>
            </w:pPr>
            <w:r>
              <w:rPr>
                <w:sz w:val="24"/>
                <w:szCs w:val="24"/>
              </w:rPr>
              <w:t>符</w:t>
            </w:r>
          </w:p>
          <w:p w14:paraId="08998868">
            <w:pPr>
              <w:pStyle w:val="32"/>
              <w:spacing w:line="360" w:lineRule="auto"/>
              <w:ind w:right="68"/>
              <w:jc w:val="center"/>
              <w:rPr>
                <w:sz w:val="24"/>
                <w:szCs w:val="24"/>
              </w:rPr>
            </w:pPr>
            <w:r>
              <w:rPr>
                <w:sz w:val="24"/>
                <w:szCs w:val="24"/>
              </w:rPr>
              <w:t>合</w:t>
            </w:r>
          </w:p>
          <w:p w14:paraId="434DA9F0">
            <w:pPr>
              <w:pStyle w:val="32"/>
              <w:spacing w:line="360" w:lineRule="auto"/>
              <w:ind w:right="68"/>
              <w:jc w:val="center"/>
              <w:rPr>
                <w:sz w:val="24"/>
                <w:szCs w:val="24"/>
              </w:rPr>
            </w:pPr>
            <w:r>
              <w:rPr>
                <w:sz w:val="24"/>
                <w:szCs w:val="24"/>
              </w:rPr>
              <w:t>性</w:t>
            </w:r>
          </w:p>
          <w:p w14:paraId="0AA4D49A">
            <w:pPr>
              <w:pStyle w:val="32"/>
              <w:spacing w:line="360" w:lineRule="auto"/>
              <w:ind w:right="68"/>
              <w:jc w:val="center"/>
              <w:rPr>
                <w:sz w:val="24"/>
                <w:szCs w:val="24"/>
              </w:rPr>
            </w:pPr>
            <w:r>
              <w:rPr>
                <w:sz w:val="24"/>
                <w:szCs w:val="24"/>
              </w:rPr>
              <w:t>评</w:t>
            </w:r>
          </w:p>
          <w:p w14:paraId="54DE6184">
            <w:pPr>
              <w:pStyle w:val="32"/>
              <w:spacing w:line="360" w:lineRule="auto"/>
              <w:ind w:right="68"/>
              <w:jc w:val="center"/>
              <w:rPr>
                <w:sz w:val="24"/>
                <w:szCs w:val="24"/>
              </w:rPr>
            </w:pPr>
            <w:r>
              <w:rPr>
                <w:sz w:val="24"/>
                <w:szCs w:val="24"/>
              </w:rPr>
              <w:t>审</w:t>
            </w:r>
          </w:p>
          <w:p w14:paraId="675C0685">
            <w:pPr>
              <w:pStyle w:val="32"/>
              <w:spacing w:line="360" w:lineRule="auto"/>
              <w:ind w:right="68"/>
              <w:jc w:val="center"/>
              <w:rPr>
                <w:sz w:val="24"/>
                <w:szCs w:val="24"/>
              </w:rPr>
            </w:pPr>
            <w:r>
              <w:rPr>
                <w:sz w:val="24"/>
                <w:szCs w:val="24"/>
              </w:rPr>
              <w:t>标</w:t>
            </w:r>
          </w:p>
          <w:p w14:paraId="10D97AD7">
            <w:pPr>
              <w:pStyle w:val="32"/>
              <w:spacing w:line="360" w:lineRule="auto"/>
              <w:ind w:right="68"/>
              <w:jc w:val="center"/>
              <w:rPr>
                <w:sz w:val="24"/>
                <w:szCs w:val="24"/>
              </w:rPr>
            </w:pPr>
            <w:r>
              <w:rPr>
                <w:sz w:val="24"/>
                <w:szCs w:val="24"/>
              </w:rPr>
              <w:t>准</w:t>
            </w:r>
          </w:p>
        </w:tc>
        <w:tc>
          <w:tcPr>
            <w:tcW w:w="1548" w:type="dxa"/>
            <w:tcBorders>
              <w:bottom w:val="nil"/>
            </w:tcBorders>
            <w:vAlign w:val="center"/>
          </w:tcPr>
          <w:p w14:paraId="7C266569">
            <w:pPr>
              <w:pStyle w:val="32"/>
              <w:spacing w:line="360" w:lineRule="auto"/>
              <w:jc w:val="center"/>
              <w:rPr>
                <w:rFonts w:hint="default" w:eastAsia="宋体" w:cs="Times New Roman"/>
                <w:kern w:val="2"/>
                <w:sz w:val="24"/>
                <w:szCs w:val="24"/>
                <w:lang w:val="en-US" w:eastAsia="zh-CN" w:bidi="ar-SA"/>
              </w:rPr>
            </w:pPr>
            <w:r>
              <w:rPr>
                <w:rFonts w:hint="eastAsia" w:cs="Times New Roman"/>
                <w:kern w:val="2"/>
                <w:sz w:val="24"/>
                <w:szCs w:val="24"/>
                <w:lang w:val="en-US" w:eastAsia="zh-CN" w:bidi="ar-SA"/>
              </w:rPr>
              <w:t>供应商名称</w:t>
            </w:r>
          </w:p>
        </w:tc>
        <w:tc>
          <w:tcPr>
            <w:tcW w:w="5546" w:type="dxa"/>
            <w:tcBorders>
              <w:bottom w:val="nil"/>
            </w:tcBorders>
            <w:vAlign w:val="center"/>
          </w:tcPr>
          <w:p w14:paraId="3776CDFD">
            <w:pPr>
              <w:wordWrap w:val="0"/>
              <w:spacing w:line="360" w:lineRule="auto"/>
              <w:rPr>
                <w:rFonts w:hint="eastAsia" w:ascii="宋体" w:hAnsi="宋体"/>
                <w:sz w:val="24"/>
              </w:rPr>
            </w:pPr>
            <w:r>
              <w:rPr>
                <w:rFonts w:hint="eastAsia" w:ascii="宋体" w:hAnsi="宋体" w:eastAsia="宋体" w:cs="宋体"/>
                <w:kern w:val="0"/>
                <w:sz w:val="24"/>
                <w:szCs w:val="24"/>
                <w:lang w:val="zh-CN" w:eastAsia="zh-CN" w:bidi="zh-CN"/>
              </w:rPr>
              <w:t>与营业执照一致</w:t>
            </w:r>
          </w:p>
        </w:tc>
      </w:tr>
      <w:tr w14:paraId="24567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749" w:type="dxa"/>
            <w:vMerge w:val="continue"/>
            <w:tcBorders/>
            <w:vAlign w:val="center"/>
          </w:tcPr>
          <w:p w14:paraId="03115106">
            <w:pPr>
              <w:pStyle w:val="32"/>
              <w:spacing w:line="360" w:lineRule="auto"/>
              <w:jc w:val="center"/>
              <w:rPr>
                <w:sz w:val="24"/>
                <w:szCs w:val="24"/>
              </w:rPr>
            </w:pPr>
          </w:p>
        </w:tc>
        <w:tc>
          <w:tcPr>
            <w:tcW w:w="575" w:type="dxa"/>
            <w:vMerge w:val="continue"/>
            <w:tcBorders/>
            <w:vAlign w:val="center"/>
          </w:tcPr>
          <w:p w14:paraId="0AE90F3A">
            <w:pPr>
              <w:pStyle w:val="32"/>
              <w:spacing w:line="360" w:lineRule="auto"/>
              <w:ind w:right="68"/>
              <w:jc w:val="center"/>
              <w:rPr>
                <w:sz w:val="24"/>
                <w:szCs w:val="24"/>
              </w:rPr>
            </w:pPr>
          </w:p>
        </w:tc>
        <w:tc>
          <w:tcPr>
            <w:tcW w:w="1548" w:type="dxa"/>
          </w:tcPr>
          <w:p w14:paraId="06C73E72">
            <w:pPr>
              <w:pStyle w:val="32"/>
              <w:spacing w:before="77" w:line="360" w:lineRule="auto"/>
              <w:ind w:left="108"/>
              <w:jc w:val="center"/>
              <w:rPr>
                <w:sz w:val="24"/>
                <w:szCs w:val="24"/>
              </w:rPr>
            </w:pPr>
            <w:r>
              <w:rPr>
                <w:sz w:val="24"/>
                <w:szCs w:val="24"/>
              </w:rPr>
              <w:t>报价函签章</w:t>
            </w:r>
          </w:p>
        </w:tc>
        <w:tc>
          <w:tcPr>
            <w:tcW w:w="5546" w:type="dxa"/>
          </w:tcPr>
          <w:p w14:paraId="6638A40B">
            <w:pPr>
              <w:pStyle w:val="32"/>
              <w:spacing w:before="77" w:line="360" w:lineRule="auto"/>
              <w:ind w:left="108"/>
              <w:rPr>
                <w:sz w:val="24"/>
                <w:szCs w:val="24"/>
              </w:rPr>
            </w:pPr>
            <w:r>
              <w:rPr>
                <w:sz w:val="24"/>
                <w:szCs w:val="24"/>
              </w:rPr>
              <w:t>有法定代表人</w:t>
            </w:r>
            <w:r>
              <w:rPr>
                <w:rFonts w:hint="eastAsia"/>
                <w:sz w:val="24"/>
                <w:szCs w:val="24"/>
                <w:lang w:val="en-US"/>
              </w:rPr>
              <w:t>签</w:t>
            </w:r>
            <w:r>
              <w:rPr>
                <w:sz w:val="24"/>
                <w:szCs w:val="24"/>
              </w:rPr>
              <w:t>章并加盖单位公章</w:t>
            </w:r>
          </w:p>
        </w:tc>
      </w:tr>
      <w:tr w14:paraId="490F0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749" w:type="dxa"/>
            <w:vMerge w:val="continue"/>
            <w:tcBorders/>
          </w:tcPr>
          <w:p w14:paraId="1F1335D8">
            <w:pPr>
              <w:spacing w:line="360" w:lineRule="auto"/>
              <w:rPr>
                <w:rFonts w:ascii="宋体" w:hAnsi="宋体"/>
                <w:sz w:val="24"/>
              </w:rPr>
            </w:pPr>
          </w:p>
        </w:tc>
        <w:tc>
          <w:tcPr>
            <w:tcW w:w="575" w:type="dxa"/>
            <w:vMerge w:val="continue"/>
            <w:tcBorders/>
          </w:tcPr>
          <w:p w14:paraId="40BE25B7">
            <w:pPr>
              <w:spacing w:line="360" w:lineRule="auto"/>
              <w:rPr>
                <w:rFonts w:ascii="宋体" w:hAnsi="宋体"/>
                <w:sz w:val="24"/>
              </w:rPr>
            </w:pPr>
          </w:p>
        </w:tc>
        <w:tc>
          <w:tcPr>
            <w:tcW w:w="1548" w:type="dxa"/>
          </w:tcPr>
          <w:p w14:paraId="524E166F">
            <w:pPr>
              <w:pStyle w:val="32"/>
              <w:spacing w:before="77" w:line="360" w:lineRule="auto"/>
              <w:ind w:left="108"/>
              <w:jc w:val="center"/>
              <w:rPr>
                <w:sz w:val="24"/>
                <w:szCs w:val="24"/>
              </w:rPr>
            </w:pPr>
            <w:r>
              <w:rPr>
                <w:sz w:val="24"/>
                <w:szCs w:val="24"/>
              </w:rPr>
              <w:t>报价唯一</w:t>
            </w:r>
          </w:p>
        </w:tc>
        <w:tc>
          <w:tcPr>
            <w:tcW w:w="5546" w:type="dxa"/>
          </w:tcPr>
          <w:p w14:paraId="4FC3C7FC">
            <w:pPr>
              <w:pStyle w:val="32"/>
              <w:spacing w:before="77" w:line="360" w:lineRule="auto"/>
              <w:ind w:left="108"/>
              <w:rPr>
                <w:sz w:val="24"/>
                <w:szCs w:val="24"/>
              </w:rPr>
            </w:pPr>
            <w:r>
              <w:rPr>
                <w:sz w:val="24"/>
                <w:szCs w:val="24"/>
              </w:rPr>
              <w:t>只能有一个有效报价</w:t>
            </w:r>
          </w:p>
        </w:tc>
      </w:tr>
      <w:tr w14:paraId="71F42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749" w:type="dxa"/>
            <w:vMerge w:val="continue"/>
            <w:tcBorders/>
          </w:tcPr>
          <w:p w14:paraId="4BE5E6B8">
            <w:pPr>
              <w:spacing w:line="360" w:lineRule="auto"/>
              <w:rPr>
                <w:rFonts w:ascii="宋体" w:hAnsi="宋体"/>
                <w:sz w:val="24"/>
              </w:rPr>
            </w:pPr>
          </w:p>
        </w:tc>
        <w:tc>
          <w:tcPr>
            <w:tcW w:w="575" w:type="dxa"/>
            <w:vMerge w:val="continue"/>
            <w:tcBorders/>
          </w:tcPr>
          <w:p w14:paraId="5DFF5EAA">
            <w:pPr>
              <w:spacing w:line="360" w:lineRule="auto"/>
              <w:rPr>
                <w:rFonts w:ascii="宋体" w:hAnsi="宋体"/>
                <w:sz w:val="24"/>
              </w:rPr>
            </w:pPr>
          </w:p>
        </w:tc>
        <w:tc>
          <w:tcPr>
            <w:tcW w:w="1548" w:type="dxa"/>
            <w:vAlign w:val="center"/>
          </w:tcPr>
          <w:p w14:paraId="7481BD39">
            <w:pPr>
              <w:pStyle w:val="32"/>
              <w:spacing w:before="77" w:line="360" w:lineRule="auto"/>
              <w:ind w:left="108"/>
              <w:jc w:val="center"/>
              <w:rPr>
                <w:sz w:val="24"/>
                <w:szCs w:val="24"/>
                <w:lang w:val="en-US"/>
              </w:rPr>
            </w:pPr>
            <w:r>
              <w:rPr>
                <w:rFonts w:hint="eastAsia"/>
                <w:sz w:val="24"/>
                <w:szCs w:val="24"/>
                <w:lang w:val="en-US"/>
              </w:rPr>
              <w:t>服务期限</w:t>
            </w:r>
          </w:p>
        </w:tc>
        <w:tc>
          <w:tcPr>
            <w:tcW w:w="5546" w:type="dxa"/>
            <w:vAlign w:val="center"/>
          </w:tcPr>
          <w:p w14:paraId="491D3540">
            <w:pPr>
              <w:pStyle w:val="32"/>
              <w:spacing w:before="77" w:line="360" w:lineRule="auto"/>
              <w:ind w:left="108"/>
              <w:jc w:val="both"/>
              <w:rPr>
                <w:sz w:val="24"/>
                <w:szCs w:val="24"/>
                <w:lang w:val="en-US"/>
              </w:rPr>
            </w:pPr>
            <w:r>
              <w:rPr>
                <w:rFonts w:hint="eastAsia"/>
                <w:sz w:val="24"/>
                <w:szCs w:val="24"/>
                <w:lang w:val="en-US"/>
              </w:rPr>
              <w:t>自合同签订之日起90日历天</w:t>
            </w:r>
          </w:p>
        </w:tc>
      </w:tr>
      <w:tr w14:paraId="46108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749" w:type="dxa"/>
            <w:vMerge w:val="continue"/>
            <w:tcBorders/>
          </w:tcPr>
          <w:p w14:paraId="56C465EE">
            <w:pPr>
              <w:spacing w:line="360" w:lineRule="auto"/>
              <w:rPr>
                <w:rFonts w:ascii="宋体" w:hAnsi="宋体"/>
                <w:sz w:val="24"/>
              </w:rPr>
            </w:pPr>
          </w:p>
        </w:tc>
        <w:tc>
          <w:tcPr>
            <w:tcW w:w="575" w:type="dxa"/>
            <w:vMerge w:val="continue"/>
            <w:tcBorders/>
          </w:tcPr>
          <w:p w14:paraId="6EBE32CF">
            <w:pPr>
              <w:spacing w:line="360" w:lineRule="auto"/>
              <w:rPr>
                <w:rFonts w:ascii="宋体" w:hAnsi="宋体"/>
                <w:sz w:val="24"/>
              </w:rPr>
            </w:pPr>
          </w:p>
        </w:tc>
        <w:tc>
          <w:tcPr>
            <w:tcW w:w="1548" w:type="dxa"/>
            <w:vAlign w:val="center"/>
          </w:tcPr>
          <w:p w14:paraId="0EBF84B0">
            <w:pPr>
              <w:pStyle w:val="32"/>
              <w:spacing w:before="77" w:line="360" w:lineRule="auto"/>
              <w:ind w:left="108"/>
              <w:jc w:val="center"/>
              <w:rPr>
                <w:sz w:val="24"/>
                <w:szCs w:val="24"/>
                <w:lang w:val="en-US"/>
              </w:rPr>
            </w:pPr>
            <w:r>
              <w:rPr>
                <w:rFonts w:hint="eastAsia"/>
                <w:sz w:val="24"/>
                <w:szCs w:val="24"/>
                <w:lang w:val="en-US"/>
              </w:rPr>
              <w:t>质量要求</w:t>
            </w:r>
          </w:p>
        </w:tc>
        <w:tc>
          <w:tcPr>
            <w:tcW w:w="5546" w:type="dxa"/>
            <w:vAlign w:val="center"/>
          </w:tcPr>
          <w:p w14:paraId="36D4016E">
            <w:pPr>
              <w:pStyle w:val="32"/>
              <w:spacing w:before="77" w:line="360" w:lineRule="auto"/>
              <w:ind w:left="108"/>
              <w:jc w:val="both"/>
              <w:rPr>
                <w:sz w:val="24"/>
                <w:szCs w:val="24"/>
                <w:lang w:val="en-US"/>
              </w:rPr>
            </w:pPr>
            <w:r>
              <w:rPr>
                <w:rFonts w:hint="eastAsia"/>
                <w:sz w:val="24"/>
                <w:szCs w:val="24"/>
                <w:lang w:val="en-US"/>
              </w:rPr>
              <w:t>符合国家合格标准，且满足采购人要求</w:t>
            </w:r>
          </w:p>
        </w:tc>
      </w:tr>
      <w:tr w14:paraId="08C1D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749" w:type="dxa"/>
            <w:vMerge w:val="continue"/>
            <w:tcBorders/>
          </w:tcPr>
          <w:p w14:paraId="53C046BD">
            <w:pPr>
              <w:spacing w:line="360" w:lineRule="auto"/>
              <w:rPr>
                <w:rFonts w:ascii="宋体" w:hAnsi="宋体"/>
                <w:sz w:val="24"/>
              </w:rPr>
            </w:pPr>
          </w:p>
        </w:tc>
        <w:tc>
          <w:tcPr>
            <w:tcW w:w="575" w:type="dxa"/>
            <w:vMerge w:val="continue"/>
            <w:tcBorders/>
          </w:tcPr>
          <w:p w14:paraId="0E8092EF">
            <w:pPr>
              <w:spacing w:line="360" w:lineRule="auto"/>
              <w:rPr>
                <w:rFonts w:ascii="宋体" w:hAnsi="宋体"/>
                <w:sz w:val="24"/>
              </w:rPr>
            </w:pPr>
          </w:p>
        </w:tc>
        <w:tc>
          <w:tcPr>
            <w:tcW w:w="1548" w:type="dxa"/>
          </w:tcPr>
          <w:p w14:paraId="69F33872">
            <w:pPr>
              <w:pStyle w:val="32"/>
              <w:spacing w:before="77" w:line="360" w:lineRule="auto"/>
              <w:ind w:left="108"/>
              <w:jc w:val="center"/>
              <w:rPr>
                <w:sz w:val="24"/>
                <w:szCs w:val="24"/>
              </w:rPr>
            </w:pPr>
            <w:r>
              <w:rPr>
                <w:rFonts w:hint="eastAsia"/>
                <w:sz w:val="24"/>
                <w:szCs w:val="24"/>
              </w:rPr>
              <w:t>磋商</w:t>
            </w:r>
            <w:r>
              <w:rPr>
                <w:sz w:val="24"/>
                <w:szCs w:val="24"/>
              </w:rPr>
              <w:t>有效期</w:t>
            </w:r>
          </w:p>
        </w:tc>
        <w:tc>
          <w:tcPr>
            <w:tcW w:w="5546" w:type="dxa"/>
          </w:tcPr>
          <w:p w14:paraId="127DCC65">
            <w:pPr>
              <w:pStyle w:val="32"/>
              <w:spacing w:before="77" w:line="360" w:lineRule="auto"/>
              <w:ind w:left="108"/>
              <w:rPr>
                <w:sz w:val="24"/>
                <w:szCs w:val="24"/>
              </w:rPr>
            </w:pPr>
            <w:r>
              <w:rPr>
                <w:rFonts w:hint="eastAsia"/>
                <w:sz w:val="24"/>
                <w:szCs w:val="24"/>
                <w:lang w:val="en-US"/>
              </w:rPr>
              <w:t>磋商截止时间起60日历天</w:t>
            </w:r>
          </w:p>
        </w:tc>
      </w:tr>
      <w:tr w14:paraId="2B1B8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9" w:hRule="atLeast"/>
        </w:trPr>
        <w:tc>
          <w:tcPr>
            <w:tcW w:w="749" w:type="dxa"/>
            <w:vMerge w:val="continue"/>
            <w:tcBorders/>
          </w:tcPr>
          <w:p w14:paraId="0AAD41FD">
            <w:pPr>
              <w:spacing w:line="360" w:lineRule="auto"/>
              <w:rPr>
                <w:rFonts w:ascii="宋体" w:hAnsi="宋体"/>
                <w:sz w:val="24"/>
              </w:rPr>
            </w:pPr>
          </w:p>
        </w:tc>
        <w:tc>
          <w:tcPr>
            <w:tcW w:w="575" w:type="dxa"/>
            <w:vMerge w:val="continue"/>
            <w:tcBorders/>
          </w:tcPr>
          <w:p w14:paraId="5BA13B2D">
            <w:pPr>
              <w:spacing w:line="360" w:lineRule="auto"/>
              <w:rPr>
                <w:rFonts w:ascii="宋体" w:hAnsi="宋体"/>
                <w:sz w:val="24"/>
              </w:rPr>
            </w:pPr>
          </w:p>
        </w:tc>
        <w:tc>
          <w:tcPr>
            <w:tcW w:w="1548" w:type="dxa"/>
            <w:vAlign w:val="center"/>
          </w:tcPr>
          <w:p w14:paraId="2F970666">
            <w:pPr>
              <w:pStyle w:val="32"/>
              <w:spacing w:before="77" w:line="360" w:lineRule="auto"/>
              <w:ind w:left="108"/>
              <w:jc w:val="center"/>
              <w:rPr>
                <w:sz w:val="24"/>
                <w:szCs w:val="24"/>
              </w:rPr>
            </w:pPr>
            <w:r>
              <w:rPr>
                <w:sz w:val="24"/>
                <w:szCs w:val="24"/>
              </w:rPr>
              <w:t>磋商报价</w:t>
            </w:r>
          </w:p>
        </w:tc>
        <w:tc>
          <w:tcPr>
            <w:tcW w:w="5546" w:type="dxa"/>
            <w:vAlign w:val="center"/>
          </w:tcPr>
          <w:p w14:paraId="7C633743">
            <w:pPr>
              <w:pStyle w:val="32"/>
              <w:spacing w:before="77" w:line="360" w:lineRule="auto"/>
              <w:ind w:left="108"/>
              <w:rPr>
                <w:sz w:val="24"/>
                <w:szCs w:val="24"/>
              </w:rPr>
            </w:pPr>
            <w:r>
              <w:rPr>
                <w:rFonts w:hint="eastAsia"/>
                <w:sz w:val="24"/>
                <w:szCs w:val="24"/>
              </w:rPr>
              <w:t>供应商</w:t>
            </w:r>
            <w:r>
              <w:rPr>
                <w:sz w:val="24"/>
                <w:szCs w:val="24"/>
              </w:rPr>
              <w:t>磋商总报价不得高于采购人公布的数额，否则按照无效标处理。</w:t>
            </w:r>
          </w:p>
        </w:tc>
      </w:tr>
    </w:tbl>
    <w:p w14:paraId="092C7CF6">
      <w:pPr>
        <w:ind w:firstLine="482" w:firstLineChars="200"/>
        <w:rPr>
          <w:b/>
          <w:sz w:val="24"/>
        </w:rPr>
      </w:pPr>
      <w:r>
        <w:rPr>
          <w:b/>
          <w:sz w:val="24"/>
        </w:rPr>
        <w:t>附表 2 详细评审标准</w:t>
      </w:r>
    </w:p>
    <w:p w14:paraId="18DAC953">
      <w:pPr>
        <w:spacing w:line="360" w:lineRule="auto"/>
        <w:ind w:firstLine="480" w:firstLineChars="200"/>
        <w:rPr>
          <w:rFonts w:ascii="宋体" w:hAnsi="宋体" w:cs="宋体"/>
          <w:kern w:val="0"/>
          <w:sz w:val="24"/>
          <w:lang w:val="zh-CN" w:bidi="zh-CN"/>
        </w:rPr>
      </w:pPr>
      <w:r>
        <w:rPr>
          <w:rFonts w:hint="eastAsia" w:ascii="宋体" w:hAnsi="宋体" w:cs="宋体"/>
          <w:kern w:val="0"/>
          <w:sz w:val="24"/>
          <w:lang w:val="zh-CN" w:bidi="zh-CN"/>
        </w:rPr>
        <w:t>1、</w:t>
      </w:r>
      <w:r>
        <w:rPr>
          <w:rFonts w:ascii="宋体" w:hAnsi="宋体" w:cs="宋体"/>
          <w:kern w:val="0"/>
          <w:sz w:val="24"/>
          <w:lang w:val="zh-CN" w:bidi="zh-CN"/>
        </w:rPr>
        <w:t>磋商小组所有成员集中与通过初步评审的单一</w:t>
      </w:r>
      <w:r>
        <w:rPr>
          <w:rFonts w:hint="eastAsia" w:ascii="宋体" w:hAnsi="宋体" w:cs="宋体"/>
          <w:kern w:val="0"/>
          <w:sz w:val="24"/>
          <w:lang w:val="zh-CN" w:bidi="zh-CN"/>
        </w:rPr>
        <w:t>供应商</w:t>
      </w:r>
      <w:r>
        <w:rPr>
          <w:rFonts w:ascii="宋体" w:hAnsi="宋体" w:cs="宋体"/>
          <w:kern w:val="0"/>
          <w:sz w:val="24"/>
          <w:lang w:val="zh-CN" w:bidi="zh-CN"/>
        </w:rPr>
        <w:t>进行磋商。</w:t>
      </w:r>
    </w:p>
    <w:p w14:paraId="5C520DC6">
      <w:pPr>
        <w:spacing w:line="360" w:lineRule="auto"/>
        <w:ind w:firstLine="480" w:firstLineChars="200"/>
        <w:rPr>
          <w:rFonts w:ascii="宋体" w:hAnsi="宋体" w:cs="宋体"/>
          <w:kern w:val="0"/>
          <w:sz w:val="24"/>
          <w:lang w:val="zh-CN" w:bidi="zh-CN"/>
        </w:rPr>
      </w:pPr>
      <w:r>
        <w:rPr>
          <w:rFonts w:hint="eastAsia" w:ascii="宋体" w:hAnsi="宋体" w:cs="宋体"/>
          <w:kern w:val="0"/>
          <w:sz w:val="24"/>
          <w:lang w:val="zh-CN" w:bidi="zh-CN"/>
        </w:rPr>
        <w:t>（1）</w:t>
      </w:r>
      <w:r>
        <w:rPr>
          <w:rFonts w:ascii="宋体" w:hAnsi="宋体" w:cs="宋体"/>
          <w:kern w:val="0"/>
          <w:sz w:val="24"/>
          <w:lang w:val="zh-CN" w:bidi="zh-CN"/>
        </w:rPr>
        <w:t>在磋商过程中，磋商小组可以根据磋商文件和磋商情况实质性变动采购需求中的技术、服务要求以及合同草案条款，但不得变动磋商文件中的其他内容。实质性变动的内容，须经采购人代表确认。</w:t>
      </w:r>
    </w:p>
    <w:p w14:paraId="6C6AFD21">
      <w:pPr>
        <w:spacing w:line="360" w:lineRule="auto"/>
        <w:ind w:firstLine="480" w:firstLineChars="200"/>
        <w:rPr>
          <w:rFonts w:ascii="宋体" w:hAnsi="宋体" w:cs="宋体"/>
          <w:kern w:val="0"/>
          <w:sz w:val="24"/>
          <w:lang w:val="zh-CN" w:bidi="zh-CN"/>
        </w:rPr>
      </w:pPr>
      <w:r>
        <w:rPr>
          <w:rFonts w:hint="eastAsia" w:ascii="宋体" w:hAnsi="宋体" w:cs="宋体"/>
          <w:kern w:val="0"/>
          <w:sz w:val="24"/>
          <w:lang w:val="zh-CN" w:bidi="zh-CN"/>
        </w:rPr>
        <w:t>（2）</w:t>
      </w:r>
      <w:r>
        <w:rPr>
          <w:rFonts w:ascii="宋体" w:hAnsi="宋体" w:cs="宋体"/>
          <w:kern w:val="0"/>
          <w:sz w:val="24"/>
          <w:lang w:val="zh-CN" w:bidi="zh-CN"/>
        </w:rPr>
        <w:t>对磋商文件作出的实质性变动是磋商文件的有效组成部分，磋商小组应当及时以</w:t>
      </w:r>
      <w:r>
        <w:rPr>
          <w:rFonts w:hint="eastAsia" w:ascii="宋体" w:hAnsi="宋体" w:cs="宋体"/>
          <w:kern w:val="0"/>
          <w:sz w:val="24"/>
          <w:lang w:val="zh-CN" w:bidi="zh-CN"/>
        </w:rPr>
        <w:t>网上答疑</w:t>
      </w:r>
      <w:r>
        <w:rPr>
          <w:rFonts w:ascii="宋体" w:hAnsi="宋体" w:cs="宋体"/>
          <w:kern w:val="0"/>
          <w:sz w:val="24"/>
          <w:lang w:val="zh-CN" w:bidi="zh-CN"/>
        </w:rPr>
        <w:t>形式同时通知所有参加磋商的</w:t>
      </w:r>
      <w:r>
        <w:rPr>
          <w:rFonts w:hint="eastAsia" w:ascii="宋体" w:hAnsi="宋体" w:cs="宋体"/>
          <w:kern w:val="0"/>
          <w:sz w:val="24"/>
          <w:lang w:val="zh-CN" w:bidi="zh-CN"/>
        </w:rPr>
        <w:t>供应商</w:t>
      </w:r>
      <w:r>
        <w:rPr>
          <w:rFonts w:ascii="宋体" w:hAnsi="宋体" w:cs="宋体"/>
          <w:kern w:val="0"/>
          <w:sz w:val="24"/>
          <w:lang w:val="zh-CN" w:bidi="zh-CN"/>
        </w:rPr>
        <w:t>。</w:t>
      </w:r>
    </w:p>
    <w:p w14:paraId="21CDDA3B">
      <w:pPr>
        <w:spacing w:line="360" w:lineRule="auto"/>
        <w:ind w:firstLine="480" w:firstLineChars="200"/>
        <w:rPr>
          <w:rFonts w:ascii="宋体" w:hAnsi="宋体" w:cs="宋体"/>
          <w:kern w:val="0"/>
          <w:sz w:val="24"/>
          <w:lang w:val="zh-CN" w:bidi="zh-CN"/>
        </w:rPr>
      </w:pPr>
      <w:r>
        <w:rPr>
          <w:rFonts w:hint="eastAsia" w:ascii="宋体" w:hAnsi="宋体" w:cs="宋体"/>
          <w:kern w:val="0"/>
          <w:sz w:val="24"/>
          <w:lang w:val="zh-CN" w:bidi="zh-CN"/>
        </w:rPr>
        <w:t>2、</w:t>
      </w:r>
      <w:r>
        <w:rPr>
          <w:rFonts w:ascii="宋体" w:hAnsi="宋体" w:cs="宋体"/>
          <w:kern w:val="0"/>
          <w:sz w:val="24"/>
          <w:lang w:val="zh-CN" w:bidi="zh-CN"/>
        </w:rPr>
        <w:t>磋商报价：本项目进行二次报价，二次报价不能高于</w:t>
      </w:r>
      <w:r>
        <w:rPr>
          <w:rFonts w:hint="eastAsia" w:ascii="宋体" w:hAnsi="宋体" w:cs="宋体"/>
          <w:kern w:val="0"/>
          <w:sz w:val="24"/>
          <w:lang w:val="zh-CN" w:bidi="zh-CN"/>
        </w:rPr>
        <w:t>一</w:t>
      </w:r>
      <w:r>
        <w:rPr>
          <w:rFonts w:ascii="宋体" w:hAnsi="宋体" w:cs="宋体"/>
          <w:kern w:val="0"/>
          <w:sz w:val="24"/>
          <w:lang w:val="zh-CN" w:bidi="zh-CN"/>
        </w:rPr>
        <w:t>次报价，高于</w:t>
      </w:r>
      <w:r>
        <w:rPr>
          <w:rFonts w:hint="eastAsia" w:ascii="宋体" w:hAnsi="宋体" w:cs="宋体"/>
          <w:kern w:val="0"/>
          <w:sz w:val="24"/>
          <w:lang w:val="zh-CN" w:bidi="zh-CN"/>
        </w:rPr>
        <w:t>一</w:t>
      </w:r>
      <w:r>
        <w:rPr>
          <w:rFonts w:ascii="宋体" w:hAnsi="宋体" w:cs="宋体"/>
          <w:kern w:val="0"/>
          <w:sz w:val="24"/>
          <w:lang w:val="zh-CN" w:bidi="zh-CN"/>
        </w:rPr>
        <w:t>次报价视为无效标。</w:t>
      </w:r>
    </w:p>
    <w:p w14:paraId="071CB6B4">
      <w:pPr>
        <w:spacing w:line="360" w:lineRule="auto"/>
        <w:ind w:firstLine="480" w:firstLineChars="200"/>
        <w:rPr>
          <w:rFonts w:ascii="宋体" w:hAnsi="宋体"/>
          <w:sz w:val="24"/>
        </w:rPr>
      </w:pPr>
      <w:r>
        <w:rPr>
          <w:rFonts w:hint="eastAsia" w:ascii="宋体" w:hAnsi="宋体"/>
          <w:sz w:val="24"/>
        </w:rPr>
        <w:t>3、</w:t>
      </w:r>
      <w:r>
        <w:rPr>
          <w:rFonts w:ascii="宋体" w:hAnsi="宋体"/>
          <w:sz w:val="24"/>
        </w:rPr>
        <w:t>磋商报价结束后，参加磋商的</w:t>
      </w:r>
      <w:r>
        <w:rPr>
          <w:rFonts w:hint="eastAsia" w:ascii="宋体" w:hAnsi="宋体"/>
          <w:sz w:val="24"/>
        </w:rPr>
        <w:t>供应商</w:t>
      </w:r>
      <w:r>
        <w:rPr>
          <w:rFonts w:ascii="宋体" w:hAnsi="宋体"/>
          <w:sz w:val="24"/>
        </w:rPr>
        <w:t>应当对磋商的承诺在三门峡市公共资源交易中心系统中予以确认。</w:t>
      </w:r>
    </w:p>
    <w:p w14:paraId="131B7C43">
      <w:pPr>
        <w:ind w:firstLine="480" w:firstLineChars="200"/>
        <w:rPr>
          <w:rFonts w:ascii="宋体" w:hAnsi="宋体"/>
          <w:sz w:val="24"/>
        </w:rPr>
      </w:pPr>
      <w:r>
        <w:rPr>
          <w:rFonts w:hint="eastAsia" w:ascii="宋体" w:hAnsi="宋体"/>
          <w:sz w:val="24"/>
        </w:rPr>
        <w:t>4、</w:t>
      </w:r>
      <w:r>
        <w:rPr>
          <w:rFonts w:ascii="宋体" w:hAnsi="宋体"/>
          <w:sz w:val="24"/>
        </w:rPr>
        <w:t>磋商小组按照评审标准对提交最后报价的</w:t>
      </w:r>
      <w:r>
        <w:rPr>
          <w:rFonts w:hint="eastAsia" w:ascii="宋体" w:hAnsi="宋体"/>
          <w:sz w:val="24"/>
        </w:rPr>
        <w:t>供应商</w:t>
      </w:r>
      <w:r>
        <w:rPr>
          <w:rFonts w:ascii="宋体" w:hAnsi="宋体"/>
          <w:sz w:val="24"/>
        </w:rPr>
        <w:t>的响应文件进行综合评分。</w:t>
      </w:r>
    </w:p>
    <w:p w14:paraId="105D76B4">
      <w:pPr>
        <w:ind w:firstLine="562" w:firstLineChars="200"/>
        <w:rPr>
          <w:rFonts w:ascii="宋体" w:hAnsi="宋体"/>
          <w:b/>
          <w:sz w:val="28"/>
          <w:szCs w:val="28"/>
        </w:rPr>
      </w:pPr>
      <w:r>
        <w:rPr>
          <w:rFonts w:hint="eastAsia" w:ascii="宋体" w:hAnsi="宋体"/>
          <w:b/>
          <w:sz w:val="28"/>
          <w:szCs w:val="28"/>
        </w:rPr>
        <w:t>评审标准</w:t>
      </w:r>
    </w:p>
    <w:p w14:paraId="002B1B7D">
      <w:pPr>
        <w:pStyle w:val="5"/>
        <w:ind w:firstLine="480" w:firstLineChars="200"/>
        <w:rPr>
          <w:rFonts w:hint="eastAsia"/>
          <w:kern w:val="0"/>
          <w:lang w:bidi="zh-CN"/>
        </w:rPr>
      </w:pPr>
      <w:r>
        <w:rPr>
          <w:rFonts w:hint="eastAsia"/>
          <w:kern w:val="0"/>
          <w:lang w:bidi="zh-CN"/>
        </w:rPr>
        <w:t>评标方法采用“综合评分法”即是指在最大限度地满足磋商文件实质性要求前提下，按照磋商文件中规定的各项因素进行综合评审后，以评标总得分最高的供应商作为推荐供应商候选人的评标方法。</w:t>
      </w:r>
    </w:p>
    <w:p w14:paraId="779F78F5">
      <w:pPr>
        <w:pStyle w:val="5"/>
        <w:spacing w:line="240" w:lineRule="auto"/>
        <w:rPr>
          <w:rFonts w:hint="eastAsia"/>
          <w:kern w:val="0"/>
          <w:lang w:bidi="zh-CN"/>
        </w:rPr>
      </w:pPr>
      <w:r>
        <w:rPr>
          <w:rFonts w:hint="eastAsia"/>
          <w:kern w:val="0"/>
          <w:lang w:bidi="zh-CN"/>
        </w:rPr>
        <w:br w:type="page"/>
      </w:r>
    </w:p>
    <w:tbl>
      <w:tblPr>
        <w:tblStyle w:val="14"/>
        <w:tblpPr w:leftFromText="180" w:rightFromText="180" w:vertAnchor="text" w:horzAnchor="page" w:tblpX="1249" w:tblpY="885"/>
        <w:tblOverlap w:val="never"/>
        <w:tblW w:w="53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027"/>
        <w:gridCol w:w="1453"/>
        <w:gridCol w:w="5456"/>
        <w:gridCol w:w="719"/>
      </w:tblGrid>
      <w:tr w14:paraId="5755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58" w:type="pct"/>
            <w:gridSpan w:val="2"/>
            <w:noWrap/>
            <w:vAlign w:val="center"/>
          </w:tcPr>
          <w:p w14:paraId="49DBD532">
            <w:pPr>
              <w:pStyle w:val="5"/>
              <w:spacing w:line="240" w:lineRule="auto"/>
              <w:ind w:firstLine="480" w:firstLineChars="200"/>
              <w:rPr>
                <w:kern w:val="0"/>
                <w:lang w:bidi="zh-CN"/>
              </w:rPr>
            </w:pPr>
            <w:r>
              <w:rPr>
                <w:rFonts w:hint="eastAsia"/>
                <w:kern w:val="0"/>
                <w:lang w:bidi="zh-CN"/>
              </w:rPr>
              <w:t xml:space="preserve"> 条款号</w:t>
            </w:r>
          </w:p>
        </w:tc>
        <w:tc>
          <w:tcPr>
            <w:tcW w:w="769" w:type="pct"/>
            <w:noWrap/>
            <w:vAlign w:val="center"/>
          </w:tcPr>
          <w:p w14:paraId="6C51C4FF">
            <w:pPr>
              <w:pStyle w:val="5"/>
              <w:spacing w:line="240" w:lineRule="auto"/>
              <w:jc w:val="center"/>
              <w:rPr>
                <w:kern w:val="0"/>
                <w:lang w:bidi="zh-CN"/>
              </w:rPr>
            </w:pPr>
            <w:r>
              <w:rPr>
                <w:rFonts w:hint="eastAsia"/>
                <w:kern w:val="0"/>
                <w:lang w:bidi="zh-CN"/>
              </w:rPr>
              <w:t>条款内容</w:t>
            </w:r>
          </w:p>
        </w:tc>
        <w:tc>
          <w:tcPr>
            <w:tcW w:w="3272" w:type="pct"/>
            <w:gridSpan w:val="2"/>
            <w:noWrap/>
            <w:vAlign w:val="center"/>
          </w:tcPr>
          <w:p w14:paraId="3E1F48CC">
            <w:pPr>
              <w:pStyle w:val="5"/>
              <w:spacing w:line="240" w:lineRule="auto"/>
              <w:ind w:firstLine="480" w:firstLineChars="200"/>
              <w:rPr>
                <w:kern w:val="0"/>
                <w:lang w:bidi="zh-CN"/>
              </w:rPr>
            </w:pPr>
            <w:r>
              <w:rPr>
                <w:rFonts w:hint="eastAsia"/>
                <w:kern w:val="0"/>
                <w:lang w:bidi="zh-CN"/>
              </w:rPr>
              <w:t>编列内容</w:t>
            </w:r>
          </w:p>
        </w:tc>
      </w:tr>
      <w:tr w14:paraId="10408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958" w:type="pct"/>
            <w:gridSpan w:val="2"/>
            <w:noWrap/>
            <w:vAlign w:val="center"/>
          </w:tcPr>
          <w:p w14:paraId="734E1D49">
            <w:pPr>
              <w:adjustRightInd w:val="0"/>
              <w:snapToGrid w:val="0"/>
              <w:jc w:val="center"/>
              <w:rPr>
                <w:rFonts w:ascii="宋体" w:hAnsi="宋体" w:cs="宋体"/>
                <w:kern w:val="0"/>
                <w:sz w:val="24"/>
                <w:lang w:bidi="zh-CN"/>
              </w:rPr>
            </w:pPr>
            <w:r>
              <w:rPr>
                <w:rFonts w:hint="eastAsia" w:ascii="宋体" w:hAnsi="宋体" w:cs="宋体"/>
                <w:kern w:val="0"/>
                <w:sz w:val="24"/>
                <w:lang w:bidi="zh-CN"/>
              </w:rPr>
              <w:t>1</w:t>
            </w:r>
          </w:p>
        </w:tc>
        <w:tc>
          <w:tcPr>
            <w:tcW w:w="769" w:type="pct"/>
            <w:noWrap/>
            <w:vAlign w:val="center"/>
          </w:tcPr>
          <w:p w14:paraId="29BB176E">
            <w:pPr>
              <w:adjustRightInd w:val="0"/>
              <w:snapToGrid w:val="0"/>
              <w:jc w:val="center"/>
              <w:rPr>
                <w:rFonts w:ascii="宋体" w:hAnsi="宋体" w:cs="宋体"/>
                <w:kern w:val="0"/>
                <w:sz w:val="24"/>
                <w:lang w:bidi="zh-CN"/>
              </w:rPr>
            </w:pPr>
            <w:r>
              <w:rPr>
                <w:rFonts w:hint="eastAsia" w:ascii="宋体" w:hAnsi="宋体" w:cs="宋体"/>
                <w:kern w:val="0"/>
                <w:sz w:val="24"/>
                <w:lang w:bidi="zh-CN"/>
              </w:rPr>
              <w:t>分值构成(总分100分)</w:t>
            </w:r>
          </w:p>
        </w:tc>
        <w:tc>
          <w:tcPr>
            <w:tcW w:w="3272" w:type="pct"/>
            <w:gridSpan w:val="2"/>
            <w:noWrap/>
            <w:vAlign w:val="center"/>
          </w:tcPr>
          <w:p w14:paraId="0062DA0A">
            <w:pPr>
              <w:adjustRightInd w:val="0"/>
              <w:snapToGrid w:val="0"/>
              <w:rPr>
                <w:rFonts w:ascii="宋体" w:hAnsi="宋体" w:cs="宋体"/>
                <w:kern w:val="0"/>
                <w:sz w:val="24"/>
                <w:lang w:bidi="zh-CN"/>
              </w:rPr>
            </w:pPr>
            <w:r>
              <w:rPr>
                <w:rFonts w:hint="eastAsia" w:ascii="宋体" w:hAnsi="宋体" w:cs="宋体"/>
                <w:kern w:val="0"/>
                <w:sz w:val="24"/>
                <w:lang w:val="en-US" w:bidi="zh-CN"/>
              </w:rPr>
              <w:t>投标报价</w:t>
            </w:r>
            <w:r>
              <w:rPr>
                <w:rFonts w:hint="eastAsia" w:ascii="宋体" w:hAnsi="宋体" w:cs="宋体"/>
                <w:kern w:val="0"/>
                <w:sz w:val="24"/>
                <w:lang w:bidi="zh-CN"/>
              </w:rPr>
              <w:t>：10分</w:t>
            </w:r>
          </w:p>
          <w:p w14:paraId="4D7B22BB">
            <w:pPr>
              <w:adjustRightInd w:val="0"/>
              <w:snapToGrid w:val="0"/>
              <w:rPr>
                <w:rFonts w:ascii="宋体" w:hAnsi="宋体" w:cs="宋体"/>
                <w:kern w:val="0"/>
                <w:sz w:val="24"/>
                <w:lang w:bidi="zh-CN"/>
              </w:rPr>
            </w:pPr>
            <w:r>
              <w:rPr>
                <w:rFonts w:hint="eastAsia" w:ascii="宋体" w:hAnsi="宋体" w:cs="宋体"/>
                <w:kern w:val="0"/>
                <w:sz w:val="24"/>
                <w:lang w:bidi="zh-CN"/>
              </w:rPr>
              <w:t>技术标：60分</w:t>
            </w:r>
          </w:p>
          <w:p w14:paraId="619EB9E1">
            <w:pPr>
              <w:adjustRightInd w:val="0"/>
              <w:snapToGrid w:val="0"/>
              <w:rPr>
                <w:rFonts w:ascii="宋体" w:hAnsi="宋体" w:cs="宋体"/>
                <w:kern w:val="0"/>
                <w:sz w:val="24"/>
                <w:lang w:bidi="zh-CN"/>
              </w:rPr>
            </w:pPr>
            <w:r>
              <w:rPr>
                <w:rFonts w:hint="eastAsia" w:ascii="宋体" w:hAnsi="宋体" w:cs="宋体"/>
                <w:kern w:val="0"/>
                <w:sz w:val="24"/>
                <w:lang w:val="en-US" w:bidi="zh-CN"/>
              </w:rPr>
              <w:t>商务</w:t>
            </w:r>
            <w:r>
              <w:rPr>
                <w:rFonts w:hint="eastAsia" w:ascii="宋体" w:hAnsi="宋体" w:cs="宋体"/>
                <w:kern w:val="0"/>
                <w:sz w:val="24"/>
                <w:lang w:bidi="zh-CN"/>
              </w:rPr>
              <w:t>标：30分</w:t>
            </w:r>
          </w:p>
        </w:tc>
      </w:tr>
      <w:tr w14:paraId="507CE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13" w:type="pct"/>
            <w:noWrap/>
            <w:vAlign w:val="center"/>
          </w:tcPr>
          <w:p w14:paraId="7B4FC0B7">
            <w:pPr>
              <w:adjustRightInd w:val="0"/>
              <w:snapToGrid w:val="0"/>
              <w:jc w:val="center"/>
              <w:rPr>
                <w:rFonts w:ascii="宋体" w:hAnsi="宋体" w:cs="宋体"/>
                <w:kern w:val="0"/>
                <w:sz w:val="24"/>
                <w:lang w:bidi="zh-CN"/>
              </w:rPr>
            </w:pPr>
            <w:r>
              <w:rPr>
                <w:rFonts w:hint="eastAsia" w:ascii="宋体" w:hAnsi="宋体" w:cs="宋体"/>
                <w:kern w:val="0"/>
                <w:sz w:val="24"/>
                <w:lang w:bidi="zh-CN"/>
              </w:rPr>
              <w:t>1.1</w:t>
            </w:r>
          </w:p>
          <w:p w14:paraId="51A78A5D">
            <w:pPr>
              <w:adjustRightInd w:val="0"/>
              <w:snapToGrid w:val="0"/>
              <w:jc w:val="center"/>
              <w:rPr>
                <w:rFonts w:ascii="宋体" w:hAnsi="宋体" w:cs="宋体"/>
                <w:kern w:val="0"/>
                <w:sz w:val="24"/>
                <w:lang w:bidi="zh-CN"/>
              </w:rPr>
            </w:pPr>
          </w:p>
        </w:tc>
        <w:tc>
          <w:tcPr>
            <w:tcW w:w="544" w:type="pct"/>
            <w:noWrap/>
            <w:vAlign w:val="center"/>
          </w:tcPr>
          <w:p w14:paraId="512CD0D4">
            <w:pPr>
              <w:adjustRightInd w:val="0"/>
              <w:snapToGrid w:val="0"/>
              <w:jc w:val="center"/>
              <w:rPr>
                <w:rFonts w:ascii="宋体" w:hAnsi="宋体" w:cs="宋体"/>
                <w:kern w:val="0"/>
                <w:sz w:val="24"/>
                <w:lang w:bidi="zh-CN"/>
              </w:rPr>
            </w:pPr>
            <w:r>
              <w:rPr>
                <w:rFonts w:hint="eastAsia" w:ascii="宋体" w:hAnsi="宋体" w:cs="宋体"/>
                <w:kern w:val="0"/>
                <w:sz w:val="24"/>
                <w:lang w:bidi="zh-CN"/>
              </w:rPr>
              <w:t>投标报价</w:t>
            </w:r>
            <w:r>
              <w:rPr>
                <w:rFonts w:hint="eastAsia" w:ascii="宋体" w:hAnsi="宋体" w:cs="宋体"/>
                <w:kern w:val="0"/>
                <w:sz w:val="24"/>
                <w:lang w:bidi="zh-CN"/>
              </w:rPr>
              <w:t>（10分）</w:t>
            </w:r>
          </w:p>
        </w:tc>
        <w:tc>
          <w:tcPr>
            <w:tcW w:w="769" w:type="pct"/>
            <w:noWrap/>
            <w:vAlign w:val="center"/>
          </w:tcPr>
          <w:p w14:paraId="62C54BA4">
            <w:pPr>
              <w:adjustRightInd w:val="0"/>
              <w:snapToGrid w:val="0"/>
              <w:jc w:val="center"/>
              <w:rPr>
                <w:rFonts w:ascii="宋体" w:hAnsi="宋体" w:cs="宋体"/>
                <w:kern w:val="0"/>
                <w:sz w:val="24"/>
                <w:lang w:bidi="zh-CN"/>
              </w:rPr>
            </w:pPr>
            <w:r>
              <w:rPr>
                <w:rFonts w:hint="eastAsia" w:ascii="宋体" w:hAnsi="宋体" w:cs="宋体"/>
                <w:kern w:val="0"/>
                <w:sz w:val="24"/>
                <w:lang w:bidi="zh-CN"/>
              </w:rPr>
              <w:t>投标报价    （10分）</w:t>
            </w:r>
          </w:p>
        </w:tc>
        <w:tc>
          <w:tcPr>
            <w:tcW w:w="3272" w:type="pct"/>
            <w:gridSpan w:val="2"/>
            <w:noWrap/>
            <w:vAlign w:val="center"/>
          </w:tcPr>
          <w:p w14:paraId="42517286">
            <w:pPr>
              <w:adjustRightInd w:val="0"/>
              <w:snapToGrid w:val="0"/>
              <w:rPr>
                <w:rFonts w:ascii="宋体" w:hAnsi="宋体" w:cs="宋体"/>
                <w:kern w:val="0"/>
                <w:sz w:val="24"/>
                <w:lang w:bidi="zh-CN"/>
              </w:rPr>
            </w:pPr>
            <w:r>
              <w:rPr>
                <w:rFonts w:hint="eastAsia" w:ascii="宋体" w:hAnsi="宋体" w:cs="宋体"/>
                <w:kern w:val="0"/>
                <w:sz w:val="24"/>
                <w:lang w:bidi="zh-CN"/>
              </w:rPr>
              <w:t>价格分应当采用低价优先法计算，即通过资格性和符合性审查且最终磋商价格最低的磋商报价为磋商基准价，其价格分为满分10分。</w:t>
            </w:r>
          </w:p>
          <w:p w14:paraId="4B12D599">
            <w:pPr>
              <w:adjustRightInd w:val="0"/>
              <w:snapToGrid w:val="0"/>
              <w:rPr>
                <w:rFonts w:ascii="宋体" w:hAnsi="宋体" w:cs="宋体"/>
                <w:kern w:val="0"/>
                <w:sz w:val="24"/>
                <w:lang w:bidi="zh-CN"/>
              </w:rPr>
            </w:pPr>
            <w:r>
              <w:rPr>
                <w:rFonts w:hint="eastAsia" w:ascii="宋体" w:hAnsi="宋体" w:cs="宋体"/>
                <w:kern w:val="0"/>
                <w:sz w:val="24"/>
                <w:lang w:bidi="zh-CN"/>
              </w:rPr>
              <w:t>其他供应商的价格分统一按照下列公式计算：</w:t>
            </w:r>
          </w:p>
          <w:p w14:paraId="75DC88FC">
            <w:pPr>
              <w:adjustRightInd w:val="0"/>
              <w:snapToGrid w:val="0"/>
              <w:rPr>
                <w:rFonts w:ascii="宋体" w:hAnsi="宋体" w:cs="宋体"/>
                <w:kern w:val="0"/>
                <w:sz w:val="24"/>
                <w:lang w:bidi="zh-CN"/>
              </w:rPr>
            </w:pPr>
            <w:r>
              <w:rPr>
                <w:rFonts w:hint="eastAsia" w:ascii="宋体" w:hAnsi="宋体" w:cs="宋体"/>
                <w:kern w:val="0"/>
                <w:sz w:val="24"/>
                <w:lang w:bidi="zh-CN"/>
              </w:rPr>
              <w:t xml:space="preserve">磋商报价得分=(磋商基准价/磋商报价)×10 </w:t>
            </w:r>
          </w:p>
          <w:p w14:paraId="2ADFC62C">
            <w:pPr>
              <w:adjustRightInd w:val="0"/>
              <w:snapToGrid w:val="0"/>
              <w:rPr>
                <w:rFonts w:ascii="宋体" w:hAnsi="宋体" w:cs="宋体"/>
                <w:kern w:val="0"/>
                <w:sz w:val="24"/>
                <w:lang w:bidi="zh-CN"/>
              </w:rPr>
            </w:pPr>
            <w:r>
              <w:rPr>
                <w:rFonts w:hint="eastAsia" w:ascii="宋体" w:hAnsi="宋体" w:cs="宋体"/>
                <w:kern w:val="0"/>
                <w:sz w:val="24"/>
                <w:lang w:bidi="zh-CN"/>
              </w:rPr>
              <w:t>注：价格分计算保留小数点后二位；</w:t>
            </w:r>
          </w:p>
          <w:p w14:paraId="2F5541FD">
            <w:pPr>
              <w:adjustRightInd w:val="0"/>
              <w:snapToGrid w:val="0"/>
              <w:rPr>
                <w:rFonts w:ascii="宋体" w:hAnsi="宋体" w:cs="宋体"/>
                <w:kern w:val="0"/>
                <w:sz w:val="24"/>
                <w:lang w:bidi="zh-CN"/>
              </w:rPr>
            </w:pPr>
            <w:r>
              <w:rPr>
                <w:rFonts w:hint="eastAsia" w:ascii="宋体" w:hAnsi="宋体" w:cs="宋体"/>
                <w:kern w:val="0"/>
                <w:sz w:val="24"/>
                <w:lang w:bidi="zh-CN"/>
              </w:rPr>
              <w:t xml:space="preserve">注：价格扣除：《国务院关于印发扎实稳住经济一揽子政策措施的通知》（国发〔2022〕12号）对外发布，《通知》指出，加大政府采购支持中小企业力度。投标供应商为中小微企业的，对所投标的小型和微型企业制造的产品的价格给予20%的扣除，用扣除后的价格参与评审。中小企业参加本次政府采购活动，应当出具中小企业声明函》（详见响应文件格式），否则不得享受相关中小企业扶持政策。 </w:t>
            </w:r>
          </w:p>
          <w:p w14:paraId="128DCB52">
            <w:pPr>
              <w:adjustRightInd w:val="0"/>
              <w:snapToGrid w:val="0"/>
              <w:rPr>
                <w:rFonts w:ascii="宋体" w:hAnsi="宋体" w:cs="宋体"/>
                <w:kern w:val="0"/>
                <w:sz w:val="24"/>
                <w:lang w:bidi="zh-CN"/>
              </w:rPr>
            </w:pPr>
            <w:r>
              <w:rPr>
                <w:rFonts w:hint="eastAsia" w:ascii="宋体" w:hAnsi="宋体" w:cs="宋体"/>
                <w:kern w:val="0"/>
                <w:sz w:val="24"/>
                <w:lang w:bidi="zh-CN"/>
              </w:rPr>
              <w:t>所投中小微企业产品报价=所投中小微企业产品报价×（1-20%）</w:t>
            </w:r>
          </w:p>
          <w:p w14:paraId="1050EF83">
            <w:pPr>
              <w:pStyle w:val="13"/>
              <w:spacing w:after="0"/>
              <w:ind w:firstLine="0" w:firstLineChars="0"/>
              <w:rPr>
                <w:rFonts w:hAnsi="宋体" w:cs="宋体"/>
                <w:kern w:val="0"/>
                <w:sz w:val="24"/>
                <w:lang w:bidi="zh-CN"/>
              </w:rPr>
            </w:pPr>
            <w:r>
              <w:rPr>
                <w:rFonts w:hint="eastAsia" w:hAnsi="宋体" w:cs="宋体"/>
                <w:kern w:val="0"/>
                <w:sz w:val="24"/>
                <w:lang w:bidi="zh-CN"/>
              </w:rPr>
              <w:t>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tc>
      </w:tr>
      <w:tr w14:paraId="44BC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 w:type="pct"/>
            <w:vMerge w:val="restart"/>
            <w:noWrap/>
            <w:vAlign w:val="center"/>
          </w:tcPr>
          <w:p w14:paraId="1805794E">
            <w:pPr>
              <w:adjustRightInd w:val="0"/>
              <w:snapToGrid w:val="0"/>
              <w:jc w:val="center"/>
              <w:rPr>
                <w:rFonts w:ascii="宋体" w:hAnsi="宋体" w:cs="宋体"/>
                <w:kern w:val="0"/>
                <w:sz w:val="24"/>
                <w:lang w:bidi="zh-CN"/>
              </w:rPr>
            </w:pPr>
            <w:r>
              <w:rPr>
                <w:rFonts w:hint="eastAsia" w:ascii="宋体" w:hAnsi="宋体" w:cs="宋体"/>
                <w:kern w:val="0"/>
                <w:sz w:val="24"/>
                <w:lang w:bidi="zh-CN"/>
              </w:rPr>
              <w:t>1.2</w:t>
            </w:r>
          </w:p>
          <w:p w14:paraId="589A75B4">
            <w:pPr>
              <w:adjustRightInd w:val="0"/>
              <w:snapToGrid w:val="0"/>
              <w:jc w:val="center"/>
              <w:rPr>
                <w:rFonts w:ascii="宋体" w:hAnsi="宋体" w:cs="宋体"/>
                <w:kern w:val="0"/>
                <w:sz w:val="24"/>
                <w:lang w:bidi="zh-CN"/>
              </w:rPr>
            </w:pPr>
          </w:p>
        </w:tc>
        <w:tc>
          <w:tcPr>
            <w:tcW w:w="544" w:type="pct"/>
            <w:vMerge w:val="restart"/>
            <w:noWrap/>
            <w:vAlign w:val="center"/>
          </w:tcPr>
          <w:p w14:paraId="6D5DD6CE">
            <w:pPr>
              <w:adjustRightInd w:val="0"/>
              <w:snapToGrid w:val="0"/>
              <w:jc w:val="center"/>
              <w:rPr>
                <w:rFonts w:ascii="宋体" w:hAnsi="宋体" w:cs="宋体"/>
                <w:kern w:val="0"/>
                <w:sz w:val="24"/>
                <w:lang w:bidi="zh-CN"/>
              </w:rPr>
            </w:pPr>
            <w:r>
              <w:rPr>
                <w:rFonts w:hint="eastAsia" w:ascii="宋体" w:hAnsi="宋体" w:cs="宋体"/>
                <w:kern w:val="0"/>
                <w:sz w:val="24"/>
                <w:lang w:bidi="zh-CN"/>
              </w:rPr>
              <w:t>技术标</w:t>
            </w:r>
          </w:p>
          <w:p w14:paraId="0480C188">
            <w:pPr>
              <w:adjustRightInd w:val="0"/>
              <w:snapToGrid w:val="0"/>
              <w:jc w:val="center"/>
              <w:rPr>
                <w:rFonts w:ascii="宋体" w:hAnsi="宋体" w:cs="宋体"/>
                <w:kern w:val="0"/>
                <w:sz w:val="24"/>
                <w:highlight w:val="green"/>
                <w:lang w:bidi="zh-CN"/>
              </w:rPr>
            </w:pPr>
            <w:r>
              <w:rPr>
                <w:rFonts w:hint="eastAsia" w:ascii="宋体" w:hAnsi="宋体" w:cs="宋体"/>
                <w:kern w:val="0"/>
                <w:sz w:val="24"/>
                <w:lang w:bidi="zh-CN"/>
              </w:rPr>
              <w:t>（60分）</w:t>
            </w:r>
          </w:p>
        </w:tc>
        <w:tc>
          <w:tcPr>
            <w:tcW w:w="769" w:type="pct"/>
            <w:noWrap/>
            <w:vAlign w:val="center"/>
          </w:tcPr>
          <w:p w14:paraId="2810F5ED">
            <w:pPr>
              <w:spacing w:line="259" w:lineRule="auto"/>
              <w:jc w:val="center"/>
              <w:rPr>
                <w:rFonts w:ascii="宋体" w:hAnsi="宋体" w:cs="宋体"/>
                <w:kern w:val="0"/>
                <w:sz w:val="24"/>
                <w:highlight w:val="none"/>
                <w:lang w:bidi="zh-CN"/>
              </w:rPr>
            </w:pPr>
            <w:r>
              <w:rPr>
                <w:rFonts w:hint="eastAsia" w:ascii="宋体" w:hAnsi="宋体" w:cs="宋体"/>
                <w:kern w:val="0"/>
                <w:sz w:val="24"/>
                <w:highlight w:val="none"/>
                <w:lang w:bidi="zh-CN"/>
              </w:rPr>
              <w:t>1、针对本项目的整体理解及认识（0-12分）</w:t>
            </w:r>
          </w:p>
        </w:tc>
        <w:tc>
          <w:tcPr>
            <w:tcW w:w="2891" w:type="pct"/>
            <w:noWrap/>
            <w:vAlign w:val="center"/>
          </w:tcPr>
          <w:p w14:paraId="380DF061">
            <w:pPr>
              <w:rPr>
                <w:rFonts w:ascii="宋体" w:hAnsi="宋体" w:cs="宋体"/>
                <w:kern w:val="0"/>
                <w:sz w:val="24"/>
                <w:highlight w:val="none"/>
                <w:lang w:bidi="zh-CN"/>
              </w:rPr>
            </w:pPr>
            <w:r>
              <w:rPr>
                <w:rFonts w:hint="eastAsia" w:ascii="宋体" w:hAnsi="宋体" w:cs="宋体"/>
                <w:kern w:val="0"/>
                <w:sz w:val="24"/>
                <w:highlight w:val="none"/>
                <w:lang w:bidi="zh-CN"/>
              </w:rPr>
              <w:t>1、对本项目的整体理解透彻，认识充分的得5分；对本项目主报告的整体理解基本透彻，认识基本充分的得2分；</w:t>
            </w:r>
          </w:p>
          <w:p w14:paraId="11ACAD84">
            <w:pPr>
              <w:rPr>
                <w:rFonts w:ascii="宋体" w:hAnsi="宋体" w:cs="宋体"/>
                <w:kern w:val="0"/>
                <w:sz w:val="24"/>
                <w:highlight w:val="none"/>
                <w:lang w:bidi="zh-CN"/>
              </w:rPr>
            </w:pPr>
            <w:r>
              <w:rPr>
                <w:rFonts w:hint="eastAsia" w:ascii="宋体" w:hAnsi="宋体" w:cs="宋体"/>
                <w:kern w:val="0"/>
                <w:sz w:val="24"/>
                <w:highlight w:val="none"/>
                <w:lang w:bidi="zh-CN"/>
              </w:rPr>
              <w:t>2、项目技术符合本项目要求，方案具有针对性的得7分；项目技术要求基本符合要求的，方案基本具有针对性的得3分；</w:t>
            </w:r>
          </w:p>
          <w:p w14:paraId="1FD6E94F">
            <w:pPr>
              <w:rPr>
                <w:rFonts w:ascii="宋体" w:hAnsi="宋体" w:cs="宋体"/>
                <w:kern w:val="0"/>
                <w:sz w:val="24"/>
                <w:highlight w:val="none"/>
                <w:lang w:val="zh-CN" w:bidi="zh-CN"/>
              </w:rPr>
            </w:pPr>
            <w:r>
              <w:rPr>
                <w:rFonts w:hint="eastAsia" w:ascii="宋体" w:hAnsi="宋体" w:cs="宋体"/>
                <w:kern w:val="0"/>
                <w:sz w:val="24"/>
                <w:highlight w:val="none"/>
                <w:lang w:bidi="zh-CN"/>
              </w:rPr>
              <w:t>本项最多得12分，缺项或不合理的，本项不得分。</w:t>
            </w:r>
          </w:p>
        </w:tc>
        <w:tc>
          <w:tcPr>
            <w:tcW w:w="380" w:type="pct"/>
            <w:noWrap/>
            <w:vAlign w:val="center"/>
          </w:tcPr>
          <w:p w14:paraId="40055C5D">
            <w:pPr>
              <w:jc w:val="center"/>
              <w:rPr>
                <w:rFonts w:ascii="宋体" w:hAnsi="宋体" w:cs="宋体"/>
                <w:kern w:val="0"/>
                <w:sz w:val="24"/>
                <w:highlight w:val="none"/>
                <w:lang w:bidi="zh-CN"/>
              </w:rPr>
            </w:pPr>
            <w:r>
              <w:rPr>
                <w:rFonts w:hint="eastAsia" w:ascii="宋体" w:hAnsi="宋体" w:cs="宋体"/>
                <w:kern w:val="0"/>
                <w:sz w:val="24"/>
                <w:highlight w:val="none"/>
                <w:lang w:bidi="zh-CN"/>
              </w:rPr>
              <w:t>12分</w:t>
            </w:r>
          </w:p>
        </w:tc>
      </w:tr>
      <w:tr w14:paraId="3FD97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 w:type="pct"/>
            <w:vMerge w:val="continue"/>
            <w:noWrap/>
            <w:vAlign w:val="center"/>
          </w:tcPr>
          <w:p w14:paraId="74CFEF58">
            <w:pPr>
              <w:adjustRightInd w:val="0"/>
              <w:snapToGrid w:val="0"/>
              <w:jc w:val="center"/>
              <w:rPr>
                <w:rFonts w:ascii="宋体" w:hAnsi="宋体" w:cs="宋体"/>
                <w:kern w:val="0"/>
                <w:sz w:val="24"/>
                <w:lang w:bidi="zh-CN"/>
              </w:rPr>
            </w:pPr>
          </w:p>
        </w:tc>
        <w:tc>
          <w:tcPr>
            <w:tcW w:w="544" w:type="pct"/>
            <w:vMerge w:val="continue"/>
            <w:noWrap/>
            <w:vAlign w:val="center"/>
          </w:tcPr>
          <w:p w14:paraId="3C744490">
            <w:pPr>
              <w:adjustRightInd w:val="0"/>
              <w:snapToGrid w:val="0"/>
              <w:jc w:val="center"/>
              <w:rPr>
                <w:rFonts w:ascii="宋体" w:hAnsi="宋体" w:cs="宋体"/>
                <w:kern w:val="0"/>
                <w:sz w:val="24"/>
                <w:highlight w:val="green"/>
                <w:lang w:bidi="zh-CN"/>
              </w:rPr>
            </w:pPr>
          </w:p>
        </w:tc>
        <w:tc>
          <w:tcPr>
            <w:tcW w:w="769" w:type="pct"/>
            <w:noWrap/>
            <w:vAlign w:val="center"/>
          </w:tcPr>
          <w:p w14:paraId="556094ED">
            <w:pPr>
              <w:spacing w:line="259" w:lineRule="auto"/>
              <w:jc w:val="center"/>
              <w:rPr>
                <w:rFonts w:ascii="宋体" w:hAnsi="宋体" w:cs="宋体"/>
                <w:kern w:val="0"/>
                <w:sz w:val="24"/>
                <w:highlight w:val="none"/>
                <w:lang w:bidi="zh-CN"/>
              </w:rPr>
            </w:pPr>
            <w:r>
              <w:rPr>
                <w:rFonts w:ascii="宋体" w:hAnsi="宋体" w:cs="宋体"/>
                <w:kern w:val="0"/>
                <w:sz w:val="24"/>
                <w:highlight w:val="none"/>
                <w:lang w:bidi="zh-CN"/>
              </w:rPr>
              <w:t>2</w:t>
            </w:r>
            <w:r>
              <w:rPr>
                <w:rFonts w:hint="eastAsia" w:ascii="宋体" w:hAnsi="宋体" w:cs="宋体"/>
                <w:kern w:val="0"/>
                <w:sz w:val="24"/>
                <w:highlight w:val="none"/>
                <w:lang w:bidi="zh-CN"/>
              </w:rPr>
              <w:t>、针对主报告的工作思路、方法、技术路线，关键问题的把握（0-15分）</w:t>
            </w:r>
          </w:p>
        </w:tc>
        <w:tc>
          <w:tcPr>
            <w:tcW w:w="2891" w:type="pct"/>
            <w:noWrap/>
            <w:vAlign w:val="center"/>
          </w:tcPr>
          <w:p w14:paraId="57B93DED">
            <w:pPr>
              <w:rPr>
                <w:rFonts w:ascii="宋体" w:hAnsi="宋体" w:cs="宋体"/>
                <w:kern w:val="0"/>
                <w:sz w:val="24"/>
                <w:highlight w:val="none"/>
                <w:lang w:bidi="zh-CN"/>
              </w:rPr>
            </w:pPr>
            <w:r>
              <w:rPr>
                <w:rFonts w:hint="eastAsia" w:ascii="宋体" w:hAnsi="宋体" w:cs="宋体"/>
                <w:kern w:val="0"/>
                <w:sz w:val="24"/>
                <w:highlight w:val="none"/>
                <w:lang w:bidi="zh-CN"/>
              </w:rPr>
              <w:t>1、思路清晰、方法合理得7分；思路基本清晰、方法基本合理，得3分；</w:t>
            </w:r>
          </w:p>
          <w:p w14:paraId="0902EAE9">
            <w:pPr>
              <w:rPr>
                <w:rFonts w:ascii="宋体" w:hAnsi="宋体" w:cs="宋体"/>
                <w:kern w:val="0"/>
                <w:sz w:val="24"/>
                <w:highlight w:val="none"/>
                <w:lang w:bidi="zh-CN"/>
              </w:rPr>
            </w:pPr>
            <w:r>
              <w:rPr>
                <w:rFonts w:hint="eastAsia" w:ascii="宋体" w:hAnsi="宋体" w:cs="宋体"/>
                <w:kern w:val="0"/>
                <w:sz w:val="24"/>
                <w:highlight w:val="none"/>
                <w:lang w:bidi="zh-CN"/>
              </w:rPr>
              <w:t>2、技术支持完善，关键问题把握明确的，得8分；技术支持基本完善，关键问题把握基本明确的，得5分，技术可行，关键问题不全面的，得3分。</w:t>
            </w:r>
          </w:p>
          <w:p w14:paraId="5D4CE525">
            <w:pPr>
              <w:rPr>
                <w:rFonts w:ascii="宋体" w:hAnsi="宋体" w:cs="宋体"/>
                <w:kern w:val="0"/>
                <w:sz w:val="24"/>
                <w:highlight w:val="none"/>
                <w:lang w:val="zh-CN" w:bidi="zh-CN"/>
              </w:rPr>
            </w:pPr>
            <w:r>
              <w:rPr>
                <w:rFonts w:hint="eastAsia" w:ascii="宋体" w:hAnsi="宋体" w:cs="宋体"/>
                <w:kern w:val="0"/>
                <w:sz w:val="24"/>
                <w:highlight w:val="none"/>
                <w:lang w:bidi="zh-CN"/>
              </w:rPr>
              <w:t>本项最多得15分，缺项或不合理的，本项不得分。</w:t>
            </w:r>
          </w:p>
        </w:tc>
        <w:tc>
          <w:tcPr>
            <w:tcW w:w="380" w:type="pct"/>
            <w:noWrap/>
            <w:vAlign w:val="center"/>
          </w:tcPr>
          <w:p w14:paraId="2E0701A3">
            <w:pPr>
              <w:adjustRightInd w:val="0"/>
              <w:snapToGrid w:val="0"/>
              <w:jc w:val="center"/>
              <w:rPr>
                <w:rFonts w:ascii="宋体" w:hAnsi="宋体" w:cs="宋体"/>
                <w:kern w:val="0"/>
                <w:sz w:val="24"/>
                <w:highlight w:val="none"/>
                <w:lang w:bidi="zh-CN"/>
              </w:rPr>
            </w:pPr>
            <w:r>
              <w:rPr>
                <w:rFonts w:hint="eastAsia" w:ascii="宋体" w:hAnsi="宋体" w:cs="宋体"/>
                <w:kern w:val="0"/>
                <w:sz w:val="24"/>
                <w:highlight w:val="none"/>
                <w:lang w:bidi="zh-CN"/>
              </w:rPr>
              <w:t>15分</w:t>
            </w:r>
          </w:p>
        </w:tc>
      </w:tr>
      <w:tr w14:paraId="1725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413" w:type="pct"/>
            <w:vMerge w:val="continue"/>
            <w:noWrap/>
            <w:vAlign w:val="center"/>
          </w:tcPr>
          <w:p w14:paraId="65E36526">
            <w:pPr>
              <w:adjustRightInd w:val="0"/>
              <w:snapToGrid w:val="0"/>
              <w:jc w:val="center"/>
              <w:rPr>
                <w:rFonts w:ascii="宋体" w:hAnsi="宋体" w:cs="宋体"/>
                <w:kern w:val="0"/>
                <w:sz w:val="24"/>
                <w:lang w:bidi="zh-CN"/>
              </w:rPr>
            </w:pPr>
          </w:p>
        </w:tc>
        <w:tc>
          <w:tcPr>
            <w:tcW w:w="544" w:type="pct"/>
            <w:vMerge w:val="continue"/>
            <w:noWrap/>
            <w:vAlign w:val="center"/>
          </w:tcPr>
          <w:p w14:paraId="2591809D">
            <w:pPr>
              <w:adjustRightInd w:val="0"/>
              <w:snapToGrid w:val="0"/>
              <w:jc w:val="center"/>
              <w:rPr>
                <w:rFonts w:ascii="宋体" w:hAnsi="宋体" w:cs="宋体"/>
                <w:kern w:val="0"/>
                <w:sz w:val="24"/>
                <w:highlight w:val="green"/>
                <w:lang w:bidi="zh-CN"/>
              </w:rPr>
            </w:pPr>
          </w:p>
        </w:tc>
        <w:tc>
          <w:tcPr>
            <w:tcW w:w="769" w:type="pct"/>
            <w:noWrap/>
            <w:vAlign w:val="center"/>
          </w:tcPr>
          <w:p w14:paraId="456AD701">
            <w:pPr>
              <w:spacing w:line="259" w:lineRule="auto"/>
              <w:jc w:val="center"/>
              <w:rPr>
                <w:rFonts w:ascii="宋体" w:hAnsi="宋体" w:cs="宋体"/>
                <w:kern w:val="0"/>
                <w:sz w:val="24"/>
                <w:highlight w:val="none"/>
                <w:lang w:bidi="zh-CN"/>
              </w:rPr>
            </w:pPr>
            <w:r>
              <w:rPr>
                <w:rFonts w:hint="eastAsia" w:ascii="宋体" w:hAnsi="宋体" w:cs="宋体"/>
                <w:kern w:val="0"/>
                <w:sz w:val="24"/>
                <w:highlight w:val="none"/>
                <w:lang w:bidi="zh-CN"/>
              </w:rPr>
              <w:t>3、针对三大专题研究的技术思路和重难点分析</w:t>
            </w:r>
          </w:p>
        </w:tc>
        <w:tc>
          <w:tcPr>
            <w:tcW w:w="2891" w:type="pct"/>
            <w:noWrap/>
            <w:vAlign w:val="center"/>
          </w:tcPr>
          <w:p w14:paraId="157C6843">
            <w:pPr>
              <w:rPr>
                <w:rFonts w:ascii="宋体" w:hAnsi="宋体" w:cs="宋体"/>
                <w:kern w:val="0"/>
                <w:sz w:val="24"/>
                <w:highlight w:val="none"/>
                <w:lang w:bidi="zh-CN"/>
              </w:rPr>
            </w:pPr>
            <w:r>
              <w:rPr>
                <w:rFonts w:hint="eastAsia" w:ascii="宋体" w:hAnsi="宋体" w:cs="宋体"/>
                <w:kern w:val="0"/>
                <w:sz w:val="24"/>
                <w:highlight w:val="none"/>
                <w:lang w:bidi="zh-CN"/>
              </w:rPr>
              <w:t>1、三大专题研究的技术框架体系完整、逻辑严密得7分；体系基本完整、思路基本清晰，得3分；</w:t>
            </w:r>
          </w:p>
          <w:p w14:paraId="6E70501A">
            <w:pPr>
              <w:rPr>
                <w:rFonts w:ascii="宋体" w:hAnsi="宋体" w:cs="宋体"/>
                <w:kern w:val="0"/>
                <w:sz w:val="24"/>
                <w:highlight w:val="none"/>
                <w:lang w:bidi="zh-CN"/>
              </w:rPr>
            </w:pPr>
            <w:r>
              <w:rPr>
                <w:rFonts w:hint="eastAsia" w:ascii="宋体" w:hAnsi="宋体" w:cs="宋体"/>
                <w:kern w:val="0"/>
                <w:sz w:val="24"/>
                <w:highlight w:val="none"/>
                <w:lang w:bidi="zh-CN"/>
              </w:rPr>
              <w:t>2、三大专题研究的重难点把握准确的，得8分；重难点把握基本准确的，得5分；重难点把握不准确的，得3分。</w:t>
            </w:r>
          </w:p>
          <w:p w14:paraId="6F9757F6">
            <w:pPr>
              <w:rPr>
                <w:rFonts w:ascii="宋体" w:hAnsi="宋体" w:cs="宋体"/>
                <w:kern w:val="0"/>
                <w:sz w:val="24"/>
                <w:highlight w:val="none"/>
                <w:lang w:val="zh-CN" w:bidi="zh-CN"/>
              </w:rPr>
            </w:pPr>
            <w:r>
              <w:rPr>
                <w:rFonts w:hint="eastAsia" w:ascii="宋体" w:hAnsi="宋体" w:cs="宋体"/>
                <w:kern w:val="0"/>
                <w:sz w:val="24"/>
                <w:highlight w:val="none"/>
                <w:lang w:bidi="zh-CN"/>
              </w:rPr>
              <w:t>本项最多得15分，缺项或不合理的，本项不得分。</w:t>
            </w:r>
          </w:p>
        </w:tc>
        <w:tc>
          <w:tcPr>
            <w:tcW w:w="380" w:type="pct"/>
            <w:noWrap/>
            <w:vAlign w:val="center"/>
          </w:tcPr>
          <w:p w14:paraId="59428AE3">
            <w:pPr>
              <w:adjustRightInd w:val="0"/>
              <w:snapToGrid w:val="0"/>
              <w:jc w:val="center"/>
              <w:rPr>
                <w:rFonts w:ascii="宋体" w:hAnsi="宋体" w:cs="宋体"/>
                <w:kern w:val="0"/>
                <w:sz w:val="24"/>
                <w:highlight w:val="none"/>
                <w:lang w:bidi="zh-CN"/>
              </w:rPr>
            </w:pPr>
            <w:r>
              <w:rPr>
                <w:rFonts w:hint="eastAsia" w:ascii="宋体" w:hAnsi="宋体" w:cs="宋体"/>
                <w:kern w:val="0"/>
                <w:sz w:val="24"/>
                <w:highlight w:val="none"/>
                <w:lang w:bidi="zh-CN"/>
              </w:rPr>
              <w:t>1</w:t>
            </w:r>
            <w:r>
              <w:rPr>
                <w:rFonts w:ascii="宋体" w:hAnsi="宋体" w:cs="宋体"/>
                <w:kern w:val="0"/>
                <w:sz w:val="24"/>
                <w:highlight w:val="none"/>
                <w:lang w:bidi="zh-CN"/>
              </w:rPr>
              <w:t>5分</w:t>
            </w:r>
          </w:p>
        </w:tc>
      </w:tr>
      <w:tr w14:paraId="3B1E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13" w:type="pct"/>
            <w:vMerge w:val="continue"/>
            <w:noWrap/>
            <w:vAlign w:val="center"/>
          </w:tcPr>
          <w:p w14:paraId="677EBB75">
            <w:pPr>
              <w:adjustRightInd w:val="0"/>
              <w:snapToGrid w:val="0"/>
              <w:jc w:val="center"/>
              <w:rPr>
                <w:rFonts w:ascii="宋体" w:hAnsi="宋体" w:cs="宋体"/>
                <w:kern w:val="0"/>
                <w:sz w:val="24"/>
                <w:lang w:bidi="zh-CN"/>
              </w:rPr>
            </w:pPr>
          </w:p>
        </w:tc>
        <w:tc>
          <w:tcPr>
            <w:tcW w:w="544" w:type="pct"/>
            <w:vMerge w:val="continue"/>
            <w:noWrap/>
            <w:vAlign w:val="center"/>
          </w:tcPr>
          <w:p w14:paraId="00CB8ED3">
            <w:pPr>
              <w:adjustRightInd w:val="0"/>
              <w:snapToGrid w:val="0"/>
              <w:jc w:val="center"/>
              <w:rPr>
                <w:rFonts w:ascii="宋体" w:hAnsi="宋体" w:cs="宋体"/>
                <w:kern w:val="0"/>
                <w:sz w:val="24"/>
                <w:highlight w:val="green"/>
                <w:lang w:bidi="zh-CN"/>
              </w:rPr>
            </w:pPr>
          </w:p>
        </w:tc>
        <w:tc>
          <w:tcPr>
            <w:tcW w:w="769" w:type="pct"/>
            <w:noWrap/>
            <w:vAlign w:val="center"/>
          </w:tcPr>
          <w:p w14:paraId="3C1E3842">
            <w:pPr>
              <w:spacing w:line="259" w:lineRule="auto"/>
              <w:jc w:val="center"/>
              <w:rPr>
                <w:rFonts w:ascii="宋体" w:hAnsi="宋体" w:cs="宋体"/>
                <w:kern w:val="0"/>
                <w:sz w:val="24"/>
                <w:highlight w:val="none"/>
                <w:lang w:bidi="zh-CN"/>
              </w:rPr>
            </w:pPr>
            <w:r>
              <w:rPr>
                <w:rFonts w:ascii="宋体" w:hAnsi="宋体" w:cs="宋体"/>
                <w:kern w:val="0"/>
                <w:sz w:val="24"/>
                <w:highlight w:val="none"/>
                <w:lang w:bidi="zh-CN"/>
              </w:rPr>
              <w:t>4</w:t>
            </w:r>
            <w:r>
              <w:rPr>
                <w:rFonts w:hint="eastAsia" w:ascii="宋体" w:hAnsi="宋体" w:cs="宋体"/>
                <w:kern w:val="0"/>
                <w:sz w:val="24"/>
                <w:highlight w:val="none"/>
                <w:lang w:bidi="zh-CN"/>
              </w:rPr>
              <w:t>、针对本项目质量目标及保证措施（0-</w:t>
            </w:r>
            <w:r>
              <w:rPr>
                <w:rFonts w:ascii="宋体" w:hAnsi="宋体" w:cs="宋体"/>
                <w:kern w:val="0"/>
                <w:sz w:val="24"/>
                <w:highlight w:val="none"/>
                <w:lang w:bidi="zh-CN"/>
              </w:rPr>
              <w:t>9</w:t>
            </w:r>
            <w:r>
              <w:rPr>
                <w:rFonts w:hint="eastAsia" w:ascii="宋体" w:hAnsi="宋体" w:cs="宋体"/>
                <w:kern w:val="0"/>
                <w:sz w:val="24"/>
                <w:highlight w:val="none"/>
                <w:lang w:bidi="zh-CN"/>
              </w:rPr>
              <w:t>分）</w:t>
            </w:r>
          </w:p>
        </w:tc>
        <w:tc>
          <w:tcPr>
            <w:tcW w:w="2891" w:type="pct"/>
            <w:noWrap/>
            <w:vAlign w:val="center"/>
          </w:tcPr>
          <w:p w14:paraId="7DF90FE9">
            <w:pPr>
              <w:rPr>
                <w:rFonts w:ascii="宋体" w:hAnsi="宋体" w:cs="宋体"/>
                <w:kern w:val="0"/>
                <w:sz w:val="24"/>
                <w:highlight w:val="none"/>
                <w:lang w:bidi="zh-CN"/>
              </w:rPr>
            </w:pPr>
            <w:r>
              <w:rPr>
                <w:rFonts w:hint="eastAsia" w:ascii="宋体" w:hAnsi="宋体" w:cs="宋体"/>
                <w:kern w:val="0"/>
                <w:sz w:val="24"/>
                <w:highlight w:val="none"/>
                <w:lang w:bidi="zh-CN"/>
              </w:rPr>
              <w:t>1、质量目标明确得</w:t>
            </w:r>
            <w:r>
              <w:rPr>
                <w:rFonts w:ascii="宋体" w:hAnsi="宋体" w:cs="宋体"/>
                <w:kern w:val="0"/>
                <w:sz w:val="24"/>
                <w:highlight w:val="none"/>
                <w:lang w:bidi="zh-CN"/>
              </w:rPr>
              <w:t>3</w:t>
            </w:r>
            <w:r>
              <w:rPr>
                <w:rFonts w:hint="eastAsia" w:ascii="宋体" w:hAnsi="宋体" w:cs="宋体"/>
                <w:kern w:val="0"/>
                <w:sz w:val="24"/>
                <w:highlight w:val="none"/>
                <w:lang w:bidi="zh-CN"/>
              </w:rPr>
              <w:t>分；质量目标基本明确得2分；</w:t>
            </w:r>
          </w:p>
          <w:p w14:paraId="0D6566D0">
            <w:pPr>
              <w:rPr>
                <w:rFonts w:ascii="宋体" w:hAnsi="宋体" w:cs="宋体"/>
                <w:kern w:val="0"/>
                <w:sz w:val="24"/>
                <w:highlight w:val="none"/>
                <w:lang w:bidi="zh-CN"/>
              </w:rPr>
            </w:pPr>
            <w:r>
              <w:rPr>
                <w:rFonts w:hint="eastAsia" w:ascii="宋体" w:hAnsi="宋体" w:cs="宋体"/>
                <w:kern w:val="0"/>
                <w:sz w:val="24"/>
                <w:highlight w:val="none"/>
                <w:lang w:bidi="zh-CN"/>
              </w:rPr>
              <w:t>2、质量保证措施具体并具有针对性得</w:t>
            </w:r>
            <w:r>
              <w:rPr>
                <w:rFonts w:ascii="宋体" w:hAnsi="宋体" w:cs="宋体"/>
                <w:kern w:val="0"/>
                <w:sz w:val="24"/>
                <w:highlight w:val="none"/>
                <w:lang w:bidi="zh-CN"/>
              </w:rPr>
              <w:t>3</w:t>
            </w:r>
            <w:r>
              <w:rPr>
                <w:rFonts w:hint="eastAsia" w:ascii="宋体" w:hAnsi="宋体" w:cs="宋体"/>
                <w:kern w:val="0"/>
                <w:sz w:val="24"/>
                <w:highlight w:val="none"/>
                <w:lang w:bidi="zh-CN"/>
              </w:rPr>
              <w:t>分；质量保证措施基本健全有效且合理的得2分；</w:t>
            </w:r>
          </w:p>
          <w:p w14:paraId="1E6669B0">
            <w:pPr>
              <w:rPr>
                <w:rFonts w:ascii="宋体" w:hAnsi="宋体" w:cs="宋体"/>
                <w:kern w:val="0"/>
                <w:sz w:val="24"/>
                <w:highlight w:val="none"/>
                <w:lang w:bidi="zh-CN"/>
              </w:rPr>
            </w:pPr>
            <w:r>
              <w:rPr>
                <w:rFonts w:hint="eastAsia" w:ascii="宋体" w:hAnsi="宋体" w:cs="宋体"/>
                <w:kern w:val="0"/>
                <w:sz w:val="24"/>
                <w:highlight w:val="none"/>
                <w:lang w:bidi="zh-CN"/>
              </w:rPr>
              <w:t>3、质量保证措施健全有效且合理的，可操作性强的得</w:t>
            </w:r>
            <w:r>
              <w:rPr>
                <w:rFonts w:ascii="宋体" w:hAnsi="宋体" w:cs="宋体"/>
                <w:kern w:val="0"/>
                <w:sz w:val="24"/>
                <w:highlight w:val="none"/>
                <w:lang w:bidi="zh-CN"/>
              </w:rPr>
              <w:t>3</w:t>
            </w:r>
            <w:r>
              <w:rPr>
                <w:rFonts w:hint="eastAsia" w:ascii="宋体" w:hAnsi="宋体" w:cs="宋体"/>
                <w:kern w:val="0"/>
                <w:sz w:val="24"/>
                <w:highlight w:val="none"/>
                <w:lang w:bidi="zh-CN"/>
              </w:rPr>
              <w:t>分；质量保证措施具备基本可操作性的得2分；</w:t>
            </w:r>
          </w:p>
          <w:p w14:paraId="77E80C68">
            <w:pPr>
              <w:rPr>
                <w:rFonts w:ascii="宋体" w:hAnsi="宋体" w:cs="宋体"/>
                <w:kern w:val="0"/>
                <w:sz w:val="24"/>
                <w:highlight w:val="none"/>
                <w:lang w:val="zh-CN" w:bidi="zh-CN"/>
              </w:rPr>
            </w:pPr>
            <w:r>
              <w:rPr>
                <w:rFonts w:hint="eastAsia" w:ascii="宋体" w:hAnsi="宋体" w:cs="宋体"/>
                <w:kern w:val="0"/>
                <w:sz w:val="24"/>
                <w:highlight w:val="none"/>
                <w:lang w:bidi="zh-CN"/>
              </w:rPr>
              <w:t>本项最多得</w:t>
            </w:r>
            <w:r>
              <w:rPr>
                <w:rFonts w:ascii="宋体" w:hAnsi="宋体" w:cs="宋体"/>
                <w:kern w:val="0"/>
                <w:sz w:val="24"/>
                <w:highlight w:val="none"/>
                <w:lang w:bidi="zh-CN"/>
              </w:rPr>
              <w:t>9</w:t>
            </w:r>
            <w:r>
              <w:rPr>
                <w:rFonts w:hint="eastAsia" w:ascii="宋体" w:hAnsi="宋体" w:cs="宋体"/>
                <w:kern w:val="0"/>
                <w:sz w:val="24"/>
                <w:highlight w:val="none"/>
                <w:lang w:bidi="zh-CN"/>
              </w:rPr>
              <w:t>分，缺项或不合理的，本项不得分。</w:t>
            </w:r>
          </w:p>
        </w:tc>
        <w:tc>
          <w:tcPr>
            <w:tcW w:w="380" w:type="pct"/>
            <w:noWrap/>
            <w:vAlign w:val="center"/>
          </w:tcPr>
          <w:p w14:paraId="2549D8CC">
            <w:pPr>
              <w:adjustRightInd w:val="0"/>
              <w:snapToGrid w:val="0"/>
              <w:jc w:val="center"/>
              <w:rPr>
                <w:rFonts w:ascii="宋体" w:hAnsi="宋体" w:cs="宋体"/>
                <w:kern w:val="0"/>
                <w:sz w:val="24"/>
                <w:highlight w:val="none"/>
                <w:lang w:bidi="zh-CN"/>
              </w:rPr>
            </w:pPr>
            <w:r>
              <w:rPr>
                <w:rFonts w:ascii="宋体" w:hAnsi="宋体" w:cs="宋体"/>
                <w:kern w:val="0"/>
                <w:sz w:val="24"/>
                <w:highlight w:val="none"/>
                <w:lang w:bidi="zh-CN"/>
              </w:rPr>
              <w:t>9</w:t>
            </w:r>
            <w:r>
              <w:rPr>
                <w:rFonts w:hint="eastAsia" w:ascii="宋体" w:hAnsi="宋体" w:cs="宋体"/>
                <w:kern w:val="0"/>
                <w:sz w:val="24"/>
                <w:highlight w:val="none"/>
                <w:lang w:bidi="zh-CN"/>
              </w:rPr>
              <w:t>分</w:t>
            </w:r>
          </w:p>
        </w:tc>
      </w:tr>
      <w:tr w14:paraId="79A8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413" w:type="pct"/>
            <w:vMerge w:val="continue"/>
            <w:noWrap/>
            <w:vAlign w:val="center"/>
          </w:tcPr>
          <w:p w14:paraId="44ACCF13">
            <w:pPr>
              <w:adjustRightInd w:val="0"/>
              <w:snapToGrid w:val="0"/>
              <w:jc w:val="center"/>
              <w:rPr>
                <w:rFonts w:ascii="宋体" w:hAnsi="宋体" w:cs="宋体"/>
                <w:kern w:val="0"/>
                <w:sz w:val="24"/>
                <w:lang w:bidi="zh-CN"/>
              </w:rPr>
            </w:pPr>
          </w:p>
        </w:tc>
        <w:tc>
          <w:tcPr>
            <w:tcW w:w="544" w:type="pct"/>
            <w:vMerge w:val="continue"/>
            <w:noWrap/>
            <w:vAlign w:val="center"/>
          </w:tcPr>
          <w:p w14:paraId="5803344A">
            <w:pPr>
              <w:adjustRightInd w:val="0"/>
              <w:snapToGrid w:val="0"/>
              <w:jc w:val="center"/>
              <w:rPr>
                <w:rFonts w:ascii="宋体" w:hAnsi="宋体" w:cs="宋体"/>
                <w:kern w:val="0"/>
                <w:sz w:val="24"/>
                <w:highlight w:val="green"/>
                <w:lang w:bidi="zh-CN"/>
              </w:rPr>
            </w:pPr>
          </w:p>
        </w:tc>
        <w:tc>
          <w:tcPr>
            <w:tcW w:w="769" w:type="pct"/>
            <w:noWrap/>
            <w:vAlign w:val="center"/>
          </w:tcPr>
          <w:p w14:paraId="115B3147">
            <w:pPr>
              <w:spacing w:line="259" w:lineRule="auto"/>
              <w:jc w:val="center"/>
              <w:rPr>
                <w:rFonts w:ascii="宋体" w:hAnsi="宋体" w:cs="宋体"/>
                <w:kern w:val="0"/>
                <w:sz w:val="24"/>
                <w:highlight w:val="none"/>
                <w:lang w:bidi="zh-CN"/>
              </w:rPr>
            </w:pPr>
            <w:r>
              <w:rPr>
                <w:rFonts w:ascii="宋体" w:hAnsi="宋体" w:cs="宋体"/>
                <w:kern w:val="0"/>
                <w:sz w:val="24"/>
                <w:highlight w:val="none"/>
                <w:lang w:bidi="zh-CN"/>
              </w:rPr>
              <w:t>5</w:t>
            </w:r>
            <w:r>
              <w:rPr>
                <w:rFonts w:hint="eastAsia" w:ascii="宋体" w:hAnsi="宋体" w:cs="宋体"/>
                <w:kern w:val="0"/>
                <w:sz w:val="24"/>
                <w:highlight w:val="none"/>
                <w:lang w:bidi="zh-CN"/>
              </w:rPr>
              <w:t>、针对本项目工作进度的计划和保证措施（0-5分）</w:t>
            </w:r>
          </w:p>
        </w:tc>
        <w:tc>
          <w:tcPr>
            <w:tcW w:w="2891" w:type="pct"/>
            <w:noWrap/>
            <w:vAlign w:val="center"/>
          </w:tcPr>
          <w:p w14:paraId="3857CEE9">
            <w:pPr>
              <w:rPr>
                <w:rFonts w:ascii="宋体" w:hAnsi="宋体" w:cs="宋体"/>
                <w:kern w:val="0"/>
                <w:sz w:val="24"/>
                <w:highlight w:val="none"/>
                <w:lang w:bidi="zh-CN"/>
              </w:rPr>
            </w:pPr>
            <w:r>
              <w:rPr>
                <w:rFonts w:hint="eastAsia" w:ascii="宋体" w:hAnsi="宋体" w:cs="宋体"/>
                <w:kern w:val="0"/>
                <w:sz w:val="24"/>
                <w:highlight w:val="none"/>
                <w:lang w:bidi="zh-CN"/>
              </w:rPr>
              <w:t>1、工作进度计划合理，保证措施具有针对性、措施先进可行，得5分；工作进度计划基本合理，保证措施基本具有针对性、措施基本可行，得2分；</w:t>
            </w:r>
          </w:p>
          <w:p w14:paraId="071BAB56">
            <w:pPr>
              <w:rPr>
                <w:rFonts w:ascii="宋体" w:hAnsi="宋体" w:cs="宋体"/>
                <w:kern w:val="0"/>
                <w:sz w:val="24"/>
                <w:highlight w:val="none"/>
                <w:lang w:val="zh-CN" w:bidi="zh-CN"/>
              </w:rPr>
            </w:pPr>
            <w:r>
              <w:rPr>
                <w:rFonts w:hint="eastAsia" w:ascii="宋体" w:hAnsi="宋体" w:cs="宋体"/>
                <w:kern w:val="0"/>
                <w:sz w:val="24"/>
                <w:highlight w:val="none"/>
                <w:lang w:bidi="zh-CN"/>
              </w:rPr>
              <w:t>2、工作进度计划不合理，保证措施没有针对性、措施基本不可行或缺项的，本项不得分。</w:t>
            </w:r>
          </w:p>
        </w:tc>
        <w:tc>
          <w:tcPr>
            <w:tcW w:w="380" w:type="pct"/>
            <w:noWrap/>
            <w:vAlign w:val="center"/>
          </w:tcPr>
          <w:p w14:paraId="4E980DD5">
            <w:pPr>
              <w:adjustRightInd w:val="0"/>
              <w:snapToGrid w:val="0"/>
              <w:jc w:val="center"/>
              <w:rPr>
                <w:rFonts w:ascii="宋体" w:hAnsi="宋体" w:cs="宋体"/>
                <w:kern w:val="0"/>
                <w:sz w:val="24"/>
                <w:highlight w:val="none"/>
                <w:lang w:bidi="zh-CN"/>
              </w:rPr>
            </w:pPr>
            <w:r>
              <w:rPr>
                <w:rFonts w:hint="eastAsia" w:ascii="宋体" w:hAnsi="宋体" w:cs="宋体"/>
                <w:kern w:val="0"/>
                <w:sz w:val="24"/>
                <w:highlight w:val="none"/>
                <w:lang w:bidi="zh-CN"/>
              </w:rPr>
              <w:t>5分</w:t>
            </w:r>
          </w:p>
        </w:tc>
      </w:tr>
      <w:tr w14:paraId="63CAF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413" w:type="pct"/>
            <w:vMerge w:val="continue"/>
            <w:noWrap/>
            <w:vAlign w:val="center"/>
          </w:tcPr>
          <w:p w14:paraId="4E70E2A3">
            <w:pPr>
              <w:adjustRightInd w:val="0"/>
              <w:snapToGrid w:val="0"/>
              <w:jc w:val="center"/>
              <w:rPr>
                <w:rFonts w:ascii="宋体" w:hAnsi="宋体" w:cs="宋体"/>
                <w:kern w:val="0"/>
                <w:sz w:val="24"/>
                <w:lang w:bidi="zh-CN"/>
              </w:rPr>
            </w:pPr>
          </w:p>
        </w:tc>
        <w:tc>
          <w:tcPr>
            <w:tcW w:w="544" w:type="pct"/>
            <w:vMerge w:val="continue"/>
            <w:noWrap/>
            <w:vAlign w:val="center"/>
          </w:tcPr>
          <w:p w14:paraId="21F6610C">
            <w:pPr>
              <w:adjustRightInd w:val="0"/>
              <w:snapToGrid w:val="0"/>
              <w:jc w:val="center"/>
              <w:rPr>
                <w:rFonts w:ascii="宋体" w:hAnsi="宋体" w:cs="宋体"/>
                <w:kern w:val="0"/>
                <w:sz w:val="24"/>
                <w:highlight w:val="green"/>
                <w:lang w:bidi="zh-CN"/>
              </w:rPr>
            </w:pPr>
          </w:p>
        </w:tc>
        <w:tc>
          <w:tcPr>
            <w:tcW w:w="769" w:type="pct"/>
            <w:noWrap/>
            <w:vAlign w:val="center"/>
          </w:tcPr>
          <w:p w14:paraId="0B736CBD">
            <w:pPr>
              <w:spacing w:line="259" w:lineRule="auto"/>
              <w:jc w:val="center"/>
              <w:rPr>
                <w:rFonts w:ascii="宋体" w:hAnsi="宋体" w:cs="宋体"/>
                <w:kern w:val="0"/>
                <w:sz w:val="24"/>
                <w:highlight w:val="none"/>
                <w:lang w:bidi="zh-CN"/>
              </w:rPr>
            </w:pPr>
            <w:r>
              <w:rPr>
                <w:rFonts w:hint="eastAsia" w:ascii="宋体" w:hAnsi="宋体" w:cs="宋体"/>
                <w:kern w:val="0"/>
                <w:sz w:val="24"/>
                <w:highlight w:val="none"/>
                <w:lang w:bidi="zh-CN"/>
              </w:rPr>
              <w:t>6、合理化建议（0-4分）</w:t>
            </w:r>
          </w:p>
        </w:tc>
        <w:tc>
          <w:tcPr>
            <w:tcW w:w="2891" w:type="pct"/>
            <w:noWrap/>
            <w:vAlign w:val="center"/>
          </w:tcPr>
          <w:p w14:paraId="7826F331">
            <w:pPr>
              <w:rPr>
                <w:rFonts w:ascii="宋体" w:hAnsi="宋体" w:cs="宋体"/>
                <w:kern w:val="0"/>
                <w:sz w:val="24"/>
                <w:highlight w:val="none"/>
                <w:lang w:val="zh-CN" w:bidi="zh-CN"/>
              </w:rPr>
            </w:pPr>
            <w:r>
              <w:rPr>
                <w:rFonts w:hint="eastAsia" w:ascii="宋体" w:hAnsi="宋体" w:cs="宋体"/>
                <w:kern w:val="0"/>
                <w:sz w:val="24"/>
                <w:highlight w:val="none"/>
                <w:lang w:bidi="zh-CN"/>
              </w:rPr>
              <w:t>建议合理、科学，具有针对性，可行性强得4分；建议基本合理，针对性和可行性不强得2分，缺项0分。</w:t>
            </w:r>
          </w:p>
        </w:tc>
        <w:tc>
          <w:tcPr>
            <w:tcW w:w="380" w:type="pct"/>
            <w:noWrap/>
            <w:vAlign w:val="center"/>
          </w:tcPr>
          <w:p w14:paraId="01F200E3">
            <w:pPr>
              <w:adjustRightInd w:val="0"/>
              <w:snapToGrid w:val="0"/>
              <w:jc w:val="center"/>
              <w:rPr>
                <w:rFonts w:ascii="宋体" w:hAnsi="宋体" w:cs="宋体"/>
                <w:kern w:val="0"/>
                <w:sz w:val="24"/>
                <w:highlight w:val="none"/>
                <w:lang w:bidi="zh-CN"/>
              </w:rPr>
            </w:pPr>
            <w:r>
              <w:rPr>
                <w:rFonts w:hint="eastAsia" w:ascii="宋体" w:hAnsi="宋体" w:cs="宋体"/>
                <w:kern w:val="0"/>
                <w:sz w:val="24"/>
                <w:highlight w:val="none"/>
                <w:lang w:bidi="zh-CN"/>
              </w:rPr>
              <w:t>4分</w:t>
            </w:r>
          </w:p>
        </w:tc>
      </w:tr>
      <w:tr w14:paraId="5131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413" w:type="pct"/>
            <w:vMerge w:val="restart"/>
            <w:noWrap/>
            <w:vAlign w:val="center"/>
          </w:tcPr>
          <w:p w14:paraId="6CB2B13F">
            <w:pPr>
              <w:adjustRightInd w:val="0"/>
              <w:snapToGrid w:val="0"/>
              <w:jc w:val="center"/>
              <w:rPr>
                <w:rFonts w:ascii="宋体" w:hAnsi="宋体" w:cs="宋体"/>
                <w:kern w:val="0"/>
                <w:sz w:val="24"/>
                <w:lang w:bidi="zh-CN"/>
              </w:rPr>
            </w:pPr>
            <w:r>
              <w:rPr>
                <w:rFonts w:hint="eastAsia" w:ascii="宋体" w:hAnsi="宋体" w:cs="宋体"/>
                <w:kern w:val="0"/>
                <w:sz w:val="24"/>
                <w:lang w:bidi="zh-CN"/>
              </w:rPr>
              <w:t>1.3</w:t>
            </w:r>
          </w:p>
          <w:p w14:paraId="1972082B">
            <w:pPr>
              <w:adjustRightInd w:val="0"/>
              <w:snapToGrid w:val="0"/>
              <w:rPr>
                <w:rFonts w:ascii="宋体" w:hAnsi="宋体" w:cs="宋体"/>
                <w:kern w:val="0"/>
                <w:sz w:val="24"/>
                <w:lang w:bidi="zh-CN"/>
              </w:rPr>
            </w:pPr>
          </w:p>
        </w:tc>
        <w:tc>
          <w:tcPr>
            <w:tcW w:w="544" w:type="pct"/>
            <w:vMerge w:val="restart"/>
            <w:noWrap/>
            <w:vAlign w:val="center"/>
          </w:tcPr>
          <w:p w14:paraId="6B386CEB">
            <w:pPr>
              <w:adjustRightInd w:val="0"/>
              <w:snapToGrid w:val="0"/>
              <w:jc w:val="center"/>
              <w:rPr>
                <w:rFonts w:ascii="宋体" w:hAnsi="宋体" w:cs="宋体"/>
                <w:kern w:val="0"/>
                <w:sz w:val="24"/>
                <w:lang w:bidi="zh-CN"/>
              </w:rPr>
            </w:pPr>
            <w:r>
              <w:rPr>
                <w:rFonts w:hint="eastAsia" w:ascii="宋体" w:hAnsi="宋体" w:cs="宋体"/>
                <w:kern w:val="0"/>
                <w:sz w:val="24"/>
                <w:lang w:val="en-US" w:bidi="zh-CN"/>
              </w:rPr>
              <w:t>商务</w:t>
            </w:r>
            <w:r>
              <w:rPr>
                <w:rFonts w:hint="eastAsia" w:ascii="宋体" w:hAnsi="宋体" w:cs="宋体"/>
                <w:kern w:val="0"/>
                <w:sz w:val="24"/>
                <w:lang w:bidi="zh-CN"/>
              </w:rPr>
              <w:t>标(30分）</w:t>
            </w:r>
          </w:p>
        </w:tc>
        <w:tc>
          <w:tcPr>
            <w:tcW w:w="769" w:type="pct"/>
            <w:noWrap/>
            <w:vAlign w:val="center"/>
          </w:tcPr>
          <w:p w14:paraId="456ED6DC">
            <w:pPr>
              <w:spacing w:line="259" w:lineRule="auto"/>
              <w:jc w:val="center"/>
              <w:rPr>
                <w:rFonts w:hint="eastAsia" w:ascii="宋体" w:hAnsi="宋体" w:eastAsia="宋体" w:cs="宋体"/>
                <w:kern w:val="0"/>
                <w:sz w:val="24"/>
                <w:highlight w:val="none"/>
                <w:lang w:bidi="zh-CN"/>
              </w:rPr>
            </w:pPr>
            <w:r>
              <w:rPr>
                <w:rFonts w:hint="eastAsia" w:ascii="宋体" w:hAnsi="宋体" w:eastAsia="宋体" w:cs="宋体"/>
                <w:kern w:val="0"/>
                <w:sz w:val="24"/>
                <w:highlight w:val="none"/>
                <w:lang w:bidi="zh-CN"/>
              </w:rPr>
              <w:t>类似业绩</w:t>
            </w:r>
          </w:p>
        </w:tc>
        <w:tc>
          <w:tcPr>
            <w:tcW w:w="2891" w:type="pct"/>
            <w:noWrap/>
            <w:vAlign w:val="center"/>
          </w:tcPr>
          <w:p w14:paraId="46B0925A">
            <w:pPr>
              <w:rPr>
                <w:rFonts w:hint="eastAsia" w:ascii="宋体" w:hAnsi="宋体" w:eastAsia="宋体" w:cs="宋体"/>
                <w:kern w:val="0"/>
                <w:sz w:val="24"/>
                <w:highlight w:val="none"/>
                <w:lang w:bidi="zh-CN"/>
              </w:rPr>
            </w:pPr>
            <w:r>
              <w:rPr>
                <w:rFonts w:hint="eastAsia" w:ascii="宋体" w:hAnsi="宋体" w:eastAsia="宋体" w:cs="宋体"/>
                <w:kern w:val="0"/>
                <w:sz w:val="24"/>
                <w:highlight w:val="none"/>
                <w:lang w:bidi="zh-CN"/>
              </w:rPr>
              <w:t>提供2023年1月1日以来（以合同签订日期为准）承接过的类似业绩，每项得2分，本项最多得10分。</w:t>
            </w:r>
          </w:p>
          <w:p w14:paraId="6A379175">
            <w:pPr>
              <w:rPr>
                <w:rFonts w:hint="eastAsia" w:ascii="宋体" w:hAnsi="宋体" w:eastAsia="宋体" w:cs="宋体"/>
                <w:kern w:val="0"/>
                <w:sz w:val="24"/>
                <w:highlight w:val="none"/>
                <w:lang w:val="zh-CN" w:bidi="zh-CN"/>
              </w:rPr>
            </w:pPr>
            <w:r>
              <w:rPr>
                <w:rFonts w:hint="eastAsia" w:ascii="宋体" w:hAnsi="宋体" w:eastAsia="宋体" w:cs="宋体"/>
                <w:kern w:val="0"/>
                <w:sz w:val="24"/>
                <w:highlight w:val="none"/>
                <w:lang w:bidi="zh-CN"/>
              </w:rPr>
              <w:t>（响应文件中附完整版合同扫描件，扫描件须清晰可见，并加盖电子签章，否则不得分。）</w:t>
            </w:r>
          </w:p>
        </w:tc>
        <w:tc>
          <w:tcPr>
            <w:tcW w:w="380" w:type="pct"/>
            <w:noWrap/>
            <w:vAlign w:val="center"/>
          </w:tcPr>
          <w:p w14:paraId="50BF8671">
            <w:pPr>
              <w:adjustRightInd w:val="0"/>
              <w:snapToGrid w:val="0"/>
              <w:jc w:val="center"/>
              <w:rPr>
                <w:rFonts w:hint="eastAsia" w:ascii="宋体" w:hAnsi="宋体" w:eastAsia="宋体" w:cs="宋体"/>
                <w:kern w:val="0"/>
                <w:sz w:val="24"/>
                <w:highlight w:val="none"/>
                <w:lang w:bidi="zh-CN"/>
              </w:rPr>
            </w:pPr>
            <w:r>
              <w:rPr>
                <w:rFonts w:hint="eastAsia" w:ascii="宋体" w:hAnsi="宋体" w:eastAsia="宋体" w:cs="宋体"/>
                <w:kern w:val="0"/>
                <w:sz w:val="24"/>
                <w:highlight w:val="none"/>
                <w:lang w:val="en-US" w:bidi="zh-CN"/>
              </w:rPr>
              <w:t>10</w:t>
            </w:r>
            <w:r>
              <w:rPr>
                <w:rFonts w:hint="eastAsia" w:ascii="宋体" w:hAnsi="宋体" w:eastAsia="宋体" w:cs="宋体"/>
                <w:kern w:val="0"/>
                <w:sz w:val="24"/>
                <w:highlight w:val="none"/>
                <w:lang w:bidi="zh-CN"/>
              </w:rPr>
              <w:t>分</w:t>
            </w:r>
          </w:p>
        </w:tc>
      </w:tr>
      <w:tr w14:paraId="12585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413" w:type="pct"/>
            <w:vMerge w:val="continue"/>
            <w:noWrap/>
            <w:vAlign w:val="center"/>
          </w:tcPr>
          <w:p w14:paraId="331B02ED">
            <w:pPr>
              <w:adjustRightInd w:val="0"/>
              <w:snapToGrid w:val="0"/>
              <w:jc w:val="center"/>
              <w:rPr>
                <w:rFonts w:ascii="宋体" w:hAnsi="宋体" w:cs="宋体"/>
                <w:kern w:val="0"/>
                <w:sz w:val="24"/>
                <w:lang w:bidi="zh-CN"/>
              </w:rPr>
            </w:pPr>
          </w:p>
        </w:tc>
        <w:tc>
          <w:tcPr>
            <w:tcW w:w="544" w:type="pct"/>
            <w:vMerge w:val="continue"/>
            <w:noWrap/>
            <w:vAlign w:val="center"/>
          </w:tcPr>
          <w:p w14:paraId="7F9F8E3E">
            <w:pPr>
              <w:adjustRightInd w:val="0"/>
              <w:snapToGrid w:val="0"/>
              <w:jc w:val="center"/>
              <w:rPr>
                <w:rFonts w:ascii="宋体" w:hAnsi="宋体" w:cs="宋体"/>
                <w:kern w:val="0"/>
                <w:sz w:val="24"/>
                <w:lang w:bidi="zh-CN"/>
              </w:rPr>
            </w:pPr>
          </w:p>
        </w:tc>
        <w:tc>
          <w:tcPr>
            <w:tcW w:w="769" w:type="pct"/>
            <w:vMerge w:val="restart"/>
            <w:noWrap/>
            <w:vAlign w:val="center"/>
          </w:tcPr>
          <w:p w14:paraId="7C0C9A3F">
            <w:pPr>
              <w:spacing w:line="259" w:lineRule="auto"/>
              <w:jc w:val="center"/>
              <w:rPr>
                <w:rFonts w:hint="eastAsia" w:ascii="宋体" w:hAnsi="宋体" w:eastAsia="宋体" w:cs="宋体"/>
                <w:kern w:val="0"/>
                <w:sz w:val="24"/>
                <w:highlight w:val="none"/>
                <w:lang w:bidi="zh-CN"/>
              </w:rPr>
            </w:pPr>
            <w:r>
              <w:rPr>
                <w:rFonts w:hint="eastAsia" w:ascii="宋体" w:hAnsi="宋体" w:eastAsia="宋体" w:cs="宋体"/>
                <w:kern w:val="0"/>
                <w:sz w:val="24"/>
                <w:highlight w:val="none"/>
                <w:lang w:bidi="zh-CN"/>
              </w:rPr>
              <w:t>项目团队配置</w:t>
            </w:r>
          </w:p>
        </w:tc>
        <w:tc>
          <w:tcPr>
            <w:tcW w:w="5456" w:type="dxa"/>
            <w:noWrap/>
            <w:vAlign w:val="center"/>
          </w:tcPr>
          <w:p w14:paraId="7E7A66CF">
            <w:pPr>
              <w:rPr>
                <w:rFonts w:hint="eastAsia" w:ascii="宋体" w:hAnsi="宋体" w:eastAsia="宋体" w:cs="宋体"/>
                <w:kern w:val="0"/>
                <w:sz w:val="24"/>
                <w:highlight w:val="none"/>
                <w:lang w:bidi="zh-CN"/>
              </w:rPr>
            </w:pPr>
            <w:r>
              <w:rPr>
                <w:rFonts w:hint="eastAsia" w:ascii="宋体" w:hAnsi="宋体" w:eastAsia="宋体" w:cs="宋体"/>
                <w:kern w:val="0"/>
                <w:sz w:val="24"/>
                <w:highlight w:val="none"/>
                <w:lang w:val="en-US" w:eastAsia="zh-CN" w:bidi="zh-CN"/>
              </w:rPr>
              <w:t>1、拟派项目负责人为正高级工程师的，得4分；</w:t>
            </w:r>
          </w:p>
        </w:tc>
        <w:tc>
          <w:tcPr>
            <w:tcW w:w="719" w:type="dxa"/>
            <w:noWrap/>
            <w:vAlign w:val="center"/>
          </w:tcPr>
          <w:p w14:paraId="51923737">
            <w:pPr>
              <w:adjustRightInd w:val="0"/>
              <w:snapToGrid w:val="0"/>
              <w:jc w:val="center"/>
              <w:rPr>
                <w:rFonts w:hint="eastAsia" w:ascii="宋体" w:hAnsi="宋体" w:eastAsia="宋体" w:cs="宋体"/>
                <w:kern w:val="0"/>
                <w:sz w:val="24"/>
                <w:highlight w:val="none"/>
                <w:lang w:val="en-US" w:bidi="zh-CN"/>
              </w:rPr>
            </w:pPr>
            <w:r>
              <w:rPr>
                <w:rFonts w:hint="eastAsia" w:ascii="宋体" w:hAnsi="宋体" w:eastAsia="宋体" w:cs="宋体"/>
                <w:kern w:val="0"/>
                <w:sz w:val="24"/>
                <w:highlight w:val="none"/>
                <w:lang w:val="en-US" w:eastAsia="zh-CN" w:bidi="zh-CN"/>
              </w:rPr>
              <w:t>4分</w:t>
            </w:r>
          </w:p>
        </w:tc>
      </w:tr>
      <w:tr w14:paraId="73BC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413" w:type="pct"/>
            <w:vMerge w:val="continue"/>
            <w:noWrap/>
            <w:vAlign w:val="center"/>
          </w:tcPr>
          <w:p w14:paraId="0708EF20">
            <w:pPr>
              <w:adjustRightInd w:val="0"/>
              <w:snapToGrid w:val="0"/>
              <w:jc w:val="center"/>
              <w:rPr>
                <w:rFonts w:ascii="宋体" w:hAnsi="宋体" w:cs="宋体"/>
                <w:kern w:val="0"/>
                <w:sz w:val="24"/>
                <w:lang w:bidi="zh-CN"/>
              </w:rPr>
            </w:pPr>
          </w:p>
        </w:tc>
        <w:tc>
          <w:tcPr>
            <w:tcW w:w="544" w:type="pct"/>
            <w:vMerge w:val="continue"/>
            <w:noWrap/>
            <w:vAlign w:val="center"/>
          </w:tcPr>
          <w:p w14:paraId="0375B6A5">
            <w:pPr>
              <w:adjustRightInd w:val="0"/>
              <w:snapToGrid w:val="0"/>
              <w:jc w:val="center"/>
              <w:rPr>
                <w:rFonts w:ascii="宋体" w:hAnsi="宋体" w:cs="宋体"/>
                <w:kern w:val="0"/>
                <w:sz w:val="24"/>
                <w:lang w:bidi="zh-CN"/>
              </w:rPr>
            </w:pPr>
          </w:p>
        </w:tc>
        <w:tc>
          <w:tcPr>
            <w:tcW w:w="769" w:type="pct"/>
            <w:vMerge w:val="continue"/>
            <w:noWrap/>
            <w:vAlign w:val="center"/>
          </w:tcPr>
          <w:p w14:paraId="76A210DE">
            <w:pPr>
              <w:spacing w:line="259" w:lineRule="auto"/>
              <w:jc w:val="center"/>
              <w:rPr>
                <w:rFonts w:hint="eastAsia" w:ascii="宋体" w:hAnsi="宋体" w:eastAsia="宋体" w:cs="宋体"/>
                <w:kern w:val="0"/>
                <w:sz w:val="24"/>
                <w:highlight w:val="none"/>
                <w:lang w:bidi="zh-CN"/>
              </w:rPr>
            </w:pPr>
          </w:p>
        </w:tc>
        <w:tc>
          <w:tcPr>
            <w:tcW w:w="5456" w:type="dxa"/>
            <w:noWrap/>
            <w:vAlign w:val="center"/>
          </w:tcPr>
          <w:p w14:paraId="2C94004D">
            <w:pPr>
              <w:rPr>
                <w:rFonts w:hint="eastAsia" w:ascii="宋体" w:hAnsi="宋体" w:eastAsia="宋体" w:cs="宋体"/>
                <w:kern w:val="0"/>
                <w:sz w:val="24"/>
                <w:highlight w:val="none"/>
                <w:rtl w:val="0"/>
                <w:lang w:val="en-US" w:eastAsia="zh-CN" w:bidi="zh-CN"/>
              </w:rPr>
            </w:pPr>
            <w:r>
              <w:rPr>
                <w:rFonts w:hint="eastAsia" w:ascii="宋体" w:hAnsi="宋体" w:eastAsia="宋体" w:cs="宋体"/>
                <w:kern w:val="0"/>
                <w:sz w:val="24"/>
                <w:highlight w:val="none"/>
                <w:rtl w:val="0"/>
                <w:lang w:val="en-US" w:eastAsia="zh-CN" w:bidi="zh-CN"/>
              </w:rPr>
              <w:t>2、除项目负责人外，具有城乡规划等相关专业高级职称的，</w:t>
            </w:r>
            <w:bookmarkStart w:id="21" w:name="_GoBack"/>
            <w:bookmarkEnd w:id="21"/>
            <w:r>
              <w:rPr>
                <w:rFonts w:hint="eastAsia" w:ascii="宋体" w:hAnsi="宋体" w:eastAsia="宋体" w:cs="宋体"/>
                <w:kern w:val="0"/>
                <w:sz w:val="24"/>
                <w:highlight w:val="none"/>
                <w:rtl w:val="0"/>
                <w:lang w:val="en-US" w:eastAsia="zh-CN" w:bidi="zh-CN"/>
              </w:rPr>
              <w:t>每配备1个，得2分，此项最高6分。</w:t>
            </w:r>
          </w:p>
          <w:p w14:paraId="1CE21198">
            <w:pPr>
              <w:rPr>
                <w:rFonts w:hint="eastAsia" w:ascii="宋体" w:hAnsi="宋体" w:eastAsia="宋体" w:cs="宋体"/>
                <w:kern w:val="0"/>
                <w:sz w:val="24"/>
                <w:highlight w:val="none"/>
                <w:lang w:bidi="zh-CN"/>
              </w:rPr>
            </w:pPr>
            <w:r>
              <w:rPr>
                <w:rFonts w:hint="eastAsia" w:ascii="宋体" w:hAnsi="宋体" w:eastAsia="宋体" w:cs="宋体"/>
                <w:kern w:val="0"/>
                <w:sz w:val="24"/>
                <w:highlight w:val="none"/>
                <w:rtl w:val="0"/>
                <w:lang w:val="en-US" w:eastAsia="zh-CN" w:bidi="zh-CN"/>
              </w:rPr>
              <w:t>（须在文件中附人员职称证书、劳动合同和本单位缴纳的养老保险证明扫描件，否则不得分。）</w:t>
            </w:r>
          </w:p>
        </w:tc>
        <w:tc>
          <w:tcPr>
            <w:tcW w:w="719" w:type="dxa"/>
            <w:noWrap/>
            <w:vAlign w:val="center"/>
          </w:tcPr>
          <w:p w14:paraId="26B35E9F">
            <w:pPr>
              <w:adjustRightInd w:val="0"/>
              <w:snapToGrid w:val="0"/>
              <w:jc w:val="center"/>
              <w:rPr>
                <w:rFonts w:hint="eastAsia" w:ascii="宋体" w:hAnsi="宋体" w:eastAsia="宋体" w:cs="宋体"/>
                <w:kern w:val="0"/>
                <w:sz w:val="24"/>
                <w:highlight w:val="none"/>
                <w:lang w:val="en-US" w:bidi="zh-CN"/>
              </w:rPr>
            </w:pPr>
            <w:r>
              <w:rPr>
                <w:rFonts w:hint="eastAsia" w:ascii="宋体" w:hAnsi="宋体" w:eastAsia="宋体" w:cs="宋体"/>
                <w:kern w:val="0"/>
                <w:sz w:val="24"/>
                <w:highlight w:val="none"/>
                <w:lang w:val="en-US" w:eastAsia="zh-CN" w:bidi="zh-CN"/>
              </w:rPr>
              <w:t>6分</w:t>
            </w:r>
          </w:p>
        </w:tc>
      </w:tr>
      <w:tr w14:paraId="4AD4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413" w:type="pct"/>
            <w:vMerge w:val="continue"/>
            <w:noWrap/>
            <w:vAlign w:val="center"/>
          </w:tcPr>
          <w:p w14:paraId="324C225F">
            <w:pPr>
              <w:adjustRightInd w:val="0"/>
              <w:snapToGrid w:val="0"/>
              <w:jc w:val="center"/>
              <w:rPr>
                <w:rFonts w:ascii="宋体" w:hAnsi="宋体" w:cs="宋体"/>
                <w:kern w:val="0"/>
                <w:sz w:val="24"/>
                <w:lang w:bidi="zh-CN"/>
              </w:rPr>
            </w:pPr>
          </w:p>
        </w:tc>
        <w:tc>
          <w:tcPr>
            <w:tcW w:w="544" w:type="pct"/>
            <w:vMerge w:val="continue"/>
            <w:noWrap/>
            <w:vAlign w:val="center"/>
          </w:tcPr>
          <w:p w14:paraId="7F6CA8F9">
            <w:pPr>
              <w:adjustRightInd w:val="0"/>
              <w:snapToGrid w:val="0"/>
              <w:jc w:val="center"/>
              <w:rPr>
                <w:rFonts w:ascii="宋体" w:hAnsi="宋体" w:cs="宋体"/>
                <w:kern w:val="0"/>
                <w:sz w:val="24"/>
                <w:lang w:bidi="zh-CN"/>
              </w:rPr>
            </w:pPr>
          </w:p>
        </w:tc>
        <w:tc>
          <w:tcPr>
            <w:tcW w:w="1453" w:type="dxa"/>
            <w:noWrap/>
            <w:vAlign w:val="center"/>
          </w:tcPr>
          <w:p w14:paraId="38D78240">
            <w:pPr>
              <w:spacing w:line="259" w:lineRule="auto"/>
              <w:jc w:val="center"/>
              <w:rPr>
                <w:rFonts w:hint="eastAsia" w:ascii="宋体" w:hAnsi="宋体" w:eastAsia="宋体" w:cs="宋体"/>
                <w:kern w:val="0"/>
                <w:sz w:val="24"/>
                <w:highlight w:val="none"/>
                <w:lang w:bidi="zh-CN"/>
              </w:rPr>
            </w:pPr>
            <w:r>
              <w:rPr>
                <w:rFonts w:hint="eastAsia" w:ascii="宋体" w:hAnsi="宋体" w:eastAsia="宋体" w:cs="宋体"/>
                <w:kern w:val="0"/>
                <w:sz w:val="24"/>
                <w:highlight w:val="none"/>
                <w:lang w:val="en-US" w:eastAsia="zh-CN" w:bidi="zh-CN"/>
              </w:rPr>
              <w:t>服务承诺</w:t>
            </w:r>
          </w:p>
        </w:tc>
        <w:tc>
          <w:tcPr>
            <w:tcW w:w="5456" w:type="dxa"/>
            <w:noWrap/>
            <w:vAlign w:val="center"/>
          </w:tcPr>
          <w:p w14:paraId="0D62F1F8">
            <w:pPr>
              <w:rPr>
                <w:rFonts w:hint="eastAsia" w:ascii="宋体" w:hAnsi="宋体" w:eastAsia="宋体" w:cs="宋体"/>
                <w:kern w:val="0"/>
                <w:sz w:val="24"/>
                <w:highlight w:val="none"/>
                <w:lang w:val="en-US" w:eastAsia="zh-CN" w:bidi="zh-CN"/>
              </w:rPr>
            </w:pPr>
            <w:r>
              <w:rPr>
                <w:rFonts w:hint="eastAsia" w:ascii="宋体" w:hAnsi="宋体" w:eastAsia="宋体" w:cs="宋体"/>
                <w:kern w:val="0"/>
                <w:sz w:val="24"/>
                <w:highlight w:val="none"/>
                <w:lang w:val="en-US" w:eastAsia="zh-CN" w:bidi="zh-CN"/>
              </w:rPr>
              <w:t>根据供应商提供的后续服务承诺：</w:t>
            </w:r>
          </w:p>
          <w:p w14:paraId="53BB943F">
            <w:pPr>
              <w:rPr>
                <w:rFonts w:hint="eastAsia" w:ascii="宋体" w:hAnsi="宋体" w:eastAsia="宋体" w:cs="宋体"/>
                <w:kern w:val="0"/>
                <w:sz w:val="24"/>
                <w:highlight w:val="none"/>
                <w:lang w:val="zh-CN" w:bidi="zh-CN"/>
              </w:rPr>
            </w:pPr>
            <w:r>
              <w:rPr>
                <w:rFonts w:hint="eastAsia" w:ascii="宋体" w:hAnsi="宋体" w:eastAsia="宋体" w:cs="宋体"/>
                <w:kern w:val="0"/>
                <w:sz w:val="24"/>
                <w:highlight w:val="none"/>
                <w:lang w:val="en-US" w:eastAsia="zh-CN" w:bidi="zh-CN"/>
              </w:rPr>
              <w:t>内容详细、完整、具体，针对性强、保证度高、响应及时的得10分；内容较完整，针对性不强、响应不及时的得5分；不提供服务承诺的不得分。</w:t>
            </w:r>
          </w:p>
        </w:tc>
        <w:tc>
          <w:tcPr>
            <w:tcW w:w="719" w:type="dxa"/>
            <w:noWrap/>
            <w:vAlign w:val="center"/>
          </w:tcPr>
          <w:p w14:paraId="0DA07FA9">
            <w:pPr>
              <w:adjustRightInd w:val="0"/>
              <w:snapToGrid w:val="0"/>
              <w:jc w:val="center"/>
              <w:rPr>
                <w:rFonts w:hint="eastAsia" w:ascii="宋体" w:hAnsi="宋体" w:eastAsia="宋体" w:cs="宋体"/>
                <w:kern w:val="0"/>
                <w:sz w:val="24"/>
                <w:highlight w:val="none"/>
                <w:lang w:val="en-US" w:bidi="zh-CN"/>
              </w:rPr>
            </w:pPr>
            <w:r>
              <w:rPr>
                <w:rFonts w:hint="eastAsia" w:ascii="宋体" w:hAnsi="宋体" w:eastAsia="宋体" w:cs="宋体"/>
                <w:kern w:val="0"/>
                <w:sz w:val="24"/>
                <w:highlight w:val="none"/>
                <w:lang w:val="en-US" w:eastAsia="zh-CN" w:bidi="zh-CN"/>
              </w:rPr>
              <w:t>10分</w:t>
            </w:r>
          </w:p>
        </w:tc>
      </w:tr>
    </w:tbl>
    <w:p w14:paraId="7AA5DE54">
      <w:pPr>
        <w:spacing w:line="360" w:lineRule="auto"/>
        <w:ind w:firstLine="480" w:firstLineChars="200"/>
        <w:rPr>
          <w:rFonts w:ascii="宋体" w:hAnsi="宋体"/>
          <w:sz w:val="24"/>
        </w:rPr>
      </w:pPr>
      <w:r>
        <w:rPr>
          <w:rFonts w:hint="eastAsia" w:ascii="宋体" w:hAnsi="宋体"/>
          <w:sz w:val="24"/>
        </w:rPr>
        <w:t>5、</w:t>
      </w:r>
      <w:r>
        <w:rPr>
          <w:rFonts w:ascii="宋体" w:hAnsi="宋体"/>
          <w:sz w:val="24"/>
        </w:rPr>
        <w:t>计分办法</w:t>
      </w:r>
    </w:p>
    <w:p w14:paraId="53005A57">
      <w:pPr>
        <w:spacing w:line="360" w:lineRule="auto"/>
        <w:ind w:firstLine="480" w:firstLineChars="200"/>
        <w:rPr>
          <w:rFonts w:ascii="宋体" w:hAnsi="宋体"/>
          <w:sz w:val="24"/>
        </w:rPr>
      </w:pPr>
      <w:r>
        <w:rPr>
          <w:rFonts w:ascii="宋体" w:hAnsi="宋体"/>
          <w:sz w:val="24"/>
        </w:rPr>
        <w:t>根据磋商文件、响应文件，按照评分办法，得出每个评委对</w:t>
      </w:r>
      <w:r>
        <w:rPr>
          <w:rFonts w:hint="eastAsia" w:ascii="宋体" w:hAnsi="宋体"/>
          <w:sz w:val="24"/>
        </w:rPr>
        <w:t>供应商</w:t>
      </w:r>
      <w:r>
        <w:rPr>
          <w:rFonts w:ascii="宋体" w:hAnsi="宋体"/>
          <w:sz w:val="24"/>
        </w:rPr>
        <w:t>的评标分数。</w:t>
      </w:r>
      <w:r>
        <w:rPr>
          <w:rFonts w:hint="eastAsia" w:ascii="宋体" w:hAnsi="宋体"/>
          <w:sz w:val="24"/>
        </w:rPr>
        <w:t>供应商</w:t>
      </w:r>
      <w:r>
        <w:rPr>
          <w:rFonts w:ascii="宋体" w:hAnsi="宋体"/>
          <w:sz w:val="24"/>
        </w:rPr>
        <w:t>的最终得分为所有评委对其打分的算术平均值。计分过程按四舍五入取至小数点后两位，最终得分取至小数点后二位。</w:t>
      </w:r>
    </w:p>
    <w:p w14:paraId="1B8C8692">
      <w:pPr>
        <w:spacing w:line="360" w:lineRule="auto"/>
        <w:ind w:firstLine="480" w:firstLineChars="200"/>
        <w:rPr>
          <w:rFonts w:ascii="宋体" w:hAnsi="宋体"/>
          <w:sz w:val="24"/>
        </w:rPr>
      </w:pPr>
      <w:r>
        <w:rPr>
          <w:rFonts w:hint="eastAsia" w:ascii="宋体" w:hAnsi="宋体"/>
          <w:sz w:val="24"/>
        </w:rPr>
        <w:t>6、</w:t>
      </w:r>
      <w:r>
        <w:rPr>
          <w:rFonts w:ascii="宋体" w:hAnsi="宋体"/>
          <w:sz w:val="24"/>
        </w:rPr>
        <w:t>定标办法</w:t>
      </w:r>
    </w:p>
    <w:p w14:paraId="3D6242B6">
      <w:pPr>
        <w:spacing w:line="360" w:lineRule="auto"/>
        <w:ind w:firstLine="480" w:firstLineChars="200"/>
        <w:rPr>
          <w:rFonts w:ascii="宋体" w:hAnsi="宋体" w:cs="宋体"/>
          <w:color w:val="000000"/>
          <w:szCs w:val="21"/>
        </w:rPr>
      </w:pPr>
      <w:r>
        <w:rPr>
          <w:rFonts w:hint="eastAsia" w:ascii="宋体" w:hAnsi="宋体"/>
          <w:sz w:val="24"/>
        </w:rPr>
        <w:t>（1）供应商</w:t>
      </w:r>
      <w:r>
        <w:rPr>
          <w:rFonts w:ascii="宋体" w:hAnsi="宋体"/>
          <w:sz w:val="24"/>
        </w:rPr>
        <w:t>的排名按得分顺序从高到低</w:t>
      </w:r>
      <w:r>
        <w:rPr>
          <w:rFonts w:hint="eastAsia" w:ascii="宋体" w:hAnsi="宋体"/>
          <w:sz w:val="24"/>
        </w:rPr>
        <w:t>推荐3名成交候选人并排序。</w:t>
      </w:r>
    </w:p>
    <w:p w14:paraId="7068C963">
      <w:pPr>
        <w:spacing w:line="360" w:lineRule="auto"/>
        <w:ind w:firstLine="480" w:firstLineChars="200"/>
        <w:rPr>
          <w:rFonts w:ascii="宋体" w:hAnsi="宋体"/>
          <w:sz w:val="24"/>
        </w:rPr>
      </w:pPr>
      <w:r>
        <w:rPr>
          <w:rFonts w:hint="eastAsia" w:ascii="宋体" w:hAnsi="宋体"/>
          <w:sz w:val="24"/>
        </w:rPr>
        <w:t>（2）磋商小组</w:t>
      </w:r>
      <w:r>
        <w:rPr>
          <w:rFonts w:ascii="宋体" w:hAnsi="宋体"/>
          <w:sz w:val="24"/>
        </w:rPr>
        <w:t>写出</w:t>
      </w:r>
      <w:r>
        <w:rPr>
          <w:rFonts w:hint="eastAsia" w:ascii="宋体" w:hAnsi="宋体"/>
          <w:sz w:val="24"/>
        </w:rPr>
        <w:t>磋商</w:t>
      </w:r>
      <w:r>
        <w:rPr>
          <w:rFonts w:ascii="宋体" w:hAnsi="宋体"/>
          <w:sz w:val="24"/>
        </w:rPr>
        <w:t>报告确定排序第一的</w:t>
      </w:r>
      <w:r>
        <w:rPr>
          <w:rFonts w:hint="eastAsia" w:ascii="宋体" w:hAnsi="宋体"/>
          <w:sz w:val="24"/>
        </w:rPr>
        <w:t>供应商</w:t>
      </w:r>
      <w:r>
        <w:rPr>
          <w:rFonts w:ascii="宋体" w:hAnsi="宋体"/>
          <w:sz w:val="24"/>
        </w:rPr>
        <w:t>为</w:t>
      </w:r>
      <w:r>
        <w:rPr>
          <w:rFonts w:hint="eastAsia" w:ascii="宋体" w:hAnsi="宋体"/>
          <w:sz w:val="24"/>
        </w:rPr>
        <w:t>成交供应商</w:t>
      </w:r>
      <w:r>
        <w:rPr>
          <w:rFonts w:ascii="宋体" w:hAnsi="宋体"/>
          <w:sz w:val="24"/>
        </w:rPr>
        <w:t>。</w:t>
      </w:r>
    </w:p>
    <w:p w14:paraId="1A98597E">
      <w:pPr>
        <w:tabs>
          <w:tab w:val="left" w:pos="1995"/>
          <w:tab w:val="left" w:pos="2846"/>
        </w:tabs>
        <w:spacing w:after="120" w:afterLines="50" w:line="520" w:lineRule="exact"/>
        <w:rPr>
          <w:rFonts w:ascii="宋体" w:hAnsi="宋体" w:cs="宋体"/>
          <w:b/>
          <w:bCs/>
          <w:color w:val="000000"/>
          <w:kern w:val="0"/>
          <w:sz w:val="36"/>
          <w:szCs w:val="36"/>
        </w:rPr>
      </w:pPr>
    </w:p>
    <w:p w14:paraId="542AF740">
      <w:pPr>
        <w:tabs>
          <w:tab w:val="left" w:pos="1995"/>
          <w:tab w:val="left" w:pos="2846"/>
        </w:tabs>
        <w:spacing w:after="120" w:afterLines="50" w:line="520" w:lineRule="exact"/>
        <w:rPr>
          <w:rFonts w:ascii="宋体" w:hAnsi="宋体" w:cs="宋体"/>
          <w:b/>
          <w:bCs/>
          <w:color w:val="000000"/>
          <w:kern w:val="0"/>
          <w:sz w:val="36"/>
          <w:szCs w:val="36"/>
        </w:rPr>
      </w:pPr>
    </w:p>
    <w:p w14:paraId="6234CE65">
      <w:pPr>
        <w:tabs>
          <w:tab w:val="left" w:pos="1995"/>
          <w:tab w:val="left" w:pos="2846"/>
        </w:tabs>
        <w:spacing w:after="120" w:afterLines="50" w:line="520" w:lineRule="exact"/>
        <w:rPr>
          <w:rFonts w:ascii="宋体" w:hAnsi="宋体" w:cs="宋体"/>
          <w:b/>
          <w:bCs/>
          <w:color w:val="000000"/>
          <w:kern w:val="0"/>
          <w:sz w:val="36"/>
          <w:szCs w:val="36"/>
        </w:rPr>
      </w:pPr>
    </w:p>
    <w:p w14:paraId="35E296FD">
      <w:pPr>
        <w:tabs>
          <w:tab w:val="left" w:pos="1995"/>
          <w:tab w:val="left" w:pos="2846"/>
        </w:tabs>
        <w:spacing w:after="120" w:afterLines="50" w:line="520" w:lineRule="exact"/>
        <w:rPr>
          <w:rFonts w:ascii="宋体" w:hAnsi="宋体" w:cs="宋体"/>
          <w:b/>
          <w:bCs/>
          <w:color w:val="000000"/>
          <w:kern w:val="0"/>
          <w:sz w:val="36"/>
          <w:szCs w:val="36"/>
        </w:rPr>
      </w:pPr>
    </w:p>
    <w:p w14:paraId="0A677966">
      <w:pPr>
        <w:tabs>
          <w:tab w:val="left" w:pos="1995"/>
          <w:tab w:val="left" w:pos="2846"/>
        </w:tabs>
        <w:spacing w:after="120" w:afterLines="50" w:line="520" w:lineRule="exact"/>
        <w:jc w:val="center"/>
        <w:rPr>
          <w:rFonts w:ascii="宋体" w:hAnsi="宋体" w:cs="宋体"/>
          <w:b/>
          <w:bCs/>
          <w:color w:val="000000"/>
          <w:kern w:val="0"/>
          <w:sz w:val="36"/>
          <w:szCs w:val="36"/>
        </w:rPr>
      </w:pPr>
    </w:p>
    <w:p w14:paraId="599E6AE9">
      <w:pPr>
        <w:tabs>
          <w:tab w:val="left" w:pos="1995"/>
          <w:tab w:val="left" w:pos="2846"/>
        </w:tabs>
        <w:spacing w:after="120" w:afterLines="50" w:line="520" w:lineRule="exact"/>
        <w:jc w:val="center"/>
        <w:rPr>
          <w:rFonts w:ascii="宋体" w:hAnsi="宋体" w:cs="宋体"/>
          <w:b/>
          <w:bCs/>
          <w:color w:val="000000"/>
          <w:kern w:val="0"/>
          <w:sz w:val="36"/>
          <w:szCs w:val="36"/>
        </w:rPr>
      </w:pPr>
    </w:p>
    <w:p w14:paraId="71266B0B">
      <w:pPr>
        <w:tabs>
          <w:tab w:val="left" w:pos="1995"/>
          <w:tab w:val="left" w:pos="2846"/>
        </w:tabs>
        <w:spacing w:after="120" w:afterLines="50" w:line="520" w:lineRule="exact"/>
        <w:jc w:val="center"/>
        <w:rPr>
          <w:rFonts w:ascii="宋体" w:hAnsi="宋体" w:cs="宋体"/>
          <w:b/>
          <w:bCs/>
          <w:color w:val="000000"/>
          <w:kern w:val="0"/>
          <w:sz w:val="36"/>
          <w:szCs w:val="36"/>
        </w:rPr>
      </w:pPr>
    </w:p>
    <w:p w14:paraId="40AC976B">
      <w:pPr>
        <w:tabs>
          <w:tab w:val="left" w:pos="1995"/>
          <w:tab w:val="left" w:pos="2846"/>
        </w:tabs>
        <w:spacing w:after="120" w:afterLines="50" w:line="520" w:lineRule="exact"/>
        <w:jc w:val="center"/>
        <w:rPr>
          <w:rFonts w:ascii="宋体" w:hAnsi="宋体" w:cs="宋体"/>
          <w:b/>
          <w:bCs/>
          <w:color w:val="000000"/>
          <w:kern w:val="0"/>
          <w:sz w:val="36"/>
          <w:szCs w:val="36"/>
        </w:rPr>
      </w:pPr>
    </w:p>
    <w:p w14:paraId="75A24A61">
      <w:pPr>
        <w:tabs>
          <w:tab w:val="left" w:pos="1995"/>
          <w:tab w:val="left" w:pos="2846"/>
        </w:tabs>
        <w:spacing w:after="120" w:afterLines="50" w:line="520" w:lineRule="exact"/>
        <w:jc w:val="center"/>
        <w:rPr>
          <w:rFonts w:ascii="宋体" w:hAnsi="宋体" w:cs="宋体"/>
          <w:b/>
          <w:bCs/>
          <w:color w:val="000000"/>
          <w:kern w:val="0"/>
          <w:sz w:val="36"/>
          <w:szCs w:val="36"/>
        </w:rPr>
      </w:pPr>
    </w:p>
    <w:p w14:paraId="165F6E4E">
      <w:pPr>
        <w:tabs>
          <w:tab w:val="left" w:pos="1995"/>
          <w:tab w:val="left" w:pos="2846"/>
        </w:tabs>
        <w:spacing w:after="120" w:afterLines="50" w:line="520" w:lineRule="exact"/>
        <w:jc w:val="center"/>
        <w:rPr>
          <w:rFonts w:ascii="宋体" w:hAnsi="宋体" w:cs="宋体"/>
          <w:b/>
          <w:bCs/>
          <w:color w:val="000000"/>
          <w:kern w:val="0"/>
          <w:sz w:val="36"/>
          <w:szCs w:val="36"/>
        </w:rPr>
      </w:pPr>
    </w:p>
    <w:p w14:paraId="3439DB99">
      <w:pPr>
        <w:rPr>
          <w:rFonts w:ascii="宋体" w:hAnsi="宋体" w:cs="宋体"/>
          <w:b/>
          <w:bCs/>
          <w:color w:val="000000"/>
          <w:kern w:val="0"/>
          <w:sz w:val="36"/>
          <w:szCs w:val="36"/>
        </w:rPr>
      </w:pPr>
      <w:r>
        <w:rPr>
          <w:rFonts w:hint="eastAsia" w:ascii="宋体" w:hAnsi="宋体" w:cs="宋体"/>
          <w:b/>
          <w:bCs/>
          <w:color w:val="000000"/>
          <w:kern w:val="0"/>
          <w:sz w:val="36"/>
          <w:szCs w:val="36"/>
        </w:rPr>
        <w:br w:type="page"/>
      </w:r>
    </w:p>
    <w:p w14:paraId="604C0882">
      <w:pPr>
        <w:tabs>
          <w:tab w:val="left" w:pos="1995"/>
          <w:tab w:val="left" w:pos="2846"/>
        </w:tabs>
        <w:spacing w:after="120" w:afterLines="50" w:line="520" w:lineRule="exact"/>
        <w:jc w:val="center"/>
        <w:rPr>
          <w:rFonts w:ascii="宋体"/>
          <w:b/>
          <w:bCs/>
          <w:color w:val="000000"/>
          <w:kern w:val="0"/>
          <w:sz w:val="36"/>
          <w:szCs w:val="36"/>
        </w:rPr>
      </w:pPr>
      <w:r>
        <w:rPr>
          <w:rFonts w:hint="eastAsia" w:ascii="宋体" w:hAnsi="宋体" w:cs="宋体"/>
          <w:b/>
          <w:bCs/>
          <w:color w:val="000000"/>
          <w:kern w:val="0"/>
          <w:sz w:val="36"/>
          <w:szCs w:val="36"/>
        </w:rPr>
        <w:t>第五章</w:t>
      </w:r>
      <w:r>
        <w:rPr>
          <w:rFonts w:ascii="宋体" w:hAnsi="宋体" w:cs="宋体"/>
          <w:b/>
          <w:bCs/>
          <w:color w:val="000000"/>
          <w:kern w:val="0"/>
          <w:sz w:val="36"/>
          <w:szCs w:val="36"/>
        </w:rPr>
        <w:t xml:space="preserve"> </w:t>
      </w:r>
      <w:r>
        <w:rPr>
          <w:rFonts w:hint="eastAsia" w:ascii="宋体" w:hAnsi="宋体" w:cs="宋体"/>
          <w:b/>
          <w:bCs/>
          <w:color w:val="000000"/>
          <w:kern w:val="0"/>
          <w:sz w:val="36"/>
          <w:szCs w:val="36"/>
        </w:rPr>
        <w:t>政府采购合同</w:t>
      </w:r>
    </w:p>
    <w:p w14:paraId="247430AF">
      <w:pPr>
        <w:widowControl/>
        <w:snapToGrid w:val="0"/>
        <w:spacing w:line="520" w:lineRule="exact"/>
        <w:jc w:val="center"/>
        <w:rPr>
          <w:rFonts w:ascii="宋体" w:hAnsi="宋体" w:cs="宋体"/>
          <w:b/>
          <w:bCs/>
          <w:color w:val="000000"/>
          <w:kern w:val="0"/>
          <w:sz w:val="24"/>
        </w:rPr>
      </w:pPr>
      <w:r>
        <w:rPr>
          <w:rFonts w:hint="eastAsia" w:ascii="宋体" w:hAnsi="宋体" w:cs="宋体"/>
          <w:b/>
          <w:bCs/>
          <w:color w:val="000000"/>
          <w:kern w:val="0"/>
          <w:sz w:val="24"/>
        </w:rPr>
        <w:t>（（仅供参考，具体条款由双方平等协商确定）</w:t>
      </w:r>
    </w:p>
    <w:p w14:paraId="4409CF83">
      <w:pPr>
        <w:autoSpaceDE w:val="0"/>
        <w:autoSpaceDN w:val="0"/>
        <w:ind w:left="1001" w:right="1002"/>
        <w:jc w:val="center"/>
        <w:rPr>
          <w:rFonts w:ascii="仿宋" w:hAnsi="仿宋" w:eastAsia="仿宋" w:cs="仿宋"/>
          <w:b/>
          <w:kern w:val="0"/>
          <w:sz w:val="52"/>
        </w:rPr>
      </w:pPr>
    </w:p>
    <w:p w14:paraId="18C77F53">
      <w:pPr>
        <w:autoSpaceDE w:val="0"/>
        <w:autoSpaceDN w:val="0"/>
        <w:ind w:left="1001" w:right="1002"/>
        <w:jc w:val="center"/>
        <w:rPr>
          <w:rFonts w:ascii="仿宋" w:hAnsi="仿宋" w:eastAsia="仿宋" w:cs="仿宋"/>
          <w:b/>
          <w:kern w:val="0"/>
          <w:sz w:val="52"/>
        </w:rPr>
      </w:pPr>
    </w:p>
    <w:p w14:paraId="4EC6E764">
      <w:pPr>
        <w:autoSpaceDE w:val="0"/>
        <w:autoSpaceDN w:val="0"/>
        <w:ind w:left="1001" w:right="1002"/>
        <w:jc w:val="center"/>
        <w:rPr>
          <w:rFonts w:ascii="仿宋" w:hAnsi="仿宋" w:eastAsia="仿宋" w:cs="仿宋"/>
          <w:b/>
          <w:kern w:val="0"/>
          <w:sz w:val="52"/>
          <w:lang w:eastAsia="en-US"/>
        </w:rPr>
      </w:pPr>
      <w:r>
        <w:rPr>
          <w:rFonts w:ascii="仿宋" w:hAnsi="仿宋" w:eastAsia="仿宋" w:cs="仿宋"/>
          <w:b/>
          <w:kern w:val="0"/>
          <w:sz w:val="52"/>
          <w:lang w:eastAsia="en-US"/>
        </w:rPr>
        <w:t xml:space="preserve">服 务 </w:t>
      </w:r>
      <w:bookmarkStart w:id="1" w:name="_bookmark9"/>
      <w:bookmarkEnd w:id="1"/>
      <w:r>
        <w:rPr>
          <w:rFonts w:ascii="仿宋" w:hAnsi="仿宋" w:eastAsia="仿宋" w:cs="仿宋"/>
          <w:b/>
          <w:kern w:val="0"/>
          <w:sz w:val="52"/>
          <w:lang w:eastAsia="en-US"/>
        </w:rPr>
        <w:t>合 同</w:t>
      </w:r>
    </w:p>
    <w:p w14:paraId="2B65EBA4">
      <w:pPr>
        <w:autoSpaceDE w:val="0"/>
        <w:autoSpaceDN w:val="0"/>
        <w:jc w:val="left"/>
        <w:rPr>
          <w:rFonts w:ascii="仿宋" w:hAnsi="仿宋" w:eastAsia="仿宋" w:cs="仿宋"/>
          <w:b/>
          <w:kern w:val="0"/>
          <w:sz w:val="20"/>
          <w:lang w:eastAsia="en-US"/>
        </w:rPr>
      </w:pPr>
    </w:p>
    <w:p w14:paraId="78D41CA5">
      <w:pPr>
        <w:autoSpaceDE w:val="0"/>
        <w:autoSpaceDN w:val="0"/>
        <w:jc w:val="left"/>
        <w:rPr>
          <w:rFonts w:ascii="仿宋" w:hAnsi="仿宋" w:eastAsia="仿宋" w:cs="仿宋"/>
          <w:b/>
          <w:kern w:val="0"/>
          <w:sz w:val="20"/>
          <w:lang w:eastAsia="en-US"/>
        </w:rPr>
      </w:pPr>
    </w:p>
    <w:p w14:paraId="5DED7449">
      <w:pPr>
        <w:autoSpaceDE w:val="0"/>
        <w:autoSpaceDN w:val="0"/>
        <w:jc w:val="left"/>
        <w:rPr>
          <w:rFonts w:ascii="仿宋" w:hAnsi="仿宋" w:eastAsia="仿宋" w:cs="仿宋"/>
          <w:b/>
          <w:kern w:val="0"/>
          <w:sz w:val="20"/>
          <w:lang w:eastAsia="en-US"/>
        </w:rPr>
      </w:pPr>
    </w:p>
    <w:p w14:paraId="22125FB6">
      <w:pPr>
        <w:autoSpaceDE w:val="0"/>
        <w:autoSpaceDN w:val="0"/>
        <w:jc w:val="left"/>
        <w:rPr>
          <w:rFonts w:ascii="仿宋" w:hAnsi="仿宋" w:eastAsia="仿宋" w:cs="仿宋"/>
          <w:b/>
          <w:kern w:val="0"/>
          <w:sz w:val="20"/>
          <w:lang w:eastAsia="en-US"/>
        </w:rPr>
      </w:pPr>
    </w:p>
    <w:p w14:paraId="4C54164C">
      <w:pPr>
        <w:autoSpaceDE w:val="0"/>
        <w:autoSpaceDN w:val="0"/>
        <w:jc w:val="left"/>
        <w:rPr>
          <w:rFonts w:ascii="仿宋" w:hAnsi="仿宋" w:eastAsia="仿宋" w:cs="仿宋"/>
          <w:b/>
          <w:kern w:val="0"/>
          <w:sz w:val="20"/>
          <w:lang w:eastAsia="en-US"/>
        </w:rPr>
      </w:pPr>
    </w:p>
    <w:p w14:paraId="16C79871">
      <w:pPr>
        <w:autoSpaceDE w:val="0"/>
        <w:autoSpaceDN w:val="0"/>
        <w:jc w:val="left"/>
        <w:rPr>
          <w:rFonts w:ascii="仿宋" w:hAnsi="仿宋" w:eastAsia="仿宋" w:cs="仿宋"/>
          <w:b/>
          <w:kern w:val="0"/>
          <w:sz w:val="20"/>
          <w:lang w:eastAsia="en-US"/>
        </w:rPr>
      </w:pPr>
    </w:p>
    <w:p w14:paraId="6C72AFA7">
      <w:pPr>
        <w:autoSpaceDE w:val="0"/>
        <w:autoSpaceDN w:val="0"/>
        <w:jc w:val="left"/>
        <w:rPr>
          <w:rFonts w:ascii="仿宋" w:hAnsi="仿宋" w:eastAsia="仿宋" w:cs="仿宋"/>
          <w:b/>
          <w:kern w:val="0"/>
          <w:sz w:val="20"/>
          <w:lang w:eastAsia="en-US"/>
        </w:rPr>
      </w:pPr>
    </w:p>
    <w:p w14:paraId="61DDC24B">
      <w:pPr>
        <w:autoSpaceDE w:val="0"/>
        <w:autoSpaceDN w:val="0"/>
        <w:jc w:val="left"/>
        <w:rPr>
          <w:rFonts w:ascii="仿宋" w:hAnsi="仿宋" w:eastAsia="仿宋" w:cs="仿宋"/>
          <w:b/>
          <w:kern w:val="0"/>
          <w:sz w:val="20"/>
          <w:lang w:eastAsia="en-US"/>
        </w:rPr>
      </w:pPr>
    </w:p>
    <w:p w14:paraId="70F588F9">
      <w:pPr>
        <w:autoSpaceDE w:val="0"/>
        <w:autoSpaceDN w:val="0"/>
        <w:jc w:val="left"/>
        <w:rPr>
          <w:rFonts w:ascii="仿宋" w:hAnsi="仿宋" w:eastAsia="仿宋" w:cs="仿宋"/>
          <w:b/>
          <w:kern w:val="0"/>
          <w:sz w:val="20"/>
          <w:lang w:eastAsia="en-US"/>
        </w:rPr>
      </w:pPr>
    </w:p>
    <w:p w14:paraId="671AFE29">
      <w:pPr>
        <w:autoSpaceDE w:val="0"/>
        <w:autoSpaceDN w:val="0"/>
        <w:jc w:val="left"/>
        <w:rPr>
          <w:rFonts w:ascii="仿宋" w:hAnsi="仿宋" w:eastAsia="仿宋" w:cs="仿宋"/>
          <w:b/>
          <w:kern w:val="0"/>
          <w:sz w:val="20"/>
          <w:lang w:eastAsia="en-US"/>
        </w:rPr>
      </w:pPr>
    </w:p>
    <w:p w14:paraId="6E42363C">
      <w:pPr>
        <w:autoSpaceDE w:val="0"/>
        <w:autoSpaceDN w:val="0"/>
        <w:jc w:val="left"/>
        <w:rPr>
          <w:rFonts w:ascii="仿宋" w:hAnsi="仿宋" w:eastAsia="仿宋" w:cs="仿宋"/>
          <w:b/>
          <w:kern w:val="0"/>
          <w:sz w:val="20"/>
          <w:lang w:eastAsia="en-US"/>
        </w:rPr>
      </w:pPr>
    </w:p>
    <w:p w14:paraId="4F002AEA">
      <w:pPr>
        <w:autoSpaceDE w:val="0"/>
        <w:autoSpaceDN w:val="0"/>
        <w:jc w:val="left"/>
        <w:rPr>
          <w:rFonts w:ascii="仿宋" w:hAnsi="仿宋" w:eastAsia="仿宋" w:cs="仿宋"/>
          <w:b/>
          <w:kern w:val="0"/>
          <w:sz w:val="20"/>
          <w:lang w:eastAsia="en-US"/>
        </w:rPr>
      </w:pPr>
    </w:p>
    <w:p w14:paraId="6CAC3A0F">
      <w:pPr>
        <w:autoSpaceDE w:val="0"/>
        <w:autoSpaceDN w:val="0"/>
        <w:jc w:val="left"/>
        <w:rPr>
          <w:rFonts w:ascii="仿宋" w:hAnsi="仿宋" w:eastAsia="仿宋" w:cs="仿宋"/>
          <w:b/>
          <w:kern w:val="0"/>
          <w:sz w:val="20"/>
          <w:lang w:eastAsia="en-US"/>
        </w:rPr>
      </w:pPr>
    </w:p>
    <w:p w14:paraId="23B02780">
      <w:pPr>
        <w:autoSpaceDE w:val="0"/>
        <w:autoSpaceDN w:val="0"/>
        <w:jc w:val="left"/>
        <w:rPr>
          <w:rFonts w:ascii="仿宋" w:hAnsi="仿宋" w:eastAsia="仿宋" w:cs="仿宋"/>
          <w:b/>
          <w:kern w:val="0"/>
          <w:sz w:val="20"/>
          <w:lang w:eastAsia="en-US"/>
        </w:rPr>
      </w:pPr>
    </w:p>
    <w:p w14:paraId="72E5AB39">
      <w:pPr>
        <w:autoSpaceDE w:val="0"/>
        <w:autoSpaceDN w:val="0"/>
        <w:jc w:val="left"/>
        <w:rPr>
          <w:rFonts w:ascii="仿宋" w:hAnsi="仿宋" w:eastAsia="仿宋" w:cs="仿宋"/>
          <w:b/>
          <w:kern w:val="0"/>
          <w:sz w:val="20"/>
          <w:lang w:eastAsia="en-US"/>
        </w:rPr>
      </w:pPr>
    </w:p>
    <w:p w14:paraId="6A709422">
      <w:pPr>
        <w:autoSpaceDE w:val="0"/>
        <w:autoSpaceDN w:val="0"/>
        <w:jc w:val="left"/>
        <w:rPr>
          <w:rFonts w:ascii="仿宋" w:hAnsi="仿宋" w:eastAsia="仿宋" w:cs="仿宋"/>
          <w:b/>
          <w:kern w:val="0"/>
          <w:sz w:val="20"/>
          <w:lang w:eastAsia="en-US"/>
        </w:rPr>
      </w:pPr>
    </w:p>
    <w:p w14:paraId="5643D740">
      <w:pPr>
        <w:autoSpaceDE w:val="0"/>
        <w:autoSpaceDN w:val="0"/>
        <w:jc w:val="left"/>
        <w:rPr>
          <w:rFonts w:ascii="仿宋" w:hAnsi="仿宋" w:eastAsia="仿宋" w:cs="仿宋"/>
          <w:b/>
          <w:kern w:val="0"/>
          <w:sz w:val="20"/>
          <w:lang w:eastAsia="en-US"/>
        </w:rPr>
      </w:pPr>
    </w:p>
    <w:p w14:paraId="287292F4">
      <w:pPr>
        <w:autoSpaceDE w:val="0"/>
        <w:autoSpaceDN w:val="0"/>
        <w:jc w:val="left"/>
        <w:rPr>
          <w:rFonts w:ascii="仿宋" w:hAnsi="仿宋" w:eastAsia="仿宋" w:cs="仿宋"/>
          <w:b/>
          <w:kern w:val="0"/>
          <w:sz w:val="20"/>
          <w:lang w:eastAsia="en-US"/>
        </w:rPr>
      </w:pPr>
    </w:p>
    <w:p w14:paraId="64F767D8">
      <w:pPr>
        <w:autoSpaceDE w:val="0"/>
        <w:autoSpaceDN w:val="0"/>
        <w:jc w:val="left"/>
        <w:rPr>
          <w:rFonts w:ascii="仿宋" w:hAnsi="仿宋" w:eastAsia="仿宋" w:cs="仿宋"/>
          <w:b/>
          <w:kern w:val="0"/>
          <w:sz w:val="20"/>
          <w:lang w:eastAsia="en-US"/>
        </w:rPr>
      </w:pPr>
    </w:p>
    <w:p w14:paraId="197A2D8B">
      <w:pPr>
        <w:autoSpaceDE w:val="0"/>
        <w:autoSpaceDN w:val="0"/>
        <w:jc w:val="left"/>
        <w:rPr>
          <w:rFonts w:ascii="仿宋" w:hAnsi="仿宋" w:eastAsia="仿宋" w:cs="仿宋"/>
          <w:b/>
          <w:kern w:val="0"/>
          <w:sz w:val="20"/>
          <w:lang w:eastAsia="en-US"/>
        </w:rPr>
      </w:pPr>
    </w:p>
    <w:p w14:paraId="4C01703B">
      <w:pPr>
        <w:autoSpaceDE w:val="0"/>
        <w:autoSpaceDN w:val="0"/>
        <w:jc w:val="left"/>
        <w:rPr>
          <w:rFonts w:ascii="仿宋" w:hAnsi="仿宋" w:eastAsia="仿宋" w:cs="仿宋"/>
          <w:b/>
          <w:kern w:val="0"/>
          <w:sz w:val="20"/>
          <w:lang w:eastAsia="en-US"/>
        </w:rPr>
      </w:pPr>
    </w:p>
    <w:p w14:paraId="50F2E9DE">
      <w:pPr>
        <w:autoSpaceDE w:val="0"/>
        <w:autoSpaceDN w:val="0"/>
        <w:jc w:val="left"/>
        <w:rPr>
          <w:rFonts w:ascii="仿宋" w:hAnsi="仿宋" w:eastAsia="仿宋" w:cs="仿宋"/>
          <w:b/>
          <w:kern w:val="0"/>
          <w:sz w:val="20"/>
          <w:lang w:eastAsia="en-US"/>
        </w:rPr>
      </w:pPr>
    </w:p>
    <w:p w14:paraId="466DBAC1">
      <w:pPr>
        <w:autoSpaceDE w:val="0"/>
        <w:autoSpaceDN w:val="0"/>
        <w:jc w:val="left"/>
        <w:rPr>
          <w:rFonts w:ascii="仿宋" w:hAnsi="仿宋" w:eastAsia="仿宋" w:cs="仿宋"/>
          <w:b/>
          <w:kern w:val="0"/>
          <w:sz w:val="20"/>
          <w:lang w:eastAsia="en-US"/>
        </w:rPr>
      </w:pPr>
    </w:p>
    <w:p w14:paraId="2E2FCD05">
      <w:pPr>
        <w:autoSpaceDE w:val="0"/>
        <w:autoSpaceDN w:val="0"/>
        <w:jc w:val="left"/>
        <w:rPr>
          <w:rFonts w:ascii="仿宋" w:hAnsi="仿宋" w:eastAsia="仿宋" w:cs="仿宋"/>
          <w:b/>
          <w:kern w:val="0"/>
          <w:sz w:val="20"/>
          <w:lang w:eastAsia="en-US"/>
        </w:rPr>
      </w:pPr>
    </w:p>
    <w:p w14:paraId="5B707950">
      <w:pPr>
        <w:autoSpaceDE w:val="0"/>
        <w:autoSpaceDN w:val="0"/>
        <w:jc w:val="left"/>
        <w:rPr>
          <w:rFonts w:ascii="仿宋" w:hAnsi="仿宋" w:eastAsia="仿宋" w:cs="仿宋"/>
          <w:b/>
          <w:kern w:val="0"/>
          <w:sz w:val="20"/>
          <w:lang w:eastAsia="en-US"/>
        </w:rPr>
      </w:pPr>
    </w:p>
    <w:p w14:paraId="681F0924">
      <w:pPr>
        <w:autoSpaceDE w:val="0"/>
        <w:autoSpaceDN w:val="0"/>
        <w:jc w:val="left"/>
        <w:rPr>
          <w:rFonts w:ascii="仿宋" w:hAnsi="仿宋" w:eastAsia="仿宋" w:cs="仿宋"/>
          <w:b/>
          <w:kern w:val="0"/>
          <w:sz w:val="20"/>
          <w:lang w:eastAsia="en-US"/>
        </w:rPr>
      </w:pPr>
    </w:p>
    <w:p w14:paraId="182DD380">
      <w:pPr>
        <w:autoSpaceDE w:val="0"/>
        <w:autoSpaceDN w:val="0"/>
        <w:jc w:val="left"/>
        <w:rPr>
          <w:rFonts w:ascii="仿宋" w:hAnsi="仿宋" w:eastAsia="仿宋" w:cs="仿宋"/>
          <w:b/>
          <w:kern w:val="0"/>
          <w:sz w:val="24"/>
          <w:lang w:eastAsia="en-US"/>
        </w:rPr>
      </w:pPr>
    </w:p>
    <w:tbl>
      <w:tblPr>
        <w:tblStyle w:val="36"/>
        <w:tblW w:w="0" w:type="auto"/>
        <w:tblInd w:w="348" w:type="dxa"/>
        <w:tblLayout w:type="fixed"/>
        <w:tblCellMar>
          <w:top w:w="0" w:type="dxa"/>
          <w:left w:w="0" w:type="dxa"/>
          <w:bottom w:w="0" w:type="dxa"/>
          <w:right w:w="0" w:type="dxa"/>
        </w:tblCellMar>
      </w:tblPr>
      <w:tblGrid>
        <w:gridCol w:w="381"/>
        <w:gridCol w:w="422"/>
        <w:gridCol w:w="422"/>
        <w:gridCol w:w="422"/>
        <w:gridCol w:w="499"/>
        <w:gridCol w:w="3998"/>
      </w:tblGrid>
      <w:tr w14:paraId="69ECBD89">
        <w:tblPrEx>
          <w:tblCellMar>
            <w:top w:w="0" w:type="dxa"/>
            <w:left w:w="0" w:type="dxa"/>
            <w:bottom w:w="0" w:type="dxa"/>
            <w:right w:w="0" w:type="dxa"/>
          </w:tblCellMar>
        </w:tblPrEx>
        <w:trPr>
          <w:trHeight w:val="366" w:hRule="exact"/>
        </w:trPr>
        <w:tc>
          <w:tcPr>
            <w:tcW w:w="381" w:type="dxa"/>
          </w:tcPr>
          <w:p w14:paraId="0FB3CD8F">
            <w:pPr>
              <w:autoSpaceDE w:val="0"/>
              <w:autoSpaceDN w:val="0"/>
              <w:ind w:right="39"/>
              <w:jc w:val="center"/>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项</w:t>
            </w:r>
          </w:p>
        </w:tc>
        <w:tc>
          <w:tcPr>
            <w:tcW w:w="422" w:type="dxa"/>
          </w:tcPr>
          <w:p w14:paraId="48E9AC63">
            <w:pPr>
              <w:autoSpaceDE w:val="0"/>
              <w:autoSpaceDN w:val="0"/>
              <w:jc w:val="center"/>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目</w:t>
            </w:r>
          </w:p>
        </w:tc>
        <w:tc>
          <w:tcPr>
            <w:tcW w:w="422" w:type="dxa"/>
          </w:tcPr>
          <w:p w14:paraId="1544C74C">
            <w:pPr>
              <w:autoSpaceDE w:val="0"/>
              <w:autoSpaceDN w:val="0"/>
              <w:ind w:right="89"/>
              <w:jc w:val="righ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名</w:t>
            </w:r>
          </w:p>
        </w:tc>
        <w:tc>
          <w:tcPr>
            <w:tcW w:w="422" w:type="dxa"/>
          </w:tcPr>
          <w:p w14:paraId="2CC45D00">
            <w:pPr>
              <w:autoSpaceDE w:val="0"/>
              <w:autoSpaceDN w:val="0"/>
              <w:jc w:val="center"/>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称</w:t>
            </w:r>
          </w:p>
        </w:tc>
        <w:tc>
          <w:tcPr>
            <w:tcW w:w="499" w:type="dxa"/>
          </w:tcPr>
          <w:p w14:paraId="10D3F6FE">
            <w:pPr>
              <w:autoSpaceDE w:val="0"/>
              <w:autoSpaceDN w:val="0"/>
              <w:ind w:left="91"/>
              <w:jc w:val="lef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w:t>
            </w:r>
          </w:p>
        </w:tc>
        <w:tc>
          <w:tcPr>
            <w:tcW w:w="3998" w:type="dxa"/>
          </w:tcPr>
          <w:p w14:paraId="390F9979">
            <w:pPr>
              <w:tabs>
                <w:tab w:val="left" w:pos="3779"/>
              </w:tabs>
              <w:autoSpaceDE w:val="0"/>
              <w:autoSpaceDN w:val="0"/>
              <w:ind w:right="48"/>
              <w:jc w:val="righ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u w:val="single"/>
                <w:lang w:eastAsia="en-US"/>
              </w:rPr>
              <w:tab/>
            </w:r>
          </w:p>
        </w:tc>
      </w:tr>
      <w:tr w14:paraId="36BC891A">
        <w:tblPrEx>
          <w:tblCellMar>
            <w:top w:w="0" w:type="dxa"/>
            <w:left w:w="0" w:type="dxa"/>
            <w:bottom w:w="0" w:type="dxa"/>
            <w:right w:w="0" w:type="dxa"/>
          </w:tblCellMar>
        </w:tblPrEx>
        <w:trPr>
          <w:trHeight w:val="467" w:hRule="exact"/>
        </w:trPr>
        <w:tc>
          <w:tcPr>
            <w:tcW w:w="381" w:type="dxa"/>
          </w:tcPr>
          <w:p w14:paraId="52B51CC8">
            <w:pPr>
              <w:autoSpaceDE w:val="0"/>
              <w:autoSpaceDN w:val="0"/>
              <w:spacing w:before="33"/>
              <w:ind w:right="39"/>
              <w:jc w:val="center"/>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项</w:t>
            </w:r>
          </w:p>
        </w:tc>
        <w:tc>
          <w:tcPr>
            <w:tcW w:w="422" w:type="dxa"/>
          </w:tcPr>
          <w:p w14:paraId="76FE59E7">
            <w:pPr>
              <w:autoSpaceDE w:val="0"/>
              <w:autoSpaceDN w:val="0"/>
              <w:spacing w:before="33"/>
              <w:jc w:val="center"/>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目</w:t>
            </w:r>
          </w:p>
        </w:tc>
        <w:tc>
          <w:tcPr>
            <w:tcW w:w="422" w:type="dxa"/>
          </w:tcPr>
          <w:p w14:paraId="761E2E3D">
            <w:pPr>
              <w:autoSpaceDE w:val="0"/>
              <w:autoSpaceDN w:val="0"/>
              <w:spacing w:before="33"/>
              <w:ind w:right="89"/>
              <w:jc w:val="righ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编</w:t>
            </w:r>
          </w:p>
        </w:tc>
        <w:tc>
          <w:tcPr>
            <w:tcW w:w="422" w:type="dxa"/>
          </w:tcPr>
          <w:p w14:paraId="23E38D45">
            <w:pPr>
              <w:autoSpaceDE w:val="0"/>
              <w:autoSpaceDN w:val="0"/>
              <w:spacing w:before="33"/>
              <w:jc w:val="center"/>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号</w:t>
            </w:r>
          </w:p>
        </w:tc>
        <w:tc>
          <w:tcPr>
            <w:tcW w:w="499" w:type="dxa"/>
          </w:tcPr>
          <w:p w14:paraId="17889A5A">
            <w:pPr>
              <w:autoSpaceDE w:val="0"/>
              <w:autoSpaceDN w:val="0"/>
              <w:spacing w:before="33"/>
              <w:ind w:left="91"/>
              <w:jc w:val="lef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w:t>
            </w:r>
          </w:p>
        </w:tc>
        <w:tc>
          <w:tcPr>
            <w:tcW w:w="3998" w:type="dxa"/>
          </w:tcPr>
          <w:p w14:paraId="4345E0A4">
            <w:pPr>
              <w:tabs>
                <w:tab w:val="left" w:pos="3779"/>
              </w:tabs>
              <w:autoSpaceDE w:val="0"/>
              <w:autoSpaceDN w:val="0"/>
              <w:spacing w:before="89"/>
              <w:ind w:right="48"/>
              <w:jc w:val="righ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u w:val="single"/>
                <w:lang w:eastAsia="en-US"/>
              </w:rPr>
              <w:tab/>
            </w:r>
          </w:p>
        </w:tc>
      </w:tr>
      <w:tr w14:paraId="17F2A5DC">
        <w:tblPrEx>
          <w:tblCellMar>
            <w:top w:w="0" w:type="dxa"/>
            <w:left w:w="0" w:type="dxa"/>
            <w:bottom w:w="0" w:type="dxa"/>
            <w:right w:w="0" w:type="dxa"/>
          </w:tblCellMar>
        </w:tblPrEx>
        <w:trPr>
          <w:trHeight w:val="467" w:hRule="exact"/>
        </w:trPr>
        <w:tc>
          <w:tcPr>
            <w:tcW w:w="381" w:type="dxa"/>
          </w:tcPr>
          <w:p w14:paraId="4357255A">
            <w:pPr>
              <w:autoSpaceDE w:val="0"/>
              <w:autoSpaceDN w:val="0"/>
              <w:spacing w:before="34"/>
              <w:ind w:right="39"/>
              <w:jc w:val="center"/>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甲</w:t>
            </w:r>
          </w:p>
        </w:tc>
        <w:tc>
          <w:tcPr>
            <w:tcW w:w="422" w:type="dxa"/>
          </w:tcPr>
          <w:p w14:paraId="5B5EB73B">
            <w:pPr>
              <w:autoSpaceDE w:val="0"/>
              <w:autoSpaceDN w:val="0"/>
              <w:jc w:val="left"/>
              <w:rPr>
                <w:rFonts w:asciiTheme="minorEastAsia" w:hAnsiTheme="minorEastAsia" w:eastAsiaTheme="minorEastAsia" w:cstheme="minorEastAsia"/>
                <w:kern w:val="0"/>
                <w:sz w:val="24"/>
                <w:lang w:eastAsia="en-US"/>
              </w:rPr>
            </w:pPr>
          </w:p>
        </w:tc>
        <w:tc>
          <w:tcPr>
            <w:tcW w:w="422" w:type="dxa"/>
          </w:tcPr>
          <w:p w14:paraId="0C1DE8DA">
            <w:pPr>
              <w:autoSpaceDE w:val="0"/>
              <w:autoSpaceDN w:val="0"/>
              <w:spacing w:before="34"/>
              <w:ind w:right="89"/>
              <w:jc w:val="righ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方</w:t>
            </w:r>
          </w:p>
        </w:tc>
        <w:tc>
          <w:tcPr>
            <w:tcW w:w="422" w:type="dxa"/>
          </w:tcPr>
          <w:p w14:paraId="3B659656">
            <w:pPr>
              <w:autoSpaceDE w:val="0"/>
              <w:autoSpaceDN w:val="0"/>
              <w:jc w:val="left"/>
              <w:rPr>
                <w:rFonts w:asciiTheme="minorEastAsia" w:hAnsiTheme="minorEastAsia" w:eastAsiaTheme="minorEastAsia" w:cstheme="minorEastAsia"/>
                <w:kern w:val="0"/>
                <w:sz w:val="24"/>
                <w:lang w:eastAsia="en-US"/>
              </w:rPr>
            </w:pPr>
          </w:p>
        </w:tc>
        <w:tc>
          <w:tcPr>
            <w:tcW w:w="499" w:type="dxa"/>
          </w:tcPr>
          <w:p w14:paraId="279F906B">
            <w:pPr>
              <w:autoSpaceDE w:val="0"/>
              <w:autoSpaceDN w:val="0"/>
              <w:spacing w:before="34"/>
              <w:ind w:left="91"/>
              <w:jc w:val="lef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w:t>
            </w:r>
          </w:p>
        </w:tc>
        <w:tc>
          <w:tcPr>
            <w:tcW w:w="3998" w:type="dxa"/>
          </w:tcPr>
          <w:p w14:paraId="7B9AC9DE">
            <w:pPr>
              <w:tabs>
                <w:tab w:val="left" w:pos="3779"/>
              </w:tabs>
              <w:autoSpaceDE w:val="0"/>
              <w:autoSpaceDN w:val="0"/>
              <w:spacing w:before="91"/>
              <w:ind w:right="48"/>
              <w:jc w:val="righ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u w:val="single"/>
                <w:lang w:eastAsia="en-US"/>
              </w:rPr>
              <w:tab/>
            </w:r>
          </w:p>
        </w:tc>
      </w:tr>
      <w:tr w14:paraId="4DEB511E">
        <w:tblPrEx>
          <w:tblCellMar>
            <w:top w:w="0" w:type="dxa"/>
            <w:left w:w="0" w:type="dxa"/>
            <w:bottom w:w="0" w:type="dxa"/>
            <w:right w:w="0" w:type="dxa"/>
          </w:tblCellMar>
        </w:tblPrEx>
        <w:trPr>
          <w:trHeight w:val="366" w:hRule="exact"/>
        </w:trPr>
        <w:tc>
          <w:tcPr>
            <w:tcW w:w="381" w:type="dxa"/>
          </w:tcPr>
          <w:p w14:paraId="13177F93">
            <w:pPr>
              <w:autoSpaceDE w:val="0"/>
              <w:autoSpaceDN w:val="0"/>
              <w:spacing w:before="33"/>
              <w:ind w:right="39"/>
              <w:jc w:val="center"/>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乙</w:t>
            </w:r>
          </w:p>
        </w:tc>
        <w:tc>
          <w:tcPr>
            <w:tcW w:w="422" w:type="dxa"/>
          </w:tcPr>
          <w:p w14:paraId="5A191DF2">
            <w:pPr>
              <w:autoSpaceDE w:val="0"/>
              <w:autoSpaceDN w:val="0"/>
              <w:jc w:val="left"/>
              <w:rPr>
                <w:rFonts w:asciiTheme="minorEastAsia" w:hAnsiTheme="minorEastAsia" w:eastAsiaTheme="minorEastAsia" w:cstheme="minorEastAsia"/>
                <w:kern w:val="0"/>
                <w:sz w:val="24"/>
                <w:lang w:eastAsia="en-US"/>
              </w:rPr>
            </w:pPr>
          </w:p>
        </w:tc>
        <w:tc>
          <w:tcPr>
            <w:tcW w:w="422" w:type="dxa"/>
          </w:tcPr>
          <w:p w14:paraId="2666B853">
            <w:pPr>
              <w:autoSpaceDE w:val="0"/>
              <w:autoSpaceDN w:val="0"/>
              <w:spacing w:before="33"/>
              <w:ind w:right="89"/>
              <w:jc w:val="righ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方</w:t>
            </w:r>
          </w:p>
        </w:tc>
        <w:tc>
          <w:tcPr>
            <w:tcW w:w="422" w:type="dxa"/>
          </w:tcPr>
          <w:p w14:paraId="702E7C06">
            <w:pPr>
              <w:autoSpaceDE w:val="0"/>
              <w:autoSpaceDN w:val="0"/>
              <w:jc w:val="left"/>
              <w:rPr>
                <w:rFonts w:asciiTheme="minorEastAsia" w:hAnsiTheme="minorEastAsia" w:eastAsiaTheme="minorEastAsia" w:cstheme="minorEastAsia"/>
                <w:kern w:val="0"/>
                <w:sz w:val="24"/>
                <w:lang w:eastAsia="en-US"/>
              </w:rPr>
            </w:pPr>
          </w:p>
        </w:tc>
        <w:tc>
          <w:tcPr>
            <w:tcW w:w="499" w:type="dxa"/>
          </w:tcPr>
          <w:p w14:paraId="20A93490">
            <w:pPr>
              <w:autoSpaceDE w:val="0"/>
              <w:autoSpaceDN w:val="0"/>
              <w:spacing w:before="33"/>
              <w:ind w:left="91"/>
              <w:jc w:val="lef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w:t>
            </w:r>
          </w:p>
        </w:tc>
        <w:tc>
          <w:tcPr>
            <w:tcW w:w="3998" w:type="dxa"/>
          </w:tcPr>
          <w:p w14:paraId="499D078B">
            <w:pPr>
              <w:tabs>
                <w:tab w:val="left" w:pos="3779"/>
              </w:tabs>
              <w:autoSpaceDE w:val="0"/>
              <w:autoSpaceDN w:val="0"/>
              <w:spacing w:before="89"/>
              <w:ind w:right="48"/>
              <w:jc w:val="righ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u w:val="single"/>
                <w:lang w:eastAsia="en-US"/>
              </w:rPr>
              <w:tab/>
            </w:r>
          </w:p>
        </w:tc>
      </w:tr>
    </w:tbl>
    <w:p w14:paraId="586B8F43">
      <w:pPr>
        <w:autoSpaceDE w:val="0"/>
        <w:autoSpaceDN w:val="0"/>
        <w:spacing w:before="5"/>
        <w:jc w:val="left"/>
        <w:rPr>
          <w:rFonts w:asciiTheme="minorEastAsia" w:hAnsiTheme="minorEastAsia" w:eastAsiaTheme="minorEastAsia" w:cstheme="minorEastAsia"/>
          <w:b/>
          <w:kern w:val="0"/>
          <w:sz w:val="24"/>
          <w:lang w:eastAsia="en-US"/>
        </w:rPr>
      </w:pPr>
    </w:p>
    <w:p w14:paraId="23B708B9">
      <w:pPr>
        <w:tabs>
          <w:tab w:val="left" w:pos="2663"/>
          <w:tab w:val="left" w:pos="6443"/>
        </w:tabs>
        <w:autoSpaceDE w:val="0"/>
        <w:autoSpaceDN w:val="0"/>
        <w:spacing w:before="26"/>
        <w:ind w:left="398"/>
        <w:jc w:val="lef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spacing w:val="35"/>
          <w:kern w:val="0"/>
          <w:sz w:val="24"/>
          <w:lang w:eastAsia="en-US"/>
        </w:rPr>
        <w:t>合同签订日期：</w:t>
      </w:r>
      <w:r>
        <w:rPr>
          <w:rFonts w:hint="eastAsia" w:asciiTheme="minorEastAsia" w:hAnsiTheme="minorEastAsia" w:eastAsiaTheme="minorEastAsia" w:cstheme="minorEastAsia"/>
          <w:spacing w:val="35"/>
          <w:kern w:val="0"/>
          <w:sz w:val="24"/>
          <w:lang w:eastAsia="en-US"/>
        </w:rPr>
        <w:tab/>
      </w:r>
      <w:r>
        <w:rPr>
          <w:rFonts w:hint="eastAsia" w:asciiTheme="minorEastAsia" w:hAnsiTheme="minorEastAsia" w:eastAsiaTheme="minorEastAsia" w:cstheme="minorEastAsia"/>
          <w:spacing w:val="35"/>
          <w:kern w:val="0"/>
          <w:sz w:val="24"/>
          <w:u w:val="single"/>
          <w:lang w:eastAsia="en-US"/>
        </w:rPr>
        <w:tab/>
      </w:r>
    </w:p>
    <w:p w14:paraId="11674036">
      <w:pPr>
        <w:autoSpaceDE w:val="0"/>
        <w:autoSpaceDN w:val="0"/>
        <w:jc w:val="left"/>
        <w:rPr>
          <w:rFonts w:asciiTheme="minorEastAsia" w:hAnsiTheme="minorEastAsia" w:eastAsiaTheme="minorEastAsia" w:cstheme="minorEastAsia"/>
          <w:kern w:val="0"/>
          <w:sz w:val="24"/>
          <w:lang w:eastAsia="en-US"/>
        </w:rPr>
        <w:sectPr>
          <w:pgSz w:w="11910" w:h="16840"/>
          <w:pgMar w:top="1380" w:right="1680" w:bottom="1200" w:left="1680" w:header="0" w:footer="1006" w:gutter="0"/>
          <w:cols w:space="720" w:num="1"/>
        </w:sectPr>
      </w:pPr>
    </w:p>
    <w:p w14:paraId="34BA2B76">
      <w:pPr>
        <w:autoSpaceDE w:val="0"/>
        <w:autoSpaceDN w:val="0"/>
        <w:jc w:val="left"/>
        <w:rPr>
          <w:rFonts w:asciiTheme="minorEastAsia" w:hAnsiTheme="minorEastAsia" w:eastAsiaTheme="minorEastAsia" w:cstheme="minorEastAsia"/>
          <w:kern w:val="0"/>
          <w:sz w:val="24"/>
          <w:lang w:eastAsia="en-US"/>
        </w:rPr>
      </w:pPr>
    </w:p>
    <w:p w14:paraId="0B2F0732">
      <w:pPr>
        <w:tabs>
          <w:tab w:val="left" w:pos="5019"/>
        </w:tabs>
        <w:autoSpaceDE w:val="0"/>
        <w:autoSpaceDN w:val="0"/>
        <w:spacing w:before="158"/>
        <w:ind w:left="460" w:right="3519"/>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甲方：</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（以下称甲方）</w:t>
      </w:r>
    </w:p>
    <w:p w14:paraId="14900302">
      <w:pPr>
        <w:tabs>
          <w:tab w:val="left" w:pos="5019"/>
        </w:tabs>
        <w:autoSpaceDE w:val="0"/>
        <w:autoSpaceDN w:val="0"/>
        <w:spacing w:before="158"/>
        <w:ind w:left="460" w:right="3519"/>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乙方：</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（以下称乙方）</w:t>
      </w:r>
    </w:p>
    <w:p w14:paraId="23502DB6">
      <w:pPr>
        <w:autoSpaceDE w:val="0"/>
        <w:autoSpaceDN w:val="0"/>
        <w:spacing w:before="31"/>
        <w:ind w:left="100" w:right="237"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根</w:t>
      </w:r>
      <w:r>
        <w:rPr>
          <w:rFonts w:hint="eastAsia" w:asciiTheme="minorEastAsia" w:hAnsiTheme="minorEastAsia" w:eastAsiaTheme="minorEastAsia" w:cstheme="minorEastAsia"/>
          <w:spacing w:val="-41"/>
          <w:kern w:val="0"/>
          <w:sz w:val="24"/>
        </w:rPr>
        <w:t>据</w:t>
      </w:r>
      <w:r>
        <w:rPr>
          <w:rFonts w:hint="eastAsia" w:asciiTheme="minorEastAsia" w:hAnsiTheme="minorEastAsia" w:eastAsiaTheme="minorEastAsia" w:cstheme="minorEastAsia"/>
          <w:kern w:val="0"/>
          <w:sz w:val="24"/>
        </w:rPr>
        <w:t>《中华人民共和国民法典</w:t>
      </w:r>
      <w:r>
        <w:rPr>
          <w:rFonts w:hint="eastAsia" w:asciiTheme="minorEastAsia" w:hAnsiTheme="minorEastAsia" w:eastAsiaTheme="minorEastAsia" w:cstheme="minorEastAsia"/>
          <w:spacing w:val="-39"/>
          <w:kern w:val="0"/>
          <w:sz w:val="24"/>
        </w:rPr>
        <w:t>》</w:t>
      </w:r>
      <w:r>
        <w:rPr>
          <w:rFonts w:hint="eastAsia" w:asciiTheme="minorEastAsia" w:hAnsiTheme="minorEastAsia" w:eastAsiaTheme="minorEastAsia" w:cstheme="minorEastAsia"/>
          <w:kern w:val="0"/>
          <w:sz w:val="24"/>
        </w:rPr>
        <w:t>等相关法律法规的规定，甲方经政府招标采购确定乙方作为</w:t>
      </w:r>
      <w:r>
        <w:rPr>
          <w:rFonts w:hint="eastAsia" w:asciiTheme="minorEastAsia" w:hAnsiTheme="minorEastAsia" w:eastAsiaTheme="minorEastAsia" w:cstheme="minorEastAsia"/>
          <w:kern w:val="0"/>
          <w:sz w:val="24"/>
          <w:u w:val="single"/>
        </w:rPr>
        <w:t xml:space="preserve">  三门峡市“十五五”城市更新和城乡人居环境建设规划项目  </w:t>
      </w:r>
      <w:r>
        <w:rPr>
          <w:rFonts w:hint="eastAsia" w:asciiTheme="minorEastAsia" w:hAnsiTheme="minorEastAsia" w:eastAsiaTheme="minorEastAsia" w:cstheme="minorEastAsia"/>
          <w:kern w:val="0"/>
          <w:sz w:val="24"/>
        </w:rPr>
        <w:t>的技术服务单位，经双方充分协商一致，签订本合同。</w:t>
      </w:r>
    </w:p>
    <w:p w14:paraId="72CC799D">
      <w:pPr>
        <w:autoSpaceDE w:val="0"/>
        <w:autoSpaceDN w:val="0"/>
        <w:spacing w:before="31"/>
        <w:ind w:left="100" w:firstLine="482" w:firstLineChars="200"/>
        <w:jc w:val="left"/>
        <w:outlineLvl w:val="3"/>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一、服务范围</w:t>
      </w:r>
    </w:p>
    <w:p w14:paraId="561E5B76">
      <w:pPr>
        <w:autoSpaceDE w:val="0"/>
        <w:autoSpaceDN w:val="0"/>
        <w:spacing w:before="146"/>
        <w:ind w:left="100" w:right="5799"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开展/。</w:t>
      </w:r>
    </w:p>
    <w:p w14:paraId="2FB646BB">
      <w:pPr>
        <w:autoSpaceDE w:val="0"/>
        <w:autoSpaceDN w:val="0"/>
        <w:spacing w:before="146"/>
        <w:ind w:right="5799" w:firstLine="476" w:firstLineChars="200"/>
        <w:jc w:val="left"/>
        <w:rPr>
          <w:rFonts w:asciiTheme="minorEastAsia" w:hAnsiTheme="minorEastAsia" w:eastAsiaTheme="minorEastAsia" w:cstheme="minorEastAsia"/>
          <w:b/>
          <w:w w:val="99"/>
          <w:kern w:val="0"/>
          <w:sz w:val="24"/>
        </w:rPr>
      </w:pPr>
      <w:r>
        <w:rPr>
          <w:rFonts w:hint="eastAsia" w:asciiTheme="minorEastAsia" w:hAnsiTheme="minorEastAsia" w:eastAsiaTheme="minorEastAsia" w:cstheme="minorEastAsia"/>
          <w:b/>
          <w:w w:val="99"/>
          <w:kern w:val="0"/>
          <w:sz w:val="24"/>
        </w:rPr>
        <w:t>二、主</w:t>
      </w:r>
      <w:r>
        <w:rPr>
          <w:rFonts w:hint="eastAsia" w:asciiTheme="minorEastAsia" w:hAnsiTheme="minorEastAsia" w:eastAsiaTheme="minorEastAsia" w:cstheme="minorEastAsia"/>
          <w:b/>
          <w:spacing w:val="2"/>
          <w:w w:val="99"/>
          <w:kern w:val="0"/>
          <w:sz w:val="24"/>
        </w:rPr>
        <w:t>要</w:t>
      </w:r>
      <w:r>
        <w:rPr>
          <w:rFonts w:hint="eastAsia" w:asciiTheme="minorEastAsia" w:hAnsiTheme="minorEastAsia" w:eastAsiaTheme="minorEastAsia" w:cstheme="minorEastAsia"/>
          <w:b/>
          <w:w w:val="99"/>
          <w:kern w:val="0"/>
          <w:sz w:val="24"/>
        </w:rPr>
        <w:t>工作</w:t>
      </w:r>
      <w:r>
        <w:rPr>
          <w:rFonts w:hint="eastAsia" w:asciiTheme="minorEastAsia" w:hAnsiTheme="minorEastAsia" w:eastAsiaTheme="minorEastAsia" w:cstheme="minorEastAsia"/>
          <w:b/>
          <w:spacing w:val="2"/>
          <w:w w:val="99"/>
          <w:kern w:val="0"/>
          <w:sz w:val="24"/>
        </w:rPr>
        <w:t>内</w:t>
      </w:r>
      <w:r>
        <w:rPr>
          <w:rFonts w:hint="eastAsia" w:asciiTheme="minorEastAsia" w:hAnsiTheme="minorEastAsia" w:eastAsiaTheme="minorEastAsia" w:cstheme="minorEastAsia"/>
          <w:b/>
          <w:w w:val="99"/>
          <w:kern w:val="0"/>
          <w:sz w:val="24"/>
        </w:rPr>
        <w:t>容：</w:t>
      </w:r>
    </w:p>
    <w:p w14:paraId="27B6496C">
      <w:pPr>
        <w:autoSpaceDE w:val="0"/>
        <w:autoSpaceDN w:val="0"/>
        <w:spacing w:before="146"/>
        <w:ind w:left="580" w:right="5799"/>
        <w:jc w:val="left"/>
        <w:rPr>
          <w:rFonts w:asciiTheme="minorEastAsia" w:hAnsiTheme="minorEastAsia" w:eastAsiaTheme="minorEastAsia" w:cstheme="minorEastAsia"/>
          <w:b/>
          <w:kern w:val="0"/>
          <w:sz w:val="24"/>
          <w:u w:val="single"/>
        </w:rPr>
      </w:pPr>
      <w:r>
        <w:rPr>
          <w:rFonts w:hint="eastAsia" w:asciiTheme="minorEastAsia" w:hAnsiTheme="minorEastAsia" w:eastAsiaTheme="minorEastAsia" w:cstheme="minorEastAsia"/>
          <w:b/>
          <w:w w:val="99"/>
          <w:kern w:val="0"/>
          <w:sz w:val="24"/>
          <w:u w:val="single"/>
        </w:rPr>
        <w:t xml:space="preserve">                    </w:t>
      </w:r>
      <w:r>
        <w:rPr>
          <w:rFonts w:hint="eastAsia" w:asciiTheme="minorEastAsia" w:hAnsiTheme="minorEastAsia" w:eastAsiaTheme="minorEastAsia" w:cstheme="minorEastAsia"/>
          <w:b/>
          <w:w w:val="99"/>
          <w:kern w:val="0"/>
          <w:sz w:val="24"/>
        </w:rPr>
        <w:t>。</w:t>
      </w:r>
    </w:p>
    <w:p w14:paraId="31C84296">
      <w:pPr>
        <w:autoSpaceDE w:val="0"/>
        <w:autoSpaceDN w:val="0"/>
        <w:spacing w:before="31"/>
        <w:ind w:firstLine="482" w:firstLineChars="200"/>
        <w:jc w:val="left"/>
        <w:outlineLvl w:val="3"/>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 xml:space="preserve">三、工作依据 </w:t>
      </w:r>
    </w:p>
    <w:p w14:paraId="0B924F85">
      <w:pPr>
        <w:autoSpaceDE w:val="0"/>
        <w:autoSpaceDN w:val="0"/>
        <w:spacing w:before="146"/>
        <w:ind w:left="508"/>
        <w:jc w:val="left"/>
        <w:rPr>
          <w:rFonts w:asciiTheme="minorEastAsia" w:hAnsiTheme="minorEastAsia" w:eastAsiaTheme="minorEastAsia" w:cstheme="minorEastAsia"/>
          <w:kern w:val="0"/>
          <w:sz w:val="24"/>
          <w:u w:val="single"/>
        </w:rPr>
      </w:pPr>
      <w:r>
        <w:rPr>
          <w:rFonts w:hint="eastAsia" w:asciiTheme="minorEastAsia" w:hAnsiTheme="minorEastAsia" w:eastAsiaTheme="minorEastAsia" w:cstheme="minorEastAsia"/>
          <w:kern w:val="0"/>
          <w:sz w:val="24"/>
          <w:u w:val="single"/>
        </w:rPr>
        <w:t xml:space="preserve">                    </w:t>
      </w:r>
      <w:r>
        <w:rPr>
          <w:rFonts w:hint="eastAsia" w:asciiTheme="minorEastAsia" w:hAnsiTheme="minorEastAsia" w:eastAsiaTheme="minorEastAsia" w:cstheme="minorEastAsia"/>
          <w:kern w:val="0"/>
          <w:sz w:val="24"/>
        </w:rPr>
        <w:t>。</w:t>
      </w:r>
    </w:p>
    <w:p w14:paraId="4B3A5B81">
      <w:pPr>
        <w:autoSpaceDE w:val="0"/>
        <w:autoSpaceDN w:val="0"/>
        <w:spacing w:before="146"/>
        <w:ind w:left="508"/>
        <w:jc w:val="left"/>
        <w:rPr>
          <w:rFonts w:asciiTheme="minorEastAsia" w:hAnsiTheme="minorEastAsia" w:eastAsiaTheme="minorEastAsia" w:cstheme="minorEastAsia"/>
          <w:b/>
          <w:bCs/>
          <w:w w:val="99"/>
          <w:kern w:val="0"/>
          <w:sz w:val="24"/>
        </w:rPr>
      </w:pPr>
      <w:r>
        <w:rPr>
          <w:rFonts w:hint="eastAsia" w:asciiTheme="minorEastAsia" w:hAnsiTheme="minorEastAsia" w:eastAsiaTheme="minorEastAsia" w:cstheme="minorEastAsia"/>
          <w:b/>
          <w:bCs/>
          <w:kern w:val="0"/>
          <w:sz w:val="24"/>
        </w:rPr>
        <w:t>四、</w:t>
      </w:r>
      <w:r>
        <w:rPr>
          <w:rFonts w:hint="eastAsia" w:asciiTheme="minorEastAsia" w:hAnsiTheme="minorEastAsia" w:eastAsiaTheme="minorEastAsia" w:cstheme="minorEastAsia"/>
          <w:b/>
          <w:bCs/>
          <w:w w:val="99"/>
          <w:kern w:val="0"/>
          <w:sz w:val="24"/>
        </w:rPr>
        <w:t>服务期限</w:t>
      </w:r>
    </w:p>
    <w:p w14:paraId="01DAEDDC">
      <w:pPr>
        <w:autoSpaceDE w:val="0"/>
        <w:autoSpaceDN w:val="0"/>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服务期限：</w:t>
      </w:r>
    </w:p>
    <w:p w14:paraId="6695EB54">
      <w:pPr>
        <w:autoSpaceDE w:val="0"/>
        <w:autoSpaceDN w:val="0"/>
        <w:spacing w:before="146"/>
        <w:ind w:left="100" w:firstLine="482" w:firstLineChars="200"/>
        <w:jc w:val="left"/>
        <w:outlineLvl w:val="3"/>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五、提交成果内容及要求</w:t>
      </w:r>
    </w:p>
    <w:p w14:paraId="166C6F7D">
      <w:pPr>
        <w:numPr>
          <w:ilvl w:val="1"/>
          <w:numId w:val="1"/>
        </w:numPr>
        <w:tabs>
          <w:tab w:val="left" w:pos="1000"/>
        </w:tabs>
        <w:autoSpaceDE w:val="0"/>
        <w:autoSpaceDN w:val="0"/>
        <w:spacing w:before="146"/>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lang w:eastAsia="en-US"/>
        </w:rPr>
        <w:t>提交成果内容</w:t>
      </w:r>
      <w:r>
        <w:rPr>
          <w:rFonts w:hint="eastAsia" w:asciiTheme="minorEastAsia" w:hAnsiTheme="minorEastAsia" w:eastAsiaTheme="minorEastAsia" w:cstheme="minorEastAsia"/>
          <w:kern w:val="0"/>
          <w:sz w:val="24"/>
          <w:u w:val="single"/>
        </w:rPr>
        <w:t xml:space="preserve">      </w:t>
      </w:r>
      <w:r>
        <w:rPr>
          <w:rFonts w:hint="eastAsia" w:asciiTheme="minorEastAsia" w:hAnsiTheme="minorEastAsia" w:eastAsiaTheme="minorEastAsia" w:cstheme="minorEastAsia"/>
          <w:kern w:val="0"/>
          <w:sz w:val="24"/>
        </w:rPr>
        <w:t>。</w:t>
      </w:r>
    </w:p>
    <w:p w14:paraId="28DFBFED">
      <w:pPr>
        <w:numPr>
          <w:ilvl w:val="1"/>
          <w:numId w:val="1"/>
        </w:numPr>
        <w:tabs>
          <w:tab w:val="left" w:pos="1000"/>
        </w:tabs>
        <w:autoSpaceDE w:val="0"/>
        <w:autoSpaceDN w:val="0"/>
        <w:spacing w:before="34"/>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提交成果要求</w:t>
      </w:r>
      <w:r>
        <w:rPr>
          <w:rFonts w:hint="eastAsia" w:asciiTheme="minorEastAsia" w:hAnsiTheme="minorEastAsia" w:eastAsiaTheme="minorEastAsia" w:cstheme="minorEastAsia"/>
          <w:kern w:val="0"/>
          <w:sz w:val="24"/>
          <w:u w:val="single"/>
        </w:rPr>
        <w:t xml:space="preserve">      </w:t>
      </w:r>
      <w:r>
        <w:rPr>
          <w:rFonts w:hint="eastAsia" w:asciiTheme="minorEastAsia" w:hAnsiTheme="minorEastAsia" w:eastAsiaTheme="minorEastAsia" w:cstheme="minorEastAsia"/>
          <w:kern w:val="0"/>
          <w:sz w:val="24"/>
        </w:rPr>
        <w:t>。</w:t>
      </w:r>
    </w:p>
    <w:p w14:paraId="3AAB4631">
      <w:pPr>
        <w:autoSpaceDE w:val="0"/>
        <w:autoSpaceDN w:val="0"/>
        <w:spacing w:before="34"/>
        <w:ind w:left="100" w:firstLine="241" w:firstLineChars="100"/>
        <w:jc w:val="left"/>
        <w:outlineLvl w:val="3"/>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六、权利和义务</w:t>
      </w:r>
    </w:p>
    <w:p w14:paraId="74DB8A1B">
      <w:pPr>
        <w:autoSpaceDE w:val="0"/>
        <w:autoSpaceDN w:val="0"/>
        <w:spacing w:before="144"/>
        <w:ind w:left="1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（一）甲方的权利与义务</w:t>
      </w:r>
    </w:p>
    <w:p w14:paraId="045E46FB">
      <w:pPr>
        <w:autoSpaceDE w:val="0"/>
        <w:autoSpaceDN w:val="0"/>
        <w:spacing w:before="14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1.权利</w:t>
      </w:r>
    </w:p>
    <w:p w14:paraId="4D456BAB">
      <w:pPr>
        <w:autoSpaceDE w:val="0"/>
        <w:autoSpaceDN w:val="0"/>
        <w:spacing w:before="14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（1）确定工作范围，审查技术方案，对项目成果提出具体要求；</w:t>
      </w:r>
    </w:p>
    <w:p w14:paraId="4970D39C">
      <w:pPr>
        <w:autoSpaceDE w:val="0"/>
        <w:autoSpaceDN w:val="0"/>
        <w:spacing w:before="144"/>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（2）甲方有权督促乙方按计划完成项目并提交符合验收标准的成果；</w:t>
      </w:r>
    </w:p>
    <w:p w14:paraId="53BC3BB3">
      <w:pPr>
        <w:autoSpaceDE w:val="0"/>
        <w:autoSpaceDN w:val="0"/>
        <w:spacing w:before="14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（3）甲方有权对乙方承担的项目经费的使用状况进行监督；</w:t>
      </w:r>
    </w:p>
    <w:p w14:paraId="619D8522">
      <w:pPr>
        <w:autoSpaceDE w:val="0"/>
        <w:autoSpaceDN w:val="0"/>
        <w:spacing w:before="146"/>
        <w:ind w:left="100" w:right="159"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（4）甲方有权纠正和制止乙方在项目实施过程中出现的未按工作方案及本合同要求开展工作的情形。</w:t>
      </w:r>
    </w:p>
    <w:p w14:paraId="4FBB421D">
      <w:pPr>
        <w:autoSpaceDE w:val="0"/>
        <w:autoSpaceDN w:val="0"/>
        <w:spacing w:before="3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2.义务</w:t>
      </w:r>
    </w:p>
    <w:p w14:paraId="20A34F53">
      <w:pPr>
        <w:autoSpaceDE w:val="0"/>
        <w:autoSpaceDN w:val="0"/>
        <w:spacing w:before="14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（1）配合乙方做好外业调查和资料收集工作；</w:t>
      </w:r>
    </w:p>
    <w:p w14:paraId="1950AEC8">
      <w:pPr>
        <w:autoSpaceDE w:val="0"/>
        <w:autoSpaceDN w:val="0"/>
        <w:spacing w:before="144"/>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（2）对项目实施过程中出现的问题进行行政协调；</w:t>
      </w:r>
    </w:p>
    <w:p w14:paraId="395E0262">
      <w:pPr>
        <w:autoSpaceDE w:val="0"/>
        <w:autoSpaceDN w:val="0"/>
        <w:spacing w:before="14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（3）按期、足额将项目经费拨付给乙方。</w:t>
      </w:r>
    </w:p>
    <w:p w14:paraId="03009650">
      <w:pPr>
        <w:autoSpaceDE w:val="0"/>
        <w:autoSpaceDN w:val="0"/>
        <w:spacing w:before="146"/>
        <w:ind w:left="1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（二）乙方的权利与义务</w:t>
      </w:r>
    </w:p>
    <w:p w14:paraId="2165AB80">
      <w:pPr>
        <w:autoSpaceDE w:val="0"/>
        <w:autoSpaceDN w:val="0"/>
        <w:spacing w:before="144"/>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1.权利</w:t>
      </w:r>
    </w:p>
    <w:p w14:paraId="228302A0">
      <w:pPr>
        <w:autoSpaceDE w:val="0"/>
        <w:autoSpaceDN w:val="0"/>
        <w:spacing w:before="146"/>
        <w:ind w:left="100" w:right="159"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（1）乙方有权按照工作方案和技术方案的要求，自主选择确定具体的工作方式和组织形式；</w:t>
      </w:r>
    </w:p>
    <w:p w14:paraId="658823F9">
      <w:pPr>
        <w:autoSpaceDE w:val="0"/>
        <w:autoSpaceDN w:val="0"/>
        <w:spacing w:before="146"/>
        <w:ind w:left="100" w:right="159"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（2）乙方有按合同规定实施项目计划、安排所承担项目经费使用的权利；</w:t>
      </w:r>
    </w:p>
    <w:p w14:paraId="3C67106C">
      <w:pPr>
        <w:autoSpaceDE w:val="0"/>
        <w:autoSpaceDN w:val="0"/>
        <w:spacing w:before="14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（3）乙方对提供的成果具有解释权。</w:t>
      </w:r>
    </w:p>
    <w:p w14:paraId="169A1905">
      <w:pPr>
        <w:autoSpaceDE w:val="0"/>
        <w:autoSpaceDN w:val="0"/>
        <w:spacing w:before="14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2.义务</w:t>
      </w:r>
    </w:p>
    <w:p w14:paraId="70C95CBE">
      <w:pPr>
        <w:autoSpaceDE w:val="0"/>
        <w:autoSpaceDN w:val="0"/>
        <w:spacing w:before="144"/>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（1）乙方负责全部技术工作，包括技术方案编制、级别划分、报告撰写工作；</w:t>
      </w:r>
    </w:p>
    <w:p w14:paraId="484A4CAB">
      <w:pPr>
        <w:autoSpaceDE w:val="0"/>
        <w:autoSpaceDN w:val="0"/>
        <w:spacing w:before="146"/>
        <w:ind w:left="100" w:right="239"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（2）未经甲方同意，不得以任何理由和任何形式向其它单位和个人提供项目成果，包括调查资料，中间成果及最终成果；</w:t>
      </w:r>
    </w:p>
    <w:p w14:paraId="5EC96EF0">
      <w:pPr>
        <w:autoSpaceDE w:val="0"/>
        <w:autoSpaceDN w:val="0"/>
        <w:spacing w:before="31"/>
        <w:ind w:left="100" w:right="239"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（3）按照工作方案和上级部门相关要求，及时提交成果，但由于甲方原因造成不能按时提交成果的除外；</w:t>
      </w:r>
    </w:p>
    <w:p w14:paraId="3DA67F03">
      <w:pPr>
        <w:autoSpaceDE w:val="0"/>
        <w:autoSpaceDN w:val="0"/>
        <w:spacing w:before="34"/>
        <w:ind w:left="100" w:right="239"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（4）乙方对成果的质量负责，若项目成果因不符合国家相关标准造成验收不合格的，乙方负责返工修改、补充和完善工作，并承担由此引起的一切费用。</w:t>
      </w:r>
    </w:p>
    <w:p w14:paraId="1F243BA6">
      <w:pPr>
        <w:autoSpaceDE w:val="0"/>
        <w:autoSpaceDN w:val="0"/>
        <w:spacing w:before="36"/>
        <w:ind w:left="100" w:right="2639"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（5）乙方协助甲方完成成果的验收工作，并承担成果验收费用。</w:t>
      </w:r>
    </w:p>
    <w:p w14:paraId="33DE8DF8">
      <w:pPr>
        <w:autoSpaceDE w:val="0"/>
        <w:autoSpaceDN w:val="0"/>
        <w:spacing w:before="36"/>
        <w:ind w:left="100" w:right="2639" w:firstLine="480"/>
        <w:jc w:val="left"/>
        <w:rPr>
          <w:rFonts w:asciiTheme="minorEastAsia" w:hAnsiTheme="minorEastAsia" w:eastAsiaTheme="minorEastAsia" w:cstheme="minorEastAsia"/>
          <w:b/>
          <w:kern w:val="0"/>
          <w:sz w:val="24"/>
        </w:rPr>
      </w:pPr>
      <w:r>
        <w:rPr>
          <w:rFonts w:hint="eastAsia" w:asciiTheme="minorEastAsia" w:hAnsiTheme="minorEastAsia" w:eastAsiaTheme="minorEastAsia" w:cstheme="minorEastAsia"/>
          <w:b/>
          <w:w w:val="99"/>
          <w:kern w:val="0"/>
          <w:sz w:val="24"/>
        </w:rPr>
        <w:t>七、成</w:t>
      </w:r>
      <w:r>
        <w:rPr>
          <w:rFonts w:hint="eastAsia" w:asciiTheme="minorEastAsia" w:hAnsiTheme="minorEastAsia" w:eastAsiaTheme="minorEastAsia" w:cstheme="minorEastAsia"/>
          <w:b/>
          <w:spacing w:val="2"/>
          <w:w w:val="99"/>
          <w:kern w:val="0"/>
          <w:sz w:val="24"/>
        </w:rPr>
        <w:t>果</w:t>
      </w:r>
      <w:r>
        <w:rPr>
          <w:rFonts w:hint="eastAsia" w:asciiTheme="minorEastAsia" w:hAnsiTheme="minorEastAsia" w:eastAsiaTheme="minorEastAsia" w:cstheme="minorEastAsia"/>
          <w:b/>
          <w:w w:val="99"/>
          <w:kern w:val="0"/>
          <w:sz w:val="24"/>
        </w:rPr>
        <w:t>所</w:t>
      </w:r>
      <w:r>
        <w:rPr>
          <w:rFonts w:hint="eastAsia" w:asciiTheme="minorEastAsia" w:hAnsiTheme="minorEastAsia" w:eastAsiaTheme="minorEastAsia" w:cstheme="minorEastAsia"/>
          <w:b/>
          <w:spacing w:val="2"/>
          <w:w w:val="99"/>
          <w:kern w:val="0"/>
          <w:sz w:val="24"/>
        </w:rPr>
        <w:t>有</w:t>
      </w:r>
      <w:r>
        <w:rPr>
          <w:rFonts w:hint="eastAsia" w:asciiTheme="minorEastAsia" w:hAnsiTheme="minorEastAsia" w:eastAsiaTheme="minorEastAsia" w:cstheme="minorEastAsia"/>
          <w:b/>
          <w:w w:val="99"/>
          <w:kern w:val="0"/>
          <w:sz w:val="24"/>
        </w:rPr>
        <w:t>权：</w:t>
      </w:r>
    </w:p>
    <w:p w14:paraId="65A2E4C0">
      <w:pPr>
        <w:autoSpaceDE w:val="0"/>
        <w:autoSpaceDN w:val="0"/>
        <w:spacing w:before="31"/>
        <w:ind w:left="647"/>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1.本次工作产生的成果和产品所有权及相关知识产权归甲方。</w:t>
      </w:r>
    </w:p>
    <w:p w14:paraId="2479062A">
      <w:pPr>
        <w:autoSpaceDE w:val="0"/>
        <w:autoSpaceDN w:val="0"/>
        <w:spacing w:before="146"/>
        <w:ind w:left="647"/>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2.乙方提供的成果不得侵犯第三方的知识产权。</w:t>
      </w:r>
    </w:p>
    <w:p w14:paraId="4C0695D3">
      <w:pPr>
        <w:autoSpaceDE w:val="0"/>
        <w:autoSpaceDN w:val="0"/>
        <w:spacing w:before="146"/>
        <w:ind w:left="114" w:right="290" w:firstLine="532"/>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3.乙方未经甲方同意，不得以任何方式向第三方披露、转让和许可本项目的技术成果、技术资料和文件。</w:t>
      </w:r>
    </w:p>
    <w:p w14:paraId="69D469D5">
      <w:pPr>
        <w:autoSpaceDE w:val="0"/>
        <w:autoSpaceDN w:val="0"/>
        <w:spacing w:before="36"/>
        <w:ind w:left="100" w:firstLine="482" w:firstLineChars="200"/>
        <w:jc w:val="left"/>
        <w:outlineLvl w:val="3"/>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八、项目费用</w:t>
      </w:r>
    </w:p>
    <w:p w14:paraId="75A5F2E1">
      <w:pPr>
        <w:autoSpaceDE w:val="0"/>
        <w:autoSpaceDN w:val="0"/>
        <w:spacing w:before="14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1.项目费用</w:t>
      </w:r>
    </w:p>
    <w:p w14:paraId="5DACF666">
      <w:pPr>
        <w:tabs>
          <w:tab w:val="left" w:pos="5739"/>
          <w:tab w:val="left" w:pos="7311"/>
        </w:tabs>
        <w:autoSpaceDE w:val="0"/>
        <w:autoSpaceDN w:val="0"/>
        <w:spacing w:before="144"/>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本次项目服务费中标价为：大写人民币</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，小写¥</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w:t>
      </w:r>
    </w:p>
    <w:p w14:paraId="730500BD">
      <w:pPr>
        <w:autoSpaceDE w:val="0"/>
        <w:autoSpaceDN w:val="0"/>
        <w:spacing w:before="129"/>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2.支付条件与方式</w:t>
      </w:r>
    </w:p>
    <w:p w14:paraId="755620BD">
      <w:pPr>
        <w:autoSpaceDE w:val="0"/>
        <w:autoSpaceDN w:val="0"/>
        <w:jc w:val="left"/>
        <w:rPr>
          <w:rFonts w:asciiTheme="minorEastAsia" w:hAnsiTheme="minorEastAsia" w:eastAsiaTheme="minorEastAsia" w:cstheme="minorEastAsia"/>
          <w:kern w:val="0"/>
          <w:sz w:val="24"/>
        </w:rPr>
      </w:pPr>
    </w:p>
    <w:p w14:paraId="72331054">
      <w:pPr>
        <w:autoSpaceDE w:val="0"/>
        <w:autoSpaceDN w:val="0"/>
        <w:spacing w:before="1"/>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mc:AlternateContent>
          <mc:Choice Requires="wps">
            <w:drawing>
              <wp:anchor distT="0" distB="0" distL="114300" distR="114300" simplePos="0" relativeHeight="251659264" behindDoc="0" locked="0" layoutInCell="1" allowOverlap="1">
                <wp:simplePos x="0" y="0"/>
                <wp:positionH relativeFrom="page">
                  <wp:posOffset>1138555</wp:posOffset>
                </wp:positionH>
                <wp:positionV relativeFrom="paragraph">
                  <wp:posOffset>81280</wp:posOffset>
                </wp:positionV>
                <wp:extent cx="4356100" cy="42545"/>
                <wp:effectExtent l="0" t="4445" r="6350" b="10160"/>
                <wp:wrapTopAndBottom/>
                <wp:docPr id="4" name="直接连接符 4"/>
                <wp:cNvGraphicFramePr/>
                <a:graphic xmlns:a="http://schemas.openxmlformats.org/drawingml/2006/main">
                  <a:graphicData uri="http://schemas.microsoft.com/office/word/2010/wordprocessingShape">
                    <wps:wsp>
                      <wps:cNvCnPr>
                        <a:cxnSpLocks noChangeShapeType="1"/>
                      </wps:cNvCnPr>
                      <wps:spPr bwMode="auto">
                        <a:xfrm flipV="1">
                          <a:off x="0" y="0"/>
                          <a:ext cx="4356100" cy="42545"/>
                        </a:xfrm>
                        <a:prstGeom prst="line">
                          <a:avLst/>
                        </a:prstGeom>
                        <a:noFill/>
                        <a:ln w="7620">
                          <a:solidFill>
                            <a:srgbClr val="000000"/>
                          </a:solidFill>
                          <a:prstDash val="solid"/>
                          <a:round/>
                        </a:ln>
                        <a:effectLst/>
                      </wps:spPr>
                      <wps:bodyPr/>
                    </wps:wsp>
                  </a:graphicData>
                </a:graphic>
              </wp:anchor>
            </w:drawing>
          </mc:Choice>
          <mc:Fallback>
            <w:pict>
              <v:line id="_x0000_s1026" o:spid="_x0000_s1026" o:spt="20" style="position:absolute;left:0pt;flip:y;margin-left:89.65pt;margin-top:6.4pt;height:3.35pt;width:343pt;mso-position-horizontal-relative:page;mso-wrap-distance-bottom:0pt;mso-wrap-distance-top:0pt;z-index:251659264;mso-width-relative:page;mso-height-relative:page;" filled="f" stroked="t" coordsize="21600,21600" o:gfxdata="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er+UbWAAAACQEAAA8AAAAAAAAAAQAgAAAAIgAAAGRycy9kb3ducmV2&#10;LnhtbFBLAQIUABQAAAAIAIdO4kAqR2Gw/gEAAN8DAAAOAAAAAAAAAAEAIAAAACUBAABkcnMvZTJv&#10;RG9jLnhtbFBLBQYAAAAABgAGAFkBAACVBQAAAAA=&#10;">
                <v:fill on="f" focussize="0,0"/>
                <v:stroke weight="0.6pt" color="#000000" joinstyle="round"/>
                <v:imagedata o:title=""/>
                <o:lock v:ext="edit" aspectratio="f"/>
                <w10:wrap type="topAndBottom"/>
              </v:line>
            </w:pict>
          </mc:Fallback>
        </mc:AlternateContent>
      </w:r>
    </w:p>
    <w:p w14:paraId="78458BBD">
      <w:pPr>
        <w:autoSpaceDE w:val="0"/>
        <w:autoSpaceDN w:val="0"/>
        <w:spacing w:before="26"/>
        <w:ind w:left="100"/>
        <w:jc w:val="left"/>
        <w:outlineLvl w:val="3"/>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九、保密</w:t>
      </w:r>
    </w:p>
    <w:p w14:paraId="6A450ACF">
      <w:pPr>
        <w:autoSpaceDE w:val="0"/>
        <w:autoSpaceDN w:val="0"/>
        <w:spacing w:before="146"/>
        <w:ind w:left="100" w:right="197"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1.本项目所涉及的保密数据和保密资料</w:t>
      </w:r>
      <w:r>
        <w:rPr>
          <w:rFonts w:hint="eastAsia" w:asciiTheme="minorEastAsia" w:hAnsiTheme="minorEastAsia" w:eastAsiaTheme="minorEastAsia" w:cstheme="minorEastAsia"/>
          <w:spacing w:val="-41"/>
          <w:kern w:val="0"/>
          <w:sz w:val="24"/>
        </w:rPr>
        <w:t>，</w:t>
      </w:r>
      <w:r>
        <w:rPr>
          <w:rFonts w:hint="eastAsia" w:asciiTheme="minorEastAsia" w:hAnsiTheme="minorEastAsia" w:eastAsiaTheme="minorEastAsia" w:cstheme="minorEastAsia"/>
          <w:kern w:val="0"/>
          <w:sz w:val="24"/>
        </w:rPr>
        <w:t>仅限于乙方在本项目合同期内使用</w:t>
      </w:r>
      <w:r>
        <w:rPr>
          <w:rFonts w:hint="eastAsia" w:asciiTheme="minorEastAsia" w:hAnsiTheme="minorEastAsia" w:eastAsiaTheme="minorEastAsia" w:cstheme="minorEastAsia"/>
          <w:spacing w:val="-39"/>
          <w:kern w:val="0"/>
          <w:sz w:val="24"/>
        </w:rPr>
        <w:t>，</w:t>
      </w:r>
      <w:r>
        <w:rPr>
          <w:rFonts w:hint="eastAsia" w:asciiTheme="minorEastAsia" w:hAnsiTheme="minorEastAsia" w:eastAsiaTheme="minorEastAsia" w:cstheme="minorEastAsia"/>
          <w:kern w:val="0"/>
          <w:sz w:val="24"/>
        </w:rPr>
        <w:t>不得向第三方提供及用于其它用途。</w:t>
      </w:r>
    </w:p>
    <w:p w14:paraId="00B9BEDE">
      <w:pPr>
        <w:autoSpaceDE w:val="0"/>
        <w:autoSpaceDN w:val="0"/>
        <w:spacing w:before="31"/>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2.乙方不得将涉密数据在计算机互联网、政务网等非涉密网络上传输、登载。</w:t>
      </w:r>
    </w:p>
    <w:p w14:paraId="7701B6CB">
      <w:pPr>
        <w:autoSpaceDE w:val="0"/>
        <w:autoSpaceDN w:val="0"/>
        <w:spacing w:before="146"/>
        <w:ind w:left="100" w:right="119"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3.乙方发生涉密数据外传、丢失、被盗或者造成泄密事故的，应采取有效措施及时补救，并及时向甲方报告，造成的后果，由乙方承担相应责任。</w:t>
      </w:r>
    </w:p>
    <w:p w14:paraId="750E6001">
      <w:pPr>
        <w:autoSpaceDE w:val="0"/>
        <w:autoSpaceDN w:val="0"/>
        <w:spacing w:before="31"/>
        <w:ind w:left="100"/>
        <w:jc w:val="left"/>
        <w:outlineLvl w:val="3"/>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十、违约责任</w:t>
      </w:r>
    </w:p>
    <w:p w14:paraId="55D3645E">
      <w:pPr>
        <w:autoSpaceDE w:val="0"/>
        <w:autoSpaceDN w:val="0"/>
        <w:spacing w:before="14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乙方有下列情形之一的，甲方有权解除本合同，并赔偿甲方实际损失。</w:t>
      </w:r>
    </w:p>
    <w:p w14:paraId="6E394ABD">
      <w:pPr>
        <w:autoSpaceDE w:val="0"/>
        <w:autoSpaceDN w:val="0"/>
        <w:spacing w:before="146"/>
        <w:ind w:left="5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1.降低或不执行质量标准和规划要求，不具备完成项目所需的条件和能力的。</w:t>
      </w:r>
    </w:p>
    <w:p w14:paraId="01144197">
      <w:pPr>
        <w:autoSpaceDE w:val="0"/>
        <w:autoSpaceDN w:val="0"/>
        <w:spacing w:before="146"/>
        <w:ind w:left="141" w:leftChars="67" w:firstLine="477" w:firstLineChars="199"/>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2.在甲方或甲方委托技术支撑单位指定的整改期限内，乙方拒不整改或整改后仍不能满足质量要求的。</w:t>
      </w:r>
    </w:p>
    <w:p w14:paraId="1F661742">
      <w:pPr>
        <w:autoSpaceDE w:val="0"/>
        <w:autoSpaceDN w:val="0"/>
        <w:spacing w:before="146"/>
        <w:ind w:left="141" w:leftChars="67" w:firstLine="477" w:firstLineChars="199"/>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3.未经甲方同意，向第三方披露、转让和许可本项目的技术成果、技术资料和文件的，或公开发表与本项目有关的论文、著作等的。</w:t>
      </w:r>
    </w:p>
    <w:p w14:paraId="4A741775">
      <w:pPr>
        <w:autoSpaceDE w:val="0"/>
        <w:autoSpaceDN w:val="0"/>
        <w:spacing w:before="146"/>
        <w:ind w:left="141" w:leftChars="67" w:firstLine="477" w:firstLineChars="199"/>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4.违反本合同约定的保密义务的。</w:t>
      </w:r>
    </w:p>
    <w:p w14:paraId="512FD310">
      <w:pPr>
        <w:autoSpaceDE w:val="0"/>
        <w:autoSpaceDN w:val="0"/>
        <w:spacing w:before="146"/>
        <w:ind w:left="141" w:leftChars="67" w:firstLine="477" w:firstLineChars="199"/>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5.乙方将该项目转让给他人的，未经甲方书面同意将项目的部分非主体、非关键性工作分包给他人的。</w:t>
      </w:r>
    </w:p>
    <w:p w14:paraId="7DF21A1E">
      <w:pPr>
        <w:autoSpaceDE w:val="0"/>
        <w:autoSpaceDN w:val="0"/>
        <w:spacing w:before="36"/>
        <w:ind w:left="220" w:firstLine="482" w:firstLineChars="200"/>
        <w:jc w:val="left"/>
        <w:outlineLvl w:val="3"/>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十一、合同争议及解决办法</w:t>
      </w:r>
    </w:p>
    <w:p w14:paraId="5F18DA0F">
      <w:pPr>
        <w:autoSpaceDE w:val="0"/>
        <w:autoSpaceDN w:val="0"/>
        <w:spacing w:before="146"/>
        <w:ind w:left="220" w:right="237" w:firstLine="480"/>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甲</w:t>
      </w:r>
      <w:r>
        <w:rPr>
          <w:rFonts w:hint="eastAsia" w:asciiTheme="minorEastAsia" w:hAnsiTheme="minorEastAsia" w:eastAsiaTheme="minorEastAsia" w:cstheme="minorEastAsia"/>
          <w:spacing w:val="-20"/>
          <w:kern w:val="0"/>
          <w:sz w:val="24"/>
        </w:rPr>
        <w:t>、</w:t>
      </w:r>
      <w:r>
        <w:rPr>
          <w:rFonts w:hint="eastAsia" w:asciiTheme="minorEastAsia" w:hAnsiTheme="minorEastAsia" w:eastAsiaTheme="minorEastAsia" w:cstheme="minorEastAsia"/>
          <w:kern w:val="0"/>
          <w:sz w:val="24"/>
        </w:rPr>
        <w:t>乙双方应本着友好合作</w:t>
      </w:r>
      <w:r>
        <w:rPr>
          <w:rFonts w:hint="eastAsia" w:asciiTheme="minorEastAsia" w:hAnsiTheme="minorEastAsia" w:eastAsiaTheme="minorEastAsia" w:cstheme="minorEastAsia"/>
          <w:spacing w:val="-22"/>
          <w:kern w:val="0"/>
          <w:sz w:val="24"/>
        </w:rPr>
        <w:t>、</w:t>
      </w:r>
      <w:r>
        <w:rPr>
          <w:rFonts w:hint="eastAsia" w:asciiTheme="minorEastAsia" w:hAnsiTheme="minorEastAsia" w:eastAsiaTheme="minorEastAsia" w:cstheme="minorEastAsia"/>
          <w:kern w:val="0"/>
          <w:sz w:val="24"/>
        </w:rPr>
        <w:t>积极协商的态度</w:t>
      </w:r>
      <w:r>
        <w:rPr>
          <w:rFonts w:hint="eastAsia" w:asciiTheme="minorEastAsia" w:hAnsiTheme="minorEastAsia" w:eastAsiaTheme="minorEastAsia" w:cstheme="minorEastAsia"/>
          <w:spacing w:val="-20"/>
          <w:kern w:val="0"/>
          <w:sz w:val="24"/>
        </w:rPr>
        <w:t>，</w:t>
      </w:r>
      <w:r>
        <w:rPr>
          <w:rFonts w:hint="eastAsia" w:asciiTheme="minorEastAsia" w:hAnsiTheme="minorEastAsia" w:eastAsiaTheme="minorEastAsia" w:cstheme="minorEastAsia"/>
          <w:kern w:val="0"/>
          <w:sz w:val="24"/>
        </w:rPr>
        <w:t>严格履行本合同</w:t>
      </w:r>
      <w:r>
        <w:rPr>
          <w:rFonts w:hint="eastAsia" w:asciiTheme="minorEastAsia" w:hAnsiTheme="minorEastAsia" w:eastAsiaTheme="minorEastAsia" w:cstheme="minorEastAsia"/>
          <w:spacing w:val="-20"/>
          <w:kern w:val="0"/>
          <w:sz w:val="24"/>
        </w:rPr>
        <w:t>，</w:t>
      </w:r>
      <w:r>
        <w:rPr>
          <w:rFonts w:hint="eastAsia" w:asciiTheme="minorEastAsia" w:hAnsiTheme="minorEastAsia" w:eastAsiaTheme="minorEastAsia" w:cstheme="minorEastAsia"/>
          <w:kern w:val="0"/>
          <w:sz w:val="24"/>
        </w:rPr>
        <w:t>因为不可预见因素或本合同未尽事宜发生争议</w:t>
      </w:r>
      <w:r>
        <w:rPr>
          <w:rFonts w:hint="eastAsia" w:asciiTheme="minorEastAsia" w:hAnsiTheme="minorEastAsia" w:eastAsiaTheme="minorEastAsia" w:cstheme="minorEastAsia"/>
          <w:spacing w:val="-27"/>
          <w:kern w:val="0"/>
          <w:sz w:val="24"/>
        </w:rPr>
        <w:t>，</w:t>
      </w:r>
      <w:r>
        <w:rPr>
          <w:rFonts w:hint="eastAsia" w:asciiTheme="minorEastAsia" w:hAnsiTheme="minorEastAsia" w:eastAsiaTheme="minorEastAsia" w:cstheme="minorEastAsia"/>
          <w:kern w:val="0"/>
          <w:sz w:val="24"/>
        </w:rPr>
        <w:t>由双方协商解决</w:t>
      </w:r>
      <w:r>
        <w:rPr>
          <w:rFonts w:hint="eastAsia" w:asciiTheme="minorEastAsia" w:hAnsiTheme="minorEastAsia" w:eastAsiaTheme="minorEastAsia" w:cstheme="minorEastAsia"/>
          <w:spacing w:val="-29"/>
          <w:kern w:val="0"/>
          <w:sz w:val="24"/>
        </w:rPr>
        <w:t>。</w:t>
      </w:r>
      <w:r>
        <w:rPr>
          <w:rFonts w:hint="eastAsia" w:asciiTheme="minorEastAsia" w:hAnsiTheme="minorEastAsia" w:eastAsiaTheme="minorEastAsia" w:cstheme="minorEastAsia"/>
          <w:kern w:val="0"/>
          <w:sz w:val="24"/>
        </w:rPr>
        <w:t>若协商解决不成</w:t>
      </w:r>
      <w:r>
        <w:rPr>
          <w:rFonts w:hint="eastAsia" w:asciiTheme="minorEastAsia" w:hAnsiTheme="minorEastAsia" w:eastAsiaTheme="minorEastAsia" w:cstheme="minorEastAsia"/>
          <w:spacing w:val="-24"/>
          <w:kern w:val="0"/>
          <w:sz w:val="24"/>
        </w:rPr>
        <w:t>，</w:t>
      </w:r>
      <w:r>
        <w:rPr>
          <w:rFonts w:hint="eastAsia" w:asciiTheme="minorEastAsia" w:hAnsiTheme="minorEastAsia" w:eastAsiaTheme="minorEastAsia" w:cstheme="minorEastAsia"/>
          <w:kern w:val="0"/>
          <w:sz w:val="24"/>
        </w:rPr>
        <w:t>可依法向三门峡市人民法院提起诉讼。</w:t>
      </w:r>
    </w:p>
    <w:p w14:paraId="3C28909B">
      <w:pPr>
        <w:autoSpaceDE w:val="0"/>
        <w:autoSpaceDN w:val="0"/>
        <w:spacing w:before="36"/>
        <w:ind w:left="220" w:firstLine="482" w:firstLineChars="200"/>
        <w:jc w:val="left"/>
        <w:outlineLvl w:val="3"/>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十二、其他</w:t>
      </w:r>
    </w:p>
    <w:p w14:paraId="3E96335C">
      <w:pPr>
        <w:autoSpaceDE w:val="0"/>
        <w:autoSpaceDN w:val="0"/>
        <w:spacing w:before="144"/>
        <w:ind w:left="7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1、对其它有关事项的具体协商意见另立条款，作为本协议书的附件。</w:t>
      </w:r>
    </w:p>
    <w:p w14:paraId="0510D4EC">
      <w:pPr>
        <w:autoSpaceDE w:val="0"/>
        <w:autoSpaceDN w:val="0"/>
        <w:spacing w:before="146"/>
        <w:ind w:left="284" w:firstLine="453" w:firstLineChars="189"/>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2、本协议书一式份，甲方执份，乙方执分，经双方负责人签字之日起生效。</w:t>
      </w:r>
    </w:p>
    <w:p w14:paraId="103D072B">
      <w:pPr>
        <w:autoSpaceDE w:val="0"/>
        <w:autoSpaceDN w:val="0"/>
        <w:spacing w:before="146"/>
        <w:ind w:left="220" w:right="117" w:firstLine="48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w:t>
      </w:r>
      <w:r>
        <w:rPr>
          <w:rFonts w:hint="eastAsia" w:asciiTheme="minorEastAsia" w:hAnsiTheme="minorEastAsia" w:eastAsiaTheme="minorEastAsia" w:cstheme="minorEastAsia"/>
          <w:spacing w:val="-41"/>
          <w:kern w:val="0"/>
          <w:sz w:val="24"/>
        </w:rPr>
        <w:t>、</w:t>
      </w:r>
      <w:r>
        <w:rPr>
          <w:rFonts w:hint="eastAsia" w:asciiTheme="minorEastAsia" w:hAnsiTheme="minorEastAsia" w:eastAsiaTheme="minorEastAsia" w:cstheme="minorEastAsia"/>
          <w:kern w:val="0"/>
          <w:sz w:val="24"/>
        </w:rPr>
        <w:t>其中任何一方若在协议履行过程中对协议有任何变更或修改</w:t>
      </w:r>
      <w:r>
        <w:rPr>
          <w:rFonts w:hint="eastAsia" w:asciiTheme="minorEastAsia" w:hAnsiTheme="minorEastAsia" w:eastAsiaTheme="minorEastAsia" w:cstheme="minorEastAsia"/>
          <w:spacing w:val="-39"/>
          <w:kern w:val="0"/>
          <w:sz w:val="24"/>
        </w:rPr>
        <w:t>，</w:t>
      </w:r>
      <w:r>
        <w:rPr>
          <w:rFonts w:hint="eastAsia" w:asciiTheme="minorEastAsia" w:hAnsiTheme="minorEastAsia" w:eastAsiaTheme="minorEastAsia" w:cstheme="minorEastAsia"/>
          <w:kern w:val="0"/>
          <w:sz w:val="24"/>
        </w:rPr>
        <w:t>应提前1个月通知对方，双方进行协商</w:t>
      </w:r>
      <w:r>
        <w:rPr>
          <w:rFonts w:hint="eastAsia" w:asciiTheme="minorEastAsia" w:hAnsiTheme="minorEastAsia" w:eastAsiaTheme="minorEastAsia" w:cstheme="minorEastAsia"/>
          <w:spacing w:val="-20"/>
          <w:kern w:val="0"/>
          <w:sz w:val="24"/>
        </w:rPr>
        <w:t>，</w:t>
      </w:r>
      <w:r>
        <w:rPr>
          <w:rFonts w:hint="eastAsia" w:asciiTheme="minorEastAsia" w:hAnsiTheme="minorEastAsia" w:eastAsiaTheme="minorEastAsia" w:cstheme="minorEastAsia"/>
          <w:kern w:val="0"/>
          <w:sz w:val="24"/>
        </w:rPr>
        <w:t>若单方面违反协议内容</w:t>
      </w:r>
      <w:r>
        <w:rPr>
          <w:rFonts w:hint="eastAsia" w:asciiTheme="minorEastAsia" w:hAnsiTheme="minorEastAsia" w:eastAsiaTheme="minorEastAsia" w:cstheme="minorEastAsia"/>
          <w:spacing w:val="-22"/>
          <w:kern w:val="0"/>
          <w:sz w:val="24"/>
        </w:rPr>
        <w:t>，</w:t>
      </w:r>
      <w:r>
        <w:rPr>
          <w:rFonts w:hint="eastAsia" w:asciiTheme="minorEastAsia" w:hAnsiTheme="minorEastAsia" w:eastAsiaTheme="minorEastAsia" w:cstheme="minorEastAsia"/>
          <w:kern w:val="0"/>
          <w:sz w:val="24"/>
        </w:rPr>
        <w:t>不履行其职责</w:t>
      </w:r>
      <w:r>
        <w:rPr>
          <w:rFonts w:hint="eastAsia" w:asciiTheme="minorEastAsia" w:hAnsiTheme="minorEastAsia" w:eastAsiaTheme="minorEastAsia" w:cstheme="minorEastAsia"/>
          <w:spacing w:val="-20"/>
          <w:kern w:val="0"/>
          <w:sz w:val="24"/>
        </w:rPr>
        <w:t>，</w:t>
      </w:r>
      <w:r>
        <w:rPr>
          <w:rFonts w:hint="eastAsia" w:asciiTheme="minorEastAsia" w:hAnsiTheme="minorEastAsia" w:eastAsiaTheme="minorEastAsia" w:cstheme="minorEastAsia"/>
          <w:kern w:val="0"/>
          <w:sz w:val="24"/>
        </w:rPr>
        <w:t>视作违约</w:t>
      </w:r>
      <w:r>
        <w:rPr>
          <w:rFonts w:hint="eastAsia" w:asciiTheme="minorEastAsia" w:hAnsiTheme="minorEastAsia" w:eastAsiaTheme="minorEastAsia" w:cstheme="minorEastAsia"/>
          <w:spacing w:val="-20"/>
          <w:kern w:val="0"/>
          <w:sz w:val="24"/>
        </w:rPr>
        <w:t>，</w:t>
      </w:r>
      <w:r>
        <w:rPr>
          <w:rFonts w:hint="eastAsia" w:asciiTheme="minorEastAsia" w:hAnsiTheme="minorEastAsia" w:eastAsiaTheme="minorEastAsia" w:cstheme="minorEastAsia"/>
          <w:kern w:val="0"/>
          <w:sz w:val="24"/>
        </w:rPr>
        <w:t>应根据协议内容承担违约责任。</w:t>
      </w:r>
    </w:p>
    <w:p w14:paraId="47E15625">
      <w:pPr>
        <w:autoSpaceDE w:val="0"/>
        <w:autoSpaceDN w:val="0"/>
        <w:spacing w:before="19"/>
        <w:ind w:left="22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（本页为合同签署页，无正文）</w:t>
      </w:r>
    </w:p>
    <w:p w14:paraId="677A8DF2">
      <w:pPr>
        <w:autoSpaceDE w:val="0"/>
        <w:autoSpaceDN w:val="0"/>
        <w:spacing w:before="12"/>
        <w:jc w:val="left"/>
        <w:rPr>
          <w:rFonts w:asciiTheme="minorEastAsia" w:hAnsiTheme="minorEastAsia" w:eastAsiaTheme="minorEastAsia" w:cstheme="minorEastAsia"/>
          <w:kern w:val="0"/>
          <w:sz w:val="24"/>
        </w:rPr>
      </w:pPr>
    </w:p>
    <w:p w14:paraId="78678DED">
      <w:pPr>
        <w:tabs>
          <w:tab w:val="left" w:pos="1179"/>
          <w:tab w:val="left" w:pos="3699"/>
          <w:tab w:val="left" w:pos="4659"/>
        </w:tabs>
        <w:autoSpaceDE w:val="0"/>
        <w:autoSpaceDN w:val="0"/>
        <w:ind w:left="220"/>
        <w:jc w:val="left"/>
        <w:rPr>
          <w:rFonts w:asciiTheme="minorEastAsia" w:hAnsiTheme="minorEastAsia" w:eastAsiaTheme="minorEastAsia" w:cstheme="minorEastAsia"/>
          <w:kern w:val="0"/>
          <w:sz w:val="24"/>
          <w:lang w:eastAsia="en-US"/>
        </w:rPr>
      </w:pPr>
      <w:r>
        <w:rPr>
          <w:rFonts w:hint="eastAsia" w:asciiTheme="minorEastAsia" w:hAnsiTheme="minorEastAsia" w:eastAsiaTheme="minorEastAsia" w:cstheme="minorEastAsia"/>
          <w:kern w:val="0"/>
          <w:sz w:val="24"/>
          <w:lang w:eastAsia="en-US"/>
        </w:rPr>
        <w:t>甲方：</w:t>
      </w:r>
      <w:r>
        <w:rPr>
          <w:rFonts w:hint="eastAsia" w:asciiTheme="minorEastAsia" w:hAnsiTheme="minorEastAsia" w:eastAsiaTheme="minorEastAsia" w:cstheme="minorEastAsia"/>
          <w:kern w:val="0"/>
          <w:sz w:val="24"/>
          <w:lang w:eastAsia="en-US"/>
        </w:rPr>
        <w:tab/>
      </w:r>
      <w:r>
        <w:rPr>
          <w:rFonts w:hint="eastAsia" w:asciiTheme="minorEastAsia" w:hAnsiTheme="minorEastAsia" w:eastAsiaTheme="minorEastAsia" w:cstheme="minorEastAsia"/>
          <w:kern w:val="0"/>
          <w:sz w:val="24"/>
          <w:lang w:eastAsia="en-US"/>
        </w:rPr>
        <w:t>（公章）</w:t>
      </w:r>
      <w:r>
        <w:rPr>
          <w:rFonts w:hint="eastAsia" w:asciiTheme="minorEastAsia" w:hAnsiTheme="minorEastAsia" w:eastAsiaTheme="minorEastAsia" w:cstheme="minorEastAsia"/>
          <w:kern w:val="0"/>
          <w:sz w:val="24"/>
          <w:lang w:eastAsia="en-US"/>
        </w:rPr>
        <w:tab/>
      </w:r>
      <w:r>
        <w:rPr>
          <w:rFonts w:hint="eastAsia" w:asciiTheme="minorEastAsia" w:hAnsiTheme="minorEastAsia" w:eastAsiaTheme="minorEastAsia" w:cstheme="minorEastAsia"/>
          <w:kern w:val="0"/>
          <w:sz w:val="24"/>
          <w:lang w:eastAsia="en-US"/>
        </w:rPr>
        <w:t>乙方：</w:t>
      </w:r>
      <w:r>
        <w:rPr>
          <w:rFonts w:hint="eastAsia" w:asciiTheme="minorEastAsia" w:hAnsiTheme="minorEastAsia" w:eastAsiaTheme="minorEastAsia" w:cstheme="minorEastAsia"/>
          <w:kern w:val="0"/>
          <w:sz w:val="24"/>
          <w:lang w:eastAsia="en-US"/>
        </w:rPr>
        <w:tab/>
      </w:r>
      <w:r>
        <w:rPr>
          <w:rFonts w:hint="eastAsia" w:asciiTheme="minorEastAsia" w:hAnsiTheme="minorEastAsia" w:eastAsiaTheme="minorEastAsia" w:cstheme="minorEastAsia"/>
          <w:kern w:val="0"/>
          <w:sz w:val="24"/>
          <w:lang w:eastAsia="en-US"/>
        </w:rPr>
        <w:t>（公章）</w:t>
      </w:r>
    </w:p>
    <w:p w14:paraId="7C633539">
      <w:pPr>
        <w:tabs>
          <w:tab w:val="left" w:pos="3579"/>
        </w:tabs>
        <w:autoSpaceDE w:val="0"/>
        <w:autoSpaceDN w:val="0"/>
        <w:spacing w:before="151"/>
        <w:ind w:left="22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法定代表人或其委托代理人：</w:t>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法定代表人或其委托代理人：</w:t>
      </w:r>
    </w:p>
    <w:p w14:paraId="32F3B3EB">
      <w:pPr>
        <w:tabs>
          <w:tab w:val="left" w:pos="3459"/>
        </w:tabs>
        <w:autoSpaceDE w:val="0"/>
        <w:autoSpaceDN w:val="0"/>
        <w:spacing w:before="154"/>
        <w:ind w:left="1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（签字）</w:t>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（签字）</w:t>
      </w:r>
    </w:p>
    <w:p w14:paraId="6D764919">
      <w:pPr>
        <w:tabs>
          <w:tab w:val="left" w:pos="699"/>
          <w:tab w:val="left" w:pos="3519"/>
          <w:tab w:val="left" w:pos="3639"/>
          <w:tab w:val="left" w:pos="3819"/>
          <w:tab w:val="left" w:pos="4179"/>
          <w:tab w:val="left" w:pos="4299"/>
          <w:tab w:val="left" w:pos="7119"/>
          <w:tab w:val="left" w:pos="7239"/>
          <w:tab w:val="left" w:pos="7359"/>
        </w:tabs>
        <w:autoSpaceDE w:val="0"/>
        <w:autoSpaceDN w:val="0"/>
        <w:spacing w:before="151"/>
        <w:ind w:left="220" w:right="2858"/>
        <w:jc w:val="left"/>
        <w:rPr>
          <w:rFonts w:asciiTheme="minorEastAsia" w:hAnsiTheme="minorEastAsia" w:eastAsiaTheme="minorEastAsia" w:cstheme="minorEastAsia"/>
          <w:kern w:val="0"/>
          <w:sz w:val="24"/>
          <w:u w:val="single"/>
        </w:rPr>
      </w:pPr>
      <w:r>
        <w:rPr>
          <w:rFonts w:hint="eastAsia" w:asciiTheme="minorEastAsia" w:hAnsiTheme="minorEastAsia" w:eastAsiaTheme="minorEastAsia" w:cstheme="minorEastAsia"/>
          <w:kern w:val="0"/>
          <w:sz w:val="24"/>
        </w:rPr>
        <w:t>组织机构代码：</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组织机构代码：</w:t>
      </w:r>
      <w:r>
        <w:rPr>
          <w:rFonts w:hint="eastAsia" w:asciiTheme="minorEastAsia" w:hAnsiTheme="minorEastAsia" w:eastAsiaTheme="minorEastAsia" w:cstheme="minorEastAsia"/>
          <w:kern w:val="0"/>
          <w:sz w:val="24"/>
          <w:u w:val="single"/>
        </w:rPr>
        <w:tab/>
      </w:r>
    </w:p>
    <w:p w14:paraId="2FCCFC52">
      <w:pPr>
        <w:tabs>
          <w:tab w:val="left" w:pos="699"/>
          <w:tab w:val="left" w:pos="3519"/>
          <w:tab w:val="left" w:pos="3639"/>
          <w:tab w:val="left" w:pos="3819"/>
          <w:tab w:val="left" w:pos="4179"/>
          <w:tab w:val="left" w:pos="4299"/>
          <w:tab w:val="left" w:pos="7119"/>
          <w:tab w:val="left" w:pos="7239"/>
          <w:tab w:val="left" w:pos="7359"/>
        </w:tabs>
        <w:autoSpaceDE w:val="0"/>
        <w:autoSpaceDN w:val="0"/>
        <w:spacing w:before="151"/>
        <w:ind w:left="220" w:right="2858"/>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地</w:t>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 xml:space="preserve"> 址：</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地</w:t>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址：</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ab/>
      </w:r>
    </w:p>
    <w:p w14:paraId="08FEF4AC">
      <w:pPr>
        <w:tabs>
          <w:tab w:val="left" w:pos="699"/>
          <w:tab w:val="left" w:pos="3519"/>
          <w:tab w:val="left" w:pos="3639"/>
          <w:tab w:val="left" w:pos="3819"/>
          <w:tab w:val="left" w:pos="4179"/>
          <w:tab w:val="left" w:pos="4299"/>
          <w:tab w:val="left" w:pos="7119"/>
          <w:tab w:val="left" w:pos="7239"/>
          <w:tab w:val="left" w:pos="7359"/>
        </w:tabs>
        <w:autoSpaceDE w:val="0"/>
        <w:autoSpaceDN w:val="0"/>
        <w:spacing w:before="151"/>
        <w:ind w:left="220" w:right="2858"/>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邮政编码：</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邮政编码：</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ab/>
      </w:r>
    </w:p>
    <w:p w14:paraId="6F695738">
      <w:pPr>
        <w:tabs>
          <w:tab w:val="left" w:pos="699"/>
          <w:tab w:val="left" w:pos="3519"/>
          <w:tab w:val="left" w:pos="3639"/>
          <w:tab w:val="left" w:pos="3819"/>
          <w:tab w:val="left" w:pos="4179"/>
          <w:tab w:val="left" w:pos="4299"/>
          <w:tab w:val="left" w:pos="7119"/>
          <w:tab w:val="left" w:pos="7239"/>
          <w:tab w:val="left" w:pos="7359"/>
        </w:tabs>
        <w:autoSpaceDE w:val="0"/>
        <w:autoSpaceDN w:val="0"/>
        <w:spacing w:before="151"/>
        <w:ind w:left="220" w:right="2858"/>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电</w:t>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话：</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电</w:t>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话：</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p>
    <w:p w14:paraId="68D59EEA">
      <w:pPr>
        <w:tabs>
          <w:tab w:val="left" w:pos="699"/>
          <w:tab w:val="left" w:pos="3519"/>
          <w:tab w:val="left" w:pos="3639"/>
          <w:tab w:val="left" w:pos="3819"/>
          <w:tab w:val="left" w:pos="4179"/>
          <w:tab w:val="left" w:pos="4299"/>
          <w:tab w:val="left" w:pos="7119"/>
          <w:tab w:val="left" w:pos="7239"/>
          <w:tab w:val="left" w:pos="7359"/>
        </w:tabs>
        <w:autoSpaceDE w:val="0"/>
        <w:autoSpaceDN w:val="0"/>
        <w:spacing w:before="151"/>
        <w:ind w:left="220" w:right="2858"/>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传</w:t>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真：</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传</w:t>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真：</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p>
    <w:p w14:paraId="7D3F3332">
      <w:pPr>
        <w:tabs>
          <w:tab w:val="left" w:pos="699"/>
          <w:tab w:val="left" w:pos="3519"/>
          <w:tab w:val="left" w:pos="3639"/>
          <w:tab w:val="left" w:pos="3819"/>
          <w:tab w:val="left" w:pos="4179"/>
          <w:tab w:val="left" w:pos="4299"/>
          <w:tab w:val="left" w:pos="7119"/>
          <w:tab w:val="left" w:pos="7239"/>
          <w:tab w:val="left" w:pos="7359"/>
        </w:tabs>
        <w:autoSpaceDE w:val="0"/>
        <w:autoSpaceDN w:val="0"/>
        <w:spacing w:before="151"/>
        <w:ind w:left="220" w:right="2858"/>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电子信箱：</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 xml:space="preserve">电子信箱： </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p>
    <w:p w14:paraId="40688EDD">
      <w:pPr>
        <w:tabs>
          <w:tab w:val="left" w:pos="699"/>
          <w:tab w:val="left" w:pos="3519"/>
          <w:tab w:val="left" w:pos="3639"/>
          <w:tab w:val="left" w:pos="3819"/>
          <w:tab w:val="left" w:pos="4179"/>
          <w:tab w:val="left" w:pos="4299"/>
          <w:tab w:val="left" w:pos="7119"/>
          <w:tab w:val="left" w:pos="7239"/>
          <w:tab w:val="left" w:pos="7359"/>
        </w:tabs>
        <w:autoSpaceDE w:val="0"/>
        <w:autoSpaceDN w:val="0"/>
        <w:spacing w:before="151"/>
        <w:ind w:left="220" w:right="2858"/>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开户银行：</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 xml:space="preserve">开户银行： </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rPr>
        <w:tab/>
      </w:r>
    </w:p>
    <w:p w14:paraId="5C1E970E">
      <w:pPr>
        <w:ind w:firstLine="240" w:firstLineChars="100"/>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kern w:val="0"/>
          <w:sz w:val="24"/>
        </w:rPr>
        <w:t>账</w:t>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号：</w:t>
      </w:r>
      <w:r>
        <w:rPr>
          <w:rFonts w:hint="eastAsia" w:asciiTheme="minorEastAsia" w:hAnsiTheme="minorEastAsia" w:eastAsiaTheme="minorEastAsia" w:cstheme="minorEastAsia"/>
          <w:kern w:val="0"/>
          <w:sz w:val="24"/>
          <w:u w:val="single"/>
        </w:rPr>
        <w:tab/>
      </w:r>
      <w:r>
        <w:rPr>
          <w:rFonts w:hint="eastAsia" w:asciiTheme="minorEastAsia" w:hAnsiTheme="minorEastAsia" w:eastAsiaTheme="minorEastAsia" w:cstheme="minorEastAsia"/>
          <w:kern w:val="0"/>
          <w:sz w:val="24"/>
          <w:u w:val="single"/>
        </w:rPr>
        <w:t xml:space="preserve">               </w:t>
      </w:r>
      <w:r>
        <w:rPr>
          <w:rFonts w:hint="eastAsia" w:asciiTheme="minorEastAsia" w:hAnsiTheme="minorEastAsia" w:eastAsiaTheme="minorEastAsia" w:cstheme="minorEastAsia"/>
          <w:kern w:val="0"/>
          <w:sz w:val="24"/>
        </w:rPr>
        <w:t xml:space="preserve"> 账</w:t>
      </w:r>
      <w:r>
        <w:rPr>
          <w:rFonts w:hint="eastAsia" w:asciiTheme="minorEastAsia" w:hAnsiTheme="minorEastAsia" w:eastAsiaTheme="minorEastAsia" w:cstheme="minorEastAsia"/>
          <w:kern w:val="0"/>
          <w:sz w:val="24"/>
        </w:rPr>
        <w:tab/>
      </w:r>
      <w:r>
        <w:rPr>
          <w:rFonts w:hint="eastAsia" w:asciiTheme="minorEastAsia" w:hAnsiTheme="minorEastAsia" w:eastAsiaTheme="minorEastAsia" w:cstheme="minorEastAsia"/>
          <w:kern w:val="0"/>
          <w:sz w:val="24"/>
        </w:rPr>
        <w:t>号：</w:t>
      </w:r>
      <w:r>
        <w:rPr>
          <w:rFonts w:hint="eastAsia" w:asciiTheme="minorEastAsia" w:hAnsiTheme="minorEastAsia" w:eastAsiaTheme="minorEastAsia" w:cstheme="minorEastAsia"/>
          <w:kern w:val="0"/>
          <w:sz w:val="24"/>
          <w:u w:val="single"/>
        </w:rPr>
        <w:t xml:space="preserve">                  </w:t>
      </w:r>
      <w:r>
        <w:rPr>
          <w:rFonts w:hint="eastAsia" w:asciiTheme="minorEastAsia" w:hAnsiTheme="minorEastAsia" w:eastAsiaTheme="minorEastAsia" w:cstheme="minorEastAsia"/>
          <w:kern w:val="0"/>
          <w:sz w:val="24"/>
          <w:u w:val="single"/>
        </w:rPr>
        <w:tab/>
      </w:r>
    </w:p>
    <w:p w14:paraId="1F8D87EB">
      <w:pPr>
        <w:spacing w:line="360" w:lineRule="auto"/>
        <w:jc w:val="center"/>
        <w:rPr>
          <w:rFonts w:ascii="宋体"/>
          <w:b/>
          <w:bCs/>
          <w:color w:val="000000"/>
          <w:sz w:val="24"/>
        </w:rPr>
      </w:pPr>
    </w:p>
    <w:p w14:paraId="6460974D">
      <w:pPr>
        <w:spacing w:line="360" w:lineRule="auto"/>
        <w:jc w:val="center"/>
        <w:rPr>
          <w:rFonts w:ascii="宋体"/>
          <w:b/>
          <w:bCs/>
          <w:color w:val="000000"/>
          <w:sz w:val="24"/>
        </w:rPr>
      </w:pPr>
    </w:p>
    <w:p w14:paraId="4B00775D">
      <w:pPr>
        <w:pStyle w:val="8"/>
      </w:pPr>
    </w:p>
    <w:p w14:paraId="5E5B32E5"/>
    <w:p w14:paraId="431BB83F">
      <w:pPr>
        <w:pStyle w:val="13"/>
        <w:ind w:firstLine="211"/>
      </w:pPr>
    </w:p>
    <w:p w14:paraId="60F7E18D">
      <w:pPr>
        <w:pStyle w:val="8"/>
      </w:pPr>
    </w:p>
    <w:p w14:paraId="78517BFA"/>
    <w:p w14:paraId="51742EC5">
      <w:pPr>
        <w:pStyle w:val="13"/>
        <w:ind w:firstLine="211"/>
      </w:pPr>
    </w:p>
    <w:p w14:paraId="45A45248">
      <w:pPr>
        <w:pStyle w:val="8"/>
      </w:pPr>
    </w:p>
    <w:p w14:paraId="6D7E232D"/>
    <w:p w14:paraId="4B4CAD4D">
      <w:pPr>
        <w:pStyle w:val="13"/>
        <w:ind w:firstLine="211"/>
      </w:pPr>
    </w:p>
    <w:p w14:paraId="441CBF0D">
      <w:pPr>
        <w:pStyle w:val="8"/>
      </w:pPr>
    </w:p>
    <w:p w14:paraId="54DF2980">
      <w:pPr>
        <w:tabs>
          <w:tab w:val="left" w:pos="8280"/>
        </w:tabs>
        <w:spacing w:line="360" w:lineRule="auto"/>
        <w:rPr>
          <w:rFonts w:ascii="宋体" w:hAnsi="宋体" w:cs="宋体"/>
          <w:b/>
          <w:sz w:val="36"/>
          <w:szCs w:val="36"/>
          <w:lang w:bidi="ar"/>
        </w:rPr>
      </w:pPr>
    </w:p>
    <w:p w14:paraId="49FE0339">
      <w:pPr>
        <w:tabs>
          <w:tab w:val="left" w:pos="8280"/>
        </w:tabs>
        <w:spacing w:line="360" w:lineRule="auto"/>
        <w:jc w:val="center"/>
        <w:rPr>
          <w:rFonts w:ascii="宋体" w:hAnsi="宋体" w:cs="宋体"/>
          <w:b/>
          <w:sz w:val="36"/>
          <w:szCs w:val="36"/>
        </w:rPr>
      </w:pPr>
      <w:r>
        <w:rPr>
          <w:rFonts w:hint="eastAsia" w:ascii="宋体" w:hAnsi="宋体" w:cs="宋体"/>
          <w:b/>
          <w:sz w:val="36"/>
          <w:szCs w:val="36"/>
          <w:lang w:bidi="ar"/>
        </w:rPr>
        <w:t>第六章  响应文件主要内容和格式</w:t>
      </w:r>
    </w:p>
    <w:p w14:paraId="12155C92">
      <w:pPr>
        <w:tabs>
          <w:tab w:val="left" w:pos="8280"/>
        </w:tabs>
        <w:spacing w:line="360" w:lineRule="auto"/>
        <w:rPr>
          <w:rFonts w:ascii="宋体" w:hAnsi="宋体" w:cs="宋体"/>
          <w:b/>
          <w:sz w:val="32"/>
          <w:szCs w:val="32"/>
        </w:rPr>
      </w:pPr>
    </w:p>
    <w:p w14:paraId="79B9F2DB">
      <w:pPr>
        <w:tabs>
          <w:tab w:val="left" w:pos="450"/>
          <w:tab w:val="left" w:pos="8280"/>
        </w:tabs>
        <w:spacing w:line="360" w:lineRule="auto"/>
        <w:jc w:val="center"/>
        <w:rPr>
          <w:rFonts w:ascii="宋体" w:hAnsi="宋体" w:cs="宋体"/>
          <w:b/>
          <w:sz w:val="40"/>
          <w:szCs w:val="40"/>
        </w:rPr>
      </w:pPr>
      <w:r>
        <w:rPr>
          <w:rFonts w:hint="eastAsia" w:hAnsi="宋体"/>
          <w:b/>
          <w:bCs/>
          <w:sz w:val="48"/>
          <w:szCs w:val="48"/>
        </w:rPr>
        <w:t>三门峡市“十五五”城市更新和城乡人居环境建设规划项目</w:t>
      </w:r>
    </w:p>
    <w:p w14:paraId="2A192E7C">
      <w:pPr>
        <w:tabs>
          <w:tab w:val="left" w:pos="450"/>
          <w:tab w:val="left" w:pos="8280"/>
        </w:tabs>
        <w:spacing w:line="360" w:lineRule="auto"/>
        <w:jc w:val="center"/>
        <w:rPr>
          <w:rFonts w:ascii="宋体" w:hAnsi="宋体" w:cs="宋体"/>
          <w:b/>
          <w:sz w:val="44"/>
          <w:szCs w:val="44"/>
        </w:rPr>
      </w:pPr>
    </w:p>
    <w:p w14:paraId="16E0E161"/>
    <w:p w14:paraId="1C7E9427"/>
    <w:p w14:paraId="42026EE9">
      <w:pPr>
        <w:tabs>
          <w:tab w:val="left" w:pos="450"/>
          <w:tab w:val="left" w:pos="8280"/>
        </w:tabs>
        <w:spacing w:line="360" w:lineRule="auto"/>
        <w:jc w:val="center"/>
        <w:rPr>
          <w:rFonts w:ascii="宋体" w:hAnsi="宋体" w:cs="宋体"/>
          <w:b/>
          <w:sz w:val="72"/>
          <w:szCs w:val="72"/>
          <w:lang w:bidi="ar"/>
        </w:rPr>
      </w:pPr>
    </w:p>
    <w:p w14:paraId="5AC2FC65">
      <w:pPr>
        <w:tabs>
          <w:tab w:val="left" w:pos="450"/>
          <w:tab w:val="left" w:pos="8280"/>
        </w:tabs>
        <w:spacing w:line="360" w:lineRule="auto"/>
        <w:jc w:val="center"/>
        <w:rPr>
          <w:rFonts w:ascii="宋体" w:hAnsi="宋体" w:cs="宋体"/>
          <w:b/>
          <w:sz w:val="72"/>
          <w:szCs w:val="72"/>
          <w:lang w:bidi="ar"/>
        </w:rPr>
      </w:pPr>
    </w:p>
    <w:p w14:paraId="0A2D558B">
      <w:pPr>
        <w:tabs>
          <w:tab w:val="left" w:pos="450"/>
          <w:tab w:val="left" w:pos="8280"/>
        </w:tabs>
        <w:spacing w:line="360" w:lineRule="auto"/>
        <w:jc w:val="center"/>
        <w:rPr>
          <w:rFonts w:ascii="宋体" w:hAnsi="宋体" w:cs="宋体"/>
          <w:b/>
          <w:sz w:val="72"/>
          <w:szCs w:val="72"/>
        </w:rPr>
      </w:pPr>
      <w:r>
        <w:rPr>
          <w:rFonts w:hint="eastAsia" w:ascii="宋体" w:hAnsi="宋体" w:cs="宋体"/>
          <w:b/>
          <w:sz w:val="72"/>
          <w:szCs w:val="72"/>
          <w:lang w:bidi="ar"/>
        </w:rPr>
        <w:t>响应文件</w:t>
      </w:r>
    </w:p>
    <w:p w14:paraId="63CD259C">
      <w:pPr>
        <w:tabs>
          <w:tab w:val="left" w:pos="8280"/>
        </w:tabs>
        <w:spacing w:line="360" w:lineRule="auto"/>
        <w:jc w:val="center"/>
        <w:rPr>
          <w:rFonts w:ascii="宋体" w:hAnsi="宋体" w:cs="宋体"/>
          <w:b/>
          <w:sz w:val="32"/>
          <w:szCs w:val="32"/>
        </w:rPr>
      </w:pPr>
    </w:p>
    <w:p w14:paraId="2FDD03B4">
      <w:pPr>
        <w:ind w:firstLine="3915" w:firstLineChars="1300"/>
        <w:rPr>
          <w:rFonts w:ascii="宋体" w:hAnsi="宋体"/>
          <w:b/>
          <w:sz w:val="30"/>
          <w:szCs w:val="30"/>
        </w:rPr>
      </w:pPr>
      <w:r>
        <w:rPr>
          <w:rFonts w:hint="eastAsia" w:ascii="宋体" w:hAnsi="宋体"/>
          <w:b/>
          <w:sz w:val="30"/>
          <w:szCs w:val="30"/>
        </w:rPr>
        <w:t>项目编号：</w:t>
      </w:r>
    </w:p>
    <w:p w14:paraId="5643AFEA">
      <w:pPr>
        <w:ind w:firstLine="2409" w:firstLineChars="800"/>
        <w:rPr>
          <w:rFonts w:ascii="宋体" w:hAnsi="宋体"/>
          <w:b/>
          <w:sz w:val="30"/>
          <w:szCs w:val="30"/>
        </w:rPr>
      </w:pPr>
      <w:r>
        <w:rPr>
          <w:rFonts w:hint="eastAsia" w:ascii="宋体" w:hAnsi="宋体"/>
          <w:b/>
          <w:sz w:val="30"/>
          <w:szCs w:val="30"/>
        </w:rPr>
        <w:t xml:space="preserve">                </w:t>
      </w:r>
    </w:p>
    <w:p w14:paraId="0A9A0E52">
      <w:pPr>
        <w:tabs>
          <w:tab w:val="left" w:pos="765"/>
          <w:tab w:val="left" w:pos="8280"/>
        </w:tabs>
        <w:spacing w:line="360" w:lineRule="auto"/>
        <w:rPr>
          <w:rFonts w:ascii="宋体" w:hAnsi="宋体" w:cs="宋体"/>
          <w:b/>
          <w:sz w:val="28"/>
          <w:szCs w:val="28"/>
          <w:lang w:bidi="ar"/>
        </w:rPr>
      </w:pPr>
    </w:p>
    <w:p w14:paraId="2A54DA35">
      <w:pPr>
        <w:tabs>
          <w:tab w:val="left" w:pos="765"/>
          <w:tab w:val="left" w:pos="8280"/>
        </w:tabs>
        <w:spacing w:line="360" w:lineRule="auto"/>
        <w:rPr>
          <w:rFonts w:ascii="宋体" w:hAnsi="宋体" w:cs="宋体"/>
          <w:b/>
          <w:sz w:val="28"/>
          <w:szCs w:val="28"/>
          <w:lang w:bidi="ar"/>
        </w:rPr>
      </w:pPr>
    </w:p>
    <w:p w14:paraId="02E151A6">
      <w:pPr>
        <w:tabs>
          <w:tab w:val="left" w:pos="765"/>
          <w:tab w:val="left" w:pos="8280"/>
        </w:tabs>
        <w:spacing w:line="360" w:lineRule="auto"/>
        <w:rPr>
          <w:rFonts w:ascii="宋体" w:hAnsi="宋体" w:cs="宋体"/>
          <w:b/>
          <w:sz w:val="28"/>
          <w:szCs w:val="28"/>
          <w:lang w:bidi="ar"/>
        </w:rPr>
      </w:pPr>
    </w:p>
    <w:p w14:paraId="3C0579F2">
      <w:pPr>
        <w:tabs>
          <w:tab w:val="left" w:pos="765"/>
          <w:tab w:val="left" w:pos="8280"/>
        </w:tabs>
        <w:spacing w:line="360" w:lineRule="auto"/>
        <w:rPr>
          <w:rFonts w:ascii="宋体" w:hAnsi="宋体" w:cs="宋体"/>
          <w:b/>
          <w:sz w:val="28"/>
          <w:szCs w:val="28"/>
          <w:lang w:bidi="ar"/>
        </w:rPr>
      </w:pPr>
    </w:p>
    <w:p w14:paraId="2FB4BB4F">
      <w:pPr>
        <w:tabs>
          <w:tab w:val="left" w:pos="765"/>
          <w:tab w:val="left" w:pos="8280"/>
        </w:tabs>
        <w:spacing w:line="360" w:lineRule="auto"/>
        <w:ind w:firstLine="2502" w:firstLineChars="890"/>
        <w:rPr>
          <w:rFonts w:ascii="宋体" w:hAnsi="宋体" w:cs="宋体"/>
          <w:b/>
          <w:sz w:val="28"/>
          <w:szCs w:val="28"/>
        </w:rPr>
      </w:pPr>
      <w:r>
        <w:rPr>
          <w:rFonts w:hint="eastAsia" w:ascii="宋体" w:hAnsi="宋体" w:cs="宋体"/>
          <w:b/>
          <w:sz w:val="28"/>
          <w:szCs w:val="28"/>
          <w:lang w:bidi="ar"/>
        </w:rPr>
        <w:t>响应供应商（公章）：</w:t>
      </w:r>
    </w:p>
    <w:p w14:paraId="28D90326">
      <w:pPr>
        <w:tabs>
          <w:tab w:val="left" w:pos="765"/>
          <w:tab w:val="left" w:pos="8280"/>
        </w:tabs>
        <w:spacing w:line="360" w:lineRule="auto"/>
        <w:ind w:firstLine="2502" w:firstLineChars="890"/>
        <w:rPr>
          <w:rFonts w:ascii="宋体" w:hAnsi="宋体" w:cs="宋体"/>
          <w:b/>
          <w:sz w:val="28"/>
          <w:szCs w:val="28"/>
        </w:rPr>
      </w:pPr>
      <w:r>
        <w:rPr>
          <w:rFonts w:hint="eastAsia" w:ascii="宋体" w:hAnsi="宋体" w:cs="宋体"/>
          <w:b/>
          <w:sz w:val="28"/>
          <w:szCs w:val="28"/>
          <w:lang w:bidi="ar"/>
        </w:rPr>
        <w:t>法定代表人（签章）：</w:t>
      </w:r>
    </w:p>
    <w:p w14:paraId="1F00D521">
      <w:pPr>
        <w:tabs>
          <w:tab w:val="left" w:pos="8280"/>
        </w:tabs>
        <w:spacing w:line="360" w:lineRule="auto"/>
        <w:ind w:firstLine="2502" w:firstLineChars="890"/>
        <w:rPr>
          <w:rFonts w:ascii="宋体" w:hAnsi="宋体" w:cs="宋体"/>
          <w:b/>
          <w:sz w:val="28"/>
          <w:szCs w:val="28"/>
          <w:lang w:bidi="ar"/>
        </w:rPr>
      </w:pPr>
      <w:r>
        <w:rPr>
          <w:rFonts w:hint="eastAsia" w:ascii="宋体" w:hAnsi="宋体" w:cs="宋体"/>
          <w:b/>
          <w:sz w:val="28"/>
          <w:szCs w:val="28"/>
          <w:lang w:bidi="ar"/>
        </w:rPr>
        <w:t>日  期：    年   月   日</w:t>
      </w:r>
    </w:p>
    <w:p w14:paraId="14E73205">
      <w:pPr>
        <w:spacing w:line="360" w:lineRule="auto"/>
        <w:rPr>
          <w:rFonts w:ascii="宋体" w:hAnsi="宋体"/>
          <w:b/>
          <w:sz w:val="32"/>
          <w:szCs w:val="32"/>
          <w:lang w:val="zh-CN" w:bidi="ar"/>
        </w:rPr>
        <w:sectPr>
          <w:footerReference r:id="rId4" w:type="default"/>
          <w:pgSz w:w="11915" w:h="16840"/>
          <w:pgMar w:top="1021" w:right="964" w:bottom="1021" w:left="964" w:header="964" w:footer="851" w:gutter="0"/>
          <w:cols w:space="720" w:num="1"/>
          <w:docGrid w:type="lines" w:linePitch="312" w:charSpace="0"/>
        </w:sectPr>
      </w:pPr>
    </w:p>
    <w:p w14:paraId="39E7B56F">
      <w:pPr>
        <w:spacing w:line="360" w:lineRule="auto"/>
        <w:jc w:val="center"/>
        <w:rPr>
          <w:rFonts w:ascii="宋体" w:hAnsi="宋体" w:cs="宋体"/>
          <w:b/>
          <w:color w:val="000000"/>
          <w:sz w:val="44"/>
          <w:szCs w:val="44"/>
          <w:lang w:bidi="ar"/>
        </w:rPr>
      </w:pPr>
      <w:r>
        <w:rPr>
          <w:rFonts w:hint="eastAsia" w:ascii="宋体" w:hAnsi="宋体" w:cs="宋体"/>
          <w:b/>
          <w:color w:val="000000"/>
          <w:sz w:val="44"/>
          <w:szCs w:val="44"/>
          <w:lang w:bidi="ar"/>
        </w:rPr>
        <w:t>目  录</w:t>
      </w:r>
    </w:p>
    <w:p w14:paraId="3B3F291B">
      <w:pPr>
        <w:pStyle w:val="4"/>
        <w:rPr>
          <w:sz w:val="28"/>
          <w:szCs w:val="28"/>
          <w:lang w:bidi="ar"/>
        </w:rPr>
      </w:pPr>
      <w:r>
        <w:rPr>
          <w:rFonts w:hint="eastAsia"/>
          <w:sz w:val="28"/>
          <w:szCs w:val="28"/>
          <w:lang w:bidi="ar"/>
        </w:rPr>
        <w:t>（自拟）</w:t>
      </w:r>
    </w:p>
    <w:p w14:paraId="107251D1">
      <w:pPr>
        <w:spacing w:line="360" w:lineRule="auto"/>
        <w:ind w:firstLine="480" w:firstLineChars="200"/>
        <w:rPr>
          <w:rFonts w:ascii="宋体" w:hAnsi="宋体" w:cs="宋体"/>
          <w:color w:val="000000"/>
          <w:sz w:val="24"/>
          <w:lang w:bidi="ar"/>
        </w:rPr>
      </w:pPr>
    </w:p>
    <w:p w14:paraId="2EDA03DE">
      <w:pPr>
        <w:ind w:firstLine="560" w:firstLineChars="200"/>
        <w:rPr>
          <w:sz w:val="28"/>
          <w:szCs w:val="28"/>
        </w:rPr>
      </w:pPr>
    </w:p>
    <w:p w14:paraId="38D725F7">
      <w:pPr>
        <w:spacing w:line="360" w:lineRule="auto"/>
        <w:rPr>
          <w:rFonts w:ascii="宋体" w:hAnsi="宋体" w:cs="宋体"/>
          <w:color w:val="000000"/>
          <w:sz w:val="24"/>
        </w:rPr>
      </w:pPr>
    </w:p>
    <w:p w14:paraId="28BE708E">
      <w:pPr>
        <w:spacing w:line="360" w:lineRule="auto"/>
        <w:rPr>
          <w:rFonts w:ascii="宋体" w:hAnsi="宋体" w:cs="宋体"/>
          <w:b/>
          <w:color w:val="000000"/>
          <w:sz w:val="28"/>
          <w:szCs w:val="28"/>
        </w:rPr>
      </w:pPr>
    </w:p>
    <w:p w14:paraId="268D77A3">
      <w:pPr>
        <w:jc w:val="center"/>
        <w:rPr>
          <w:b/>
          <w:bCs/>
          <w:sz w:val="32"/>
          <w:szCs w:val="32"/>
        </w:rPr>
      </w:pPr>
      <w:r>
        <w:rPr>
          <w:rFonts w:hint="eastAsia" w:ascii="宋体" w:hAnsi="宋体"/>
          <w:b/>
          <w:color w:val="000000"/>
          <w:sz w:val="28"/>
          <w:szCs w:val="28"/>
          <w:lang w:bidi="ar"/>
        </w:rPr>
        <w:br w:type="page"/>
      </w:r>
      <w:r>
        <w:rPr>
          <w:rFonts w:hint="eastAsia"/>
          <w:b/>
          <w:bCs/>
          <w:sz w:val="32"/>
          <w:szCs w:val="32"/>
        </w:rPr>
        <w:t>一、法定代表人身份证明书</w:t>
      </w:r>
    </w:p>
    <w:p w14:paraId="73029793">
      <w:pPr>
        <w:spacing w:line="440" w:lineRule="exact"/>
        <w:rPr>
          <w:b/>
          <w:bCs/>
          <w:sz w:val="32"/>
          <w:szCs w:val="32"/>
        </w:rPr>
      </w:pPr>
    </w:p>
    <w:p w14:paraId="2728ABEE">
      <w:pPr>
        <w:spacing w:line="480" w:lineRule="auto"/>
        <w:ind w:firstLine="612"/>
        <w:rPr>
          <w:sz w:val="24"/>
        </w:rPr>
      </w:pPr>
      <w:r>
        <w:rPr>
          <w:rFonts w:hint="eastAsia" w:ascii="宋体" w:hAnsi="宋体" w:cs="宋体"/>
          <w:sz w:val="24"/>
        </w:rPr>
        <w:t>单位名称：</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14:paraId="0FA5DB32">
      <w:pPr>
        <w:spacing w:line="480" w:lineRule="auto"/>
        <w:ind w:firstLine="610"/>
        <w:rPr>
          <w:sz w:val="24"/>
          <w:u w:val="single"/>
        </w:rPr>
      </w:pPr>
      <w:r>
        <w:rPr>
          <w:rFonts w:hint="eastAsia" w:ascii="宋体" w:hAnsi="宋体" w:cs="宋体"/>
          <w:sz w:val="24"/>
        </w:rPr>
        <w:t>单位性质：</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14:paraId="54754EEB">
      <w:pPr>
        <w:spacing w:line="480" w:lineRule="auto"/>
        <w:ind w:firstLine="610"/>
        <w:rPr>
          <w:rFonts w:ascii="宋体"/>
          <w:sz w:val="24"/>
          <w:u w:val="single"/>
        </w:rPr>
      </w:pPr>
      <w:r>
        <w:rPr>
          <w:rFonts w:hint="eastAsia" w:ascii="宋体" w:hAnsi="宋体" w:cs="宋体"/>
          <w:sz w:val="24"/>
        </w:rPr>
        <w:t>地    址：</w:t>
      </w:r>
      <w:r>
        <w:rPr>
          <w:sz w:val="24"/>
          <w:u w:val="single"/>
        </w:rPr>
        <w:tab/>
      </w:r>
      <w:r>
        <w:rPr>
          <w:sz w:val="24"/>
          <w:u w:val="single"/>
        </w:rPr>
        <w:tab/>
      </w:r>
      <w:r>
        <w:rPr>
          <w:rFonts w:ascii="宋体"/>
          <w:sz w:val="24"/>
          <w:u w:val="single"/>
        </w:rPr>
        <w:tab/>
      </w:r>
      <w:r>
        <w:rPr>
          <w:rFonts w:ascii="宋体"/>
          <w:sz w:val="24"/>
          <w:u w:val="single"/>
        </w:rPr>
        <w:tab/>
      </w:r>
      <w:r>
        <w:rPr>
          <w:rFonts w:ascii="宋体"/>
          <w:sz w:val="24"/>
          <w:u w:val="single"/>
        </w:rPr>
        <w:tab/>
      </w:r>
      <w:r>
        <w:rPr>
          <w:rFonts w:ascii="宋体"/>
          <w:sz w:val="24"/>
          <w:u w:val="single"/>
        </w:rPr>
        <w:tab/>
      </w:r>
      <w:r>
        <w:rPr>
          <w:rFonts w:ascii="宋体"/>
          <w:sz w:val="24"/>
          <w:u w:val="single"/>
        </w:rPr>
        <w:tab/>
      </w:r>
      <w:r>
        <w:rPr>
          <w:rFonts w:ascii="宋体"/>
          <w:sz w:val="24"/>
          <w:u w:val="single"/>
        </w:rPr>
        <w:tab/>
      </w:r>
      <w:r>
        <w:rPr>
          <w:rFonts w:hint="eastAsia" w:ascii="宋体"/>
          <w:sz w:val="24"/>
          <w:u w:val="single"/>
        </w:rPr>
        <w:t xml:space="preserve">       </w:t>
      </w:r>
    </w:p>
    <w:p w14:paraId="0CCBCCAA">
      <w:pPr>
        <w:spacing w:line="480" w:lineRule="auto"/>
        <w:ind w:firstLine="610"/>
        <w:rPr>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4502FD5">
      <w:pPr>
        <w:spacing w:line="480" w:lineRule="auto"/>
        <w:ind w:firstLine="610"/>
        <w:rPr>
          <w:rFonts w:ascii="宋体"/>
          <w:sz w:val="24"/>
          <w:u w:val="single"/>
        </w:rPr>
      </w:pPr>
      <w:r>
        <w:rPr>
          <w:rFonts w:hint="eastAsia" w:ascii="宋体" w:hAnsi="宋体" w:cs="宋体"/>
          <w:sz w:val="24"/>
        </w:rPr>
        <w:t>经营期限：</w:t>
      </w:r>
      <w:r>
        <w:rPr>
          <w:sz w:val="24"/>
          <w:u w:val="single"/>
        </w:rPr>
        <w:tab/>
      </w:r>
      <w:r>
        <w:rPr>
          <w:rFonts w:hint="eastAsia"/>
          <w:sz w:val="24"/>
          <w:u w:val="single"/>
        </w:rPr>
        <w:t xml:space="preserve">                            </w:t>
      </w:r>
      <w:r>
        <w:rPr>
          <w:rFonts w:ascii="宋体"/>
          <w:sz w:val="24"/>
          <w:u w:val="single"/>
        </w:rPr>
        <w:tab/>
      </w:r>
    </w:p>
    <w:p w14:paraId="061FF382">
      <w:pPr>
        <w:spacing w:line="480" w:lineRule="auto"/>
        <w:ind w:firstLine="610"/>
        <w:rPr>
          <w:rFonts w:ascii="宋体"/>
          <w:sz w:val="24"/>
          <w:u w:val="single"/>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sz w:val="24"/>
          <w:u w:val="single"/>
        </w:rPr>
        <w:tab/>
      </w:r>
      <w:r>
        <w:rPr>
          <w:rFonts w:hint="eastAsia"/>
          <w:sz w:val="24"/>
          <w:u w:val="single"/>
        </w:rPr>
        <w:t xml:space="preserve">    </w:t>
      </w:r>
    </w:p>
    <w:p w14:paraId="4EE2F842">
      <w:pPr>
        <w:spacing w:line="480" w:lineRule="auto"/>
        <w:ind w:firstLine="610"/>
        <w:rPr>
          <w:sz w:val="24"/>
        </w:rPr>
      </w:pPr>
      <w:r>
        <w:rPr>
          <w:rFonts w:hint="eastAsia" w:ascii="宋体" w:hAnsi="宋体" w:cs="宋体"/>
          <w:sz w:val="24"/>
        </w:rPr>
        <w:t>系</w:t>
      </w:r>
      <w:r>
        <w:rPr>
          <w:rFonts w:hint="eastAsia" w:ascii="宋体" w:hAnsi="宋体" w:cs="宋体"/>
          <w:sz w:val="24"/>
          <w:u w:val="single"/>
        </w:rPr>
        <w:t>（响应供应商单位名称）</w:t>
      </w:r>
      <w:r>
        <w:rPr>
          <w:rFonts w:hint="eastAsia" w:ascii="宋体" w:hAnsi="宋体" w:cs="宋体"/>
          <w:sz w:val="24"/>
        </w:rPr>
        <w:t>的法定代表人。</w:t>
      </w:r>
    </w:p>
    <w:p w14:paraId="3B9E7FB5">
      <w:pPr>
        <w:spacing w:line="480" w:lineRule="auto"/>
        <w:ind w:firstLine="610"/>
        <w:rPr>
          <w:sz w:val="24"/>
        </w:rPr>
      </w:pPr>
    </w:p>
    <w:p w14:paraId="198BFDA2">
      <w:pPr>
        <w:spacing w:line="480" w:lineRule="auto"/>
        <w:ind w:firstLine="1089" w:firstLineChars="454"/>
        <w:rPr>
          <w:sz w:val="24"/>
        </w:rPr>
      </w:pPr>
      <w:r>
        <w:rPr>
          <w:rFonts w:hint="eastAsia" w:ascii="宋体" w:hAnsi="宋体" w:cs="宋体"/>
          <w:sz w:val="24"/>
        </w:rPr>
        <w:t>特此证明。</w:t>
      </w:r>
    </w:p>
    <w:p w14:paraId="4F810D66">
      <w:pPr>
        <w:tabs>
          <w:tab w:val="left" w:pos="720"/>
          <w:tab w:val="left" w:pos="900"/>
        </w:tabs>
        <w:spacing w:line="480" w:lineRule="auto"/>
        <w:rPr>
          <w:sz w:val="24"/>
        </w:rPr>
      </w:pPr>
    </w:p>
    <w:p w14:paraId="56DE9641">
      <w:pPr>
        <w:wordWrap w:val="0"/>
        <w:spacing w:line="480" w:lineRule="auto"/>
        <w:ind w:firstLine="2400" w:firstLineChars="1000"/>
        <w:rPr>
          <w:rFonts w:ascii="宋体" w:hAnsi="宋体"/>
          <w:sz w:val="24"/>
          <w:szCs w:val="22"/>
          <w:u w:val="single"/>
        </w:rPr>
      </w:pPr>
      <w:r>
        <w:rPr>
          <w:rFonts w:hint="eastAsia" w:ascii="宋体" w:hAnsi="宋体"/>
          <w:sz w:val="24"/>
          <w:szCs w:val="22"/>
        </w:rPr>
        <w:t xml:space="preserve">             响应供应商（盖章）：</w:t>
      </w:r>
      <w:r>
        <w:rPr>
          <w:rFonts w:hint="eastAsia" w:ascii="宋体" w:hAnsi="宋体"/>
          <w:sz w:val="24"/>
          <w:szCs w:val="22"/>
          <w:u w:val="single"/>
        </w:rPr>
        <w:t xml:space="preserve">               </w:t>
      </w:r>
    </w:p>
    <w:p w14:paraId="1B9868F9">
      <w:pPr>
        <w:spacing w:line="480" w:lineRule="auto"/>
        <w:ind w:firstLine="480" w:firstLineChars="200"/>
        <w:rPr>
          <w:rFonts w:ascii="宋体" w:hAnsi="宋体"/>
          <w:sz w:val="24"/>
          <w:szCs w:val="22"/>
          <w:u w:val="single"/>
        </w:rPr>
      </w:pPr>
      <w:r>
        <w:rPr>
          <w:rFonts w:hint="eastAsia" w:ascii="宋体" w:hAnsi="宋体"/>
          <w:sz w:val="24"/>
          <w:szCs w:val="22"/>
        </w:rPr>
        <w:t xml:space="preserve">                             法定代表人（签章）： </w:t>
      </w:r>
      <w:r>
        <w:rPr>
          <w:rFonts w:hint="eastAsia" w:ascii="宋体" w:hAnsi="宋体"/>
          <w:sz w:val="24"/>
          <w:szCs w:val="22"/>
          <w:u w:val="single"/>
        </w:rPr>
        <w:t xml:space="preserve">              </w:t>
      </w:r>
    </w:p>
    <w:p w14:paraId="324E20E3">
      <w:pPr>
        <w:spacing w:line="480" w:lineRule="auto"/>
        <w:jc w:val="center"/>
        <w:rPr>
          <w:rFonts w:ascii="宋体" w:hAnsi="宋体"/>
          <w:kern w:val="0"/>
          <w:sz w:val="24"/>
        </w:rPr>
      </w:pPr>
      <w:r>
        <w:rPr>
          <w:rFonts w:ascii="宋体" w:hAnsi="宋体"/>
          <w:sz w:val="24"/>
          <w:szCs w:val="22"/>
        </w:rPr>
        <w:t xml:space="preserve">                </w:t>
      </w:r>
      <w:r>
        <w:rPr>
          <w:rFonts w:hint="eastAsia" w:ascii="宋体" w:hAnsi="宋体"/>
          <w:sz w:val="24"/>
          <w:szCs w:val="22"/>
        </w:rPr>
        <w:t xml:space="preserve">       日   期：</w:t>
      </w:r>
      <w:r>
        <w:rPr>
          <w:rFonts w:ascii="宋体" w:hAnsi="宋体"/>
          <w:sz w:val="24"/>
          <w:szCs w:val="22"/>
          <w:u w:val="single"/>
        </w:rPr>
        <w:t xml:space="preserve">     </w:t>
      </w:r>
      <w:r>
        <w:rPr>
          <w:rFonts w:hint="eastAsia" w:ascii="宋体" w:hAnsi="宋体"/>
          <w:sz w:val="24"/>
          <w:szCs w:val="22"/>
        </w:rPr>
        <w:t>年</w:t>
      </w:r>
      <w:r>
        <w:rPr>
          <w:rFonts w:ascii="宋体" w:hAnsi="宋体"/>
          <w:sz w:val="24"/>
          <w:szCs w:val="22"/>
        </w:rPr>
        <w:t xml:space="preserve"> </w:t>
      </w:r>
      <w:r>
        <w:rPr>
          <w:rFonts w:ascii="宋体" w:hAnsi="宋体"/>
          <w:sz w:val="24"/>
          <w:szCs w:val="22"/>
          <w:u w:val="single"/>
        </w:rPr>
        <w:t xml:space="preserve">    </w:t>
      </w:r>
      <w:r>
        <w:rPr>
          <w:rFonts w:hint="eastAsia" w:ascii="宋体" w:hAnsi="宋体"/>
          <w:sz w:val="24"/>
          <w:szCs w:val="22"/>
        </w:rPr>
        <w:t>月</w:t>
      </w:r>
      <w:r>
        <w:rPr>
          <w:rFonts w:ascii="宋体" w:hAnsi="宋体"/>
          <w:sz w:val="24"/>
          <w:szCs w:val="22"/>
        </w:rPr>
        <w:t xml:space="preserve"> </w:t>
      </w:r>
      <w:r>
        <w:rPr>
          <w:rFonts w:ascii="宋体" w:hAnsi="宋体"/>
          <w:sz w:val="24"/>
          <w:szCs w:val="22"/>
          <w:u w:val="single"/>
        </w:rPr>
        <w:t xml:space="preserve">    </w:t>
      </w:r>
      <w:r>
        <w:rPr>
          <w:rFonts w:hint="eastAsia" w:ascii="宋体" w:hAnsi="宋体"/>
          <w:sz w:val="24"/>
          <w:szCs w:val="22"/>
        </w:rPr>
        <w:t>日</w:t>
      </w:r>
    </w:p>
    <w:tbl>
      <w:tblPr>
        <w:tblStyle w:val="14"/>
        <w:tblpPr w:leftFromText="180" w:rightFromText="180" w:vertAnchor="text" w:horzAnchor="page" w:tblpX="2160" w:tblpY="51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0"/>
      </w:tblGrid>
      <w:tr w14:paraId="0720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5" w:hRule="atLeast"/>
        </w:trPr>
        <w:tc>
          <w:tcPr>
            <w:tcW w:w="7880" w:type="dxa"/>
            <w:vAlign w:val="center"/>
          </w:tcPr>
          <w:p w14:paraId="79188842">
            <w:pPr>
              <w:jc w:val="center"/>
              <w:rPr>
                <w:rFonts w:ascii="宋体" w:hAnsi="宋体"/>
                <w:color w:val="000000"/>
                <w:sz w:val="28"/>
              </w:rPr>
            </w:pPr>
            <w:r>
              <w:rPr>
                <w:rFonts w:hint="eastAsia" w:ascii="宋体" w:hAnsi="宋体"/>
                <w:sz w:val="24"/>
                <w:szCs w:val="22"/>
              </w:rPr>
              <w:t>法定代表人身份证复印件（或扫描件）</w:t>
            </w:r>
          </w:p>
        </w:tc>
      </w:tr>
    </w:tbl>
    <w:p w14:paraId="2618BF96">
      <w:pPr>
        <w:spacing w:line="520" w:lineRule="exact"/>
        <w:rPr>
          <w:rFonts w:ascii="宋体" w:hAnsi="宋体" w:cs="宋体"/>
          <w:b/>
          <w:bCs/>
          <w:sz w:val="32"/>
          <w:szCs w:val="32"/>
        </w:rPr>
      </w:pPr>
    </w:p>
    <w:p w14:paraId="3AF5071E">
      <w:pPr>
        <w:spacing w:line="520" w:lineRule="exact"/>
        <w:jc w:val="center"/>
        <w:rPr>
          <w:rFonts w:ascii="宋体" w:hAnsi="宋体" w:cs="宋体"/>
          <w:b/>
          <w:bCs/>
          <w:sz w:val="32"/>
          <w:szCs w:val="32"/>
        </w:rPr>
      </w:pPr>
      <w:r>
        <w:rPr>
          <w:rFonts w:hint="eastAsia" w:ascii="宋体" w:hAnsi="宋体" w:cs="宋体"/>
          <w:b/>
          <w:bCs/>
          <w:sz w:val="32"/>
          <w:szCs w:val="32"/>
        </w:rPr>
        <w:t>二、响应文件签署授权委托书</w:t>
      </w:r>
    </w:p>
    <w:p w14:paraId="7698480D">
      <w:pPr>
        <w:pStyle w:val="13"/>
        <w:ind w:firstLine="0" w:firstLineChars="0"/>
      </w:pPr>
    </w:p>
    <w:p w14:paraId="7CF9AC0B">
      <w:pPr>
        <w:tabs>
          <w:tab w:val="left" w:pos="3240"/>
        </w:tabs>
        <w:spacing w:line="480" w:lineRule="auto"/>
        <w:ind w:firstLine="612"/>
        <w:rPr>
          <w:rFonts w:ascii="宋体" w:hAnsi="宋体" w:cs="宋体"/>
          <w:sz w:val="24"/>
        </w:rPr>
      </w:pPr>
      <w:r>
        <w:rPr>
          <w:rFonts w:hint="eastAsia" w:ascii="宋体" w:hAnsi="宋体" w:cs="宋体"/>
          <w:sz w:val="24"/>
        </w:rPr>
        <w:t>本授权委托书声明：我</w:t>
      </w:r>
      <w:r>
        <w:rPr>
          <w:rFonts w:hint="eastAsia" w:ascii="宋体" w:hAnsi="宋体" w:cs="宋体"/>
          <w:sz w:val="24"/>
          <w:u w:val="single"/>
        </w:rPr>
        <w:t>（法定代表人）</w:t>
      </w:r>
      <w:r>
        <w:rPr>
          <w:rFonts w:hint="eastAsia" w:ascii="宋体" w:hAnsi="宋体" w:cs="宋体"/>
          <w:sz w:val="24"/>
        </w:rPr>
        <w:t>（姓名）系</w:t>
      </w:r>
      <w:r>
        <w:rPr>
          <w:rFonts w:hint="eastAsia" w:ascii="宋体" w:hAnsi="宋体" w:cs="宋体"/>
          <w:sz w:val="24"/>
          <w:u w:val="single"/>
        </w:rPr>
        <w:t>（响应供应商名称）</w:t>
      </w:r>
      <w:r>
        <w:rPr>
          <w:rFonts w:hint="eastAsia" w:ascii="宋体" w:hAnsi="宋体" w:cs="宋体"/>
          <w:sz w:val="24"/>
        </w:rPr>
        <w:t>的法定代表人，现授权委托</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（姓名）</w:t>
      </w:r>
      <w:r>
        <w:rPr>
          <w:rFonts w:hint="eastAsia" w:ascii="宋体" w:hAnsi="宋体" w:cs="宋体"/>
          <w:sz w:val="24"/>
        </w:rPr>
        <w:t>为我公司签署本项目的响应文件的法定代表人授权委托代理人，我承认代理人全权代表我所签署的</w:t>
      </w:r>
      <w:r>
        <w:rPr>
          <w:rFonts w:hint="eastAsia" w:ascii="宋体" w:hAnsi="宋体" w:cs="宋体"/>
          <w:sz w:val="24"/>
          <w:u w:val="single"/>
        </w:rPr>
        <w:t xml:space="preserve">  （项目名称）  </w:t>
      </w:r>
      <w:r>
        <w:rPr>
          <w:rFonts w:hint="eastAsia" w:ascii="宋体" w:hAnsi="宋体" w:cs="宋体"/>
          <w:sz w:val="24"/>
        </w:rPr>
        <w:t>项目的响应文件的内容。同时授权委托该同志代表我公司参加本项目的投标、开标、合同谈判、处理有关事务等并有权签署有关文件。</w:t>
      </w:r>
    </w:p>
    <w:p w14:paraId="7A69A433">
      <w:pPr>
        <w:tabs>
          <w:tab w:val="left" w:pos="3240"/>
        </w:tabs>
        <w:spacing w:line="480" w:lineRule="auto"/>
        <w:ind w:firstLine="612"/>
        <w:rPr>
          <w:rFonts w:ascii="宋体" w:hAnsi="宋体" w:cs="宋体"/>
          <w:sz w:val="24"/>
          <w:u w:val="single"/>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w:t>
      </w:r>
    </w:p>
    <w:p w14:paraId="5B0E2E83">
      <w:pPr>
        <w:spacing w:line="480" w:lineRule="auto"/>
        <w:ind w:firstLine="697"/>
        <w:rPr>
          <w:sz w:val="24"/>
        </w:rPr>
      </w:pPr>
      <w:r>
        <w:rPr>
          <w:rFonts w:hint="eastAsia" w:ascii="宋体" w:hAnsi="宋体" w:cs="宋体"/>
          <w:sz w:val="24"/>
        </w:rPr>
        <w:t>代理人无转委托权，特此委托。</w:t>
      </w:r>
    </w:p>
    <w:p w14:paraId="5DA0A938">
      <w:pPr>
        <w:spacing w:line="480" w:lineRule="auto"/>
        <w:ind w:left="2699"/>
        <w:rPr>
          <w:rFonts w:ascii="宋体" w:hAnsi="宋体" w:cs="宋体"/>
          <w:sz w:val="24"/>
        </w:rPr>
      </w:pPr>
    </w:p>
    <w:p w14:paraId="0210265A">
      <w:pPr>
        <w:spacing w:line="480" w:lineRule="auto"/>
        <w:ind w:left="2699"/>
        <w:rPr>
          <w:rFonts w:ascii="宋体"/>
          <w:sz w:val="24"/>
        </w:rPr>
      </w:pPr>
      <w:r>
        <w:rPr>
          <w:rFonts w:hint="eastAsia" w:ascii="宋体" w:hAnsi="宋体" w:cs="宋体"/>
          <w:sz w:val="24"/>
        </w:rPr>
        <w:t>代理人（签字）：</w:t>
      </w:r>
      <w:r>
        <w:rPr>
          <w:rFonts w:hint="eastAsia" w:ascii="宋体" w:hAnsi="宋体" w:cs="宋体"/>
          <w:sz w:val="24"/>
          <w:u w:val="single"/>
        </w:rPr>
        <w:t xml:space="preserve">                             </w:t>
      </w:r>
      <w:r>
        <w:rPr>
          <w:rFonts w:hint="eastAsia" w:ascii="宋体" w:hAnsi="宋体" w:cs="宋体"/>
          <w:sz w:val="24"/>
        </w:rPr>
        <w:t xml:space="preserve"> </w:t>
      </w:r>
    </w:p>
    <w:p w14:paraId="4CFBC9F6">
      <w:pPr>
        <w:spacing w:line="480" w:lineRule="auto"/>
        <w:ind w:left="2699"/>
        <w:rPr>
          <w:sz w:val="24"/>
        </w:rPr>
      </w:pPr>
      <w:r>
        <w:rPr>
          <w:rFonts w:hint="eastAsia" w:ascii="宋体" w:hAnsi="宋体" w:cs="宋体"/>
          <w:sz w:val="24"/>
        </w:rPr>
        <w:t>身份证号码：</w:t>
      </w:r>
      <w:r>
        <w:rPr>
          <w:rFonts w:hint="eastAsia" w:ascii="宋体" w:hAnsi="宋体" w:cs="宋体"/>
          <w:sz w:val="24"/>
          <w:u w:val="single"/>
        </w:rPr>
        <w:t xml:space="preserve">                                 </w:t>
      </w:r>
    </w:p>
    <w:p w14:paraId="6F5F8FC2">
      <w:pPr>
        <w:spacing w:line="480" w:lineRule="auto"/>
        <w:ind w:left="2699"/>
        <w:rPr>
          <w:sz w:val="24"/>
        </w:rPr>
      </w:pPr>
      <w:r>
        <w:rPr>
          <w:rFonts w:hint="eastAsia" w:ascii="宋体" w:hAnsi="宋体" w:cs="宋体"/>
          <w:sz w:val="24"/>
        </w:rPr>
        <w:t>响应供应商（盖章）：</w:t>
      </w:r>
      <w:r>
        <w:rPr>
          <w:sz w:val="24"/>
        </w:rPr>
        <w:t xml:space="preserve"> </w:t>
      </w:r>
      <w:r>
        <w:rPr>
          <w:rFonts w:hint="eastAsia"/>
          <w:sz w:val="24"/>
          <w:u w:val="single"/>
        </w:rPr>
        <w:t xml:space="preserve">                        </w:t>
      </w:r>
    </w:p>
    <w:p w14:paraId="6889C922">
      <w:pPr>
        <w:spacing w:line="480" w:lineRule="auto"/>
        <w:ind w:left="2699"/>
        <w:rPr>
          <w:sz w:val="24"/>
        </w:rPr>
      </w:pPr>
      <w:r>
        <w:rPr>
          <w:rFonts w:hint="eastAsia" w:ascii="宋体" w:hAnsi="宋体" w:cs="宋体"/>
          <w:sz w:val="24"/>
        </w:rPr>
        <w:t>法定代表人（签章）：</w:t>
      </w:r>
      <w:r>
        <w:rPr>
          <w:rFonts w:hint="eastAsia" w:ascii="宋体" w:hAnsi="宋体" w:cs="宋体"/>
          <w:sz w:val="24"/>
          <w:u w:val="single"/>
        </w:rPr>
        <w:t xml:space="preserve">                         </w:t>
      </w:r>
    </w:p>
    <w:p w14:paraId="202CBB3F">
      <w:pPr>
        <w:snapToGrid w:val="0"/>
        <w:spacing w:line="580" w:lineRule="exact"/>
        <w:ind w:right="-817" w:rightChars="-389" w:firstLine="2640" w:firstLineChars="1100"/>
        <w:rPr>
          <w:rFonts w:ascii="宋体" w:hAnsi="宋体"/>
          <w:sz w:val="24"/>
        </w:rPr>
      </w:pPr>
      <w:r>
        <w:rPr>
          <w:rFonts w:hint="eastAsia" w:ascii="宋体" w:hAnsi="宋体" w:cs="宋体"/>
          <w:sz w:val="24"/>
        </w:rPr>
        <w:t>授权委托日期：    年   月   日</w:t>
      </w:r>
    </w:p>
    <w:p w14:paraId="67363E82">
      <w:pPr>
        <w:pStyle w:val="13"/>
        <w:ind w:firstLine="211"/>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2"/>
      </w:tblGrid>
      <w:tr w14:paraId="0142D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1" w:hRule="atLeast"/>
          <w:jc w:val="center"/>
        </w:trPr>
        <w:tc>
          <w:tcPr>
            <w:tcW w:w="8352" w:type="dxa"/>
            <w:vAlign w:val="center"/>
          </w:tcPr>
          <w:p w14:paraId="76C0F39D">
            <w:pPr>
              <w:jc w:val="center"/>
            </w:pPr>
          </w:p>
          <w:p w14:paraId="2EB0C9A6">
            <w:pPr>
              <w:jc w:val="center"/>
            </w:pPr>
          </w:p>
          <w:p w14:paraId="30170A05">
            <w:pPr>
              <w:jc w:val="center"/>
            </w:pPr>
          </w:p>
          <w:p w14:paraId="5A4E20FC">
            <w:pPr>
              <w:tabs>
                <w:tab w:val="left" w:pos="3240"/>
              </w:tabs>
              <w:spacing w:line="480" w:lineRule="auto"/>
              <w:jc w:val="center"/>
              <w:rPr>
                <w:rFonts w:ascii="宋体" w:hAnsi="宋体" w:cs="宋体"/>
                <w:sz w:val="24"/>
              </w:rPr>
            </w:pPr>
            <w:r>
              <w:rPr>
                <w:rFonts w:hint="eastAsia" w:ascii="宋体" w:hAnsi="宋体" w:cs="宋体"/>
                <w:sz w:val="24"/>
              </w:rPr>
              <w:t>委托代理人身份证复印件（或扫描件）</w:t>
            </w:r>
          </w:p>
          <w:p w14:paraId="667D8AEC">
            <w:pPr>
              <w:jc w:val="center"/>
            </w:pPr>
          </w:p>
          <w:p w14:paraId="5C1308DB">
            <w:pPr>
              <w:jc w:val="center"/>
            </w:pPr>
          </w:p>
          <w:p w14:paraId="62AD4063">
            <w:pPr>
              <w:jc w:val="center"/>
            </w:pPr>
          </w:p>
        </w:tc>
      </w:tr>
    </w:tbl>
    <w:p w14:paraId="6FEE1B96">
      <w:pPr>
        <w:snapToGrid w:val="0"/>
        <w:spacing w:line="580" w:lineRule="exact"/>
        <w:ind w:right="-817" w:rightChars="-389"/>
        <w:rPr>
          <w:rFonts w:ascii="宋体"/>
          <w:sz w:val="24"/>
        </w:rPr>
      </w:pPr>
      <w:r>
        <w:rPr>
          <w:rFonts w:hint="eastAsia" w:ascii="宋体" w:hAnsi="宋体"/>
          <w:bCs/>
          <w:color w:val="000000"/>
          <w:sz w:val="24"/>
        </w:rPr>
        <w:t>因本项目为电子标，委托代理人无法手写签字，可以电脑打印字体为准或以法定代表人签章为准。</w:t>
      </w:r>
    </w:p>
    <w:p w14:paraId="7B8E3AFC">
      <w:pPr>
        <w:keepNext/>
        <w:keepLines/>
        <w:spacing w:before="260" w:after="260" w:line="412" w:lineRule="auto"/>
        <w:jc w:val="center"/>
        <w:outlineLvl w:val="1"/>
        <w:rPr>
          <w:rFonts w:ascii="宋体" w:hAnsi="宋体" w:cs="宋体"/>
          <w:b/>
          <w:bCs/>
          <w:sz w:val="32"/>
          <w:szCs w:val="32"/>
        </w:rPr>
      </w:pPr>
      <w:r>
        <w:rPr>
          <w:rFonts w:hint="eastAsia" w:ascii="宋体" w:hAnsi="宋体" w:cs="宋体"/>
          <w:b/>
          <w:bCs/>
          <w:sz w:val="32"/>
          <w:szCs w:val="32"/>
        </w:rPr>
        <w:t>三、投标函及投标函附录</w:t>
      </w:r>
    </w:p>
    <w:p w14:paraId="696BF3A1">
      <w:pPr>
        <w:spacing w:line="360" w:lineRule="auto"/>
        <w:jc w:val="left"/>
        <w:rPr>
          <w:spacing w:val="24"/>
          <w:sz w:val="24"/>
        </w:rPr>
      </w:pPr>
      <w:r>
        <w:rPr>
          <w:rFonts w:hint="eastAsia" w:ascii="宋体" w:hAnsi="宋体" w:cs="宋体"/>
          <w:spacing w:val="24"/>
          <w:sz w:val="24"/>
        </w:rPr>
        <w:t>致：</w:t>
      </w:r>
      <w:r>
        <w:rPr>
          <w:rFonts w:hint="eastAsia" w:ascii="宋体" w:hAnsi="宋体" w:cs="宋体"/>
          <w:spacing w:val="24"/>
          <w:sz w:val="24"/>
          <w:u w:val="single"/>
        </w:rPr>
        <w:t>（采购人）</w:t>
      </w:r>
    </w:p>
    <w:p w14:paraId="25A964EF">
      <w:pPr>
        <w:spacing w:line="360" w:lineRule="auto"/>
        <w:ind w:firstLine="480" w:firstLineChars="200"/>
        <w:jc w:val="left"/>
        <w:rPr>
          <w:sz w:val="24"/>
        </w:rPr>
      </w:pPr>
      <w:r>
        <w:rPr>
          <w:rFonts w:hint="eastAsia" w:ascii="宋体" w:hAnsi="宋体" w:cs="宋体"/>
          <w:sz w:val="24"/>
        </w:rPr>
        <w:t>根据已收到贵方的</w:t>
      </w:r>
      <w:r>
        <w:rPr>
          <w:rFonts w:hint="eastAsia" w:ascii="宋体" w:hAnsi="宋体" w:cs="宋体"/>
          <w:sz w:val="24"/>
          <w:u w:val="single"/>
        </w:rPr>
        <w:t>（项目名称）（项目编号）</w:t>
      </w:r>
      <w:r>
        <w:rPr>
          <w:rFonts w:hint="eastAsia" w:ascii="宋体" w:hAnsi="宋体" w:cs="宋体"/>
          <w:sz w:val="24"/>
        </w:rPr>
        <w:t>的竞争性磋商文件，遵照《中华人民共和国政府采购法》等有关规定，我单位经考察现场和研究上述磋商文件的响应须知、合同条款、采购内容及其它有关文件后，我方愿以人民币（大写）：</w:t>
      </w:r>
      <w:r>
        <w:rPr>
          <w:rFonts w:hint="eastAsia" w:ascii="宋体" w:hAnsi="宋体" w:cs="宋体"/>
          <w:sz w:val="24"/>
          <w:u w:val="single"/>
        </w:rPr>
        <w:t xml:space="preserve">        </w:t>
      </w:r>
      <w:r>
        <w:rPr>
          <w:rFonts w:hint="eastAsia" w:ascii="宋体" w:hAnsi="宋体" w:cs="宋体"/>
          <w:sz w:val="24"/>
        </w:rPr>
        <w:t>元（小写：</w:t>
      </w:r>
      <w:r>
        <w:rPr>
          <w:rFonts w:hint="eastAsia" w:ascii="宋体" w:hAnsi="宋体" w:cs="宋体"/>
          <w:sz w:val="24"/>
          <w:u w:val="single"/>
        </w:rPr>
        <w:t xml:space="preserve">        </w:t>
      </w:r>
      <w:r>
        <w:rPr>
          <w:rFonts w:hint="eastAsia" w:ascii="宋体" w:hAnsi="宋体" w:cs="宋体"/>
          <w:sz w:val="24"/>
        </w:rPr>
        <w:t>元）的报价，服务期限：</w:t>
      </w:r>
      <w:r>
        <w:rPr>
          <w:rFonts w:hint="eastAsia" w:ascii="宋体" w:hAnsi="宋体" w:cs="宋体"/>
          <w:sz w:val="24"/>
          <w:u w:val="single"/>
        </w:rPr>
        <w:t xml:space="preserve">       </w:t>
      </w:r>
      <w:r>
        <w:rPr>
          <w:rFonts w:hint="eastAsia" w:ascii="宋体" w:cs="宋体"/>
          <w:sz w:val="24"/>
        </w:rPr>
        <w:t>，</w:t>
      </w:r>
      <w:r>
        <w:rPr>
          <w:rFonts w:hint="eastAsia" w:ascii="宋体" w:hAnsi="宋体" w:cs="宋体"/>
          <w:sz w:val="24"/>
        </w:rPr>
        <w:t>质量要求：</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color w:val="000000" w:themeColor="text1"/>
          <w:kern w:val="0"/>
          <w:sz w:val="24"/>
          <w14:textFill>
            <w14:solidFill>
              <w14:schemeClr w14:val="tx1"/>
            </w14:solidFill>
          </w14:textFill>
        </w:rPr>
        <w:t>按合同约定完成本项目服务内容，并做出以下承诺：</w:t>
      </w:r>
    </w:p>
    <w:p w14:paraId="2880822D">
      <w:pPr>
        <w:spacing w:line="360" w:lineRule="auto"/>
        <w:ind w:firstLine="480" w:firstLineChars="200"/>
        <w:jc w:val="left"/>
        <w:rPr>
          <w:sz w:val="24"/>
        </w:rPr>
      </w:pPr>
      <w:r>
        <w:rPr>
          <w:rFonts w:ascii="宋体" w:hAnsi="宋体" w:cs="宋体"/>
          <w:sz w:val="24"/>
        </w:rPr>
        <w:t>1</w:t>
      </w:r>
      <w:r>
        <w:rPr>
          <w:rFonts w:hint="eastAsia" w:ascii="宋体" w:hAnsi="宋体" w:cs="宋体"/>
          <w:sz w:val="24"/>
        </w:rPr>
        <w:t>、我方已详细审核全部磋商文件，包括修改文件（如有）及有关附件，已充分理解并掌握了本次招标项目的全部有关情况，认为磋商文件符合法律、法规的要求，充分体现了公开、公平、公正和诚实信用原则，我方对磋商文件没有任何异议。同意接受磋商文件的全部内容和条件。</w:t>
      </w:r>
    </w:p>
    <w:p w14:paraId="18A18215">
      <w:pPr>
        <w:spacing w:line="360" w:lineRule="auto"/>
        <w:ind w:firstLine="480" w:firstLineChars="200"/>
        <w:jc w:val="left"/>
        <w:rPr>
          <w:sz w:val="24"/>
        </w:rPr>
      </w:pPr>
      <w:r>
        <w:rPr>
          <w:rFonts w:ascii="宋体" w:hAnsi="宋体" w:cs="宋体"/>
          <w:sz w:val="24"/>
        </w:rPr>
        <w:t>2</w:t>
      </w:r>
      <w:r>
        <w:rPr>
          <w:rFonts w:hint="eastAsia" w:ascii="宋体" w:hAnsi="宋体" w:cs="宋体"/>
          <w:sz w:val="24"/>
        </w:rPr>
        <w:t>、我方承认投标函附表是我方投标函的组成部分。</w:t>
      </w:r>
    </w:p>
    <w:p w14:paraId="5459F704">
      <w:pPr>
        <w:spacing w:line="360" w:lineRule="auto"/>
        <w:ind w:firstLine="480" w:firstLineChars="200"/>
        <w:rPr>
          <w:rFonts w:ascii="宋体"/>
          <w:sz w:val="24"/>
        </w:rPr>
      </w:pPr>
      <w:r>
        <w:rPr>
          <w:rFonts w:ascii="宋体" w:hAnsi="宋体" w:cs="宋体"/>
          <w:sz w:val="24"/>
        </w:rPr>
        <w:t>3</w:t>
      </w:r>
      <w:r>
        <w:rPr>
          <w:rFonts w:hint="eastAsia" w:ascii="宋体" w:hAnsi="宋体" w:cs="宋体"/>
          <w:sz w:val="24"/>
        </w:rPr>
        <w:t>、如我方供应商，我方承诺在收到供应商通知书后，在供应商通知书规定的期限内，根据磋商文件、我方的响应文件及有关澄清承诺书的要求，与采购人订立书面合同，并按照合同约定承担完成合同的责任和义务。</w:t>
      </w:r>
    </w:p>
    <w:p w14:paraId="3E54836A">
      <w:pPr>
        <w:spacing w:line="360" w:lineRule="auto"/>
        <w:ind w:firstLine="480" w:firstLineChars="200"/>
        <w:rPr>
          <w:rFonts w:ascii="宋体"/>
          <w:kern w:val="0"/>
          <w:sz w:val="24"/>
        </w:rPr>
      </w:pPr>
      <w:r>
        <w:rPr>
          <w:rFonts w:hint="eastAsia" w:ascii="宋体" w:hAnsi="宋体" w:cs="宋体"/>
          <w:sz w:val="24"/>
        </w:rPr>
        <w:t>4、</w:t>
      </w:r>
      <w:r>
        <w:rPr>
          <w:rFonts w:hint="eastAsia" w:ascii="宋体" w:hAnsi="宋体" w:cs="宋体"/>
          <w:kern w:val="0"/>
          <w:sz w:val="24"/>
        </w:rPr>
        <w:t>我方同意自本项目</w:t>
      </w:r>
      <w:r>
        <w:rPr>
          <w:rFonts w:hint="eastAsia" w:ascii="宋体" w:hAnsi="宋体" w:cs="宋体"/>
          <w:sz w:val="24"/>
        </w:rPr>
        <w:t>磋商</w:t>
      </w:r>
      <w:r>
        <w:rPr>
          <w:rFonts w:hint="eastAsia" w:ascii="宋体" w:hAnsi="宋体" w:cs="宋体"/>
          <w:kern w:val="0"/>
          <w:sz w:val="24"/>
        </w:rPr>
        <w:t>文件中规定的磋商有效期内有效，并承诺在投标有效期内不修改、撤销响应文件。</w:t>
      </w:r>
    </w:p>
    <w:p w14:paraId="373BF300">
      <w:pPr>
        <w:spacing w:line="360" w:lineRule="auto"/>
        <w:ind w:firstLine="480" w:firstLineChars="200"/>
        <w:rPr>
          <w:rFonts w:ascii="宋体"/>
          <w:kern w:val="0"/>
          <w:sz w:val="24"/>
        </w:rPr>
      </w:pPr>
      <w:r>
        <w:rPr>
          <w:rFonts w:hint="eastAsia" w:ascii="宋体" w:hAnsi="宋体" w:cs="宋体"/>
          <w:sz w:val="24"/>
        </w:rPr>
        <w:t>5、</w:t>
      </w:r>
      <w:r>
        <w:rPr>
          <w:rFonts w:hint="eastAsia" w:ascii="宋体" w:hAnsi="宋体" w:cs="宋体"/>
          <w:kern w:val="0"/>
          <w:sz w:val="24"/>
        </w:rPr>
        <w:t>我方完全理解贵方不一定接受投标报价最低的投标供应商为供应商供应商的行为。</w:t>
      </w:r>
    </w:p>
    <w:p w14:paraId="2B68A23D">
      <w:pPr>
        <w:spacing w:line="360" w:lineRule="auto"/>
        <w:ind w:firstLine="480" w:firstLineChars="200"/>
        <w:rPr>
          <w:rFonts w:ascii="宋体"/>
          <w:kern w:val="0"/>
          <w:sz w:val="24"/>
        </w:rPr>
      </w:pPr>
      <w:r>
        <w:rPr>
          <w:rFonts w:hint="eastAsia" w:ascii="宋体" w:hAnsi="宋体" w:cs="宋体"/>
          <w:kern w:val="0"/>
          <w:sz w:val="24"/>
        </w:rPr>
        <w:t>6、我方在此声明，所递交的响应文件及有关资料内容完整、真实和准确。</w:t>
      </w:r>
    </w:p>
    <w:p w14:paraId="10C51F4C">
      <w:pPr>
        <w:spacing w:line="360" w:lineRule="auto"/>
        <w:rPr>
          <w:rFonts w:ascii="宋体" w:hAnsi="宋体" w:cs="宋体"/>
          <w:spacing w:val="24"/>
        </w:rPr>
      </w:pPr>
      <w:r>
        <w:rPr>
          <w:rFonts w:hint="eastAsia" w:ascii="宋体" w:hAnsi="宋体" w:cs="宋体"/>
          <w:spacing w:val="24"/>
        </w:rPr>
        <w:t xml:space="preserve">                          </w:t>
      </w:r>
    </w:p>
    <w:p w14:paraId="26DD7D14">
      <w:pPr>
        <w:spacing w:line="480" w:lineRule="auto"/>
        <w:ind w:firstLine="3600" w:firstLineChars="1500"/>
        <w:rPr>
          <w:rFonts w:ascii="宋体" w:hAnsi="宋体" w:cs="宋体"/>
          <w:kern w:val="0"/>
          <w:sz w:val="24"/>
        </w:rPr>
      </w:pPr>
      <w:r>
        <w:rPr>
          <w:rFonts w:hint="eastAsia" w:ascii="宋体" w:hAnsi="宋体" w:cs="宋体"/>
          <w:kern w:val="0"/>
          <w:sz w:val="24"/>
        </w:rPr>
        <w:t>响应供应商(盖章)：</w:t>
      </w:r>
      <w:r>
        <w:rPr>
          <w:rFonts w:hint="eastAsia" w:ascii="宋体" w:hAnsi="宋体" w:cs="宋体"/>
          <w:kern w:val="0"/>
          <w:sz w:val="24"/>
          <w:u w:val="single"/>
        </w:rPr>
        <w:t xml:space="preserve">              </w:t>
      </w:r>
      <w:r>
        <w:rPr>
          <w:rFonts w:hint="eastAsia" w:ascii="宋体" w:hAnsi="宋体" w:cs="宋体"/>
          <w:kern w:val="0"/>
          <w:sz w:val="24"/>
        </w:rPr>
        <w:t xml:space="preserve"> </w:t>
      </w:r>
    </w:p>
    <w:p w14:paraId="0D402E67">
      <w:pPr>
        <w:spacing w:line="480" w:lineRule="auto"/>
        <w:ind w:firstLine="3600" w:firstLineChars="1500"/>
        <w:rPr>
          <w:rFonts w:ascii="宋体" w:hAnsi="宋体" w:cs="宋体"/>
          <w:kern w:val="0"/>
          <w:sz w:val="24"/>
          <w:u w:val="single"/>
        </w:rPr>
      </w:pPr>
      <w:r>
        <w:rPr>
          <w:rFonts w:hint="eastAsia" w:ascii="宋体" w:hAnsi="宋体" w:cs="宋体"/>
          <w:kern w:val="0"/>
          <w:sz w:val="24"/>
        </w:rPr>
        <w:t>法定代表人或其委托代理人(签字或盖章)：</w:t>
      </w:r>
      <w:r>
        <w:rPr>
          <w:rFonts w:hint="eastAsia" w:ascii="宋体" w:hAnsi="宋体" w:cs="宋体"/>
          <w:kern w:val="0"/>
          <w:sz w:val="24"/>
          <w:u w:val="single"/>
        </w:rPr>
        <w:t xml:space="preserve">     </w:t>
      </w:r>
    </w:p>
    <w:p w14:paraId="638EB43E">
      <w:pPr>
        <w:spacing w:line="480" w:lineRule="auto"/>
        <w:ind w:firstLine="3600" w:firstLineChars="1500"/>
        <w:rPr>
          <w:rFonts w:ascii="宋体" w:hAnsi="宋体" w:cs="宋体"/>
          <w:kern w:val="0"/>
          <w:sz w:val="24"/>
        </w:rPr>
      </w:pPr>
      <w:r>
        <w:rPr>
          <w:rFonts w:hint="eastAsia" w:ascii="宋体" w:hAnsi="宋体" w:cs="宋体"/>
          <w:kern w:val="0"/>
          <w:sz w:val="24"/>
        </w:rPr>
        <w:t>日    期：    年   月   日</w:t>
      </w:r>
    </w:p>
    <w:p w14:paraId="3E2D0577">
      <w:pPr>
        <w:spacing w:line="360" w:lineRule="auto"/>
        <w:rPr>
          <w:rFonts w:ascii="宋体" w:hAnsi="宋体" w:cs="宋体"/>
          <w:kern w:val="0"/>
          <w:sz w:val="24"/>
        </w:rPr>
      </w:pPr>
    </w:p>
    <w:p w14:paraId="3802123C">
      <w:pPr>
        <w:rPr>
          <w:rFonts w:ascii="宋体" w:hAnsi="宋体" w:cs="宋体"/>
          <w:b/>
          <w:bCs/>
          <w:sz w:val="32"/>
          <w:szCs w:val="32"/>
        </w:rPr>
      </w:pPr>
      <w:bookmarkStart w:id="2" w:name="_Toc383433665"/>
      <w:bookmarkStart w:id="3" w:name="_Toc397244497"/>
      <w:bookmarkStart w:id="4" w:name="_Toc397244569"/>
      <w:bookmarkStart w:id="5" w:name="_Toc381941237"/>
      <w:bookmarkStart w:id="6" w:name="_Toc432431877"/>
      <w:bookmarkStart w:id="7" w:name="_Toc375233604"/>
      <w:bookmarkStart w:id="8" w:name="_Toc492537568"/>
      <w:bookmarkStart w:id="9" w:name="_Toc383433763"/>
    </w:p>
    <w:p w14:paraId="557FE8A4">
      <w:pPr>
        <w:jc w:val="center"/>
        <w:rPr>
          <w:rFonts w:ascii="宋体" w:hAnsi="宋体" w:cs="宋体"/>
          <w:b/>
          <w:bCs/>
          <w:sz w:val="32"/>
          <w:szCs w:val="32"/>
        </w:rPr>
      </w:pPr>
    </w:p>
    <w:p w14:paraId="517A2529">
      <w:pPr>
        <w:jc w:val="center"/>
        <w:rPr>
          <w:rFonts w:ascii="宋体" w:hAnsi="宋体" w:cs="宋体"/>
          <w:b/>
          <w:bCs/>
          <w:sz w:val="32"/>
          <w:szCs w:val="32"/>
        </w:rPr>
      </w:pPr>
      <w:r>
        <w:rPr>
          <w:rFonts w:hint="eastAsia" w:ascii="宋体" w:hAnsi="宋体" w:cs="宋体"/>
          <w:b/>
          <w:bCs/>
          <w:sz w:val="32"/>
          <w:szCs w:val="32"/>
        </w:rPr>
        <w:t>投标函附录</w:t>
      </w:r>
    </w:p>
    <w:p w14:paraId="329A9869">
      <w:pPr>
        <w:jc w:val="center"/>
        <w:rPr>
          <w:rFonts w:ascii="宋体" w:hAnsi="宋体" w:cs="宋体"/>
          <w:b/>
          <w:bCs/>
          <w:sz w:val="32"/>
          <w:szCs w:val="32"/>
        </w:rPr>
      </w:pPr>
    </w:p>
    <w:tbl>
      <w:tblPr>
        <w:tblStyle w:val="14"/>
        <w:tblW w:w="913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7"/>
        <w:gridCol w:w="6478"/>
      </w:tblGrid>
      <w:tr w14:paraId="7ED7F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exact"/>
        </w:trPr>
        <w:tc>
          <w:tcPr>
            <w:tcW w:w="2657" w:type="dxa"/>
            <w:vAlign w:val="center"/>
          </w:tcPr>
          <w:p w14:paraId="67722C55">
            <w:pPr>
              <w:spacing w:line="400" w:lineRule="exact"/>
              <w:jc w:val="center"/>
              <w:rPr>
                <w:rFonts w:ascii="宋体"/>
                <w:sz w:val="24"/>
              </w:rPr>
            </w:pPr>
            <w:r>
              <w:rPr>
                <w:rFonts w:hint="eastAsia" w:ascii="宋体" w:hAnsi="宋体" w:cs="宋体"/>
                <w:sz w:val="24"/>
              </w:rPr>
              <w:t>项目名称</w:t>
            </w:r>
          </w:p>
        </w:tc>
        <w:tc>
          <w:tcPr>
            <w:tcW w:w="6478" w:type="dxa"/>
            <w:vAlign w:val="center"/>
          </w:tcPr>
          <w:p w14:paraId="536EE3BF">
            <w:pPr>
              <w:spacing w:line="400" w:lineRule="exact"/>
              <w:rPr>
                <w:rFonts w:ascii="宋体"/>
                <w:sz w:val="24"/>
              </w:rPr>
            </w:pPr>
          </w:p>
        </w:tc>
      </w:tr>
      <w:tr w14:paraId="749B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exact"/>
        </w:trPr>
        <w:tc>
          <w:tcPr>
            <w:tcW w:w="2657" w:type="dxa"/>
            <w:vAlign w:val="center"/>
          </w:tcPr>
          <w:p w14:paraId="2B1B97C3">
            <w:pPr>
              <w:spacing w:line="400" w:lineRule="exact"/>
              <w:jc w:val="center"/>
              <w:rPr>
                <w:rFonts w:ascii="宋体"/>
                <w:sz w:val="24"/>
              </w:rPr>
            </w:pPr>
            <w:r>
              <w:rPr>
                <w:rFonts w:hint="eastAsia" w:ascii="宋体" w:hAnsi="宋体" w:cs="宋体"/>
                <w:sz w:val="24"/>
              </w:rPr>
              <w:t>项目编号</w:t>
            </w:r>
          </w:p>
        </w:tc>
        <w:tc>
          <w:tcPr>
            <w:tcW w:w="6478" w:type="dxa"/>
            <w:vAlign w:val="center"/>
          </w:tcPr>
          <w:p w14:paraId="33F49E8B">
            <w:pPr>
              <w:spacing w:line="400" w:lineRule="exact"/>
              <w:rPr>
                <w:rFonts w:ascii="宋体"/>
                <w:sz w:val="24"/>
              </w:rPr>
            </w:pPr>
          </w:p>
        </w:tc>
      </w:tr>
      <w:tr w14:paraId="0F74C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exact"/>
        </w:trPr>
        <w:tc>
          <w:tcPr>
            <w:tcW w:w="2657" w:type="dxa"/>
            <w:vAlign w:val="center"/>
          </w:tcPr>
          <w:p w14:paraId="74643950">
            <w:pPr>
              <w:spacing w:line="400" w:lineRule="exact"/>
              <w:jc w:val="center"/>
              <w:rPr>
                <w:rFonts w:ascii="宋体" w:hAnsi="宋体" w:cs="宋体"/>
                <w:sz w:val="24"/>
              </w:rPr>
            </w:pPr>
            <w:r>
              <w:rPr>
                <w:rFonts w:hint="eastAsia" w:ascii="宋体" w:hAnsi="宋体" w:cs="宋体"/>
                <w:sz w:val="24"/>
              </w:rPr>
              <w:t>供应商名称</w:t>
            </w:r>
          </w:p>
        </w:tc>
        <w:tc>
          <w:tcPr>
            <w:tcW w:w="6478" w:type="dxa"/>
            <w:vAlign w:val="center"/>
          </w:tcPr>
          <w:p w14:paraId="62476733">
            <w:pPr>
              <w:spacing w:line="400" w:lineRule="exact"/>
              <w:rPr>
                <w:rFonts w:ascii="宋体"/>
                <w:sz w:val="24"/>
              </w:rPr>
            </w:pPr>
          </w:p>
        </w:tc>
      </w:tr>
      <w:tr w14:paraId="08759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exact"/>
        </w:trPr>
        <w:tc>
          <w:tcPr>
            <w:tcW w:w="2657" w:type="dxa"/>
            <w:vAlign w:val="center"/>
          </w:tcPr>
          <w:p w14:paraId="1AAB0E1D">
            <w:pPr>
              <w:spacing w:line="400" w:lineRule="exact"/>
              <w:jc w:val="center"/>
              <w:rPr>
                <w:rFonts w:ascii="宋体" w:hAnsi="宋体" w:cs="宋体"/>
                <w:sz w:val="24"/>
              </w:rPr>
            </w:pPr>
            <w:r>
              <w:rPr>
                <w:rFonts w:hint="eastAsia" w:ascii="宋体" w:hAnsi="宋体" w:cs="宋体"/>
                <w:sz w:val="24"/>
              </w:rPr>
              <w:t>磋商报价</w:t>
            </w:r>
          </w:p>
        </w:tc>
        <w:tc>
          <w:tcPr>
            <w:tcW w:w="6478" w:type="dxa"/>
            <w:vAlign w:val="center"/>
          </w:tcPr>
          <w:p w14:paraId="7FE6E810">
            <w:pPr>
              <w:spacing w:line="400" w:lineRule="exact"/>
              <w:rPr>
                <w:rFonts w:ascii="宋体" w:hAnsi="宋体" w:cs="宋体"/>
                <w:sz w:val="24"/>
              </w:rPr>
            </w:pPr>
            <w:r>
              <w:rPr>
                <w:rFonts w:hint="eastAsia" w:ascii="宋体" w:hAnsi="宋体" w:cs="宋体"/>
                <w:sz w:val="24"/>
              </w:rPr>
              <w:t xml:space="preserve">大写：     </w:t>
            </w:r>
            <w:r>
              <w:rPr>
                <w:rFonts w:ascii="宋体" w:hAnsi="宋体" w:cs="宋体"/>
                <w:sz w:val="24"/>
              </w:rPr>
              <w:t xml:space="preserve"> </w:t>
            </w:r>
          </w:p>
          <w:p w14:paraId="2E62B89C">
            <w:pPr>
              <w:spacing w:line="400" w:lineRule="exact"/>
              <w:rPr>
                <w:rFonts w:ascii="宋体"/>
                <w:sz w:val="24"/>
              </w:rPr>
            </w:pPr>
            <w:r>
              <w:rPr>
                <w:rFonts w:hint="eastAsia" w:ascii="宋体" w:hAnsi="宋体" w:cs="宋体"/>
                <w:sz w:val="24"/>
              </w:rPr>
              <w:t>小写：</w:t>
            </w:r>
            <w:r>
              <w:rPr>
                <w:rFonts w:ascii="宋体" w:hAnsi="宋体" w:cs="宋体"/>
                <w:sz w:val="24"/>
              </w:rPr>
              <w:t xml:space="preserve"> </w:t>
            </w:r>
            <w:r>
              <w:rPr>
                <w:rFonts w:hint="eastAsia" w:ascii="宋体" w:hAnsi="宋体" w:cs="宋体"/>
                <w:sz w:val="24"/>
              </w:rPr>
              <w:t xml:space="preserve">    元</w:t>
            </w:r>
          </w:p>
        </w:tc>
      </w:tr>
      <w:tr w14:paraId="6A07B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exact"/>
        </w:trPr>
        <w:tc>
          <w:tcPr>
            <w:tcW w:w="2657" w:type="dxa"/>
            <w:vAlign w:val="center"/>
          </w:tcPr>
          <w:p w14:paraId="74DB872C">
            <w:pPr>
              <w:spacing w:line="400" w:lineRule="exact"/>
              <w:jc w:val="center"/>
              <w:rPr>
                <w:rFonts w:ascii="宋体"/>
                <w:sz w:val="24"/>
              </w:rPr>
            </w:pPr>
            <w:r>
              <w:rPr>
                <w:rFonts w:hint="eastAsia" w:ascii="宋体" w:hAnsi="宋体" w:cs="宋体"/>
                <w:sz w:val="24"/>
              </w:rPr>
              <w:t>服务期限</w:t>
            </w:r>
          </w:p>
        </w:tc>
        <w:tc>
          <w:tcPr>
            <w:tcW w:w="6478" w:type="dxa"/>
            <w:vAlign w:val="center"/>
          </w:tcPr>
          <w:p w14:paraId="0F1C25D4">
            <w:pPr>
              <w:spacing w:line="400" w:lineRule="exact"/>
              <w:ind w:firstLine="840" w:firstLineChars="350"/>
              <w:rPr>
                <w:rFonts w:ascii="宋体"/>
                <w:sz w:val="24"/>
              </w:rPr>
            </w:pPr>
          </w:p>
        </w:tc>
      </w:tr>
      <w:tr w14:paraId="0992C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exact"/>
        </w:trPr>
        <w:tc>
          <w:tcPr>
            <w:tcW w:w="2657" w:type="dxa"/>
            <w:vAlign w:val="center"/>
          </w:tcPr>
          <w:p w14:paraId="554C524A">
            <w:pPr>
              <w:spacing w:line="400" w:lineRule="exact"/>
              <w:jc w:val="center"/>
              <w:rPr>
                <w:rFonts w:ascii="宋体" w:hAnsi="宋体" w:cs="宋体"/>
                <w:sz w:val="24"/>
              </w:rPr>
            </w:pPr>
            <w:r>
              <w:rPr>
                <w:rFonts w:hint="eastAsia" w:ascii="宋体" w:hAnsi="宋体" w:cs="宋体"/>
                <w:sz w:val="24"/>
              </w:rPr>
              <w:t>质量要求</w:t>
            </w:r>
          </w:p>
        </w:tc>
        <w:tc>
          <w:tcPr>
            <w:tcW w:w="6478" w:type="dxa"/>
            <w:vAlign w:val="center"/>
          </w:tcPr>
          <w:p w14:paraId="7D8B9DBB">
            <w:pPr>
              <w:spacing w:line="400" w:lineRule="exact"/>
              <w:jc w:val="center"/>
              <w:rPr>
                <w:rFonts w:ascii="宋体"/>
                <w:sz w:val="24"/>
              </w:rPr>
            </w:pPr>
          </w:p>
        </w:tc>
      </w:tr>
      <w:tr w14:paraId="5908A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exact"/>
        </w:trPr>
        <w:tc>
          <w:tcPr>
            <w:tcW w:w="2657" w:type="dxa"/>
            <w:vAlign w:val="center"/>
          </w:tcPr>
          <w:p w14:paraId="3F71E5E2">
            <w:pPr>
              <w:spacing w:line="400" w:lineRule="exact"/>
              <w:jc w:val="center"/>
              <w:rPr>
                <w:rFonts w:ascii="宋体" w:hAnsi="宋体" w:cs="宋体"/>
                <w:sz w:val="24"/>
              </w:rPr>
            </w:pPr>
            <w:r>
              <w:rPr>
                <w:rFonts w:hint="eastAsia" w:ascii="宋体" w:hAnsi="宋体" w:cs="宋体"/>
                <w:sz w:val="24"/>
              </w:rPr>
              <w:t>磋商有效期</w:t>
            </w:r>
          </w:p>
        </w:tc>
        <w:tc>
          <w:tcPr>
            <w:tcW w:w="6478" w:type="dxa"/>
            <w:vAlign w:val="center"/>
          </w:tcPr>
          <w:p w14:paraId="077FC9D3">
            <w:pPr>
              <w:spacing w:line="400" w:lineRule="exact"/>
              <w:jc w:val="center"/>
              <w:rPr>
                <w:rFonts w:ascii="宋体"/>
                <w:sz w:val="24"/>
              </w:rPr>
            </w:pPr>
          </w:p>
        </w:tc>
      </w:tr>
      <w:tr w14:paraId="4E8D8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exact"/>
        </w:trPr>
        <w:tc>
          <w:tcPr>
            <w:tcW w:w="2657" w:type="dxa"/>
            <w:vAlign w:val="center"/>
          </w:tcPr>
          <w:p w14:paraId="61D6E2B5">
            <w:pPr>
              <w:spacing w:line="400" w:lineRule="exact"/>
              <w:jc w:val="center"/>
              <w:rPr>
                <w:rFonts w:ascii="宋体" w:hAnsi="宋体" w:cs="宋体"/>
                <w:sz w:val="24"/>
              </w:rPr>
            </w:pPr>
            <w:r>
              <w:rPr>
                <w:rFonts w:hint="eastAsia" w:ascii="宋体" w:hAnsi="宋体" w:cs="宋体"/>
                <w:sz w:val="24"/>
              </w:rPr>
              <w:t>项目联系人及联系方式</w:t>
            </w:r>
          </w:p>
        </w:tc>
        <w:tc>
          <w:tcPr>
            <w:tcW w:w="6478" w:type="dxa"/>
            <w:vAlign w:val="center"/>
          </w:tcPr>
          <w:p w14:paraId="7CDDF5E6">
            <w:pPr>
              <w:spacing w:line="400" w:lineRule="exact"/>
              <w:jc w:val="center"/>
              <w:rPr>
                <w:rFonts w:ascii="宋体"/>
                <w:sz w:val="24"/>
              </w:rPr>
            </w:pPr>
          </w:p>
        </w:tc>
      </w:tr>
      <w:tr w14:paraId="285CE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exact"/>
        </w:trPr>
        <w:tc>
          <w:tcPr>
            <w:tcW w:w="2657" w:type="dxa"/>
            <w:vAlign w:val="center"/>
          </w:tcPr>
          <w:p w14:paraId="53167E93">
            <w:pPr>
              <w:spacing w:line="400" w:lineRule="exact"/>
              <w:jc w:val="center"/>
              <w:rPr>
                <w:rFonts w:ascii="宋体" w:hAnsi="宋体" w:cs="宋体"/>
                <w:sz w:val="24"/>
              </w:rPr>
            </w:pPr>
            <w:r>
              <w:rPr>
                <w:rFonts w:hint="eastAsia" w:ascii="宋体" w:hAnsi="宋体" w:cs="宋体"/>
                <w:sz w:val="24"/>
              </w:rPr>
              <w:t>备注</w:t>
            </w:r>
          </w:p>
        </w:tc>
        <w:tc>
          <w:tcPr>
            <w:tcW w:w="6478" w:type="dxa"/>
            <w:vAlign w:val="center"/>
          </w:tcPr>
          <w:p w14:paraId="43CE1EED">
            <w:pPr>
              <w:spacing w:line="400" w:lineRule="exact"/>
              <w:jc w:val="center"/>
              <w:rPr>
                <w:rFonts w:ascii="宋体"/>
                <w:sz w:val="24"/>
              </w:rPr>
            </w:pPr>
          </w:p>
        </w:tc>
      </w:tr>
    </w:tbl>
    <w:p w14:paraId="79C52B80">
      <w:pPr>
        <w:snapToGrid w:val="0"/>
        <w:spacing w:line="580" w:lineRule="exact"/>
        <w:ind w:left="-18" w:leftChars="-22" w:right="-817" w:rightChars="-389" w:hanging="28" w:hangingChars="12"/>
        <w:rPr>
          <w:rFonts w:ascii="宋体" w:hAnsi="宋体" w:cs="宋体"/>
          <w:sz w:val="24"/>
        </w:rPr>
      </w:pPr>
    </w:p>
    <w:p w14:paraId="67D319D0">
      <w:pPr>
        <w:spacing w:line="360" w:lineRule="auto"/>
        <w:ind w:firstLine="3360" w:firstLineChars="1400"/>
        <w:rPr>
          <w:rFonts w:ascii="宋体" w:hAnsi="宋体" w:cs="宋体"/>
          <w:sz w:val="24"/>
        </w:rPr>
      </w:pPr>
    </w:p>
    <w:p w14:paraId="3C898449">
      <w:pPr>
        <w:spacing w:line="360" w:lineRule="auto"/>
        <w:ind w:firstLine="3360" w:firstLineChars="1400"/>
        <w:rPr>
          <w:rFonts w:ascii="宋体" w:hAnsi="宋体" w:cs="宋体"/>
          <w:sz w:val="24"/>
        </w:rPr>
      </w:pPr>
    </w:p>
    <w:p w14:paraId="1A069A35">
      <w:pPr>
        <w:spacing w:line="480" w:lineRule="auto"/>
        <w:ind w:firstLine="3120" w:firstLineChars="1300"/>
        <w:rPr>
          <w:rFonts w:ascii="宋体" w:hAnsi="宋体" w:cs="宋体"/>
          <w:kern w:val="0"/>
          <w:sz w:val="24"/>
        </w:rPr>
      </w:pPr>
      <w:r>
        <w:rPr>
          <w:rFonts w:hint="eastAsia" w:ascii="宋体" w:hAnsi="宋体" w:cs="宋体"/>
          <w:kern w:val="0"/>
          <w:sz w:val="24"/>
        </w:rPr>
        <w:t>响应供应商(盖章)：</w:t>
      </w:r>
      <w:r>
        <w:rPr>
          <w:rFonts w:hint="eastAsia" w:ascii="宋体" w:hAnsi="宋体" w:cs="宋体"/>
          <w:kern w:val="0"/>
          <w:sz w:val="24"/>
          <w:u w:val="single"/>
        </w:rPr>
        <w:t xml:space="preserve">              </w:t>
      </w:r>
      <w:r>
        <w:rPr>
          <w:rFonts w:hint="eastAsia" w:ascii="宋体" w:hAnsi="宋体" w:cs="宋体"/>
          <w:kern w:val="0"/>
          <w:sz w:val="24"/>
        </w:rPr>
        <w:t xml:space="preserve"> </w:t>
      </w:r>
    </w:p>
    <w:p w14:paraId="07563941">
      <w:pPr>
        <w:spacing w:line="480" w:lineRule="auto"/>
        <w:ind w:firstLine="3120" w:firstLineChars="1300"/>
        <w:rPr>
          <w:rFonts w:ascii="宋体" w:hAnsi="宋体" w:cs="宋体"/>
          <w:kern w:val="0"/>
          <w:sz w:val="24"/>
          <w:u w:val="single"/>
        </w:rPr>
      </w:pPr>
      <w:r>
        <w:rPr>
          <w:rFonts w:hint="eastAsia" w:ascii="宋体" w:hAnsi="宋体" w:cs="宋体"/>
          <w:kern w:val="0"/>
          <w:sz w:val="24"/>
        </w:rPr>
        <w:t>法定代表人或其委托代理人(签字或盖章)：</w:t>
      </w:r>
      <w:r>
        <w:rPr>
          <w:rFonts w:hint="eastAsia" w:ascii="宋体" w:hAnsi="宋体" w:cs="宋体"/>
          <w:kern w:val="0"/>
          <w:sz w:val="24"/>
          <w:u w:val="single"/>
        </w:rPr>
        <w:t xml:space="preserve">       </w:t>
      </w:r>
    </w:p>
    <w:p w14:paraId="15B3F7D1">
      <w:pPr>
        <w:spacing w:line="480" w:lineRule="auto"/>
        <w:ind w:right="480" w:firstLine="3120" w:firstLineChars="1300"/>
        <w:rPr>
          <w:sz w:val="24"/>
        </w:rPr>
      </w:pPr>
      <w:r>
        <w:rPr>
          <w:rFonts w:hint="eastAsia" w:ascii="宋体" w:hAnsi="宋体" w:cs="宋体"/>
          <w:kern w:val="0"/>
          <w:sz w:val="24"/>
        </w:rPr>
        <w:t>日    期：      年   月   日</w:t>
      </w:r>
    </w:p>
    <w:p w14:paraId="775779B7"/>
    <w:p w14:paraId="63F7A6DD">
      <w:pPr>
        <w:rPr>
          <w:rFonts w:ascii="宋体" w:hAnsi="宋体"/>
          <w:b/>
          <w:bCs/>
          <w:sz w:val="28"/>
          <w:szCs w:val="28"/>
        </w:rPr>
      </w:pPr>
    </w:p>
    <w:p w14:paraId="47D04A9B">
      <w:pPr>
        <w:rPr>
          <w:rFonts w:ascii="宋体" w:hAnsi="宋体"/>
          <w:b/>
          <w:bCs/>
          <w:sz w:val="28"/>
          <w:szCs w:val="28"/>
        </w:rPr>
      </w:pPr>
    </w:p>
    <w:p w14:paraId="3BE9BC5F"/>
    <w:p w14:paraId="3D3128D7">
      <w:pPr>
        <w:keepNext/>
        <w:keepLines/>
        <w:spacing w:before="260" w:after="260" w:line="412" w:lineRule="auto"/>
        <w:jc w:val="center"/>
        <w:outlineLvl w:val="1"/>
        <w:rPr>
          <w:sz w:val="28"/>
          <w:szCs w:val="28"/>
          <w:highlight w:val="none"/>
        </w:rPr>
      </w:pPr>
      <w:r>
        <w:rPr>
          <w:rFonts w:ascii="宋体" w:hAnsi="宋体" w:cs="宋体"/>
          <w:b/>
          <w:bCs/>
          <w:sz w:val="32"/>
          <w:szCs w:val="32"/>
        </w:rPr>
        <w:br w:type="page"/>
      </w:r>
      <w:bookmarkStart w:id="10" w:name="_Toc16027"/>
      <w:r>
        <w:rPr>
          <w:rFonts w:hint="eastAsia" w:ascii="宋体" w:hAnsi="宋体" w:cs="宋体"/>
          <w:b/>
          <w:bCs/>
          <w:sz w:val="32"/>
          <w:szCs w:val="32"/>
          <w:highlight w:val="none"/>
        </w:rPr>
        <w:t>四、</w:t>
      </w:r>
      <w:r>
        <w:rPr>
          <w:rFonts w:ascii="宋体" w:hAnsi="宋体" w:cs="宋体"/>
          <w:b/>
          <w:bCs/>
          <w:sz w:val="32"/>
          <w:szCs w:val="32"/>
          <w:highlight w:val="none"/>
        </w:rPr>
        <w:t>联合体协议书（适用于联合体投标）</w:t>
      </w:r>
      <w:bookmarkEnd w:id="10"/>
    </w:p>
    <w:p w14:paraId="7C960819">
      <w:pPr>
        <w:spacing w:line="360" w:lineRule="auto"/>
        <w:ind w:firstLine="480" w:firstLineChars="200"/>
        <w:jc w:val="left"/>
        <w:rPr>
          <w:rFonts w:ascii="宋体" w:hAnsi="宋体" w:cs="宋体"/>
          <w:sz w:val="24"/>
          <w:highlight w:val="none"/>
        </w:rPr>
      </w:pP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hint="eastAsia" w:ascii="宋体" w:hAnsi="宋体" w:cs="宋体"/>
          <w:kern w:val="0"/>
          <w:sz w:val="24"/>
          <w:highlight w:val="none"/>
          <w:u w:val="single"/>
        </w:rPr>
        <w:t xml:space="preserve">     </w:t>
      </w:r>
      <w:r>
        <w:rPr>
          <w:rFonts w:hint="eastAsia" w:ascii="宋体" w:hAnsi="宋体" w:cs="宋体"/>
          <w:sz w:val="24"/>
          <w:highlight w:val="none"/>
        </w:rPr>
        <w:t>（所有成员单位名称）</w:t>
      </w:r>
      <w:r>
        <w:rPr>
          <w:rFonts w:ascii="宋体" w:hAnsi="宋体" w:cs="宋体"/>
          <w:sz w:val="24"/>
          <w:highlight w:val="none"/>
        </w:rPr>
        <w:t>自愿组成</w:t>
      </w:r>
      <w:r>
        <w:rPr>
          <w:rFonts w:hint="eastAsia" w:ascii="宋体" w:hAnsi="宋体" w:cs="宋体"/>
          <w:kern w:val="0"/>
          <w:sz w:val="24"/>
          <w:highlight w:val="none"/>
          <w:u w:val="single"/>
        </w:rPr>
        <w:t xml:space="preserve">            </w:t>
      </w:r>
      <w:r>
        <w:rPr>
          <w:rFonts w:ascii="宋体" w:hAnsi="宋体" w:cs="宋体"/>
          <w:sz w:val="24"/>
          <w:highlight w:val="none"/>
        </w:rPr>
        <w:t>（联合体名称）联合体，共同参加</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ascii="宋体" w:hAnsi="宋体" w:cs="宋体"/>
          <w:sz w:val="24"/>
          <w:highlight w:val="none"/>
        </w:rPr>
        <w:t>（项目名称）的投标，现就联合体投标事宜订立如下协议：</w:t>
      </w:r>
    </w:p>
    <w:p w14:paraId="470B0C93">
      <w:pPr>
        <w:spacing w:line="360" w:lineRule="auto"/>
        <w:ind w:firstLine="480" w:firstLineChars="200"/>
        <w:jc w:val="left"/>
        <w:rPr>
          <w:rFonts w:ascii="宋体" w:hAnsi="宋体" w:cs="宋体"/>
          <w:sz w:val="24"/>
          <w:highlight w:val="none"/>
        </w:rPr>
      </w:pPr>
      <w:r>
        <w:rPr>
          <w:rFonts w:ascii="宋体" w:hAnsi="宋体" w:cs="宋体"/>
          <w:sz w:val="24"/>
          <w:highlight w:val="none"/>
        </w:rPr>
        <w:t>1．</w:t>
      </w:r>
      <w:r>
        <w:rPr>
          <w:rFonts w:hint="eastAsia" w:ascii="宋体" w:hAnsi="宋体" w:cs="宋体"/>
          <w:kern w:val="0"/>
          <w:sz w:val="24"/>
          <w:highlight w:val="none"/>
          <w:u w:val="single"/>
        </w:rPr>
        <w:t xml:space="preserve">            </w:t>
      </w:r>
      <w:r>
        <w:rPr>
          <w:rFonts w:ascii="宋体" w:hAnsi="宋体" w:cs="宋体"/>
          <w:sz w:val="24"/>
          <w:highlight w:val="none"/>
        </w:rPr>
        <w:t>（某成员单位名称）为</w:t>
      </w:r>
      <w:r>
        <w:rPr>
          <w:rFonts w:hint="eastAsia" w:ascii="宋体" w:hAnsi="宋体" w:cs="宋体"/>
          <w:kern w:val="0"/>
          <w:sz w:val="24"/>
          <w:highlight w:val="none"/>
          <w:u w:val="single"/>
        </w:rPr>
        <w:t xml:space="preserve">            </w:t>
      </w:r>
      <w:r>
        <w:rPr>
          <w:rFonts w:ascii="宋体" w:hAnsi="宋体" w:cs="宋体"/>
          <w:sz w:val="24"/>
          <w:highlight w:val="none"/>
        </w:rPr>
        <w:t>（联合体名称）牵头人。</w:t>
      </w:r>
    </w:p>
    <w:p w14:paraId="11189037">
      <w:pPr>
        <w:spacing w:line="360" w:lineRule="auto"/>
        <w:ind w:firstLine="480" w:firstLineChars="200"/>
        <w:jc w:val="left"/>
        <w:rPr>
          <w:rFonts w:ascii="宋体" w:hAnsi="宋体" w:cs="宋体"/>
          <w:sz w:val="24"/>
          <w:highlight w:val="none"/>
        </w:rPr>
      </w:pPr>
      <w:r>
        <w:rPr>
          <w:rFonts w:ascii="宋体" w:hAnsi="宋体" w:cs="宋体"/>
          <w:sz w:val="24"/>
          <w:highlight w:val="none"/>
        </w:rPr>
        <w:t>2．联合体牵头人合法代表联合体各成员负责本招标项目投标文件编制、递交和合同谈判活动，并代表联合体提交和接收相关的资料、信息及指示，并处理与之有关的一切事务；联合体中标后，联合体牵头人负责合同订立和合同实施阶段的主办、组织和协调工作，承担主要责任。</w:t>
      </w:r>
    </w:p>
    <w:p w14:paraId="5483F4E5">
      <w:pPr>
        <w:spacing w:line="360" w:lineRule="auto"/>
        <w:ind w:firstLine="480" w:firstLineChars="200"/>
        <w:jc w:val="left"/>
        <w:rPr>
          <w:rFonts w:ascii="宋体" w:hAnsi="宋体" w:cs="宋体"/>
          <w:sz w:val="24"/>
          <w:highlight w:val="none"/>
        </w:rPr>
      </w:pPr>
      <w:r>
        <w:rPr>
          <w:rFonts w:ascii="宋体" w:hAnsi="宋体" w:cs="宋体"/>
          <w:sz w:val="24"/>
          <w:highlight w:val="none"/>
        </w:rPr>
        <w:t>3．联合体将严格按照招标文件的各项要求，递交投标文件，履行投标义务和中标后的合同，共同承担合同规定的一切义务和责任，联合体各成员单位按照内部职责分工，承担各自所负的责任和风险，并向招标人承担连带责任。</w:t>
      </w:r>
    </w:p>
    <w:p w14:paraId="24A6C598">
      <w:pPr>
        <w:spacing w:line="360" w:lineRule="auto"/>
        <w:ind w:firstLine="480" w:firstLineChars="200"/>
        <w:jc w:val="left"/>
        <w:rPr>
          <w:rFonts w:ascii="宋体" w:hAnsi="宋体" w:cs="宋体"/>
          <w:sz w:val="24"/>
          <w:highlight w:val="none"/>
        </w:rPr>
      </w:pPr>
      <w:r>
        <w:rPr>
          <w:rFonts w:ascii="宋体" w:hAnsi="宋体" w:cs="宋体"/>
          <w:sz w:val="24"/>
          <w:highlight w:val="none"/>
        </w:rPr>
        <w:t>4．联合体各成员单位内部的职责分工如下：</w:t>
      </w:r>
      <w:r>
        <w:rPr>
          <w:rFonts w:hint="eastAsia" w:ascii="宋体" w:hAnsi="宋体" w:cs="宋体"/>
          <w:kern w:val="0"/>
          <w:sz w:val="24"/>
          <w:highlight w:val="none"/>
          <w:u w:val="single"/>
        </w:rPr>
        <w:t xml:space="preserve">                              </w:t>
      </w:r>
      <w:r>
        <w:rPr>
          <w:rFonts w:hint="eastAsia" w:ascii="宋体" w:hAnsi="宋体" w:cs="宋体"/>
          <w:sz w:val="24"/>
          <w:highlight w:val="none"/>
        </w:rPr>
        <w:t xml:space="preserve">           </w:t>
      </w:r>
      <w:r>
        <w:rPr>
          <w:rFonts w:ascii="宋体" w:hAnsi="宋体" w:cs="宋体"/>
          <w:sz w:val="24"/>
          <w:highlight w:val="none"/>
        </w:rPr>
        <w:t xml:space="preserve">                  </w:t>
      </w:r>
    </w:p>
    <w:p w14:paraId="58E80165">
      <w:pPr>
        <w:spacing w:line="360" w:lineRule="auto"/>
        <w:ind w:firstLine="480" w:firstLineChars="200"/>
        <w:jc w:val="left"/>
        <w:rPr>
          <w:rFonts w:ascii="宋体" w:hAnsi="宋体" w:cs="宋体"/>
          <w:sz w:val="24"/>
          <w:highlight w:val="none"/>
        </w:rPr>
      </w:pPr>
      <w:r>
        <w:rPr>
          <w:rFonts w:ascii="宋体" w:hAnsi="宋体" w:cs="宋体"/>
          <w:sz w:val="24"/>
          <w:highlight w:val="none"/>
        </w:rPr>
        <w:t>5．本协议书自签署之日起生效，联合体未中标或者中标时合同履行完毕后自动失效。</w:t>
      </w:r>
    </w:p>
    <w:p w14:paraId="3DF5E040">
      <w:pPr>
        <w:spacing w:line="360" w:lineRule="auto"/>
        <w:ind w:firstLine="480" w:firstLineChars="200"/>
        <w:jc w:val="left"/>
        <w:rPr>
          <w:rFonts w:ascii="宋体" w:hAnsi="宋体" w:cs="宋体"/>
          <w:sz w:val="24"/>
          <w:highlight w:val="none"/>
        </w:rPr>
      </w:pPr>
      <w:r>
        <w:rPr>
          <w:rFonts w:ascii="宋体" w:hAnsi="宋体" w:cs="宋体"/>
          <w:sz w:val="24"/>
          <w:highlight w:val="none"/>
        </w:rPr>
        <w:t>6．本协议书一式</w:t>
      </w:r>
      <w:r>
        <w:rPr>
          <w:rFonts w:hint="eastAsia" w:ascii="宋体" w:hAnsi="宋体" w:cs="宋体"/>
          <w:kern w:val="0"/>
          <w:sz w:val="24"/>
          <w:highlight w:val="none"/>
          <w:u w:val="single"/>
        </w:rPr>
        <w:t xml:space="preserve">    </w:t>
      </w:r>
      <w:r>
        <w:rPr>
          <w:rFonts w:ascii="宋体" w:hAnsi="宋体" w:cs="宋体"/>
          <w:sz w:val="24"/>
          <w:highlight w:val="none"/>
        </w:rPr>
        <w:t>份，联合体成员和招标人各执</w:t>
      </w:r>
      <w:r>
        <w:rPr>
          <w:rFonts w:hint="eastAsia" w:ascii="宋体" w:hAnsi="宋体" w:cs="宋体"/>
          <w:kern w:val="0"/>
          <w:sz w:val="24"/>
          <w:highlight w:val="none"/>
          <w:u w:val="single"/>
        </w:rPr>
        <w:t xml:space="preserve">    </w:t>
      </w:r>
      <w:r>
        <w:rPr>
          <w:rFonts w:ascii="宋体" w:hAnsi="宋体" w:cs="宋体"/>
          <w:sz w:val="24"/>
          <w:highlight w:val="none"/>
        </w:rPr>
        <w:t>份。</w:t>
      </w:r>
    </w:p>
    <w:p w14:paraId="1F09BB30">
      <w:pPr>
        <w:spacing w:line="360" w:lineRule="auto"/>
        <w:ind w:firstLine="480" w:firstLineChars="200"/>
        <w:jc w:val="left"/>
        <w:rPr>
          <w:rFonts w:ascii="宋体" w:hAnsi="宋体" w:cs="宋体"/>
          <w:sz w:val="24"/>
          <w:highlight w:val="none"/>
        </w:rPr>
      </w:pPr>
      <w:r>
        <w:rPr>
          <w:rFonts w:ascii="宋体" w:hAnsi="宋体" w:cs="宋体"/>
          <w:sz w:val="24"/>
          <w:highlight w:val="none"/>
        </w:rPr>
        <w:t>备注：本协议书由委托代理人签字的，应附法定代表人签字的授权委托书。</w:t>
      </w:r>
    </w:p>
    <w:p w14:paraId="7DF0F637">
      <w:pPr>
        <w:spacing w:line="360" w:lineRule="auto"/>
        <w:ind w:firstLine="480" w:firstLineChars="200"/>
        <w:jc w:val="left"/>
        <w:rPr>
          <w:rFonts w:hint="eastAsia" w:ascii="宋体" w:hAnsi="宋体" w:cs="宋体"/>
          <w:sz w:val="24"/>
          <w:highlight w:val="none"/>
        </w:rPr>
      </w:pPr>
    </w:p>
    <w:p w14:paraId="2A9EEEFF">
      <w:pPr>
        <w:spacing w:line="360" w:lineRule="auto"/>
        <w:jc w:val="left"/>
        <w:rPr>
          <w:rFonts w:ascii="宋体" w:hAnsi="宋体" w:cs="宋体"/>
          <w:sz w:val="24"/>
          <w:highlight w:val="none"/>
        </w:rPr>
      </w:pPr>
      <w:r>
        <w:rPr>
          <w:rFonts w:ascii="宋体" w:hAnsi="宋体" w:cs="宋体"/>
          <w:sz w:val="24"/>
          <w:highlight w:val="none"/>
        </w:rPr>
        <w:t>牵头人名称：</w:t>
      </w:r>
      <w:r>
        <w:rPr>
          <w:rFonts w:hint="eastAsia" w:ascii="宋体" w:hAnsi="宋体" w:cs="宋体"/>
          <w:kern w:val="0"/>
          <w:sz w:val="24"/>
          <w:highlight w:val="none"/>
          <w:u w:val="single"/>
        </w:rPr>
        <w:t xml:space="preserve">                                    </w:t>
      </w:r>
      <w:r>
        <w:rPr>
          <w:rFonts w:ascii="宋体" w:hAnsi="宋体" w:cs="宋体"/>
          <w:sz w:val="24"/>
          <w:highlight w:val="none"/>
        </w:rPr>
        <w:t>（盖单位公章）</w:t>
      </w:r>
    </w:p>
    <w:p w14:paraId="539C5A02">
      <w:pPr>
        <w:spacing w:line="360" w:lineRule="auto"/>
        <w:jc w:val="left"/>
        <w:rPr>
          <w:rFonts w:ascii="宋体" w:hAnsi="宋体" w:cs="宋体"/>
          <w:sz w:val="24"/>
          <w:highlight w:val="none"/>
        </w:rPr>
      </w:pPr>
      <w:r>
        <w:rPr>
          <w:rFonts w:ascii="宋体" w:hAnsi="宋体" w:cs="宋体"/>
          <w:sz w:val="24"/>
          <w:highlight w:val="none"/>
        </w:rPr>
        <w:t>法定代表人或其委托代理人：</w:t>
      </w:r>
      <w:r>
        <w:rPr>
          <w:rFonts w:hint="eastAsia" w:ascii="宋体" w:hAnsi="宋体" w:cs="宋体"/>
          <w:kern w:val="0"/>
          <w:sz w:val="24"/>
          <w:highlight w:val="none"/>
          <w:u w:val="single"/>
        </w:rPr>
        <w:t xml:space="preserve">            </w:t>
      </w:r>
      <w:r>
        <w:rPr>
          <w:rFonts w:ascii="宋体" w:hAnsi="宋体" w:cs="宋体"/>
          <w:sz w:val="24"/>
          <w:highlight w:val="none"/>
        </w:rPr>
        <w:t>（签字）</w:t>
      </w:r>
    </w:p>
    <w:p w14:paraId="02E81EC5">
      <w:pPr>
        <w:spacing w:line="360" w:lineRule="auto"/>
        <w:jc w:val="left"/>
        <w:rPr>
          <w:rFonts w:ascii="宋体" w:hAnsi="宋体" w:cs="宋体"/>
          <w:sz w:val="24"/>
          <w:highlight w:val="none"/>
        </w:rPr>
      </w:pPr>
      <w:r>
        <w:rPr>
          <w:rFonts w:ascii="宋体" w:hAnsi="宋体" w:cs="宋体"/>
          <w:sz w:val="24"/>
          <w:highlight w:val="none"/>
        </w:rPr>
        <w:t>成员一名称：</w:t>
      </w:r>
      <w:r>
        <w:rPr>
          <w:rFonts w:hint="eastAsia" w:ascii="宋体" w:hAnsi="宋体" w:cs="宋体"/>
          <w:kern w:val="0"/>
          <w:sz w:val="24"/>
          <w:highlight w:val="none"/>
          <w:u w:val="single"/>
        </w:rPr>
        <w:t xml:space="preserve">                                    </w:t>
      </w:r>
      <w:r>
        <w:rPr>
          <w:rFonts w:ascii="宋体" w:hAnsi="宋体" w:cs="宋体"/>
          <w:sz w:val="24"/>
          <w:highlight w:val="none"/>
        </w:rPr>
        <w:t>（盖单位公章）</w:t>
      </w:r>
    </w:p>
    <w:p w14:paraId="4D000256">
      <w:pPr>
        <w:spacing w:line="360" w:lineRule="auto"/>
        <w:jc w:val="left"/>
        <w:rPr>
          <w:rFonts w:ascii="宋体" w:hAnsi="宋体" w:cs="宋体"/>
          <w:sz w:val="24"/>
          <w:highlight w:val="none"/>
        </w:rPr>
      </w:pPr>
      <w:r>
        <w:rPr>
          <w:rFonts w:ascii="宋体" w:hAnsi="宋体" w:cs="宋体"/>
          <w:sz w:val="24"/>
          <w:highlight w:val="none"/>
        </w:rPr>
        <w:t>法定代表人或其委托代理人：</w:t>
      </w:r>
      <w:r>
        <w:rPr>
          <w:rFonts w:hint="eastAsia" w:ascii="宋体" w:hAnsi="宋体" w:cs="宋体"/>
          <w:kern w:val="0"/>
          <w:sz w:val="24"/>
          <w:highlight w:val="none"/>
          <w:u w:val="single"/>
        </w:rPr>
        <w:t xml:space="preserve">            </w:t>
      </w:r>
      <w:r>
        <w:rPr>
          <w:rFonts w:ascii="宋体" w:hAnsi="宋体" w:cs="宋体"/>
          <w:sz w:val="24"/>
          <w:highlight w:val="none"/>
        </w:rPr>
        <w:t>（签字）</w:t>
      </w:r>
    </w:p>
    <w:p w14:paraId="030BE6AB">
      <w:pPr>
        <w:spacing w:line="360" w:lineRule="auto"/>
        <w:ind w:firstLine="480"/>
        <w:rPr>
          <w:kern w:val="1"/>
          <w:szCs w:val="21"/>
          <w:highlight w:val="none"/>
        </w:rPr>
      </w:pPr>
    </w:p>
    <w:p w14:paraId="12A2F955">
      <w:pPr>
        <w:spacing w:line="360" w:lineRule="auto"/>
        <w:jc w:val="right"/>
        <w:rPr>
          <w:highlight w:val="none"/>
        </w:rPr>
      </w:pPr>
      <w:r>
        <w:rPr>
          <w:kern w:val="1"/>
          <w:szCs w:val="21"/>
          <w:highlight w:val="none"/>
        </w:rPr>
        <w:t>年</w:t>
      </w:r>
      <w:r>
        <w:rPr>
          <w:rFonts w:hint="eastAsia"/>
          <w:kern w:val="1"/>
          <w:szCs w:val="21"/>
          <w:highlight w:val="none"/>
        </w:rPr>
        <w:t xml:space="preserve">   </w:t>
      </w:r>
      <w:r>
        <w:rPr>
          <w:kern w:val="1"/>
          <w:szCs w:val="21"/>
          <w:highlight w:val="none"/>
        </w:rPr>
        <w:t>月</w:t>
      </w:r>
      <w:r>
        <w:rPr>
          <w:rFonts w:hint="eastAsia"/>
          <w:kern w:val="1"/>
          <w:szCs w:val="21"/>
          <w:highlight w:val="none"/>
        </w:rPr>
        <w:t xml:space="preserve">    </w:t>
      </w:r>
      <w:r>
        <w:rPr>
          <w:kern w:val="1"/>
          <w:szCs w:val="21"/>
          <w:highlight w:val="none"/>
        </w:rPr>
        <w:t>日</w:t>
      </w:r>
    </w:p>
    <w:p w14:paraId="4C5D2CE5">
      <w:pPr>
        <w:widowControl/>
        <w:jc w:val="left"/>
        <w:rPr>
          <w:rFonts w:ascii="宋体" w:hAnsi="宋体" w:cs="宋体"/>
          <w:b/>
          <w:bCs/>
          <w:sz w:val="32"/>
          <w:szCs w:val="32"/>
        </w:rPr>
      </w:pPr>
      <w:r>
        <w:rPr>
          <w:rFonts w:ascii="宋体" w:hAnsi="宋体" w:cs="宋体"/>
          <w:b/>
          <w:bCs/>
          <w:sz w:val="32"/>
          <w:szCs w:val="32"/>
        </w:rPr>
        <w:br w:type="page"/>
      </w:r>
    </w:p>
    <w:p w14:paraId="271FE285">
      <w:pPr>
        <w:wordWrap w:val="0"/>
        <w:spacing w:line="520" w:lineRule="exact"/>
        <w:jc w:val="center"/>
        <w:rPr>
          <w:rFonts w:ascii="宋体" w:hAnsi="宋体" w:cs="宋体"/>
          <w:b/>
          <w:bCs/>
          <w:sz w:val="32"/>
          <w:szCs w:val="32"/>
        </w:rPr>
      </w:pPr>
      <w:r>
        <w:rPr>
          <w:rFonts w:hint="eastAsia" w:ascii="宋体" w:hAnsi="宋体" w:cs="宋体"/>
          <w:b/>
          <w:bCs/>
          <w:sz w:val="32"/>
          <w:szCs w:val="32"/>
          <w:lang w:val="en-US" w:eastAsia="zh-CN"/>
        </w:rPr>
        <w:t>五</w:t>
      </w:r>
      <w:r>
        <w:rPr>
          <w:rFonts w:hint="eastAsia" w:ascii="宋体" w:hAnsi="宋体" w:cs="宋体"/>
          <w:b/>
          <w:bCs/>
          <w:sz w:val="32"/>
          <w:szCs w:val="32"/>
        </w:rPr>
        <w:t>、服务方案</w:t>
      </w:r>
    </w:p>
    <w:p w14:paraId="144CDF9F">
      <w:pPr>
        <w:spacing w:line="360" w:lineRule="auto"/>
        <w:jc w:val="center"/>
        <w:rPr>
          <w:rFonts w:ascii="宋体" w:hAnsi="宋体"/>
          <w:b/>
          <w:sz w:val="30"/>
          <w:szCs w:val="30"/>
        </w:rPr>
      </w:pPr>
    </w:p>
    <w:p w14:paraId="16E1E495">
      <w:pPr>
        <w:spacing w:line="360" w:lineRule="auto"/>
        <w:jc w:val="center"/>
        <w:rPr>
          <w:rFonts w:ascii="宋体" w:hAnsi="宋体"/>
          <w:sz w:val="24"/>
        </w:rPr>
      </w:pPr>
      <w:r>
        <w:rPr>
          <w:rFonts w:hint="eastAsia" w:ascii="宋体" w:hAnsi="宋体"/>
          <w:b/>
          <w:sz w:val="30"/>
          <w:szCs w:val="30"/>
        </w:rPr>
        <w:t>格式自拟</w:t>
      </w:r>
    </w:p>
    <w:p w14:paraId="66A6B861">
      <w:pPr>
        <w:spacing w:line="360" w:lineRule="auto"/>
        <w:ind w:firstLine="3120" w:firstLineChars="1300"/>
        <w:rPr>
          <w:rFonts w:ascii="宋体" w:hAnsi="宋体"/>
          <w:sz w:val="24"/>
        </w:rPr>
      </w:pPr>
    </w:p>
    <w:p w14:paraId="18DA38FF">
      <w:pPr>
        <w:spacing w:line="360" w:lineRule="auto"/>
        <w:ind w:firstLine="3120" w:firstLineChars="1300"/>
        <w:rPr>
          <w:rFonts w:ascii="宋体" w:hAnsi="宋体"/>
          <w:sz w:val="24"/>
        </w:rPr>
      </w:pPr>
    </w:p>
    <w:p w14:paraId="0DF621F5">
      <w:pPr>
        <w:spacing w:line="360" w:lineRule="auto"/>
        <w:ind w:firstLine="3120" w:firstLineChars="1300"/>
        <w:rPr>
          <w:rFonts w:ascii="宋体" w:hAnsi="宋体"/>
          <w:sz w:val="24"/>
        </w:rPr>
      </w:pPr>
    </w:p>
    <w:p w14:paraId="3A47E9C7">
      <w:pPr>
        <w:spacing w:line="360" w:lineRule="auto"/>
        <w:ind w:firstLine="3120" w:firstLineChars="1300"/>
        <w:rPr>
          <w:rFonts w:ascii="宋体" w:hAnsi="宋体"/>
          <w:sz w:val="24"/>
        </w:rPr>
      </w:pPr>
    </w:p>
    <w:p w14:paraId="04C225FE">
      <w:pPr>
        <w:spacing w:line="360" w:lineRule="auto"/>
        <w:ind w:firstLine="3120" w:firstLineChars="1300"/>
        <w:rPr>
          <w:rFonts w:ascii="宋体" w:hAnsi="宋体"/>
          <w:sz w:val="24"/>
        </w:rPr>
      </w:pPr>
    </w:p>
    <w:p w14:paraId="1E7EF848">
      <w:pPr>
        <w:spacing w:line="360" w:lineRule="auto"/>
        <w:ind w:firstLine="3120" w:firstLineChars="1300"/>
        <w:rPr>
          <w:rFonts w:ascii="宋体" w:hAnsi="宋体"/>
          <w:sz w:val="24"/>
        </w:rPr>
      </w:pPr>
    </w:p>
    <w:p w14:paraId="594A7073">
      <w:pPr>
        <w:spacing w:line="360" w:lineRule="auto"/>
        <w:ind w:firstLine="3120" w:firstLineChars="1300"/>
        <w:rPr>
          <w:rFonts w:ascii="宋体" w:hAnsi="宋体"/>
          <w:sz w:val="24"/>
        </w:rPr>
      </w:pPr>
    </w:p>
    <w:p w14:paraId="019C3A90">
      <w:pPr>
        <w:spacing w:line="360" w:lineRule="auto"/>
        <w:ind w:firstLine="3120" w:firstLineChars="1300"/>
        <w:rPr>
          <w:rFonts w:ascii="宋体" w:hAnsi="宋体"/>
          <w:sz w:val="24"/>
        </w:rPr>
      </w:pPr>
    </w:p>
    <w:p w14:paraId="55797DC3">
      <w:pPr>
        <w:spacing w:line="360" w:lineRule="auto"/>
        <w:ind w:firstLine="3120" w:firstLineChars="1300"/>
        <w:rPr>
          <w:rFonts w:ascii="宋体" w:hAnsi="宋体"/>
          <w:sz w:val="24"/>
        </w:rPr>
      </w:pPr>
    </w:p>
    <w:p w14:paraId="34940609">
      <w:pPr>
        <w:spacing w:line="480" w:lineRule="auto"/>
        <w:ind w:firstLine="3360" w:firstLineChars="1400"/>
        <w:rPr>
          <w:rFonts w:ascii="宋体" w:hAnsi="宋体" w:cs="宋体"/>
          <w:kern w:val="0"/>
          <w:sz w:val="24"/>
        </w:rPr>
      </w:pPr>
      <w:r>
        <w:rPr>
          <w:rFonts w:hint="eastAsia" w:ascii="宋体" w:hAnsi="宋体" w:cs="宋体"/>
          <w:kern w:val="0"/>
          <w:sz w:val="24"/>
        </w:rPr>
        <w:t>响应供应商(盖章)：</w:t>
      </w:r>
      <w:r>
        <w:rPr>
          <w:rFonts w:hint="eastAsia" w:ascii="宋体" w:hAnsi="宋体" w:cs="宋体"/>
          <w:kern w:val="0"/>
          <w:sz w:val="24"/>
          <w:u w:val="single"/>
        </w:rPr>
        <w:t xml:space="preserve">              </w:t>
      </w:r>
      <w:r>
        <w:rPr>
          <w:rFonts w:hint="eastAsia" w:ascii="宋体" w:hAnsi="宋体" w:cs="宋体"/>
          <w:kern w:val="0"/>
          <w:sz w:val="24"/>
        </w:rPr>
        <w:t xml:space="preserve"> </w:t>
      </w:r>
    </w:p>
    <w:p w14:paraId="7EFA15AA">
      <w:pPr>
        <w:spacing w:line="480" w:lineRule="auto"/>
        <w:ind w:firstLine="3360" w:firstLineChars="1400"/>
        <w:rPr>
          <w:rFonts w:ascii="宋体" w:hAnsi="宋体" w:cs="宋体"/>
          <w:kern w:val="0"/>
          <w:sz w:val="24"/>
          <w:u w:val="single"/>
        </w:rPr>
      </w:pPr>
      <w:r>
        <w:rPr>
          <w:rFonts w:hint="eastAsia" w:ascii="宋体" w:hAnsi="宋体" w:cs="宋体"/>
          <w:kern w:val="0"/>
          <w:sz w:val="24"/>
        </w:rPr>
        <w:t>法定代表人或其委托代理人(签字或盖章)：</w:t>
      </w:r>
      <w:r>
        <w:rPr>
          <w:rFonts w:hint="eastAsia" w:ascii="宋体" w:hAnsi="宋体" w:cs="宋体"/>
          <w:kern w:val="0"/>
          <w:sz w:val="24"/>
          <w:u w:val="single"/>
        </w:rPr>
        <w:t xml:space="preserve">       </w:t>
      </w:r>
    </w:p>
    <w:p w14:paraId="78B0DAA6">
      <w:pPr>
        <w:spacing w:line="360" w:lineRule="auto"/>
        <w:ind w:firstLine="3360" w:firstLineChars="1400"/>
        <w:rPr>
          <w:rFonts w:ascii="宋体" w:hAnsi="宋体" w:cs="宋体"/>
          <w:b/>
          <w:bCs/>
          <w:sz w:val="30"/>
          <w:szCs w:val="30"/>
        </w:rPr>
      </w:pPr>
      <w:r>
        <w:rPr>
          <w:rFonts w:hint="eastAsia" w:ascii="宋体" w:hAnsi="宋体" w:cs="宋体"/>
          <w:kern w:val="0"/>
          <w:sz w:val="24"/>
        </w:rPr>
        <w:t>日    期：      年   月   日</w:t>
      </w:r>
    </w:p>
    <w:p w14:paraId="24B4CA9B">
      <w:pPr>
        <w:wordWrap w:val="0"/>
        <w:spacing w:line="520" w:lineRule="exact"/>
        <w:jc w:val="center"/>
        <w:rPr>
          <w:rFonts w:ascii="宋体" w:hAnsi="宋体" w:cs="宋体"/>
          <w:b/>
          <w:bCs/>
          <w:sz w:val="30"/>
          <w:szCs w:val="30"/>
        </w:rPr>
      </w:pPr>
    </w:p>
    <w:p w14:paraId="5E60D001">
      <w:pPr>
        <w:wordWrap w:val="0"/>
        <w:spacing w:line="520" w:lineRule="exact"/>
        <w:jc w:val="center"/>
        <w:rPr>
          <w:rFonts w:ascii="宋体" w:hAnsi="宋体" w:cs="宋体"/>
          <w:b/>
          <w:bCs/>
          <w:sz w:val="30"/>
          <w:szCs w:val="30"/>
        </w:rPr>
      </w:pPr>
    </w:p>
    <w:p w14:paraId="2366AED4">
      <w:pPr>
        <w:wordWrap w:val="0"/>
        <w:spacing w:line="520" w:lineRule="exact"/>
        <w:jc w:val="center"/>
        <w:rPr>
          <w:rFonts w:ascii="宋体" w:hAnsi="宋体" w:cs="宋体"/>
          <w:b/>
          <w:bCs/>
          <w:sz w:val="30"/>
          <w:szCs w:val="30"/>
        </w:rPr>
      </w:pPr>
    </w:p>
    <w:p w14:paraId="6EF03C22">
      <w:pPr>
        <w:wordWrap w:val="0"/>
        <w:spacing w:line="520" w:lineRule="exact"/>
        <w:jc w:val="center"/>
        <w:rPr>
          <w:rFonts w:ascii="宋体" w:hAnsi="宋体" w:cs="宋体"/>
          <w:b/>
          <w:bCs/>
          <w:sz w:val="30"/>
          <w:szCs w:val="30"/>
        </w:rPr>
      </w:pPr>
    </w:p>
    <w:p w14:paraId="3842BAE0">
      <w:pPr>
        <w:wordWrap w:val="0"/>
        <w:spacing w:line="520" w:lineRule="exact"/>
        <w:jc w:val="center"/>
        <w:rPr>
          <w:rFonts w:ascii="宋体" w:hAnsi="宋体" w:cs="宋体"/>
          <w:b/>
          <w:bCs/>
          <w:sz w:val="30"/>
          <w:szCs w:val="30"/>
        </w:rPr>
      </w:pPr>
    </w:p>
    <w:p w14:paraId="77F0110D">
      <w:pPr>
        <w:wordWrap w:val="0"/>
        <w:spacing w:line="520" w:lineRule="exact"/>
        <w:jc w:val="center"/>
        <w:rPr>
          <w:rFonts w:ascii="宋体" w:hAnsi="宋体" w:cs="宋体"/>
          <w:b/>
          <w:bCs/>
          <w:sz w:val="30"/>
          <w:szCs w:val="30"/>
        </w:rPr>
      </w:pPr>
    </w:p>
    <w:p w14:paraId="079CBF68">
      <w:pPr>
        <w:wordWrap w:val="0"/>
        <w:spacing w:line="520" w:lineRule="exact"/>
        <w:jc w:val="center"/>
        <w:rPr>
          <w:rFonts w:ascii="宋体" w:hAnsi="宋体" w:cs="宋体"/>
          <w:b/>
          <w:bCs/>
          <w:sz w:val="30"/>
          <w:szCs w:val="30"/>
        </w:rPr>
      </w:pPr>
    </w:p>
    <w:p w14:paraId="12F98525">
      <w:pPr>
        <w:wordWrap w:val="0"/>
        <w:spacing w:line="520" w:lineRule="exact"/>
        <w:jc w:val="center"/>
        <w:rPr>
          <w:rFonts w:ascii="宋体" w:hAnsi="宋体" w:cs="宋体"/>
          <w:b/>
          <w:bCs/>
          <w:sz w:val="30"/>
          <w:szCs w:val="30"/>
        </w:rPr>
      </w:pPr>
    </w:p>
    <w:p w14:paraId="1EF44F4E">
      <w:pPr>
        <w:wordWrap w:val="0"/>
        <w:spacing w:line="520" w:lineRule="exact"/>
        <w:jc w:val="center"/>
        <w:rPr>
          <w:rFonts w:ascii="宋体" w:hAnsi="宋体" w:cs="宋体"/>
          <w:b/>
          <w:bCs/>
          <w:sz w:val="30"/>
          <w:szCs w:val="30"/>
        </w:rPr>
      </w:pPr>
    </w:p>
    <w:p w14:paraId="676A0D9E">
      <w:pPr>
        <w:wordWrap w:val="0"/>
        <w:spacing w:line="520" w:lineRule="exact"/>
        <w:jc w:val="center"/>
        <w:rPr>
          <w:rFonts w:ascii="宋体" w:hAnsi="宋体" w:cs="宋体"/>
          <w:b/>
          <w:bCs/>
          <w:sz w:val="30"/>
          <w:szCs w:val="30"/>
        </w:rPr>
      </w:pPr>
    </w:p>
    <w:p w14:paraId="401841EA">
      <w:pPr>
        <w:wordWrap w:val="0"/>
        <w:spacing w:line="520" w:lineRule="exact"/>
        <w:jc w:val="center"/>
        <w:rPr>
          <w:rFonts w:ascii="宋体" w:hAnsi="宋体" w:cs="宋体"/>
          <w:b/>
          <w:bCs/>
          <w:sz w:val="30"/>
          <w:szCs w:val="30"/>
        </w:rPr>
      </w:pPr>
    </w:p>
    <w:bookmarkEnd w:id="2"/>
    <w:bookmarkEnd w:id="3"/>
    <w:bookmarkEnd w:id="4"/>
    <w:bookmarkEnd w:id="5"/>
    <w:bookmarkEnd w:id="6"/>
    <w:bookmarkEnd w:id="7"/>
    <w:bookmarkEnd w:id="8"/>
    <w:bookmarkEnd w:id="9"/>
    <w:p w14:paraId="4F96A2AE">
      <w:pPr>
        <w:pStyle w:val="3"/>
        <w:widowControl/>
        <w:spacing w:line="360" w:lineRule="auto"/>
        <w:jc w:val="center"/>
        <w:rPr>
          <w:rFonts w:ascii="宋体" w:hAnsi="宋体" w:cs="宋体"/>
          <w:color w:val="000000"/>
        </w:rPr>
      </w:pPr>
      <w:r>
        <w:rPr>
          <w:rFonts w:hint="eastAsia" w:ascii="宋体" w:hAnsi="宋体" w:cs="宋体"/>
          <w:color w:val="000000"/>
          <w:lang w:val="en-US" w:eastAsia="zh-CN"/>
        </w:rPr>
        <w:t>六</w:t>
      </w:r>
      <w:r>
        <w:rPr>
          <w:rFonts w:hint="eastAsia" w:ascii="宋体" w:hAnsi="宋体" w:cs="宋体"/>
          <w:color w:val="000000"/>
        </w:rPr>
        <w:t>、资格审查资料</w:t>
      </w:r>
    </w:p>
    <w:p w14:paraId="08043F6C">
      <w:pPr>
        <w:spacing w:line="360" w:lineRule="auto"/>
        <w:jc w:val="center"/>
        <w:rPr>
          <w:sz w:val="24"/>
          <w:szCs w:val="18"/>
        </w:rPr>
      </w:pPr>
      <w:bookmarkStart w:id="11" w:name="_Toc10295_WPSOffice_Level2"/>
      <w:bookmarkStart w:id="12" w:name="_Toc375233607"/>
      <w:bookmarkStart w:id="13" w:name="_Toc383433764"/>
      <w:bookmarkStart w:id="14" w:name="_Toc397244498"/>
      <w:bookmarkStart w:id="15" w:name="_Toc381941238"/>
      <w:bookmarkStart w:id="16" w:name="_Toc397244570"/>
      <w:bookmarkStart w:id="17" w:name="_Toc492537570"/>
      <w:bookmarkStart w:id="18" w:name="_Toc383433666"/>
      <w:bookmarkStart w:id="19" w:name="_Toc432431878"/>
      <w:r>
        <w:rPr>
          <w:rFonts w:hint="eastAsia"/>
          <w:sz w:val="24"/>
          <w:szCs w:val="18"/>
        </w:rPr>
        <w:t>（一）供应商基本情况表</w:t>
      </w:r>
      <w:bookmarkEnd w:id="11"/>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6"/>
        <w:gridCol w:w="970"/>
        <w:gridCol w:w="1548"/>
        <w:gridCol w:w="1116"/>
        <w:gridCol w:w="1129"/>
        <w:gridCol w:w="234"/>
        <w:gridCol w:w="1676"/>
      </w:tblGrid>
      <w:tr w14:paraId="66B93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1726" w:type="dxa"/>
            <w:tcBorders>
              <w:top w:val="single" w:color="auto" w:sz="4" w:space="0"/>
              <w:left w:val="single" w:color="auto" w:sz="4" w:space="0"/>
              <w:bottom w:val="single" w:color="auto" w:sz="4" w:space="0"/>
              <w:right w:val="single" w:color="auto" w:sz="4" w:space="0"/>
            </w:tcBorders>
            <w:noWrap/>
            <w:vAlign w:val="center"/>
          </w:tcPr>
          <w:p w14:paraId="5E4CA33F">
            <w:pPr>
              <w:spacing w:line="360" w:lineRule="auto"/>
              <w:rPr>
                <w:sz w:val="24"/>
              </w:rPr>
            </w:pPr>
            <w:r>
              <w:rPr>
                <w:rFonts w:hint="eastAsia"/>
                <w:sz w:val="24"/>
              </w:rPr>
              <w:t>供应商名称</w:t>
            </w:r>
          </w:p>
        </w:tc>
        <w:tc>
          <w:tcPr>
            <w:tcW w:w="6673" w:type="dxa"/>
            <w:gridSpan w:val="6"/>
            <w:tcBorders>
              <w:top w:val="single" w:color="auto" w:sz="4" w:space="0"/>
              <w:left w:val="single" w:color="auto" w:sz="4" w:space="0"/>
              <w:bottom w:val="single" w:color="auto" w:sz="4" w:space="0"/>
              <w:right w:val="single" w:color="auto" w:sz="4" w:space="0"/>
            </w:tcBorders>
            <w:noWrap/>
            <w:vAlign w:val="center"/>
          </w:tcPr>
          <w:p w14:paraId="6DF9CB37">
            <w:pPr>
              <w:spacing w:line="360" w:lineRule="auto"/>
              <w:rPr>
                <w:sz w:val="24"/>
              </w:rPr>
            </w:pPr>
          </w:p>
        </w:tc>
      </w:tr>
      <w:tr w14:paraId="669A0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1726" w:type="dxa"/>
            <w:tcBorders>
              <w:top w:val="single" w:color="auto" w:sz="4" w:space="0"/>
              <w:left w:val="single" w:color="auto" w:sz="4" w:space="0"/>
              <w:bottom w:val="single" w:color="auto" w:sz="4" w:space="0"/>
              <w:right w:val="single" w:color="auto" w:sz="4" w:space="0"/>
            </w:tcBorders>
            <w:noWrap/>
            <w:vAlign w:val="center"/>
          </w:tcPr>
          <w:p w14:paraId="23BE977D">
            <w:pPr>
              <w:spacing w:line="360" w:lineRule="auto"/>
              <w:rPr>
                <w:sz w:val="24"/>
              </w:rPr>
            </w:pPr>
            <w:r>
              <w:rPr>
                <w:rFonts w:hint="eastAsia"/>
                <w:sz w:val="24"/>
              </w:rPr>
              <w:t>注册地址</w:t>
            </w:r>
          </w:p>
        </w:tc>
        <w:tc>
          <w:tcPr>
            <w:tcW w:w="3634" w:type="dxa"/>
            <w:gridSpan w:val="3"/>
            <w:tcBorders>
              <w:top w:val="single" w:color="auto" w:sz="4" w:space="0"/>
              <w:left w:val="single" w:color="auto" w:sz="4" w:space="0"/>
              <w:bottom w:val="single" w:color="auto" w:sz="4" w:space="0"/>
              <w:right w:val="single" w:color="auto" w:sz="4" w:space="0"/>
            </w:tcBorders>
            <w:noWrap/>
            <w:vAlign w:val="center"/>
          </w:tcPr>
          <w:p w14:paraId="6E4B6F88">
            <w:pPr>
              <w:spacing w:line="360" w:lineRule="auto"/>
              <w:rPr>
                <w:sz w:val="24"/>
              </w:rPr>
            </w:pPr>
          </w:p>
        </w:tc>
        <w:tc>
          <w:tcPr>
            <w:tcW w:w="1363" w:type="dxa"/>
            <w:gridSpan w:val="2"/>
            <w:tcBorders>
              <w:top w:val="single" w:color="auto" w:sz="4" w:space="0"/>
              <w:left w:val="single" w:color="auto" w:sz="4" w:space="0"/>
              <w:bottom w:val="single" w:color="auto" w:sz="4" w:space="0"/>
              <w:right w:val="single" w:color="auto" w:sz="4" w:space="0"/>
            </w:tcBorders>
            <w:noWrap/>
            <w:vAlign w:val="center"/>
          </w:tcPr>
          <w:p w14:paraId="09DE551B">
            <w:pPr>
              <w:spacing w:line="360" w:lineRule="auto"/>
              <w:rPr>
                <w:sz w:val="24"/>
              </w:rPr>
            </w:pPr>
            <w:r>
              <w:rPr>
                <w:rFonts w:hint="eastAsia"/>
                <w:sz w:val="24"/>
              </w:rPr>
              <w:t>邮政编码</w:t>
            </w:r>
          </w:p>
        </w:tc>
        <w:tc>
          <w:tcPr>
            <w:tcW w:w="1676" w:type="dxa"/>
            <w:tcBorders>
              <w:top w:val="single" w:color="auto" w:sz="4" w:space="0"/>
              <w:left w:val="single" w:color="auto" w:sz="4" w:space="0"/>
              <w:bottom w:val="single" w:color="auto" w:sz="4" w:space="0"/>
              <w:right w:val="single" w:color="auto" w:sz="4" w:space="0"/>
            </w:tcBorders>
            <w:noWrap/>
            <w:vAlign w:val="center"/>
          </w:tcPr>
          <w:p w14:paraId="61F140E9">
            <w:pPr>
              <w:spacing w:line="360" w:lineRule="auto"/>
              <w:rPr>
                <w:sz w:val="24"/>
              </w:rPr>
            </w:pPr>
          </w:p>
        </w:tc>
      </w:tr>
      <w:tr w14:paraId="20F8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726" w:type="dxa"/>
            <w:vMerge w:val="restart"/>
            <w:tcBorders>
              <w:top w:val="single" w:color="auto" w:sz="4" w:space="0"/>
              <w:left w:val="single" w:color="auto" w:sz="4" w:space="0"/>
              <w:bottom w:val="single" w:color="auto" w:sz="4" w:space="0"/>
              <w:right w:val="single" w:color="auto" w:sz="4" w:space="0"/>
            </w:tcBorders>
            <w:noWrap/>
            <w:vAlign w:val="center"/>
          </w:tcPr>
          <w:p w14:paraId="4F3D5CEB">
            <w:pPr>
              <w:spacing w:line="360" w:lineRule="auto"/>
              <w:rPr>
                <w:sz w:val="24"/>
              </w:rPr>
            </w:pPr>
            <w:r>
              <w:rPr>
                <w:rFonts w:hint="eastAsia"/>
                <w:sz w:val="24"/>
              </w:rPr>
              <w:t>联系方式</w:t>
            </w:r>
          </w:p>
        </w:tc>
        <w:tc>
          <w:tcPr>
            <w:tcW w:w="970" w:type="dxa"/>
            <w:tcBorders>
              <w:top w:val="single" w:color="auto" w:sz="4" w:space="0"/>
              <w:left w:val="single" w:color="auto" w:sz="4" w:space="0"/>
              <w:bottom w:val="single" w:color="auto" w:sz="4" w:space="0"/>
              <w:right w:val="single" w:color="auto" w:sz="4" w:space="0"/>
            </w:tcBorders>
            <w:noWrap/>
            <w:vAlign w:val="center"/>
          </w:tcPr>
          <w:p w14:paraId="45CB73CC">
            <w:pPr>
              <w:spacing w:line="360" w:lineRule="auto"/>
              <w:rPr>
                <w:sz w:val="24"/>
              </w:rPr>
            </w:pPr>
            <w:r>
              <w:rPr>
                <w:rFonts w:hint="eastAsia"/>
                <w:sz w:val="24"/>
              </w:rPr>
              <w:t>联系人</w:t>
            </w:r>
          </w:p>
        </w:tc>
        <w:tc>
          <w:tcPr>
            <w:tcW w:w="2664" w:type="dxa"/>
            <w:gridSpan w:val="2"/>
            <w:tcBorders>
              <w:top w:val="single" w:color="auto" w:sz="4" w:space="0"/>
              <w:left w:val="single" w:color="auto" w:sz="4" w:space="0"/>
              <w:bottom w:val="single" w:color="auto" w:sz="4" w:space="0"/>
              <w:right w:val="single" w:color="auto" w:sz="4" w:space="0"/>
            </w:tcBorders>
            <w:noWrap/>
            <w:vAlign w:val="center"/>
          </w:tcPr>
          <w:p w14:paraId="5DA4EF1A">
            <w:pPr>
              <w:spacing w:line="360" w:lineRule="auto"/>
              <w:rPr>
                <w:sz w:val="24"/>
              </w:rPr>
            </w:pPr>
          </w:p>
        </w:tc>
        <w:tc>
          <w:tcPr>
            <w:tcW w:w="1363" w:type="dxa"/>
            <w:gridSpan w:val="2"/>
            <w:tcBorders>
              <w:top w:val="single" w:color="auto" w:sz="4" w:space="0"/>
              <w:left w:val="single" w:color="auto" w:sz="4" w:space="0"/>
              <w:bottom w:val="single" w:color="auto" w:sz="4" w:space="0"/>
              <w:right w:val="single" w:color="auto" w:sz="4" w:space="0"/>
            </w:tcBorders>
            <w:noWrap/>
            <w:vAlign w:val="center"/>
          </w:tcPr>
          <w:p w14:paraId="535D1477">
            <w:pPr>
              <w:spacing w:line="360" w:lineRule="auto"/>
              <w:rPr>
                <w:sz w:val="24"/>
              </w:rPr>
            </w:pPr>
            <w:r>
              <w:rPr>
                <w:rFonts w:hint="eastAsia"/>
                <w:sz w:val="24"/>
              </w:rPr>
              <w:t>电话</w:t>
            </w:r>
          </w:p>
        </w:tc>
        <w:tc>
          <w:tcPr>
            <w:tcW w:w="1676" w:type="dxa"/>
            <w:tcBorders>
              <w:top w:val="single" w:color="auto" w:sz="4" w:space="0"/>
              <w:left w:val="single" w:color="auto" w:sz="4" w:space="0"/>
              <w:bottom w:val="single" w:color="auto" w:sz="4" w:space="0"/>
              <w:right w:val="single" w:color="auto" w:sz="4" w:space="0"/>
            </w:tcBorders>
            <w:noWrap/>
            <w:vAlign w:val="center"/>
          </w:tcPr>
          <w:p w14:paraId="7710B665">
            <w:pPr>
              <w:spacing w:line="360" w:lineRule="auto"/>
              <w:rPr>
                <w:sz w:val="24"/>
              </w:rPr>
            </w:pPr>
          </w:p>
        </w:tc>
      </w:tr>
      <w:tr w14:paraId="312B1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726" w:type="dxa"/>
            <w:vMerge w:val="continue"/>
            <w:tcBorders>
              <w:top w:val="single" w:color="auto" w:sz="4" w:space="0"/>
              <w:left w:val="single" w:color="auto" w:sz="4" w:space="0"/>
              <w:bottom w:val="single" w:color="auto" w:sz="4" w:space="0"/>
              <w:right w:val="single" w:color="auto" w:sz="4" w:space="0"/>
            </w:tcBorders>
            <w:noWrap/>
            <w:vAlign w:val="center"/>
          </w:tcPr>
          <w:p w14:paraId="23C35B18">
            <w:pPr>
              <w:rPr>
                <w:sz w:val="20"/>
                <w:szCs w:val="20"/>
              </w:rPr>
            </w:pPr>
          </w:p>
        </w:tc>
        <w:tc>
          <w:tcPr>
            <w:tcW w:w="970" w:type="dxa"/>
            <w:tcBorders>
              <w:top w:val="single" w:color="auto" w:sz="4" w:space="0"/>
              <w:left w:val="single" w:color="auto" w:sz="4" w:space="0"/>
              <w:bottom w:val="single" w:color="auto" w:sz="4" w:space="0"/>
              <w:right w:val="single" w:color="auto" w:sz="4" w:space="0"/>
            </w:tcBorders>
            <w:noWrap/>
            <w:vAlign w:val="center"/>
          </w:tcPr>
          <w:p w14:paraId="5215D567">
            <w:pPr>
              <w:spacing w:line="360" w:lineRule="auto"/>
              <w:rPr>
                <w:sz w:val="24"/>
              </w:rPr>
            </w:pPr>
            <w:r>
              <w:rPr>
                <w:rFonts w:hint="eastAsia"/>
                <w:sz w:val="24"/>
              </w:rPr>
              <w:t>传真</w:t>
            </w:r>
          </w:p>
        </w:tc>
        <w:tc>
          <w:tcPr>
            <w:tcW w:w="2664" w:type="dxa"/>
            <w:gridSpan w:val="2"/>
            <w:tcBorders>
              <w:top w:val="single" w:color="auto" w:sz="4" w:space="0"/>
              <w:left w:val="single" w:color="auto" w:sz="4" w:space="0"/>
              <w:bottom w:val="single" w:color="auto" w:sz="4" w:space="0"/>
              <w:right w:val="single" w:color="auto" w:sz="4" w:space="0"/>
            </w:tcBorders>
            <w:noWrap/>
            <w:vAlign w:val="center"/>
          </w:tcPr>
          <w:p w14:paraId="1480E1E2">
            <w:pPr>
              <w:spacing w:line="360" w:lineRule="auto"/>
              <w:rPr>
                <w:sz w:val="24"/>
              </w:rPr>
            </w:pPr>
          </w:p>
        </w:tc>
        <w:tc>
          <w:tcPr>
            <w:tcW w:w="1363" w:type="dxa"/>
            <w:gridSpan w:val="2"/>
            <w:tcBorders>
              <w:top w:val="single" w:color="auto" w:sz="4" w:space="0"/>
              <w:left w:val="single" w:color="auto" w:sz="4" w:space="0"/>
              <w:bottom w:val="single" w:color="auto" w:sz="4" w:space="0"/>
              <w:right w:val="single" w:color="auto" w:sz="4" w:space="0"/>
            </w:tcBorders>
            <w:noWrap/>
            <w:vAlign w:val="center"/>
          </w:tcPr>
          <w:p w14:paraId="538B909E">
            <w:pPr>
              <w:spacing w:line="360" w:lineRule="auto"/>
              <w:rPr>
                <w:sz w:val="24"/>
              </w:rPr>
            </w:pPr>
            <w:r>
              <w:rPr>
                <w:rFonts w:hint="eastAsia"/>
                <w:sz w:val="24"/>
              </w:rPr>
              <w:t>网址</w:t>
            </w:r>
          </w:p>
        </w:tc>
        <w:tc>
          <w:tcPr>
            <w:tcW w:w="1676" w:type="dxa"/>
            <w:tcBorders>
              <w:top w:val="single" w:color="auto" w:sz="4" w:space="0"/>
              <w:left w:val="single" w:color="auto" w:sz="4" w:space="0"/>
              <w:bottom w:val="single" w:color="auto" w:sz="4" w:space="0"/>
              <w:right w:val="single" w:color="auto" w:sz="4" w:space="0"/>
            </w:tcBorders>
            <w:noWrap/>
            <w:vAlign w:val="center"/>
          </w:tcPr>
          <w:p w14:paraId="07F5D02D">
            <w:pPr>
              <w:spacing w:line="360" w:lineRule="auto"/>
              <w:rPr>
                <w:sz w:val="24"/>
              </w:rPr>
            </w:pPr>
          </w:p>
        </w:tc>
      </w:tr>
      <w:tr w14:paraId="7AA5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726" w:type="dxa"/>
            <w:tcBorders>
              <w:top w:val="single" w:color="auto" w:sz="4" w:space="0"/>
              <w:left w:val="single" w:color="auto" w:sz="4" w:space="0"/>
              <w:bottom w:val="single" w:color="auto" w:sz="4" w:space="0"/>
              <w:right w:val="single" w:color="auto" w:sz="4" w:space="0"/>
            </w:tcBorders>
            <w:noWrap/>
            <w:vAlign w:val="center"/>
          </w:tcPr>
          <w:p w14:paraId="70E87A60">
            <w:pPr>
              <w:spacing w:line="360" w:lineRule="auto"/>
              <w:rPr>
                <w:sz w:val="24"/>
              </w:rPr>
            </w:pPr>
            <w:r>
              <w:rPr>
                <w:rFonts w:hint="eastAsia"/>
                <w:sz w:val="24"/>
              </w:rPr>
              <w:t>组织结构</w:t>
            </w:r>
          </w:p>
        </w:tc>
        <w:tc>
          <w:tcPr>
            <w:tcW w:w="6673" w:type="dxa"/>
            <w:gridSpan w:val="6"/>
            <w:tcBorders>
              <w:top w:val="single" w:color="auto" w:sz="4" w:space="0"/>
              <w:left w:val="single" w:color="auto" w:sz="4" w:space="0"/>
              <w:bottom w:val="single" w:color="auto" w:sz="4" w:space="0"/>
              <w:right w:val="single" w:color="auto" w:sz="4" w:space="0"/>
            </w:tcBorders>
            <w:noWrap/>
            <w:vAlign w:val="center"/>
          </w:tcPr>
          <w:p w14:paraId="089F7903">
            <w:pPr>
              <w:tabs>
                <w:tab w:val="left" w:pos="4776"/>
              </w:tabs>
              <w:spacing w:line="360" w:lineRule="auto"/>
              <w:rPr>
                <w:sz w:val="24"/>
              </w:rPr>
            </w:pPr>
          </w:p>
        </w:tc>
      </w:tr>
      <w:tr w14:paraId="05D64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726" w:type="dxa"/>
            <w:tcBorders>
              <w:top w:val="single" w:color="auto" w:sz="4" w:space="0"/>
              <w:left w:val="single" w:color="auto" w:sz="4" w:space="0"/>
              <w:bottom w:val="single" w:color="auto" w:sz="4" w:space="0"/>
              <w:right w:val="single" w:color="auto" w:sz="4" w:space="0"/>
            </w:tcBorders>
            <w:noWrap/>
            <w:vAlign w:val="center"/>
          </w:tcPr>
          <w:p w14:paraId="32F78354">
            <w:pPr>
              <w:spacing w:line="360" w:lineRule="auto"/>
              <w:rPr>
                <w:sz w:val="24"/>
              </w:rPr>
            </w:pPr>
            <w:r>
              <w:rPr>
                <w:rFonts w:hint="eastAsia"/>
                <w:sz w:val="24"/>
              </w:rPr>
              <w:t>法定代表人</w:t>
            </w:r>
          </w:p>
        </w:tc>
        <w:tc>
          <w:tcPr>
            <w:tcW w:w="970" w:type="dxa"/>
            <w:tcBorders>
              <w:top w:val="single" w:color="auto" w:sz="4" w:space="0"/>
              <w:left w:val="single" w:color="auto" w:sz="4" w:space="0"/>
              <w:bottom w:val="single" w:color="auto" w:sz="4" w:space="0"/>
              <w:right w:val="single" w:color="auto" w:sz="4" w:space="0"/>
            </w:tcBorders>
            <w:noWrap/>
            <w:vAlign w:val="center"/>
          </w:tcPr>
          <w:p w14:paraId="49C485C2">
            <w:pPr>
              <w:spacing w:line="360" w:lineRule="auto"/>
              <w:rPr>
                <w:sz w:val="24"/>
              </w:rPr>
            </w:pPr>
            <w:r>
              <w:rPr>
                <w:rFonts w:hint="eastAsia"/>
                <w:sz w:val="24"/>
              </w:rPr>
              <w:t>姓名</w:t>
            </w:r>
          </w:p>
        </w:tc>
        <w:tc>
          <w:tcPr>
            <w:tcW w:w="2664" w:type="dxa"/>
            <w:gridSpan w:val="2"/>
            <w:tcBorders>
              <w:top w:val="single" w:color="auto" w:sz="4" w:space="0"/>
              <w:left w:val="single" w:color="auto" w:sz="4" w:space="0"/>
              <w:bottom w:val="single" w:color="auto" w:sz="4" w:space="0"/>
              <w:right w:val="single" w:color="auto" w:sz="4" w:space="0"/>
            </w:tcBorders>
            <w:noWrap/>
            <w:vAlign w:val="center"/>
          </w:tcPr>
          <w:p w14:paraId="68CE4179">
            <w:pPr>
              <w:spacing w:line="360" w:lineRule="auto"/>
              <w:rPr>
                <w:sz w:val="24"/>
              </w:rPr>
            </w:pPr>
          </w:p>
        </w:tc>
        <w:tc>
          <w:tcPr>
            <w:tcW w:w="1129" w:type="dxa"/>
            <w:tcBorders>
              <w:top w:val="single" w:color="auto" w:sz="4" w:space="0"/>
              <w:left w:val="single" w:color="auto" w:sz="4" w:space="0"/>
              <w:bottom w:val="single" w:color="auto" w:sz="4" w:space="0"/>
              <w:right w:val="single" w:color="auto" w:sz="4" w:space="0"/>
            </w:tcBorders>
            <w:noWrap/>
            <w:vAlign w:val="center"/>
          </w:tcPr>
          <w:p w14:paraId="58A1E9BE">
            <w:pPr>
              <w:spacing w:line="360" w:lineRule="auto"/>
              <w:rPr>
                <w:sz w:val="24"/>
              </w:rPr>
            </w:pPr>
            <w:r>
              <w:rPr>
                <w:rFonts w:hint="eastAsia"/>
                <w:sz w:val="24"/>
              </w:rPr>
              <w:t>电话</w:t>
            </w:r>
          </w:p>
        </w:tc>
        <w:tc>
          <w:tcPr>
            <w:tcW w:w="1910" w:type="dxa"/>
            <w:gridSpan w:val="2"/>
            <w:tcBorders>
              <w:top w:val="single" w:color="auto" w:sz="4" w:space="0"/>
              <w:left w:val="single" w:color="auto" w:sz="4" w:space="0"/>
              <w:bottom w:val="single" w:color="auto" w:sz="4" w:space="0"/>
              <w:right w:val="single" w:color="auto" w:sz="4" w:space="0"/>
            </w:tcBorders>
            <w:noWrap/>
            <w:vAlign w:val="center"/>
          </w:tcPr>
          <w:p w14:paraId="47C4FB1D">
            <w:pPr>
              <w:spacing w:line="360" w:lineRule="auto"/>
              <w:rPr>
                <w:sz w:val="24"/>
              </w:rPr>
            </w:pPr>
          </w:p>
        </w:tc>
      </w:tr>
      <w:tr w14:paraId="65413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726" w:type="dxa"/>
            <w:tcBorders>
              <w:top w:val="single" w:color="auto" w:sz="4" w:space="0"/>
              <w:left w:val="single" w:color="auto" w:sz="4" w:space="0"/>
              <w:bottom w:val="single" w:color="auto" w:sz="4" w:space="0"/>
              <w:right w:val="single" w:color="auto" w:sz="4" w:space="0"/>
            </w:tcBorders>
            <w:noWrap/>
            <w:vAlign w:val="center"/>
          </w:tcPr>
          <w:p w14:paraId="09423DC4">
            <w:pPr>
              <w:spacing w:line="360" w:lineRule="auto"/>
              <w:rPr>
                <w:sz w:val="24"/>
              </w:rPr>
            </w:pPr>
            <w:r>
              <w:rPr>
                <w:rFonts w:hint="eastAsia"/>
                <w:sz w:val="24"/>
              </w:rPr>
              <w:t>成立时间</w:t>
            </w:r>
          </w:p>
        </w:tc>
        <w:tc>
          <w:tcPr>
            <w:tcW w:w="2518" w:type="dxa"/>
            <w:gridSpan w:val="2"/>
            <w:tcBorders>
              <w:top w:val="single" w:color="auto" w:sz="4" w:space="0"/>
              <w:left w:val="single" w:color="auto" w:sz="4" w:space="0"/>
              <w:bottom w:val="single" w:color="auto" w:sz="4" w:space="0"/>
              <w:right w:val="single" w:color="auto" w:sz="4" w:space="0"/>
            </w:tcBorders>
            <w:noWrap/>
            <w:vAlign w:val="center"/>
          </w:tcPr>
          <w:p w14:paraId="55CEA5C1">
            <w:pPr>
              <w:spacing w:line="360" w:lineRule="auto"/>
              <w:rPr>
                <w:sz w:val="24"/>
              </w:rPr>
            </w:pPr>
          </w:p>
        </w:tc>
        <w:tc>
          <w:tcPr>
            <w:tcW w:w="4155" w:type="dxa"/>
            <w:gridSpan w:val="4"/>
            <w:tcBorders>
              <w:top w:val="single" w:color="auto" w:sz="4" w:space="0"/>
              <w:left w:val="single" w:color="auto" w:sz="4" w:space="0"/>
              <w:bottom w:val="single" w:color="auto" w:sz="4" w:space="0"/>
              <w:right w:val="single" w:color="auto" w:sz="4" w:space="0"/>
            </w:tcBorders>
            <w:noWrap/>
            <w:vAlign w:val="center"/>
          </w:tcPr>
          <w:p w14:paraId="52A8144C">
            <w:pPr>
              <w:spacing w:line="360" w:lineRule="auto"/>
              <w:rPr>
                <w:sz w:val="24"/>
              </w:rPr>
            </w:pPr>
            <w:r>
              <w:rPr>
                <w:rFonts w:hint="eastAsia"/>
                <w:sz w:val="24"/>
              </w:rPr>
              <w:t>员工总人数：</w:t>
            </w:r>
          </w:p>
        </w:tc>
      </w:tr>
      <w:tr w14:paraId="3B648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726" w:type="dxa"/>
            <w:tcBorders>
              <w:top w:val="single" w:color="auto" w:sz="4" w:space="0"/>
              <w:left w:val="single" w:color="auto" w:sz="4" w:space="0"/>
              <w:bottom w:val="single" w:color="auto" w:sz="4" w:space="0"/>
              <w:right w:val="single" w:color="auto" w:sz="4" w:space="0"/>
            </w:tcBorders>
            <w:noWrap/>
            <w:vAlign w:val="center"/>
          </w:tcPr>
          <w:p w14:paraId="6BBD8D81">
            <w:pPr>
              <w:spacing w:line="360" w:lineRule="auto"/>
              <w:rPr>
                <w:sz w:val="24"/>
              </w:rPr>
            </w:pPr>
            <w:r>
              <w:rPr>
                <w:rFonts w:hint="eastAsia"/>
                <w:sz w:val="24"/>
              </w:rPr>
              <w:t>营业执照号</w:t>
            </w:r>
          </w:p>
        </w:tc>
        <w:tc>
          <w:tcPr>
            <w:tcW w:w="6673" w:type="dxa"/>
            <w:gridSpan w:val="6"/>
            <w:tcBorders>
              <w:top w:val="single" w:color="auto" w:sz="4" w:space="0"/>
              <w:left w:val="single" w:color="auto" w:sz="4" w:space="0"/>
              <w:bottom w:val="single" w:color="auto" w:sz="4" w:space="0"/>
              <w:right w:val="single" w:color="auto" w:sz="4" w:space="0"/>
            </w:tcBorders>
            <w:noWrap/>
            <w:vAlign w:val="center"/>
          </w:tcPr>
          <w:p w14:paraId="4C5CF1AA">
            <w:pPr>
              <w:spacing w:line="360" w:lineRule="auto"/>
              <w:rPr>
                <w:sz w:val="24"/>
              </w:rPr>
            </w:pPr>
          </w:p>
        </w:tc>
      </w:tr>
      <w:tr w14:paraId="757CE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726" w:type="dxa"/>
            <w:tcBorders>
              <w:top w:val="single" w:color="auto" w:sz="4" w:space="0"/>
              <w:left w:val="single" w:color="auto" w:sz="4" w:space="0"/>
              <w:bottom w:val="single" w:color="auto" w:sz="4" w:space="0"/>
              <w:right w:val="single" w:color="auto" w:sz="4" w:space="0"/>
            </w:tcBorders>
            <w:noWrap/>
            <w:vAlign w:val="center"/>
          </w:tcPr>
          <w:p w14:paraId="0830D784">
            <w:pPr>
              <w:spacing w:line="360" w:lineRule="auto"/>
              <w:rPr>
                <w:sz w:val="24"/>
              </w:rPr>
            </w:pPr>
            <w:r>
              <w:rPr>
                <w:rFonts w:hint="eastAsia"/>
                <w:sz w:val="24"/>
              </w:rPr>
              <w:t>注册资金</w:t>
            </w:r>
          </w:p>
        </w:tc>
        <w:tc>
          <w:tcPr>
            <w:tcW w:w="6673" w:type="dxa"/>
            <w:gridSpan w:val="6"/>
            <w:tcBorders>
              <w:top w:val="single" w:color="auto" w:sz="4" w:space="0"/>
              <w:left w:val="single" w:color="auto" w:sz="4" w:space="0"/>
              <w:bottom w:val="single" w:color="auto" w:sz="4" w:space="0"/>
              <w:right w:val="single" w:color="auto" w:sz="4" w:space="0"/>
            </w:tcBorders>
            <w:noWrap/>
            <w:vAlign w:val="center"/>
          </w:tcPr>
          <w:p w14:paraId="1E9B4C11">
            <w:pPr>
              <w:spacing w:line="360" w:lineRule="auto"/>
              <w:rPr>
                <w:sz w:val="24"/>
              </w:rPr>
            </w:pPr>
          </w:p>
        </w:tc>
      </w:tr>
      <w:tr w14:paraId="25BD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1726" w:type="dxa"/>
            <w:tcBorders>
              <w:top w:val="single" w:color="auto" w:sz="4" w:space="0"/>
              <w:left w:val="single" w:color="auto" w:sz="4" w:space="0"/>
              <w:bottom w:val="single" w:color="auto" w:sz="4" w:space="0"/>
              <w:right w:val="single" w:color="auto" w:sz="4" w:space="0"/>
            </w:tcBorders>
            <w:noWrap/>
            <w:vAlign w:val="center"/>
          </w:tcPr>
          <w:p w14:paraId="6BE958B4">
            <w:pPr>
              <w:spacing w:line="360" w:lineRule="auto"/>
              <w:rPr>
                <w:sz w:val="24"/>
              </w:rPr>
            </w:pPr>
            <w:r>
              <w:rPr>
                <w:rFonts w:hint="eastAsia"/>
                <w:sz w:val="24"/>
              </w:rPr>
              <w:t>经营范围备注</w:t>
            </w:r>
          </w:p>
        </w:tc>
        <w:tc>
          <w:tcPr>
            <w:tcW w:w="6673" w:type="dxa"/>
            <w:gridSpan w:val="6"/>
            <w:tcBorders>
              <w:top w:val="single" w:color="auto" w:sz="4" w:space="0"/>
              <w:left w:val="single" w:color="auto" w:sz="4" w:space="0"/>
              <w:bottom w:val="single" w:color="auto" w:sz="4" w:space="0"/>
              <w:right w:val="single" w:color="auto" w:sz="4" w:space="0"/>
            </w:tcBorders>
            <w:noWrap/>
            <w:vAlign w:val="center"/>
          </w:tcPr>
          <w:p w14:paraId="4DBE33B0">
            <w:pPr>
              <w:spacing w:line="360" w:lineRule="auto"/>
              <w:rPr>
                <w:sz w:val="24"/>
              </w:rPr>
            </w:pPr>
          </w:p>
        </w:tc>
      </w:tr>
    </w:tbl>
    <w:p w14:paraId="7E04ED60">
      <w:pPr>
        <w:wordWrap w:val="0"/>
        <w:spacing w:line="360" w:lineRule="auto"/>
        <w:ind w:firstLine="480" w:firstLineChars="200"/>
        <w:rPr>
          <w:rFonts w:ascii="宋体" w:hAnsi="宋体" w:cs="宋体"/>
          <w:sz w:val="24"/>
        </w:rPr>
      </w:pPr>
    </w:p>
    <w:p w14:paraId="116DF47F">
      <w:pPr>
        <w:wordWrap w:val="0"/>
        <w:spacing w:line="360" w:lineRule="auto"/>
        <w:ind w:firstLine="480" w:firstLineChars="200"/>
        <w:rPr>
          <w:rFonts w:ascii="宋体" w:hAnsi="宋体" w:cs="宋体"/>
          <w:sz w:val="24"/>
        </w:rPr>
      </w:pPr>
    </w:p>
    <w:p w14:paraId="789C7F4E">
      <w:pPr>
        <w:spacing w:line="480" w:lineRule="auto"/>
        <w:jc w:val="center"/>
        <w:rPr>
          <w:b/>
          <w:sz w:val="28"/>
          <w:szCs w:val="28"/>
        </w:rPr>
      </w:pPr>
    </w:p>
    <w:p w14:paraId="4ECB3225">
      <w:pPr>
        <w:spacing w:line="480" w:lineRule="auto"/>
        <w:jc w:val="center"/>
        <w:rPr>
          <w:b/>
          <w:sz w:val="28"/>
          <w:szCs w:val="28"/>
        </w:rPr>
      </w:pPr>
    </w:p>
    <w:p w14:paraId="3071D80D">
      <w:pPr>
        <w:jc w:val="center"/>
        <w:rPr>
          <w:b/>
          <w:sz w:val="28"/>
          <w:szCs w:val="28"/>
        </w:rPr>
      </w:pPr>
    </w:p>
    <w:p w14:paraId="63C43B12">
      <w:pPr>
        <w:wordWrap w:val="0"/>
        <w:spacing w:line="360" w:lineRule="auto"/>
        <w:rPr>
          <w:rFonts w:ascii="宋体" w:hAnsi="宋体" w:cs="宋体"/>
          <w:b/>
          <w:bCs/>
          <w:sz w:val="30"/>
          <w:szCs w:val="30"/>
        </w:rPr>
      </w:pPr>
    </w:p>
    <w:p w14:paraId="46E1017D">
      <w:pPr>
        <w:wordWrap w:val="0"/>
        <w:spacing w:line="360" w:lineRule="auto"/>
        <w:jc w:val="center"/>
        <w:rPr>
          <w:rFonts w:ascii="宋体" w:hAnsi="宋体" w:cs="宋体"/>
          <w:b/>
          <w:bCs/>
          <w:sz w:val="30"/>
          <w:szCs w:val="30"/>
        </w:rPr>
      </w:pPr>
      <w:bookmarkStart w:id="20" w:name="_Toc13068_WPSOffice_Level2"/>
      <w:r>
        <w:rPr>
          <w:rFonts w:hint="eastAsia"/>
          <w:sz w:val="28"/>
          <w:szCs w:val="20"/>
        </w:rPr>
        <w:t>（二）竞争性磋商文件规定的资格审查资料</w:t>
      </w:r>
      <w:bookmarkEnd w:id="20"/>
    </w:p>
    <w:p w14:paraId="35DB7C8F">
      <w:pPr>
        <w:wordWrap w:val="0"/>
        <w:spacing w:line="360" w:lineRule="auto"/>
        <w:jc w:val="center"/>
        <w:rPr>
          <w:rFonts w:ascii="宋体" w:hAnsi="宋体" w:cs="宋体"/>
          <w:b/>
          <w:bCs/>
          <w:sz w:val="30"/>
          <w:szCs w:val="30"/>
        </w:rPr>
      </w:pPr>
    </w:p>
    <w:p w14:paraId="2D717ECA">
      <w:pPr>
        <w:wordWrap w:val="0"/>
        <w:spacing w:line="360" w:lineRule="auto"/>
        <w:jc w:val="center"/>
        <w:rPr>
          <w:rFonts w:ascii="宋体" w:hAnsi="宋体" w:cs="宋体"/>
          <w:b/>
          <w:bCs/>
          <w:sz w:val="30"/>
          <w:szCs w:val="30"/>
        </w:rPr>
      </w:pPr>
    </w:p>
    <w:p w14:paraId="0F4D60DD">
      <w:pPr>
        <w:wordWrap w:val="0"/>
        <w:spacing w:line="360" w:lineRule="auto"/>
        <w:rPr>
          <w:rFonts w:ascii="宋体" w:hAnsi="宋体" w:cs="宋体"/>
          <w:b/>
          <w:bCs/>
          <w:sz w:val="30"/>
          <w:szCs w:val="30"/>
        </w:rPr>
      </w:pPr>
    </w:p>
    <w:p w14:paraId="55D2C3C1">
      <w:pPr>
        <w:wordWrap w:val="0"/>
        <w:spacing w:line="360" w:lineRule="auto"/>
        <w:jc w:val="center"/>
        <w:rPr>
          <w:rFonts w:ascii="宋体" w:hAnsi="宋体" w:cs="宋体"/>
          <w:b/>
          <w:bCs/>
          <w:sz w:val="32"/>
          <w:szCs w:val="32"/>
          <w:highlight w:val="yellow"/>
        </w:rPr>
      </w:pPr>
    </w:p>
    <w:p w14:paraId="312B9260">
      <w:pPr>
        <w:wordWrap w:val="0"/>
        <w:spacing w:line="360" w:lineRule="auto"/>
        <w:jc w:val="center"/>
        <w:rPr>
          <w:rFonts w:ascii="宋体" w:hAnsi="宋体" w:cs="宋体"/>
          <w:b/>
          <w:bCs/>
          <w:sz w:val="32"/>
          <w:szCs w:val="32"/>
          <w:highlight w:val="yellow"/>
        </w:rPr>
      </w:pPr>
    </w:p>
    <w:p w14:paraId="3A4AA19E">
      <w:pPr>
        <w:wordWrap w:val="0"/>
        <w:spacing w:line="360" w:lineRule="auto"/>
        <w:jc w:val="center"/>
        <w:rPr>
          <w:rFonts w:ascii="宋体" w:hAnsi="宋体" w:cs="宋体"/>
          <w:b/>
          <w:bCs/>
          <w:sz w:val="32"/>
          <w:szCs w:val="32"/>
          <w:highlight w:val="yellow"/>
        </w:rPr>
      </w:pPr>
    </w:p>
    <w:p w14:paraId="2D669B49">
      <w:pPr>
        <w:wordWrap w:val="0"/>
        <w:spacing w:line="360" w:lineRule="auto"/>
        <w:jc w:val="center"/>
        <w:rPr>
          <w:rFonts w:ascii="宋体" w:hAnsi="宋体" w:cs="宋体"/>
          <w:b/>
          <w:bCs/>
          <w:sz w:val="32"/>
          <w:szCs w:val="32"/>
          <w:highlight w:val="yellow"/>
        </w:rPr>
      </w:pPr>
    </w:p>
    <w:p w14:paraId="33E4A0DD">
      <w:pPr>
        <w:wordWrap w:val="0"/>
        <w:spacing w:line="360" w:lineRule="auto"/>
        <w:jc w:val="center"/>
        <w:rPr>
          <w:rFonts w:ascii="宋体" w:hAnsi="宋体" w:cs="宋体"/>
          <w:b/>
          <w:bCs/>
          <w:sz w:val="32"/>
          <w:szCs w:val="32"/>
          <w:highlight w:val="yellow"/>
        </w:rPr>
      </w:pPr>
    </w:p>
    <w:p w14:paraId="4FFF8193">
      <w:pPr>
        <w:wordWrap w:val="0"/>
        <w:spacing w:line="360" w:lineRule="auto"/>
        <w:jc w:val="center"/>
        <w:rPr>
          <w:rFonts w:ascii="宋体" w:hAnsi="宋体" w:cs="宋体"/>
          <w:b/>
          <w:bCs/>
          <w:sz w:val="32"/>
          <w:szCs w:val="32"/>
          <w:highlight w:val="yellow"/>
        </w:rPr>
      </w:pPr>
    </w:p>
    <w:p w14:paraId="6E0AA822">
      <w:pPr>
        <w:wordWrap w:val="0"/>
        <w:spacing w:line="360" w:lineRule="auto"/>
        <w:jc w:val="center"/>
        <w:rPr>
          <w:rFonts w:ascii="宋体" w:hAnsi="宋体" w:cs="宋体"/>
          <w:b/>
          <w:bCs/>
          <w:sz w:val="32"/>
          <w:szCs w:val="32"/>
          <w:highlight w:val="yellow"/>
        </w:rPr>
      </w:pPr>
    </w:p>
    <w:p w14:paraId="1618AC6B">
      <w:pPr>
        <w:wordWrap w:val="0"/>
        <w:spacing w:line="360" w:lineRule="auto"/>
        <w:jc w:val="center"/>
        <w:rPr>
          <w:rFonts w:ascii="宋体" w:hAnsi="宋体" w:cs="宋体"/>
          <w:b/>
          <w:bCs/>
          <w:sz w:val="32"/>
          <w:szCs w:val="32"/>
          <w:highlight w:val="yellow"/>
        </w:rPr>
      </w:pPr>
    </w:p>
    <w:p w14:paraId="05884C83">
      <w:pPr>
        <w:wordWrap w:val="0"/>
        <w:spacing w:line="360" w:lineRule="auto"/>
        <w:jc w:val="center"/>
        <w:rPr>
          <w:rFonts w:ascii="宋体" w:hAnsi="宋体" w:cs="宋体"/>
          <w:b/>
          <w:bCs/>
          <w:sz w:val="32"/>
          <w:szCs w:val="32"/>
          <w:highlight w:val="yellow"/>
        </w:rPr>
      </w:pPr>
    </w:p>
    <w:p w14:paraId="7B640535">
      <w:pPr>
        <w:wordWrap w:val="0"/>
        <w:spacing w:line="360" w:lineRule="auto"/>
        <w:jc w:val="center"/>
        <w:rPr>
          <w:rFonts w:ascii="宋体" w:hAnsi="宋体" w:cs="宋体"/>
          <w:b/>
          <w:bCs/>
          <w:sz w:val="32"/>
          <w:szCs w:val="32"/>
          <w:highlight w:val="yellow"/>
        </w:rPr>
      </w:pPr>
    </w:p>
    <w:p w14:paraId="271A1059">
      <w:pPr>
        <w:wordWrap w:val="0"/>
        <w:spacing w:line="360" w:lineRule="auto"/>
        <w:jc w:val="center"/>
        <w:rPr>
          <w:rFonts w:ascii="宋体" w:hAnsi="宋体" w:cs="宋体"/>
          <w:b/>
          <w:bCs/>
          <w:sz w:val="32"/>
          <w:szCs w:val="32"/>
          <w:highlight w:val="yellow"/>
        </w:rPr>
      </w:pPr>
    </w:p>
    <w:p w14:paraId="53B89193">
      <w:pPr>
        <w:wordWrap w:val="0"/>
        <w:spacing w:line="360" w:lineRule="auto"/>
        <w:jc w:val="center"/>
        <w:rPr>
          <w:rFonts w:ascii="宋体" w:hAnsi="宋体" w:cs="宋体"/>
          <w:b/>
          <w:bCs/>
          <w:sz w:val="32"/>
          <w:szCs w:val="32"/>
          <w:highlight w:val="yellow"/>
        </w:rPr>
      </w:pPr>
    </w:p>
    <w:p w14:paraId="2CE0CB83">
      <w:pPr>
        <w:wordWrap w:val="0"/>
        <w:spacing w:line="360" w:lineRule="auto"/>
        <w:jc w:val="center"/>
        <w:rPr>
          <w:rFonts w:ascii="宋体" w:hAnsi="宋体" w:cs="宋体"/>
          <w:b/>
          <w:bCs/>
          <w:sz w:val="32"/>
          <w:szCs w:val="32"/>
          <w:highlight w:val="yellow"/>
        </w:rPr>
      </w:pPr>
    </w:p>
    <w:p w14:paraId="31802A66">
      <w:pPr>
        <w:wordWrap w:val="0"/>
        <w:spacing w:line="360" w:lineRule="auto"/>
        <w:jc w:val="center"/>
        <w:rPr>
          <w:rFonts w:ascii="宋体" w:hAnsi="宋体" w:cs="宋体"/>
          <w:b/>
          <w:bCs/>
          <w:sz w:val="32"/>
          <w:szCs w:val="32"/>
          <w:highlight w:val="yellow"/>
        </w:rPr>
      </w:pPr>
    </w:p>
    <w:p w14:paraId="54160DEF">
      <w:pPr>
        <w:wordWrap w:val="0"/>
        <w:spacing w:line="360" w:lineRule="auto"/>
        <w:jc w:val="center"/>
        <w:rPr>
          <w:rFonts w:ascii="宋体" w:hAnsi="宋体" w:cs="宋体"/>
          <w:b/>
          <w:bCs/>
          <w:sz w:val="32"/>
          <w:szCs w:val="32"/>
          <w:highlight w:val="yellow"/>
        </w:rPr>
      </w:pPr>
    </w:p>
    <w:p w14:paraId="689D7BD5">
      <w:pPr>
        <w:wordWrap w:val="0"/>
        <w:spacing w:line="360" w:lineRule="auto"/>
        <w:jc w:val="center"/>
        <w:rPr>
          <w:rFonts w:ascii="宋体" w:hAnsi="宋体" w:cs="宋体"/>
          <w:b/>
          <w:bCs/>
          <w:sz w:val="32"/>
          <w:szCs w:val="32"/>
          <w:highlight w:val="yellow"/>
        </w:rPr>
      </w:pPr>
    </w:p>
    <w:p w14:paraId="07630DD8">
      <w:pPr>
        <w:wordWrap w:val="0"/>
        <w:spacing w:line="360" w:lineRule="auto"/>
        <w:jc w:val="center"/>
        <w:rPr>
          <w:rFonts w:ascii="宋体" w:hAnsi="宋体" w:cs="宋体"/>
          <w:b/>
          <w:bCs/>
          <w:sz w:val="32"/>
          <w:szCs w:val="32"/>
          <w:highlight w:val="yellow"/>
        </w:rPr>
      </w:pPr>
    </w:p>
    <w:p w14:paraId="57598E3C">
      <w:pPr>
        <w:wordWrap w:val="0"/>
        <w:spacing w:line="360" w:lineRule="auto"/>
        <w:jc w:val="center"/>
        <w:rPr>
          <w:rFonts w:ascii="宋体" w:hAnsi="宋体" w:cs="宋体"/>
          <w:b/>
          <w:bCs/>
          <w:sz w:val="32"/>
          <w:szCs w:val="32"/>
          <w:highlight w:val="yellow"/>
        </w:rPr>
      </w:pPr>
    </w:p>
    <w:p w14:paraId="44976059">
      <w:pPr>
        <w:wordWrap w:val="0"/>
        <w:spacing w:line="360" w:lineRule="auto"/>
        <w:jc w:val="center"/>
        <w:rPr>
          <w:rFonts w:ascii="宋体" w:hAnsi="宋体"/>
          <w:b/>
          <w:sz w:val="32"/>
          <w:szCs w:val="32"/>
        </w:rPr>
      </w:pPr>
      <w:r>
        <w:rPr>
          <w:rFonts w:hint="eastAsia" w:ascii="宋体" w:hAnsi="宋体" w:cs="宋体"/>
          <w:b/>
          <w:bCs/>
          <w:sz w:val="32"/>
          <w:szCs w:val="32"/>
          <w:lang w:val="en-US" w:eastAsia="zh-CN"/>
        </w:rPr>
        <w:t>七</w:t>
      </w:r>
      <w:r>
        <w:rPr>
          <w:rFonts w:hint="eastAsia" w:ascii="宋体" w:hAnsi="宋体" w:cs="宋体"/>
          <w:b/>
          <w:bCs/>
          <w:sz w:val="32"/>
          <w:szCs w:val="32"/>
        </w:rPr>
        <w:t>、</w:t>
      </w:r>
      <w:r>
        <w:rPr>
          <w:rFonts w:hint="eastAsia" w:ascii="宋体" w:hAnsi="宋体"/>
          <w:b/>
          <w:sz w:val="32"/>
          <w:szCs w:val="32"/>
        </w:rPr>
        <w:t>中小微企业声明函</w:t>
      </w:r>
    </w:p>
    <w:p w14:paraId="2205B191">
      <w:pPr>
        <w:pStyle w:val="37"/>
        <w:jc w:val="center"/>
        <w:rPr>
          <w:rFonts w:ascii="宋体" w:hAnsi="宋体" w:cs="宋体"/>
          <w:color w:val="000000"/>
          <w:spacing w:val="14"/>
          <w:sz w:val="28"/>
          <w:szCs w:val="28"/>
        </w:rPr>
      </w:pPr>
      <w:r>
        <w:rPr>
          <w:rFonts w:hint="eastAsia" w:ascii="宋体" w:hAnsi="宋体" w:cs="宋体"/>
          <w:b/>
          <w:bCs/>
          <w:color w:val="000000"/>
          <w:spacing w:val="14"/>
          <w:sz w:val="28"/>
          <w:szCs w:val="28"/>
        </w:rPr>
        <w:t>（1）中小企业声明函（工程、服务）</w:t>
      </w:r>
    </w:p>
    <w:p w14:paraId="337E3361">
      <w:pPr>
        <w:spacing w:line="360" w:lineRule="auto"/>
        <w:ind w:firstLine="638" w:firstLineChars="266"/>
        <w:rPr>
          <w:rFonts w:ascii="宋体" w:hAnsi="宋体" w:cs="宋体"/>
          <w:bCs/>
          <w:kern w:val="0"/>
          <w:sz w:val="24"/>
        </w:rPr>
      </w:pPr>
      <w:r>
        <w:rPr>
          <w:rFonts w:hint="eastAsia" w:ascii="宋体" w:hAnsi="宋体" w:cs="宋体"/>
          <w:bCs/>
          <w:kern w:val="0"/>
          <w:sz w:val="24"/>
        </w:rPr>
        <w:t>本公司（联合体）郑重声明，根据《政府采购促进中小企业发展管理办法》（财库﹝2020﹞46 号）的规定，本公司（联合体）参加</w:t>
      </w:r>
      <w:r>
        <w:rPr>
          <w:rFonts w:hint="eastAsia" w:ascii="宋体" w:hAnsi="宋体" w:cs="宋体"/>
          <w:bCs/>
          <w:kern w:val="0"/>
          <w:sz w:val="24"/>
          <w:u w:val="single"/>
        </w:rPr>
        <w:t>（单位名称）</w:t>
      </w:r>
      <w:r>
        <w:rPr>
          <w:rFonts w:hint="eastAsia" w:ascii="宋体" w:hAnsi="宋体" w:cs="宋体"/>
          <w:bCs/>
          <w:kern w:val="0"/>
          <w:sz w:val="24"/>
        </w:rPr>
        <w:t>的</w:t>
      </w:r>
      <w:r>
        <w:rPr>
          <w:rFonts w:hint="eastAsia" w:ascii="宋体" w:hAnsi="宋体" w:cs="宋体"/>
          <w:bCs/>
          <w:kern w:val="0"/>
          <w:sz w:val="24"/>
          <w:u w:val="single"/>
        </w:rPr>
        <w:t>（项目名称）</w:t>
      </w:r>
      <w:r>
        <w:rPr>
          <w:rFonts w:hint="eastAsia" w:ascii="宋体" w:hAnsi="宋体" w:cs="宋体"/>
          <w:bCs/>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5E3F52F">
      <w:pPr>
        <w:spacing w:line="360" w:lineRule="auto"/>
        <w:ind w:firstLine="638" w:firstLineChars="266"/>
        <w:rPr>
          <w:rFonts w:ascii="宋体" w:hAnsi="宋体" w:cs="宋体"/>
          <w:bCs/>
          <w:kern w:val="0"/>
          <w:sz w:val="24"/>
        </w:rPr>
      </w:pPr>
      <w:r>
        <w:rPr>
          <w:rFonts w:hint="eastAsia" w:ascii="宋体" w:hAnsi="宋体" w:cs="宋体"/>
          <w:bCs/>
          <w:kern w:val="0"/>
          <w:sz w:val="24"/>
        </w:rPr>
        <w:t xml:space="preserve">1. </w:t>
      </w:r>
      <w:r>
        <w:rPr>
          <w:rFonts w:hint="eastAsia" w:ascii="宋体" w:hAnsi="宋体" w:cs="宋体"/>
          <w:bCs/>
          <w:kern w:val="0"/>
          <w:sz w:val="24"/>
          <w:u w:val="single"/>
        </w:rPr>
        <w:t>（标的名称）</w:t>
      </w:r>
      <w:r>
        <w:rPr>
          <w:rFonts w:hint="eastAsia" w:ascii="宋体" w:hAnsi="宋体" w:cs="宋体"/>
          <w:bCs/>
          <w:kern w:val="0"/>
          <w:sz w:val="24"/>
        </w:rPr>
        <w:t xml:space="preserve"> ，属于</w:t>
      </w:r>
      <w:r>
        <w:rPr>
          <w:rFonts w:hint="eastAsia" w:ascii="宋体" w:hAnsi="宋体" w:cs="宋体"/>
          <w:bCs/>
          <w:kern w:val="0"/>
          <w:sz w:val="24"/>
          <w:u w:val="single"/>
        </w:rPr>
        <w:t>（采购文件中明确的所属行业）</w:t>
      </w:r>
      <w:r>
        <w:rPr>
          <w:rFonts w:hint="eastAsia" w:ascii="宋体" w:hAnsi="宋体" w:cs="宋体"/>
          <w:bCs/>
          <w:kern w:val="0"/>
          <w:sz w:val="24"/>
        </w:rPr>
        <w:t>行业；承建（承接）企业为</w:t>
      </w:r>
      <w:r>
        <w:rPr>
          <w:rFonts w:hint="eastAsia" w:ascii="宋体" w:hAnsi="宋体" w:cs="宋体"/>
          <w:bCs/>
          <w:kern w:val="0"/>
          <w:sz w:val="24"/>
          <w:u w:val="single"/>
        </w:rPr>
        <w:t>（企业名称）</w:t>
      </w:r>
      <w:r>
        <w:rPr>
          <w:rFonts w:hint="eastAsia" w:ascii="宋体" w:hAnsi="宋体" w:cs="宋体"/>
          <w:bCs/>
          <w:kern w:val="0"/>
          <w:sz w:val="24"/>
        </w:rPr>
        <w:t>，从业人员人，营业收入为万元，资产总额为万元，属于（中型企业、小型企业、微型企业）；</w:t>
      </w:r>
    </w:p>
    <w:p w14:paraId="6480A0FA">
      <w:pPr>
        <w:spacing w:line="360" w:lineRule="auto"/>
        <w:ind w:firstLine="638" w:firstLineChars="266"/>
        <w:rPr>
          <w:rFonts w:ascii="宋体" w:hAnsi="宋体" w:cs="宋体"/>
          <w:bCs/>
          <w:kern w:val="0"/>
          <w:sz w:val="24"/>
        </w:rPr>
      </w:pPr>
      <w:r>
        <w:rPr>
          <w:rFonts w:hint="eastAsia" w:ascii="宋体" w:hAnsi="宋体" w:cs="宋体"/>
          <w:bCs/>
          <w:kern w:val="0"/>
          <w:sz w:val="24"/>
        </w:rPr>
        <w:t xml:space="preserve">2. </w:t>
      </w:r>
      <w:r>
        <w:rPr>
          <w:rFonts w:hint="eastAsia" w:ascii="宋体" w:hAnsi="宋体" w:cs="宋体"/>
          <w:bCs/>
          <w:kern w:val="0"/>
          <w:sz w:val="24"/>
          <w:u w:val="single"/>
        </w:rPr>
        <w:t>（标的名称）</w:t>
      </w:r>
      <w:r>
        <w:rPr>
          <w:rFonts w:hint="eastAsia" w:ascii="宋体" w:hAnsi="宋体" w:cs="宋体"/>
          <w:bCs/>
          <w:kern w:val="0"/>
          <w:sz w:val="24"/>
        </w:rPr>
        <w:t xml:space="preserve"> ，属于</w:t>
      </w:r>
      <w:r>
        <w:rPr>
          <w:rFonts w:hint="eastAsia" w:ascii="宋体" w:hAnsi="宋体" w:cs="宋体"/>
          <w:bCs/>
          <w:kern w:val="0"/>
          <w:sz w:val="24"/>
          <w:u w:val="single"/>
        </w:rPr>
        <w:t>（采购文件中明确的所属行业）</w:t>
      </w:r>
      <w:r>
        <w:rPr>
          <w:rFonts w:hint="eastAsia" w:ascii="宋体" w:hAnsi="宋体" w:cs="宋体"/>
          <w:bCs/>
          <w:kern w:val="0"/>
          <w:sz w:val="24"/>
        </w:rPr>
        <w:t>行业；承建（承接）企业为</w:t>
      </w:r>
      <w:r>
        <w:rPr>
          <w:rFonts w:hint="eastAsia" w:ascii="宋体" w:hAnsi="宋体" w:cs="宋体"/>
          <w:bCs/>
          <w:kern w:val="0"/>
          <w:sz w:val="24"/>
          <w:u w:val="single"/>
        </w:rPr>
        <w:t>（企业名称）</w:t>
      </w:r>
      <w:r>
        <w:rPr>
          <w:rFonts w:hint="eastAsia" w:ascii="宋体" w:hAnsi="宋体" w:cs="宋体"/>
          <w:bCs/>
          <w:kern w:val="0"/>
          <w:sz w:val="24"/>
        </w:rPr>
        <w:t>，从业人员人，营业收入为万元，资产总额为万元，属于（中型企业、小型企业、微型企业）；</w:t>
      </w:r>
    </w:p>
    <w:p w14:paraId="72F8D521">
      <w:pPr>
        <w:snapToGrid w:val="0"/>
        <w:spacing w:line="360" w:lineRule="auto"/>
        <w:ind w:right="482" w:firstLine="480" w:firstLineChars="200"/>
        <w:jc w:val="left"/>
        <w:rPr>
          <w:rFonts w:ascii="宋体" w:hAnsi="宋体" w:cs="宋体"/>
          <w:sz w:val="24"/>
        </w:rPr>
      </w:pPr>
      <w:r>
        <w:rPr>
          <w:rFonts w:hint="eastAsia" w:ascii="宋体" w:hAnsi="宋体" w:cs="宋体"/>
          <w:sz w:val="24"/>
        </w:rPr>
        <w:t>……</w:t>
      </w:r>
    </w:p>
    <w:p w14:paraId="3D944D2F">
      <w:pPr>
        <w:snapToGrid w:val="0"/>
        <w:spacing w:line="360" w:lineRule="auto"/>
        <w:ind w:right="482" w:firstLine="480" w:firstLineChars="200"/>
        <w:jc w:val="left"/>
        <w:rPr>
          <w:rFonts w:ascii="宋体" w:hAnsi="宋体"/>
          <w:sz w:val="24"/>
          <w:szCs w:val="20"/>
        </w:rPr>
      </w:pPr>
      <w:r>
        <w:rPr>
          <w:rFonts w:hint="eastAsia" w:ascii="宋体" w:hAnsi="宋体"/>
          <w:sz w:val="24"/>
          <w:szCs w:val="20"/>
        </w:rPr>
        <w:t>以上企业，不属于大企业的分支机构，不存在控股股东为大企业的情形，也不存在与大企业的负责人为同一人的情形。</w:t>
      </w:r>
    </w:p>
    <w:p w14:paraId="55C2137F">
      <w:pPr>
        <w:snapToGrid w:val="0"/>
        <w:spacing w:line="360" w:lineRule="auto"/>
        <w:ind w:right="482" w:firstLine="480" w:firstLineChars="200"/>
        <w:jc w:val="left"/>
        <w:rPr>
          <w:rFonts w:ascii="宋体" w:hAnsi="宋体"/>
          <w:sz w:val="24"/>
          <w:szCs w:val="20"/>
        </w:rPr>
      </w:pPr>
      <w:r>
        <w:rPr>
          <w:rFonts w:hint="eastAsia" w:ascii="宋体" w:hAnsi="宋体"/>
          <w:sz w:val="24"/>
          <w:szCs w:val="20"/>
        </w:rPr>
        <w:t>本企业对上述声明内容的真实性负责。如有虚假，将依法承担相应责任。</w:t>
      </w:r>
    </w:p>
    <w:p w14:paraId="0941F8D4">
      <w:pPr>
        <w:snapToGrid w:val="0"/>
        <w:spacing w:line="360" w:lineRule="auto"/>
        <w:ind w:right="482" w:firstLine="480" w:firstLineChars="200"/>
        <w:jc w:val="left"/>
        <w:rPr>
          <w:rFonts w:ascii="宋体" w:hAnsi="宋体"/>
          <w:sz w:val="24"/>
          <w:szCs w:val="20"/>
        </w:rPr>
      </w:pPr>
    </w:p>
    <w:p w14:paraId="5EDCADC7">
      <w:pPr>
        <w:snapToGrid w:val="0"/>
        <w:spacing w:line="360" w:lineRule="auto"/>
        <w:ind w:right="482" w:firstLine="480" w:firstLineChars="200"/>
        <w:jc w:val="left"/>
        <w:rPr>
          <w:rFonts w:ascii="宋体" w:hAnsi="宋体"/>
          <w:sz w:val="24"/>
          <w:szCs w:val="20"/>
        </w:rPr>
      </w:pPr>
    </w:p>
    <w:p w14:paraId="3677CD0B">
      <w:pPr>
        <w:snapToGrid w:val="0"/>
        <w:spacing w:line="360" w:lineRule="auto"/>
        <w:ind w:right="482" w:firstLine="480" w:firstLineChars="200"/>
        <w:jc w:val="left"/>
        <w:rPr>
          <w:rFonts w:ascii="宋体" w:hAnsi="宋体"/>
          <w:sz w:val="24"/>
          <w:szCs w:val="20"/>
        </w:rPr>
      </w:pPr>
    </w:p>
    <w:p w14:paraId="388CE5B1">
      <w:pPr>
        <w:snapToGrid w:val="0"/>
        <w:spacing w:line="360" w:lineRule="auto"/>
        <w:ind w:right="482" w:firstLine="5527" w:firstLineChars="2303"/>
        <w:rPr>
          <w:rFonts w:ascii="宋体" w:hAnsi="宋体"/>
          <w:sz w:val="24"/>
          <w:szCs w:val="20"/>
        </w:rPr>
      </w:pPr>
      <w:r>
        <w:rPr>
          <w:rFonts w:hint="eastAsia" w:ascii="宋体" w:hAnsi="宋体"/>
          <w:sz w:val="24"/>
          <w:szCs w:val="20"/>
        </w:rPr>
        <w:t>企业名称（盖章）：</w:t>
      </w:r>
    </w:p>
    <w:p w14:paraId="5089B6C6">
      <w:pPr>
        <w:snapToGrid w:val="0"/>
        <w:spacing w:line="360" w:lineRule="auto"/>
        <w:ind w:right="482" w:firstLine="5527" w:firstLineChars="2303"/>
        <w:rPr>
          <w:rFonts w:ascii="宋体" w:hAnsi="宋体"/>
          <w:sz w:val="24"/>
          <w:szCs w:val="20"/>
        </w:rPr>
      </w:pPr>
      <w:r>
        <w:rPr>
          <w:rFonts w:hint="eastAsia" w:ascii="宋体" w:hAnsi="宋体"/>
          <w:sz w:val="24"/>
          <w:szCs w:val="20"/>
        </w:rPr>
        <w:t>日期：</w:t>
      </w:r>
    </w:p>
    <w:p w14:paraId="471A21D9">
      <w:pPr>
        <w:spacing w:line="480" w:lineRule="auto"/>
        <w:jc w:val="center"/>
        <w:rPr>
          <w:rFonts w:ascii="宋体" w:hAnsi="宋体"/>
          <w:sz w:val="24"/>
          <w:szCs w:val="20"/>
        </w:rPr>
      </w:pPr>
    </w:p>
    <w:p w14:paraId="557AFB6E">
      <w:pPr>
        <w:spacing w:line="360" w:lineRule="auto"/>
        <w:jc w:val="left"/>
        <w:rPr>
          <w:rFonts w:ascii="宋体" w:hAnsi="宋体" w:cs="宋体"/>
          <w:b/>
          <w:bCs/>
          <w:sz w:val="24"/>
          <w:szCs w:val="20"/>
        </w:rPr>
      </w:pPr>
      <w:r>
        <w:rPr>
          <w:rFonts w:hint="eastAsia" w:ascii="宋体" w:hAnsi="宋体" w:cs="宋体"/>
          <w:b/>
          <w:bCs/>
          <w:sz w:val="24"/>
          <w:szCs w:val="20"/>
        </w:rPr>
        <w:t>注：1、从业人员、营业收入、资产总额填报上一年度数据，无上一年度数据的新成立企业可不填报。</w:t>
      </w:r>
    </w:p>
    <w:p w14:paraId="76F367CF">
      <w:pPr>
        <w:numPr>
          <w:ilvl w:val="0"/>
          <w:numId w:val="2"/>
        </w:numPr>
        <w:spacing w:line="360" w:lineRule="auto"/>
        <w:jc w:val="left"/>
        <w:rPr>
          <w:rFonts w:ascii="宋体" w:hAnsi="宋体" w:cs="宋体"/>
          <w:b/>
          <w:bCs/>
          <w:sz w:val="24"/>
          <w:szCs w:val="20"/>
        </w:rPr>
      </w:pPr>
      <w:r>
        <w:rPr>
          <w:rFonts w:hint="eastAsia" w:ascii="宋体" w:hAnsi="宋体" w:cs="宋体"/>
          <w:b/>
          <w:bCs/>
          <w:sz w:val="24"/>
          <w:szCs w:val="20"/>
        </w:rPr>
        <w:t>中小企业划分标准见工业和信息化部国家统计局国家发展和改革委员财政部《关于印发中小企业划型标准规定的通知》（工信部联企业【2011】300号）。</w:t>
      </w:r>
    </w:p>
    <w:p w14:paraId="09AF18FD">
      <w:pPr>
        <w:spacing w:line="360" w:lineRule="auto"/>
        <w:jc w:val="center"/>
        <w:rPr>
          <w:rFonts w:ascii="宋体" w:hAnsi="宋体" w:cs="宋体"/>
          <w:b/>
          <w:sz w:val="28"/>
          <w:szCs w:val="28"/>
        </w:rPr>
      </w:pPr>
    </w:p>
    <w:p w14:paraId="4BBCFA70">
      <w:pPr>
        <w:spacing w:line="360" w:lineRule="auto"/>
        <w:jc w:val="center"/>
        <w:rPr>
          <w:b/>
          <w:sz w:val="28"/>
          <w:szCs w:val="28"/>
        </w:rPr>
      </w:pPr>
      <w:r>
        <w:rPr>
          <w:rFonts w:hint="eastAsia" w:ascii="宋体" w:hAnsi="宋体" w:cs="宋体"/>
          <w:b/>
          <w:sz w:val="28"/>
          <w:szCs w:val="28"/>
        </w:rPr>
        <w:t>（2）</w:t>
      </w:r>
      <w:r>
        <w:rPr>
          <w:rFonts w:hint="eastAsia"/>
          <w:b/>
          <w:sz w:val="28"/>
          <w:szCs w:val="28"/>
        </w:rPr>
        <w:t>残疾人福利性单位声明函</w:t>
      </w:r>
    </w:p>
    <w:p w14:paraId="4AEEB0CF">
      <w:pPr>
        <w:spacing w:line="360" w:lineRule="auto"/>
        <w:jc w:val="center"/>
        <w:rPr>
          <w:rFonts w:ascii="宋体" w:hAnsi="宋体" w:cs="宋体"/>
          <w:sz w:val="24"/>
        </w:rPr>
      </w:pPr>
      <w:r>
        <w:rPr>
          <w:rFonts w:ascii="宋体" w:hAnsi="宋体" w:cs="宋体"/>
          <w:sz w:val="24"/>
        </w:rPr>
        <w:t>（属于残疾人福利性单位的填写，不属于的无需填写此项内容）</w:t>
      </w:r>
    </w:p>
    <w:p w14:paraId="23BEBFFE">
      <w:pPr>
        <w:spacing w:line="360" w:lineRule="auto"/>
        <w:ind w:firstLine="480" w:firstLineChars="200"/>
        <w:rPr>
          <w:rFonts w:ascii="宋体" w:hAnsi="宋体" w:cs="宋体"/>
          <w:sz w:val="24"/>
        </w:rPr>
      </w:pPr>
    </w:p>
    <w:p w14:paraId="7382FB4B">
      <w:pPr>
        <w:spacing w:line="360" w:lineRule="auto"/>
        <w:ind w:firstLine="480" w:firstLineChars="200"/>
        <w:rPr>
          <w:rFonts w:ascii="宋体" w:hAnsi="宋体" w:cs="宋体"/>
          <w:sz w:val="24"/>
        </w:rPr>
      </w:pPr>
      <w:r>
        <w:rPr>
          <w:rFonts w:ascii="宋体" w:hAnsi="宋体" w:cs="宋体"/>
          <w:sz w:val="24"/>
        </w:rPr>
        <w:t>本单位郑重声明，根据《财政部</w:t>
      </w:r>
      <w:r>
        <w:rPr>
          <w:rFonts w:hint="eastAsia" w:ascii="宋体" w:hAnsi="宋体" w:cs="宋体"/>
          <w:sz w:val="24"/>
        </w:rPr>
        <w:t xml:space="preserve"> </w:t>
      </w:r>
      <w:r>
        <w:rPr>
          <w:rFonts w:ascii="宋体" w:hAnsi="宋体" w:cs="宋体"/>
          <w:sz w:val="24"/>
        </w:rPr>
        <w:t>民政部</w:t>
      </w:r>
      <w:r>
        <w:rPr>
          <w:rFonts w:hint="eastAsia" w:ascii="宋体" w:hAnsi="宋体" w:cs="宋体"/>
          <w:sz w:val="24"/>
        </w:rPr>
        <w:t xml:space="preserve"> </w:t>
      </w:r>
      <w:r>
        <w:rPr>
          <w:rFonts w:ascii="宋体" w:hAnsi="宋体" w:cs="宋体"/>
          <w:sz w:val="24"/>
        </w:rPr>
        <w:t>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ascii="宋体" w:hAnsi="宋体" w:cs="宋体"/>
          <w:sz w:val="24"/>
        </w:rPr>
        <w:t>单位的</w:t>
      </w:r>
      <w:r>
        <w:rPr>
          <w:rFonts w:hint="eastAsia" w:ascii="宋体" w:hAnsi="宋体" w:cs="宋体"/>
          <w:sz w:val="24"/>
          <w:u w:val="single"/>
        </w:rPr>
        <w:t xml:space="preserve">          </w:t>
      </w:r>
      <w:r>
        <w:rPr>
          <w:rFonts w:ascii="宋体" w:hAnsi="宋体" w:cs="宋体"/>
          <w:sz w:val="24"/>
        </w:rPr>
        <w:t>项目采购活动提供本单位制造的货物（由本单位承担工程/提供服务），或者提供其他残疾人福利性单位制造的货物（不包括使用非残疾人福利性单位注册商标的货物）。</w:t>
      </w:r>
    </w:p>
    <w:p w14:paraId="5BC1FD14">
      <w:pPr>
        <w:spacing w:line="360" w:lineRule="auto"/>
        <w:ind w:firstLine="480" w:firstLineChars="200"/>
        <w:rPr>
          <w:rFonts w:ascii="宋体" w:hAnsi="宋体" w:cs="宋体"/>
          <w:sz w:val="24"/>
        </w:rPr>
      </w:pPr>
      <w:r>
        <w:rPr>
          <w:rFonts w:ascii="宋体" w:hAnsi="宋体" w:cs="宋体"/>
          <w:sz w:val="24"/>
        </w:rPr>
        <w:t>本单位对上述声明的真实性负责。如有虚假，将依法承担相应责任。</w:t>
      </w:r>
    </w:p>
    <w:p w14:paraId="48D9DB89">
      <w:pPr>
        <w:spacing w:line="360" w:lineRule="auto"/>
        <w:ind w:firstLine="480" w:firstLineChars="200"/>
        <w:rPr>
          <w:rFonts w:ascii="宋体" w:hAnsi="宋体" w:cs="宋体"/>
          <w:sz w:val="24"/>
        </w:rPr>
      </w:pPr>
    </w:p>
    <w:p w14:paraId="5EE2A3E9">
      <w:pPr>
        <w:spacing w:line="360" w:lineRule="auto"/>
        <w:ind w:firstLine="480" w:firstLineChars="200"/>
        <w:rPr>
          <w:rFonts w:ascii="宋体" w:hAnsi="宋体" w:cs="宋体"/>
          <w:sz w:val="24"/>
        </w:rPr>
      </w:pPr>
      <w:r>
        <w:rPr>
          <w:rFonts w:hint="eastAsia" w:ascii="宋体" w:hAnsi="宋体" w:cs="宋体"/>
          <w:sz w:val="24"/>
        </w:rPr>
        <w:t>企业名称（盖章）：</w:t>
      </w:r>
    </w:p>
    <w:p w14:paraId="3AC426EC">
      <w:pPr>
        <w:spacing w:line="360" w:lineRule="auto"/>
        <w:ind w:firstLine="480" w:firstLineChars="200"/>
        <w:rPr>
          <w:rFonts w:ascii="宋体" w:hAnsi="宋体" w:cs="宋体"/>
          <w:sz w:val="24"/>
        </w:rPr>
      </w:pPr>
      <w:r>
        <w:rPr>
          <w:rFonts w:hint="eastAsia" w:ascii="宋体" w:hAnsi="宋体" w:cs="宋体"/>
          <w:sz w:val="24"/>
        </w:rPr>
        <w:t>日 期：</w:t>
      </w:r>
    </w:p>
    <w:p w14:paraId="7F2AB90C">
      <w:pPr>
        <w:rPr>
          <w:rFonts w:ascii="宋体" w:hAnsi="宋体" w:cs="宋体"/>
          <w:b/>
          <w:sz w:val="28"/>
          <w:szCs w:val="28"/>
        </w:rPr>
      </w:pPr>
      <w:r>
        <w:rPr>
          <w:rFonts w:ascii="宋体" w:hAnsi="宋体" w:cs="宋体"/>
          <w:b/>
          <w:sz w:val="28"/>
          <w:szCs w:val="28"/>
        </w:rPr>
        <w:br w:type="page"/>
      </w:r>
    </w:p>
    <w:p w14:paraId="4E3B2690">
      <w:pPr>
        <w:spacing w:line="360" w:lineRule="auto"/>
        <w:jc w:val="center"/>
        <w:rPr>
          <w:rFonts w:ascii="宋体" w:hAnsi="宋体" w:cs="宋体"/>
          <w:b/>
          <w:sz w:val="28"/>
          <w:szCs w:val="28"/>
        </w:rPr>
      </w:pPr>
      <w:r>
        <w:rPr>
          <w:rFonts w:ascii="宋体" w:hAnsi="宋体" w:cs="宋体"/>
          <w:b/>
          <w:sz w:val="28"/>
          <w:szCs w:val="28"/>
        </w:rPr>
        <w:t>（3）监狱企业</w:t>
      </w:r>
      <w:r>
        <w:rPr>
          <w:rFonts w:hint="eastAsia" w:ascii="宋体" w:hAnsi="宋体" w:cs="宋体"/>
          <w:b/>
          <w:sz w:val="28"/>
          <w:szCs w:val="28"/>
        </w:rPr>
        <w:t>证明文件</w:t>
      </w:r>
    </w:p>
    <w:p w14:paraId="42147BC6">
      <w:pPr>
        <w:spacing w:line="360" w:lineRule="auto"/>
        <w:jc w:val="center"/>
        <w:rPr>
          <w:rFonts w:ascii="宋体" w:hAnsi="宋体" w:cs="宋体"/>
          <w:sz w:val="24"/>
        </w:rPr>
      </w:pPr>
      <w:r>
        <w:rPr>
          <w:rFonts w:ascii="宋体" w:hAnsi="宋体" w:cs="宋体"/>
          <w:sz w:val="24"/>
        </w:rPr>
        <w:t>（属于</w:t>
      </w:r>
      <w:r>
        <w:rPr>
          <w:rFonts w:hint="eastAsia" w:ascii="宋体" w:hAnsi="宋体" w:cs="宋体"/>
          <w:sz w:val="24"/>
        </w:rPr>
        <w:t>监狱企业</w:t>
      </w:r>
      <w:r>
        <w:rPr>
          <w:rFonts w:ascii="宋体" w:hAnsi="宋体" w:cs="宋体"/>
          <w:sz w:val="24"/>
        </w:rPr>
        <w:t>的填写，不属于的无需填写此项内容）</w:t>
      </w:r>
    </w:p>
    <w:p w14:paraId="062472A4">
      <w:pPr>
        <w:spacing w:line="360" w:lineRule="auto"/>
        <w:jc w:val="center"/>
      </w:pPr>
      <w:r>
        <w:rPr>
          <w:sz w:val="24"/>
          <w:szCs w:val="32"/>
        </w:rPr>
        <w:t>监狱企业证明文件（参考格式）</w:t>
      </w:r>
    </w:p>
    <w:p w14:paraId="22793032">
      <w:pPr>
        <w:spacing w:line="360" w:lineRule="auto"/>
        <w:ind w:firstLine="480" w:firstLineChars="200"/>
        <w:rPr>
          <w:rFonts w:ascii="宋体" w:hAnsi="宋体" w:cs="宋体"/>
          <w:sz w:val="24"/>
        </w:rPr>
      </w:pPr>
      <w:r>
        <w:rPr>
          <w:rFonts w:hint="eastAsia" w:ascii="宋体" w:hAnsi="宋体" w:cs="宋体"/>
          <w:sz w:val="24"/>
        </w:rPr>
        <w:t>省级以上监狱管理局、戒毒管理局（含新疆生产建设兵团）出具的属于监狱企业的证明文件。</w:t>
      </w:r>
    </w:p>
    <w:p w14:paraId="22F93A4D">
      <w:pPr>
        <w:spacing w:line="360" w:lineRule="auto"/>
        <w:ind w:firstLine="480" w:firstLineChars="200"/>
        <w:rPr>
          <w:rFonts w:ascii="宋体" w:hAnsi="宋体" w:cs="宋体"/>
          <w:sz w:val="24"/>
        </w:rPr>
      </w:pPr>
      <w:r>
        <w:rPr>
          <w:rFonts w:hint="eastAsia" w:ascii="宋体" w:hAnsi="宋体" w:cs="宋体"/>
          <w:sz w:val="24"/>
        </w:rPr>
        <w:t>注：在响应文件中附扫描件。</w:t>
      </w:r>
    </w:p>
    <w:p w14:paraId="6FD24F9B">
      <w:pPr>
        <w:spacing w:line="360" w:lineRule="auto"/>
        <w:ind w:firstLine="480" w:firstLineChars="200"/>
        <w:rPr>
          <w:rFonts w:ascii="宋体" w:hAnsi="宋体" w:cs="宋体"/>
          <w:sz w:val="24"/>
        </w:rPr>
      </w:pPr>
    </w:p>
    <w:p w14:paraId="648C39CC">
      <w:pPr>
        <w:spacing w:line="360" w:lineRule="auto"/>
        <w:ind w:firstLine="480" w:firstLineChars="200"/>
        <w:rPr>
          <w:rFonts w:ascii="宋体" w:hAnsi="宋体" w:cs="宋体"/>
          <w:sz w:val="24"/>
        </w:rPr>
      </w:pPr>
      <w:r>
        <w:rPr>
          <w:rFonts w:hint="eastAsia" w:ascii="宋体" w:hAnsi="宋体" w:cs="宋体"/>
          <w:sz w:val="24"/>
        </w:rPr>
        <w:t>企业名称（盖章）：</w:t>
      </w:r>
    </w:p>
    <w:p w14:paraId="4C65CA05">
      <w:pPr>
        <w:spacing w:line="360" w:lineRule="auto"/>
        <w:ind w:firstLine="480" w:firstLineChars="200"/>
        <w:rPr>
          <w:rFonts w:ascii="宋体" w:hAnsi="宋体" w:cs="宋体"/>
          <w:sz w:val="24"/>
        </w:rPr>
      </w:pPr>
      <w:r>
        <w:rPr>
          <w:rFonts w:hint="eastAsia" w:ascii="宋体" w:hAnsi="宋体" w:cs="宋体"/>
          <w:sz w:val="24"/>
        </w:rPr>
        <w:t>日 期：</w:t>
      </w:r>
    </w:p>
    <w:p w14:paraId="377A2D3C">
      <w:pPr>
        <w:spacing w:line="360" w:lineRule="auto"/>
        <w:ind w:firstLine="480" w:firstLineChars="200"/>
        <w:rPr>
          <w:rFonts w:ascii="宋体" w:hAnsi="宋体" w:cs="宋体"/>
          <w:sz w:val="24"/>
        </w:rPr>
      </w:pPr>
    </w:p>
    <w:p w14:paraId="44809F64">
      <w:pPr>
        <w:jc w:val="center"/>
        <w:rPr>
          <w:b/>
          <w:sz w:val="28"/>
          <w:szCs w:val="28"/>
        </w:rPr>
      </w:pPr>
      <w:r>
        <w:rPr>
          <w:rFonts w:ascii="宋体" w:hAnsi="宋体" w:cs="宋体"/>
          <w:b/>
          <w:bCs/>
          <w:sz w:val="24"/>
        </w:rPr>
        <w:t>说明：符合要求的单位，按照上述格式进行填写；不属于监狱企业的无需填写此表。</w:t>
      </w:r>
    </w:p>
    <w:p w14:paraId="364FEEF5">
      <w:pPr>
        <w:jc w:val="center"/>
        <w:rPr>
          <w:b/>
          <w:sz w:val="28"/>
          <w:szCs w:val="28"/>
        </w:rPr>
      </w:pPr>
    </w:p>
    <w:p w14:paraId="068FC885">
      <w:pPr>
        <w:jc w:val="center"/>
        <w:rPr>
          <w:b/>
          <w:sz w:val="28"/>
          <w:szCs w:val="28"/>
        </w:rPr>
      </w:pPr>
    </w:p>
    <w:p w14:paraId="71BD75E3">
      <w:pPr>
        <w:jc w:val="center"/>
        <w:rPr>
          <w:b/>
          <w:sz w:val="28"/>
          <w:szCs w:val="28"/>
        </w:rPr>
      </w:pPr>
    </w:p>
    <w:p w14:paraId="20C9ED21">
      <w:pPr>
        <w:jc w:val="center"/>
        <w:rPr>
          <w:b/>
          <w:sz w:val="28"/>
          <w:szCs w:val="28"/>
        </w:rPr>
      </w:pPr>
    </w:p>
    <w:p w14:paraId="59C08A74">
      <w:pPr>
        <w:jc w:val="center"/>
        <w:rPr>
          <w:b/>
          <w:sz w:val="28"/>
          <w:szCs w:val="28"/>
        </w:rPr>
      </w:pPr>
    </w:p>
    <w:p w14:paraId="7EBE2AC7">
      <w:pPr>
        <w:jc w:val="center"/>
        <w:rPr>
          <w:b/>
          <w:sz w:val="28"/>
          <w:szCs w:val="28"/>
        </w:rPr>
      </w:pPr>
    </w:p>
    <w:p w14:paraId="0B14BE43">
      <w:pPr>
        <w:jc w:val="center"/>
        <w:rPr>
          <w:b/>
          <w:sz w:val="28"/>
          <w:szCs w:val="28"/>
        </w:rPr>
      </w:pPr>
    </w:p>
    <w:p w14:paraId="05BFBBDF">
      <w:pPr>
        <w:jc w:val="center"/>
        <w:rPr>
          <w:b/>
          <w:sz w:val="28"/>
          <w:szCs w:val="28"/>
        </w:rPr>
      </w:pPr>
    </w:p>
    <w:p w14:paraId="32785FC2">
      <w:pPr>
        <w:jc w:val="center"/>
        <w:rPr>
          <w:b/>
          <w:sz w:val="28"/>
          <w:szCs w:val="28"/>
        </w:rPr>
      </w:pPr>
    </w:p>
    <w:p w14:paraId="6F7A6F2A">
      <w:pPr>
        <w:jc w:val="center"/>
        <w:rPr>
          <w:b/>
          <w:sz w:val="28"/>
          <w:szCs w:val="28"/>
        </w:rPr>
      </w:pPr>
    </w:p>
    <w:p w14:paraId="59336F23">
      <w:pPr>
        <w:jc w:val="center"/>
        <w:rPr>
          <w:b/>
          <w:sz w:val="28"/>
          <w:szCs w:val="28"/>
        </w:rPr>
      </w:pPr>
    </w:p>
    <w:p w14:paraId="07265918">
      <w:pPr>
        <w:jc w:val="center"/>
        <w:rPr>
          <w:b/>
          <w:sz w:val="28"/>
          <w:szCs w:val="28"/>
        </w:rPr>
      </w:pPr>
    </w:p>
    <w:p w14:paraId="024BF7C6">
      <w:pPr>
        <w:jc w:val="center"/>
        <w:rPr>
          <w:b/>
          <w:sz w:val="28"/>
          <w:szCs w:val="28"/>
        </w:rPr>
      </w:pPr>
    </w:p>
    <w:p w14:paraId="2E3A0BB2">
      <w:pPr>
        <w:jc w:val="center"/>
        <w:rPr>
          <w:b/>
          <w:sz w:val="28"/>
          <w:szCs w:val="28"/>
        </w:rPr>
      </w:pPr>
    </w:p>
    <w:p w14:paraId="3FBCD972">
      <w:pPr>
        <w:jc w:val="center"/>
        <w:rPr>
          <w:b/>
          <w:sz w:val="32"/>
          <w:szCs w:val="32"/>
        </w:rPr>
      </w:pPr>
      <w:r>
        <w:rPr>
          <w:rFonts w:hint="eastAsia"/>
          <w:b/>
          <w:sz w:val="32"/>
          <w:szCs w:val="32"/>
          <w:lang w:val="en-US" w:eastAsia="zh-CN"/>
        </w:rPr>
        <w:t>八</w:t>
      </w:r>
      <w:r>
        <w:rPr>
          <w:rFonts w:hint="eastAsia"/>
          <w:b/>
          <w:sz w:val="32"/>
          <w:szCs w:val="32"/>
        </w:rPr>
        <w:t>、</w:t>
      </w:r>
      <w:bookmarkEnd w:id="12"/>
      <w:bookmarkEnd w:id="13"/>
      <w:bookmarkEnd w:id="14"/>
      <w:bookmarkEnd w:id="15"/>
      <w:bookmarkEnd w:id="16"/>
      <w:bookmarkEnd w:id="17"/>
      <w:bookmarkEnd w:id="18"/>
      <w:bookmarkEnd w:id="19"/>
      <w:r>
        <w:rPr>
          <w:rFonts w:hint="eastAsia"/>
          <w:b/>
          <w:sz w:val="32"/>
          <w:szCs w:val="32"/>
        </w:rPr>
        <w:t>磋商承诺函</w:t>
      </w:r>
    </w:p>
    <w:p w14:paraId="6A7A27C7">
      <w:pPr>
        <w:spacing w:line="360" w:lineRule="auto"/>
        <w:rPr>
          <w:rFonts w:ascii="宋体" w:hAnsi="宋体"/>
          <w:sz w:val="24"/>
          <w:u w:val="single"/>
        </w:rPr>
      </w:pPr>
      <w:r>
        <w:rPr>
          <w:rFonts w:hint="eastAsia" w:ascii="宋体" w:hAnsi="宋体"/>
          <w:sz w:val="24"/>
        </w:rPr>
        <w:t>致：</w:t>
      </w:r>
      <w:r>
        <w:rPr>
          <w:rFonts w:hint="eastAsia" w:ascii="宋体" w:hAnsi="宋体"/>
          <w:sz w:val="24"/>
          <w:u w:val="single"/>
        </w:rPr>
        <w:t>(采购人名称)</w:t>
      </w:r>
    </w:p>
    <w:p w14:paraId="6A531950">
      <w:pPr>
        <w:spacing w:line="360" w:lineRule="auto"/>
        <w:ind w:firstLine="480" w:firstLineChars="200"/>
        <w:rPr>
          <w:rFonts w:ascii="宋体" w:hAnsi="宋体"/>
          <w:sz w:val="24"/>
        </w:rPr>
      </w:pPr>
      <w:r>
        <w:rPr>
          <w:rFonts w:hint="eastAsia" w:ascii="宋体" w:hAnsi="宋体"/>
          <w:sz w:val="24"/>
        </w:rPr>
        <w:t>我方根据本项目磋商文件，自愿参加</w:t>
      </w:r>
      <w:r>
        <w:rPr>
          <w:rFonts w:hint="eastAsia" w:ascii="宋体" w:hAnsi="宋体"/>
          <w:sz w:val="24"/>
          <w:u w:val="single"/>
        </w:rPr>
        <w:t xml:space="preserve">                     </w:t>
      </w:r>
      <w:r>
        <w:rPr>
          <w:rFonts w:hint="eastAsia" w:ascii="宋体" w:hAnsi="宋体"/>
          <w:sz w:val="24"/>
        </w:rPr>
        <w:t>项目竞争性磋商，并作如下承诺：</w:t>
      </w:r>
    </w:p>
    <w:p w14:paraId="0BB0385F">
      <w:pPr>
        <w:spacing w:line="360" w:lineRule="auto"/>
        <w:ind w:firstLine="480" w:firstLineChars="200"/>
        <w:rPr>
          <w:rFonts w:ascii="宋体" w:hAnsi="宋体"/>
          <w:sz w:val="24"/>
        </w:rPr>
      </w:pPr>
      <w:r>
        <w:rPr>
          <w:rFonts w:hint="eastAsia" w:ascii="宋体" w:hAnsi="宋体"/>
          <w:sz w:val="24"/>
        </w:rPr>
        <w:t>1、我方本着公平竞争的原则,参加本次投标活动。我方严格遵守国家相关法律法规,不出借、挂靠资质投标,不围标、串标,不使用违法或其它不正当行为谋求供应商。</w:t>
      </w:r>
    </w:p>
    <w:p w14:paraId="05690DE4">
      <w:pPr>
        <w:spacing w:line="360" w:lineRule="auto"/>
        <w:ind w:firstLine="480" w:firstLineChars="200"/>
        <w:rPr>
          <w:rFonts w:ascii="宋体" w:hAnsi="宋体"/>
          <w:sz w:val="24"/>
        </w:rPr>
      </w:pPr>
      <w:r>
        <w:rPr>
          <w:rFonts w:hint="eastAsia" w:ascii="宋体" w:hAnsi="宋体"/>
          <w:sz w:val="24"/>
        </w:rPr>
        <w:t>2、保证不向、代理机构、行政监督部门等工作人员、评标专家及其亲属赠送礼品、扎金、有价证券、支付凭证；不为其旅游及其它消费行为报销费用。</w:t>
      </w:r>
    </w:p>
    <w:p w14:paraId="6C188537">
      <w:pPr>
        <w:spacing w:line="360" w:lineRule="auto"/>
        <w:ind w:firstLine="480" w:firstLineChars="200"/>
        <w:rPr>
          <w:rFonts w:ascii="宋体" w:hAnsi="宋体"/>
          <w:sz w:val="24"/>
        </w:rPr>
      </w:pPr>
      <w:r>
        <w:rPr>
          <w:rFonts w:hint="eastAsia" w:ascii="宋体" w:hAnsi="宋体"/>
          <w:sz w:val="24"/>
        </w:rPr>
        <w:t>3、我方严格按照本项目竞争性磋商文件规定递交全部响应文件,保证在竞争性磋商文件规定的投标有效期内不修改、撤回已递交的响应文件。</w:t>
      </w:r>
    </w:p>
    <w:p w14:paraId="4A1E8179">
      <w:pPr>
        <w:spacing w:line="360" w:lineRule="auto"/>
        <w:ind w:firstLine="480" w:firstLineChars="200"/>
        <w:rPr>
          <w:rFonts w:ascii="宋体" w:hAnsi="宋体"/>
          <w:sz w:val="24"/>
        </w:rPr>
      </w:pPr>
      <w:r>
        <w:rPr>
          <w:rFonts w:hint="eastAsia" w:ascii="宋体" w:hAnsi="宋体"/>
          <w:sz w:val="24"/>
        </w:rPr>
        <w:t>4、如我方供应商,我方将按规定及时履行合同义务,及时与建设单位签订合同,并严格按照合同、响应文件及投标过程中所做出的承诺资料等组织项目实施。</w:t>
      </w:r>
    </w:p>
    <w:p w14:paraId="24425102">
      <w:pPr>
        <w:spacing w:line="360" w:lineRule="auto"/>
        <w:ind w:firstLine="480" w:firstLineChars="200"/>
        <w:rPr>
          <w:rFonts w:ascii="宋体" w:hAnsi="宋体"/>
          <w:sz w:val="24"/>
        </w:rPr>
      </w:pPr>
      <w:r>
        <w:rPr>
          <w:rFonts w:hint="eastAsia" w:ascii="宋体" w:hAnsi="宋体"/>
          <w:sz w:val="24"/>
        </w:rPr>
        <w:t>5、我方严格履行以上承诺,否则,我公司及参与投标的工作人员将自愿接受国家法律、法规、规章规定给予的经济、党纪、政纪乃至刑事的处罚；自觉接受行政监管部门给予公司和个人的不良行为记录。</w:t>
      </w:r>
    </w:p>
    <w:p w14:paraId="1C23D6F4">
      <w:pPr>
        <w:spacing w:line="360" w:lineRule="auto"/>
        <w:ind w:firstLine="480" w:firstLineChars="200"/>
        <w:rPr>
          <w:rFonts w:ascii="宋体" w:hAnsi="宋体"/>
          <w:sz w:val="24"/>
          <w:u w:val="single"/>
        </w:rPr>
      </w:pPr>
      <w:r>
        <w:rPr>
          <w:rFonts w:hint="eastAsia" w:ascii="宋体" w:hAnsi="宋体"/>
          <w:sz w:val="24"/>
        </w:rPr>
        <w:t>6、供应商认为应做的其他承诺：</w:t>
      </w:r>
      <w:r>
        <w:rPr>
          <w:rFonts w:hint="eastAsia" w:ascii="宋体" w:hAnsi="宋体"/>
          <w:sz w:val="24"/>
          <w:u w:val="single"/>
        </w:rPr>
        <w:t xml:space="preserve">                      </w:t>
      </w:r>
    </w:p>
    <w:p w14:paraId="08B0D009">
      <w:pPr>
        <w:spacing w:line="360" w:lineRule="auto"/>
        <w:ind w:firstLine="480" w:firstLineChars="200"/>
        <w:rPr>
          <w:rFonts w:ascii="宋体" w:hAnsi="宋体"/>
          <w:sz w:val="24"/>
        </w:rPr>
      </w:pPr>
      <w:r>
        <w:rPr>
          <w:rFonts w:hint="eastAsia" w:ascii="宋体" w:hAnsi="宋体"/>
          <w:sz w:val="24"/>
        </w:rPr>
        <w:t>特此承诺。</w:t>
      </w:r>
    </w:p>
    <w:p w14:paraId="2CCC1660">
      <w:pPr>
        <w:spacing w:line="360" w:lineRule="auto"/>
        <w:ind w:firstLine="3360" w:firstLineChars="1400"/>
        <w:rPr>
          <w:rFonts w:ascii="宋体" w:hAnsi="宋体"/>
          <w:sz w:val="24"/>
        </w:rPr>
      </w:pPr>
    </w:p>
    <w:p w14:paraId="41C31308">
      <w:pPr>
        <w:spacing w:line="360" w:lineRule="auto"/>
        <w:ind w:firstLine="3360" w:firstLineChars="1400"/>
        <w:rPr>
          <w:rFonts w:ascii="宋体" w:hAnsi="宋体"/>
          <w:sz w:val="24"/>
        </w:rPr>
      </w:pPr>
    </w:p>
    <w:p w14:paraId="38C52062">
      <w:pPr>
        <w:spacing w:line="360" w:lineRule="auto"/>
        <w:ind w:firstLine="3360" w:firstLineChars="1400"/>
        <w:rPr>
          <w:rFonts w:ascii="宋体" w:hAnsi="宋体"/>
          <w:sz w:val="24"/>
        </w:rPr>
      </w:pPr>
    </w:p>
    <w:p w14:paraId="06CBEE25">
      <w:pPr>
        <w:spacing w:line="360" w:lineRule="auto"/>
        <w:ind w:firstLine="3360" w:firstLineChars="1400"/>
        <w:rPr>
          <w:rFonts w:ascii="宋体" w:hAnsi="宋体"/>
          <w:sz w:val="24"/>
        </w:rPr>
      </w:pPr>
    </w:p>
    <w:p w14:paraId="65F48706">
      <w:pPr>
        <w:spacing w:line="360" w:lineRule="auto"/>
        <w:ind w:firstLine="2640" w:firstLineChars="1100"/>
        <w:rPr>
          <w:rFonts w:ascii="宋体" w:hAnsi="宋体" w:cs="宋体"/>
          <w:kern w:val="0"/>
          <w:sz w:val="24"/>
        </w:rPr>
      </w:pPr>
      <w:r>
        <w:rPr>
          <w:rFonts w:hint="eastAsia" w:ascii="宋体" w:hAnsi="宋体" w:cs="宋体"/>
          <w:kern w:val="0"/>
          <w:sz w:val="24"/>
        </w:rPr>
        <w:t>响应供应商(盖章)：</w:t>
      </w:r>
      <w:r>
        <w:rPr>
          <w:rFonts w:hint="eastAsia" w:ascii="宋体" w:hAnsi="宋体" w:cs="宋体"/>
          <w:kern w:val="0"/>
          <w:sz w:val="24"/>
          <w:u w:val="single"/>
        </w:rPr>
        <w:t xml:space="preserve">              </w:t>
      </w:r>
      <w:r>
        <w:rPr>
          <w:rFonts w:hint="eastAsia" w:ascii="宋体" w:hAnsi="宋体" w:cs="宋体"/>
          <w:kern w:val="0"/>
          <w:sz w:val="24"/>
        </w:rPr>
        <w:t xml:space="preserve"> </w:t>
      </w:r>
    </w:p>
    <w:p w14:paraId="14171C0C">
      <w:pPr>
        <w:spacing w:line="360" w:lineRule="auto"/>
        <w:ind w:firstLine="2640" w:firstLineChars="1100"/>
        <w:rPr>
          <w:rFonts w:ascii="宋体" w:hAnsi="宋体" w:cs="宋体"/>
          <w:kern w:val="0"/>
          <w:sz w:val="24"/>
        </w:rPr>
      </w:pPr>
      <w:r>
        <w:rPr>
          <w:rFonts w:hint="eastAsia" w:ascii="宋体" w:hAnsi="宋体" w:cs="宋体"/>
          <w:kern w:val="0"/>
          <w:sz w:val="24"/>
        </w:rPr>
        <w:t>法定代表人或其委托代理人(签字或盖章)：</w:t>
      </w:r>
      <w:r>
        <w:rPr>
          <w:rFonts w:hint="eastAsia" w:ascii="宋体" w:hAnsi="宋体" w:cs="宋体"/>
          <w:kern w:val="0"/>
          <w:sz w:val="24"/>
          <w:u w:val="single"/>
        </w:rPr>
        <w:t xml:space="preserve">          </w:t>
      </w:r>
    </w:p>
    <w:p w14:paraId="5D167137">
      <w:pPr>
        <w:ind w:firstLine="2640" w:firstLineChars="1100"/>
        <w:rPr>
          <w:rFonts w:ascii="宋体" w:hAnsi="宋体"/>
          <w:b/>
          <w:sz w:val="24"/>
        </w:rPr>
      </w:pPr>
      <w:r>
        <w:rPr>
          <w:rFonts w:hint="eastAsia" w:ascii="宋体" w:hAnsi="宋体" w:cs="宋体"/>
          <w:kern w:val="0"/>
          <w:sz w:val="24"/>
        </w:rPr>
        <w:t>日    期：      年   月   日</w:t>
      </w:r>
    </w:p>
    <w:p w14:paraId="5B1D31B1">
      <w:pPr>
        <w:jc w:val="center"/>
        <w:rPr>
          <w:b/>
          <w:sz w:val="36"/>
          <w:szCs w:val="36"/>
        </w:rPr>
      </w:pPr>
    </w:p>
    <w:p w14:paraId="2826CBC1">
      <w:pPr>
        <w:jc w:val="center"/>
        <w:rPr>
          <w:b/>
          <w:sz w:val="36"/>
          <w:szCs w:val="36"/>
        </w:rPr>
      </w:pPr>
    </w:p>
    <w:p w14:paraId="27418F1C">
      <w:pPr>
        <w:jc w:val="center"/>
        <w:rPr>
          <w:b/>
          <w:sz w:val="36"/>
          <w:szCs w:val="36"/>
        </w:rPr>
      </w:pPr>
    </w:p>
    <w:p w14:paraId="29FEDF70">
      <w:pPr>
        <w:rPr>
          <w:b/>
          <w:bCs/>
          <w:color w:val="000000"/>
          <w:sz w:val="32"/>
          <w:szCs w:val="32"/>
        </w:rPr>
      </w:pPr>
    </w:p>
    <w:p w14:paraId="6149AD9A">
      <w:pPr>
        <w:numPr>
          <w:ilvl w:val="0"/>
          <w:numId w:val="0"/>
        </w:numPr>
        <w:adjustRightInd w:val="0"/>
        <w:snapToGrid w:val="0"/>
        <w:spacing w:line="360" w:lineRule="auto"/>
        <w:jc w:val="center"/>
        <w:rPr>
          <w:b/>
          <w:sz w:val="32"/>
          <w:szCs w:val="32"/>
        </w:rPr>
      </w:pPr>
      <w:r>
        <w:rPr>
          <w:rFonts w:hint="eastAsia" w:cs="Times New Roman"/>
          <w:b/>
          <w:kern w:val="2"/>
          <w:sz w:val="32"/>
          <w:szCs w:val="32"/>
          <w:lang w:val="en-US" w:eastAsia="zh-CN" w:bidi="ar-SA"/>
        </w:rPr>
        <w:t>九</w:t>
      </w:r>
      <w:r>
        <w:rPr>
          <w:rFonts w:hint="eastAsia" w:ascii="Times New Roman" w:hAnsi="Times New Roman" w:eastAsia="宋体" w:cs="Times New Roman"/>
          <w:b/>
          <w:kern w:val="2"/>
          <w:sz w:val="32"/>
          <w:szCs w:val="32"/>
          <w:lang w:val="en-US" w:eastAsia="zh-CN" w:bidi="ar-SA"/>
        </w:rPr>
        <w:t>、</w:t>
      </w:r>
      <w:r>
        <w:rPr>
          <w:rFonts w:hint="eastAsia"/>
          <w:b/>
          <w:sz w:val="32"/>
          <w:szCs w:val="32"/>
        </w:rPr>
        <w:t>拟投入本项目的人员情况</w:t>
      </w:r>
    </w:p>
    <w:p w14:paraId="1F84395A">
      <w:pPr>
        <w:adjustRightInd w:val="0"/>
        <w:snapToGrid w:val="0"/>
        <w:spacing w:line="360" w:lineRule="auto"/>
        <w:jc w:val="center"/>
        <w:rPr>
          <w:rFonts w:ascii="宋体" w:hAnsi="宋体" w:cs="宋体"/>
          <w:bCs/>
          <w:kern w:val="0"/>
          <w:sz w:val="28"/>
          <w:szCs w:val="28"/>
          <w:lang w:val="zh-CN"/>
        </w:rPr>
      </w:pPr>
      <w:r>
        <w:rPr>
          <w:rFonts w:hint="eastAsia" w:ascii="宋体" w:hAnsi="宋体" w:cs="宋体"/>
          <w:b/>
          <w:kern w:val="0"/>
          <w:sz w:val="28"/>
          <w:szCs w:val="28"/>
          <w:lang w:val="zh-CN"/>
        </w:rPr>
        <w:t>（一）拟投入本项目的主要人员汇总表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8"/>
        <w:gridCol w:w="1661"/>
        <w:gridCol w:w="1189"/>
        <w:gridCol w:w="1381"/>
        <w:gridCol w:w="1600"/>
        <w:gridCol w:w="1331"/>
      </w:tblGrid>
      <w:tr w14:paraId="0048A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1328" w:type="dxa"/>
            <w:tcBorders>
              <w:top w:val="single" w:color="auto" w:sz="4" w:space="0"/>
              <w:left w:val="single" w:color="auto" w:sz="4" w:space="0"/>
              <w:bottom w:val="single" w:color="auto" w:sz="4" w:space="0"/>
              <w:right w:val="single" w:color="auto" w:sz="4" w:space="0"/>
            </w:tcBorders>
            <w:vAlign w:val="center"/>
          </w:tcPr>
          <w:p w14:paraId="090188D3">
            <w:pPr>
              <w:adjustRightInd w:val="0"/>
              <w:snapToGrid w:val="0"/>
              <w:spacing w:line="360" w:lineRule="auto"/>
              <w:jc w:val="center"/>
              <w:rPr>
                <w:rFonts w:ascii="宋体"/>
                <w:bCs/>
                <w:sz w:val="24"/>
              </w:rPr>
            </w:pPr>
            <w:r>
              <w:rPr>
                <w:rFonts w:hint="eastAsia" w:ascii="宋体" w:hAnsi="宋体"/>
                <w:bCs/>
                <w:sz w:val="24"/>
              </w:rPr>
              <w:t>姓名</w:t>
            </w:r>
          </w:p>
        </w:tc>
        <w:tc>
          <w:tcPr>
            <w:tcW w:w="1661" w:type="dxa"/>
            <w:tcBorders>
              <w:top w:val="single" w:color="auto" w:sz="4" w:space="0"/>
              <w:left w:val="single" w:color="auto" w:sz="4" w:space="0"/>
              <w:bottom w:val="single" w:color="auto" w:sz="4" w:space="0"/>
              <w:right w:val="single" w:color="auto" w:sz="4" w:space="0"/>
            </w:tcBorders>
            <w:vAlign w:val="center"/>
          </w:tcPr>
          <w:p w14:paraId="1F66E428">
            <w:pPr>
              <w:adjustRightInd w:val="0"/>
              <w:snapToGrid w:val="0"/>
              <w:spacing w:line="360" w:lineRule="auto"/>
              <w:jc w:val="center"/>
              <w:rPr>
                <w:rFonts w:ascii="宋体"/>
                <w:bCs/>
                <w:sz w:val="24"/>
              </w:rPr>
            </w:pPr>
            <w:r>
              <w:rPr>
                <w:rFonts w:hint="eastAsia" w:ascii="宋体" w:hAnsi="宋体"/>
                <w:bCs/>
                <w:sz w:val="24"/>
              </w:rPr>
              <w:t>本项目中职务</w:t>
            </w:r>
          </w:p>
        </w:tc>
        <w:tc>
          <w:tcPr>
            <w:tcW w:w="1189" w:type="dxa"/>
            <w:tcBorders>
              <w:top w:val="single" w:color="auto" w:sz="4" w:space="0"/>
              <w:left w:val="single" w:color="auto" w:sz="4" w:space="0"/>
              <w:bottom w:val="single" w:color="auto" w:sz="4" w:space="0"/>
              <w:right w:val="single" w:color="auto" w:sz="4" w:space="0"/>
            </w:tcBorders>
            <w:vAlign w:val="center"/>
          </w:tcPr>
          <w:p w14:paraId="06D25DB8">
            <w:pPr>
              <w:adjustRightInd w:val="0"/>
              <w:snapToGrid w:val="0"/>
              <w:spacing w:line="360" w:lineRule="auto"/>
              <w:jc w:val="center"/>
              <w:rPr>
                <w:rFonts w:ascii="宋体"/>
                <w:bCs/>
                <w:sz w:val="24"/>
              </w:rPr>
            </w:pPr>
            <w:r>
              <w:rPr>
                <w:rFonts w:hint="eastAsia" w:ascii="宋体"/>
                <w:bCs/>
                <w:sz w:val="24"/>
              </w:rPr>
              <w:t>职称</w:t>
            </w:r>
          </w:p>
        </w:tc>
        <w:tc>
          <w:tcPr>
            <w:tcW w:w="1381" w:type="dxa"/>
            <w:tcBorders>
              <w:top w:val="single" w:color="auto" w:sz="4" w:space="0"/>
              <w:left w:val="single" w:color="auto" w:sz="4" w:space="0"/>
              <w:bottom w:val="single" w:color="auto" w:sz="4" w:space="0"/>
              <w:right w:val="single" w:color="auto" w:sz="4" w:space="0"/>
            </w:tcBorders>
            <w:vAlign w:val="center"/>
          </w:tcPr>
          <w:p w14:paraId="0EE5B027">
            <w:pPr>
              <w:adjustRightInd w:val="0"/>
              <w:snapToGrid w:val="0"/>
              <w:spacing w:line="360" w:lineRule="auto"/>
              <w:jc w:val="center"/>
              <w:rPr>
                <w:rFonts w:ascii="宋体"/>
                <w:bCs/>
                <w:sz w:val="24"/>
              </w:rPr>
            </w:pPr>
            <w:r>
              <w:rPr>
                <w:rFonts w:hint="eastAsia" w:ascii="宋体" w:hAnsi="宋体"/>
                <w:bCs/>
                <w:sz w:val="24"/>
              </w:rPr>
              <w:t>证件名称</w:t>
            </w:r>
          </w:p>
        </w:tc>
        <w:tc>
          <w:tcPr>
            <w:tcW w:w="1600" w:type="dxa"/>
            <w:tcBorders>
              <w:top w:val="single" w:color="auto" w:sz="4" w:space="0"/>
              <w:left w:val="single" w:color="auto" w:sz="4" w:space="0"/>
              <w:bottom w:val="single" w:color="auto" w:sz="4" w:space="0"/>
              <w:right w:val="single" w:color="auto" w:sz="4" w:space="0"/>
            </w:tcBorders>
            <w:vAlign w:val="center"/>
          </w:tcPr>
          <w:p w14:paraId="23264154">
            <w:pPr>
              <w:adjustRightInd w:val="0"/>
              <w:snapToGrid w:val="0"/>
              <w:spacing w:line="360" w:lineRule="auto"/>
              <w:jc w:val="center"/>
              <w:rPr>
                <w:rFonts w:ascii="宋体"/>
                <w:bCs/>
                <w:sz w:val="24"/>
              </w:rPr>
            </w:pPr>
            <w:r>
              <w:rPr>
                <w:rFonts w:hint="eastAsia" w:ascii="宋体"/>
                <w:bCs/>
                <w:sz w:val="24"/>
              </w:rPr>
              <w:t>证件编号</w:t>
            </w:r>
          </w:p>
        </w:tc>
        <w:tc>
          <w:tcPr>
            <w:tcW w:w="1331" w:type="dxa"/>
            <w:tcBorders>
              <w:top w:val="single" w:color="auto" w:sz="4" w:space="0"/>
              <w:left w:val="single" w:color="auto" w:sz="4" w:space="0"/>
              <w:bottom w:val="single" w:color="auto" w:sz="4" w:space="0"/>
              <w:right w:val="single" w:color="auto" w:sz="4" w:space="0"/>
            </w:tcBorders>
            <w:vAlign w:val="center"/>
          </w:tcPr>
          <w:p w14:paraId="5890D0B6">
            <w:pPr>
              <w:adjustRightInd w:val="0"/>
              <w:snapToGrid w:val="0"/>
              <w:spacing w:line="360" w:lineRule="auto"/>
              <w:jc w:val="center"/>
              <w:rPr>
                <w:rFonts w:ascii="宋体"/>
                <w:bCs/>
                <w:sz w:val="24"/>
              </w:rPr>
            </w:pPr>
            <w:r>
              <w:rPr>
                <w:rFonts w:hint="eastAsia" w:ascii="宋体" w:hAnsi="宋体"/>
                <w:bCs/>
                <w:sz w:val="24"/>
              </w:rPr>
              <w:t>备注</w:t>
            </w:r>
          </w:p>
        </w:tc>
      </w:tr>
      <w:tr w14:paraId="5C9C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1328" w:type="dxa"/>
            <w:tcBorders>
              <w:top w:val="single" w:color="auto" w:sz="4" w:space="0"/>
              <w:left w:val="single" w:color="auto" w:sz="4" w:space="0"/>
              <w:bottom w:val="single" w:color="auto" w:sz="4" w:space="0"/>
              <w:right w:val="single" w:color="auto" w:sz="4" w:space="0"/>
            </w:tcBorders>
            <w:vAlign w:val="center"/>
          </w:tcPr>
          <w:p w14:paraId="19EBF3D2">
            <w:pPr>
              <w:adjustRightInd w:val="0"/>
              <w:snapToGrid w:val="0"/>
              <w:spacing w:line="360" w:lineRule="auto"/>
              <w:jc w:val="center"/>
              <w:rPr>
                <w:rFonts w:ascii="宋体"/>
                <w:sz w:val="24"/>
              </w:rPr>
            </w:pPr>
          </w:p>
        </w:tc>
        <w:tc>
          <w:tcPr>
            <w:tcW w:w="1661" w:type="dxa"/>
            <w:tcBorders>
              <w:top w:val="single" w:color="auto" w:sz="4" w:space="0"/>
              <w:left w:val="single" w:color="auto" w:sz="4" w:space="0"/>
              <w:bottom w:val="single" w:color="auto" w:sz="4" w:space="0"/>
              <w:right w:val="single" w:color="auto" w:sz="4" w:space="0"/>
            </w:tcBorders>
            <w:vAlign w:val="center"/>
          </w:tcPr>
          <w:p w14:paraId="5BADDDD4">
            <w:pPr>
              <w:adjustRightInd w:val="0"/>
              <w:snapToGrid w:val="0"/>
              <w:spacing w:line="360" w:lineRule="auto"/>
              <w:jc w:val="center"/>
              <w:rPr>
                <w:rFonts w:ascii="宋体"/>
                <w:sz w:val="24"/>
              </w:rPr>
            </w:pPr>
          </w:p>
        </w:tc>
        <w:tc>
          <w:tcPr>
            <w:tcW w:w="1189" w:type="dxa"/>
            <w:tcBorders>
              <w:top w:val="single" w:color="auto" w:sz="4" w:space="0"/>
              <w:left w:val="single" w:color="auto" w:sz="4" w:space="0"/>
              <w:bottom w:val="single" w:color="auto" w:sz="4" w:space="0"/>
              <w:right w:val="single" w:color="auto" w:sz="4" w:space="0"/>
            </w:tcBorders>
            <w:vAlign w:val="center"/>
          </w:tcPr>
          <w:p w14:paraId="3C4B423F">
            <w:pPr>
              <w:adjustRightInd w:val="0"/>
              <w:snapToGrid w:val="0"/>
              <w:spacing w:line="360" w:lineRule="auto"/>
              <w:jc w:val="center"/>
              <w:rPr>
                <w:rFonts w:ascii="宋体"/>
                <w:sz w:val="24"/>
              </w:rPr>
            </w:pPr>
          </w:p>
        </w:tc>
        <w:tc>
          <w:tcPr>
            <w:tcW w:w="1381" w:type="dxa"/>
            <w:tcBorders>
              <w:top w:val="single" w:color="auto" w:sz="4" w:space="0"/>
              <w:left w:val="single" w:color="auto" w:sz="4" w:space="0"/>
              <w:bottom w:val="single" w:color="auto" w:sz="4" w:space="0"/>
              <w:right w:val="single" w:color="auto" w:sz="4" w:space="0"/>
            </w:tcBorders>
            <w:vAlign w:val="center"/>
          </w:tcPr>
          <w:p w14:paraId="75A9A44C">
            <w:pPr>
              <w:adjustRightInd w:val="0"/>
              <w:snapToGrid w:val="0"/>
              <w:spacing w:line="360" w:lineRule="auto"/>
              <w:jc w:val="center"/>
              <w:rPr>
                <w:rFonts w:ascii="宋体"/>
                <w:sz w:val="24"/>
              </w:rPr>
            </w:pPr>
          </w:p>
        </w:tc>
        <w:tc>
          <w:tcPr>
            <w:tcW w:w="1600" w:type="dxa"/>
            <w:tcBorders>
              <w:top w:val="single" w:color="auto" w:sz="4" w:space="0"/>
              <w:left w:val="single" w:color="auto" w:sz="4" w:space="0"/>
              <w:bottom w:val="single" w:color="auto" w:sz="4" w:space="0"/>
              <w:right w:val="single" w:color="auto" w:sz="4" w:space="0"/>
            </w:tcBorders>
            <w:vAlign w:val="center"/>
          </w:tcPr>
          <w:p w14:paraId="0BCAB94C">
            <w:pPr>
              <w:adjustRightInd w:val="0"/>
              <w:snapToGrid w:val="0"/>
              <w:spacing w:line="360" w:lineRule="auto"/>
              <w:jc w:val="center"/>
              <w:rPr>
                <w:rFonts w:ascii="宋体"/>
                <w:sz w:val="24"/>
              </w:rPr>
            </w:pPr>
          </w:p>
        </w:tc>
        <w:tc>
          <w:tcPr>
            <w:tcW w:w="1331" w:type="dxa"/>
            <w:tcBorders>
              <w:top w:val="single" w:color="auto" w:sz="4" w:space="0"/>
              <w:left w:val="single" w:color="auto" w:sz="4" w:space="0"/>
              <w:bottom w:val="single" w:color="auto" w:sz="4" w:space="0"/>
              <w:right w:val="single" w:color="auto" w:sz="4" w:space="0"/>
            </w:tcBorders>
            <w:vAlign w:val="center"/>
          </w:tcPr>
          <w:p w14:paraId="04F5823E">
            <w:pPr>
              <w:adjustRightInd w:val="0"/>
              <w:snapToGrid w:val="0"/>
              <w:spacing w:line="360" w:lineRule="auto"/>
              <w:jc w:val="center"/>
              <w:rPr>
                <w:rFonts w:ascii="宋体"/>
                <w:sz w:val="24"/>
              </w:rPr>
            </w:pPr>
          </w:p>
        </w:tc>
      </w:tr>
      <w:tr w14:paraId="3F68D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1328" w:type="dxa"/>
            <w:tcBorders>
              <w:top w:val="single" w:color="auto" w:sz="4" w:space="0"/>
              <w:left w:val="single" w:color="auto" w:sz="4" w:space="0"/>
              <w:bottom w:val="single" w:color="auto" w:sz="4" w:space="0"/>
              <w:right w:val="single" w:color="auto" w:sz="4" w:space="0"/>
            </w:tcBorders>
            <w:vAlign w:val="center"/>
          </w:tcPr>
          <w:p w14:paraId="3AF712F2">
            <w:pPr>
              <w:adjustRightInd w:val="0"/>
              <w:snapToGrid w:val="0"/>
              <w:spacing w:line="360" w:lineRule="auto"/>
              <w:jc w:val="center"/>
              <w:rPr>
                <w:rFonts w:ascii="宋体"/>
                <w:sz w:val="24"/>
              </w:rPr>
            </w:pPr>
          </w:p>
        </w:tc>
        <w:tc>
          <w:tcPr>
            <w:tcW w:w="1661" w:type="dxa"/>
            <w:tcBorders>
              <w:top w:val="single" w:color="auto" w:sz="4" w:space="0"/>
              <w:left w:val="single" w:color="auto" w:sz="4" w:space="0"/>
              <w:bottom w:val="single" w:color="auto" w:sz="4" w:space="0"/>
              <w:right w:val="single" w:color="auto" w:sz="4" w:space="0"/>
            </w:tcBorders>
            <w:vAlign w:val="center"/>
          </w:tcPr>
          <w:p w14:paraId="074E1C05">
            <w:pPr>
              <w:adjustRightInd w:val="0"/>
              <w:snapToGrid w:val="0"/>
              <w:spacing w:line="360" w:lineRule="auto"/>
              <w:jc w:val="center"/>
              <w:rPr>
                <w:rFonts w:ascii="宋体"/>
                <w:sz w:val="24"/>
              </w:rPr>
            </w:pPr>
          </w:p>
        </w:tc>
        <w:tc>
          <w:tcPr>
            <w:tcW w:w="1189" w:type="dxa"/>
            <w:tcBorders>
              <w:top w:val="single" w:color="auto" w:sz="4" w:space="0"/>
              <w:left w:val="single" w:color="auto" w:sz="4" w:space="0"/>
              <w:bottom w:val="single" w:color="auto" w:sz="4" w:space="0"/>
              <w:right w:val="single" w:color="auto" w:sz="4" w:space="0"/>
            </w:tcBorders>
            <w:vAlign w:val="center"/>
          </w:tcPr>
          <w:p w14:paraId="21935749">
            <w:pPr>
              <w:adjustRightInd w:val="0"/>
              <w:snapToGrid w:val="0"/>
              <w:spacing w:line="360" w:lineRule="auto"/>
              <w:jc w:val="center"/>
              <w:rPr>
                <w:rFonts w:ascii="宋体"/>
                <w:sz w:val="24"/>
              </w:rPr>
            </w:pPr>
          </w:p>
        </w:tc>
        <w:tc>
          <w:tcPr>
            <w:tcW w:w="1381" w:type="dxa"/>
            <w:tcBorders>
              <w:top w:val="single" w:color="auto" w:sz="4" w:space="0"/>
              <w:left w:val="single" w:color="auto" w:sz="4" w:space="0"/>
              <w:bottom w:val="single" w:color="auto" w:sz="4" w:space="0"/>
              <w:right w:val="single" w:color="auto" w:sz="4" w:space="0"/>
            </w:tcBorders>
            <w:vAlign w:val="center"/>
          </w:tcPr>
          <w:p w14:paraId="6010CC81">
            <w:pPr>
              <w:adjustRightInd w:val="0"/>
              <w:snapToGrid w:val="0"/>
              <w:spacing w:line="360" w:lineRule="auto"/>
              <w:jc w:val="center"/>
              <w:rPr>
                <w:rFonts w:ascii="宋体"/>
                <w:sz w:val="24"/>
              </w:rPr>
            </w:pPr>
          </w:p>
        </w:tc>
        <w:tc>
          <w:tcPr>
            <w:tcW w:w="1600" w:type="dxa"/>
            <w:tcBorders>
              <w:top w:val="single" w:color="auto" w:sz="4" w:space="0"/>
              <w:left w:val="single" w:color="auto" w:sz="4" w:space="0"/>
              <w:bottom w:val="single" w:color="auto" w:sz="4" w:space="0"/>
              <w:right w:val="single" w:color="auto" w:sz="4" w:space="0"/>
            </w:tcBorders>
            <w:vAlign w:val="center"/>
          </w:tcPr>
          <w:p w14:paraId="0376456F">
            <w:pPr>
              <w:adjustRightInd w:val="0"/>
              <w:snapToGrid w:val="0"/>
              <w:spacing w:line="360" w:lineRule="auto"/>
              <w:jc w:val="center"/>
              <w:rPr>
                <w:rFonts w:ascii="宋体"/>
                <w:sz w:val="24"/>
              </w:rPr>
            </w:pPr>
          </w:p>
        </w:tc>
        <w:tc>
          <w:tcPr>
            <w:tcW w:w="1331" w:type="dxa"/>
            <w:tcBorders>
              <w:top w:val="single" w:color="auto" w:sz="4" w:space="0"/>
              <w:left w:val="single" w:color="auto" w:sz="4" w:space="0"/>
              <w:bottom w:val="single" w:color="auto" w:sz="4" w:space="0"/>
              <w:right w:val="single" w:color="auto" w:sz="4" w:space="0"/>
            </w:tcBorders>
            <w:vAlign w:val="center"/>
          </w:tcPr>
          <w:p w14:paraId="6389DD01">
            <w:pPr>
              <w:adjustRightInd w:val="0"/>
              <w:snapToGrid w:val="0"/>
              <w:spacing w:line="360" w:lineRule="auto"/>
              <w:jc w:val="center"/>
              <w:rPr>
                <w:rFonts w:ascii="宋体"/>
                <w:sz w:val="24"/>
              </w:rPr>
            </w:pPr>
          </w:p>
        </w:tc>
      </w:tr>
      <w:tr w14:paraId="36817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1328" w:type="dxa"/>
            <w:tcBorders>
              <w:top w:val="single" w:color="auto" w:sz="4" w:space="0"/>
              <w:left w:val="single" w:color="auto" w:sz="4" w:space="0"/>
              <w:bottom w:val="single" w:color="auto" w:sz="4" w:space="0"/>
              <w:right w:val="single" w:color="auto" w:sz="4" w:space="0"/>
            </w:tcBorders>
            <w:vAlign w:val="center"/>
          </w:tcPr>
          <w:p w14:paraId="7D68E0AB">
            <w:pPr>
              <w:adjustRightInd w:val="0"/>
              <w:snapToGrid w:val="0"/>
              <w:spacing w:line="360" w:lineRule="auto"/>
              <w:jc w:val="center"/>
              <w:rPr>
                <w:rFonts w:ascii="宋体"/>
                <w:sz w:val="24"/>
              </w:rPr>
            </w:pPr>
          </w:p>
        </w:tc>
        <w:tc>
          <w:tcPr>
            <w:tcW w:w="1661" w:type="dxa"/>
            <w:tcBorders>
              <w:top w:val="single" w:color="auto" w:sz="4" w:space="0"/>
              <w:left w:val="single" w:color="auto" w:sz="4" w:space="0"/>
              <w:bottom w:val="single" w:color="auto" w:sz="4" w:space="0"/>
              <w:right w:val="single" w:color="auto" w:sz="4" w:space="0"/>
            </w:tcBorders>
            <w:vAlign w:val="center"/>
          </w:tcPr>
          <w:p w14:paraId="5C8537DD">
            <w:pPr>
              <w:adjustRightInd w:val="0"/>
              <w:snapToGrid w:val="0"/>
              <w:spacing w:line="360" w:lineRule="auto"/>
              <w:jc w:val="center"/>
              <w:rPr>
                <w:rFonts w:ascii="宋体"/>
                <w:sz w:val="24"/>
              </w:rPr>
            </w:pPr>
          </w:p>
        </w:tc>
        <w:tc>
          <w:tcPr>
            <w:tcW w:w="1189" w:type="dxa"/>
            <w:tcBorders>
              <w:top w:val="single" w:color="auto" w:sz="4" w:space="0"/>
              <w:left w:val="single" w:color="auto" w:sz="4" w:space="0"/>
              <w:bottom w:val="single" w:color="auto" w:sz="4" w:space="0"/>
              <w:right w:val="single" w:color="auto" w:sz="4" w:space="0"/>
            </w:tcBorders>
            <w:vAlign w:val="center"/>
          </w:tcPr>
          <w:p w14:paraId="1040759D">
            <w:pPr>
              <w:adjustRightInd w:val="0"/>
              <w:snapToGrid w:val="0"/>
              <w:spacing w:line="360" w:lineRule="auto"/>
              <w:jc w:val="center"/>
              <w:rPr>
                <w:rFonts w:ascii="宋体"/>
                <w:sz w:val="24"/>
              </w:rPr>
            </w:pPr>
          </w:p>
        </w:tc>
        <w:tc>
          <w:tcPr>
            <w:tcW w:w="1381" w:type="dxa"/>
            <w:tcBorders>
              <w:top w:val="single" w:color="auto" w:sz="4" w:space="0"/>
              <w:left w:val="single" w:color="auto" w:sz="4" w:space="0"/>
              <w:bottom w:val="single" w:color="auto" w:sz="4" w:space="0"/>
              <w:right w:val="single" w:color="auto" w:sz="4" w:space="0"/>
            </w:tcBorders>
            <w:vAlign w:val="center"/>
          </w:tcPr>
          <w:p w14:paraId="5ECF1795">
            <w:pPr>
              <w:adjustRightInd w:val="0"/>
              <w:snapToGrid w:val="0"/>
              <w:spacing w:line="360" w:lineRule="auto"/>
              <w:jc w:val="center"/>
              <w:rPr>
                <w:rFonts w:ascii="宋体"/>
                <w:sz w:val="24"/>
              </w:rPr>
            </w:pPr>
          </w:p>
        </w:tc>
        <w:tc>
          <w:tcPr>
            <w:tcW w:w="1600" w:type="dxa"/>
            <w:tcBorders>
              <w:top w:val="single" w:color="auto" w:sz="4" w:space="0"/>
              <w:left w:val="single" w:color="auto" w:sz="4" w:space="0"/>
              <w:bottom w:val="single" w:color="auto" w:sz="4" w:space="0"/>
              <w:right w:val="single" w:color="auto" w:sz="4" w:space="0"/>
            </w:tcBorders>
            <w:vAlign w:val="center"/>
          </w:tcPr>
          <w:p w14:paraId="4B2EA669">
            <w:pPr>
              <w:adjustRightInd w:val="0"/>
              <w:snapToGrid w:val="0"/>
              <w:spacing w:line="360" w:lineRule="auto"/>
              <w:jc w:val="center"/>
              <w:rPr>
                <w:rFonts w:ascii="宋体"/>
                <w:sz w:val="24"/>
              </w:rPr>
            </w:pPr>
          </w:p>
        </w:tc>
        <w:tc>
          <w:tcPr>
            <w:tcW w:w="1331" w:type="dxa"/>
            <w:tcBorders>
              <w:top w:val="single" w:color="auto" w:sz="4" w:space="0"/>
              <w:left w:val="single" w:color="auto" w:sz="4" w:space="0"/>
              <w:bottom w:val="single" w:color="auto" w:sz="4" w:space="0"/>
              <w:right w:val="single" w:color="auto" w:sz="4" w:space="0"/>
            </w:tcBorders>
            <w:vAlign w:val="center"/>
          </w:tcPr>
          <w:p w14:paraId="3413ED4F">
            <w:pPr>
              <w:adjustRightInd w:val="0"/>
              <w:snapToGrid w:val="0"/>
              <w:spacing w:line="360" w:lineRule="auto"/>
              <w:jc w:val="center"/>
              <w:rPr>
                <w:rFonts w:ascii="宋体"/>
                <w:sz w:val="24"/>
              </w:rPr>
            </w:pPr>
          </w:p>
        </w:tc>
      </w:tr>
      <w:tr w14:paraId="51DB5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1328" w:type="dxa"/>
            <w:tcBorders>
              <w:top w:val="single" w:color="auto" w:sz="4" w:space="0"/>
              <w:left w:val="single" w:color="auto" w:sz="4" w:space="0"/>
              <w:bottom w:val="single" w:color="auto" w:sz="4" w:space="0"/>
              <w:right w:val="single" w:color="auto" w:sz="4" w:space="0"/>
            </w:tcBorders>
            <w:vAlign w:val="center"/>
          </w:tcPr>
          <w:p w14:paraId="5FAE0D32">
            <w:pPr>
              <w:adjustRightInd w:val="0"/>
              <w:snapToGrid w:val="0"/>
              <w:spacing w:line="360" w:lineRule="auto"/>
              <w:jc w:val="center"/>
              <w:rPr>
                <w:rFonts w:ascii="宋体"/>
                <w:sz w:val="24"/>
              </w:rPr>
            </w:pPr>
          </w:p>
        </w:tc>
        <w:tc>
          <w:tcPr>
            <w:tcW w:w="1661" w:type="dxa"/>
            <w:tcBorders>
              <w:top w:val="single" w:color="auto" w:sz="4" w:space="0"/>
              <w:left w:val="single" w:color="auto" w:sz="4" w:space="0"/>
              <w:bottom w:val="single" w:color="auto" w:sz="4" w:space="0"/>
              <w:right w:val="single" w:color="auto" w:sz="4" w:space="0"/>
            </w:tcBorders>
            <w:vAlign w:val="center"/>
          </w:tcPr>
          <w:p w14:paraId="25C32C6D">
            <w:pPr>
              <w:adjustRightInd w:val="0"/>
              <w:snapToGrid w:val="0"/>
              <w:spacing w:line="360" w:lineRule="auto"/>
              <w:jc w:val="center"/>
              <w:rPr>
                <w:rFonts w:ascii="宋体"/>
                <w:sz w:val="24"/>
              </w:rPr>
            </w:pPr>
          </w:p>
        </w:tc>
        <w:tc>
          <w:tcPr>
            <w:tcW w:w="1189" w:type="dxa"/>
            <w:tcBorders>
              <w:top w:val="single" w:color="auto" w:sz="4" w:space="0"/>
              <w:left w:val="single" w:color="auto" w:sz="4" w:space="0"/>
              <w:bottom w:val="single" w:color="auto" w:sz="4" w:space="0"/>
              <w:right w:val="single" w:color="auto" w:sz="4" w:space="0"/>
            </w:tcBorders>
            <w:vAlign w:val="center"/>
          </w:tcPr>
          <w:p w14:paraId="09892E44">
            <w:pPr>
              <w:adjustRightInd w:val="0"/>
              <w:snapToGrid w:val="0"/>
              <w:spacing w:line="360" w:lineRule="auto"/>
              <w:jc w:val="center"/>
              <w:rPr>
                <w:rFonts w:ascii="宋体"/>
                <w:sz w:val="24"/>
              </w:rPr>
            </w:pPr>
          </w:p>
        </w:tc>
        <w:tc>
          <w:tcPr>
            <w:tcW w:w="1381" w:type="dxa"/>
            <w:tcBorders>
              <w:top w:val="single" w:color="auto" w:sz="4" w:space="0"/>
              <w:left w:val="single" w:color="auto" w:sz="4" w:space="0"/>
              <w:bottom w:val="single" w:color="auto" w:sz="4" w:space="0"/>
              <w:right w:val="single" w:color="auto" w:sz="4" w:space="0"/>
            </w:tcBorders>
            <w:vAlign w:val="center"/>
          </w:tcPr>
          <w:p w14:paraId="50B92817">
            <w:pPr>
              <w:adjustRightInd w:val="0"/>
              <w:snapToGrid w:val="0"/>
              <w:spacing w:line="360" w:lineRule="auto"/>
              <w:jc w:val="center"/>
              <w:rPr>
                <w:rFonts w:ascii="宋体"/>
                <w:sz w:val="24"/>
              </w:rPr>
            </w:pPr>
          </w:p>
        </w:tc>
        <w:tc>
          <w:tcPr>
            <w:tcW w:w="1600" w:type="dxa"/>
            <w:tcBorders>
              <w:top w:val="single" w:color="auto" w:sz="4" w:space="0"/>
              <w:left w:val="single" w:color="auto" w:sz="4" w:space="0"/>
              <w:bottom w:val="single" w:color="auto" w:sz="4" w:space="0"/>
              <w:right w:val="single" w:color="auto" w:sz="4" w:space="0"/>
            </w:tcBorders>
            <w:vAlign w:val="center"/>
          </w:tcPr>
          <w:p w14:paraId="28436FAC">
            <w:pPr>
              <w:adjustRightInd w:val="0"/>
              <w:snapToGrid w:val="0"/>
              <w:spacing w:line="360" w:lineRule="auto"/>
              <w:jc w:val="center"/>
              <w:rPr>
                <w:rFonts w:ascii="宋体"/>
                <w:sz w:val="24"/>
              </w:rPr>
            </w:pPr>
          </w:p>
        </w:tc>
        <w:tc>
          <w:tcPr>
            <w:tcW w:w="1331" w:type="dxa"/>
            <w:tcBorders>
              <w:top w:val="single" w:color="auto" w:sz="4" w:space="0"/>
              <w:left w:val="single" w:color="auto" w:sz="4" w:space="0"/>
              <w:bottom w:val="single" w:color="auto" w:sz="4" w:space="0"/>
              <w:right w:val="single" w:color="auto" w:sz="4" w:space="0"/>
            </w:tcBorders>
            <w:vAlign w:val="center"/>
          </w:tcPr>
          <w:p w14:paraId="011584FE">
            <w:pPr>
              <w:adjustRightInd w:val="0"/>
              <w:snapToGrid w:val="0"/>
              <w:spacing w:line="360" w:lineRule="auto"/>
              <w:jc w:val="center"/>
              <w:rPr>
                <w:rFonts w:ascii="宋体"/>
                <w:sz w:val="24"/>
              </w:rPr>
            </w:pPr>
          </w:p>
        </w:tc>
      </w:tr>
      <w:tr w14:paraId="3EB6E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1328" w:type="dxa"/>
            <w:tcBorders>
              <w:top w:val="single" w:color="auto" w:sz="4" w:space="0"/>
              <w:left w:val="single" w:color="auto" w:sz="4" w:space="0"/>
              <w:bottom w:val="single" w:color="auto" w:sz="4" w:space="0"/>
              <w:right w:val="single" w:color="auto" w:sz="4" w:space="0"/>
            </w:tcBorders>
            <w:vAlign w:val="center"/>
          </w:tcPr>
          <w:p w14:paraId="09FEEA0F">
            <w:pPr>
              <w:adjustRightInd w:val="0"/>
              <w:snapToGrid w:val="0"/>
              <w:spacing w:line="360" w:lineRule="auto"/>
              <w:jc w:val="center"/>
              <w:rPr>
                <w:rFonts w:ascii="宋体"/>
                <w:sz w:val="24"/>
              </w:rPr>
            </w:pPr>
          </w:p>
        </w:tc>
        <w:tc>
          <w:tcPr>
            <w:tcW w:w="1661" w:type="dxa"/>
            <w:tcBorders>
              <w:top w:val="single" w:color="auto" w:sz="4" w:space="0"/>
              <w:left w:val="single" w:color="auto" w:sz="4" w:space="0"/>
              <w:bottom w:val="single" w:color="auto" w:sz="4" w:space="0"/>
              <w:right w:val="single" w:color="auto" w:sz="4" w:space="0"/>
            </w:tcBorders>
            <w:vAlign w:val="center"/>
          </w:tcPr>
          <w:p w14:paraId="36FDB9C6">
            <w:pPr>
              <w:adjustRightInd w:val="0"/>
              <w:snapToGrid w:val="0"/>
              <w:spacing w:line="360" w:lineRule="auto"/>
              <w:jc w:val="center"/>
              <w:rPr>
                <w:rFonts w:ascii="宋体"/>
                <w:sz w:val="24"/>
              </w:rPr>
            </w:pPr>
          </w:p>
        </w:tc>
        <w:tc>
          <w:tcPr>
            <w:tcW w:w="1189" w:type="dxa"/>
            <w:tcBorders>
              <w:top w:val="single" w:color="auto" w:sz="4" w:space="0"/>
              <w:left w:val="single" w:color="auto" w:sz="4" w:space="0"/>
              <w:bottom w:val="single" w:color="auto" w:sz="4" w:space="0"/>
              <w:right w:val="single" w:color="auto" w:sz="4" w:space="0"/>
            </w:tcBorders>
            <w:vAlign w:val="center"/>
          </w:tcPr>
          <w:p w14:paraId="162C50CD">
            <w:pPr>
              <w:adjustRightInd w:val="0"/>
              <w:snapToGrid w:val="0"/>
              <w:spacing w:line="360" w:lineRule="auto"/>
              <w:jc w:val="center"/>
              <w:rPr>
                <w:rFonts w:ascii="宋体"/>
                <w:sz w:val="24"/>
              </w:rPr>
            </w:pPr>
          </w:p>
        </w:tc>
        <w:tc>
          <w:tcPr>
            <w:tcW w:w="1381" w:type="dxa"/>
            <w:tcBorders>
              <w:top w:val="single" w:color="auto" w:sz="4" w:space="0"/>
              <w:left w:val="single" w:color="auto" w:sz="4" w:space="0"/>
              <w:bottom w:val="single" w:color="auto" w:sz="4" w:space="0"/>
              <w:right w:val="single" w:color="auto" w:sz="4" w:space="0"/>
            </w:tcBorders>
            <w:vAlign w:val="center"/>
          </w:tcPr>
          <w:p w14:paraId="7030F681">
            <w:pPr>
              <w:adjustRightInd w:val="0"/>
              <w:snapToGrid w:val="0"/>
              <w:spacing w:line="360" w:lineRule="auto"/>
              <w:jc w:val="center"/>
              <w:rPr>
                <w:rFonts w:ascii="宋体"/>
                <w:sz w:val="24"/>
              </w:rPr>
            </w:pPr>
          </w:p>
        </w:tc>
        <w:tc>
          <w:tcPr>
            <w:tcW w:w="1600" w:type="dxa"/>
            <w:tcBorders>
              <w:top w:val="single" w:color="auto" w:sz="4" w:space="0"/>
              <w:left w:val="single" w:color="auto" w:sz="4" w:space="0"/>
              <w:bottom w:val="single" w:color="auto" w:sz="4" w:space="0"/>
              <w:right w:val="single" w:color="auto" w:sz="4" w:space="0"/>
            </w:tcBorders>
            <w:vAlign w:val="center"/>
          </w:tcPr>
          <w:p w14:paraId="2F841DCE">
            <w:pPr>
              <w:adjustRightInd w:val="0"/>
              <w:snapToGrid w:val="0"/>
              <w:spacing w:line="360" w:lineRule="auto"/>
              <w:jc w:val="center"/>
              <w:rPr>
                <w:rFonts w:ascii="宋体"/>
                <w:sz w:val="24"/>
              </w:rPr>
            </w:pPr>
          </w:p>
        </w:tc>
        <w:tc>
          <w:tcPr>
            <w:tcW w:w="1331" w:type="dxa"/>
            <w:tcBorders>
              <w:top w:val="single" w:color="auto" w:sz="4" w:space="0"/>
              <w:left w:val="single" w:color="auto" w:sz="4" w:space="0"/>
              <w:bottom w:val="single" w:color="auto" w:sz="4" w:space="0"/>
              <w:right w:val="single" w:color="auto" w:sz="4" w:space="0"/>
            </w:tcBorders>
            <w:vAlign w:val="center"/>
          </w:tcPr>
          <w:p w14:paraId="610E656A">
            <w:pPr>
              <w:adjustRightInd w:val="0"/>
              <w:snapToGrid w:val="0"/>
              <w:spacing w:line="360" w:lineRule="auto"/>
              <w:jc w:val="center"/>
              <w:rPr>
                <w:rFonts w:ascii="宋体"/>
                <w:sz w:val="24"/>
              </w:rPr>
            </w:pPr>
          </w:p>
        </w:tc>
      </w:tr>
      <w:tr w14:paraId="35B42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1328" w:type="dxa"/>
            <w:tcBorders>
              <w:top w:val="single" w:color="auto" w:sz="4" w:space="0"/>
              <w:left w:val="single" w:color="auto" w:sz="4" w:space="0"/>
              <w:bottom w:val="single" w:color="auto" w:sz="4" w:space="0"/>
              <w:right w:val="single" w:color="auto" w:sz="4" w:space="0"/>
            </w:tcBorders>
            <w:vAlign w:val="center"/>
          </w:tcPr>
          <w:p w14:paraId="05CF095F">
            <w:pPr>
              <w:adjustRightInd w:val="0"/>
              <w:snapToGrid w:val="0"/>
              <w:spacing w:line="360" w:lineRule="auto"/>
              <w:jc w:val="center"/>
              <w:rPr>
                <w:rFonts w:ascii="宋体"/>
                <w:sz w:val="24"/>
              </w:rPr>
            </w:pPr>
          </w:p>
        </w:tc>
        <w:tc>
          <w:tcPr>
            <w:tcW w:w="1661" w:type="dxa"/>
            <w:tcBorders>
              <w:top w:val="single" w:color="auto" w:sz="4" w:space="0"/>
              <w:left w:val="single" w:color="auto" w:sz="4" w:space="0"/>
              <w:bottom w:val="single" w:color="auto" w:sz="4" w:space="0"/>
              <w:right w:val="single" w:color="auto" w:sz="4" w:space="0"/>
            </w:tcBorders>
            <w:vAlign w:val="center"/>
          </w:tcPr>
          <w:p w14:paraId="3FAC4614">
            <w:pPr>
              <w:adjustRightInd w:val="0"/>
              <w:snapToGrid w:val="0"/>
              <w:spacing w:line="360" w:lineRule="auto"/>
              <w:jc w:val="center"/>
              <w:rPr>
                <w:rFonts w:ascii="宋体"/>
                <w:sz w:val="24"/>
              </w:rPr>
            </w:pPr>
          </w:p>
        </w:tc>
        <w:tc>
          <w:tcPr>
            <w:tcW w:w="1189" w:type="dxa"/>
            <w:tcBorders>
              <w:top w:val="single" w:color="auto" w:sz="4" w:space="0"/>
              <w:left w:val="single" w:color="auto" w:sz="4" w:space="0"/>
              <w:bottom w:val="single" w:color="auto" w:sz="4" w:space="0"/>
              <w:right w:val="single" w:color="auto" w:sz="4" w:space="0"/>
            </w:tcBorders>
            <w:vAlign w:val="center"/>
          </w:tcPr>
          <w:p w14:paraId="1EC2C23F">
            <w:pPr>
              <w:adjustRightInd w:val="0"/>
              <w:snapToGrid w:val="0"/>
              <w:spacing w:line="360" w:lineRule="auto"/>
              <w:jc w:val="center"/>
              <w:rPr>
                <w:rFonts w:ascii="宋体"/>
                <w:sz w:val="24"/>
              </w:rPr>
            </w:pPr>
          </w:p>
        </w:tc>
        <w:tc>
          <w:tcPr>
            <w:tcW w:w="1381" w:type="dxa"/>
            <w:tcBorders>
              <w:top w:val="single" w:color="auto" w:sz="4" w:space="0"/>
              <w:left w:val="single" w:color="auto" w:sz="4" w:space="0"/>
              <w:bottom w:val="single" w:color="auto" w:sz="4" w:space="0"/>
              <w:right w:val="single" w:color="auto" w:sz="4" w:space="0"/>
            </w:tcBorders>
            <w:vAlign w:val="center"/>
          </w:tcPr>
          <w:p w14:paraId="0A536095">
            <w:pPr>
              <w:adjustRightInd w:val="0"/>
              <w:snapToGrid w:val="0"/>
              <w:spacing w:line="360" w:lineRule="auto"/>
              <w:jc w:val="center"/>
              <w:rPr>
                <w:rFonts w:ascii="宋体"/>
                <w:sz w:val="24"/>
              </w:rPr>
            </w:pPr>
          </w:p>
        </w:tc>
        <w:tc>
          <w:tcPr>
            <w:tcW w:w="1600" w:type="dxa"/>
            <w:tcBorders>
              <w:top w:val="single" w:color="auto" w:sz="4" w:space="0"/>
              <w:left w:val="single" w:color="auto" w:sz="4" w:space="0"/>
              <w:bottom w:val="single" w:color="auto" w:sz="4" w:space="0"/>
              <w:right w:val="single" w:color="auto" w:sz="4" w:space="0"/>
            </w:tcBorders>
            <w:vAlign w:val="center"/>
          </w:tcPr>
          <w:p w14:paraId="487EF550">
            <w:pPr>
              <w:adjustRightInd w:val="0"/>
              <w:snapToGrid w:val="0"/>
              <w:spacing w:line="360" w:lineRule="auto"/>
              <w:jc w:val="center"/>
              <w:rPr>
                <w:rFonts w:ascii="宋体"/>
                <w:sz w:val="24"/>
              </w:rPr>
            </w:pPr>
          </w:p>
        </w:tc>
        <w:tc>
          <w:tcPr>
            <w:tcW w:w="1331" w:type="dxa"/>
            <w:tcBorders>
              <w:top w:val="single" w:color="auto" w:sz="4" w:space="0"/>
              <w:left w:val="single" w:color="auto" w:sz="4" w:space="0"/>
              <w:bottom w:val="single" w:color="auto" w:sz="4" w:space="0"/>
              <w:right w:val="single" w:color="auto" w:sz="4" w:space="0"/>
            </w:tcBorders>
            <w:vAlign w:val="center"/>
          </w:tcPr>
          <w:p w14:paraId="4A81C802">
            <w:pPr>
              <w:adjustRightInd w:val="0"/>
              <w:snapToGrid w:val="0"/>
              <w:spacing w:line="360" w:lineRule="auto"/>
              <w:jc w:val="center"/>
              <w:rPr>
                <w:rFonts w:ascii="宋体"/>
                <w:sz w:val="24"/>
              </w:rPr>
            </w:pPr>
          </w:p>
        </w:tc>
      </w:tr>
      <w:tr w14:paraId="3A770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1328" w:type="dxa"/>
            <w:tcBorders>
              <w:top w:val="single" w:color="auto" w:sz="4" w:space="0"/>
              <w:left w:val="single" w:color="auto" w:sz="4" w:space="0"/>
              <w:bottom w:val="single" w:color="auto" w:sz="4" w:space="0"/>
              <w:right w:val="single" w:color="auto" w:sz="4" w:space="0"/>
            </w:tcBorders>
            <w:vAlign w:val="center"/>
          </w:tcPr>
          <w:p w14:paraId="0604863F">
            <w:pPr>
              <w:adjustRightInd w:val="0"/>
              <w:snapToGrid w:val="0"/>
              <w:spacing w:line="360" w:lineRule="auto"/>
              <w:jc w:val="center"/>
              <w:rPr>
                <w:rFonts w:ascii="宋体"/>
                <w:sz w:val="24"/>
              </w:rPr>
            </w:pPr>
          </w:p>
        </w:tc>
        <w:tc>
          <w:tcPr>
            <w:tcW w:w="1661" w:type="dxa"/>
            <w:tcBorders>
              <w:top w:val="single" w:color="auto" w:sz="4" w:space="0"/>
              <w:left w:val="single" w:color="auto" w:sz="4" w:space="0"/>
              <w:bottom w:val="single" w:color="auto" w:sz="4" w:space="0"/>
              <w:right w:val="single" w:color="auto" w:sz="4" w:space="0"/>
            </w:tcBorders>
            <w:vAlign w:val="center"/>
          </w:tcPr>
          <w:p w14:paraId="3AE374A5">
            <w:pPr>
              <w:adjustRightInd w:val="0"/>
              <w:snapToGrid w:val="0"/>
              <w:spacing w:line="360" w:lineRule="auto"/>
              <w:jc w:val="center"/>
              <w:rPr>
                <w:rFonts w:ascii="宋体"/>
                <w:sz w:val="24"/>
              </w:rPr>
            </w:pPr>
          </w:p>
        </w:tc>
        <w:tc>
          <w:tcPr>
            <w:tcW w:w="1189" w:type="dxa"/>
            <w:tcBorders>
              <w:top w:val="single" w:color="auto" w:sz="4" w:space="0"/>
              <w:left w:val="single" w:color="auto" w:sz="4" w:space="0"/>
              <w:bottom w:val="single" w:color="auto" w:sz="4" w:space="0"/>
              <w:right w:val="single" w:color="auto" w:sz="4" w:space="0"/>
            </w:tcBorders>
            <w:vAlign w:val="center"/>
          </w:tcPr>
          <w:p w14:paraId="46DD48FA">
            <w:pPr>
              <w:adjustRightInd w:val="0"/>
              <w:snapToGrid w:val="0"/>
              <w:spacing w:line="360" w:lineRule="auto"/>
              <w:jc w:val="center"/>
              <w:rPr>
                <w:rFonts w:ascii="宋体"/>
                <w:sz w:val="24"/>
              </w:rPr>
            </w:pPr>
          </w:p>
        </w:tc>
        <w:tc>
          <w:tcPr>
            <w:tcW w:w="1381" w:type="dxa"/>
            <w:tcBorders>
              <w:top w:val="single" w:color="auto" w:sz="4" w:space="0"/>
              <w:left w:val="single" w:color="auto" w:sz="4" w:space="0"/>
              <w:bottom w:val="single" w:color="auto" w:sz="4" w:space="0"/>
              <w:right w:val="single" w:color="auto" w:sz="4" w:space="0"/>
            </w:tcBorders>
            <w:vAlign w:val="center"/>
          </w:tcPr>
          <w:p w14:paraId="3527E3BE">
            <w:pPr>
              <w:adjustRightInd w:val="0"/>
              <w:snapToGrid w:val="0"/>
              <w:spacing w:line="360" w:lineRule="auto"/>
              <w:jc w:val="center"/>
              <w:rPr>
                <w:rFonts w:ascii="宋体"/>
                <w:sz w:val="24"/>
              </w:rPr>
            </w:pPr>
          </w:p>
        </w:tc>
        <w:tc>
          <w:tcPr>
            <w:tcW w:w="1600" w:type="dxa"/>
            <w:tcBorders>
              <w:top w:val="single" w:color="auto" w:sz="4" w:space="0"/>
              <w:left w:val="single" w:color="auto" w:sz="4" w:space="0"/>
              <w:bottom w:val="single" w:color="auto" w:sz="4" w:space="0"/>
              <w:right w:val="single" w:color="auto" w:sz="4" w:space="0"/>
            </w:tcBorders>
            <w:vAlign w:val="center"/>
          </w:tcPr>
          <w:p w14:paraId="6C3A275D">
            <w:pPr>
              <w:adjustRightInd w:val="0"/>
              <w:snapToGrid w:val="0"/>
              <w:spacing w:line="360" w:lineRule="auto"/>
              <w:jc w:val="center"/>
              <w:rPr>
                <w:rFonts w:ascii="宋体"/>
                <w:sz w:val="24"/>
              </w:rPr>
            </w:pPr>
          </w:p>
        </w:tc>
        <w:tc>
          <w:tcPr>
            <w:tcW w:w="1331" w:type="dxa"/>
            <w:tcBorders>
              <w:top w:val="single" w:color="auto" w:sz="4" w:space="0"/>
              <w:left w:val="single" w:color="auto" w:sz="4" w:space="0"/>
              <w:bottom w:val="single" w:color="auto" w:sz="4" w:space="0"/>
              <w:right w:val="single" w:color="auto" w:sz="4" w:space="0"/>
            </w:tcBorders>
            <w:vAlign w:val="center"/>
          </w:tcPr>
          <w:p w14:paraId="0ECF3117">
            <w:pPr>
              <w:adjustRightInd w:val="0"/>
              <w:snapToGrid w:val="0"/>
              <w:spacing w:line="360" w:lineRule="auto"/>
              <w:jc w:val="center"/>
              <w:rPr>
                <w:rFonts w:ascii="宋体"/>
                <w:sz w:val="24"/>
              </w:rPr>
            </w:pPr>
          </w:p>
        </w:tc>
      </w:tr>
    </w:tbl>
    <w:p w14:paraId="7F091B5D">
      <w:pPr>
        <w:widowControl/>
        <w:adjustRightInd w:val="0"/>
        <w:snapToGrid w:val="0"/>
        <w:spacing w:line="360" w:lineRule="auto"/>
        <w:ind w:firstLine="723" w:firstLineChars="300"/>
        <w:jc w:val="left"/>
        <w:rPr>
          <w:rFonts w:ascii="宋体" w:hAnsi="宋体" w:cs="宋体"/>
          <w:b/>
          <w:bCs/>
          <w:sz w:val="24"/>
        </w:rPr>
      </w:pPr>
      <w:r>
        <w:rPr>
          <w:rFonts w:hint="eastAsia" w:ascii="宋体" w:hAnsi="宋体" w:cs="宋体"/>
          <w:b/>
          <w:bCs/>
          <w:sz w:val="24"/>
        </w:rPr>
        <w:t>注：后附身份证、职称证等相关证件资料。</w:t>
      </w:r>
    </w:p>
    <w:p w14:paraId="0E50B869">
      <w:pPr>
        <w:adjustRightInd w:val="0"/>
        <w:snapToGrid w:val="0"/>
        <w:spacing w:line="360" w:lineRule="auto"/>
        <w:jc w:val="center"/>
        <w:rPr>
          <w:rFonts w:ascii="宋体" w:hAnsi="宋体" w:cs="宋体"/>
          <w:b/>
          <w:kern w:val="0"/>
          <w:sz w:val="28"/>
          <w:szCs w:val="28"/>
          <w:lang w:val="zh-CN"/>
        </w:rPr>
      </w:pPr>
      <w:r>
        <w:rPr>
          <w:rFonts w:hint="eastAsia" w:ascii="宋体" w:hAnsi="宋体" w:cs="宋体"/>
          <w:b/>
          <w:kern w:val="0"/>
          <w:sz w:val="28"/>
          <w:szCs w:val="28"/>
        </w:rPr>
        <w:br w:type="page"/>
      </w:r>
      <w:r>
        <w:rPr>
          <w:rFonts w:hint="eastAsia" w:ascii="宋体" w:hAnsi="宋体" w:cs="宋体"/>
          <w:b/>
          <w:kern w:val="0"/>
          <w:sz w:val="28"/>
          <w:szCs w:val="28"/>
        </w:rPr>
        <w:t>（二）项目负责人</w:t>
      </w:r>
      <w:r>
        <w:rPr>
          <w:rFonts w:hint="eastAsia" w:ascii="宋体" w:hAnsi="宋体" w:cs="宋体"/>
          <w:b/>
          <w:kern w:val="0"/>
          <w:sz w:val="28"/>
          <w:szCs w:val="28"/>
          <w:lang w:val="zh-CN"/>
        </w:rPr>
        <w:t>简历表</w:t>
      </w:r>
    </w:p>
    <w:tbl>
      <w:tblPr>
        <w:tblStyle w:val="14"/>
        <w:tblW w:w="0" w:type="auto"/>
        <w:tblInd w:w="5" w:type="dxa"/>
        <w:tblLayout w:type="fixed"/>
        <w:tblCellMar>
          <w:top w:w="0" w:type="dxa"/>
          <w:left w:w="0" w:type="dxa"/>
          <w:bottom w:w="0" w:type="dxa"/>
          <w:right w:w="0" w:type="dxa"/>
        </w:tblCellMar>
      </w:tblPr>
      <w:tblGrid>
        <w:gridCol w:w="1438"/>
        <w:gridCol w:w="369"/>
        <w:gridCol w:w="740"/>
        <w:gridCol w:w="950"/>
        <w:gridCol w:w="1094"/>
        <w:gridCol w:w="725"/>
        <w:gridCol w:w="1293"/>
        <w:gridCol w:w="167"/>
        <w:gridCol w:w="2192"/>
      </w:tblGrid>
      <w:tr w14:paraId="4C019A09">
        <w:tblPrEx>
          <w:tblCellMar>
            <w:top w:w="0" w:type="dxa"/>
            <w:left w:w="0" w:type="dxa"/>
            <w:bottom w:w="0" w:type="dxa"/>
            <w:right w:w="0" w:type="dxa"/>
          </w:tblCellMar>
        </w:tblPrEx>
        <w:trPr>
          <w:trHeight w:val="903" w:hRule="atLeast"/>
        </w:trPr>
        <w:tc>
          <w:tcPr>
            <w:tcW w:w="1438" w:type="dxa"/>
            <w:tcBorders>
              <w:top w:val="single" w:color="000000" w:sz="4" w:space="0"/>
              <w:left w:val="single" w:color="000000" w:sz="4" w:space="0"/>
              <w:bottom w:val="single" w:color="000000" w:sz="4" w:space="0"/>
              <w:right w:val="single" w:color="000000" w:sz="4" w:space="0"/>
            </w:tcBorders>
            <w:vAlign w:val="center"/>
          </w:tcPr>
          <w:p w14:paraId="568C330E">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姓</w:t>
            </w:r>
            <w:r>
              <w:tab/>
            </w:r>
            <w:r>
              <w:rPr>
                <w:rFonts w:hint="eastAsia" w:ascii="宋体" w:hAnsi="宋体"/>
                <w:spacing w:val="1"/>
                <w:kern w:val="0"/>
                <w:szCs w:val="21"/>
              </w:rPr>
              <w:t>名</w:t>
            </w:r>
          </w:p>
        </w:tc>
        <w:tc>
          <w:tcPr>
            <w:tcW w:w="1109" w:type="dxa"/>
            <w:gridSpan w:val="2"/>
            <w:tcBorders>
              <w:top w:val="single" w:color="000000" w:sz="4" w:space="0"/>
              <w:left w:val="nil"/>
              <w:bottom w:val="single" w:color="000000" w:sz="4" w:space="0"/>
              <w:right w:val="single" w:color="000000" w:sz="4" w:space="0"/>
            </w:tcBorders>
            <w:vAlign w:val="center"/>
          </w:tcPr>
          <w:p w14:paraId="1E569939">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950" w:type="dxa"/>
            <w:tcBorders>
              <w:top w:val="single" w:color="000000" w:sz="4" w:space="0"/>
              <w:left w:val="nil"/>
              <w:bottom w:val="single" w:color="000000" w:sz="4" w:space="0"/>
              <w:right w:val="single" w:color="000000" w:sz="4" w:space="0"/>
            </w:tcBorders>
            <w:vAlign w:val="center"/>
          </w:tcPr>
          <w:p w14:paraId="086A36E3">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年  龄</w:t>
            </w:r>
          </w:p>
        </w:tc>
        <w:tc>
          <w:tcPr>
            <w:tcW w:w="1094" w:type="dxa"/>
            <w:tcBorders>
              <w:top w:val="single" w:color="000000" w:sz="4" w:space="0"/>
              <w:left w:val="nil"/>
              <w:bottom w:val="single" w:color="000000" w:sz="4" w:space="0"/>
              <w:right w:val="single" w:color="000000" w:sz="4" w:space="0"/>
            </w:tcBorders>
            <w:vAlign w:val="center"/>
          </w:tcPr>
          <w:p w14:paraId="3C7445F0">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2185" w:type="dxa"/>
            <w:gridSpan w:val="3"/>
            <w:tcBorders>
              <w:top w:val="single" w:color="000000" w:sz="4" w:space="0"/>
              <w:left w:val="nil"/>
              <w:bottom w:val="single" w:color="000000" w:sz="4" w:space="0"/>
              <w:right w:val="single" w:color="000000" w:sz="4" w:space="0"/>
            </w:tcBorders>
            <w:vAlign w:val="center"/>
          </w:tcPr>
          <w:p w14:paraId="62CDE809">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学历</w:t>
            </w:r>
          </w:p>
        </w:tc>
        <w:tc>
          <w:tcPr>
            <w:tcW w:w="2192" w:type="dxa"/>
            <w:tcBorders>
              <w:top w:val="single" w:color="000000" w:sz="4" w:space="0"/>
              <w:left w:val="nil"/>
              <w:bottom w:val="single" w:color="000000" w:sz="4" w:space="0"/>
              <w:right w:val="single" w:color="000000" w:sz="4" w:space="0"/>
            </w:tcBorders>
            <w:vAlign w:val="center"/>
          </w:tcPr>
          <w:p w14:paraId="707F6275">
            <w:pPr>
              <w:autoSpaceDE w:val="0"/>
              <w:autoSpaceDN w:val="0"/>
              <w:adjustRightInd w:val="0"/>
              <w:snapToGrid w:val="0"/>
              <w:spacing w:line="360" w:lineRule="auto"/>
              <w:ind w:firstLine="59" w:firstLineChars="28"/>
              <w:jc w:val="center"/>
              <w:rPr>
                <w:rFonts w:ascii="宋体" w:hAnsi="宋体"/>
                <w:spacing w:val="1"/>
                <w:kern w:val="0"/>
                <w:szCs w:val="21"/>
              </w:rPr>
            </w:pPr>
          </w:p>
        </w:tc>
      </w:tr>
      <w:tr w14:paraId="7E097861">
        <w:tblPrEx>
          <w:tblCellMar>
            <w:top w:w="0" w:type="dxa"/>
            <w:left w:w="0" w:type="dxa"/>
            <w:bottom w:w="0" w:type="dxa"/>
            <w:right w:w="0" w:type="dxa"/>
          </w:tblCellMar>
        </w:tblPrEx>
        <w:trPr>
          <w:trHeight w:val="903" w:hRule="atLeast"/>
        </w:trPr>
        <w:tc>
          <w:tcPr>
            <w:tcW w:w="1438" w:type="dxa"/>
            <w:tcBorders>
              <w:top w:val="single" w:color="000000" w:sz="4" w:space="0"/>
              <w:left w:val="single" w:color="000000" w:sz="4" w:space="0"/>
              <w:bottom w:val="single" w:color="000000" w:sz="4" w:space="0"/>
              <w:right w:val="single" w:color="000000" w:sz="4" w:space="0"/>
            </w:tcBorders>
            <w:vAlign w:val="center"/>
          </w:tcPr>
          <w:p w14:paraId="0527A5B8">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职</w:t>
            </w:r>
            <w:r>
              <w:tab/>
            </w:r>
            <w:r>
              <w:rPr>
                <w:rFonts w:hint="eastAsia" w:ascii="宋体" w:hAnsi="宋体"/>
                <w:spacing w:val="1"/>
                <w:kern w:val="0"/>
                <w:szCs w:val="21"/>
              </w:rPr>
              <w:t>称</w:t>
            </w:r>
          </w:p>
        </w:tc>
        <w:tc>
          <w:tcPr>
            <w:tcW w:w="1109" w:type="dxa"/>
            <w:gridSpan w:val="2"/>
            <w:tcBorders>
              <w:top w:val="single" w:color="000000" w:sz="4" w:space="0"/>
              <w:left w:val="nil"/>
              <w:bottom w:val="single" w:color="000000" w:sz="4" w:space="0"/>
              <w:right w:val="single" w:color="000000" w:sz="4" w:space="0"/>
            </w:tcBorders>
            <w:vAlign w:val="center"/>
          </w:tcPr>
          <w:p w14:paraId="7BDB2862">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950" w:type="dxa"/>
            <w:tcBorders>
              <w:top w:val="single" w:color="000000" w:sz="4" w:space="0"/>
              <w:left w:val="nil"/>
              <w:bottom w:val="single" w:color="000000" w:sz="4" w:space="0"/>
              <w:right w:val="single" w:color="000000" w:sz="4" w:space="0"/>
            </w:tcBorders>
            <w:vAlign w:val="center"/>
          </w:tcPr>
          <w:p w14:paraId="15D12021">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职  务</w:t>
            </w:r>
          </w:p>
        </w:tc>
        <w:tc>
          <w:tcPr>
            <w:tcW w:w="1094" w:type="dxa"/>
            <w:tcBorders>
              <w:top w:val="single" w:color="000000" w:sz="4" w:space="0"/>
              <w:left w:val="nil"/>
              <w:bottom w:val="single" w:color="000000" w:sz="4" w:space="0"/>
              <w:right w:val="single" w:color="000000" w:sz="4" w:space="0"/>
            </w:tcBorders>
            <w:vAlign w:val="center"/>
          </w:tcPr>
          <w:p w14:paraId="2AA11862">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2185" w:type="dxa"/>
            <w:gridSpan w:val="3"/>
            <w:tcBorders>
              <w:top w:val="single" w:color="000000" w:sz="4" w:space="0"/>
              <w:left w:val="nil"/>
              <w:bottom w:val="single" w:color="000000" w:sz="4" w:space="0"/>
              <w:right w:val="single" w:color="000000" w:sz="4" w:space="0"/>
            </w:tcBorders>
            <w:vAlign w:val="center"/>
          </w:tcPr>
          <w:p w14:paraId="5FA226FB">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拟在本项目任职</w:t>
            </w:r>
          </w:p>
        </w:tc>
        <w:tc>
          <w:tcPr>
            <w:tcW w:w="2192" w:type="dxa"/>
            <w:tcBorders>
              <w:top w:val="single" w:color="000000" w:sz="4" w:space="0"/>
              <w:left w:val="nil"/>
              <w:bottom w:val="single" w:color="000000" w:sz="4" w:space="0"/>
              <w:right w:val="single" w:color="000000" w:sz="4" w:space="0"/>
            </w:tcBorders>
            <w:vAlign w:val="center"/>
          </w:tcPr>
          <w:p w14:paraId="5E43583E">
            <w:pPr>
              <w:autoSpaceDE w:val="0"/>
              <w:autoSpaceDN w:val="0"/>
              <w:adjustRightInd w:val="0"/>
              <w:snapToGrid w:val="0"/>
              <w:spacing w:line="360" w:lineRule="auto"/>
              <w:ind w:firstLine="59" w:firstLineChars="28"/>
              <w:jc w:val="center"/>
              <w:rPr>
                <w:rFonts w:ascii="宋体" w:hAnsi="宋体"/>
                <w:spacing w:val="1"/>
                <w:kern w:val="0"/>
                <w:szCs w:val="21"/>
              </w:rPr>
            </w:pPr>
          </w:p>
        </w:tc>
      </w:tr>
      <w:tr w14:paraId="5CDFCDC0">
        <w:tblPrEx>
          <w:tblCellMar>
            <w:top w:w="0" w:type="dxa"/>
            <w:left w:w="0" w:type="dxa"/>
            <w:bottom w:w="0" w:type="dxa"/>
            <w:right w:w="0" w:type="dxa"/>
          </w:tblCellMar>
        </w:tblPrEx>
        <w:trPr>
          <w:trHeight w:val="903" w:hRule="atLeast"/>
        </w:trPr>
        <w:tc>
          <w:tcPr>
            <w:tcW w:w="1438" w:type="dxa"/>
            <w:tcBorders>
              <w:top w:val="single" w:color="000000" w:sz="4" w:space="0"/>
              <w:left w:val="single" w:color="000000" w:sz="4" w:space="0"/>
              <w:bottom w:val="single" w:color="000000" w:sz="4" w:space="0"/>
              <w:right w:val="single" w:color="000000" w:sz="4" w:space="0"/>
            </w:tcBorders>
            <w:vAlign w:val="center"/>
          </w:tcPr>
          <w:p w14:paraId="7F269171">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毕业学校</w:t>
            </w:r>
          </w:p>
        </w:tc>
        <w:tc>
          <w:tcPr>
            <w:tcW w:w="7530" w:type="dxa"/>
            <w:gridSpan w:val="8"/>
            <w:tcBorders>
              <w:top w:val="single" w:color="000000" w:sz="4" w:space="0"/>
              <w:left w:val="nil"/>
              <w:bottom w:val="single" w:color="000000" w:sz="4" w:space="0"/>
              <w:right w:val="single" w:color="000000" w:sz="4" w:space="0"/>
            </w:tcBorders>
            <w:vAlign w:val="center"/>
          </w:tcPr>
          <w:p w14:paraId="01C4C8BA">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年毕业于</w:t>
            </w:r>
            <w:r>
              <w:tab/>
            </w:r>
            <w:r>
              <w:rPr>
                <w:rFonts w:hint="eastAsia" w:ascii="宋体" w:hAnsi="宋体"/>
                <w:spacing w:val="1"/>
                <w:kern w:val="0"/>
                <w:szCs w:val="21"/>
              </w:rPr>
              <w:t>学校</w:t>
            </w:r>
            <w:r>
              <w:tab/>
            </w:r>
            <w:r>
              <w:rPr>
                <w:rFonts w:hint="eastAsia" w:ascii="宋体" w:hAnsi="宋体"/>
                <w:spacing w:val="1"/>
                <w:kern w:val="0"/>
                <w:szCs w:val="21"/>
              </w:rPr>
              <w:t>专业</w:t>
            </w:r>
          </w:p>
        </w:tc>
      </w:tr>
      <w:tr w14:paraId="283AACB4">
        <w:tblPrEx>
          <w:tblCellMar>
            <w:top w:w="0" w:type="dxa"/>
            <w:left w:w="0" w:type="dxa"/>
            <w:bottom w:w="0" w:type="dxa"/>
            <w:right w:w="0" w:type="dxa"/>
          </w:tblCellMar>
        </w:tblPrEx>
        <w:trPr>
          <w:trHeight w:val="865" w:hRule="atLeast"/>
        </w:trPr>
        <w:tc>
          <w:tcPr>
            <w:tcW w:w="8968" w:type="dxa"/>
            <w:gridSpan w:val="9"/>
            <w:tcBorders>
              <w:top w:val="single" w:color="000000" w:sz="4" w:space="0"/>
              <w:left w:val="single" w:color="000000" w:sz="4" w:space="0"/>
              <w:bottom w:val="single" w:color="000000" w:sz="4" w:space="0"/>
              <w:right w:val="single" w:color="000000" w:sz="4" w:space="0"/>
            </w:tcBorders>
            <w:vAlign w:val="center"/>
          </w:tcPr>
          <w:p w14:paraId="5EAC3368">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主要工作经历</w:t>
            </w:r>
          </w:p>
        </w:tc>
      </w:tr>
      <w:tr w14:paraId="1CBC4C81">
        <w:tblPrEx>
          <w:tblCellMar>
            <w:top w:w="0" w:type="dxa"/>
            <w:left w:w="0" w:type="dxa"/>
            <w:bottom w:w="0" w:type="dxa"/>
            <w:right w:w="0" w:type="dxa"/>
          </w:tblCellMar>
        </w:tblPrEx>
        <w:trPr>
          <w:trHeight w:val="903" w:hRule="atLeast"/>
        </w:trPr>
        <w:tc>
          <w:tcPr>
            <w:tcW w:w="1807" w:type="dxa"/>
            <w:gridSpan w:val="2"/>
            <w:tcBorders>
              <w:top w:val="single" w:color="000000" w:sz="4" w:space="0"/>
              <w:left w:val="single" w:color="000000" w:sz="4" w:space="0"/>
              <w:bottom w:val="single" w:color="000000" w:sz="4" w:space="0"/>
              <w:right w:val="single" w:color="000000" w:sz="4" w:space="0"/>
            </w:tcBorders>
            <w:vAlign w:val="center"/>
          </w:tcPr>
          <w:p w14:paraId="49C6DE3E">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时</w:t>
            </w:r>
            <w:r>
              <w:tab/>
            </w:r>
            <w:r>
              <w:rPr>
                <w:rFonts w:hint="eastAsia" w:ascii="宋体" w:hAnsi="宋体"/>
                <w:spacing w:val="1"/>
                <w:kern w:val="0"/>
                <w:szCs w:val="21"/>
              </w:rPr>
              <w:t>间</w:t>
            </w:r>
          </w:p>
        </w:tc>
        <w:tc>
          <w:tcPr>
            <w:tcW w:w="3509" w:type="dxa"/>
            <w:gridSpan w:val="4"/>
            <w:tcBorders>
              <w:top w:val="single" w:color="000000" w:sz="4" w:space="0"/>
              <w:left w:val="nil"/>
              <w:bottom w:val="single" w:color="000000" w:sz="4" w:space="0"/>
              <w:right w:val="single" w:color="000000" w:sz="4" w:space="0"/>
            </w:tcBorders>
            <w:vAlign w:val="center"/>
          </w:tcPr>
          <w:p w14:paraId="4089F9CA">
            <w:pPr>
              <w:autoSpaceDE w:val="0"/>
              <w:autoSpaceDN w:val="0"/>
              <w:adjustRightInd w:val="0"/>
              <w:snapToGrid w:val="0"/>
              <w:spacing w:line="360" w:lineRule="auto"/>
              <w:ind w:firstLine="148" w:firstLineChars="70"/>
              <w:jc w:val="center"/>
              <w:rPr>
                <w:rFonts w:ascii="宋体" w:hAnsi="宋体"/>
                <w:spacing w:val="1"/>
                <w:kern w:val="0"/>
                <w:szCs w:val="21"/>
              </w:rPr>
            </w:pPr>
            <w:r>
              <w:rPr>
                <w:rFonts w:hint="eastAsia" w:ascii="宋体" w:hAnsi="宋体"/>
                <w:spacing w:val="1"/>
                <w:kern w:val="0"/>
                <w:szCs w:val="21"/>
              </w:rPr>
              <w:t>参加过的类似项目</w:t>
            </w:r>
          </w:p>
        </w:tc>
        <w:tc>
          <w:tcPr>
            <w:tcW w:w="1293" w:type="dxa"/>
            <w:tcBorders>
              <w:top w:val="single" w:color="000000" w:sz="4" w:space="0"/>
              <w:left w:val="nil"/>
              <w:bottom w:val="single" w:color="000000" w:sz="4" w:space="0"/>
              <w:right w:val="single" w:color="000000" w:sz="4" w:space="0"/>
            </w:tcBorders>
            <w:vAlign w:val="center"/>
          </w:tcPr>
          <w:p w14:paraId="70316C25">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担任职务</w:t>
            </w:r>
          </w:p>
        </w:tc>
        <w:tc>
          <w:tcPr>
            <w:tcW w:w="2359" w:type="dxa"/>
            <w:gridSpan w:val="2"/>
            <w:tcBorders>
              <w:top w:val="single" w:color="000000" w:sz="4" w:space="0"/>
              <w:left w:val="nil"/>
              <w:bottom w:val="single" w:color="000000" w:sz="4" w:space="0"/>
              <w:right w:val="single" w:color="000000" w:sz="4" w:space="0"/>
            </w:tcBorders>
            <w:vAlign w:val="center"/>
          </w:tcPr>
          <w:p w14:paraId="23E90360">
            <w:pPr>
              <w:autoSpaceDE w:val="0"/>
              <w:autoSpaceDN w:val="0"/>
              <w:adjustRightInd w:val="0"/>
              <w:snapToGrid w:val="0"/>
              <w:spacing w:line="360" w:lineRule="auto"/>
              <w:ind w:firstLine="59" w:firstLineChars="28"/>
              <w:jc w:val="center"/>
              <w:rPr>
                <w:rFonts w:ascii="宋体" w:hAnsi="宋体"/>
                <w:spacing w:val="1"/>
                <w:kern w:val="0"/>
                <w:szCs w:val="21"/>
              </w:rPr>
            </w:pPr>
            <w:r>
              <w:rPr>
                <w:rFonts w:hint="eastAsia" w:ascii="宋体" w:hAnsi="宋体"/>
                <w:spacing w:val="1"/>
                <w:kern w:val="0"/>
                <w:szCs w:val="21"/>
              </w:rPr>
              <w:t>证明人</w:t>
            </w:r>
          </w:p>
        </w:tc>
      </w:tr>
      <w:tr w14:paraId="33E0F226">
        <w:tblPrEx>
          <w:tblCellMar>
            <w:top w:w="0" w:type="dxa"/>
            <w:left w:w="0" w:type="dxa"/>
            <w:bottom w:w="0" w:type="dxa"/>
            <w:right w:w="0" w:type="dxa"/>
          </w:tblCellMar>
        </w:tblPrEx>
        <w:trPr>
          <w:trHeight w:val="903" w:hRule="atLeast"/>
        </w:trPr>
        <w:tc>
          <w:tcPr>
            <w:tcW w:w="1807" w:type="dxa"/>
            <w:gridSpan w:val="2"/>
            <w:tcBorders>
              <w:top w:val="single" w:color="000000" w:sz="4" w:space="0"/>
              <w:left w:val="single" w:color="000000" w:sz="4" w:space="0"/>
              <w:bottom w:val="single" w:color="000000" w:sz="4" w:space="0"/>
              <w:right w:val="single" w:color="000000" w:sz="4" w:space="0"/>
            </w:tcBorders>
            <w:vAlign w:val="center"/>
          </w:tcPr>
          <w:p w14:paraId="471FDDF1">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3509" w:type="dxa"/>
            <w:gridSpan w:val="4"/>
            <w:tcBorders>
              <w:top w:val="single" w:color="000000" w:sz="4" w:space="0"/>
              <w:left w:val="nil"/>
              <w:bottom w:val="single" w:color="000000" w:sz="4" w:space="0"/>
              <w:right w:val="single" w:color="000000" w:sz="4" w:space="0"/>
            </w:tcBorders>
            <w:vAlign w:val="center"/>
          </w:tcPr>
          <w:p w14:paraId="37D627B1">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1293" w:type="dxa"/>
            <w:tcBorders>
              <w:top w:val="single" w:color="000000" w:sz="4" w:space="0"/>
              <w:left w:val="nil"/>
              <w:bottom w:val="single" w:color="000000" w:sz="4" w:space="0"/>
              <w:right w:val="single" w:color="000000" w:sz="4" w:space="0"/>
            </w:tcBorders>
            <w:vAlign w:val="center"/>
          </w:tcPr>
          <w:p w14:paraId="59244DF0">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2359" w:type="dxa"/>
            <w:gridSpan w:val="2"/>
            <w:tcBorders>
              <w:top w:val="single" w:color="000000" w:sz="4" w:space="0"/>
              <w:left w:val="nil"/>
              <w:bottom w:val="single" w:color="000000" w:sz="4" w:space="0"/>
              <w:right w:val="single" w:color="000000" w:sz="4" w:space="0"/>
            </w:tcBorders>
            <w:vAlign w:val="center"/>
          </w:tcPr>
          <w:p w14:paraId="0FA1CC73">
            <w:pPr>
              <w:autoSpaceDE w:val="0"/>
              <w:autoSpaceDN w:val="0"/>
              <w:adjustRightInd w:val="0"/>
              <w:snapToGrid w:val="0"/>
              <w:spacing w:line="360" w:lineRule="auto"/>
              <w:ind w:firstLine="59" w:firstLineChars="28"/>
              <w:jc w:val="center"/>
              <w:rPr>
                <w:rFonts w:ascii="宋体" w:hAnsi="宋体"/>
                <w:spacing w:val="1"/>
                <w:kern w:val="0"/>
                <w:szCs w:val="21"/>
              </w:rPr>
            </w:pPr>
          </w:p>
        </w:tc>
      </w:tr>
      <w:tr w14:paraId="33A412C1">
        <w:tblPrEx>
          <w:tblCellMar>
            <w:top w:w="0" w:type="dxa"/>
            <w:left w:w="0" w:type="dxa"/>
            <w:bottom w:w="0" w:type="dxa"/>
            <w:right w:w="0" w:type="dxa"/>
          </w:tblCellMar>
        </w:tblPrEx>
        <w:trPr>
          <w:trHeight w:val="903" w:hRule="atLeast"/>
        </w:trPr>
        <w:tc>
          <w:tcPr>
            <w:tcW w:w="1807" w:type="dxa"/>
            <w:gridSpan w:val="2"/>
            <w:tcBorders>
              <w:top w:val="single" w:color="000000" w:sz="4" w:space="0"/>
              <w:left w:val="single" w:color="000000" w:sz="4" w:space="0"/>
              <w:bottom w:val="single" w:color="000000" w:sz="4" w:space="0"/>
              <w:right w:val="single" w:color="000000" w:sz="4" w:space="0"/>
            </w:tcBorders>
            <w:vAlign w:val="center"/>
          </w:tcPr>
          <w:p w14:paraId="445E029C">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3509" w:type="dxa"/>
            <w:gridSpan w:val="4"/>
            <w:tcBorders>
              <w:top w:val="single" w:color="000000" w:sz="4" w:space="0"/>
              <w:left w:val="nil"/>
              <w:bottom w:val="single" w:color="000000" w:sz="4" w:space="0"/>
              <w:right w:val="single" w:color="000000" w:sz="4" w:space="0"/>
            </w:tcBorders>
            <w:vAlign w:val="center"/>
          </w:tcPr>
          <w:p w14:paraId="00E7CB1B">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1293" w:type="dxa"/>
            <w:tcBorders>
              <w:top w:val="single" w:color="000000" w:sz="4" w:space="0"/>
              <w:left w:val="nil"/>
              <w:bottom w:val="single" w:color="000000" w:sz="4" w:space="0"/>
              <w:right w:val="single" w:color="000000" w:sz="4" w:space="0"/>
            </w:tcBorders>
            <w:vAlign w:val="center"/>
          </w:tcPr>
          <w:p w14:paraId="3C7917B7">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2359" w:type="dxa"/>
            <w:gridSpan w:val="2"/>
            <w:tcBorders>
              <w:top w:val="single" w:color="000000" w:sz="4" w:space="0"/>
              <w:left w:val="nil"/>
              <w:bottom w:val="single" w:color="000000" w:sz="4" w:space="0"/>
              <w:right w:val="single" w:color="000000" w:sz="4" w:space="0"/>
            </w:tcBorders>
            <w:vAlign w:val="center"/>
          </w:tcPr>
          <w:p w14:paraId="5F4EA560">
            <w:pPr>
              <w:autoSpaceDE w:val="0"/>
              <w:autoSpaceDN w:val="0"/>
              <w:adjustRightInd w:val="0"/>
              <w:snapToGrid w:val="0"/>
              <w:spacing w:line="360" w:lineRule="auto"/>
              <w:ind w:firstLine="59" w:firstLineChars="28"/>
              <w:jc w:val="center"/>
              <w:rPr>
                <w:rFonts w:ascii="宋体" w:hAnsi="宋体"/>
                <w:spacing w:val="1"/>
                <w:kern w:val="0"/>
                <w:szCs w:val="21"/>
              </w:rPr>
            </w:pPr>
          </w:p>
        </w:tc>
      </w:tr>
      <w:tr w14:paraId="412DA6B8">
        <w:tblPrEx>
          <w:tblCellMar>
            <w:top w:w="0" w:type="dxa"/>
            <w:left w:w="0" w:type="dxa"/>
            <w:bottom w:w="0" w:type="dxa"/>
            <w:right w:w="0" w:type="dxa"/>
          </w:tblCellMar>
        </w:tblPrEx>
        <w:trPr>
          <w:trHeight w:val="903" w:hRule="atLeast"/>
        </w:trPr>
        <w:tc>
          <w:tcPr>
            <w:tcW w:w="1807" w:type="dxa"/>
            <w:gridSpan w:val="2"/>
            <w:tcBorders>
              <w:top w:val="single" w:color="000000" w:sz="4" w:space="0"/>
              <w:left w:val="single" w:color="000000" w:sz="4" w:space="0"/>
              <w:bottom w:val="single" w:color="000000" w:sz="4" w:space="0"/>
              <w:right w:val="single" w:color="000000" w:sz="4" w:space="0"/>
            </w:tcBorders>
            <w:vAlign w:val="center"/>
          </w:tcPr>
          <w:p w14:paraId="33DE284F">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3509" w:type="dxa"/>
            <w:gridSpan w:val="4"/>
            <w:tcBorders>
              <w:top w:val="single" w:color="000000" w:sz="4" w:space="0"/>
              <w:left w:val="nil"/>
              <w:bottom w:val="single" w:color="000000" w:sz="4" w:space="0"/>
              <w:right w:val="single" w:color="000000" w:sz="4" w:space="0"/>
            </w:tcBorders>
            <w:vAlign w:val="center"/>
          </w:tcPr>
          <w:p w14:paraId="369D34FF">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1293" w:type="dxa"/>
            <w:tcBorders>
              <w:top w:val="single" w:color="000000" w:sz="4" w:space="0"/>
              <w:left w:val="nil"/>
              <w:bottom w:val="single" w:color="000000" w:sz="4" w:space="0"/>
              <w:right w:val="single" w:color="000000" w:sz="4" w:space="0"/>
            </w:tcBorders>
            <w:vAlign w:val="center"/>
          </w:tcPr>
          <w:p w14:paraId="03610D08">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2359" w:type="dxa"/>
            <w:gridSpan w:val="2"/>
            <w:tcBorders>
              <w:top w:val="single" w:color="000000" w:sz="4" w:space="0"/>
              <w:left w:val="nil"/>
              <w:bottom w:val="single" w:color="000000" w:sz="4" w:space="0"/>
              <w:right w:val="single" w:color="000000" w:sz="4" w:space="0"/>
            </w:tcBorders>
            <w:vAlign w:val="center"/>
          </w:tcPr>
          <w:p w14:paraId="366A5941">
            <w:pPr>
              <w:autoSpaceDE w:val="0"/>
              <w:autoSpaceDN w:val="0"/>
              <w:adjustRightInd w:val="0"/>
              <w:snapToGrid w:val="0"/>
              <w:spacing w:line="360" w:lineRule="auto"/>
              <w:ind w:firstLine="59" w:firstLineChars="28"/>
              <w:jc w:val="center"/>
              <w:rPr>
                <w:rFonts w:ascii="宋体" w:hAnsi="宋体"/>
                <w:spacing w:val="1"/>
                <w:kern w:val="0"/>
                <w:szCs w:val="21"/>
              </w:rPr>
            </w:pPr>
          </w:p>
        </w:tc>
      </w:tr>
      <w:tr w14:paraId="57E2F869">
        <w:tblPrEx>
          <w:tblCellMar>
            <w:top w:w="0" w:type="dxa"/>
            <w:left w:w="0" w:type="dxa"/>
            <w:bottom w:w="0" w:type="dxa"/>
            <w:right w:w="0" w:type="dxa"/>
          </w:tblCellMar>
        </w:tblPrEx>
        <w:trPr>
          <w:trHeight w:val="903" w:hRule="atLeast"/>
        </w:trPr>
        <w:tc>
          <w:tcPr>
            <w:tcW w:w="1807" w:type="dxa"/>
            <w:gridSpan w:val="2"/>
            <w:tcBorders>
              <w:top w:val="single" w:color="000000" w:sz="4" w:space="0"/>
              <w:left w:val="single" w:color="000000" w:sz="4" w:space="0"/>
              <w:bottom w:val="single" w:color="000000" w:sz="4" w:space="0"/>
              <w:right w:val="single" w:color="000000" w:sz="4" w:space="0"/>
            </w:tcBorders>
            <w:vAlign w:val="center"/>
          </w:tcPr>
          <w:p w14:paraId="675EC80E">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3509" w:type="dxa"/>
            <w:gridSpan w:val="4"/>
            <w:tcBorders>
              <w:top w:val="single" w:color="000000" w:sz="4" w:space="0"/>
              <w:left w:val="nil"/>
              <w:bottom w:val="single" w:color="000000" w:sz="4" w:space="0"/>
              <w:right w:val="single" w:color="000000" w:sz="4" w:space="0"/>
            </w:tcBorders>
            <w:vAlign w:val="center"/>
          </w:tcPr>
          <w:p w14:paraId="3AC3BC9E">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1293" w:type="dxa"/>
            <w:tcBorders>
              <w:top w:val="single" w:color="000000" w:sz="4" w:space="0"/>
              <w:left w:val="nil"/>
              <w:bottom w:val="single" w:color="000000" w:sz="4" w:space="0"/>
              <w:right w:val="single" w:color="000000" w:sz="4" w:space="0"/>
            </w:tcBorders>
            <w:vAlign w:val="center"/>
          </w:tcPr>
          <w:p w14:paraId="71BDE8D3">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2359" w:type="dxa"/>
            <w:gridSpan w:val="2"/>
            <w:tcBorders>
              <w:top w:val="single" w:color="000000" w:sz="4" w:space="0"/>
              <w:left w:val="nil"/>
              <w:bottom w:val="single" w:color="000000" w:sz="4" w:space="0"/>
              <w:right w:val="single" w:color="000000" w:sz="4" w:space="0"/>
            </w:tcBorders>
            <w:vAlign w:val="center"/>
          </w:tcPr>
          <w:p w14:paraId="378D637E">
            <w:pPr>
              <w:autoSpaceDE w:val="0"/>
              <w:autoSpaceDN w:val="0"/>
              <w:adjustRightInd w:val="0"/>
              <w:snapToGrid w:val="0"/>
              <w:spacing w:line="360" w:lineRule="auto"/>
              <w:ind w:firstLine="59" w:firstLineChars="28"/>
              <w:jc w:val="center"/>
              <w:rPr>
                <w:rFonts w:ascii="宋体" w:hAnsi="宋体"/>
                <w:spacing w:val="1"/>
                <w:kern w:val="0"/>
                <w:szCs w:val="21"/>
              </w:rPr>
            </w:pPr>
          </w:p>
        </w:tc>
      </w:tr>
      <w:tr w14:paraId="2AC966EA">
        <w:tblPrEx>
          <w:tblCellMar>
            <w:top w:w="0" w:type="dxa"/>
            <w:left w:w="0" w:type="dxa"/>
            <w:bottom w:w="0" w:type="dxa"/>
            <w:right w:w="0" w:type="dxa"/>
          </w:tblCellMar>
        </w:tblPrEx>
        <w:trPr>
          <w:trHeight w:val="903" w:hRule="atLeast"/>
        </w:trPr>
        <w:tc>
          <w:tcPr>
            <w:tcW w:w="1807" w:type="dxa"/>
            <w:gridSpan w:val="2"/>
            <w:tcBorders>
              <w:top w:val="single" w:color="000000" w:sz="4" w:space="0"/>
              <w:left w:val="single" w:color="000000" w:sz="4" w:space="0"/>
              <w:bottom w:val="single" w:color="000000" w:sz="4" w:space="0"/>
              <w:right w:val="single" w:color="000000" w:sz="4" w:space="0"/>
            </w:tcBorders>
            <w:vAlign w:val="center"/>
          </w:tcPr>
          <w:p w14:paraId="22F611E0">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3509" w:type="dxa"/>
            <w:gridSpan w:val="4"/>
            <w:tcBorders>
              <w:top w:val="single" w:color="000000" w:sz="4" w:space="0"/>
              <w:left w:val="nil"/>
              <w:bottom w:val="single" w:color="000000" w:sz="4" w:space="0"/>
              <w:right w:val="single" w:color="000000" w:sz="4" w:space="0"/>
            </w:tcBorders>
            <w:vAlign w:val="center"/>
          </w:tcPr>
          <w:p w14:paraId="4E492057">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1293" w:type="dxa"/>
            <w:tcBorders>
              <w:top w:val="single" w:color="000000" w:sz="4" w:space="0"/>
              <w:left w:val="nil"/>
              <w:bottom w:val="single" w:color="000000" w:sz="4" w:space="0"/>
              <w:right w:val="single" w:color="000000" w:sz="4" w:space="0"/>
            </w:tcBorders>
            <w:vAlign w:val="center"/>
          </w:tcPr>
          <w:p w14:paraId="1FEFF9F0">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2359" w:type="dxa"/>
            <w:gridSpan w:val="2"/>
            <w:tcBorders>
              <w:top w:val="single" w:color="000000" w:sz="4" w:space="0"/>
              <w:left w:val="nil"/>
              <w:bottom w:val="single" w:color="000000" w:sz="4" w:space="0"/>
              <w:right w:val="single" w:color="000000" w:sz="4" w:space="0"/>
            </w:tcBorders>
            <w:vAlign w:val="center"/>
          </w:tcPr>
          <w:p w14:paraId="20DC01FB">
            <w:pPr>
              <w:autoSpaceDE w:val="0"/>
              <w:autoSpaceDN w:val="0"/>
              <w:adjustRightInd w:val="0"/>
              <w:snapToGrid w:val="0"/>
              <w:spacing w:line="360" w:lineRule="auto"/>
              <w:ind w:firstLine="59" w:firstLineChars="28"/>
              <w:jc w:val="center"/>
              <w:rPr>
                <w:rFonts w:ascii="宋体" w:hAnsi="宋体"/>
                <w:spacing w:val="1"/>
                <w:kern w:val="0"/>
                <w:szCs w:val="21"/>
              </w:rPr>
            </w:pPr>
          </w:p>
        </w:tc>
      </w:tr>
      <w:tr w14:paraId="2441A8AB">
        <w:tblPrEx>
          <w:tblCellMar>
            <w:top w:w="0" w:type="dxa"/>
            <w:left w:w="0" w:type="dxa"/>
            <w:bottom w:w="0" w:type="dxa"/>
            <w:right w:w="0" w:type="dxa"/>
          </w:tblCellMar>
        </w:tblPrEx>
        <w:trPr>
          <w:trHeight w:val="903" w:hRule="atLeast"/>
        </w:trPr>
        <w:tc>
          <w:tcPr>
            <w:tcW w:w="1807" w:type="dxa"/>
            <w:gridSpan w:val="2"/>
            <w:tcBorders>
              <w:top w:val="single" w:color="000000" w:sz="4" w:space="0"/>
              <w:left w:val="single" w:color="000000" w:sz="4" w:space="0"/>
              <w:bottom w:val="single" w:color="000000" w:sz="4" w:space="0"/>
              <w:right w:val="single" w:color="000000" w:sz="4" w:space="0"/>
            </w:tcBorders>
            <w:vAlign w:val="center"/>
          </w:tcPr>
          <w:p w14:paraId="4DA92BC7">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3509" w:type="dxa"/>
            <w:gridSpan w:val="4"/>
            <w:tcBorders>
              <w:top w:val="single" w:color="000000" w:sz="4" w:space="0"/>
              <w:left w:val="nil"/>
              <w:bottom w:val="single" w:color="000000" w:sz="4" w:space="0"/>
              <w:right w:val="single" w:color="000000" w:sz="4" w:space="0"/>
            </w:tcBorders>
            <w:vAlign w:val="center"/>
          </w:tcPr>
          <w:p w14:paraId="4C59AB07">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1293" w:type="dxa"/>
            <w:tcBorders>
              <w:top w:val="single" w:color="000000" w:sz="4" w:space="0"/>
              <w:left w:val="nil"/>
              <w:bottom w:val="single" w:color="000000" w:sz="4" w:space="0"/>
              <w:right w:val="single" w:color="000000" w:sz="4" w:space="0"/>
            </w:tcBorders>
            <w:vAlign w:val="center"/>
          </w:tcPr>
          <w:p w14:paraId="306461F7">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2359" w:type="dxa"/>
            <w:gridSpan w:val="2"/>
            <w:tcBorders>
              <w:top w:val="single" w:color="000000" w:sz="4" w:space="0"/>
              <w:left w:val="nil"/>
              <w:bottom w:val="single" w:color="000000" w:sz="4" w:space="0"/>
              <w:right w:val="single" w:color="000000" w:sz="4" w:space="0"/>
            </w:tcBorders>
            <w:vAlign w:val="center"/>
          </w:tcPr>
          <w:p w14:paraId="7F217295">
            <w:pPr>
              <w:autoSpaceDE w:val="0"/>
              <w:autoSpaceDN w:val="0"/>
              <w:adjustRightInd w:val="0"/>
              <w:snapToGrid w:val="0"/>
              <w:spacing w:line="360" w:lineRule="auto"/>
              <w:ind w:firstLine="59" w:firstLineChars="28"/>
              <w:jc w:val="center"/>
              <w:rPr>
                <w:rFonts w:ascii="宋体" w:hAnsi="宋体"/>
                <w:spacing w:val="1"/>
                <w:kern w:val="0"/>
                <w:szCs w:val="21"/>
              </w:rPr>
            </w:pPr>
          </w:p>
        </w:tc>
      </w:tr>
      <w:tr w14:paraId="6EC63F5C">
        <w:tblPrEx>
          <w:tblCellMar>
            <w:top w:w="0" w:type="dxa"/>
            <w:left w:w="0" w:type="dxa"/>
            <w:bottom w:w="0" w:type="dxa"/>
            <w:right w:w="0" w:type="dxa"/>
          </w:tblCellMar>
        </w:tblPrEx>
        <w:trPr>
          <w:trHeight w:val="903" w:hRule="atLeast"/>
        </w:trPr>
        <w:tc>
          <w:tcPr>
            <w:tcW w:w="1807" w:type="dxa"/>
            <w:gridSpan w:val="2"/>
            <w:tcBorders>
              <w:top w:val="single" w:color="000000" w:sz="4" w:space="0"/>
              <w:left w:val="single" w:color="000000" w:sz="4" w:space="0"/>
              <w:bottom w:val="single" w:color="000000" w:sz="4" w:space="0"/>
              <w:right w:val="single" w:color="000000" w:sz="4" w:space="0"/>
            </w:tcBorders>
            <w:vAlign w:val="center"/>
          </w:tcPr>
          <w:p w14:paraId="71EC17BE">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3509" w:type="dxa"/>
            <w:gridSpan w:val="4"/>
            <w:tcBorders>
              <w:top w:val="single" w:color="000000" w:sz="4" w:space="0"/>
              <w:left w:val="nil"/>
              <w:bottom w:val="single" w:color="000000" w:sz="4" w:space="0"/>
              <w:right w:val="single" w:color="000000" w:sz="4" w:space="0"/>
            </w:tcBorders>
            <w:vAlign w:val="center"/>
          </w:tcPr>
          <w:p w14:paraId="1E6A4522">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1293" w:type="dxa"/>
            <w:tcBorders>
              <w:top w:val="single" w:color="000000" w:sz="4" w:space="0"/>
              <w:left w:val="nil"/>
              <w:bottom w:val="single" w:color="000000" w:sz="4" w:space="0"/>
              <w:right w:val="single" w:color="000000" w:sz="4" w:space="0"/>
            </w:tcBorders>
            <w:vAlign w:val="center"/>
          </w:tcPr>
          <w:p w14:paraId="498025AF">
            <w:pPr>
              <w:autoSpaceDE w:val="0"/>
              <w:autoSpaceDN w:val="0"/>
              <w:adjustRightInd w:val="0"/>
              <w:snapToGrid w:val="0"/>
              <w:spacing w:line="360" w:lineRule="auto"/>
              <w:ind w:firstLine="59" w:firstLineChars="28"/>
              <w:jc w:val="center"/>
              <w:rPr>
                <w:rFonts w:ascii="宋体" w:hAnsi="宋体"/>
                <w:spacing w:val="1"/>
                <w:kern w:val="0"/>
                <w:szCs w:val="21"/>
              </w:rPr>
            </w:pPr>
          </w:p>
        </w:tc>
        <w:tc>
          <w:tcPr>
            <w:tcW w:w="2359" w:type="dxa"/>
            <w:gridSpan w:val="2"/>
            <w:tcBorders>
              <w:top w:val="single" w:color="000000" w:sz="4" w:space="0"/>
              <w:left w:val="nil"/>
              <w:bottom w:val="single" w:color="000000" w:sz="4" w:space="0"/>
              <w:right w:val="single" w:color="000000" w:sz="4" w:space="0"/>
            </w:tcBorders>
            <w:vAlign w:val="center"/>
          </w:tcPr>
          <w:p w14:paraId="1C682DAE">
            <w:pPr>
              <w:autoSpaceDE w:val="0"/>
              <w:autoSpaceDN w:val="0"/>
              <w:adjustRightInd w:val="0"/>
              <w:snapToGrid w:val="0"/>
              <w:spacing w:line="360" w:lineRule="auto"/>
              <w:ind w:firstLine="59" w:firstLineChars="28"/>
              <w:jc w:val="center"/>
              <w:rPr>
                <w:rFonts w:ascii="宋体" w:hAnsi="宋体"/>
                <w:spacing w:val="1"/>
                <w:kern w:val="0"/>
                <w:szCs w:val="21"/>
              </w:rPr>
            </w:pPr>
          </w:p>
        </w:tc>
      </w:tr>
    </w:tbl>
    <w:p w14:paraId="2BED1A33">
      <w:pPr>
        <w:rPr>
          <w:b/>
          <w:bCs/>
          <w:color w:val="000000"/>
          <w:sz w:val="32"/>
          <w:szCs w:val="32"/>
        </w:rPr>
      </w:pPr>
    </w:p>
    <w:p w14:paraId="274B4CD6">
      <w:pPr>
        <w:rPr>
          <w:b/>
          <w:bCs/>
          <w:color w:val="000000"/>
          <w:sz w:val="32"/>
          <w:szCs w:val="32"/>
        </w:rPr>
      </w:pPr>
      <w:r>
        <w:rPr>
          <w:rFonts w:hint="eastAsia"/>
          <w:b/>
          <w:bCs/>
          <w:color w:val="000000"/>
          <w:sz w:val="32"/>
          <w:szCs w:val="32"/>
        </w:rPr>
        <w:br w:type="page"/>
      </w:r>
    </w:p>
    <w:p w14:paraId="08945D44">
      <w:pPr>
        <w:pStyle w:val="12"/>
        <w:spacing w:line="360" w:lineRule="auto"/>
        <w:jc w:val="center"/>
        <w:rPr>
          <w:b/>
          <w:bCs/>
          <w:color w:val="000000"/>
          <w:sz w:val="32"/>
          <w:szCs w:val="32"/>
        </w:rPr>
      </w:pPr>
      <w:r>
        <w:rPr>
          <w:rFonts w:hint="eastAsia"/>
          <w:b/>
          <w:bCs/>
          <w:color w:val="000000"/>
          <w:sz w:val="32"/>
          <w:szCs w:val="32"/>
          <w:lang w:val="en-US" w:eastAsia="zh-CN"/>
        </w:rPr>
        <w:t>十</w:t>
      </w:r>
      <w:r>
        <w:rPr>
          <w:rFonts w:hint="eastAsia"/>
          <w:b/>
          <w:bCs/>
          <w:color w:val="000000"/>
          <w:sz w:val="32"/>
          <w:szCs w:val="32"/>
        </w:rPr>
        <w:t>、</w:t>
      </w:r>
      <w:r>
        <w:rPr>
          <w:rFonts w:hint="eastAsia"/>
          <w:b/>
          <w:sz w:val="32"/>
          <w:szCs w:val="32"/>
        </w:rPr>
        <w:t>其他资料</w:t>
      </w:r>
    </w:p>
    <w:p w14:paraId="4B47FD98">
      <w:pPr>
        <w:pStyle w:val="12"/>
        <w:spacing w:line="360" w:lineRule="auto"/>
        <w:jc w:val="center"/>
        <w:rPr>
          <w:b/>
          <w:bCs/>
          <w:color w:val="000000"/>
          <w:sz w:val="32"/>
          <w:szCs w:val="32"/>
        </w:rPr>
      </w:pPr>
    </w:p>
    <w:p w14:paraId="3672E242">
      <w:pPr>
        <w:pStyle w:val="12"/>
        <w:spacing w:line="360" w:lineRule="auto"/>
        <w:jc w:val="center"/>
        <w:rPr>
          <w:b/>
          <w:bCs/>
          <w:color w:val="000000"/>
          <w:sz w:val="32"/>
          <w:szCs w:val="32"/>
        </w:rPr>
      </w:pPr>
    </w:p>
    <w:p w14:paraId="27974339">
      <w:pPr>
        <w:pStyle w:val="12"/>
        <w:spacing w:line="360" w:lineRule="auto"/>
        <w:jc w:val="center"/>
        <w:rPr>
          <w:b/>
          <w:bCs/>
          <w:color w:val="000000"/>
          <w:sz w:val="32"/>
          <w:szCs w:val="32"/>
        </w:rPr>
      </w:pPr>
    </w:p>
    <w:p w14:paraId="0D06BA37">
      <w:pPr>
        <w:pStyle w:val="12"/>
        <w:spacing w:line="360" w:lineRule="auto"/>
        <w:jc w:val="center"/>
        <w:rPr>
          <w:b/>
          <w:bCs/>
          <w:color w:val="000000"/>
          <w:sz w:val="32"/>
          <w:szCs w:val="32"/>
        </w:rPr>
      </w:pPr>
    </w:p>
    <w:p w14:paraId="01729E93">
      <w:pPr>
        <w:pStyle w:val="12"/>
        <w:spacing w:line="360" w:lineRule="auto"/>
        <w:jc w:val="center"/>
        <w:rPr>
          <w:b/>
          <w:bCs/>
          <w:color w:val="000000"/>
          <w:sz w:val="32"/>
          <w:szCs w:val="32"/>
        </w:rPr>
      </w:pPr>
    </w:p>
    <w:p w14:paraId="2AF833BD">
      <w:pPr>
        <w:pStyle w:val="12"/>
        <w:spacing w:line="360" w:lineRule="auto"/>
        <w:jc w:val="center"/>
        <w:rPr>
          <w:b/>
          <w:bCs/>
          <w:color w:val="000000"/>
          <w:sz w:val="32"/>
          <w:szCs w:val="32"/>
        </w:rPr>
      </w:pPr>
    </w:p>
    <w:p w14:paraId="4A17CD0C">
      <w:pPr>
        <w:pStyle w:val="12"/>
        <w:spacing w:line="360" w:lineRule="auto"/>
        <w:jc w:val="center"/>
        <w:rPr>
          <w:b/>
          <w:bCs/>
          <w:color w:val="000000"/>
          <w:sz w:val="32"/>
          <w:szCs w:val="32"/>
        </w:rPr>
      </w:pPr>
    </w:p>
    <w:p w14:paraId="525D044A">
      <w:pPr>
        <w:pStyle w:val="12"/>
        <w:spacing w:line="360" w:lineRule="auto"/>
        <w:jc w:val="center"/>
        <w:rPr>
          <w:b/>
          <w:bCs/>
          <w:color w:val="000000"/>
          <w:sz w:val="32"/>
          <w:szCs w:val="32"/>
        </w:rPr>
      </w:pPr>
    </w:p>
    <w:p w14:paraId="6EAD5B17">
      <w:pPr>
        <w:pStyle w:val="12"/>
        <w:spacing w:line="360" w:lineRule="auto"/>
        <w:jc w:val="center"/>
        <w:rPr>
          <w:b/>
          <w:bCs/>
          <w:color w:val="000000"/>
          <w:sz w:val="32"/>
          <w:szCs w:val="32"/>
        </w:rPr>
      </w:pPr>
    </w:p>
    <w:p w14:paraId="091DCA97">
      <w:pPr>
        <w:pStyle w:val="12"/>
        <w:spacing w:line="360" w:lineRule="auto"/>
        <w:jc w:val="center"/>
        <w:rPr>
          <w:b/>
          <w:bCs/>
          <w:color w:val="000000"/>
          <w:sz w:val="32"/>
          <w:szCs w:val="32"/>
        </w:rPr>
      </w:pPr>
    </w:p>
    <w:p w14:paraId="146D1A04">
      <w:pPr>
        <w:pStyle w:val="12"/>
        <w:spacing w:line="360" w:lineRule="auto"/>
        <w:jc w:val="center"/>
        <w:rPr>
          <w:b/>
          <w:bCs/>
          <w:color w:val="000000"/>
          <w:sz w:val="32"/>
          <w:szCs w:val="32"/>
        </w:rPr>
      </w:pPr>
    </w:p>
    <w:p w14:paraId="6716F9E9">
      <w:pPr>
        <w:spacing w:line="360" w:lineRule="auto"/>
      </w:pPr>
    </w:p>
    <w:p w14:paraId="7BF3B689"/>
    <w:sectPr>
      <w:footerReference r:id="rId5" w:type="default"/>
      <w:pgSz w:w="11906" w:h="16838"/>
      <w:pgMar w:top="1383" w:right="1514" w:bottom="1383" w:left="151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01A35">
    <w:pPr>
      <w:pStyle w:val="10"/>
      <w:jc w:val="center"/>
    </w:pPr>
    <w:r>
      <w:fldChar w:fldCharType="begin"/>
    </w:r>
    <w:r>
      <w:instrText xml:space="preserve"> PAGE   \* MERGEFORMAT </w:instrText>
    </w:r>
    <w:r>
      <w:fldChar w:fldCharType="separate"/>
    </w:r>
    <w:r>
      <w:rPr>
        <w:lang w:val="zh-CN"/>
      </w:rPr>
      <w:t>31</w:t>
    </w:r>
    <w:r>
      <w:rPr>
        <w:lang w:val="zh-CN"/>
      </w:rPr>
      <w:fldChar w:fldCharType="end"/>
    </w:r>
  </w:p>
  <w:p w14:paraId="549FD6F2">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E7D25">
    <w:pPr>
      <w:pStyle w:val="10"/>
      <w:jc w:val="center"/>
    </w:pPr>
    <w:r>
      <w:fldChar w:fldCharType="begin"/>
    </w:r>
    <w:r>
      <w:instrText xml:space="preserve">PAGE   \* MERGEFORMAT</w:instrText>
    </w:r>
    <w:r>
      <w:fldChar w:fldCharType="separate"/>
    </w:r>
    <w:r>
      <w:rPr>
        <w:lang w:val="zh-CN"/>
      </w:rPr>
      <w:t>38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C6E0D">
    <w:pPr>
      <w:pStyle w:val="10"/>
      <w:jc w:val="center"/>
    </w:pPr>
    <w:r>
      <w:fldChar w:fldCharType="begin"/>
    </w:r>
    <w:r>
      <w:instrText xml:space="preserve">PAGE   \* MERGEFORMAT</w:instrText>
    </w:r>
    <w:r>
      <w:fldChar w:fldCharType="separate"/>
    </w:r>
    <w:r>
      <w:rPr>
        <w:lang w:val="zh-CN"/>
      </w:rPr>
      <w:t>43</w:t>
    </w:r>
    <w:r>
      <w:fldChar w:fldCharType="end"/>
    </w:r>
  </w:p>
  <w:p w14:paraId="2BDEF875">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67659F"/>
    <w:multiLevelType w:val="multilevel"/>
    <w:tmpl w:val="1067659F"/>
    <w:lvl w:ilvl="0" w:tentative="0">
      <w:start w:val="5"/>
      <w:numFmt w:val="decimal"/>
      <w:lvlText w:val="%1"/>
      <w:lvlJc w:val="left"/>
      <w:pPr>
        <w:ind w:left="1000" w:hanging="420"/>
      </w:pPr>
      <w:rPr>
        <w:rFonts w:hint="default"/>
      </w:rPr>
    </w:lvl>
    <w:lvl w:ilvl="1" w:tentative="0">
      <w:start w:val="1"/>
      <w:numFmt w:val="decimal"/>
      <w:lvlText w:val="%1.%2"/>
      <w:lvlJc w:val="left"/>
      <w:pPr>
        <w:ind w:left="1000" w:hanging="420"/>
      </w:pPr>
      <w:rPr>
        <w:rFonts w:hint="default" w:ascii="仿宋" w:hAnsi="仿宋" w:eastAsia="仿宋" w:cs="仿宋"/>
        <w:w w:val="100"/>
        <w:sz w:val="24"/>
        <w:szCs w:val="24"/>
      </w:rPr>
    </w:lvl>
    <w:lvl w:ilvl="2" w:tentative="0">
      <w:start w:val="0"/>
      <w:numFmt w:val="bullet"/>
      <w:lvlText w:val="•"/>
      <w:lvlJc w:val="left"/>
      <w:pPr>
        <w:ind w:left="2796" w:hanging="420"/>
      </w:pPr>
      <w:rPr>
        <w:rFonts w:hint="default"/>
      </w:rPr>
    </w:lvl>
    <w:lvl w:ilvl="3" w:tentative="0">
      <w:start w:val="0"/>
      <w:numFmt w:val="bullet"/>
      <w:lvlText w:val="•"/>
      <w:lvlJc w:val="left"/>
      <w:pPr>
        <w:ind w:left="3694" w:hanging="420"/>
      </w:pPr>
      <w:rPr>
        <w:rFonts w:hint="default"/>
      </w:rPr>
    </w:lvl>
    <w:lvl w:ilvl="4" w:tentative="0">
      <w:start w:val="0"/>
      <w:numFmt w:val="bullet"/>
      <w:lvlText w:val="•"/>
      <w:lvlJc w:val="left"/>
      <w:pPr>
        <w:ind w:left="4592" w:hanging="420"/>
      </w:pPr>
      <w:rPr>
        <w:rFonts w:hint="default"/>
      </w:rPr>
    </w:lvl>
    <w:lvl w:ilvl="5" w:tentative="0">
      <w:start w:val="0"/>
      <w:numFmt w:val="bullet"/>
      <w:lvlText w:val="•"/>
      <w:lvlJc w:val="left"/>
      <w:pPr>
        <w:ind w:left="5490" w:hanging="420"/>
      </w:pPr>
      <w:rPr>
        <w:rFonts w:hint="default"/>
      </w:rPr>
    </w:lvl>
    <w:lvl w:ilvl="6" w:tentative="0">
      <w:start w:val="0"/>
      <w:numFmt w:val="bullet"/>
      <w:lvlText w:val="•"/>
      <w:lvlJc w:val="left"/>
      <w:pPr>
        <w:ind w:left="6388" w:hanging="420"/>
      </w:pPr>
      <w:rPr>
        <w:rFonts w:hint="default"/>
      </w:rPr>
    </w:lvl>
    <w:lvl w:ilvl="7" w:tentative="0">
      <w:start w:val="0"/>
      <w:numFmt w:val="bullet"/>
      <w:lvlText w:val="•"/>
      <w:lvlJc w:val="left"/>
      <w:pPr>
        <w:ind w:left="7286" w:hanging="420"/>
      </w:pPr>
      <w:rPr>
        <w:rFonts w:hint="default"/>
      </w:rPr>
    </w:lvl>
    <w:lvl w:ilvl="8" w:tentative="0">
      <w:start w:val="0"/>
      <w:numFmt w:val="bullet"/>
      <w:lvlText w:val="•"/>
      <w:lvlJc w:val="left"/>
      <w:pPr>
        <w:ind w:left="8184" w:hanging="420"/>
      </w:pPr>
      <w:rPr>
        <w:rFonts w:hint="default"/>
      </w:rPr>
    </w:lvl>
  </w:abstractNum>
  <w:abstractNum w:abstractNumId="1">
    <w:nsid w:val="6D11B65A"/>
    <w:multiLevelType w:val="singleLevel"/>
    <w:tmpl w:val="6D11B65A"/>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FA1BA6"/>
    <w:rsid w:val="00014E91"/>
    <w:rsid w:val="000C501F"/>
    <w:rsid w:val="000E0A1F"/>
    <w:rsid w:val="001500FC"/>
    <w:rsid w:val="00164F60"/>
    <w:rsid w:val="001731B1"/>
    <w:rsid w:val="001869DC"/>
    <w:rsid w:val="001E3C63"/>
    <w:rsid w:val="00244A7C"/>
    <w:rsid w:val="002A7D7A"/>
    <w:rsid w:val="002E1A10"/>
    <w:rsid w:val="0038304B"/>
    <w:rsid w:val="003A5791"/>
    <w:rsid w:val="003A5D15"/>
    <w:rsid w:val="00494700"/>
    <w:rsid w:val="004D52CF"/>
    <w:rsid w:val="0050524C"/>
    <w:rsid w:val="00525DC5"/>
    <w:rsid w:val="005508EF"/>
    <w:rsid w:val="005F3A4A"/>
    <w:rsid w:val="0060699E"/>
    <w:rsid w:val="006079FB"/>
    <w:rsid w:val="0061208F"/>
    <w:rsid w:val="00660400"/>
    <w:rsid w:val="00713523"/>
    <w:rsid w:val="00754CFF"/>
    <w:rsid w:val="00790BAD"/>
    <w:rsid w:val="007B24AC"/>
    <w:rsid w:val="007B567D"/>
    <w:rsid w:val="00813978"/>
    <w:rsid w:val="00851FE9"/>
    <w:rsid w:val="008752E1"/>
    <w:rsid w:val="008D5B09"/>
    <w:rsid w:val="00965A79"/>
    <w:rsid w:val="00976C3D"/>
    <w:rsid w:val="009971F3"/>
    <w:rsid w:val="00A41986"/>
    <w:rsid w:val="00A433B2"/>
    <w:rsid w:val="00AB1934"/>
    <w:rsid w:val="00B31963"/>
    <w:rsid w:val="00B4140F"/>
    <w:rsid w:val="00B75B20"/>
    <w:rsid w:val="00B83BDF"/>
    <w:rsid w:val="00BA520F"/>
    <w:rsid w:val="00BD12CC"/>
    <w:rsid w:val="00C331B8"/>
    <w:rsid w:val="00C5045C"/>
    <w:rsid w:val="00C67829"/>
    <w:rsid w:val="00C96E70"/>
    <w:rsid w:val="00CF7184"/>
    <w:rsid w:val="00D2103B"/>
    <w:rsid w:val="00D23865"/>
    <w:rsid w:val="00E144FA"/>
    <w:rsid w:val="00EA1B85"/>
    <w:rsid w:val="00EF036D"/>
    <w:rsid w:val="00EF4023"/>
    <w:rsid w:val="00F0755E"/>
    <w:rsid w:val="00F172A2"/>
    <w:rsid w:val="00FF6A0A"/>
    <w:rsid w:val="02104022"/>
    <w:rsid w:val="04F94480"/>
    <w:rsid w:val="055C757F"/>
    <w:rsid w:val="06C913BB"/>
    <w:rsid w:val="07644A20"/>
    <w:rsid w:val="08E04023"/>
    <w:rsid w:val="0A456833"/>
    <w:rsid w:val="0AB9737B"/>
    <w:rsid w:val="0C216E2C"/>
    <w:rsid w:val="0C883FFA"/>
    <w:rsid w:val="0CBB0F34"/>
    <w:rsid w:val="0D315C80"/>
    <w:rsid w:val="0DB879BC"/>
    <w:rsid w:val="0E306947"/>
    <w:rsid w:val="0E620D70"/>
    <w:rsid w:val="10501A8E"/>
    <w:rsid w:val="117479FE"/>
    <w:rsid w:val="128E09D9"/>
    <w:rsid w:val="139C7F7D"/>
    <w:rsid w:val="14435ECB"/>
    <w:rsid w:val="145F3F5E"/>
    <w:rsid w:val="1588094F"/>
    <w:rsid w:val="158D340A"/>
    <w:rsid w:val="16A31AC8"/>
    <w:rsid w:val="193559DC"/>
    <w:rsid w:val="1B4D485A"/>
    <w:rsid w:val="1F185E6D"/>
    <w:rsid w:val="209F6845"/>
    <w:rsid w:val="2304158E"/>
    <w:rsid w:val="24996528"/>
    <w:rsid w:val="24C859F7"/>
    <w:rsid w:val="2762237B"/>
    <w:rsid w:val="278B7E3F"/>
    <w:rsid w:val="286E6AFD"/>
    <w:rsid w:val="2940493E"/>
    <w:rsid w:val="2A13795C"/>
    <w:rsid w:val="2A1C3D55"/>
    <w:rsid w:val="2CBE0107"/>
    <w:rsid w:val="2D9B0342"/>
    <w:rsid w:val="2E816C8A"/>
    <w:rsid w:val="30021E75"/>
    <w:rsid w:val="314D1797"/>
    <w:rsid w:val="33C21A72"/>
    <w:rsid w:val="35D65335"/>
    <w:rsid w:val="36E860CD"/>
    <w:rsid w:val="377075C9"/>
    <w:rsid w:val="382D2531"/>
    <w:rsid w:val="387E0FB5"/>
    <w:rsid w:val="39506AF0"/>
    <w:rsid w:val="3C1A19F1"/>
    <w:rsid w:val="3D40300B"/>
    <w:rsid w:val="3FDB29B2"/>
    <w:rsid w:val="40580367"/>
    <w:rsid w:val="40962C5C"/>
    <w:rsid w:val="44411F65"/>
    <w:rsid w:val="45777C5A"/>
    <w:rsid w:val="45B44292"/>
    <w:rsid w:val="465F393C"/>
    <w:rsid w:val="46DF3975"/>
    <w:rsid w:val="478D08F6"/>
    <w:rsid w:val="48317876"/>
    <w:rsid w:val="4A08695A"/>
    <w:rsid w:val="4A6E1F94"/>
    <w:rsid w:val="4BAB275C"/>
    <w:rsid w:val="4C48137E"/>
    <w:rsid w:val="4CF149F0"/>
    <w:rsid w:val="4D1D3E23"/>
    <w:rsid w:val="505F0812"/>
    <w:rsid w:val="53BD6AEA"/>
    <w:rsid w:val="553857AD"/>
    <w:rsid w:val="56356BF8"/>
    <w:rsid w:val="573D4215"/>
    <w:rsid w:val="57A777B2"/>
    <w:rsid w:val="597F2FE0"/>
    <w:rsid w:val="5991500E"/>
    <w:rsid w:val="59D61635"/>
    <w:rsid w:val="5BA021EF"/>
    <w:rsid w:val="5CC97269"/>
    <w:rsid w:val="5D121B72"/>
    <w:rsid w:val="5DAE4E3A"/>
    <w:rsid w:val="5DD75DE5"/>
    <w:rsid w:val="5DDF5EEB"/>
    <w:rsid w:val="5E127950"/>
    <w:rsid w:val="5E9320D0"/>
    <w:rsid w:val="60A46F91"/>
    <w:rsid w:val="610D760B"/>
    <w:rsid w:val="66264581"/>
    <w:rsid w:val="67252CD4"/>
    <w:rsid w:val="681C0B40"/>
    <w:rsid w:val="6B724E0D"/>
    <w:rsid w:val="6B736E08"/>
    <w:rsid w:val="6E001573"/>
    <w:rsid w:val="6F23376B"/>
    <w:rsid w:val="6FFD4EBE"/>
    <w:rsid w:val="738D6D41"/>
    <w:rsid w:val="73A40DCA"/>
    <w:rsid w:val="74181D1F"/>
    <w:rsid w:val="74DF6860"/>
    <w:rsid w:val="766B4DB6"/>
    <w:rsid w:val="77CA0A7C"/>
    <w:rsid w:val="77FA1BA6"/>
    <w:rsid w:val="79817A0B"/>
    <w:rsid w:val="7B3B7567"/>
    <w:rsid w:val="7B9A224D"/>
    <w:rsid w:val="7BAA5BC0"/>
    <w:rsid w:val="7C041E26"/>
    <w:rsid w:val="7D826093"/>
    <w:rsid w:val="7FEB7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45"/>
    <w:qFormat/>
    <w:uiPriority w:val="0"/>
    <w:pPr>
      <w:keepNext/>
      <w:keepLines/>
      <w:spacing w:before="260" w:after="260" w:line="416" w:lineRule="auto"/>
      <w:outlineLvl w:val="1"/>
    </w:pPr>
    <w:rPr>
      <w:rFonts w:ascii="Arial" w:hAnsi="Arial" w:eastAsia="黑体"/>
      <w:b/>
      <w:bCs/>
      <w:sz w:val="32"/>
      <w:szCs w:val="32"/>
    </w:rPr>
  </w:style>
  <w:style w:type="paragraph" w:styleId="3">
    <w:name w:val="heading 3"/>
    <w:basedOn w:val="1"/>
    <w:next w:val="1"/>
    <w:qFormat/>
    <w:uiPriority w:val="0"/>
    <w:pPr>
      <w:keepNext/>
      <w:keepLines/>
      <w:spacing w:before="260" w:after="260" w:line="415" w:lineRule="auto"/>
      <w:outlineLvl w:val="2"/>
    </w:pPr>
    <w:rPr>
      <w:b/>
      <w:kern w:val="0"/>
      <w:sz w:val="32"/>
      <w:szCs w:val="32"/>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4">
    <w:name w:val="Body Text"/>
    <w:basedOn w:val="1"/>
    <w:next w:val="5"/>
    <w:qFormat/>
    <w:uiPriority w:val="0"/>
    <w:pPr>
      <w:spacing w:line="480" w:lineRule="auto"/>
      <w:jc w:val="center"/>
    </w:pPr>
    <w:rPr>
      <w:rFonts w:ascii="宋体"/>
      <w:b/>
      <w:kern w:val="0"/>
      <w:sz w:val="72"/>
      <w:szCs w:val="20"/>
    </w:rPr>
  </w:style>
  <w:style w:type="paragraph" w:customStyle="1" w:styleId="5">
    <w:name w:val="Default"/>
    <w:next w:val="6"/>
    <w:qFormat/>
    <w:uiPriority w:val="0"/>
    <w:pPr>
      <w:spacing w:line="360" w:lineRule="auto"/>
    </w:pPr>
    <w:rPr>
      <w:rFonts w:ascii="宋体" w:hAnsi="宋体" w:eastAsia="宋体" w:cs="宋体"/>
      <w:kern w:val="2"/>
      <w:sz w:val="24"/>
      <w:szCs w:val="24"/>
      <w:lang w:val="en-US" w:eastAsia="zh-CN" w:bidi="ar-SA"/>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Body Text Indent"/>
    <w:basedOn w:val="1"/>
    <w:next w:val="8"/>
    <w:qFormat/>
    <w:uiPriority w:val="0"/>
    <w:pPr>
      <w:spacing w:line="360" w:lineRule="auto"/>
      <w:ind w:firstLine="482" w:firstLineChars="100"/>
      <w:jc w:val="center"/>
    </w:pPr>
    <w:rPr>
      <w:rFonts w:ascii="黑体" w:eastAsia="黑体"/>
      <w:b/>
      <w:sz w:val="48"/>
      <w:szCs w:val="28"/>
    </w:rPr>
  </w:style>
  <w:style w:type="paragraph" w:styleId="8">
    <w:name w:val="Body Text First Indent 2"/>
    <w:basedOn w:val="7"/>
    <w:next w:val="9"/>
    <w:qFormat/>
    <w:uiPriority w:val="0"/>
    <w:pPr>
      <w:widowControl/>
      <w:spacing w:after="120"/>
      <w:ind w:left="420" w:leftChars="200" w:firstLine="420" w:firstLineChars="200"/>
    </w:pPr>
    <w:rPr>
      <w:b w:val="0"/>
      <w:sz w:val="21"/>
      <w:szCs w:val="21"/>
    </w:rPr>
  </w:style>
  <w:style w:type="paragraph" w:customStyle="1" w:styleId="9">
    <w:name w:val="样式 正文首行缩进 2 + Arial"/>
    <w:basedOn w:val="1"/>
    <w:next w:val="1"/>
    <w:qFormat/>
    <w:uiPriority w:val="0"/>
    <w:pPr>
      <w:spacing w:after="120" w:line="320" w:lineRule="atLeast"/>
      <w:ind w:firstLine="200" w:firstLineChars="200"/>
    </w:pPr>
    <w:rPr>
      <w:rFonts w:ascii="Arial" w:hAnsi="Arial"/>
    </w:rPr>
  </w:style>
  <w:style w:type="paragraph" w:styleId="10">
    <w:name w:val="footer"/>
    <w:basedOn w:val="1"/>
    <w:qFormat/>
    <w:uiPriority w:val="0"/>
    <w:pPr>
      <w:tabs>
        <w:tab w:val="center" w:pos="4153"/>
        <w:tab w:val="right" w:pos="8306"/>
      </w:tabs>
      <w:snapToGrid w:val="0"/>
      <w:jc w:val="left"/>
    </w:pPr>
    <w:rPr>
      <w:rFonts w:ascii="Calibri" w:hAnsi="Calibri"/>
      <w:kern w:val="0"/>
      <w:sz w:val="18"/>
      <w:szCs w:val="18"/>
    </w:rPr>
  </w:style>
  <w:style w:type="paragraph" w:styleId="11">
    <w:name w:val="envelope return"/>
    <w:basedOn w:val="1"/>
    <w:unhideWhenUsed/>
    <w:qFormat/>
    <w:uiPriority w:val="99"/>
    <w:pPr>
      <w:snapToGrid w:val="0"/>
    </w:pPr>
    <w:rPr>
      <w:rFonts w:ascii="等线 Light" w:hAnsi="等线 Light" w:eastAsia="等线 Light"/>
    </w:rPr>
  </w:style>
  <w:style w:type="paragraph" w:styleId="1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3">
    <w:name w:val="Body Text First Indent"/>
    <w:basedOn w:val="4"/>
    <w:next w:val="8"/>
    <w:unhideWhenUsed/>
    <w:qFormat/>
    <w:uiPriority w:val="99"/>
    <w:pPr>
      <w:spacing w:after="120" w:line="240" w:lineRule="auto"/>
      <w:ind w:firstLine="420" w:firstLineChars="100"/>
      <w:jc w:val="both"/>
    </w:pPr>
    <w:rPr>
      <w:kern w:val="2"/>
      <w:sz w:val="21"/>
      <w:szCs w:val="24"/>
    </w:rPr>
  </w:style>
  <w:style w:type="table" w:styleId="15">
    <w:name w:val="Table Grid"/>
    <w:basedOn w:val="1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bCs/>
    </w:rPr>
  </w:style>
  <w:style w:type="character" w:styleId="18">
    <w:name w:val="FollowedHyperlink"/>
    <w:basedOn w:val="16"/>
    <w:qFormat/>
    <w:uiPriority w:val="0"/>
    <w:rPr>
      <w:color w:val="800080"/>
      <w:u w:val="none"/>
    </w:rPr>
  </w:style>
  <w:style w:type="character" w:styleId="19">
    <w:name w:val="Emphasis"/>
    <w:basedOn w:val="16"/>
    <w:qFormat/>
    <w:uiPriority w:val="0"/>
    <w:rPr>
      <w:b/>
      <w:bCs/>
    </w:rPr>
  </w:style>
  <w:style w:type="character" w:styleId="20">
    <w:name w:val="HTML Definition"/>
    <w:basedOn w:val="16"/>
    <w:qFormat/>
    <w:uiPriority w:val="0"/>
  </w:style>
  <w:style w:type="character" w:styleId="21">
    <w:name w:val="HTML Typewriter"/>
    <w:basedOn w:val="16"/>
    <w:uiPriority w:val="0"/>
    <w:rPr>
      <w:rFonts w:hint="default" w:ascii="monospace" w:hAnsi="monospace" w:eastAsia="monospace" w:cs="monospace"/>
      <w:sz w:val="20"/>
    </w:rPr>
  </w:style>
  <w:style w:type="character" w:styleId="22">
    <w:name w:val="HTML Acronym"/>
    <w:basedOn w:val="16"/>
    <w:qFormat/>
    <w:uiPriority w:val="0"/>
    <w:rPr>
      <w:bdr w:val="single" w:color="D2D2D2" w:sz="2" w:space="0"/>
      <w:shd w:val="clear" w:color="auto" w:fill="FFFFFF"/>
    </w:rPr>
  </w:style>
  <w:style w:type="character" w:styleId="23">
    <w:name w:val="HTML Variable"/>
    <w:basedOn w:val="16"/>
    <w:qFormat/>
    <w:uiPriority w:val="0"/>
  </w:style>
  <w:style w:type="character" w:styleId="24">
    <w:name w:val="Hyperlink"/>
    <w:basedOn w:val="16"/>
    <w:qFormat/>
    <w:uiPriority w:val="0"/>
    <w:rPr>
      <w:color w:val="0000FF"/>
      <w:u w:val="none"/>
    </w:rPr>
  </w:style>
  <w:style w:type="character" w:styleId="25">
    <w:name w:val="HTML Code"/>
    <w:basedOn w:val="16"/>
    <w:qFormat/>
    <w:uiPriority w:val="0"/>
    <w:rPr>
      <w:rFonts w:hint="default" w:ascii="monospace" w:hAnsi="monospace" w:eastAsia="monospace" w:cs="monospace"/>
      <w:sz w:val="20"/>
    </w:rPr>
  </w:style>
  <w:style w:type="character" w:styleId="26">
    <w:name w:val="HTML Cite"/>
    <w:basedOn w:val="16"/>
    <w:qFormat/>
    <w:uiPriority w:val="0"/>
  </w:style>
  <w:style w:type="character" w:styleId="27">
    <w:name w:val="HTML Keyboard"/>
    <w:basedOn w:val="16"/>
    <w:qFormat/>
    <w:uiPriority w:val="0"/>
    <w:rPr>
      <w:rFonts w:hint="default" w:ascii="monospace" w:hAnsi="monospace" w:eastAsia="monospace" w:cs="monospace"/>
      <w:sz w:val="20"/>
    </w:rPr>
  </w:style>
  <w:style w:type="character" w:styleId="28">
    <w:name w:val="HTML Sample"/>
    <w:basedOn w:val="16"/>
    <w:qFormat/>
    <w:uiPriority w:val="0"/>
    <w:rPr>
      <w:rFonts w:ascii="monospace" w:hAnsi="monospace" w:eastAsia="monospace" w:cs="monospace"/>
    </w:rPr>
  </w:style>
  <w:style w:type="character" w:customStyle="1" w:styleId="29">
    <w:name w:val="NormalCharacter"/>
    <w:qFormat/>
    <w:uiPriority w:val="0"/>
  </w:style>
  <w:style w:type="character" w:customStyle="1" w:styleId="30">
    <w:name w:val="font21"/>
    <w:basedOn w:val="16"/>
    <w:qFormat/>
    <w:uiPriority w:val="0"/>
    <w:rPr>
      <w:rFonts w:hint="eastAsia" w:ascii="宋体" w:hAnsi="宋体" w:eastAsia="宋体" w:cs="宋体"/>
      <w:color w:val="000000"/>
      <w:sz w:val="20"/>
      <w:szCs w:val="20"/>
      <w:u w:val="none"/>
    </w:rPr>
  </w:style>
  <w:style w:type="character" w:customStyle="1" w:styleId="31">
    <w:name w:val="font71"/>
    <w:basedOn w:val="16"/>
    <w:qFormat/>
    <w:uiPriority w:val="0"/>
    <w:rPr>
      <w:rFonts w:hint="eastAsia" w:ascii="宋体" w:hAnsi="宋体" w:eastAsia="宋体" w:cs="宋体"/>
      <w:color w:val="000000"/>
      <w:sz w:val="20"/>
      <w:szCs w:val="20"/>
      <w:u w:val="none"/>
    </w:rPr>
  </w:style>
  <w:style w:type="paragraph" w:customStyle="1" w:styleId="32">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33">
    <w:name w:val="大标题"/>
    <w:basedOn w:val="1"/>
    <w:next w:val="8"/>
    <w:qFormat/>
    <w:uiPriority w:val="0"/>
    <w:pPr>
      <w:pageBreakBefore/>
      <w:spacing w:after="200" w:line="720" w:lineRule="auto"/>
      <w:jc w:val="center"/>
      <w:outlineLvl w:val="0"/>
    </w:pPr>
    <w:rPr>
      <w:rFonts w:ascii="黑体" w:hAnsi="Calibri" w:eastAsia="黑体"/>
      <w:sz w:val="32"/>
      <w:szCs w:val="30"/>
      <w:lang w:eastAsia="en-US" w:bidi="en-US"/>
    </w:rPr>
  </w:style>
  <w:style w:type="paragraph" w:customStyle="1" w:styleId="34">
    <w:name w:val="Body Text 21"/>
    <w:basedOn w:val="1"/>
    <w:next w:val="4"/>
    <w:qFormat/>
    <w:uiPriority w:val="0"/>
    <w:pPr>
      <w:spacing w:after="120" w:line="480" w:lineRule="auto"/>
    </w:pPr>
  </w:style>
  <w:style w:type="paragraph" w:customStyle="1" w:styleId="35">
    <w:name w:val="Table Text"/>
    <w:basedOn w:val="1"/>
    <w:semiHidden/>
    <w:qFormat/>
    <w:uiPriority w:val="0"/>
    <w:rPr>
      <w:rFonts w:ascii="宋体" w:hAnsi="宋体" w:cs="宋体"/>
      <w:szCs w:val="21"/>
      <w:lang w:eastAsia="en-US"/>
    </w:rPr>
  </w:style>
  <w:style w:type="table" w:customStyle="1" w:styleId="36">
    <w:name w:val="Table Normal"/>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37">
    <w:name w:val="正文_6_0"/>
    <w:next w:val="38"/>
    <w:qFormat/>
    <w:uiPriority w:val="0"/>
    <w:pPr>
      <w:widowControl w:val="0"/>
      <w:jc w:val="both"/>
    </w:pPr>
    <w:rPr>
      <w:rFonts w:ascii="Times New Roman" w:hAnsi="Times New Roman" w:eastAsia="宋体" w:cs="Times New Roman"/>
      <w:lang w:val="en-US" w:eastAsia="zh-CN" w:bidi="ar-SA"/>
    </w:rPr>
  </w:style>
  <w:style w:type="paragraph" w:customStyle="1" w:styleId="38">
    <w:name w:val="无间隔1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正文_6_1"/>
    <w:next w:val="38"/>
    <w:qFormat/>
    <w:uiPriority w:val="0"/>
    <w:pPr>
      <w:widowControl w:val="0"/>
      <w:jc w:val="both"/>
    </w:pPr>
    <w:rPr>
      <w:rFonts w:ascii="Calibri" w:hAnsi="Calibri" w:eastAsia="宋体" w:cs="Times New Roman"/>
      <w:kern w:val="2"/>
      <w:sz w:val="21"/>
      <w:szCs w:val="22"/>
      <w:lang w:val="en-US" w:eastAsia="zh-CN" w:bidi="ar-SA"/>
    </w:rPr>
  </w:style>
  <w:style w:type="character" w:customStyle="1" w:styleId="40">
    <w:name w:val="hover"/>
    <w:basedOn w:val="16"/>
    <w:qFormat/>
    <w:uiPriority w:val="0"/>
  </w:style>
  <w:style w:type="character" w:customStyle="1" w:styleId="41">
    <w:name w:val="hover1"/>
    <w:basedOn w:val="16"/>
    <w:qFormat/>
    <w:uiPriority w:val="0"/>
    <w:rPr>
      <w:color w:val="2590EB"/>
    </w:rPr>
  </w:style>
  <w:style w:type="character" w:customStyle="1" w:styleId="42">
    <w:name w:val="hover2"/>
    <w:basedOn w:val="16"/>
    <w:qFormat/>
    <w:uiPriority w:val="0"/>
    <w:rPr>
      <w:color w:val="2590EB"/>
    </w:rPr>
  </w:style>
  <w:style w:type="character" w:customStyle="1" w:styleId="43">
    <w:name w:val="mini-outputtext1"/>
    <w:basedOn w:val="16"/>
    <w:qFormat/>
    <w:uiPriority w:val="0"/>
  </w:style>
  <w:style w:type="character" w:customStyle="1" w:styleId="44">
    <w:name w:val="hover3"/>
    <w:basedOn w:val="16"/>
    <w:qFormat/>
    <w:uiPriority w:val="0"/>
  </w:style>
  <w:style w:type="character" w:customStyle="1" w:styleId="45">
    <w:name w:val="标题 2 Char"/>
    <w:basedOn w:val="16"/>
    <w:link w:val="2"/>
    <w:qFormat/>
    <w:uiPriority w:val="0"/>
    <w:rPr>
      <w:rFonts w:ascii="Arial" w:hAnsi="Arial" w:eastAsia="黑体"/>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22416</Words>
  <Characters>24233</Characters>
  <Lines>209</Lines>
  <Paragraphs>58</Paragraphs>
  <TotalTime>5</TotalTime>
  <ScaleCrop>false</ScaleCrop>
  <LinksUpToDate>false</LinksUpToDate>
  <CharactersWithSpaces>24939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2025-12-15T09:34:00Z</dcterms:created>
  <dc:creator>一朝一夕</dc:creator>
  <cp:lastModifiedBy>雷雨涵</cp:lastModifiedBy>
  <dcterms:modified xsi:type="dcterms:W3CDTF">2026-08-19T09:02:15Z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6EEEC1F0D6CF4299A4E433E764CE6C41_11</vt:lpwstr>
  </property>
  <property fmtid="{D5CDD505-2E9C-101B-9397-08002B2CF9AE}" pid="4" name="KSOTemplateDocerSaveRecord">
    <vt:lpwstr>eyJoZGlkIjoiZTM5ODk0ZDdjNjZjYmE1MzlmNzI2YjZjNzdjYWM0MTYiLCJ1c2VySWQiOiIzNjgzNTc2NjEifQ==</vt:lpwstr>
  </property>
</Properties>
</file>